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6"/>
        <w:gridCol w:w="7"/>
        <w:gridCol w:w="3665"/>
        <w:gridCol w:w="99"/>
      </w:tblGrid>
      <w:tr w:rsidR="00294639" w:rsidRPr="005567C6" w14:paraId="48461C67" w14:textId="77777777" w:rsidTr="006B1846">
        <w:trPr>
          <w:gridAfter w:val="1"/>
          <w:wAfter w:w="99" w:type="dxa"/>
          <w:trHeight w:hRule="exact" w:val="418"/>
          <w:jc w:val="center"/>
        </w:trPr>
        <w:tc>
          <w:tcPr>
            <w:tcW w:w="8721" w:type="dxa"/>
            <w:gridSpan w:val="4"/>
          </w:tcPr>
          <w:p w14:paraId="451B6D8A" w14:textId="77777777" w:rsidR="00294639" w:rsidRPr="005567C6" w:rsidRDefault="00294639" w:rsidP="008500B6">
            <w:pPr>
              <w:pStyle w:val="a3"/>
              <w:jc w:val="center"/>
              <w:rPr>
                <w:rFonts w:ascii="Tahoma" w:hAnsi="Tahoma" w:cs="Tahoma"/>
                <w:color w:val="000080"/>
                <w:rtl/>
              </w:rPr>
            </w:pPr>
            <w:r w:rsidRPr="005567C6">
              <w:rPr>
                <w:rFonts w:ascii="Tahoma" w:hAnsi="Tahoma" w:cs="Tahoma"/>
                <w:b/>
                <w:bCs/>
                <w:color w:val="000080"/>
                <w:rtl/>
              </w:rPr>
              <w:t>בית משפט השלום בקריות</w:t>
            </w:r>
          </w:p>
        </w:tc>
      </w:tr>
      <w:tr w:rsidR="00294639" w:rsidRPr="005567C6" w14:paraId="3826177A" w14:textId="77777777" w:rsidTr="006B1846">
        <w:trPr>
          <w:gridAfter w:val="1"/>
          <w:wAfter w:w="99" w:type="dxa"/>
          <w:trHeight w:val="337"/>
          <w:jc w:val="center"/>
        </w:trPr>
        <w:tc>
          <w:tcPr>
            <w:tcW w:w="5056" w:type="dxa"/>
            <w:gridSpan w:val="3"/>
          </w:tcPr>
          <w:p w14:paraId="44BC6A05" w14:textId="77777777" w:rsidR="00294639" w:rsidRPr="005567C6" w:rsidRDefault="00294639" w:rsidP="008500B6">
            <w:pPr>
              <w:rPr>
                <w:rFonts w:cs="FrankRuehl"/>
                <w:sz w:val="28"/>
                <w:szCs w:val="28"/>
                <w:rtl/>
              </w:rPr>
            </w:pPr>
            <w:r w:rsidRPr="005567C6">
              <w:rPr>
                <w:rFonts w:cs="FrankRuehl"/>
                <w:sz w:val="28"/>
                <w:szCs w:val="28"/>
                <w:rtl/>
              </w:rPr>
              <w:t>ת"פ</w:t>
            </w:r>
            <w:r w:rsidRPr="005567C6">
              <w:rPr>
                <w:rFonts w:cs="FrankRuehl" w:hint="cs"/>
                <w:sz w:val="28"/>
                <w:szCs w:val="28"/>
                <w:rtl/>
              </w:rPr>
              <w:t xml:space="preserve"> </w:t>
            </w:r>
            <w:r w:rsidRPr="005567C6">
              <w:rPr>
                <w:rFonts w:cs="FrankRuehl"/>
                <w:sz w:val="28"/>
                <w:szCs w:val="28"/>
                <w:rtl/>
              </w:rPr>
              <w:t>3919-12-20</w:t>
            </w:r>
            <w:r w:rsidRPr="005567C6">
              <w:rPr>
                <w:rFonts w:cs="FrankRuehl" w:hint="cs"/>
                <w:sz w:val="28"/>
                <w:szCs w:val="28"/>
                <w:rtl/>
              </w:rPr>
              <w:t xml:space="preserve"> </w:t>
            </w:r>
            <w:r w:rsidRPr="005567C6">
              <w:rPr>
                <w:rFonts w:cs="FrankRuehl"/>
                <w:sz w:val="28"/>
                <w:szCs w:val="28"/>
                <w:rtl/>
              </w:rPr>
              <w:t>פרקליטות מחוז חיפה - פלילי נ' תורג'מן</w:t>
            </w:r>
          </w:p>
          <w:p w14:paraId="0B3C0A0D" w14:textId="77777777" w:rsidR="00294639" w:rsidRPr="005567C6" w:rsidRDefault="00294639" w:rsidP="008500B6">
            <w:pPr>
              <w:pStyle w:val="a3"/>
              <w:rPr>
                <w:rFonts w:cs="FrankRuehl"/>
                <w:sz w:val="28"/>
                <w:szCs w:val="28"/>
                <w:rtl/>
              </w:rPr>
            </w:pPr>
          </w:p>
        </w:tc>
        <w:tc>
          <w:tcPr>
            <w:tcW w:w="3665" w:type="dxa"/>
          </w:tcPr>
          <w:p w14:paraId="195A4C19" w14:textId="77777777" w:rsidR="00294639" w:rsidRPr="005567C6" w:rsidRDefault="00294639" w:rsidP="008500B6">
            <w:pPr>
              <w:pStyle w:val="a3"/>
              <w:jc w:val="right"/>
              <w:rPr>
                <w:rFonts w:cs="FrankRuehl"/>
                <w:sz w:val="28"/>
                <w:szCs w:val="28"/>
                <w:rtl/>
              </w:rPr>
            </w:pPr>
          </w:p>
        </w:tc>
      </w:tr>
      <w:tr w:rsidR="00294639" w:rsidRPr="005567C6" w14:paraId="66A18485" w14:textId="77777777" w:rsidTr="006B18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85F663C" w14:textId="77777777" w:rsidR="00294639" w:rsidRPr="005567C6" w:rsidRDefault="00294639" w:rsidP="00294639">
            <w:pPr>
              <w:jc w:val="both"/>
              <w:rPr>
                <w:rFonts w:ascii="David" w:hAnsi="David"/>
                <w:b/>
                <w:bCs/>
              </w:rPr>
            </w:pPr>
            <w:r w:rsidRPr="005567C6">
              <w:rPr>
                <w:rFonts w:hint="cs"/>
                <w:rtl/>
              </w:rPr>
              <w:t xml:space="preserve"> </w:t>
            </w:r>
            <w:r w:rsidRPr="005567C6">
              <w:rPr>
                <w:rFonts w:ascii="David" w:hAnsi="David"/>
                <w:b/>
                <w:bCs/>
                <w:rtl/>
              </w:rPr>
              <w:t xml:space="preserve">בפני </w:t>
            </w:r>
          </w:p>
        </w:tc>
        <w:tc>
          <w:tcPr>
            <w:tcW w:w="7897" w:type="dxa"/>
            <w:gridSpan w:val="4"/>
            <w:tcBorders>
              <w:top w:val="nil"/>
              <w:left w:val="nil"/>
              <w:bottom w:val="nil"/>
              <w:right w:val="nil"/>
            </w:tcBorders>
            <w:shd w:val="clear" w:color="auto" w:fill="auto"/>
          </w:tcPr>
          <w:p w14:paraId="6EE1C723" w14:textId="77777777" w:rsidR="00294639" w:rsidRPr="005567C6" w:rsidRDefault="00294639" w:rsidP="008500B6">
            <w:pPr>
              <w:rPr>
                <w:rFonts w:ascii="David" w:hAnsi="David"/>
                <w:b/>
                <w:bCs/>
              </w:rPr>
            </w:pPr>
            <w:r w:rsidRPr="005567C6">
              <w:rPr>
                <w:rFonts w:ascii="Arial" w:hAnsi="Arial"/>
                <w:b/>
                <w:bCs/>
                <w:rtl/>
              </w:rPr>
              <w:t>כב' השופט יוסי טורס, סגן הנשיאה</w:t>
            </w:r>
          </w:p>
        </w:tc>
      </w:tr>
      <w:tr w:rsidR="00294639" w:rsidRPr="005567C6" w14:paraId="49A33230" w14:textId="77777777" w:rsidTr="006B18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D65D76E" w14:textId="77777777" w:rsidR="00294639" w:rsidRPr="005567C6" w:rsidRDefault="00294639" w:rsidP="00294639">
            <w:pPr>
              <w:jc w:val="both"/>
              <w:rPr>
                <w:rFonts w:ascii="David" w:hAnsi="David"/>
                <w:b/>
                <w:bCs/>
              </w:rPr>
            </w:pPr>
            <w:bookmarkStart w:id="0" w:name="LastJudge"/>
            <w:bookmarkEnd w:id="0"/>
          </w:p>
        </w:tc>
        <w:tc>
          <w:tcPr>
            <w:tcW w:w="4126" w:type="dxa"/>
            <w:tcBorders>
              <w:top w:val="nil"/>
              <w:left w:val="nil"/>
              <w:bottom w:val="nil"/>
              <w:right w:val="nil"/>
            </w:tcBorders>
            <w:shd w:val="clear" w:color="auto" w:fill="auto"/>
          </w:tcPr>
          <w:p w14:paraId="27066D21" w14:textId="77777777" w:rsidR="00294639" w:rsidRPr="005567C6" w:rsidRDefault="00294639" w:rsidP="008500B6">
            <w:pPr>
              <w:rPr>
                <w:rFonts w:ascii="David" w:hAnsi="David"/>
                <w:b/>
                <w:bCs/>
              </w:rPr>
            </w:pPr>
          </w:p>
        </w:tc>
        <w:tc>
          <w:tcPr>
            <w:tcW w:w="3771" w:type="dxa"/>
            <w:gridSpan w:val="3"/>
            <w:tcBorders>
              <w:top w:val="nil"/>
              <w:left w:val="nil"/>
              <w:bottom w:val="nil"/>
              <w:right w:val="nil"/>
            </w:tcBorders>
            <w:shd w:val="clear" w:color="auto" w:fill="auto"/>
          </w:tcPr>
          <w:p w14:paraId="3C95607B" w14:textId="77777777" w:rsidR="00294639" w:rsidRPr="005567C6" w:rsidRDefault="00294639" w:rsidP="00294639">
            <w:pPr>
              <w:jc w:val="both"/>
              <w:rPr>
                <w:rFonts w:ascii="David" w:hAnsi="David"/>
                <w:b/>
                <w:bCs/>
              </w:rPr>
            </w:pPr>
          </w:p>
        </w:tc>
      </w:tr>
      <w:tr w:rsidR="00294639" w:rsidRPr="005567C6" w14:paraId="1EA2D4B3" w14:textId="77777777" w:rsidTr="006B18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4C93DAC" w14:textId="77777777" w:rsidR="00294639" w:rsidRPr="005567C6" w:rsidRDefault="00294639" w:rsidP="00294639">
            <w:pPr>
              <w:jc w:val="both"/>
              <w:rPr>
                <w:rFonts w:ascii="David" w:hAnsi="David"/>
                <w:b/>
                <w:bCs/>
              </w:rPr>
            </w:pPr>
            <w:bookmarkStart w:id="1" w:name="FirstAppellant"/>
            <w:r w:rsidRPr="005567C6">
              <w:rPr>
                <w:rFonts w:ascii="David" w:hAnsi="David"/>
                <w:b/>
                <w:bCs/>
                <w:rtl/>
              </w:rPr>
              <w:t>בעניין:</w:t>
            </w:r>
          </w:p>
        </w:tc>
        <w:tc>
          <w:tcPr>
            <w:tcW w:w="4126" w:type="dxa"/>
            <w:tcBorders>
              <w:top w:val="nil"/>
              <w:left w:val="nil"/>
              <w:bottom w:val="nil"/>
              <w:right w:val="nil"/>
            </w:tcBorders>
            <w:shd w:val="clear" w:color="auto" w:fill="auto"/>
          </w:tcPr>
          <w:p w14:paraId="074FA7FC" w14:textId="77777777" w:rsidR="00294639" w:rsidRPr="005567C6" w:rsidRDefault="00294639" w:rsidP="008500B6">
            <w:pPr>
              <w:rPr>
                <w:rFonts w:ascii="David" w:hAnsi="David"/>
                <w:b/>
                <w:bCs/>
              </w:rPr>
            </w:pPr>
            <w:r w:rsidRPr="005567C6">
              <w:rPr>
                <w:rFonts w:ascii="David" w:hAnsi="David" w:hint="cs"/>
                <w:b/>
                <w:bCs/>
                <w:rtl/>
              </w:rPr>
              <w:t xml:space="preserve">מדינת ישראל </w:t>
            </w:r>
            <w:r w:rsidRPr="005567C6">
              <w:rPr>
                <w:rFonts w:ascii="David" w:hAnsi="David"/>
                <w:b/>
                <w:bCs/>
                <w:rtl/>
              </w:rPr>
              <w:br/>
              <w:t>באמצעות פרקליטות מחוז חיפה</w:t>
            </w:r>
          </w:p>
        </w:tc>
        <w:tc>
          <w:tcPr>
            <w:tcW w:w="3771" w:type="dxa"/>
            <w:gridSpan w:val="3"/>
            <w:tcBorders>
              <w:top w:val="nil"/>
              <w:left w:val="nil"/>
              <w:bottom w:val="nil"/>
              <w:right w:val="nil"/>
            </w:tcBorders>
            <w:shd w:val="clear" w:color="auto" w:fill="auto"/>
          </w:tcPr>
          <w:p w14:paraId="15EC2061" w14:textId="77777777" w:rsidR="00294639" w:rsidRPr="005567C6" w:rsidRDefault="00294639" w:rsidP="00294639">
            <w:pPr>
              <w:jc w:val="right"/>
              <w:rPr>
                <w:rFonts w:ascii="David" w:hAnsi="David"/>
                <w:b/>
                <w:bCs/>
                <w:rtl/>
              </w:rPr>
            </w:pPr>
            <w:r w:rsidRPr="005567C6">
              <w:rPr>
                <w:rFonts w:ascii="David" w:hAnsi="David"/>
                <w:b/>
                <w:bCs/>
                <w:rtl/>
              </w:rPr>
              <w:t>המאשימה</w:t>
            </w:r>
          </w:p>
        </w:tc>
      </w:tr>
      <w:bookmarkEnd w:id="1"/>
      <w:tr w:rsidR="00294639" w:rsidRPr="005567C6" w14:paraId="0CDCB770" w14:textId="77777777" w:rsidTr="006B18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7C697FD" w14:textId="77777777" w:rsidR="00294639" w:rsidRPr="005567C6" w:rsidRDefault="00294639" w:rsidP="00294639">
            <w:pPr>
              <w:jc w:val="both"/>
              <w:rPr>
                <w:rFonts w:ascii="David" w:hAnsi="David"/>
                <w:b/>
                <w:bCs/>
                <w:rtl/>
              </w:rPr>
            </w:pPr>
          </w:p>
        </w:tc>
        <w:tc>
          <w:tcPr>
            <w:tcW w:w="7897" w:type="dxa"/>
            <w:gridSpan w:val="4"/>
            <w:tcBorders>
              <w:top w:val="nil"/>
              <w:left w:val="nil"/>
              <w:bottom w:val="nil"/>
              <w:right w:val="nil"/>
            </w:tcBorders>
            <w:shd w:val="clear" w:color="auto" w:fill="auto"/>
          </w:tcPr>
          <w:p w14:paraId="48C1B142" w14:textId="77777777" w:rsidR="00294639" w:rsidRPr="005567C6" w:rsidRDefault="00294639" w:rsidP="00294639">
            <w:pPr>
              <w:jc w:val="center"/>
              <w:rPr>
                <w:rFonts w:ascii="David" w:hAnsi="David"/>
                <w:b/>
                <w:bCs/>
                <w:rtl/>
              </w:rPr>
            </w:pPr>
          </w:p>
          <w:p w14:paraId="49B9FD7A" w14:textId="77777777" w:rsidR="00294639" w:rsidRPr="005567C6" w:rsidRDefault="00294639" w:rsidP="00294639">
            <w:pPr>
              <w:jc w:val="center"/>
              <w:rPr>
                <w:rFonts w:ascii="David" w:hAnsi="David"/>
                <w:b/>
                <w:bCs/>
                <w:rtl/>
              </w:rPr>
            </w:pPr>
            <w:r w:rsidRPr="005567C6">
              <w:rPr>
                <w:rFonts w:ascii="David" w:hAnsi="David"/>
                <w:b/>
                <w:bCs/>
                <w:rtl/>
              </w:rPr>
              <w:t>נגד</w:t>
            </w:r>
          </w:p>
          <w:p w14:paraId="7F3E1C9D" w14:textId="77777777" w:rsidR="00294639" w:rsidRPr="005567C6" w:rsidRDefault="00294639" w:rsidP="00294639">
            <w:pPr>
              <w:jc w:val="both"/>
              <w:rPr>
                <w:rFonts w:ascii="David" w:hAnsi="David"/>
                <w:b/>
                <w:bCs/>
              </w:rPr>
            </w:pPr>
          </w:p>
        </w:tc>
      </w:tr>
      <w:tr w:rsidR="00294639" w:rsidRPr="005567C6" w14:paraId="213B9B5E" w14:textId="77777777" w:rsidTr="006B18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A75F5AB" w14:textId="77777777" w:rsidR="00294639" w:rsidRPr="005567C6" w:rsidRDefault="00294639" w:rsidP="008500B6">
            <w:pPr>
              <w:rPr>
                <w:rFonts w:ascii="David" w:hAnsi="David"/>
                <w:b/>
                <w:bCs/>
                <w:rtl/>
              </w:rPr>
            </w:pPr>
          </w:p>
        </w:tc>
        <w:tc>
          <w:tcPr>
            <w:tcW w:w="4126" w:type="dxa"/>
            <w:tcBorders>
              <w:top w:val="nil"/>
              <w:left w:val="nil"/>
              <w:bottom w:val="nil"/>
              <w:right w:val="nil"/>
            </w:tcBorders>
            <w:shd w:val="clear" w:color="auto" w:fill="auto"/>
          </w:tcPr>
          <w:p w14:paraId="6A5E5A84" w14:textId="77777777" w:rsidR="00294639" w:rsidRPr="005567C6" w:rsidRDefault="00294639" w:rsidP="008500B6">
            <w:pPr>
              <w:rPr>
                <w:rFonts w:ascii="David" w:hAnsi="David"/>
                <w:b/>
                <w:bCs/>
                <w:rtl/>
              </w:rPr>
            </w:pPr>
          </w:p>
        </w:tc>
        <w:tc>
          <w:tcPr>
            <w:tcW w:w="3771" w:type="dxa"/>
            <w:gridSpan w:val="3"/>
            <w:tcBorders>
              <w:top w:val="nil"/>
              <w:left w:val="nil"/>
              <w:bottom w:val="nil"/>
              <w:right w:val="nil"/>
            </w:tcBorders>
            <w:shd w:val="clear" w:color="auto" w:fill="auto"/>
          </w:tcPr>
          <w:p w14:paraId="40C3590A" w14:textId="77777777" w:rsidR="00294639" w:rsidRPr="005567C6" w:rsidRDefault="00294639" w:rsidP="00294639">
            <w:pPr>
              <w:jc w:val="right"/>
              <w:rPr>
                <w:rFonts w:ascii="David" w:hAnsi="David"/>
                <w:b/>
                <w:bCs/>
              </w:rPr>
            </w:pPr>
          </w:p>
        </w:tc>
      </w:tr>
      <w:tr w:rsidR="00294639" w:rsidRPr="005567C6" w14:paraId="271EB1E2" w14:textId="77777777" w:rsidTr="006B18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6C42A9C" w14:textId="77777777" w:rsidR="00294639" w:rsidRPr="005567C6" w:rsidRDefault="00294639" w:rsidP="00294639">
            <w:pPr>
              <w:jc w:val="both"/>
              <w:rPr>
                <w:rFonts w:ascii="David" w:hAnsi="David"/>
                <w:b/>
                <w:bCs/>
                <w:rtl/>
              </w:rPr>
            </w:pPr>
          </w:p>
        </w:tc>
        <w:tc>
          <w:tcPr>
            <w:tcW w:w="4126" w:type="dxa"/>
            <w:tcBorders>
              <w:top w:val="nil"/>
              <w:left w:val="nil"/>
              <w:bottom w:val="nil"/>
              <w:right w:val="nil"/>
            </w:tcBorders>
            <w:shd w:val="clear" w:color="auto" w:fill="auto"/>
          </w:tcPr>
          <w:p w14:paraId="2EA364C3" w14:textId="77777777" w:rsidR="00294639" w:rsidRPr="005567C6" w:rsidRDefault="00294639" w:rsidP="00294639">
            <w:pPr>
              <w:jc w:val="both"/>
              <w:rPr>
                <w:rFonts w:ascii="David" w:hAnsi="David"/>
                <w:b/>
                <w:bCs/>
                <w:rtl/>
              </w:rPr>
            </w:pPr>
            <w:r w:rsidRPr="005567C6">
              <w:rPr>
                <w:rFonts w:ascii="David" w:hAnsi="David"/>
                <w:b/>
                <w:bCs/>
                <w:rtl/>
              </w:rPr>
              <w:t xml:space="preserve">יעקב קובי תורג'מן </w:t>
            </w:r>
          </w:p>
          <w:p w14:paraId="4D5D4842" w14:textId="77777777" w:rsidR="00294639" w:rsidRPr="005567C6" w:rsidRDefault="00294639" w:rsidP="00294639">
            <w:pPr>
              <w:jc w:val="both"/>
              <w:rPr>
                <w:rFonts w:ascii="David" w:hAnsi="David"/>
                <w:rtl/>
              </w:rPr>
            </w:pPr>
          </w:p>
        </w:tc>
        <w:tc>
          <w:tcPr>
            <w:tcW w:w="3771" w:type="dxa"/>
            <w:gridSpan w:val="3"/>
            <w:tcBorders>
              <w:top w:val="nil"/>
              <w:left w:val="nil"/>
              <w:bottom w:val="nil"/>
              <w:right w:val="nil"/>
            </w:tcBorders>
            <w:shd w:val="clear" w:color="auto" w:fill="auto"/>
          </w:tcPr>
          <w:p w14:paraId="0EA9E764" w14:textId="77777777" w:rsidR="00294639" w:rsidRPr="005567C6" w:rsidRDefault="00294639" w:rsidP="00294639">
            <w:pPr>
              <w:jc w:val="right"/>
              <w:rPr>
                <w:rFonts w:ascii="David" w:hAnsi="David"/>
                <w:b/>
                <w:bCs/>
              </w:rPr>
            </w:pPr>
            <w:r w:rsidRPr="005567C6">
              <w:rPr>
                <w:rFonts w:ascii="David" w:hAnsi="David"/>
                <w:b/>
                <w:bCs/>
                <w:rtl/>
              </w:rPr>
              <w:t>הנאש</w:t>
            </w:r>
            <w:r w:rsidRPr="005567C6">
              <w:rPr>
                <w:rFonts w:ascii="David" w:hAnsi="David" w:hint="cs"/>
                <w:b/>
                <w:bCs/>
                <w:rtl/>
              </w:rPr>
              <w:t>ם</w:t>
            </w:r>
          </w:p>
        </w:tc>
      </w:tr>
    </w:tbl>
    <w:p w14:paraId="5F9AFAAC" w14:textId="77777777" w:rsidR="006B1846" w:rsidRDefault="006B1846" w:rsidP="00294639">
      <w:pPr>
        <w:rPr>
          <w:rtl/>
        </w:rPr>
      </w:pPr>
    </w:p>
    <w:p w14:paraId="578F94F0" w14:textId="77777777" w:rsidR="006B1846" w:rsidRPr="006B1846" w:rsidRDefault="006B1846" w:rsidP="006B1846">
      <w:pPr>
        <w:spacing w:after="120" w:line="240" w:lineRule="exact"/>
        <w:ind w:left="283" w:hanging="283"/>
        <w:jc w:val="both"/>
        <w:rPr>
          <w:rFonts w:ascii="FrankRuehl" w:hAnsi="FrankRuehl" w:cs="FrankRuehl"/>
          <w:rtl/>
        </w:rPr>
      </w:pPr>
    </w:p>
    <w:p w14:paraId="3A51B014" w14:textId="77777777" w:rsidR="00F40A6B" w:rsidRPr="00F40A6B" w:rsidRDefault="00F40A6B" w:rsidP="00F40A6B">
      <w:pPr>
        <w:spacing w:before="120" w:after="120" w:line="240" w:lineRule="exact"/>
        <w:ind w:left="283" w:hanging="283"/>
        <w:jc w:val="both"/>
        <w:rPr>
          <w:rFonts w:ascii="FrankRuehl" w:hAnsi="FrankRuehl" w:cs="FrankRuehl"/>
          <w:rtl/>
        </w:rPr>
      </w:pPr>
    </w:p>
    <w:p w14:paraId="6ADCB087" w14:textId="77777777" w:rsidR="003F787B" w:rsidRDefault="003F787B" w:rsidP="003F787B">
      <w:pPr>
        <w:rPr>
          <w:rFonts w:ascii="David" w:hAnsi="David"/>
          <w:rtl/>
        </w:rPr>
      </w:pPr>
      <w:bookmarkStart w:id="2" w:name="LawTable"/>
      <w:bookmarkEnd w:id="2"/>
    </w:p>
    <w:p w14:paraId="2F6D0CE7" w14:textId="77777777" w:rsidR="003F787B" w:rsidRPr="003F787B" w:rsidRDefault="003F787B" w:rsidP="003F787B">
      <w:pPr>
        <w:spacing w:before="120" w:after="120" w:line="240" w:lineRule="exact"/>
        <w:ind w:left="283" w:hanging="283"/>
        <w:jc w:val="both"/>
        <w:rPr>
          <w:rFonts w:ascii="FrankRuehl" w:hAnsi="FrankRuehl" w:cs="FrankRuehl"/>
          <w:rtl/>
        </w:rPr>
      </w:pPr>
    </w:p>
    <w:p w14:paraId="0594B617" w14:textId="77777777" w:rsidR="003F787B" w:rsidRPr="003F787B" w:rsidRDefault="003F787B" w:rsidP="003F787B">
      <w:pPr>
        <w:spacing w:before="120" w:after="120" w:line="240" w:lineRule="exact"/>
        <w:ind w:left="283" w:hanging="283"/>
        <w:jc w:val="both"/>
        <w:rPr>
          <w:rFonts w:ascii="FrankRuehl" w:hAnsi="FrankRuehl" w:cs="FrankRuehl"/>
          <w:rtl/>
        </w:rPr>
      </w:pPr>
    </w:p>
    <w:p w14:paraId="351A3E5D" w14:textId="77777777" w:rsidR="003F787B" w:rsidRPr="003F787B" w:rsidRDefault="003F787B" w:rsidP="003F787B">
      <w:pPr>
        <w:spacing w:before="120" w:after="120" w:line="240" w:lineRule="exact"/>
        <w:ind w:left="283" w:hanging="283"/>
        <w:jc w:val="both"/>
        <w:rPr>
          <w:rFonts w:ascii="FrankRuehl" w:hAnsi="FrankRuehl" w:cs="FrankRuehl"/>
          <w:rtl/>
        </w:rPr>
      </w:pPr>
      <w:r w:rsidRPr="003F787B">
        <w:rPr>
          <w:rFonts w:ascii="FrankRuehl" w:hAnsi="FrankRuehl" w:cs="FrankRuehl"/>
          <w:rtl/>
        </w:rPr>
        <w:t xml:space="preserve">חקיקה שאוזכרה: </w:t>
      </w:r>
    </w:p>
    <w:p w14:paraId="4AD73D7E" w14:textId="77777777" w:rsidR="003F787B" w:rsidRPr="003F787B" w:rsidRDefault="003F787B" w:rsidP="003F787B">
      <w:pPr>
        <w:spacing w:before="120" w:after="120" w:line="240" w:lineRule="exact"/>
        <w:ind w:left="283" w:hanging="283"/>
        <w:jc w:val="both"/>
        <w:rPr>
          <w:rFonts w:ascii="FrankRuehl" w:hAnsi="FrankRuehl" w:cs="FrankRuehl"/>
          <w:rtl/>
        </w:rPr>
      </w:pPr>
      <w:hyperlink r:id="rId7" w:history="1">
        <w:r w:rsidRPr="003F787B">
          <w:rPr>
            <w:rFonts w:ascii="FrankRuehl" w:hAnsi="FrankRuehl" w:cs="FrankRuehl"/>
            <w:color w:val="0000FF"/>
            <w:rtl/>
          </w:rPr>
          <w:t>פקודת הסמים המסוכנים [נוסח חדש], תשל"ג-1973</w:t>
        </w:r>
      </w:hyperlink>
      <w:r w:rsidRPr="003F787B">
        <w:rPr>
          <w:rFonts w:ascii="FrankRuehl" w:hAnsi="FrankRuehl" w:cs="FrankRuehl"/>
          <w:rtl/>
        </w:rPr>
        <w:t xml:space="preserve">: סע'  </w:t>
      </w:r>
      <w:hyperlink r:id="rId8" w:history="1">
        <w:r w:rsidRPr="003F787B">
          <w:rPr>
            <w:rFonts w:ascii="FrankRuehl" w:hAnsi="FrankRuehl" w:cs="FrankRuehl"/>
            <w:color w:val="0000FF"/>
            <w:rtl/>
          </w:rPr>
          <w:t>6</w:t>
        </w:r>
      </w:hyperlink>
      <w:r w:rsidRPr="003F787B">
        <w:rPr>
          <w:rFonts w:ascii="FrankRuehl" w:hAnsi="FrankRuehl" w:cs="FrankRuehl"/>
          <w:rtl/>
        </w:rPr>
        <w:t xml:space="preserve">, </w:t>
      </w:r>
      <w:hyperlink r:id="rId9" w:history="1">
        <w:r w:rsidRPr="003F787B">
          <w:rPr>
            <w:rFonts w:ascii="FrankRuehl" w:hAnsi="FrankRuehl" w:cs="FrankRuehl"/>
            <w:color w:val="0000FF"/>
            <w:rtl/>
          </w:rPr>
          <w:t>7.א.</w:t>
        </w:r>
      </w:hyperlink>
      <w:r w:rsidRPr="003F787B">
        <w:rPr>
          <w:rFonts w:ascii="FrankRuehl" w:hAnsi="FrankRuehl" w:cs="FrankRuehl"/>
          <w:rtl/>
        </w:rPr>
        <w:t xml:space="preserve">, </w:t>
      </w:r>
      <w:hyperlink r:id="rId10" w:history="1">
        <w:r w:rsidRPr="003F787B">
          <w:rPr>
            <w:rFonts w:ascii="FrankRuehl" w:hAnsi="FrankRuehl" w:cs="FrankRuehl"/>
            <w:color w:val="0000FF"/>
            <w:rtl/>
          </w:rPr>
          <w:t>7.ג</w:t>
        </w:r>
      </w:hyperlink>
      <w:r w:rsidRPr="003F787B">
        <w:rPr>
          <w:rFonts w:ascii="FrankRuehl" w:hAnsi="FrankRuehl" w:cs="FrankRuehl"/>
          <w:rtl/>
        </w:rPr>
        <w:t xml:space="preserve">, </w:t>
      </w:r>
      <w:hyperlink r:id="rId11" w:history="1">
        <w:r w:rsidRPr="003F787B">
          <w:rPr>
            <w:rFonts w:ascii="FrankRuehl" w:hAnsi="FrankRuehl" w:cs="FrankRuehl"/>
            <w:color w:val="0000FF"/>
            <w:rtl/>
          </w:rPr>
          <w:t>10</w:t>
        </w:r>
      </w:hyperlink>
    </w:p>
    <w:p w14:paraId="3E5EDE18" w14:textId="77777777" w:rsidR="003F787B" w:rsidRPr="003F787B" w:rsidRDefault="003F787B" w:rsidP="003F787B">
      <w:pPr>
        <w:spacing w:before="120" w:after="120" w:line="240" w:lineRule="exact"/>
        <w:ind w:left="283" w:hanging="283"/>
        <w:jc w:val="both"/>
        <w:rPr>
          <w:rFonts w:ascii="FrankRuehl" w:hAnsi="FrankRuehl" w:cs="FrankRuehl"/>
          <w:rtl/>
        </w:rPr>
      </w:pPr>
      <w:hyperlink r:id="rId12" w:history="1">
        <w:r w:rsidRPr="003F787B">
          <w:rPr>
            <w:rFonts w:ascii="FrankRuehl" w:hAnsi="FrankRuehl" w:cs="FrankRuehl"/>
            <w:color w:val="0000FF"/>
            <w:rtl/>
          </w:rPr>
          <w:t>חוק העונשין, תשל"ז-1977</w:t>
        </w:r>
      </w:hyperlink>
      <w:r w:rsidRPr="003F787B">
        <w:rPr>
          <w:rFonts w:ascii="FrankRuehl" w:hAnsi="FrankRuehl" w:cs="FrankRuehl"/>
          <w:rtl/>
        </w:rPr>
        <w:t xml:space="preserve">: סע'  </w:t>
      </w:r>
      <w:hyperlink r:id="rId13" w:history="1">
        <w:r w:rsidRPr="003F787B">
          <w:rPr>
            <w:rFonts w:ascii="FrankRuehl" w:hAnsi="FrankRuehl" w:cs="FrankRuehl"/>
            <w:color w:val="0000FF"/>
            <w:rtl/>
          </w:rPr>
          <w:t>400</w:t>
        </w:r>
      </w:hyperlink>
    </w:p>
    <w:p w14:paraId="587B17F5" w14:textId="77777777" w:rsidR="003F787B" w:rsidRPr="003F787B" w:rsidRDefault="003F787B" w:rsidP="003F787B">
      <w:pPr>
        <w:rPr>
          <w:rFonts w:ascii="David" w:hAnsi="David"/>
          <w:rtl/>
        </w:rPr>
      </w:pPr>
      <w:bookmarkStart w:id="3" w:name="LawTable_End"/>
      <w:bookmarkEnd w:id="3"/>
    </w:p>
    <w:p w14:paraId="0552F8A9" w14:textId="77777777" w:rsidR="00294639" w:rsidRPr="00F40A6B" w:rsidRDefault="00294639" w:rsidP="00F40A6B">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94639" w:rsidRPr="00354835" w14:paraId="700E297D" w14:textId="77777777" w:rsidTr="00294639">
        <w:trPr>
          <w:trHeight w:val="355"/>
          <w:jc w:val="center"/>
        </w:trPr>
        <w:tc>
          <w:tcPr>
            <w:tcW w:w="8820" w:type="dxa"/>
            <w:tcBorders>
              <w:top w:val="nil"/>
              <w:left w:val="nil"/>
              <w:bottom w:val="nil"/>
              <w:right w:val="nil"/>
            </w:tcBorders>
            <w:shd w:val="clear" w:color="auto" w:fill="auto"/>
          </w:tcPr>
          <w:p w14:paraId="5B1A1906" w14:textId="77777777" w:rsidR="005567C6" w:rsidRPr="005567C6" w:rsidRDefault="005567C6" w:rsidP="005567C6">
            <w:pPr>
              <w:jc w:val="center"/>
              <w:rPr>
                <w:rFonts w:ascii="David" w:hAnsi="David"/>
                <w:b/>
                <w:bCs/>
                <w:sz w:val="28"/>
                <w:szCs w:val="28"/>
                <w:u w:val="single"/>
                <w:rtl/>
              </w:rPr>
            </w:pPr>
            <w:bookmarkStart w:id="4" w:name="PsakDin" w:colFirst="0" w:colLast="0"/>
            <w:r w:rsidRPr="005567C6">
              <w:rPr>
                <w:rFonts w:ascii="David" w:hAnsi="David"/>
                <w:b/>
                <w:bCs/>
                <w:sz w:val="28"/>
                <w:szCs w:val="28"/>
                <w:u w:val="single"/>
                <w:rtl/>
              </w:rPr>
              <w:t>גזר דין</w:t>
            </w:r>
          </w:p>
          <w:p w14:paraId="133EECC6" w14:textId="77777777" w:rsidR="00294639" w:rsidRPr="005567C6" w:rsidRDefault="00294639" w:rsidP="005567C6">
            <w:pPr>
              <w:jc w:val="center"/>
              <w:rPr>
                <w:rFonts w:ascii="David" w:hAnsi="David"/>
                <w:bCs/>
                <w:u w:val="single"/>
                <w:rtl/>
              </w:rPr>
            </w:pPr>
          </w:p>
        </w:tc>
      </w:tr>
      <w:bookmarkEnd w:id="4"/>
    </w:tbl>
    <w:p w14:paraId="6A5A9E23" w14:textId="77777777" w:rsidR="00294639" w:rsidRDefault="00294639" w:rsidP="00294639">
      <w:pPr>
        <w:rPr>
          <w:rFonts w:ascii="David" w:hAnsi="David"/>
          <w:rtl/>
        </w:rPr>
      </w:pPr>
    </w:p>
    <w:p w14:paraId="31719D20" w14:textId="77777777" w:rsidR="00294639" w:rsidRDefault="00294639" w:rsidP="00294639">
      <w:pPr>
        <w:rPr>
          <w:rFonts w:ascii="David" w:hAnsi="David"/>
          <w:rtl/>
        </w:rPr>
      </w:pPr>
      <w:r>
        <w:rPr>
          <w:rFonts w:ascii="David" w:hAnsi="David" w:hint="cs"/>
          <w:b/>
          <w:bCs/>
          <w:u w:val="single"/>
          <w:rtl/>
        </w:rPr>
        <w:t>כתב האישום וההליכים</w:t>
      </w:r>
    </w:p>
    <w:p w14:paraId="6EA5AA7E" w14:textId="77777777" w:rsidR="00294639" w:rsidRDefault="00294639" w:rsidP="00294639">
      <w:pPr>
        <w:rPr>
          <w:rFonts w:ascii="David" w:hAnsi="David"/>
          <w:rtl/>
        </w:rPr>
      </w:pPr>
    </w:p>
    <w:p w14:paraId="648A83C1" w14:textId="77777777" w:rsidR="00294639" w:rsidRPr="00D949D1" w:rsidRDefault="00294639" w:rsidP="00294639">
      <w:pPr>
        <w:pStyle w:val="a9"/>
        <w:numPr>
          <w:ilvl w:val="0"/>
          <w:numId w:val="1"/>
        </w:numPr>
        <w:spacing w:line="360" w:lineRule="auto"/>
        <w:jc w:val="both"/>
        <w:rPr>
          <w:rFonts w:ascii="David" w:hAnsi="David"/>
        </w:rPr>
      </w:pPr>
      <w:bookmarkStart w:id="5" w:name="ABSTRACT_START"/>
      <w:bookmarkEnd w:id="5"/>
      <w:r w:rsidRPr="00D949D1">
        <w:rPr>
          <w:rFonts w:ascii="David" w:hAnsi="David" w:hint="cs"/>
          <w:rtl/>
        </w:rPr>
        <w:t xml:space="preserve">הנאשם הורשע על פי הודאתו </w:t>
      </w:r>
      <w:r>
        <w:rPr>
          <w:rFonts w:hint="cs"/>
          <w:rtl/>
        </w:rPr>
        <w:t xml:space="preserve">בעבירות </w:t>
      </w:r>
      <w:r>
        <w:rPr>
          <w:rtl/>
        </w:rPr>
        <w:t xml:space="preserve">ייצור, הכנה והפקת סם מסוכן, לפי </w:t>
      </w:r>
      <w:hyperlink r:id="rId14" w:history="1">
        <w:r w:rsidR="006B1846" w:rsidRPr="006B1846">
          <w:rPr>
            <w:rStyle w:val="Hyperlink"/>
            <w:rFonts w:cs="David"/>
            <w:rtl/>
          </w:rPr>
          <w:t>סעיף 6</w:t>
        </w:r>
      </w:hyperlink>
      <w:r>
        <w:rPr>
          <w:rtl/>
        </w:rPr>
        <w:t xml:space="preserve"> ל</w:t>
      </w:r>
      <w:hyperlink r:id="rId15" w:history="1">
        <w:r w:rsidR="005567C6" w:rsidRPr="005567C6">
          <w:rPr>
            <w:color w:val="0000FF"/>
            <w:u w:val="single"/>
            <w:rtl/>
          </w:rPr>
          <w:t>פקודת הסמים המסוכנים</w:t>
        </w:r>
      </w:hyperlink>
      <w:r w:rsidRPr="00D949D1">
        <w:rPr>
          <w:rFonts w:ascii="David" w:hAnsi="David" w:hint="cs"/>
          <w:rtl/>
        </w:rPr>
        <w:t xml:space="preserve"> </w:t>
      </w:r>
      <w:r>
        <w:rPr>
          <w:rtl/>
        </w:rPr>
        <w:t xml:space="preserve">(נוסח חדש) תשל"ג- 1973 (להלן – </w:t>
      </w:r>
      <w:r w:rsidRPr="00D949D1">
        <w:rPr>
          <w:rFonts w:cs="Miriam"/>
          <w:rtl/>
        </w:rPr>
        <w:t>פקודת הסמים</w:t>
      </w:r>
      <w:r>
        <w:rPr>
          <w:rtl/>
        </w:rPr>
        <w:t>)</w:t>
      </w:r>
      <w:r>
        <w:rPr>
          <w:rFonts w:hint="cs"/>
          <w:rtl/>
        </w:rPr>
        <w:t xml:space="preserve">; </w:t>
      </w:r>
      <w:r>
        <w:rPr>
          <w:rtl/>
        </w:rPr>
        <w:t xml:space="preserve">החזקת סם מסוכן שלא כדין ושלא לצריכה עצמית, לפי </w:t>
      </w:r>
      <w:hyperlink r:id="rId16" w:history="1">
        <w:r w:rsidR="006B1846" w:rsidRPr="006B1846">
          <w:rPr>
            <w:rStyle w:val="Hyperlink"/>
            <w:rFonts w:cs="David"/>
            <w:rtl/>
          </w:rPr>
          <w:t>סעיף 7(א)+(ג)</w:t>
        </w:r>
      </w:hyperlink>
      <w:r>
        <w:rPr>
          <w:rtl/>
        </w:rPr>
        <w:t xml:space="preserve"> רישא לפקודת הסמים</w:t>
      </w:r>
      <w:r>
        <w:rPr>
          <w:rFonts w:hint="cs"/>
          <w:rtl/>
        </w:rPr>
        <w:t xml:space="preserve">; </w:t>
      </w:r>
      <w:r>
        <w:rPr>
          <w:rtl/>
        </w:rPr>
        <w:t xml:space="preserve">החזקת כלים, לפי </w:t>
      </w:r>
      <w:hyperlink r:id="rId17" w:history="1">
        <w:r w:rsidR="006B1846" w:rsidRPr="006B1846">
          <w:rPr>
            <w:rStyle w:val="Hyperlink"/>
            <w:rFonts w:cs="David"/>
            <w:rtl/>
          </w:rPr>
          <w:t>סעיף 10</w:t>
        </w:r>
      </w:hyperlink>
      <w:r>
        <w:rPr>
          <w:rtl/>
        </w:rPr>
        <w:t xml:space="preserve"> רישא לפקודת הסמים</w:t>
      </w:r>
      <w:r w:rsidRPr="00D949D1">
        <w:rPr>
          <w:rFonts w:ascii="David" w:hAnsi="David" w:hint="cs"/>
          <w:rtl/>
        </w:rPr>
        <w:t xml:space="preserve">; ונטילת חשמל בגניבה, לפי </w:t>
      </w:r>
      <w:hyperlink r:id="rId18" w:history="1">
        <w:r w:rsidR="006B1846" w:rsidRPr="006B1846">
          <w:rPr>
            <w:rStyle w:val="Hyperlink"/>
            <w:rFonts w:ascii="David" w:hAnsi="David" w:cs="David" w:hint="eastAsia"/>
            <w:rtl/>
          </w:rPr>
          <w:t>סעיף</w:t>
        </w:r>
        <w:r w:rsidR="006B1846" w:rsidRPr="006B1846">
          <w:rPr>
            <w:rStyle w:val="Hyperlink"/>
            <w:rFonts w:ascii="David" w:hAnsi="David" w:cs="David"/>
            <w:rtl/>
          </w:rPr>
          <w:t xml:space="preserve"> 400</w:t>
        </w:r>
      </w:hyperlink>
      <w:r w:rsidRPr="00D949D1">
        <w:rPr>
          <w:rFonts w:ascii="David" w:hAnsi="David" w:hint="cs"/>
          <w:rtl/>
        </w:rPr>
        <w:t xml:space="preserve"> ל</w:t>
      </w:r>
      <w:hyperlink r:id="rId19" w:history="1">
        <w:r w:rsidR="005567C6" w:rsidRPr="005567C6">
          <w:rPr>
            <w:rFonts w:ascii="David" w:hAnsi="David"/>
            <w:color w:val="0000FF"/>
            <w:u w:val="single"/>
            <w:rtl/>
          </w:rPr>
          <w:t>חוק העונשין</w:t>
        </w:r>
      </w:hyperlink>
      <w:r w:rsidRPr="00D949D1">
        <w:rPr>
          <w:rFonts w:ascii="David" w:hAnsi="David" w:hint="cs"/>
          <w:rtl/>
        </w:rPr>
        <w:t xml:space="preserve">, תשל"ז- 1977 (להלן </w:t>
      </w:r>
      <w:r w:rsidRPr="00D949D1">
        <w:rPr>
          <w:rFonts w:ascii="David" w:hAnsi="David"/>
          <w:rtl/>
        </w:rPr>
        <w:t>–</w:t>
      </w:r>
      <w:r w:rsidRPr="00D949D1">
        <w:rPr>
          <w:rFonts w:ascii="David" w:hAnsi="David" w:hint="cs"/>
          <w:rtl/>
        </w:rPr>
        <w:t xml:space="preserve"> </w:t>
      </w:r>
      <w:r w:rsidRPr="00D949D1">
        <w:rPr>
          <w:rFonts w:ascii="David" w:hAnsi="David" w:cs="Miriam" w:hint="cs"/>
          <w:rtl/>
        </w:rPr>
        <w:t>חוק העונשין</w:t>
      </w:r>
      <w:r w:rsidRPr="00D949D1">
        <w:rPr>
          <w:rFonts w:ascii="David" w:hAnsi="David" w:hint="cs"/>
          <w:rtl/>
        </w:rPr>
        <w:t>). על פי עובדות כתב האישום המתוקן, ביום 18.6.20 שכר הנאשם דירה לתקופה של שנה</w:t>
      </w:r>
      <w:r>
        <w:rPr>
          <w:rFonts w:ascii="David" w:hAnsi="David" w:hint="cs"/>
          <w:rtl/>
        </w:rPr>
        <w:t xml:space="preserve"> ומ</w:t>
      </w:r>
      <w:r w:rsidRPr="00D949D1">
        <w:rPr>
          <w:rFonts w:ascii="David" w:hAnsi="David" w:hint="cs"/>
          <w:rtl/>
        </w:rPr>
        <w:t>חודש ספטמבר 2020 ועד 24.11.20 החזיק בה לצורך גידול סם מסוכן מסוג קנבוס. במהלך תקופה</w:t>
      </w:r>
      <w:r>
        <w:rPr>
          <w:rFonts w:ascii="David" w:hAnsi="David" w:hint="cs"/>
          <w:rtl/>
        </w:rPr>
        <w:t xml:space="preserve"> זו</w:t>
      </w:r>
      <w:r w:rsidRPr="00D949D1">
        <w:rPr>
          <w:rFonts w:ascii="David" w:hAnsi="David" w:hint="cs"/>
          <w:rtl/>
        </w:rPr>
        <w:t xml:space="preserve">, במועדים שאינם ידועים במדויק למאשימה, צייד הנאשם את הדירה בכלים ששימשו לצורך גידול </w:t>
      </w:r>
      <w:r>
        <w:rPr>
          <w:rFonts w:ascii="David" w:hAnsi="David" w:hint="cs"/>
          <w:rtl/>
        </w:rPr>
        <w:t>ה</w:t>
      </w:r>
      <w:r w:rsidRPr="00D949D1">
        <w:rPr>
          <w:rFonts w:ascii="David" w:hAnsi="David" w:hint="cs"/>
          <w:rtl/>
        </w:rPr>
        <w:t xml:space="preserve">סם </w:t>
      </w:r>
      <w:r>
        <w:rPr>
          <w:rFonts w:ascii="David" w:hAnsi="David" w:hint="cs"/>
          <w:rtl/>
        </w:rPr>
        <w:t>ו</w:t>
      </w:r>
      <w:r w:rsidRPr="00D949D1">
        <w:rPr>
          <w:rFonts w:ascii="David" w:hAnsi="David" w:hint="cs"/>
          <w:rtl/>
        </w:rPr>
        <w:t xml:space="preserve">גידל </w:t>
      </w:r>
      <w:r>
        <w:rPr>
          <w:rFonts w:ascii="David" w:hAnsi="David" w:hint="cs"/>
          <w:rtl/>
        </w:rPr>
        <w:t xml:space="preserve">בה </w:t>
      </w:r>
      <w:r w:rsidRPr="00D949D1">
        <w:rPr>
          <w:rFonts w:ascii="David" w:hAnsi="David" w:hint="cs"/>
          <w:rtl/>
        </w:rPr>
        <w:t xml:space="preserve">145 שתילי קנבוס במשקל כולל של 39.8 שק"ג נטו. </w:t>
      </w:r>
      <w:r>
        <w:rPr>
          <w:rFonts w:ascii="David" w:hAnsi="David" w:hint="cs"/>
          <w:rtl/>
        </w:rPr>
        <w:t xml:space="preserve">כן מציין כתב האישום המתוקן כי </w:t>
      </w:r>
      <w:r w:rsidRPr="00D949D1">
        <w:rPr>
          <w:rFonts w:ascii="David" w:hAnsi="David" w:hint="cs"/>
          <w:rtl/>
        </w:rPr>
        <w:t xml:space="preserve">במועד שאינו ידוע למאשימה, חיבר הנאשם את הדירה למתקני חברת החשמל בחיבור ישיר ללא מונה ונטל </w:t>
      </w:r>
      <w:r>
        <w:rPr>
          <w:rFonts w:ascii="David" w:hAnsi="David" w:hint="cs"/>
          <w:rtl/>
        </w:rPr>
        <w:t xml:space="preserve">בכך ללא תשלום </w:t>
      </w:r>
      <w:r w:rsidRPr="00D949D1">
        <w:rPr>
          <w:rFonts w:ascii="David" w:hAnsi="David" w:hint="cs"/>
          <w:rtl/>
        </w:rPr>
        <w:t>חשמל בסכום המוערך ב</w:t>
      </w:r>
      <w:r>
        <w:rPr>
          <w:rFonts w:ascii="David" w:hAnsi="David" w:hint="cs"/>
          <w:rtl/>
        </w:rPr>
        <w:t xml:space="preserve">כ </w:t>
      </w:r>
      <w:r w:rsidRPr="00D949D1">
        <w:rPr>
          <w:rFonts w:ascii="David" w:hAnsi="David" w:hint="cs"/>
          <w:rtl/>
        </w:rPr>
        <w:t>-</w:t>
      </w:r>
      <w:r>
        <w:rPr>
          <w:rFonts w:ascii="David" w:hAnsi="David" w:hint="cs"/>
          <w:rtl/>
        </w:rPr>
        <w:t xml:space="preserve"> </w:t>
      </w:r>
      <w:r w:rsidRPr="00D949D1">
        <w:rPr>
          <w:rFonts w:ascii="David" w:hAnsi="David" w:hint="cs"/>
          <w:rtl/>
        </w:rPr>
        <w:t xml:space="preserve">11,000 ₪. </w:t>
      </w:r>
    </w:p>
    <w:p w14:paraId="30ED772E" w14:textId="77777777" w:rsidR="00294639" w:rsidRPr="00D949D1" w:rsidRDefault="00294639" w:rsidP="00294639">
      <w:pPr>
        <w:pStyle w:val="a9"/>
        <w:ind w:left="0"/>
        <w:jc w:val="both"/>
        <w:rPr>
          <w:rFonts w:ascii="David" w:hAnsi="David"/>
        </w:rPr>
      </w:pPr>
      <w:bookmarkStart w:id="6" w:name="ABSTRACT_END"/>
      <w:bookmarkEnd w:id="6"/>
    </w:p>
    <w:p w14:paraId="2101E10D" w14:textId="77777777" w:rsidR="00294639" w:rsidRDefault="00294639" w:rsidP="00294639">
      <w:pPr>
        <w:pStyle w:val="a9"/>
        <w:spacing w:line="360" w:lineRule="auto"/>
        <w:ind w:left="0"/>
        <w:jc w:val="both"/>
        <w:rPr>
          <w:rFonts w:ascii="David" w:hAnsi="David"/>
          <w:u w:val="single"/>
          <w:rtl/>
        </w:rPr>
      </w:pPr>
      <w:r w:rsidRPr="00C63D2E">
        <w:rPr>
          <w:rFonts w:ascii="David" w:hAnsi="David" w:hint="cs"/>
          <w:b/>
          <w:bCs/>
          <w:u w:val="single"/>
          <w:rtl/>
        </w:rPr>
        <w:lastRenderedPageBreak/>
        <w:t>תסקירי שירות המבחן</w:t>
      </w:r>
    </w:p>
    <w:p w14:paraId="6023722F" w14:textId="77777777" w:rsidR="00294639" w:rsidRPr="00C63D2E" w:rsidRDefault="00294639" w:rsidP="00294639">
      <w:pPr>
        <w:pStyle w:val="a9"/>
        <w:ind w:left="0"/>
        <w:jc w:val="both"/>
        <w:rPr>
          <w:rFonts w:ascii="David" w:hAnsi="David"/>
          <w:u w:val="single"/>
        </w:rPr>
      </w:pPr>
    </w:p>
    <w:p w14:paraId="4AE05355" w14:textId="77777777" w:rsidR="00294639" w:rsidRDefault="00294639" w:rsidP="00294639">
      <w:pPr>
        <w:pStyle w:val="a9"/>
        <w:numPr>
          <w:ilvl w:val="0"/>
          <w:numId w:val="1"/>
        </w:numPr>
        <w:spacing w:line="360" w:lineRule="auto"/>
        <w:jc w:val="both"/>
        <w:rPr>
          <w:rFonts w:ascii="David" w:hAnsi="David"/>
        </w:rPr>
      </w:pPr>
      <w:r>
        <w:rPr>
          <w:rFonts w:ascii="David" w:hAnsi="David" w:hint="cs"/>
          <w:rtl/>
        </w:rPr>
        <w:t xml:space="preserve">שירות המבחן הגיש ארבעה תסקירים בעניינו של הנאשם, שהתפרשו על פני תקופה של כ-8 חודשים. בתסקירים פורטו בהרחבה נסיבות חייו של הנאשם, אותם לא אפרט מטעמים של צנעת הפרט </w:t>
      </w:r>
      <w:r>
        <w:rPr>
          <w:rFonts w:ascii="David" w:hAnsi="David"/>
          <w:rtl/>
        </w:rPr>
        <w:t>(</w:t>
      </w:r>
      <w:hyperlink r:id="rId20" w:history="1">
        <w:r w:rsidR="005567C6" w:rsidRPr="005567C6">
          <w:rPr>
            <w:rFonts w:ascii="David" w:hAnsi="David"/>
            <w:color w:val="0000FF"/>
            <w:u w:val="single"/>
            <w:rtl/>
          </w:rPr>
          <w:t>ע"א 6356/20</w:t>
        </w:r>
      </w:hyperlink>
      <w:r>
        <w:rPr>
          <w:rFonts w:ascii="David" w:hAnsi="David"/>
          <w:rtl/>
        </w:rPr>
        <w:t xml:space="preserve"> </w:t>
      </w:r>
      <w:r>
        <w:rPr>
          <w:rFonts w:ascii="David" w:hAnsi="David"/>
          <w:b/>
          <w:bCs/>
          <w:rtl/>
        </w:rPr>
        <w:t>פלוני נ' מדינת ישראל</w:t>
      </w:r>
      <w:r>
        <w:rPr>
          <w:rFonts w:ascii="David" w:hAnsi="David"/>
          <w:rtl/>
        </w:rPr>
        <w:t xml:space="preserve"> (21.10.2021)). </w:t>
      </w:r>
      <w:r>
        <w:rPr>
          <w:rFonts w:ascii="David" w:hAnsi="David" w:hint="cs"/>
          <w:rtl/>
        </w:rPr>
        <w:t>בתמצית ייאמר כי הנאשם רווק כבן 38, וטרם מעצרו עבד בתחום השיפוצים. לדבריו, מגיל צעיר החל לצרוך סמים ולאורך השנים תדירות השימוש עלתה. ביחס לביצוע העבירות קיבל הנאשם אחריות והודה שלא הפעיל שיקול דעת וכי היה מרוכז בהשגת רווח אישי. שירות המבחן התרשם כי הנאשם מביע מוטיבצי</w:t>
      </w:r>
      <w:r>
        <w:rPr>
          <w:rFonts w:ascii="David" w:hAnsi="David" w:hint="eastAsia"/>
          <w:rtl/>
        </w:rPr>
        <w:t>ה</w:t>
      </w:r>
      <w:r>
        <w:rPr>
          <w:rFonts w:ascii="David" w:hAnsi="David" w:hint="cs"/>
          <w:rtl/>
        </w:rPr>
        <w:t xml:space="preserve"> להשתלב בטיפול אינטנסיבי ומשכך הוא שולב בטיפול בהתמכרויות במסגרת צו פיקוח מעצרים בחודש 2/21. גורמי הטיפול התרשמו שיש ביכולתו לערוך התבוננות פנימית מעמיקה והוא ביטא מוטיבצי</w:t>
      </w:r>
      <w:r>
        <w:rPr>
          <w:rFonts w:ascii="David" w:hAnsi="David" w:hint="eastAsia"/>
          <w:rtl/>
        </w:rPr>
        <w:t>ה</w:t>
      </w:r>
      <w:r>
        <w:rPr>
          <w:rFonts w:ascii="David" w:hAnsi="David" w:hint="cs"/>
          <w:rtl/>
        </w:rPr>
        <w:t xml:space="preserve"> לשינוי אורח חייו. לאחר סיום הקבוצה בהצלחה הוחלט לשלבו בטיפול במסגרת היחידה לטיפול בהתמכרויות, נבנתה עבורו תוכנית טיפול ארוכת טווח והדיונים בעניינו נדחו מעת לעת. מדיווח שהתקבל מגורמי הטיפול עלה כי הוא מגיע באופן רציף לשיחות פרטניות וקבוצתיות ומוסר בדיקות שתן נקיות מסמים, הוא שולב בקבוצת 12 הצעדים, שיתף בפתיחות בקשייו וסיים אותה בהצלחה. לאחר מכן שולב בקבוצה נוספת העוסקת בשליטה בכעסים לצד הגמילה. ההתרשמות הכוללת הייתה משיתוף פעולה חיובי ויעילות הטיפול והדבר בא לידי ביטוי בכך שהנאשם מצליח להימנע מצריכת סמים, שומר על שגרת עבודה ודימויו העצמי משתפר. צוין כי לאור כך פחת הסיכון להישנות עבירות דומות. קצינת המבחן העריכה כי ענישה קונקרטית בדמות מאסר בפועל או מאסר לריצוי בעבודות שירות עלולה להוביל לרגרסיה בתפקודו ובמצבו הרגשי ולפגוע בהישגים הטיפוליים עד כדי עליה ברמת הסיכון להישנות עבירות דומות בעתיד. לאור כך המליץ שירות המבחן על העמדתו של הנאשם בצו מבחן למשך 18 חודשים, במהלכו ימשיך את הטיפול במסגרת היחידה להתמכרויות וכן צו של"צ בהיקף של 220 שעות לצד מאסר מותנה וקנס. </w:t>
      </w:r>
    </w:p>
    <w:p w14:paraId="1AE9D10D" w14:textId="77777777" w:rsidR="00294639" w:rsidRDefault="00294639" w:rsidP="00294639">
      <w:pPr>
        <w:pStyle w:val="a9"/>
        <w:ind w:left="0"/>
        <w:jc w:val="both"/>
        <w:rPr>
          <w:rFonts w:ascii="David" w:hAnsi="David"/>
          <w:rtl/>
        </w:rPr>
      </w:pPr>
    </w:p>
    <w:p w14:paraId="1705AC27" w14:textId="77777777" w:rsidR="00294639" w:rsidRDefault="00294639" w:rsidP="00294639">
      <w:pPr>
        <w:pStyle w:val="a9"/>
        <w:spacing w:line="360" w:lineRule="auto"/>
        <w:ind w:left="0"/>
        <w:jc w:val="both"/>
        <w:rPr>
          <w:rFonts w:ascii="David" w:hAnsi="David"/>
          <w:b/>
          <w:bCs/>
          <w:u w:val="single"/>
          <w:rtl/>
        </w:rPr>
      </w:pPr>
      <w:r>
        <w:rPr>
          <w:rFonts w:ascii="David" w:hAnsi="David" w:hint="cs"/>
          <w:b/>
          <w:bCs/>
          <w:u w:val="single"/>
          <w:rtl/>
        </w:rPr>
        <w:t>טיעוני הצדדים לעונש והראיות</w:t>
      </w:r>
    </w:p>
    <w:p w14:paraId="4FAA1222" w14:textId="77777777" w:rsidR="00294639" w:rsidRPr="00C33DA8" w:rsidRDefault="00294639" w:rsidP="00294639">
      <w:pPr>
        <w:pStyle w:val="a9"/>
        <w:ind w:left="0"/>
        <w:jc w:val="both"/>
        <w:rPr>
          <w:rFonts w:ascii="David" w:hAnsi="David"/>
          <w:b/>
          <w:bCs/>
          <w:u w:val="single"/>
        </w:rPr>
      </w:pPr>
    </w:p>
    <w:p w14:paraId="4A868482" w14:textId="77777777" w:rsidR="00294639" w:rsidRDefault="00294639" w:rsidP="00294639">
      <w:pPr>
        <w:pStyle w:val="a9"/>
        <w:numPr>
          <w:ilvl w:val="0"/>
          <w:numId w:val="1"/>
        </w:numPr>
        <w:spacing w:line="360" w:lineRule="auto"/>
        <w:jc w:val="both"/>
        <w:rPr>
          <w:rFonts w:ascii="David" w:hAnsi="David"/>
        </w:rPr>
      </w:pPr>
      <w:r>
        <w:rPr>
          <w:rFonts w:ascii="David" w:hAnsi="David" w:hint="cs"/>
          <w:rtl/>
        </w:rPr>
        <w:t>ב"כ המאשימה</w:t>
      </w:r>
      <w:r>
        <w:rPr>
          <w:rtl/>
        </w:rPr>
        <w:t xml:space="preserve"> עמד על חומרתן של עבירות הסמים והדגיש את פגיעתן הרבה בבריאות הציבור ושלומו</w:t>
      </w:r>
      <w:r>
        <w:rPr>
          <w:rFonts w:ascii="David" w:hAnsi="David" w:hint="cs"/>
          <w:rtl/>
        </w:rPr>
        <w:t xml:space="preserve">. נטען כי מדובר בעבירות שתוכננו היטב וכללו השקעת משאבים ורכישת ציוד. המאשימה הפנתה לפסיקה וטענה כי מתחם הענישה נע בין 24 חודשי מאסר בפועל ועד 42 חודשי מאסר. ביחס לעונש הראוי לנאשם נטען כי בהתחשב בכך שעברו הפלילי התיישן (והמאשימה טענה שהיא רואה בו כנעדר עבר פלילי) והוא עבר הליך טיפולי מוצלח, יש הצדקה לסטייה לקולה ממתחם הענישה משיקולי שיקום, אך לא עד כדי אימוץ המלצות התסקיר. סיכומו של דבר עתרה המאשימה לעונש מאסר בן תשעה חודשים לריצוי בדרך של עבודות שירות, בצירוף צו מבחן, מאסר מותנה וקנס. </w:t>
      </w:r>
    </w:p>
    <w:p w14:paraId="2596471F" w14:textId="77777777" w:rsidR="00294639" w:rsidRDefault="00294639" w:rsidP="00294639">
      <w:pPr>
        <w:pStyle w:val="a9"/>
        <w:spacing w:line="360" w:lineRule="auto"/>
        <w:ind w:left="0"/>
        <w:jc w:val="both"/>
        <w:rPr>
          <w:rFonts w:ascii="David" w:hAnsi="David"/>
        </w:rPr>
      </w:pPr>
    </w:p>
    <w:p w14:paraId="11332637" w14:textId="77777777" w:rsidR="00294639" w:rsidRDefault="00294639" w:rsidP="00294639">
      <w:pPr>
        <w:pStyle w:val="a9"/>
        <w:numPr>
          <w:ilvl w:val="0"/>
          <w:numId w:val="1"/>
        </w:numPr>
        <w:spacing w:line="360" w:lineRule="auto"/>
        <w:jc w:val="both"/>
        <w:rPr>
          <w:rFonts w:ascii="David" w:hAnsi="David"/>
        </w:rPr>
      </w:pPr>
      <w:r>
        <w:rPr>
          <w:rFonts w:ascii="David" w:hAnsi="David" w:hint="cs"/>
          <w:rtl/>
        </w:rPr>
        <w:t xml:space="preserve">ב"כ הנאשם הפנה לפסיקה וטען כי חלקו התחתון של מתחם הענישה הוא מאסר לריצוי בעבודות שירות, וביחס לעונש הקונקרטי עתר לאמץ את המלצות התסקיר במלואן. נטען כי מדובר </w:t>
      </w:r>
      <w:r>
        <w:rPr>
          <w:rFonts w:ascii="David" w:hAnsi="David" w:hint="cs"/>
          <w:rtl/>
        </w:rPr>
        <w:lastRenderedPageBreak/>
        <w:t xml:space="preserve">בנאשם ששהה בתנאים מגבילים במשך כ-14 חודשים, מתוכם היה עצור משך כחודש וחצי ולאחר מכן עצור באיזוק אלקטרוני כתשעה חודשים נוספים. הסנגור עתר להביא תקופה זו בחשבון במניין השיקולים לגזירת עונשו של הנאשם וברמה האופרטיבית טען שיש להביא בחשבון שיקולי שיקום המצדיקים הקלה ממשית בעונש וחריגה ממתחם הענישה. </w:t>
      </w:r>
    </w:p>
    <w:p w14:paraId="724DB710" w14:textId="77777777" w:rsidR="00294639" w:rsidRDefault="00294639" w:rsidP="00294639">
      <w:pPr>
        <w:pStyle w:val="a9"/>
        <w:ind w:left="0"/>
        <w:jc w:val="both"/>
        <w:rPr>
          <w:rFonts w:ascii="David" w:hAnsi="David"/>
        </w:rPr>
      </w:pPr>
    </w:p>
    <w:p w14:paraId="2A74CBA9" w14:textId="77777777" w:rsidR="00294639" w:rsidRDefault="00294639" w:rsidP="00294639">
      <w:pPr>
        <w:pStyle w:val="a9"/>
        <w:numPr>
          <w:ilvl w:val="0"/>
          <w:numId w:val="1"/>
        </w:numPr>
        <w:spacing w:line="360" w:lineRule="auto"/>
        <w:jc w:val="both"/>
        <w:rPr>
          <w:rFonts w:ascii="David" w:hAnsi="David"/>
        </w:rPr>
      </w:pPr>
      <w:r>
        <w:rPr>
          <w:rFonts w:ascii="David" w:hAnsi="David" w:hint="cs"/>
          <w:rtl/>
        </w:rPr>
        <w:t xml:space="preserve">הנאשם בדברו האחרון הביע צער וחרטה על מעשיו, תאר כי האירועים שינו את חייו וכיום הוא ממוקד בעבודה ובתשלום חובות שצבר. כן ציין שלא ישוב על מעשיו. </w:t>
      </w:r>
    </w:p>
    <w:p w14:paraId="5DB5ED22" w14:textId="77777777" w:rsidR="00294639" w:rsidRDefault="00294639" w:rsidP="00294639">
      <w:pPr>
        <w:pStyle w:val="a9"/>
        <w:ind w:left="0"/>
        <w:jc w:val="both"/>
        <w:rPr>
          <w:rFonts w:ascii="David" w:hAnsi="David"/>
          <w:rtl/>
        </w:rPr>
      </w:pPr>
    </w:p>
    <w:p w14:paraId="275709EB" w14:textId="77777777" w:rsidR="00294639" w:rsidRDefault="00294639" w:rsidP="00294639">
      <w:pPr>
        <w:pStyle w:val="a9"/>
        <w:ind w:left="0"/>
        <w:jc w:val="both"/>
        <w:rPr>
          <w:rFonts w:ascii="David" w:hAnsi="David"/>
          <w:rtl/>
        </w:rPr>
      </w:pPr>
    </w:p>
    <w:p w14:paraId="51244AAC" w14:textId="77777777" w:rsidR="00294639" w:rsidRDefault="00294639" w:rsidP="00294639">
      <w:pPr>
        <w:pStyle w:val="a9"/>
        <w:ind w:left="0"/>
        <w:jc w:val="both"/>
        <w:rPr>
          <w:rFonts w:ascii="David" w:hAnsi="David"/>
          <w:rtl/>
        </w:rPr>
      </w:pPr>
    </w:p>
    <w:p w14:paraId="78517B34" w14:textId="77777777" w:rsidR="00294639" w:rsidRDefault="00294639" w:rsidP="00294639">
      <w:pPr>
        <w:pStyle w:val="a9"/>
        <w:ind w:left="0"/>
        <w:jc w:val="both"/>
        <w:rPr>
          <w:rFonts w:ascii="David" w:hAnsi="David"/>
          <w:rtl/>
        </w:rPr>
      </w:pPr>
    </w:p>
    <w:p w14:paraId="68F0681C" w14:textId="77777777" w:rsidR="00294639" w:rsidRDefault="00294639" w:rsidP="00294639">
      <w:pPr>
        <w:pStyle w:val="a9"/>
        <w:ind w:left="0"/>
        <w:jc w:val="both"/>
        <w:rPr>
          <w:rFonts w:ascii="David" w:hAnsi="David"/>
          <w:rtl/>
        </w:rPr>
      </w:pPr>
    </w:p>
    <w:p w14:paraId="69D6DB80" w14:textId="77777777" w:rsidR="00294639" w:rsidRPr="00687580" w:rsidRDefault="00294639" w:rsidP="00294639">
      <w:pPr>
        <w:pStyle w:val="a9"/>
        <w:ind w:left="0"/>
        <w:jc w:val="both"/>
        <w:rPr>
          <w:rFonts w:ascii="David" w:hAnsi="David"/>
          <w:rtl/>
        </w:rPr>
      </w:pPr>
    </w:p>
    <w:p w14:paraId="72AFBBD4" w14:textId="77777777" w:rsidR="00294639" w:rsidRPr="005D0A5D" w:rsidRDefault="00294639" w:rsidP="00294639">
      <w:pPr>
        <w:spacing w:line="360" w:lineRule="auto"/>
        <w:contextualSpacing/>
        <w:jc w:val="both"/>
        <w:rPr>
          <w:b/>
          <w:bCs/>
          <w:u w:val="single"/>
          <w:rtl/>
        </w:rPr>
      </w:pPr>
      <w:r w:rsidRPr="005D0A5D">
        <w:rPr>
          <w:b/>
          <w:bCs/>
          <w:u w:val="single"/>
          <w:rtl/>
        </w:rPr>
        <w:t>דיון והכרעה</w:t>
      </w:r>
    </w:p>
    <w:p w14:paraId="5AC5974B" w14:textId="77777777" w:rsidR="00294639" w:rsidRDefault="00294639" w:rsidP="00294639">
      <w:pPr>
        <w:rPr>
          <w:b/>
          <w:bCs/>
          <w:u w:val="single"/>
          <w:rtl/>
        </w:rPr>
      </w:pPr>
      <w:r>
        <w:rPr>
          <w:b/>
          <w:bCs/>
          <w:u w:val="single"/>
          <w:rtl/>
        </w:rPr>
        <w:t>קביעת מתחם הענישה</w:t>
      </w:r>
    </w:p>
    <w:p w14:paraId="694A0C02" w14:textId="77777777" w:rsidR="00294639" w:rsidRDefault="00294639" w:rsidP="00294639">
      <w:pPr>
        <w:pStyle w:val="a9"/>
        <w:spacing w:line="360" w:lineRule="auto"/>
        <w:ind w:left="0"/>
        <w:jc w:val="both"/>
        <w:rPr>
          <w:rFonts w:ascii="David" w:hAnsi="David"/>
        </w:rPr>
      </w:pPr>
    </w:p>
    <w:p w14:paraId="58BB9AEB" w14:textId="77777777" w:rsidR="00294639" w:rsidRDefault="00294639" w:rsidP="00294639">
      <w:pPr>
        <w:pStyle w:val="a9"/>
        <w:numPr>
          <w:ilvl w:val="0"/>
          <w:numId w:val="1"/>
        </w:numPr>
        <w:spacing w:line="360" w:lineRule="auto"/>
        <w:jc w:val="both"/>
        <w:rPr>
          <w:rFonts w:ascii="David" w:hAnsi="David"/>
        </w:rPr>
      </w:pPr>
      <w:r>
        <w:rPr>
          <w:b/>
          <w:bCs/>
          <w:u w:val="single"/>
          <w:rtl/>
        </w:rPr>
        <w:t>הערכים המוגנים בבסיס העביר</w:t>
      </w:r>
      <w:r>
        <w:rPr>
          <w:rFonts w:hint="cs"/>
          <w:b/>
          <w:bCs/>
          <w:u w:val="single"/>
          <w:rtl/>
        </w:rPr>
        <w:t>ות</w:t>
      </w:r>
      <w:r w:rsidRPr="0083183C">
        <w:rPr>
          <w:b/>
          <w:bCs/>
          <w:u w:val="single"/>
          <w:rtl/>
        </w:rPr>
        <w:t>:</w:t>
      </w:r>
      <w:r w:rsidRPr="0083183C">
        <w:rPr>
          <w:rtl/>
        </w:rPr>
        <w:t xml:space="preserve"> </w:t>
      </w:r>
      <w:r w:rsidRPr="00BF3082">
        <w:rPr>
          <w:rFonts w:ascii="David" w:hAnsi="David"/>
          <w:rtl/>
        </w:rPr>
        <w:t xml:space="preserve">במעשיו פגע הנאשם </w:t>
      </w:r>
      <w:r>
        <w:rPr>
          <w:rFonts w:ascii="David" w:hAnsi="David" w:hint="cs"/>
          <w:rtl/>
        </w:rPr>
        <w:t>ב</w:t>
      </w:r>
      <w:r w:rsidRPr="00BF3082">
        <w:rPr>
          <w:rFonts w:ascii="David" w:hAnsi="David"/>
          <w:rtl/>
        </w:rPr>
        <w:t>ב</w:t>
      </w:r>
      <w:r>
        <w:rPr>
          <w:rFonts w:ascii="David" w:hAnsi="David" w:hint="cs"/>
          <w:rtl/>
        </w:rPr>
        <w:t>י</w:t>
      </w:r>
      <w:r w:rsidRPr="00BF3082">
        <w:rPr>
          <w:rFonts w:ascii="David" w:hAnsi="David"/>
          <w:rtl/>
        </w:rPr>
        <w:t>טחון הציבור ושלומו. הסכנות הטמונות בהחזקת סם לצורך גידולו והפצתו ידועות ואין צורך להכביר מילים על הנזקים שעלולים להיגרם לחברה ולפרט ממעשים אלו.</w:t>
      </w:r>
      <w:r w:rsidRPr="00816D81">
        <w:rPr>
          <w:rFonts w:ascii="David" w:hAnsi="David"/>
          <w:rtl/>
        </w:rPr>
        <w:t xml:space="preserve"> פעם אחר פעם נפסק </w:t>
      </w:r>
      <w:r>
        <w:rPr>
          <w:rFonts w:ascii="David" w:hAnsi="David" w:hint="cs"/>
          <w:rtl/>
        </w:rPr>
        <w:t>ש</w:t>
      </w:r>
      <w:r w:rsidRPr="00816D81">
        <w:rPr>
          <w:rFonts w:ascii="David" w:hAnsi="David"/>
          <w:rtl/>
        </w:rPr>
        <w:t>יש לראות בחומרה רבה את עבירות הסמים אשר הפכו מכת מדינה וכי תוצאותיהן הישירות והעקיפות הרות אסון לשלומה של החברה, לבריאותה ולביטחונה.</w:t>
      </w:r>
      <w:r>
        <w:rPr>
          <w:rFonts w:ascii="David" w:hAnsi="David" w:hint="cs"/>
          <w:rtl/>
        </w:rPr>
        <w:t xml:space="preserve"> בענייננו, </w:t>
      </w:r>
      <w:r w:rsidRPr="008C0244">
        <w:rPr>
          <w:rFonts w:ascii="David" w:hAnsi="David"/>
          <w:rtl/>
        </w:rPr>
        <w:t>בשים לב לכמות</w:t>
      </w:r>
      <w:r>
        <w:rPr>
          <w:rFonts w:ascii="David" w:hAnsi="David" w:hint="cs"/>
          <w:rtl/>
        </w:rPr>
        <w:t xml:space="preserve"> הסם,</w:t>
      </w:r>
      <w:r w:rsidRPr="008C0244">
        <w:rPr>
          <w:rFonts w:ascii="David" w:hAnsi="David"/>
          <w:rtl/>
        </w:rPr>
        <w:t xml:space="preserve"> מידת הפגיעה בערכים היא גבוהה. יצוין כי הנאשם אף נטל בגניבה חשמל בשווי </w:t>
      </w:r>
      <w:r>
        <w:rPr>
          <w:rFonts w:ascii="David" w:hAnsi="David" w:hint="cs"/>
          <w:rtl/>
        </w:rPr>
        <w:t>לא מבוטל</w:t>
      </w:r>
      <w:r w:rsidRPr="008C0244">
        <w:rPr>
          <w:rFonts w:ascii="David" w:hAnsi="David"/>
          <w:rtl/>
        </w:rPr>
        <w:t xml:space="preserve"> ובכך פגע בזכות הקניין של קורבן העבירה.  </w:t>
      </w:r>
    </w:p>
    <w:p w14:paraId="3032FC51" w14:textId="77777777" w:rsidR="00294639" w:rsidRDefault="00294639" w:rsidP="00294639">
      <w:pPr>
        <w:pStyle w:val="a9"/>
        <w:ind w:left="0"/>
        <w:jc w:val="both"/>
        <w:rPr>
          <w:rFonts w:ascii="David" w:hAnsi="David"/>
        </w:rPr>
      </w:pPr>
    </w:p>
    <w:p w14:paraId="2F068C30" w14:textId="77777777" w:rsidR="00294639" w:rsidRDefault="00294639" w:rsidP="00294639">
      <w:pPr>
        <w:pStyle w:val="a9"/>
        <w:numPr>
          <w:ilvl w:val="0"/>
          <w:numId w:val="1"/>
        </w:numPr>
        <w:spacing w:line="360" w:lineRule="auto"/>
        <w:jc w:val="both"/>
        <w:rPr>
          <w:rFonts w:ascii="David" w:hAnsi="David"/>
          <w:b/>
          <w:bCs/>
          <w:u w:val="single"/>
        </w:rPr>
      </w:pPr>
      <w:r w:rsidRPr="00A46872">
        <w:rPr>
          <w:rFonts w:ascii="David" w:hAnsi="David"/>
          <w:b/>
          <w:bCs/>
          <w:u w:val="single"/>
          <w:rtl/>
        </w:rPr>
        <w:t>נסיבות הקשורות לביצוע העביר</w:t>
      </w:r>
      <w:r w:rsidRPr="00A46872">
        <w:rPr>
          <w:rFonts w:ascii="David" w:hAnsi="David" w:hint="cs"/>
          <w:b/>
          <w:bCs/>
          <w:u w:val="single"/>
          <w:rtl/>
        </w:rPr>
        <w:t>ות</w:t>
      </w:r>
      <w:r w:rsidRPr="00A46872">
        <w:rPr>
          <w:rFonts w:ascii="David" w:hAnsi="David"/>
          <w:b/>
          <w:bCs/>
          <w:u w:val="single"/>
          <w:rtl/>
        </w:rPr>
        <w:t xml:space="preserve">:   </w:t>
      </w:r>
    </w:p>
    <w:p w14:paraId="293CE255" w14:textId="77777777" w:rsidR="00294639" w:rsidRDefault="00294639" w:rsidP="00294639">
      <w:pPr>
        <w:pStyle w:val="a9"/>
        <w:spacing w:line="360" w:lineRule="auto"/>
        <w:ind w:left="0"/>
        <w:jc w:val="both"/>
        <w:rPr>
          <w:rFonts w:ascii="David" w:hAnsi="David"/>
          <w:b/>
          <w:bCs/>
          <w:u w:val="single"/>
        </w:rPr>
      </w:pPr>
    </w:p>
    <w:p w14:paraId="1FC3A901" w14:textId="77777777" w:rsidR="00294639" w:rsidRDefault="00294639" w:rsidP="00294639">
      <w:pPr>
        <w:pStyle w:val="a9"/>
        <w:numPr>
          <w:ilvl w:val="0"/>
          <w:numId w:val="2"/>
        </w:numPr>
        <w:spacing w:line="360" w:lineRule="auto"/>
        <w:jc w:val="both"/>
        <w:rPr>
          <w:rFonts w:ascii="David" w:hAnsi="David"/>
          <w:b/>
          <w:bCs/>
          <w:u w:val="single"/>
        </w:rPr>
      </w:pPr>
      <w:r>
        <w:rPr>
          <w:u w:val="single"/>
          <w:rtl/>
        </w:rPr>
        <w:t>התכנון שקדם לביצוע העביר</w:t>
      </w:r>
      <w:r>
        <w:rPr>
          <w:rFonts w:hint="cs"/>
          <w:u w:val="single"/>
          <w:rtl/>
        </w:rPr>
        <w:t>ות</w:t>
      </w:r>
      <w:r w:rsidRPr="0083183C">
        <w:rPr>
          <w:rtl/>
        </w:rPr>
        <w:t xml:space="preserve"> – נסיבות ביצוע העבירה מלמדות בבירור על תכנון מוקדם, שהתבטא</w:t>
      </w:r>
      <w:r w:rsidRPr="0083183C">
        <w:rPr>
          <w:b/>
          <w:bCs/>
          <w:rtl/>
        </w:rPr>
        <w:t xml:space="preserve"> </w:t>
      </w:r>
      <w:r w:rsidRPr="0083183C">
        <w:rPr>
          <w:rtl/>
        </w:rPr>
        <w:t>בהצטיידות בכלים מתאימים לצורך גידול השתילים. מדובר בשיטת גידול משוכללת</w:t>
      </w:r>
      <w:r>
        <w:rPr>
          <w:rFonts w:hint="cs"/>
          <w:rtl/>
        </w:rPr>
        <w:t xml:space="preserve"> והיא מעידה</w:t>
      </w:r>
      <w:r w:rsidRPr="0083183C">
        <w:rPr>
          <w:rtl/>
        </w:rPr>
        <w:t xml:space="preserve"> </w:t>
      </w:r>
      <w:r>
        <w:rPr>
          <w:rFonts w:hint="cs"/>
          <w:rtl/>
        </w:rPr>
        <w:t xml:space="preserve">גם </w:t>
      </w:r>
      <w:r w:rsidRPr="0083183C">
        <w:rPr>
          <w:rtl/>
        </w:rPr>
        <w:t>על השקעה מחשבתית וכספית.</w:t>
      </w:r>
    </w:p>
    <w:p w14:paraId="303741D6" w14:textId="77777777" w:rsidR="00294639" w:rsidRPr="001D4C70" w:rsidRDefault="00294639" w:rsidP="00294639">
      <w:pPr>
        <w:pStyle w:val="a9"/>
        <w:spacing w:line="360" w:lineRule="auto"/>
        <w:jc w:val="both"/>
        <w:rPr>
          <w:rFonts w:ascii="David" w:hAnsi="David"/>
          <w:b/>
          <w:bCs/>
          <w:u w:val="single"/>
        </w:rPr>
      </w:pPr>
    </w:p>
    <w:p w14:paraId="52E58A9A" w14:textId="77777777" w:rsidR="00294639" w:rsidRPr="0061726E" w:rsidRDefault="00294639" w:rsidP="00294639">
      <w:pPr>
        <w:pStyle w:val="a9"/>
        <w:numPr>
          <w:ilvl w:val="0"/>
          <w:numId w:val="2"/>
        </w:numPr>
        <w:spacing w:line="360" w:lineRule="auto"/>
        <w:jc w:val="both"/>
        <w:rPr>
          <w:rFonts w:ascii="David" w:hAnsi="David"/>
          <w:u w:val="single"/>
        </w:rPr>
      </w:pPr>
      <w:r w:rsidRPr="0061726E">
        <w:rPr>
          <w:rFonts w:ascii="David" w:hAnsi="David"/>
          <w:u w:val="single"/>
          <w:rtl/>
        </w:rPr>
        <w:t>הנזק שנגרם וכ</w:t>
      </w:r>
      <w:r>
        <w:rPr>
          <w:rFonts w:ascii="David" w:hAnsi="David"/>
          <w:u w:val="single"/>
          <w:rtl/>
        </w:rPr>
        <w:t>ן שהיה צפוי להיגרם מביצוע העביר</w:t>
      </w:r>
      <w:r>
        <w:rPr>
          <w:rFonts w:ascii="David" w:hAnsi="David" w:hint="cs"/>
          <w:u w:val="single"/>
          <w:rtl/>
        </w:rPr>
        <w:t>ות</w:t>
      </w:r>
      <w:r>
        <w:rPr>
          <w:rFonts w:ascii="David" w:hAnsi="David" w:hint="cs"/>
          <w:rtl/>
        </w:rPr>
        <w:t xml:space="preserve"> : </w:t>
      </w:r>
      <w:r w:rsidRPr="0061726E">
        <w:rPr>
          <w:rFonts w:ascii="David" w:hAnsi="David"/>
          <w:rtl/>
        </w:rPr>
        <w:t xml:space="preserve">כמות הסמים שגידל הנאשם משמעותית ביותר. מדובר ב- </w:t>
      </w:r>
      <w:r w:rsidRPr="0061726E">
        <w:rPr>
          <w:rFonts w:ascii="David" w:hAnsi="David" w:hint="cs"/>
          <w:rtl/>
        </w:rPr>
        <w:t>145</w:t>
      </w:r>
      <w:r w:rsidRPr="0061726E">
        <w:rPr>
          <w:rFonts w:ascii="David" w:hAnsi="David"/>
          <w:rtl/>
        </w:rPr>
        <w:t xml:space="preserve"> שתילים אשר שקלו במועד התפיסה </w:t>
      </w:r>
      <w:r w:rsidRPr="0061726E">
        <w:rPr>
          <w:rFonts w:ascii="David" w:hAnsi="David" w:hint="cs"/>
          <w:rtl/>
        </w:rPr>
        <w:t>39.8</w:t>
      </w:r>
      <w:r w:rsidRPr="0061726E">
        <w:rPr>
          <w:rFonts w:ascii="David" w:hAnsi="David"/>
          <w:rtl/>
        </w:rPr>
        <w:t xml:space="preserve"> ק"ג. כמות סם משמעותית עתידה הייתה </w:t>
      </w:r>
      <w:r>
        <w:rPr>
          <w:rFonts w:ascii="David" w:hAnsi="David" w:hint="cs"/>
          <w:rtl/>
        </w:rPr>
        <w:t xml:space="preserve">אפוא </w:t>
      </w:r>
      <w:r w:rsidRPr="0061726E">
        <w:rPr>
          <w:rFonts w:ascii="David" w:hAnsi="David"/>
          <w:rtl/>
        </w:rPr>
        <w:t>לעשות דרכה אל הרחובות ומנתון זה יש להסיק את הנזק שהיה צפוי להיגרם מביצוע העבירה</w:t>
      </w:r>
      <w:r>
        <w:rPr>
          <w:rFonts w:ascii="David" w:hAnsi="David" w:hint="cs"/>
          <w:rtl/>
        </w:rPr>
        <w:t xml:space="preserve"> (</w:t>
      </w:r>
      <w:hyperlink r:id="rId21" w:history="1">
        <w:r w:rsidR="005567C6" w:rsidRPr="005567C6">
          <w:rPr>
            <w:rFonts w:ascii="David" w:hAnsi="David"/>
            <w:color w:val="0000FF"/>
            <w:u w:val="single"/>
            <w:rtl/>
          </w:rPr>
          <w:t>ע"פ 5807/17</w:t>
        </w:r>
      </w:hyperlink>
      <w:r w:rsidRPr="0061726E">
        <w:rPr>
          <w:rFonts w:ascii="David" w:hAnsi="David"/>
          <w:rtl/>
        </w:rPr>
        <w:t xml:space="preserve"> </w:t>
      </w:r>
      <w:r w:rsidRPr="0061726E">
        <w:rPr>
          <w:rFonts w:ascii="David" w:hAnsi="David"/>
          <w:b/>
          <w:bCs/>
          <w:rtl/>
        </w:rPr>
        <w:t>משה דרחי נ' מדינת ישראל</w:t>
      </w:r>
      <w:r w:rsidRPr="0061726E">
        <w:rPr>
          <w:rFonts w:ascii="David" w:hAnsi="David"/>
          <w:rtl/>
        </w:rPr>
        <w:t xml:space="preserve"> (8.6.</w:t>
      </w:r>
      <w:r>
        <w:rPr>
          <w:rFonts w:ascii="David" w:hAnsi="David" w:hint="cs"/>
          <w:rtl/>
        </w:rPr>
        <w:t>2018</w:t>
      </w:r>
      <w:r>
        <w:rPr>
          <w:rFonts w:ascii="David" w:hAnsi="David"/>
          <w:rtl/>
        </w:rPr>
        <w:t>)</w:t>
      </w:r>
      <w:r>
        <w:rPr>
          <w:rFonts w:ascii="David" w:hAnsi="David" w:hint="cs"/>
          <w:rtl/>
        </w:rPr>
        <w:t>)</w:t>
      </w:r>
      <w:r w:rsidRPr="00E764DD">
        <w:rPr>
          <w:rFonts w:ascii="David" w:hAnsi="David" w:hint="cs"/>
          <w:rtl/>
        </w:rPr>
        <w:t>.</w:t>
      </w:r>
    </w:p>
    <w:p w14:paraId="4B032A4F" w14:textId="77777777" w:rsidR="00294639" w:rsidRPr="00D9298B" w:rsidRDefault="00294639" w:rsidP="00294639">
      <w:pPr>
        <w:pStyle w:val="a9"/>
        <w:jc w:val="both"/>
        <w:rPr>
          <w:rFonts w:ascii="David" w:hAnsi="David"/>
          <w:u w:val="single"/>
          <w:rtl/>
        </w:rPr>
      </w:pPr>
    </w:p>
    <w:p w14:paraId="537AF5E9" w14:textId="77777777" w:rsidR="00294639" w:rsidRPr="00DF3B90" w:rsidRDefault="00294639" w:rsidP="00294639">
      <w:pPr>
        <w:pStyle w:val="a9"/>
        <w:numPr>
          <w:ilvl w:val="0"/>
          <w:numId w:val="2"/>
        </w:numPr>
        <w:spacing w:line="360" w:lineRule="auto"/>
        <w:jc w:val="both"/>
        <w:rPr>
          <w:rFonts w:ascii="David" w:hAnsi="David"/>
        </w:rPr>
      </w:pPr>
      <w:r>
        <w:rPr>
          <w:rFonts w:ascii="David" w:hAnsi="David"/>
          <w:u w:val="single"/>
          <w:rtl/>
        </w:rPr>
        <w:t>הסיבות שהביאו את הנאש</w:t>
      </w:r>
      <w:r>
        <w:rPr>
          <w:rFonts w:ascii="David" w:hAnsi="David" w:hint="cs"/>
          <w:u w:val="single"/>
          <w:rtl/>
        </w:rPr>
        <w:t>ם</w:t>
      </w:r>
      <w:r w:rsidRPr="00583FD5">
        <w:rPr>
          <w:rFonts w:ascii="David" w:hAnsi="David"/>
          <w:u w:val="single"/>
          <w:rtl/>
        </w:rPr>
        <w:t xml:space="preserve"> לביצוע העבירות</w:t>
      </w:r>
      <w:r>
        <w:rPr>
          <w:rFonts w:ascii="David" w:hAnsi="David" w:hint="cs"/>
          <w:rtl/>
        </w:rPr>
        <w:t xml:space="preserve">: כאמור, </w:t>
      </w:r>
      <w:r w:rsidRPr="00583FD5">
        <w:rPr>
          <w:rFonts w:ascii="David" w:hAnsi="David"/>
          <w:rtl/>
        </w:rPr>
        <w:t>מדובר בכמות שתילים משמעותית</w:t>
      </w:r>
      <w:r>
        <w:rPr>
          <w:rFonts w:ascii="David" w:hAnsi="David" w:hint="cs"/>
          <w:rtl/>
        </w:rPr>
        <w:t xml:space="preserve"> ו</w:t>
      </w:r>
      <w:r w:rsidRPr="00583FD5">
        <w:rPr>
          <w:rFonts w:ascii="David" w:hAnsi="David"/>
          <w:rtl/>
        </w:rPr>
        <w:t xml:space="preserve">מובן </w:t>
      </w:r>
      <w:r>
        <w:rPr>
          <w:rFonts w:ascii="David" w:hAnsi="David" w:hint="cs"/>
          <w:rtl/>
        </w:rPr>
        <w:t>אפוא ש</w:t>
      </w:r>
      <w:r w:rsidRPr="00583FD5">
        <w:rPr>
          <w:rFonts w:ascii="David" w:hAnsi="David"/>
          <w:rtl/>
        </w:rPr>
        <w:t>מטרת גידולם הי</w:t>
      </w:r>
      <w:r>
        <w:rPr>
          <w:rFonts w:ascii="David" w:hAnsi="David" w:hint="cs"/>
          <w:rtl/>
        </w:rPr>
        <w:t>יתה</w:t>
      </w:r>
      <w:r w:rsidRPr="00583FD5">
        <w:rPr>
          <w:rFonts w:ascii="David" w:hAnsi="David"/>
          <w:rtl/>
        </w:rPr>
        <w:t xml:space="preserve"> הפקת רווח כספי, הגם שהדבר לא צוין במפורש בכתב האישום (אך צוין כי החזקת הכלים הייתה שלא לשימוש עצמי בלבד, וכך גם החזקת </w:t>
      </w:r>
      <w:r>
        <w:rPr>
          <w:rFonts w:ascii="David" w:hAnsi="David" w:hint="cs"/>
          <w:rtl/>
        </w:rPr>
        <w:t>הסמים</w:t>
      </w:r>
      <w:r w:rsidRPr="00583FD5">
        <w:rPr>
          <w:rFonts w:ascii="David" w:hAnsi="David"/>
          <w:rtl/>
        </w:rPr>
        <w:t xml:space="preserve">, וברי כי הדבר משליך במישרין על מטרת גידול הסמים). כך או כך, נקבע לא אחת שניתן להסיק מסקנות בעניין זה מנסיבות החזקת הסם והכמות </w:t>
      </w:r>
      <w:r>
        <w:rPr>
          <w:rFonts w:ascii="David" w:hAnsi="David" w:hint="cs"/>
          <w:rtl/>
        </w:rPr>
        <w:t>(</w:t>
      </w:r>
      <w:r w:rsidRPr="00583FD5">
        <w:rPr>
          <w:rFonts w:ascii="David" w:hAnsi="David"/>
          <w:rtl/>
        </w:rPr>
        <w:t xml:space="preserve">ראו למשל: </w:t>
      </w:r>
      <w:hyperlink r:id="rId22" w:history="1">
        <w:r w:rsidR="005567C6" w:rsidRPr="005567C6">
          <w:rPr>
            <w:rFonts w:ascii="David" w:hAnsi="David"/>
            <w:color w:val="0000FF"/>
            <w:u w:val="single"/>
            <w:rtl/>
          </w:rPr>
          <w:t>דנ"פ 10402/07</w:t>
        </w:r>
      </w:hyperlink>
      <w:r w:rsidRPr="00583FD5">
        <w:rPr>
          <w:rFonts w:ascii="David" w:hAnsi="David"/>
          <w:rtl/>
        </w:rPr>
        <w:t xml:space="preserve"> </w:t>
      </w:r>
      <w:r w:rsidRPr="00583FD5">
        <w:rPr>
          <w:rFonts w:ascii="David" w:hAnsi="David"/>
          <w:b/>
          <w:bCs/>
          <w:rtl/>
        </w:rPr>
        <w:t>מטיס נ' מדינת ישראל</w:t>
      </w:r>
      <w:r>
        <w:rPr>
          <w:rFonts w:ascii="David" w:hAnsi="David"/>
          <w:rtl/>
        </w:rPr>
        <w:t xml:space="preserve"> (29.1.2008); </w:t>
      </w:r>
      <w:r w:rsidRPr="00583FD5">
        <w:rPr>
          <w:rFonts w:ascii="David" w:hAnsi="David"/>
          <w:rtl/>
        </w:rPr>
        <w:t>ת"פ</w:t>
      </w:r>
      <w:r>
        <w:rPr>
          <w:rFonts w:ascii="David" w:hAnsi="David" w:hint="cs"/>
          <w:rtl/>
        </w:rPr>
        <w:t xml:space="preserve"> </w:t>
      </w:r>
      <w:hyperlink r:id="rId23" w:history="1">
        <w:r w:rsidR="00F40A6B" w:rsidRPr="00F40A6B">
          <w:rPr>
            <w:rFonts w:ascii="David" w:hAnsi="David"/>
            <w:color w:val="0000FF"/>
            <w:u w:val="single"/>
            <w:rtl/>
          </w:rPr>
          <w:t xml:space="preserve">4720/02 </w:t>
        </w:r>
      </w:hyperlink>
      <w:r w:rsidRPr="00583FD5">
        <w:rPr>
          <w:rFonts w:ascii="David" w:hAnsi="David"/>
          <w:rtl/>
        </w:rPr>
        <w:t xml:space="preserve"> </w:t>
      </w:r>
      <w:r w:rsidRPr="00583FD5">
        <w:rPr>
          <w:rFonts w:ascii="David" w:hAnsi="David"/>
          <w:b/>
          <w:bCs/>
          <w:rtl/>
        </w:rPr>
        <w:t>מדינת ישראל נ' עבד אל רחמן תאפל</w:t>
      </w:r>
      <w:r w:rsidRPr="00583FD5">
        <w:rPr>
          <w:rFonts w:ascii="David" w:hAnsi="David"/>
          <w:rtl/>
        </w:rPr>
        <w:t xml:space="preserve"> (16.5.2005); כב' השופט עמית</w:t>
      </w:r>
      <w:r>
        <w:rPr>
          <w:rFonts w:ascii="David" w:hAnsi="David" w:hint="cs"/>
          <w:rtl/>
        </w:rPr>
        <w:t>)</w:t>
      </w:r>
      <w:r w:rsidRPr="00583FD5">
        <w:rPr>
          <w:rFonts w:ascii="David" w:hAnsi="David"/>
          <w:rtl/>
        </w:rPr>
        <w:t>. בעניין זה ראוי לציין עוד את העלויות הכספיות שנדרשות לצורך ביצוע העבירות ובהן שכירת דירה, ארנונה והוצאות אחרות כגון חשמל ומים, המגיעות כדי אלפי שקלים בחודש</w:t>
      </w:r>
      <w:r>
        <w:rPr>
          <w:rFonts w:ascii="David" w:hAnsi="David" w:hint="cs"/>
          <w:rtl/>
        </w:rPr>
        <w:t>, אותן שילם הנאשם בתקופה מסוימת כפי שצוין בכתב האישום המתוקן,</w:t>
      </w:r>
      <w:r w:rsidRPr="00583FD5">
        <w:rPr>
          <w:rFonts w:ascii="David" w:hAnsi="David"/>
          <w:rtl/>
        </w:rPr>
        <w:t xml:space="preserve"> והן מתיישבות היטב עם ציפייה לרווח משמעותי. </w:t>
      </w:r>
      <w:r>
        <w:rPr>
          <w:rFonts w:ascii="David" w:hAnsi="David" w:hint="cs"/>
          <w:rtl/>
        </w:rPr>
        <w:t xml:space="preserve">אפנה גם בעניין זה לדבריו של הנאשם בפני קצינת המבחן. </w:t>
      </w:r>
    </w:p>
    <w:p w14:paraId="2F38C3FD" w14:textId="77777777" w:rsidR="00294639" w:rsidRPr="00D9298B" w:rsidRDefault="00294639" w:rsidP="00294639">
      <w:pPr>
        <w:pStyle w:val="a9"/>
        <w:ind w:right="1134"/>
        <w:jc w:val="both"/>
        <w:rPr>
          <w:rFonts w:ascii="David" w:hAnsi="David"/>
          <w:rtl/>
        </w:rPr>
      </w:pPr>
    </w:p>
    <w:p w14:paraId="2FC37A4E" w14:textId="77777777" w:rsidR="00294639" w:rsidRPr="00A46872" w:rsidRDefault="00294639" w:rsidP="00294639">
      <w:pPr>
        <w:pStyle w:val="a9"/>
        <w:numPr>
          <w:ilvl w:val="0"/>
          <w:numId w:val="1"/>
        </w:numPr>
        <w:spacing w:line="360" w:lineRule="auto"/>
        <w:jc w:val="both"/>
        <w:rPr>
          <w:rFonts w:ascii="David" w:hAnsi="David"/>
          <w:b/>
          <w:bCs/>
          <w:u w:val="single"/>
          <w:rtl/>
        </w:rPr>
      </w:pPr>
      <w:r>
        <w:rPr>
          <w:b/>
          <w:bCs/>
          <w:u w:val="single"/>
          <w:rtl/>
        </w:rPr>
        <w:t>מדיניות הענישה:</w:t>
      </w:r>
      <w:r>
        <w:rPr>
          <w:b/>
          <w:bCs/>
          <w:rtl/>
        </w:rPr>
        <w:t xml:space="preserve"> </w:t>
      </w:r>
      <w:r w:rsidRPr="003D66BF">
        <w:rPr>
          <w:rtl/>
        </w:rPr>
        <w:t>הענישה המוטלת בעבירות מסוג זה משתנה ממקרה למקרה והיא תלויה בין היתר בכמות הסם (מספר השתילים והמשקל) ובנסיבותיו של הנאשם (עבר פלילי, שיקום, תסקיר חיובי וכיוצב'). עם זאת נקבע לא אחת כי יש להחמיר עם אלו שמגדלים סמים</w:t>
      </w:r>
      <w:r>
        <w:rPr>
          <w:rFonts w:hint="cs"/>
          <w:rtl/>
        </w:rPr>
        <w:t xml:space="preserve">. ראו למשל </w:t>
      </w:r>
      <w:hyperlink r:id="rId24" w:history="1">
        <w:r w:rsidR="005567C6" w:rsidRPr="005567C6">
          <w:rPr>
            <w:color w:val="0000FF"/>
            <w:u w:val="single"/>
            <w:rtl/>
          </w:rPr>
          <w:t>ע"פ 4387/20</w:t>
        </w:r>
      </w:hyperlink>
      <w:r>
        <w:rPr>
          <w:rFonts w:hint="cs"/>
          <w:rtl/>
        </w:rPr>
        <w:t xml:space="preserve"> </w:t>
      </w:r>
      <w:r w:rsidRPr="004862EC">
        <w:rPr>
          <w:b/>
          <w:bCs/>
          <w:rtl/>
        </w:rPr>
        <w:t>מדינת ישראל נ' טל דרור</w:t>
      </w:r>
      <w:r>
        <w:rPr>
          <w:rFonts w:hint="cs"/>
          <w:rtl/>
        </w:rPr>
        <w:t xml:space="preserve"> (8.2.2021):</w:t>
      </w:r>
    </w:p>
    <w:p w14:paraId="7937E16B" w14:textId="77777777" w:rsidR="00294639" w:rsidRDefault="00294639" w:rsidP="00294639">
      <w:pPr>
        <w:spacing w:line="360" w:lineRule="auto"/>
        <w:jc w:val="both"/>
        <w:rPr>
          <w:rFonts w:ascii="David" w:hAnsi="David"/>
          <w:rtl/>
        </w:rPr>
      </w:pPr>
    </w:p>
    <w:p w14:paraId="6FCFB2F7" w14:textId="77777777" w:rsidR="00294639" w:rsidRDefault="00294639" w:rsidP="00294639">
      <w:pPr>
        <w:ind w:left="1134" w:right="1134"/>
        <w:jc w:val="both"/>
        <w:rPr>
          <w:rFonts w:ascii="David" w:hAnsi="David"/>
          <w:rtl/>
        </w:rPr>
      </w:pPr>
      <w:r w:rsidRPr="004862EC">
        <w:rPr>
          <w:rFonts w:ascii="David" w:hAnsi="David" w:cs="Miriam" w:hint="cs"/>
          <w:rtl/>
        </w:rPr>
        <w:t>"</w:t>
      </w:r>
      <w:r w:rsidRPr="004862EC">
        <w:rPr>
          <w:rFonts w:ascii="David" w:hAnsi="David" w:cs="Miriam"/>
          <w:rtl/>
        </w:rPr>
        <w:t>בית משפט זה עמד לא אחת על חומרתן של עבירות הסמים והדגיש כי יש צורך בהטלת ענישה ממשית אשר תרתיע עבריינים פוטנציאליים מביצוען. זאת, בין היתר במטרה למגר את מעבדות הסמים הפועלות במדינה, המתפשטות כאש בשדה קוצים. רמת ענישה זו, כפי שמשתקפת במדיניות הענישה הנוהגת, אף יש בה כדי להביע מסר חד וברור כי ניסיונות להקמת מיזמים מן הסוג כבמקרה דנן, אינן בעלות תוחלת כלכלית</w:t>
      </w:r>
      <w:r w:rsidRPr="004862EC">
        <w:rPr>
          <w:rFonts w:ascii="David" w:hAnsi="David" w:cs="Miriam" w:hint="cs"/>
          <w:rtl/>
        </w:rPr>
        <w:t>"</w:t>
      </w:r>
      <w:r w:rsidRPr="004862EC">
        <w:rPr>
          <w:rFonts w:ascii="David" w:hAnsi="David" w:cs="Miriam"/>
          <w:rtl/>
        </w:rPr>
        <w:t xml:space="preserve"> </w:t>
      </w:r>
      <w:r w:rsidRPr="004862EC">
        <w:rPr>
          <w:rFonts w:ascii="David" w:hAnsi="David"/>
          <w:rtl/>
        </w:rPr>
        <w:t xml:space="preserve">(ראו גם </w:t>
      </w:r>
      <w:hyperlink r:id="rId25" w:history="1">
        <w:r w:rsidR="005567C6" w:rsidRPr="005567C6">
          <w:rPr>
            <w:rFonts w:ascii="David" w:hAnsi="David"/>
            <w:color w:val="0000FF"/>
            <w:u w:val="single"/>
            <w:rtl/>
          </w:rPr>
          <w:t>רע"פ 3287/21</w:t>
        </w:r>
      </w:hyperlink>
      <w:r>
        <w:rPr>
          <w:rFonts w:ascii="David" w:hAnsi="David" w:hint="cs"/>
          <w:rtl/>
        </w:rPr>
        <w:t xml:space="preserve"> </w:t>
      </w:r>
      <w:r w:rsidRPr="004862EC">
        <w:rPr>
          <w:rFonts w:ascii="David" w:hAnsi="David"/>
          <w:b/>
          <w:bCs/>
          <w:rtl/>
        </w:rPr>
        <w:t>זארע עתמין נ' מדינת ישראל</w:t>
      </w:r>
      <w:r>
        <w:rPr>
          <w:rFonts w:ascii="David" w:hAnsi="David" w:hint="cs"/>
          <w:rtl/>
        </w:rPr>
        <w:t xml:space="preserve"> (15.2.2021); </w:t>
      </w:r>
      <w:hyperlink r:id="rId26" w:history="1">
        <w:r w:rsidR="005567C6" w:rsidRPr="005567C6">
          <w:rPr>
            <w:rFonts w:ascii="David" w:hAnsi="David"/>
            <w:color w:val="0000FF"/>
            <w:u w:val="single"/>
            <w:rtl/>
          </w:rPr>
          <w:t>ע"פ 8048/19</w:t>
        </w:r>
      </w:hyperlink>
      <w:r w:rsidRPr="004862EC">
        <w:rPr>
          <w:rFonts w:ascii="David" w:hAnsi="David"/>
          <w:rtl/>
        </w:rPr>
        <w:t xml:space="preserve"> </w:t>
      </w:r>
      <w:r w:rsidRPr="004862EC">
        <w:rPr>
          <w:rFonts w:ascii="David" w:hAnsi="David"/>
          <w:b/>
          <w:bCs/>
          <w:rtl/>
        </w:rPr>
        <w:t>פיצ'חדזה נ' מדינת ישראל</w:t>
      </w:r>
      <w:r w:rsidRPr="004862EC">
        <w:rPr>
          <w:rFonts w:ascii="David" w:hAnsi="David"/>
          <w:rtl/>
        </w:rPr>
        <w:t xml:space="preserve"> (4.6.2020)).</w:t>
      </w:r>
    </w:p>
    <w:p w14:paraId="0E11998E" w14:textId="77777777" w:rsidR="00294639" w:rsidRDefault="00294639" w:rsidP="00294639">
      <w:pPr>
        <w:ind w:right="1134"/>
        <w:jc w:val="both"/>
        <w:rPr>
          <w:rFonts w:ascii="David" w:hAnsi="David"/>
          <w:rtl/>
        </w:rPr>
      </w:pPr>
    </w:p>
    <w:p w14:paraId="543C9EBF" w14:textId="77777777" w:rsidR="00294639" w:rsidRDefault="00294639" w:rsidP="00294639">
      <w:pPr>
        <w:pStyle w:val="a9"/>
        <w:numPr>
          <w:ilvl w:val="0"/>
          <w:numId w:val="1"/>
        </w:numPr>
        <w:spacing w:line="360" w:lineRule="auto"/>
        <w:jc w:val="both"/>
        <w:rPr>
          <w:rFonts w:ascii="David" w:hAnsi="David"/>
        </w:rPr>
      </w:pPr>
      <w:r w:rsidRPr="000275E3">
        <w:rPr>
          <w:rFonts w:ascii="David" w:hAnsi="David"/>
          <w:rtl/>
        </w:rPr>
        <w:t>לעניין הענישה הנוהגת בעבירות דומות ניתן להפנות לפסקי הדין הבאים:</w:t>
      </w:r>
      <w:r>
        <w:rPr>
          <w:rFonts w:ascii="David" w:hAnsi="David" w:hint="cs"/>
          <w:rtl/>
        </w:rPr>
        <w:t xml:space="preserve"> </w:t>
      </w:r>
      <w:hyperlink r:id="rId27" w:history="1">
        <w:r w:rsidR="005567C6" w:rsidRPr="005567C6">
          <w:rPr>
            <w:rFonts w:ascii="David" w:hAnsi="David"/>
            <w:color w:val="0000FF"/>
            <w:u w:val="single"/>
            <w:rtl/>
          </w:rPr>
          <w:t>רע"פ 3287/21</w:t>
        </w:r>
      </w:hyperlink>
      <w:r w:rsidRPr="001B2278">
        <w:rPr>
          <w:rFonts w:ascii="David" w:hAnsi="David"/>
          <w:rtl/>
        </w:rPr>
        <w:t xml:space="preserve"> </w:t>
      </w:r>
      <w:r w:rsidRPr="001B2278">
        <w:rPr>
          <w:rFonts w:ascii="David" w:hAnsi="David"/>
          <w:b/>
          <w:bCs/>
          <w:rtl/>
        </w:rPr>
        <w:t>זארע עתמין נ' מדינת ישראל</w:t>
      </w:r>
      <w:r w:rsidRPr="001B2278">
        <w:rPr>
          <w:rFonts w:ascii="David" w:hAnsi="David"/>
          <w:rtl/>
        </w:rPr>
        <w:t xml:space="preserve"> (15.2.2021)</w:t>
      </w:r>
      <w:r>
        <w:rPr>
          <w:rFonts w:ascii="David" w:hAnsi="David" w:hint="cs"/>
          <w:rtl/>
        </w:rPr>
        <w:t xml:space="preserve">, בו נידון עניינו של נאשם שהורשע בעבירות גידול סמים והחזקת סמים שלא לצריכה עצמית בהיקף של 407 שתילים במשקל 57.4 ק"ג. נקבע כי המתחם נע בין 24 חודשי מאסר בפועל ועד 48 חודשי מאסר, ועל הנאשם נגזרו 20 חודשי מאסר בפועל וקנס; </w:t>
      </w:r>
      <w:hyperlink r:id="rId28" w:history="1">
        <w:r w:rsidR="005567C6" w:rsidRPr="005567C6">
          <w:rPr>
            <w:rFonts w:ascii="David" w:hAnsi="David"/>
            <w:color w:val="0000FF"/>
            <w:u w:val="single"/>
            <w:rtl/>
          </w:rPr>
          <w:t>רע"פ 2277/21</w:t>
        </w:r>
      </w:hyperlink>
      <w:r>
        <w:rPr>
          <w:rFonts w:ascii="David" w:hAnsi="David"/>
          <w:rtl/>
        </w:rPr>
        <w:t xml:space="preserve"> </w:t>
      </w:r>
      <w:r w:rsidRPr="006C5E7C">
        <w:rPr>
          <w:rFonts w:ascii="David" w:hAnsi="David"/>
          <w:b/>
          <w:bCs/>
          <w:rtl/>
        </w:rPr>
        <w:t>אברהם יוחננוב נ' מדינת ישראל</w:t>
      </w:r>
      <w:r>
        <w:rPr>
          <w:rFonts w:ascii="David" w:hAnsi="David" w:hint="cs"/>
          <w:rtl/>
        </w:rPr>
        <w:t xml:space="preserve"> (8.4.2021), בו נידון עניינו של נאשם שהורשע בעבירות גידול סמים והחזקת סמים שלא לצריכה עצמית </w:t>
      </w:r>
      <w:r w:rsidRPr="006C5E7C">
        <w:rPr>
          <w:rFonts w:ascii="David" w:hAnsi="David"/>
          <w:rtl/>
        </w:rPr>
        <w:t>במשקל קילוגרם אחד</w:t>
      </w:r>
      <w:r>
        <w:rPr>
          <w:rFonts w:ascii="David" w:hAnsi="David" w:hint="cs"/>
          <w:rtl/>
        </w:rPr>
        <w:t xml:space="preserve"> (לא צוינו מספר השתילים) ונידון לשישה חודשי מאסר לריצוי בדרך של עבודות שירות ועונשים נלווים; </w:t>
      </w:r>
      <w:hyperlink r:id="rId29" w:history="1">
        <w:r w:rsidR="005567C6" w:rsidRPr="005567C6">
          <w:rPr>
            <w:rFonts w:ascii="David" w:hAnsi="David"/>
            <w:color w:val="0000FF"/>
            <w:u w:val="single"/>
            <w:rtl/>
          </w:rPr>
          <w:t>רע"פ 513/21</w:t>
        </w:r>
      </w:hyperlink>
      <w:r>
        <w:rPr>
          <w:rFonts w:ascii="David" w:hAnsi="David"/>
          <w:rtl/>
        </w:rPr>
        <w:t xml:space="preserve"> </w:t>
      </w:r>
      <w:r w:rsidRPr="007E5FDB">
        <w:rPr>
          <w:rFonts w:ascii="David" w:hAnsi="David"/>
          <w:b/>
          <w:bCs/>
          <w:rtl/>
        </w:rPr>
        <w:t>עידן יהושע נ' מדינת ישראל</w:t>
      </w:r>
      <w:r>
        <w:rPr>
          <w:rFonts w:ascii="David" w:hAnsi="David" w:hint="cs"/>
          <w:rtl/>
        </w:rPr>
        <w:t xml:space="preserve"> (4.3.2021), בו נידון נאשם שגידל 60 שתילים במשקל כולל של 10 ק"ג והחזיק </w:t>
      </w:r>
      <w:r w:rsidRPr="007E5FDB">
        <w:rPr>
          <w:rFonts w:ascii="David" w:hAnsi="David"/>
          <w:rtl/>
        </w:rPr>
        <w:t>כלים המשמשים להכנת סם מסוכן</w:t>
      </w:r>
      <w:r>
        <w:rPr>
          <w:rFonts w:ascii="David" w:hAnsi="David" w:hint="cs"/>
          <w:rtl/>
        </w:rPr>
        <w:t xml:space="preserve">, לעשרה חודשי מאסר בפועל וזאת למרות הליך שיקומי שעבר; </w:t>
      </w:r>
      <w:hyperlink r:id="rId30" w:history="1">
        <w:r w:rsidR="005567C6" w:rsidRPr="005567C6">
          <w:rPr>
            <w:rFonts w:ascii="David" w:hAnsi="David"/>
            <w:color w:val="0000FF"/>
            <w:u w:val="single"/>
            <w:rtl/>
          </w:rPr>
          <w:t>רע"פ 2151/21</w:t>
        </w:r>
      </w:hyperlink>
      <w:r>
        <w:rPr>
          <w:rFonts w:ascii="David" w:hAnsi="David"/>
          <w:rtl/>
        </w:rPr>
        <w:t xml:space="preserve"> </w:t>
      </w:r>
      <w:r w:rsidRPr="00AE3970">
        <w:rPr>
          <w:rFonts w:ascii="David" w:hAnsi="David"/>
          <w:b/>
          <w:bCs/>
          <w:rtl/>
        </w:rPr>
        <w:t>שחף דהן נ' מדינת ישראל</w:t>
      </w:r>
      <w:r>
        <w:rPr>
          <w:rFonts w:ascii="David" w:hAnsi="David" w:hint="cs"/>
          <w:rtl/>
        </w:rPr>
        <w:t xml:space="preserve"> (7.4.2021), בו נידון נאשם ל-18 חודשי מאסר בגין גידול 100 שתילי קנבוס במשקל כולל של 23 ק"ג. עברו של הנאשם היה נקי אך התסקיר בעניינו היה שלילי; </w:t>
      </w:r>
      <w:hyperlink r:id="rId31" w:history="1">
        <w:r w:rsidR="005567C6" w:rsidRPr="005567C6">
          <w:rPr>
            <w:rFonts w:ascii="David" w:hAnsi="David"/>
            <w:color w:val="0000FF"/>
            <w:u w:val="single"/>
            <w:rtl/>
          </w:rPr>
          <w:t>רע"פ 7009/20</w:t>
        </w:r>
      </w:hyperlink>
      <w:r>
        <w:rPr>
          <w:rFonts w:ascii="David" w:hAnsi="David"/>
          <w:rtl/>
        </w:rPr>
        <w:t xml:space="preserve"> ‏</w:t>
      </w:r>
      <w:r w:rsidRPr="00592D2A">
        <w:rPr>
          <w:rFonts w:ascii="David" w:hAnsi="David"/>
          <w:b/>
          <w:bCs/>
          <w:rtl/>
        </w:rPr>
        <w:t>בוריס ישראילוב נ' מדינת ישרא</w:t>
      </w:r>
      <w:r w:rsidRPr="00592D2A">
        <w:rPr>
          <w:rFonts w:ascii="David" w:hAnsi="David"/>
          <w:rtl/>
        </w:rPr>
        <w:t>ל</w:t>
      </w:r>
      <w:r>
        <w:rPr>
          <w:rFonts w:ascii="David" w:hAnsi="David" w:hint="cs"/>
          <w:rtl/>
        </w:rPr>
        <w:t xml:space="preserve"> (6.12.2020), בו נידון נאשם שגידל 22 ק"ג קנבוס (לא צוינו מספר השתילים) ל-13 חודשי מאסר בפועל, חרף המלצה חיובית של שירות המבחן; </w:t>
      </w:r>
      <w:hyperlink r:id="rId32" w:history="1">
        <w:r w:rsidR="005567C6" w:rsidRPr="005567C6">
          <w:rPr>
            <w:rFonts w:ascii="David" w:hAnsi="David"/>
            <w:color w:val="0000FF"/>
            <w:u w:val="single"/>
            <w:rtl/>
          </w:rPr>
          <w:t>עפ"ג 26985-08-19</w:t>
        </w:r>
      </w:hyperlink>
      <w:r w:rsidRPr="00106336">
        <w:rPr>
          <w:rFonts w:ascii="David" w:hAnsi="David"/>
          <w:rtl/>
        </w:rPr>
        <w:t xml:space="preserve"> </w:t>
      </w:r>
      <w:r w:rsidRPr="00106336">
        <w:rPr>
          <w:rFonts w:ascii="David" w:hAnsi="David"/>
          <w:b/>
          <w:bCs/>
          <w:rtl/>
        </w:rPr>
        <w:t>ארטיום שטנפר</w:t>
      </w:r>
      <w:r w:rsidRPr="00106336">
        <w:rPr>
          <w:rFonts w:ascii="David" w:hAnsi="David" w:hint="cs"/>
          <w:b/>
          <w:bCs/>
          <w:rtl/>
        </w:rPr>
        <w:t xml:space="preserve"> </w:t>
      </w:r>
      <w:r w:rsidRPr="00106336">
        <w:rPr>
          <w:rFonts w:ascii="David" w:hAnsi="David"/>
          <w:b/>
          <w:bCs/>
          <w:rtl/>
        </w:rPr>
        <w:t>נ' מדינת ישראל</w:t>
      </w:r>
      <w:r>
        <w:rPr>
          <w:rFonts w:ascii="David" w:hAnsi="David" w:hint="cs"/>
          <w:rtl/>
        </w:rPr>
        <w:t xml:space="preserve"> (21.11.2019), בו הוטל על נאשם שגידל עשרות שתילים במשקל כולל של 113 ק"ג, צו של"צ ומבחן וזאת בשל שיקולי שיקום; </w:t>
      </w:r>
      <w:hyperlink r:id="rId33" w:history="1">
        <w:r w:rsidR="005567C6" w:rsidRPr="005567C6">
          <w:rPr>
            <w:rFonts w:ascii="David" w:hAnsi="David"/>
            <w:color w:val="0000FF"/>
            <w:u w:val="single"/>
            <w:rtl/>
          </w:rPr>
          <w:t>עפ"ג 32119-08-21</w:t>
        </w:r>
      </w:hyperlink>
      <w:r w:rsidRPr="005733D4">
        <w:rPr>
          <w:rFonts w:ascii="David" w:hAnsi="David"/>
          <w:rtl/>
        </w:rPr>
        <w:t xml:space="preserve"> </w:t>
      </w:r>
      <w:r w:rsidRPr="00FE76BF">
        <w:rPr>
          <w:rFonts w:ascii="David" w:hAnsi="David" w:hint="cs"/>
          <w:b/>
          <w:bCs/>
          <w:rtl/>
        </w:rPr>
        <w:t>אדיר</w:t>
      </w:r>
      <w:r w:rsidRPr="00FE76BF">
        <w:rPr>
          <w:rFonts w:ascii="David" w:hAnsi="David" w:hint="cs"/>
          <w:rtl/>
        </w:rPr>
        <w:t xml:space="preserve"> </w:t>
      </w:r>
      <w:r w:rsidRPr="00FE76BF">
        <w:rPr>
          <w:rFonts w:ascii="David" w:hAnsi="David"/>
          <w:b/>
          <w:bCs/>
          <w:rtl/>
        </w:rPr>
        <w:t>יואב נ' מדינת ישראל</w:t>
      </w:r>
      <w:r w:rsidRPr="00FE76BF">
        <w:rPr>
          <w:rFonts w:ascii="David" w:hAnsi="David" w:hint="cs"/>
          <w:rtl/>
        </w:rPr>
        <w:t xml:space="preserve"> (28.10.2021), בו נידון נאשם שגידל 68 שתילי קנבוס במשקל 7.56 ק"ג</w:t>
      </w:r>
      <w:r>
        <w:rPr>
          <w:rFonts w:ascii="David" w:hAnsi="David" w:hint="cs"/>
          <w:rtl/>
        </w:rPr>
        <w:t xml:space="preserve"> לשישה חודשי עבודות שירות ועונשים נלווים; </w:t>
      </w:r>
      <w:hyperlink r:id="rId34" w:history="1">
        <w:r w:rsidR="005567C6" w:rsidRPr="005567C6">
          <w:rPr>
            <w:rFonts w:ascii="David" w:hAnsi="David"/>
            <w:color w:val="0000FF"/>
            <w:u w:val="single"/>
            <w:rtl/>
          </w:rPr>
          <w:t>עפ"ג 54910-04-21</w:t>
        </w:r>
      </w:hyperlink>
      <w:r w:rsidRPr="00CC0A9C">
        <w:rPr>
          <w:rFonts w:ascii="David" w:hAnsi="David"/>
          <w:rtl/>
        </w:rPr>
        <w:t xml:space="preserve"> </w:t>
      </w:r>
      <w:r w:rsidRPr="00B8087A">
        <w:rPr>
          <w:rFonts w:ascii="David" w:hAnsi="David"/>
          <w:b/>
          <w:bCs/>
          <w:rtl/>
        </w:rPr>
        <w:t>מדינת ישראל נ' בן עזרי</w:t>
      </w:r>
      <w:r>
        <w:rPr>
          <w:rFonts w:ascii="David" w:hAnsi="David" w:hint="cs"/>
          <w:rtl/>
        </w:rPr>
        <w:t xml:space="preserve"> (19.7.2021), בו נידון נאשם שגידל 100 שתילי קנבוס במשקל של כ-17 ק"ג לתשעה חודשי מאסר בעבודות שירות ועונשים נלווים.</w:t>
      </w:r>
    </w:p>
    <w:p w14:paraId="34A2EE23" w14:textId="77777777" w:rsidR="00294639" w:rsidRPr="00000F07" w:rsidRDefault="00294639" w:rsidP="00294639">
      <w:pPr>
        <w:pStyle w:val="a9"/>
        <w:ind w:left="0"/>
        <w:jc w:val="both"/>
        <w:rPr>
          <w:rFonts w:ascii="David" w:hAnsi="David"/>
        </w:rPr>
      </w:pPr>
    </w:p>
    <w:p w14:paraId="69968C01" w14:textId="77777777" w:rsidR="00294639" w:rsidRDefault="00294639" w:rsidP="00294639">
      <w:pPr>
        <w:pStyle w:val="a9"/>
        <w:numPr>
          <w:ilvl w:val="0"/>
          <w:numId w:val="1"/>
        </w:numPr>
        <w:spacing w:line="360" w:lineRule="auto"/>
        <w:jc w:val="both"/>
        <w:rPr>
          <w:rFonts w:ascii="David" w:hAnsi="David"/>
        </w:rPr>
      </w:pPr>
      <w:r w:rsidRPr="004744D0">
        <w:rPr>
          <w:rtl/>
        </w:rPr>
        <w:t xml:space="preserve">לאור כל זאת, אני בדעה כי מתחם הענישה ההולם את העבירה מושא ענייננו נע בין </w:t>
      </w:r>
      <w:r>
        <w:rPr>
          <w:rFonts w:hint="cs"/>
          <w:rtl/>
        </w:rPr>
        <w:t>8</w:t>
      </w:r>
      <w:r w:rsidRPr="004744D0">
        <w:rPr>
          <w:rtl/>
        </w:rPr>
        <w:t xml:space="preserve"> חודשי מאסר בפועל </w:t>
      </w:r>
      <w:r>
        <w:rPr>
          <w:rtl/>
        </w:rPr>
        <w:t>ועד 24</w:t>
      </w:r>
      <w:r w:rsidRPr="004744D0">
        <w:rPr>
          <w:rtl/>
        </w:rPr>
        <w:t xml:space="preserve"> חודשי מאסר בפועל.</w:t>
      </w:r>
    </w:p>
    <w:p w14:paraId="4F85F3A7" w14:textId="77777777" w:rsidR="00294639" w:rsidRDefault="00294639" w:rsidP="00294639">
      <w:pPr>
        <w:pStyle w:val="a9"/>
        <w:spacing w:line="360" w:lineRule="auto"/>
        <w:ind w:left="0"/>
        <w:jc w:val="both"/>
        <w:rPr>
          <w:rFonts w:ascii="David" w:hAnsi="David"/>
          <w:rtl/>
        </w:rPr>
      </w:pPr>
    </w:p>
    <w:p w14:paraId="60E14015" w14:textId="77777777" w:rsidR="00294639" w:rsidRDefault="00294639" w:rsidP="00294639">
      <w:pPr>
        <w:pStyle w:val="a9"/>
        <w:spacing w:line="360" w:lineRule="auto"/>
        <w:ind w:left="0"/>
        <w:jc w:val="both"/>
        <w:rPr>
          <w:rFonts w:ascii="David" w:hAnsi="David"/>
          <w:rtl/>
        </w:rPr>
      </w:pPr>
    </w:p>
    <w:p w14:paraId="3C644D7B" w14:textId="77777777" w:rsidR="00294639" w:rsidRPr="00C549C1" w:rsidRDefault="00294639" w:rsidP="00294639">
      <w:pPr>
        <w:spacing w:line="360" w:lineRule="auto"/>
        <w:jc w:val="both"/>
        <w:rPr>
          <w:b/>
          <w:bCs/>
          <w:u w:val="single"/>
          <w:rtl/>
        </w:rPr>
      </w:pPr>
      <w:r w:rsidRPr="00C549C1">
        <w:rPr>
          <w:b/>
          <w:bCs/>
          <w:u w:val="single"/>
          <w:rtl/>
        </w:rPr>
        <w:t>קביעת עונשו של הנאשם</w:t>
      </w:r>
    </w:p>
    <w:p w14:paraId="6EFD3814" w14:textId="77777777" w:rsidR="00294639" w:rsidRDefault="00294639" w:rsidP="00294639">
      <w:pPr>
        <w:pStyle w:val="a9"/>
        <w:spacing w:line="360" w:lineRule="auto"/>
        <w:ind w:left="0"/>
        <w:jc w:val="both"/>
        <w:rPr>
          <w:rFonts w:ascii="David" w:hAnsi="David"/>
        </w:rPr>
      </w:pPr>
    </w:p>
    <w:p w14:paraId="035D53A7" w14:textId="77777777" w:rsidR="00294639" w:rsidRDefault="00294639" w:rsidP="00294639">
      <w:pPr>
        <w:pStyle w:val="a9"/>
        <w:numPr>
          <w:ilvl w:val="0"/>
          <w:numId w:val="1"/>
        </w:numPr>
        <w:spacing w:line="360" w:lineRule="auto"/>
        <w:jc w:val="both"/>
        <w:rPr>
          <w:rFonts w:ascii="David" w:hAnsi="David"/>
        </w:rPr>
      </w:pPr>
      <w:r>
        <w:rPr>
          <w:rFonts w:ascii="David" w:hAnsi="David" w:hint="cs"/>
          <w:color w:val="000000"/>
          <w:shd w:val="clear" w:color="auto" w:fill="FFFFFF"/>
          <w:rtl/>
        </w:rPr>
        <w:t xml:space="preserve">חרף חומרת מעשי הנאשם, מסכימה המאשימה שיש לחרוג ממתחם הענישה בשל סיכויי שיקום ולהטיל עליו צו מבחן על מנת שימשיך בהליך הטיפולי. המחלוקת בין הצדדים עניינה בשאלת מידת החריגה וליתר דיוק, האם מתחייב עונש מאסר בעבודות שירות כעתירת המאשימה, או שמא ניתן </w:t>
      </w:r>
      <w:r>
        <w:rPr>
          <w:rFonts w:ascii="David" w:hAnsi="David" w:hint="cs"/>
          <w:rtl/>
        </w:rPr>
        <w:t xml:space="preserve">לאמץ את המלצת שירות המבחן להסתפק בצו של"צ תחת עבודות שירות. </w:t>
      </w:r>
    </w:p>
    <w:p w14:paraId="2E5ECEDD" w14:textId="77777777" w:rsidR="00294639" w:rsidRDefault="00294639" w:rsidP="00294639">
      <w:pPr>
        <w:pStyle w:val="a9"/>
        <w:ind w:left="0"/>
        <w:jc w:val="both"/>
        <w:rPr>
          <w:rFonts w:ascii="David" w:hAnsi="David"/>
        </w:rPr>
      </w:pPr>
    </w:p>
    <w:p w14:paraId="0632B9AC" w14:textId="77777777" w:rsidR="00294639" w:rsidRPr="00023594" w:rsidRDefault="00294639" w:rsidP="00294639">
      <w:pPr>
        <w:pStyle w:val="a9"/>
        <w:numPr>
          <w:ilvl w:val="0"/>
          <w:numId w:val="1"/>
        </w:numPr>
        <w:spacing w:line="360" w:lineRule="auto"/>
        <w:jc w:val="both"/>
        <w:rPr>
          <w:rFonts w:ascii="David" w:hAnsi="David"/>
        </w:rPr>
      </w:pPr>
      <w:r w:rsidRPr="00023594">
        <w:rPr>
          <w:rFonts w:ascii="David" w:hAnsi="David" w:hint="cs"/>
          <w:color w:val="000000"/>
          <w:shd w:val="clear" w:color="auto" w:fill="FFFFFF"/>
          <w:rtl/>
        </w:rPr>
        <w:t xml:space="preserve">אקדים ואומר כי עמדת הצדדים ושירות המבחן, לפיה ראוי במקרה זה להעדיף את הפן השיקומי מקובלת עלי. </w:t>
      </w:r>
      <w:r>
        <w:rPr>
          <w:rtl/>
        </w:rPr>
        <w:t>בעניין זה נקבע כי</w:t>
      </w:r>
      <w:r>
        <w:rPr>
          <w:rFonts w:hint="cs"/>
          <w:rtl/>
        </w:rPr>
        <w:t xml:space="preserve"> לצורך קביעת סיכויי שיקום יש להביא בחשבון את "</w:t>
      </w:r>
      <w:r w:rsidRPr="00023594">
        <w:rPr>
          <w:rFonts w:cs="Miriam"/>
          <w:rtl/>
        </w:rPr>
        <w:t xml:space="preserve">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מבלי לקבוע מסמרות, ניתן לציין ששילוב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 להצביע על "סיכוי של ממש לשיקום" כלשונו של סעיף 40ד(א)" </w:t>
      </w:r>
      <w:r>
        <w:rPr>
          <w:rtl/>
        </w:rPr>
        <w:t>(</w:t>
      </w:r>
      <w:hyperlink r:id="rId35" w:history="1">
        <w:r w:rsidR="005567C6" w:rsidRPr="005567C6">
          <w:rPr>
            <w:color w:val="0000FF"/>
            <w:u w:val="single"/>
            <w:rtl/>
          </w:rPr>
          <w:t>ע"פ 6637/17</w:t>
        </w:r>
      </w:hyperlink>
      <w:r>
        <w:rPr>
          <w:rtl/>
        </w:rPr>
        <w:t xml:space="preserve"> </w:t>
      </w:r>
      <w:r w:rsidRPr="00023594">
        <w:rPr>
          <w:b/>
          <w:bCs/>
          <w:rtl/>
        </w:rPr>
        <w:t>אליזבת קרנדל נ' מדינת ישראל</w:t>
      </w:r>
      <w:r>
        <w:rPr>
          <w:rtl/>
        </w:rPr>
        <w:t xml:space="preserve"> (18.4.</w:t>
      </w:r>
      <w:r>
        <w:rPr>
          <w:rFonts w:hint="cs"/>
          <w:rtl/>
        </w:rPr>
        <w:t>20</w:t>
      </w:r>
      <w:r>
        <w:rPr>
          <w:rtl/>
        </w:rPr>
        <w:t>18), פסקאות 23-25 לפסק דינה של השופטת ברק-ארז</w:t>
      </w:r>
      <w:r>
        <w:rPr>
          <w:rFonts w:hint="cs"/>
          <w:rtl/>
        </w:rPr>
        <w:t xml:space="preserve">; וראו גם </w:t>
      </w:r>
      <w:hyperlink r:id="rId36" w:history="1">
        <w:r w:rsidR="005567C6" w:rsidRPr="005567C6">
          <w:rPr>
            <w:color w:val="0000FF"/>
            <w:u w:val="single"/>
            <w:rtl/>
          </w:rPr>
          <w:t>רע"פ 7683/13</w:t>
        </w:r>
      </w:hyperlink>
      <w:r>
        <w:rPr>
          <w:rtl/>
        </w:rPr>
        <w:t xml:space="preserve"> </w:t>
      </w:r>
      <w:r w:rsidRPr="00023594">
        <w:rPr>
          <w:b/>
          <w:bCs/>
          <w:rtl/>
        </w:rPr>
        <w:t>דוד פרלמן נ' מדינת ישראל</w:t>
      </w:r>
      <w:r>
        <w:rPr>
          <w:rtl/>
        </w:rPr>
        <w:t xml:space="preserve"> (23.2.2014)). </w:t>
      </w:r>
      <w:r w:rsidRPr="00023594">
        <w:rPr>
          <w:rFonts w:ascii="David" w:hAnsi="David" w:hint="cs"/>
          <w:rtl/>
        </w:rPr>
        <w:t xml:space="preserve">הנאשם כבן 38 ועברו הפלילי נקי (הערה: המאשימה לא הגישה את גיליון הרישום הפלילי של הנאשם וטענה שהיא רואה בו כנעדר עבר פלילי הגם שלחובתו הרשעות שהתיישנו ולא נמחקו, וכך אנהג אף אני). </w:t>
      </w:r>
      <w:r>
        <w:rPr>
          <w:rtl/>
        </w:rPr>
        <w:t xml:space="preserve">שירות המבחן התרשם כי </w:t>
      </w:r>
      <w:r>
        <w:rPr>
          <w:rFonts w:hint="cs"/>
          <w:rtl/>
        </w:rPr>
        <w:t>הוא</w:t>
      </w:r>
      <w:r>
        <w:rPr>
          <w:rtl/>
        </w:rPr>
        <w:t xml:space="preserve"> מקבל אחריות מלאה למעשיו </w:t>
      </w:r>
      <w:r>
        <w:rPr>
          <w:rFonts w:hint="cs"/>
          <w:rtl/>
        </w:rPr>
        <w:t xml:space="preserve">והוא עבר הליך טיפולי משמעותי. הנאשם שומר על ניקיון מסמים </w:t>
      </w:r>
      <w:r w:rsidRPr="00023594">
        <w:rPr>
          <w:rFonts w:ascii="David" w:hAnsi="David" w:hint="cs"/>
          <w:rtl/>
        </w:rPr>
        <w:t xml:space="preserve">ועם הזמן הוקלו תנאי השחרור והוא השתלב בתעסוקה. לכך יש להוסיף את חלוף הזמן מאז ביצוע העבירות (קרוב לשנתיים) וכי מאז לא נפתחו נגדו תיקים נוספים. כל אלו מלמדים היטב על סיכויי שיקום המצדיקים חריגה ממתחם הענישה. </w:t>
      </w:r>
    </w:p>
    <w:p w14:paraId="6309B69A" w14:textId="77777777" w:rsidR="00294639" w:rsidRPr="000348A0" w:rsidRDefault="00294639" w:rsidP="00294639">
      <w:pPr>
        <w:pStyle w:val="a9"/>
        <w:rPr>
          <w:rFonts w:ascii="David" w:hAnsi="David"/>
          <w:rtl/>
        </w:rPr>
      </w:pPr>
    </w:p>
    <w:p w14:paraId="06AF17DA" w14:textId="77777777" w:rsidR="00294639" w:rsidRPr="000348A0" w:rsidRDefault="00294639" w:rsidP="00294639">
      <w:pPr>
        <w:pStyle w:val="a9"/>
        <w:numPr>
          <w:ilvl w:val="0"/>
          <w:numId w:val="1"/>
        </w:numPr>
        <w:spacing w:line="360" w:lineRule="auto"/>
        <w:jc w:val="both"/>
      </w:pPr>
      <w:r w:rsidRPr="000348A0">
        <w:rPr>
          <w:rFonts w:ascii="David" w:hAnsi="David" w:hint="cs"/>
          <w:rtl/>
        </w:rPr>
        <w:t>וכעת לשאלה שבמחלוקת. כאמור, שירות המבחן המליץ להימנע מהטלת מאסר ולו בעבודות שירות במטרה להימנע מפגיעה בסיכויי שיקומו של הנאשם. בעניין זה צוין כי "</w:t>
      </w:r>
      <w:r w:rsidRPr="000348A0">
        <w:rPr>
          <w:rFonts w:ascii="David" w:hAnsi="David" w:cs="Miriam" w:hint="cs"/>
          <w:rtl/>
        </w:rPr>
        <w:t>ענישה קונקרטית בדרך של מאסר בפועל או לחילופין בעבודות שירות עלול להוביל לרגרסיה בתפקודו ובמצבו הרגשי ולפגוע בהישגים הטיפוליים עד כה ובכך להעלות את רמת הסיכון להישנות עבירות דומות בעתיד</w:t>
      </w:r>
      <w:r w:rsidRPr="000348A0">
        <w:rPr>
          <w:rFonts w:ascii="David" w:hAnsi="David" w:hint="cs"/>
          <w:rtl/>
        </w:rPr>
        <w:t xml:space="preserve">". </w:t>
      </w:r>
      <w:r>
        <w:rPr>
          <w:rtl/>
        </w:rPr>
        <w:t>כידוע, שירות המבחן הוא הגוף המקצועי האמון על שיקום נאשמים ועל הערכת הסיכויים לכך וקצין המבחן משמש כזרועו הארוכה של בית המשפט לעניין זה. אכן, בית המשפט אינו חייב לאמץ את המלצת שירות המבחן, אך ברי כי להמלצתו משקל של ממש בבואו של בית המשפט לגזור את דינו של נאשם (</w:t>
      </w:r>
      <w:hyperlink r:id="rId37" w:history="1">
        <w:r w:rsidR="005567C6" w:rsidRPr="005567C6">
          <w:rPr>
            <w:color w:val="0000FF"/>
            <w:u w:val="single"/>
            <w:rtl/>
          </w:rPr>
          <w:t>ע"פ 3472/11</w:t>
        </w:r>
      </w:hyperlink>
      <w:r>
        <w:rPr>
          <w:rtl/>
        </w:rPr>
        <w:t xml:space="preserve"> </w:t>
      </w:r>
      <w:r w:rsidRPr="000348A0">
        <w:rPr>
          <w:b/>
          <w:bCs/>
          <w:rtl/>
        </w:rPr>
        <w:t>פלוני נ' מדינת ישראל</w:t>
      </w:r>
      <w:r>
        <w:rPr>
          <w:rtl/>
        </w:rPr>
        <w:t xml:space="preserve"> (3.9.</w:t>
      </w:r>
      <w:r>
        <w:rPr>
          <w:rFonts w:hint="cs"/>
          <w:rtl/>
        </w:rPr>
        <w:t>2012</w:t>
      </w:r>
      <w:r>
        <w:rPr>
          <w:rtl/>
        </w:rPr>
        <w:t>)).</w:t>
      </w:r>
      <w:r w:rsidRPr="000348A0">
        <w:rPr>
          <w:rFonts w:ascii="David" w:hAnsi="David" w:hint="cs"/>
          <w:rtl/>
        </w:rPr>
        <w:t xml:space="preserve"> </w:t>
      </w:r>
    </w:p>
    <w:p w14:paraId="0632BAE0" w14:textId="77777777" w:rsidR="00294639" w:rsidRDefault="00294639" w:rsidP="00294639">
      <w:pPr>
        <w:pStyle w:val="a9"/>
        <w:rPr>
          <w:rtl/>
        </w:rPr>
      </w:pPr>
    </w:p>
    <w:p w14:paraId="6337CB16" w14:textId="77777777" w:rsidR="00294639" w:rsidRDefault="00294639" w:rsidP="00294639">
      <w:pPr>
        <w:pStyle w:val="a9"/>
        <w:numPr>
          <w:ilvl w:val="0"/>
          <w:numId w:val="1"/>
        </w:numPr>
        <w:spacing w:line="360" w:lineRule="auto"/>
        <w:jc w:val="both"/>
      </w:pPr>
      <w:r>
        <w:rPr>
          <w:rFonts w:hint="cs"/>
          <w:rtl/>
        </w:rPr>
        <w:t xml:space="preserve">נקודת המוצא היא שהעבירות שעבר הנאשם חמורות וכלל ראויות לתגובה עונשית מחמירה. משכך, אף בהינתן סיכויי שיקום, אין לזנוח את יתר שיקולי הענישה ובכלל זה ההלימה (רע"פ 750/21 </w:t>
      </w:r>
      <w:r w:rsidRPr="0083311A">
        <w:rPr>
          <w:rFonts w:hint="cs"/>
          <w:b/>
          <w:bCs/>
          <w:rtl/>
        </w:rPr>
        <w:t>מנשירוב נ' מדינת ישראל</w:t>
      </w:r>
      <w:r>
        <w:rPr>
          <w:rFonts w:hint="cs"/>
          <w:rtl/>
        </w:rPr>
        <w:t xml:space="preserve"> (28.10.2021); ע"פ 126/21 </w:t>
      </w:r>
      <w:r w:rsidRPr="00B2427F">
        <w:rPr>
          <w:rFonts w:hint="cs"/>
          <w:b/>
          <w:bCs/>
          <w:rtl/>
        </w:rPr>
        <w:t>מדינת ישראל נ' פלוני</w:t>
      </w:r>
      <w:r>
        <w:rPr>
          <w:rFonts w:hint="cs"/>
          <w:rtl/>
        </w:rPr>
        <w:t xml:space="preserve"> (27.4.2022)). ואולם, בצד דברים אלו יש להקפיד שהענישה המוטלת לא תפגע בסיכויי השיקום אלא תאפשר לנאשם לקיימה בצד שמירה על ההליך הטיפולי. בעניין אחרון זה ראיתי להעיר כי לאחרונה ציין בית המשפט העליון כי </w:t>
      </w:r>
      <w:r w:rsidRPr="00B2427F">
        <w:rPr>
          <w:rFonts w:ascii="Miriam" w:hAnsi="Miriam" w:cs="Miriam"/>
          <w:rtl/>
        </w:rPr>
        <w:t>"מסופקני, אם תהליך שיקום ש</w:t>
      </w:r>
      <w:r w:rsidRPr="00B2427F">
        <w:rPr>
          <w:rFonts w:ascii="Miriam" w:hAnsi="Miriam" w:cs="Miriam"/>
          <w:b/>
          <w:sz w:val="22"/>
          <w:rtl/>
        </w:rPr>
        <w:t>יתמוטט</w:t>
      </w:r>
      <w:r w:rsidRPr="00B2427F">
        <w:rPr>
          <w:rFonts w:ascii="Miriam" w:hAnsi="Miriam" w:cs="Miriam"/>
          <w:sz w:val="22"/>
          <w:rtl/>
        </w:rPr>
        <w:t xml:space="preserve"> בקלות, בעקבות עונש מאסר לתקופה קצרה, הוא כזה שראוי ליתן לו משקל ממשי בקביעת העונש" </w:t>
      </w:r>
      <w:r>
        <w:rPr>
          <w:rFonts w:ascii="Century" w:hAnsi="Century" w:hint="cs"/>
          <w:sz w:val="22"/>
          <w:rtl/>
        </w:rPr>
        <w:t>(</w:t>
      </w:r>
      <w:hyperlink r:id="rId38" w:history="1">
        <w:r w:rsidR="005567C6" w:rsidRPr="005567C6">
          <w:rPr>
            <w:rFonts w:ascii="Century" w:hAnsi="Century" w:hint="eastAsia"/>
            <w:color w:val="0000FF"/>
            <w:sz w:val="22"/>
            <w:u w:val="single"/>
            <w:rtl/>
          </w:rPr>
          <w:t>ע</w:t>
        </w:r>
        <w:r w:rsidR="005567C6" w:rsidRPr="005567C6">
          <w:rPr>
            <w:rFonts w:ascii="Century" w:hAnsi="Century"/>
            <w:color w:val="0000FF"/>
            <w:sz w:val="22"/>
            <w:u w:val="single"/>
            <w:rtl/>
          </w:rPr>
          <w:t>"</w:t>
        </w:r>
        <w:r w:rsidR="005567C6" w:rsidRPr="005567C6">
          <w:rPr>
            <w:rFonts w:ascii="Century" w:hAnsi="Century" w:hint="eastAsia"/>
            <w:color w:val="0000FF"/>
            <w:sz w:val="22"/>
            <w:u w:val="single"/>
            <w:rtl/>
          </w:rPr>
          <w:t>פ</w:t>
        </w:r>
        <w:r w:rsidR="005567C6" w:rsidRPr="005567C6">
          <w:rPr>
            <w:rFonts w:ascii="Century" w:hAnsi="Century"/>
            <w:color w:val="0000FF"/>
            <w:sz w:val="22"/>
            <w:u w:val="single"/>
            <w:rtl/>
          </w:rPr>
          <w:t xml:space="preserve"> 2421/21</w:t>
        </w:r>
      </w:hyperlink>
      <w:r>
        <w:rPr>
          <w:rFonts w:ascii="Century" w:hAnsi="Century" w:hint="cs"/>
          <w:b/>
          <w:bCs/>
          <w:sz w:val="22"/>
          <w:rtl/>
        </w:rPr>
        <w:t xml:space="preserve"> </w:t>
      </w:r>
      <w:r w:rsidRPr="00B2427F">
        <w:rPr>
          <w:rFonts w:ascii="Century" w:hAnsi="Century" w:hint="cs"/>
          <w:b/>
          <w:bCs/>
          <w:sz w:val="22"/>
          <w:rtl/>
        </w:rPr>
        <w:t>ברמי נ' מדינת ישראל</w:t>
      </w:r>
      <w:r>
        <w:rPr>
          <w:rFonts w:ascii="Century" w:hAnsi="Century" w:hint="cs"/>
          <w:sz w:val="22"/>
          <w:rtl/>
        </w:rPr>
        <w:t xml:space="preserve"> (7.7.2022)).</w:t>
      </w:r>
      <w:r>
        <w:rPr>
          <w:rFonts w:hint="cs"/>
          <w:rtl/>
        </w:rPr>
        <w:t xml:space="preserve"> קל וחומר עונש בעבודות שירות. ניתן אפוא לראות כי קביעת העונש, בצד סיכויי שיקום, היא עניין מורכב הנגזר מנסיבותיו המיוחדות של כל מקרה ומקרה. </w:t>
      </w:r>
    </w:p>
    <w:p w14:paraId="6E76EF2B" w14:textId="77777777" w:rsidR="00294639" w:rsidRDefault="00294639" w:rsidP="00294639">
      <w:pPr>
        <w:pStyle w:val="a9"/>
        <w:rPr>
          <w:rtl/>
        </w:rPr>
      </w:pPr>
    </w:p>
    <w:p w14:paraId="63C23F34" w14:textId="77777777" w:rsidR="00294639" w:rsidRPr="000348A0" w:rsidRDefault="00294639" w:rsidP="00294639">
      <w:pPr>
        <w:pStyle w:val="a9"/>
        <w:numPr>
          <w:ilvl w:val="0"/>
          <w:numId w:val="1"/>
        </w:numPr>
        <w:spacing w:line="360" w:lineRule="auto"/>
        <w:jc w:val="both"/>
      </w:pPr>
      <w:r>
        <w:rPr>
          <w:rFonts w:hint="cs"/>
          <w:rtl/>
        </w:rPr>
        <w:t xml:space="preserve">לאחר ששקלתי את טיעוני הצדדים בעניין סברתי כי ניתן להקל על הנאשם ולהימנע מהטלת עונש מאסר בעבודות שירות ולהסתפק תחת זאת בצו של"צ כהמלצת שירות המבחן. כפי שצוין לעיל, מדובר בנאשם שהחל לאחרונה לעבוד לאחר תקופה ארוכה בה שהה בתנאים מגבילים. ראוי לעודדו להמשיך בדרך זו, אשר תסייע לשיקומו. לכך יש להוסיף כי הנאשם היה עצור במעצר ממש כחודש וחצי ובהמשך שהה תשעה חודשים במעצר באיזוק אלקטרוני. מדובר בהגבלות קשות וארוכות אשר יש להביא בחשבון לצורך קביעת העונש הכולל. בהביאי בחשבון את מכלול השיקולים בנושא, היינו ההכבדה שתגרם לנאשם באם ייאלץ לבצע עונש בעבודות שירות והאפשרות שייפלט בשל כך משוק העבודה, בצד מידת שיקומו, העבר הנקי, תקופת המעצר וההגבלות, סברתי כי ניתן לאמץ את המלצת שירות המבחן במלואה ולהימנע מהטלת עונש מאסר בעבודת שירות (ראו בהשוואה: </w:t>
      </w:r>
      <w:hyperlink r:id="rId39" w:history="1">
        <w:r w:rsidR="005567C6" w:rsidRPr="005567C6">
          <w:rPr>
            <w:rFonts w:ascii="David" w:hAnsi="David"/>
            <w:color w:val="0000FF"/>
            <w:u w:val="single"/>
            <w:rtl/>
          </w:rPr>
          <w:t>עפ"ג 26985-08-19</w:t>
        </w:r>
      </w:hyperlink>
      <w:r w:rsidRPr="00106336">
        <w:rPr>
          <w:rFonts w:ascii="David" w:hAnsi="David"/>
          <w:rtl/>
        </w:rPr>
        <w:t xml:space="preserve"> </w:t>
      </w:r>
      <w:r w:rsidRPr="00106336">
        <w:rPr>
          <w:rFonts w:ascii="David" w:hAnsi="David"/>
          <w:b/>
          <w:bCs/>
          <w:rtl/>
        </w:rPr>
        <w:t>ארטיום שטנפר</w:t>
      </w:r>
      <w:r w:rsidRPr="00106336">
        <w:rPr>
          <w:rFonts w:ascii="David" w:hAnsi="David" w:hint="cs"/>
          <w:b/>
          <w:bCs/>
          <w:rtl/>
        </w:rPr>
        <w:t xml:space="preserve"> </w:t>
      </w:r>
      <w:r w:rsidRPr="00106336">
        <w:rPr>
          <w:rFonts w:ascii="David" w:hAnsi="David"/>
          <w:b/>
          <w:bCs/>
          <w:rtl/>
        </w:rPr>
        <w:t>נ' מדינת ישראל</w:t>
      </w:r>
      <w:r>
        <w:rPr>
          <w:rFonts w:ascii="David" w:hAnsi="David" w:hint="cs"/>
          <w:rtl/>
        </w:rPr>
        <w:t xml:space="preserve"> (21.11.2019))</w:t>
      </w:r>
      <w:r>
        <w:rPr>
          <w:rFonts w:hint="cs"/>
          <w:rtl/>
        </w:rPr>
        <w:t>. אציין כי צו השל"צ המוצע ארוך יחסית וכך גם תקופת המבחן.</w:t>
      </w:r>
    </w:p>
    <w:p w14:paraId="2DFF8E06" w14:textId="77777777" w:rsidR="00294639" w:rsidRPr="00714024" w:rsidRDefault="00294639" w:rsidP="00294639">
      <w:pPr>
        <w:pStyle w:val="a9"/>
        <w:ind w:left="0"/>
        <w:jc w:val="both"/>
        <w:rPr>
          <w:rFonts w:ascii="David" w:hAnsi="David"/>
        </w:rPr>
      </w:pPr>
    </w:p>
    <w:p w14:paraId="3FF857BE" w14:textId="77777777" w:rsidR="00294639" w:rsidRDefault="00294639" w:rsidP="00294639">
      <w:pPr>
        <w:pStyle w:val="a9"/>
        <w:numPr>
          <w:ilvl w:val="0"/>
          <w:numId w:val="1"/>
        </w:numPr>
        <w:spacing w:before="120" w:after="120" w:line="360" w:lineRule="auto"/>
        <w:jc w:val="both"/>
      </w:pPr>
      <w:r w:rsidRPr="008A1818">
        <w:rPr>
          <w:rtl/>
        </w:rPr>
        <w:t>סיכומו של דבר, לאחר שבחנתי את מכלול השיקולים, הן לקולה והן לחומרה, אני מטיל על הנאשם את העונשים הבאים:</w:t>
      </w:r>
    </w:p>
    <w:p w14:paraId="354AEC84" w14:textId="77777777" w:rsidR="00294639" w:rsidRPr="00BC6034" w:rsidRDefault="00294639" w:rsidP="00294639">
      <w:pPr>
        <w:pStyle w:val="a9"/>
        <w:spacing w:before="120" w:after="120"/>
        <w:ind w:left="0"/>
        <w:jc w:val="both"/>
        <w:rPr>
          <w:rtl/>
        </w:rPr>
      </w:pPr>
    </w:p>
    <w:p w14:paraId="16604B4A" w14:textId="77777777" w:rsidR="00294639" w:rsidRDefault="00294639" w:rsidP="00294639">
      <w:pPr>
        <w:pStyle w:val="a9"/>
        <w:numPr>
          <w:ilvl w:val="0"/>
          <w:numId w:val="3"/>
        </w:numPr>
        <w:spacing w:line="360" w:lineRule="auto"/>
        <w:jc w:val="both"/>
        <w:rPr>
          <w:rFonts w:ascii="Calibri" w:hAnsi="Calibri"/>
          <w:b/>
          <w:bCs/>
        </w:rPr>
      </w:pPr>
      <w:r w:rsidRPr="00556B7B">
        <w:rPr>
          <w:rFonts w:ascii="Calibri" w:hAnsi="Calibri" w:hint="eastAsia"/>
          <w:rtl/>
        </w:rPr>
        <w:t>אני</w:t>
      </w:r>
      <w:r w:rsidRPr="00556B7B">
        <w:rPr>
          <w:rFonts w:ascii="Calibri" w:hAnsi="Calibri"/>
          <w:rtl/>
        </w:rPr>
        <w:t xml:space="preserve"> </w:t>
      </w:r>
      <w:r w:rsidRPr="00556B7B">
        <w:rPr>
          <w:rFonts w:ascii="Calibri" w:hAnsi="Calibri" w:hint="eastAsia"/>
          <w:rtl/>
        </w:rPr>
        <w:t>מעמיד</w:t>
      </w:r>
      <w:r w:rsidRPr="00556B7B">
        <w:rPr>
          <w:rFonts w:ascii="Calibri" w:hAnsi="Calibri"/>
          <w:rtl/>
        </w:rPr>
        <w:t xml:space="preserve"> </w:t>
      </w:r>
      <w:r w:rsidRPr="00556B7B">
        <w:rPr>
          <w:rFonts w:ascii="Calibri" w:hAnsi="Calibri" w:hint="eastAsia"/>
          <w:rtl/>
        </w:rPr>
        <w:t>את</w:t>
      </w:r>
      <w:r w:rsidRPr="00556B7B">
        <w:rPr>
          <w:rFonts w:ascii="Calibri" w:hAnsi="Calibri"/>
          <w:rtl/>
        </w:rPr>
        <w:t xml:space="preserve"> </w:t>
      </w:r>
      <w:r w:rsidRPr="00556B7B">
        <w:rPr>
          <w:rFonts w:ascii="Calibri" w:hAnsi="Calibri" w:hint="eastAsia"/>
          <w:rtl/>
        </w:rPr>
        <w:t>הנאשם</w:t>
      </w:r>
      <w:r w:rsidRPr="00556B7B">
        <w:rPr>
          <w:rFonts w:ascii="Calibri" w:hAnsi="Calibri"/>
          <w:rtl/>
        </w:rPr>
        <w:t xml:space="preserve"> </w:t>
      </w:r>
      <w:r w:rsidRPr="00556B7B">
        <w:rPr>
          <w:rFonts w:ascii="Calibri" w:hAnsi="Calibri" w:hint="eastAsia"/>
          <w:rtl/>
        </w:rPr>
        <w:t>בפיקוח</w:t>
      </w:r>
      <w:r w:rsidRPr="00556B7B">
        <w:rPr>
          <w:rFonts w:ascii="Calibri" w:hAnsi="Calibri"/>
          <w:rtl/>
        </w:rPr>
        <w:t xml:space="preserve"> </w:t>
      </w:r>
      <w:r w:rsidRPr="00556B7B">
        <w:rPr>
          <w:rFonts w:ascii="Calibri" w:hAnsi="Calibri" w:hint="eastAsia"/>
          <w:rtl/>
        </w:rPr>
        <w:t>שירות</w:t>
      </w:r>
      <w:r w:rsidRPr="00556B7B">
        <w:rPr>
          <w:rFonts w:ascii="Calibri" w:hAnsi="Calibri"/>
          <w:rtl/>
        </w:rPr>
        <w:t xml:space="preserve"> </w:t>
      </w:r>
      <w:r w:rsidRPr="00556B7B">
        <w:rPr>
          <w:rFonts w:ascii="Calibri" w:hAnsi="Calibri" w:hint="eastAsia"/>
          <w:rtl/>
        </w:rPr>
        <w:t>המבחן</w:t>
      </w:r>
      <w:r w:rsidRPr="00556B7B">
        <w:rPr>
          <w:rFonts w:ascii="Calibri" w:hAnsi="Calibri"/>
          <w:rtl/>
        </w:rPr>
        <w:t xml:space="preserve"> </w:t>
      </w:r>
      <w:r w:rsidRPr="00556B7B">
        <w:rPr>
          <w:rFonts w:ascii="Calibri" w:hAnsi="Calibri" w:hint="eastAsia"/>
          <w:rtl/>
        </w:rPr>
        <w:t>למשך</w:t>
      </w:r>
      <w:r w:rsidRPr="00556B7B">
        <w:rPr>
          <w:rFonts w:ascii="Calibri" w:hAnsi="Calibri"/>
          <w:rtl/>
        </w:rPr>
        <w:t xml:space="preserve"> </w:t>
      </w:r>
      <w:r>
        <w:rPr>
          <w:rFonts w:ascii="Calibri" w:hAnsi="Calibri" w:hint="cs"/>
          <w:rtl/>
        </w:rPr>
        <w:t>18</w:t>
      </w:r>
      <w:r w:rsidRPr="00556B7B">
        <w:rPr>
          <w:rFonts w:ascii="Calibri" w:hAnsi="Calibri"/>
          <w:rtl/>
        </w:rPr>
        <w:t xml:space="preserve"> </w:t>
      </w:r>
      <w:r w:rsidRPr="00556B7B">
        <w:rPr>
          <w:rFonts w:ascii="Calibri" w:hAnsi="Calibri" w:hint="eastAsia"/>
          <w:rtl/>
        </w:rPr>
        <w:t>חודשים</w:t>
      </w:r>
      <w:r w:rsidRPr="00556B7B">
        <w:rPr>
          <w:rFonts w:ascii="Calibri" w:hAnsi="Calibri"/>
          <w:rtl/>
        </w:rPr>
        <w:t>.</w:t>
      </w:r>
      <w:r w:rsidRPr="0050377E">
        <w:rPr>
          <w:rFonts w:ascii="Calibri" w:hAnsi="Calibri"/>
          <w:rtl/>
        </w:rPr>
        <w:t xml:space="preserve"> </w:t>
      </w:r>
      <w:r w:rsidRPr="008C7A62">
        <w:rPr>
          <w:rFonts w:ascii="Calibri" w:hAnsi="Calibri" w:hint="eastAsia"/>
          <w:b/>
          <w:bCs/>
          <w:rtl/>
        </w:rPr>
        <w:t>הוסבר</w:t>
      </w:r>
      <w:r w:rsidRPr="008C7A62">
        <w:rPr>
          <w:rFonts w:ascii="Calibri" w:hAnsi="Calibri"/>
          <w:b/>
          <w:bCs/>
          <w:rtl/>
        </w:rPr>
        <w:t xml:space="preserve"> </w:t>
      </w:r>
      <w:r w:rsidRPr="008C7A62">
        <w:rPr>
          <w:rFonts w:ascii="Calibri" w:hAnsi="Calibri" w:hint="eastAsia"/>
          <w:b/>
          <w:bCs/>
          <w:rtl/>
        </w:rPr>
        <w:t>לנאשם</w:t>
      </w:r>
      <w:r w:rsidRPr="008C7A62">
        <w:rPr>
          <w:rFonts w:ascii="Calibri" w:hAnsi="Calibri"/>
          <w:b/>
          <w:bCs/>
          <w:rtl/>
        </w:rPr>
        <w:t xml:space="preserve"> </w:t>
      </w:r>
      <w:r w:rsidRPr="008C7A62">
        <w:rPr>
          <w:rFonts w:ascii="Calibri" w:hAnsi="Calibri" w:hint="eastAsia"/>
          <w:b/>
          <w:bCs/>
          <w:rtl/>
        </w:rPr>
        <w:t>שעליו</w:t>
      </w:r>
      <w:r w:rsidRPr="008C7A62">
        <w:rPr>
          <w:rFonts w:ascii="Calibri" w:hAnsi="Calibri"/>
          <w:b/>
          <w:bCs/>
          <w:rtl/>
        </w:rPr>
        <w:t xml:space="preserve"> </w:t>
      </w:r>
      <w:r w:rsidRPr="008C7A62">
        <w:rPr>
          <w:rFonts w:ascii="Calibri" w:hAnsi="Calibri" w:hint="eastAsia"/>
          <w:b/>
          <w:bCs/>
          <w:rtl/>
        </w:rPr>
        <w:t>לקיים</w:t>
      </w:r>
      <w:r w:rsidRPr="008C7A62">
        <w:rPr>
          <w:rFonts w:ascii="Calibri" w:hAnsi="Calibri"/>
          <w:b/>
          <w:bCs/>
          <w:rtl/>
        </w:rPr>
        <w:t xml:space="preserve"> </w:t>
      </w:r>
      <w:r w:rsidRPr="008C7A62">
        <w:rPr>
          <w:rFonts w:ascii="Calibri" w:hAnsi="Calibri" w:hint="eastAsia"/>
          <w:b/>
          <w:bCs/>
          <w:rtl/>
        </w:rPr>
        <w:t>את</w:t>
      </w:r>
      <w:r w:rsidRPr="008C7A62">
        <w:rPr>
          <w:rFonts w:ascii="Calibri" w:hAnsi="Calibri"/>
          <w:b/>
          <w:bCs/>
          <w:rtl/>
        </w:rPr>
        <w:t xml:space="preserve"> </w:t>
      </w:r>
      <w:r w:rsidRPr="008C7A62">
        <w:rPr>
          <w:rFonts w:ascii="Calibri" w:hAnsi="Calibri" w:hint="eastAsia"/>
          <w:b/>
          <w:bCs/>
          <w:rtl/>
        </w:rPr>
        <w:t>הוראות</w:t>
      </w:r>
      <w:r w:rsidRPr="008C7A62">
        <w:rPr>
          <w:rFonts w:ascii="Calibri" w:hAnsi="Calibri"/>
          <w:b/>
          <w:bCs/>
          <w:rtl/>
        </w:rPr>
        <w:t xml:space="preserve"> </w:t>
      </w:r>
      <w:r w:rsidRPr="008C7A62">
        <w:rPr>
          <w:rFonts w:ascii="Calibri" w:hAnsi="Calibri" w:hint="eastAsia"/>
          <w:b/>
          <w:bCs/>
          <w:rtl/>
        </w:rPr>
        <w:t>שירות</w:t>
      </w:r>
      <w:r w:rsidRPr="008C7A62">
        <w:rPr>
          <w:rFonts w:ascii="Calibri" w:hAnsi="Calibri"/>
          <w:b/>
          <w:bCs/>
          <w:rtl/>
        </w:rPr>
        <w:t xml:space="preserve"> </w:t>
      </w:r>
      <w:r w:rsidRPr="008C7A62">
        <w:rPr>
          <w:rFonts w:ascii="Calibri" w:hAnsi="Calibri" w:hint="eastAsia"/>
          <w:b/>
          <w:bCs/>
          <w:rtl/>
        </w:rPr>
        <w:t>המבחן</w:t>
      </w:r>
      <w:r w:rsidRPr="008C7A62">
        <w:rPr>
          <w:rFonts w:ascii="Calibri" w:hAnsi="Calibri"/>
          <w:b/>
          <w:bCs/>
          <w:rtl/>
        </w:rPr>
        <w:t xml:space="preserve"> </w:t>
      </w:r>
      <w:r w:rsidRPr="008C7A62">
        <w:rPr>
          <w:rFonts w:ascii="Calibri" w:hAnsi="Calibri" w:hint="eastAsia"/>
          <w:b/>
          <w:bCs/>
          <w:rtl/>
        </w:rPr>
        <w:t>וכי</w:t>
      </w:r>
      <w:r w:rsidRPr="008C7A62">
        <w:rPr>
          <w:rFonts w:ascii="Calibri" w:hAnsi="Calibri"/>
          <w:b/>
          <w:bCs/>
          <w:rtl/>
        </w:rPr>
        <w:t xml:space="preserve"> </w:t>
      </w:r>
      <w:r w:rsidRPr="008C7A62">
        <w:rPr>
          <w:rFonts w:ascii="Calibri" w:hAnsi="Calibri" w:hint="eastAsia"/>
          <w:b/>
          <w:bCs/>
          <w:rtl/>
        </w:rPr>
        <w:t>הפרה</w:t>
      </w:r>
      <w:r w:rsidRPr="008C7A62">
        <w:rPr>
          <w:rFonts w:ascii="Calibri" w:hAnsi="Calibri"/>
          <w:b/>
          <w:bCs/>
          <w:rtl/>
        </w:rPr>
        <w:t xml:space="preserve"> </w:t>
      </w:r>
      <w:r w:rsidRPr="008C7A62">
        <w:rPr>
          <w:rFonts w:ascii="Calibri" w:hAnsi="Calibri" w:hint="eastAsia"/>
          <w:b/>
          <w:bCs/>
          <w:rtl/>
        </w:rPr>
        <w:t>של</w:t>
      </w:r>
      <w:r w:rsidRPr="008C7A62">
        <w:rPr>
          <w:rFonts w:ascii="Calibri" w:hAnsi="Calibri"/>
          <w:b/>
          <w:bCs/>
          <w:rtl/>
        </w:rPr>
        <w:t xml:space="preserve"> </w:t>
      </w:r>
      <w:r w:rsidRPr="008C7A62">
        <w:rPr>
          <w:rFonts w:ascii="Calibri" w:hAnsi="Calibri" w:hint="eastAsia"/>
          <w:b/>
          <w:bCs/>
          <w:rtl/>
        </w:rPr>
        <w:t>צו</w:t>
      </w:r>
      <w:r w:rsidRPr="008C7A62">
        <w:rPr>
          <w:rFonts w:ascii="Calibri" w:hAnsi="Calibri"/>
          <w:b/>
          <w:bCs/>
          <w:rtl/>
        </w:rPr>
        <w:t xml:space="preserve"> </w:t>
      </w:r>
      <w:r w:rsidRPr="008C7A62">
        <w:rPr>
          <w:rFonts w:ascii="Calibri" w:hAnsi="Calibri" w:hint="eastAsia"/>
          <w:b/>
          <w:bCs/>
          <w:rtl/>
        </w:rPr>
        <w:t>הפיקוח</w:t>
      </w:r>
      <w:r w:rsidRPr="008C7A62">
        <w:rPr>
          <w:rFonts w:ascii="Calibri" w:hAnsi="Calibri"/>
          <w:b/>
          <w:bCs/>
          <w:rtl/>
        </w:rPr>
        <w:t xml:space="preserve"> </w:t>
      </w:r>
      <w:r w:rsidRPr="008C7A62">
        <w:rPr>
          <w:rFonts w:ascii="Calibri" w:hAnsi="Calibri" w:hint="eastAsia"/>
          <w:b/>
          <w:bCs/>
          <w:rtl/>
        </w:rPr>
        <w:t>עלולה</w:t>
      </w:r>
      <w:r w:rsidRPr="008C7A62">
        <w:rPr>
          <w:rFonts w:ascii="Calibri" w:hAnsi="Calibri"/>
          <w:b/>
          <w:bCs/>
          <w:rtl/>
        </w:rPr>
        <w:t xml:space="preserve"> </w:t>
      </w:r>
      <w:r w:rsidRPr="008C7A62">
        <w:rPr>
          <w:rFonts w:ascii="Calibri" w:hAnsi="Calibri" w:hint="eastAsia"/>
          <w:b/>
          <w:bCs/>
          <w:rtl/>
        </w:rPr>
        <w:t>להוביל</w:t>
      </w:r>
      <w:r w:rsidRPr="008C7A62">
        <w:rPr>
          <w:rFonts w:ascii="Calibri" w:hAnsi="Calibri"/>
          <w:b/>
          <w:bCs/>
          <w:rtl/>
        </w:rPr>
        <w:t xml:space="preserve"> </w:t>
      </w:r>
      <w:r w:rsidRPr="008C7A62">
        <w:rPr>
          <w:rFonts w:ascii="Calibri" w:hAnsi="Calibri" w:hint="eastAsia"/>
          <w:b/>
          <w:bCs/>
          <w:rtl/>
        </w:rPr>
        <w:t>להפקעתו</w:t>
      </w:r>
      <w:r w:rsidRPr="008C7A62">
        <w:rPr>
          <w:rFonts w:ascii="Calibri" w:hAnsi="Calibri"/>
          <w:b/>
          <w:bCs/>
          <w:rtl/>
        </w:rPr>
        <w:t xml:space="preserve"> </w:t>
      </w:r>
      <w:r w:rsidRPr="008C7A62">
        <w:rPr>
          <w:rFonts w:ascii="Calibri" w:hAnsi="Calibri" w:hint="eastAsia"/>
          <w:b/>
          <w:bCs/>
          <w:rtl/>
        </w:rPr>
        <w:t>ולהטלת</w:t>
      </w:r>
      <w:r w:rsidRPr="008C7A62">
        <w:rPr>
          <w:rFonts w:ascii="Calibri" w:hAnsi="Calibri"/>
          <w:b/>
          <w:bCs/>
          <w:rtl/>
        </w:rPr>
        <w:t xml:space="preserve"> </w:t>
      </w:r>
      <w:r w:rsidRPr="008C7A62">
        <w:rPr>
          <w:rFonts w:ascii="Calibri" w:hAnsi="Calibri" w:hint="eastAsia"/>
          <w:b/>
          <w:bCs/>
          <w:rtl/>
        </w:rPr>
        <w:t>עונשים</w:t>
      </w:r>
      <w:r w:rsidRPr="008C7A62">
        <w:rPr>
          <w:rFonts w:ascii="Calibri" w:hAnsi="Calibri"/>
          <w:b/>
          <w:bCs/>
          <w:rtl/>
        </w:rPr>
        <w:t xml:space="preserve"> </w:t>
      </w:r>
      <w:r w:rsidRPr="008C7A62">
        <w:rPr>
          <w:rFonts w:ascii="Calibri" w:hAnsi="Calibri" w:hint="eastAsia"/>
          <w:b/>
          <w:bCs/>
          <w:rtl/>
        </w:rPr>
        <w:t>נוספים</w:t>
      </w:r>
      <w:r w:rsidRPr="008C7A62">
        <w:rPr>
          <w:rFonts w:ascii="Calibri" w:hAnsi="Calibri"/>
          <w:b/>
          <w:bCs/>
          <w:rtl/>
        </w:rPr>
        <w:t>.</w:t>
      </w:r>
      <w:r>
        <w:rPr>
          <w:rFonts w:ascii="Calibri" w:hAnsi="Calibri"/>
          <w:b/>
          <w:bCs/>
          <w:rtl/>
        </w:rPr>
        <w:t xml:space="preserve"> </w:t>
      </w:r>
    </w:p>
    <w:p w14:paraId="0735065D" w14:textId="77777777" w:rsidR="00294639" w:rsidRDefault="00294639" w:rsidP="00294639">
      <w:pPr>
        <w:pStyle w:val="a9"/>
        <w:numPr>
          <w:ilvl w:val="0"/>
          <w:numId w:val="3"/>
        </w:numPr>
        <w:spacing w:line="360" w:lineRule="auto"/>
        <w:jc w:val="both"/>
        <w:rPr>
          <w:rFonts w:ascii="Calibri" w:hAnsi="Calibri"/>
          <w:b/>
          <w:bCs/>
        </w:rPr>
      </w:pPr>
      <w:r>
        <w:rPr>
          <w:rtl/>
        </w:rPr>
        <w:t xml:space="preserve">אני מחייב את הנאשם לבצע </w:t>
      </w:r>
      <w:r>
        <w:rPr>
          <w:rFonts w:hint="cs"/>
          <w:rtl/>
        </w:rPr>
        <w:t>220</w:t>
      </w:r>
      <w:r>
        <w:rPr>
          <w:rtl/>
        </w:rPr>
        <w:t xml:space="preserve"> שעות של"צ בהתאם לתוכנית </w:t>
      </w:r>
      <w:r>
        <w:rPr>
          <w:rFonts w:hint="cs"/>
          <w:rtl/>
        </w:rPr>
        <w:t>שיגבש</w:t>
      </w:r>
      <w:r>
        <w:rPr>
          <w:rtl/>
        </w:rPr>
        <w:t xml:space="preserve"> שירות המבחן</w:t>
      </w:r>
      <w:r>
        <w:rPr>
          <w:rFonts w:hint="cs"/>
          <w:rtl/>
        </w:rPr>
        <w:t xml:space="preserve"> ויגישה לאישור בתוך 30 יום</w:t>
      </w:r>
      <w:r>
        <w:rPr>
          <w:rtl/>
        </w:rPr>
        <w:t>.</w:t>
      </w:r>
      <w:r>
        <w:rPr>
          <w:rFonts w:ascii="Calibri" w:hAnsi="Calibri"/>
          <w:b/>
          <w:bCs/>
          <w:rtl/>
        </w:rPr>
        <w:t xml:space="preserve"> </w:t>
      </w:r>
      <w:r w:rsidRPr="008C7A62">
        <w:rPr>
          <w:rFonts w:ascii="Calibri" w:hAnsi="Calibri" w:hint="eastAsia"/>
          <w:b/>
          <w:bCs/>
          <w:rtl/>
        </w:rPr>
        <w:t>הוסבר</w:t>
      </w:r>
      <w:r w:rsidRPr="008C7A62">
        <w:rPr>
          <w:rFonts w:ascii="Calibri" w:hAnsi="Calibri"/>
          <w:b/>
          <w:bCs/>
          <w:rtl/>
        </w:rPr>
        <w:t xml:space="preserve"> </w:t>
      </w:r>
      <w:r w:rsidRPr="008C7A62">
        <w:rPr>
          <w:rFonts w:ascii="Calibri" w:hAnsi="Calibri" w:hint="eastAsia"/>
          <w:b/>
          <w:bCs/>
          <w:rtl/>
        </w:rPr>
        <w:t>לנאשם</w:t>
      </w:r>
      <w:r w:rsidRPr="008C7A62">
        <w:rPr>
          <w:rFonts w:ascii="Calibri" w:hAnsi="Calibri"/>
          <w:b/>
          <w:bCs/>
          <w:rtl/>
        </w:rPr>
        <w:t xml:space="preserve"> </w:t>
      </w:r>
      <w:r w:rsidRPr="008C7A62">
        <w:rPr>
          <w:rFonts w:ascii="Calibri" w:hAnsi="Calibri" w:hint="eastAsia"/>
          <w:b/>
          <w:bCs/>
          <w:rtl/>
        </w:rPr>
        <w:t>שעליו</w:t>
      </w:r>
      <w:r w:rsidRPr="008C7A62">
        <w:rPr>
          <w:rFonts w:ascii="Calibri" w:hAnsi="Calibri"/>
          <w:b/>
          <w:bCs/>
          <w:rtl/>
        </w:rPr>
        <w:t xml:space="preserve"> </w:t>
      </w:r>
      <w:r w:rsidRPr="008C7A62">
        <w:rPr>
          <w:rFonts w:ascii="Calibri" w:hAnsi="Calibri" w:hint="eastAsia"/>
          <w:b/>
          <w:bCs/>
          <w:rtl/>
        </w:rPr>
        <w:t>לקיים</w:t>
      </w:r>
      <w:r w:rsidRPr="008C7A62">
        <w:rPr>
          <w:rFonts w:ascii="Calibri" w:hAnsi="Calibri"/>
          <w:b/>
          <w:bCs/>
          <w:rtl/>
        </w:rPr>
        <w:t xml:space="preserve"> </w:t>
      </w:r>
      <w:r w:rsidRPr="008C7A62">
        <w:rPr>
          <w:rFonts w:ascii="Calibri" w:hAnsi="Calibri" w:hint="eastAsia"/>
          <w:b/>
          <w:bCs/>
          <w:rtl/>
        </w:rPr>
        <w:t>את</w:t>
      </w:r>
      <w:r w:rsidRPr="008C7A62">
        <w:rPr>
          <w:rFonts w:ascii="Calibri" w:hAnsi="Calibri"/>
          <w:b/>
          <w:bCs/>
          <w:rtl/>
        </w:rPr>
        <w:t xml:space="preserve"> </w:t>
      </w:r>
      <w:r w:rsidRPr="008C7A62">
        <w:rPr>
          <w:rFonts w:ascii="Calibri" w:hAnsi="Calibri" w:hint="eastAsia"/>
          <w:b/>
          <w:bCs/>
          <w:rtl/>
        </w:rPr>
        <w:t>הצו</w:t>
      </w:r>
      <w:r w:rsidRPr="008C7A62">
        <w:rPr>
          <w:rFonts w:ascii="Calibri" w:hAnsi="Calibri"/>
          <w:b/>
          <w:bCs/>
          <w:rtl/>
        </w:rPr>
        <w:t xml:space="preserve"> </w:t>
      </w:r>
      <w:r w:rsidRPr="008C7A62">
        <w:rPr>
          <w:rFonts w:ascii="Calibri" w:hAnsi="Calibri" w:hint="eastAsia"/>
          <w:b/>
          <w:bCs/>
          <w:rtl/>
        </w:rPr>
        <w:t>לשביעות</w:t>
      </w:r>
      <w:r w:rsidRPr="008C7A62">
        <w:rPr>
          <w:rFonts w:ascii="Calibri" w:hAnsi="Calibri"/>
          <w:b/>
          <w:bCs/>
          <w:rtl/>
        </w:rPr>
        <w:t xml:space="preserve"> </w:t>
      </w:r>
      <w:r w:rsidRPr="008C7A62">
        <w:rPr>
          <w:rFonts w:ascii="Calibri" w:hAnsi="Calibri" w:hint="eastAsia"/>
          <w:b/>
          <w:bCs/>
          <w:rtl/>
        </w:rPr>
        <w:t>רצון</w:t>
      </w:r>
      <w:r w:rsidRPr="008C7A62">
        <w:rPr>
          <w:rFonts w:ascii="Calibri" w:hAnsi="Calibri"/>
          <w:b/>
          <w:bCs/>
          <w:rtl/>
        </w:rPr>
        <w:t xml:space="preserve"> </w:t>
      </w:r>
      <w:r w:rsidRPr="008C7A62">
        <w:rPr>
          <w:rFonts w:ascii="Calibri" w:hAnsi="Calibri" w:hint="eastAsia"/>
          <w:b/>
          <w:bCs/>
          <w:rtl/>
        </w:rPr>
        <w:t>שירות</w:t>
      </w:r>
      <w:r w:rsidRPr="008C7A62">
        <w:rPr>
          <w:rFonts w:ascii="Calibri" w:hAnsi="Calibri"/>
          <w:b/>
          <w:bCs/>
          <w:rtl/>
        </w:rPr>
        <w:t xml:space="preserve"> </w:t>
      </w:r>
      <w:r w:rsidRPr="008C7A62">
        <w:rPr>
          <w:rFonts w:ascii="Calibri" w:hAnsi="Calibri" w:hint="eastAsia"/>
          <w:b/>
          <w:bCs/>
          <w:rtl/>
        </w:rPr>
        <w:t>המבחן</w:t>
      </w:r>
      <w:r w:rsidRPr="008C7A62">
        <w:rPr>
          <w:rFonts w:ascii="Calibri" w:hAnsi="Calibri"/>
          <w:b/>
          <w:bCs/>
          <w:rtl/>
        </w:rPr>
        <w:t xml:space="preserve"> </w:t>
      </w:r>
      <w:r w:rsidRPr="008C7A62">
        <w:rPr>
          <w:rFonts w:ascii="Calibri" w:hAnsi="Calibri" w:hint="eastAsia"/>
          <w:b/>
          <w:bCs/>
          <w:rtl/>
        </w:rPr>
        <w:t>וכי</w:t>
      </w:r>
      <w:r w:rsidRPr="008C7A62">
        <w:rPr>
          <w:rFonts w:ascii="Calibri" w:hAnsi="Calibri"/>
          <w:b/>
          <w:bCs/>
          <w:rtl/>
        </w:rPr>
        <w:t xml:space="preserve"> </w:t>
      </w:r>
      <w:r w:rsidRPr="008C7A62">
        <w:rPr>
          <w:rFonts w:ascii="Calibri" w:hAnsi="Calibri" w:hint="eastAsia"/>
          <w:b/>
          <w:bCs/>
          <w:rtl/>
        </w:rPr>
        <w:t>הפרת</w:t>
      </w:r>
      <w:r w:rsidRPr="008C7A62">
        <w:rPr>
          <w:rFonts w:ascii="Calibri" w:hAnsi="Calibri"/>
          <w:b/>
          <w:bCs/>
          <w:rtl/>
        </w:rPr>
        <w:t xml:space="preserve"> </w:t>
      </w:r>
      <w:r w:rsidRPr="008C7A62">
        <w:rPr>
          <w:rFonts w:ascii="Calibri" w:hAnsi="Calibri" w:hint="eastAsia"/>
          <w:b/>
          <w:bCs/>
          <w:rtl/>
        </w:rPr>
        <w:t>הצו</w:t>
      </w:r>
      <w:r w:rsidRPr="008C7A62">
        <w:rPr>
          <w:rFonts w:ascii="Calibri" w:hAnsi="Calibri"/>
          <w:b/>
          <w:bCs/>
          <w:rtl/>
        </w:rPr>
        <w:t xml:space="preserve"> </w:t>
      </w:r>
      <w:r>
        <w:rPr>
          <w:rFonts w:ascii="Calibri" w:hAnsi="Calibri" w:hint="eastAsia"/>
          <w:b/>
          <w:bCs/>
          <w:rtl/>
        </w:rPr>
        <w:t>ע</w:t>
      </w:r>
      <w:r w:rsidRPr="008C7A62">
        <w:rPr>
          <w:rFonts w:ascii="Calibri" w:hAnsi="Calibri" w:hint="eastAsia"/>
          <w:b/>
          <w:bCs/>
          <w:rtl/>
        </w:rPr>
        <w:t>לולה</w:t>
      </w:r>
      <w:r w:rsidRPr="008C7A62">
        <w:rPr>
          <w:rFonts w:ascii="Calibri" w:hAnsi="Calibri"/>
          <w:b/>
          <w:bCs/>
          <w:rtl/>
        </w:rPr>
        <w:t xml:space="preserve"> </w:t>
      </w:r>
      <w:r w:rsidRPr="008C7A62">
        <w:rPr>
          <w:rFonts w:ascii="Calibri" w:hAnsi="Calibri" w:hint="eastAsia"/>
          <w:b/>
          <w:bCs/>
          <w:rtl/>
        </w:rPr>
        <w:t>להוביל</w:t>
      </w:r>
      <w:r w:rsidRPr="008C7A62">
        <w:rPr>
          <w:rFonts w:ascii="Calibri" w:hAnsi="Calibri"/>
          <w:b/>
          <w:bCs/>
          <w:rtl/>
        </w:rPr>
        <w:t xml:space="preserve"> </w:t>
      </w:r>
      <w:r w:rsidRPr="008C7A62">
        <w:rPr>
          <w:rFonts w:ascii="Calibri" w:hAnsi="Calibri" w:hint="eastAsia"/>
          <w:b/>
          <w:bCs/>
          <w:rtl/>
        </w:rPr>
        <w:t>להפקעתו</w:t>
      </w:r>
      <w:r w:rsidRPr="008C7A62">
        <w:rPr>
          <w:rFonts w:ascii="Calibri" w:hAnsi="Calibri"/>
          <w:b/>
          <w:bCs/>
          <w:rtl/>
        </w:rPr>
        <w:t xml:space="preserve"> </w:t>
      </w:r>
      <w:r w:rsidRPr="008C7A62">
        <w:rPr>
          <w:rFonts w:ascii="Calibri" w:hAnsi="Calibri" w:hint="eastAsia"/>
          <w:b/>
          <w:bCs/>
          <w:rtl/>
        </w:rPr>
        <w:t>ולהטלת</w:t>
      </w:r>
      <w:r w:rsidRPr="008C7A62">
        <w:rPr>
          <w:rFonts w:ascii="Calibri" w:hAnsi="Calibri"/>
          <w:b/>
          <w:bCs/>
          <w:rtl/>
        </w:rPr>
        <w:t xml:space="preserve"> </w:t>
      </w:r>
      <w:r w:rsidRPr="008C7A62">
        <w:rPr>
          <w:rFonts w:ascii="Calibri" w:hAnsi="Calibri" w:hint="eastAsia"/>
          <w:b/>
          <w:bCs/>
          <w:rtl/>
        </w:rPr>
        <w:t>עונשים</w:t>
      </w:r>
      <w:r w:rsidRPr="008C7A62">
        <w:rPr>
          <w:rFonts w:ascii="Calibri" w:hAnsi="Calibri"/>
          <w:b/>
          <w:bCs/>
          <w:rtl/>
        </w:rPr>
        <w:t xml:space="preserve"> </w:t>
      </w:r>
      <w:r w:rsidRPr="008C7A62">
        <w:rPr>
          <w:rFonts w:ascii="Calibri" w:hAnsi="Calibri" w:hint="eastAsia"/>
          <w:b/>
          <w:bCs/>
          <w:rtl/>
        </w:rPr>
        <w:t>נוספים</w:t>
      </w:r>
      <w:r w:rsidRPr="008C7A62">
        <w:rPr>
          <w:rFonts w:ascii="Calibri" w:hAnsi="Calibri"/>
          <w:b/>
          <w:bCs/>
          <w:rtl/>
        </w:rPr>
        <w:t>.</w:t>
      </w:r>
    </w:p>
    <w:p w14:paraId="1841E545" w14:textId="77777777" w:rsidR="00294639" w:rsidRPr="007D2A08" w:rsidRDefault="00294639" w:rsidP="00294639">
      <w:pPr>
        <w:pStyle w:val="a9"/>
        <w:numPr>
          <w:ilvl w:val="0"/>
          <w:numId w:val="3"/>
        </w:numPr>
        <w:spacing w:line="360" w:lineRule="auto"/>
        <w:jc w:val="both"/>
        <w:rPr>
          <w:rFonts w:ascii="Calibri" w:hAnsi="Calibri"/>
          <w:b/>
          <w:bCs/>
        </w:rPr>
      </w:pPr>
      <w:r w:rsidRPr="008A1818">
        <w:rPr>
          <w:rtl/>
        </w:rPr>
        <w:t xml:space="preserve">מאסר על תנאי לתקופה של </w:t>
      </w:r>
      <w:r>
        <w:rPr>
          <w:rFonts w:hint="cs"/>
          <w:rtl/>
        </w:rPr>
        <w:t>6</w:t>
      </w:r>
      <w:r w:rsidRPr="008A1818">
        <w:rPr>
          <w:rtl/>
        </w:rPr>
        <w:t xml:space="preserve"> חודשים והתנאי הוא שהנאשם לא יעבור במשך</w:t>
      </w:r>
      <w:r>
        <w:rPr>
          <w:rtl/>
        </w:rPr>
        <w:t xml:space="preserve"> שנתיים כל עבירה על פקודת הסמים שהיא פשע. </w:t>
      </w:r>
    </w:p>
    <w:p w14:paraId="3305467C" w14:textId="77777777" w:rsidR="00294639" w:rsidRPr="007D2A08" w:rsidRDefault="00294639" w:rsidP="00294639">
      <w:pPr>
        <w:pStyle w:val="a9"/>
        <w:numPr>
          <w:ilvl w:val="0"/>
          <w:numId w:val="3"/>
        </w:numPr>
        <w:spacing w:line="360" w:lineRule="auto"/>
        <w:jc w:val="both"/>
        <w:rPr>
          <w:rFonts w:ascii="Calibri" w:hAnsi="Calibri"/>
          <w:b/>
          <w:bCs/>
        </w:rPr>
      </w:pPr>
      <w:r>
        <w:rPr>
          <w:rtl/>
        </w:rPr>
        <w:t xml:space="preserve">קנס בסך </w:t>
      </w:r>
      <w:r>
        <w:rPr>
          <w:rFonts w:hint="cs"/>
          <w:rtl/>
        </w:rPr>
        <w:t>6</w:t>
      </w:r>
      <w:r>
        <w:rPr>
          <w:rtl/>
        </w:rPr>
        <w:t xml:space="preserve">,000 ₪. הקנס ישולם </w:t>
      </w:r>
      <w:r>
        <w:rPr>
          <w:rFonts w:hint="cs"/>
          <w:rtl/>
        </w:rPr>
        <w:t>בעשרה</w:t>
      </w:r>
      <w:r>
        <w:rPr>
          <w:rtl/>
        </w:rPr>
        <w:t xml:space="preserve"> תשלומים שווים ורצופים מיום 1.</w:t>
      </w:r>
      <w:r>
        <w:rPr>
          <w:rFonts w:hint="cs"/>
          <w:rtl/>
        </w:rPr>
        <w:t>9</w:t>
      </w:r>
      <w:r>
        <w:rPr>
          <w:rtl/>
        </w:rPr>
        <w:t>.22 ובכל -1 לחודש שלאחריו. לא ישולם אחד התשלומים או יותר במועדו, תעמוד היתרה לפירעון מידי. את הסכום יש לשלם ישירות למרכז לגביית אגרות וקנסות באחת הדרכים הבאות:</w:t>
      </w:r>
      <w:r w:rsidRPr="007D2A08">
        <w:rPr>
          <w:rFonts w:ascii="David" w:hAnsi="David"/>
          <w:rtl/>
        </w:rPr>
        <w:t xml:space="preserve"> </w:t>
      </w:r>
    </w:p>
    <w:p w14:paraId="6C6DC249" w14:textId="77777777" w:rsidR="00294639" w:rsidRDefault="00294639" w:rsidP="00294639">
      <w:pPr>
        <w:pStyle w:val="a9"/>
        <w:numPr>
          <w:ilvl w:val="0"/>
          <w:numId w:val="4"/>
        </w:numPr>
        <w:contextualSpacing w:val="0"/>
        <w:rPr>
          <w:rFonts w:ascii="David" w:hAnsi="David"/>
          <w:b/>
          <w:bCs/>
        </w:rPr>
      </w:pPr>
      <w:r>
        <w:rPr>
          <w:rFonts w:ascii="David" w:hAnsi="David"/>
          <w:b/>
          <w:bCs/>
          <w:rtl/>
        </w:rPr>
        <w:t>בכרטיס אשראי</w:t>
      </w:r>
      <w:r>
        <w:rPr>
          <w:rFonts w:ascii="David" w:hAnsi="David"/>
          <w:rtl/>
        </w:rPr>
        <w:t xml:space="preserve"> – באתר המקוון של רשות האכיפה והגבייה, </w:t>
      </w:r>
      <w:hyperlink r:id="rId40" w:history="1">
        <w:r>
          <w:rPr>
            <w:rStyle w:val="Hyperlink"/>
            <w:rFonts w:ascii="David" w:hAnsi="David"/>
          </w:rPr>
          <w:t>www.eca.gov.il</w:t>
        </w:r>
      </w:hyperlink>
      <w:r>
        <w:rPr>
          <w:rFonts w:ascii="David" w:hAnsi="David"/>
        </w:rPr>
        <w:t xml:space="preserve"> </w:t>
      </w:r>
      <w:r w:rsidR="005567C6">
        <w:rPr>
          <w:rFonts w:ascii="David" w:hAnsi="David"/>
          <w:rtl/>
        </w:rPr>
        <w:t xml:space="preserve"> </w:t>
      </w:r>
    </w:p>
    <w:p w14:paraId="49C3500C" w14:textId="77777777" w:rsidR="00294639" w:rsidRDefault="00294639" w:rsidP="00294639">
      <w:pPr>
        <w:pStyle w:val="a9"/>
        <w:numPr>
          <w:ilvl w:val="0"/>
          <w:numId w:val="4"/>
        </w:numPr>
        <w:contextualSpacing w:val="0"/>
        <w:rPr>
          <w:rFonts w:ascii="David" w:hAnsi="David"/>
          <w:b/>
          <w:bCs/>
        </w:rPr>
      </w:pPr>
      <w:r>
        <w:rPr>
          <w:rFonts w:ascii="David" w:hAnsi="David"/>
          <w:b/>
          <w:bCs/>
          <w:rtl/>
        </w:rPr>
        <w:t>מוקד שירות טלפוני בשרות עצמי (מרכז גבייה)</w:t>
      </w:r>
      <w:r w:rsidR="005567C6">
        <w:rPr>
          <w:rFonts w:ascii="David" w:hAnsi="David"/>
          <w:b/>
          <w:bCs/>
          <w:rtl/>
        </w:rPr>
        <w:t xml:space="preserve"> </w:t>
      </w:r>
      <w:r>
        <w:rPr>
          <w:rFonts w:ascii="David" w:hAnsi="David"/>
          <w:b/>
          <w:bCs/>
          <w:rtl/>
        </w:rPr>
        <w:t xml:space="preserve"> – בטלפון 35592* או בטלפון 073-2055000</w:t>
      </w:r>
    </w:p>
    <w:p w14:paraId="64E2BAFE" w14:textId="77777777" w:rsidR="00294639" w:rsidRPr="00042B59" w:rsidRDefault="00294639" w:rsidP="00294639">
      <w:pPr>
        <w:pStyle w:val="a9"/>
        <w:numPr>
          <w:ilvl w:val="0"/>
          <w:numId w:val="4"/>
        </w:numPr>
        <w:contextualSpacing w:val="0"/>
        <w:rPr>
          <w:rFonts w:ascii="David" w:hAnsi="David"/>
          <w:b/>
          <w:bCs/>
        </w:rPr>
      </w:pPr>
      <w:r>
        <w:rPr>
          <w:rFonts w:ascii="David" w:hAnsi="David"/>
          <w:b/>
          <w:bCs/>
          <w:rtl/>
        </w:rPr>
        <w:t>במזומן בכל סניף של בנק הדואר</w:t>
      </w:r>
      <w:r>
        <w:rPr>
          <w:rFonts w:ascii="David" w:hAnsi="David"/>
          <w:rtl/>
        </w:rPr>
        <w:t xml:space="preserve"> – בהצגת תעודת זהות בלבד (אין צורך בשוברי </w:t>
      </w:r>
      <w:r w:rsidRPr="00BC6034">
        <w:rPr>
          <w:rFonts w:ascii="David" w:hAnsi="David"/>
          <w:rtl/>
        </w:rPr>
        <w:t>תשלום).</w:t>
      </w:r>
    </w:p>
    <w:p w14:paraId="692C8BEC" w14:textId="77777777" w:rsidR="00294639" w:rsidRPr="00BC6034" w:rsidRDefault="00294639" w:rsidP="00294639">
      <w:pPr>
        <w:pStyle w:val="a9"/>
        <w:numPr>
          <w:ilvl w:val="0"/>
          <w:numId w:val="3"/>
        </w:numPr>
        <w:spacing w:before="120" w:after="120" w:line="360" w:lineRule="auto"/>
        <w:jc w:val="both"/>
      </w:pPr>
      <w:r w:rsidRPr="00BC6034">
        <w:rPr>
          <w:rFonts w:hint="cs"/>
          <w:rtl/>
        </w:rPr>
        <w:t xml:space="preserve">משלא התבקש פיצוי, לא אורה כך. </w:t>
      </w:r>
    </w:p>
    <w:p w14:paraId="6D00BAEB" w14:textId="77777777" w:rsidR="00294639" w:rsidRPr="00BC6034" w:rsidRDefault="00294639" w:rsidP="00294639">
      <w:pPr>
        <w:pStyle w:val="a9"/>
        <w:numPr>
          <w:ilvl w:val="0"/>
          <w:numId w:val="3"/>
        </w:numPr>
        <w:spacing w:before="120" w:after="120" w:line="360" w:lineRule="auto"/>
        <w:jc w:val="both"/>
        <w:rPr>
          <w:rtl/>
        </w:rPr>
      </w:pPr>
      <w:r w:rsidRPr="00BC6034">
        <w:rPr>
          <w:rtl/>
        </w:rPr>
        <w:t>אני מורה על חילוט הכלים כמפורט בכתב האישום.</w:t>
      </w:r>
      <w:r w:rsidRPr="00BC6034">
        <w:rPr>
          <w:rFonts w:hint="cs"/>
          <w:rtl/>
        </w:rPr>
        <w:t xml:space="preserve"> </w:t>
      </w:r>
    </w:p>
    <w:p w14:paraId="500FAF93" w14:textId="77777777" w:rsidR="00294639" w:rsidRDefault="005567C6" w:rsidP="00294639">
      <w:pPr>
        <w:spacing w:before="120" w:after="120" w:line="360" w:lineRule="auto"/>
        <w:jc w:val="both"/>
        <w:rPr>
          <w:b/>
          <w:bCs/>
          <w:u w:val="single"/>
          <w:rtl/>
        </w:rPr>
      </w:pPr>
      <w:r w:rsidRPr="005567C6">
        <w:rPr>
          <w:b/>
          <w:bCs/>
          <w:color w:val="FFFFFF"/>
          <w:sz w:val="2"/>
          <w:szCs w:val="2"/>
          <w:u w:val="single"/>
          <w:rtl/>
        </w:rPr>
        <w:t>5129371</w:t>
      </w:r>
      <w:r w:rsidR="00294639">
        <w:rPr>
          <w:b/>
          <w:bCs/>
          <w:u w:val="single"/>
          <w:rtl/>
        </w:rPr>
        <w:t>הודעה זכות ערעור לבית המשפט המחוזי בתוך 45 יום.</w:t>
      </w:r>
    </w:p>
    <w:p w14:paraId="04CF6AF4" w14:textId="77777777" w:rsidR="00294639" w:rsidRDefault="005567C6" w:rsidP="00294639">
      <w:pPr>
        <w:spacing w:before="120" w:after="120" w:line="360" w:lineRule="auto"/>
        <w:jc w:val="both"/>
        <w:rPr>
          <w:b/>
          <w:bCs/>
          <w:u w:val="single"/>
          <w:rtl/>
        </w:rPr>
      </w:pPr>
      <w:r w:rsidRPr="005567C6">
        <w:rPr>
          <w:b/>
          <w:bCs/>
          <w:color w:val="FFFFFF"/>
          <w:sz w:val="2"/>
          <w:szCs w:val="2"/>
          <w:u w:val="single"/>
          <w:rtl/>
        </w:rPr>
        <w:t>54678313</w:t>
      </w:r>
      <w:r w:rsidR="00294639">
        <w:rPr>
          <w:rFonts w:hint="cs"/>
          <w:b/>
          <w:bCs/>
          <w:u w:val="single"/>
          <w:rtl/>
        </w:rPr>
        <w:t xml:space="preserve">המזכירות תעביר עותק מגזר הדין לשירות המבחן </w:t>
      </w:r>
      <w:r w:rsidR="00294639">
        <w:rPr>
          <w:b/>
          <w:bCs/>
          <w:u w:val="single"/>
          <w:rtl/>
        </w:rPr>
        <w:t>שיגיש תוכנית של"צ כאמור לעיל</w:t>
      </w:r>
      <w:r w:rsidR="00294639">
        <w:rPr>
          <w:rFonts w:hint="cs"/>
          <w:b/>
          <w:bCs/>
          <w:u w:val="single"/>
          <w:rtl/>
        </w:rPr>
        <w:t xml:space="preserve">. </w:t>
      </w:r>
    </w:p>
    <w:p w14:paraId="2446D03C" w14:textId="77777777" w:rsidR="00294639" w:rsidRPr="00354835" w:rsidRDefault="00294639" w:rsidP="00294639">
      <w:pPr>
        <w:spacing w:line="360" w:lineRule="auto"/>
        <w:jc w:val="both"/>
        <w:rPr>
          <w:rFonts w:ascii="David" w:hAnsi="David"/>
          <w:rtl/>
        </w:rPr>
      </w:pPr>
    </w:p>
    <w:p w14:paraId="4BAF4D1C" w14:textId="77777777" w:rsidR="00294639" w:rsidRPr="00354835" w:rsidRDefault="005567C6" w:rsidP="00294639">
      <w:pPr>
        <w:rPr>
          <w:rFonts w:ascii="David" w:hAnsi="David"/>
          <w:rtl/>
        </w:rPr>
      </w:pPr>
      <w:bookmarkStart w:id="7" w:name="Nitan"/>
      <w:r>
        <w:rPr>
          <w:rFonts w:ascii="David" w:hAnsi="David"/>
          <w:rtl/>
        </w:rPr>
        <w:t xml:space="preserve">ניתן היום,  י"ט תמוז תשפ"ב, 18 יולי 2022, במעמד הצדדים. </w:t>
      </w:r>
      <w:bookmarkEnd w:id="7"/>
    </w:p>
    <w:p w14:paraId="1F2E17AC" w14:textId="77777777" w:rsidR="00294639" w:rsidRPr="00354835" w:rsidRDefault="00294639" w:rsidP="005567C6">
      <w:pPr>
        <w:jc w:val="center"/>
      </w:pPr>
      <w:r w:rsidRPr="00354835">
        <w:rPr>
          <w:rFonts w:ascii="David" w:hAnsi="David"/>
          <w:rtl/>
        </w:rPr>
        <w:t xml:space="preserve">   </w:t>
      </w:r>
      <w:r w:rsidRPr="00354835">
        <w:rPr>
          <w:rFonts w:ascii="David" w:hAnsi="David"/>
          <w:rtl/>
        </w:rPr>
        <w:tab/>
      </w:r>
      <w:r w:rsidRPr="00354835">
        <w:rPr>
          <w:rFonts w:ascii="David" w:hAnsi="David"/>
          <w:rtl/>
        </w:rPr>
        <w:tab/>
      </w:r>
      <w:r w:rsidRPr="00354835">
        <w:rPr>
          <w:rFonts w:ascii="David" w:hAnsi="David"/>
          <w:rtl/>
        </w:rPr>
        <w:tab/>
      </w:r>
      <w:r w:rsidRPr="00354835">
        <w:rPr>
          <w:rFonts w:ascii="David" w:hAnsi="David"/>
          <w:rtl/>
        </w:rPr>
        <w:tab/>
      </w:r>
      <w:r w:rsidRPr="00354835">
        <w:rPr>
          <w:rFonts w:ascii="David" w:hAnsi="David"/>
          <w:rtl/>
        </w:rPr>
        <w:tab/>
      </w:r>
    </w:p>
    <w:p w14:paraId="464ED58F" w14:textId="77777777" w:rsidR="005567C6" w:rsidRDefault="006B1846" w:rsidP="005567C6">
      <w:r w:rsidRPr="006B1846">
        <w:rPr>
          <w:rFonts w:ascii="David" w:hAnsi="David"/>
          <w:color w:val="FFFFFF"/>
          <w:sz w:val="2"/>
          <w:szCs w:val="2"/>
          <w:rtl/>
        </w:rPr>
        <w:t>5129371</w:t>
      </w:r>
    </w:p>
    <w:p w14:paraId="5963B201" w14:textId="77777777" w:rsidR="005567C6" w:rsidRDefault="005567C6" w:rsidP="005567C6">
      <w:pPr>
        <w:rPr>
          <w:rtl/>
        </w:rPr>
      </w:pPr>
    </w:p>
    <w:p w14:paraId="60B0AF25" w14:textId="77777777" w:rsidR="005567C6" w:rsidRDefault="005567C6" w:rsidP="005567C6">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753C1606" w14:textId="77777777" w:rsidR="006B1846" w:rsidRPr="006B1846" w:rsidRDefault="006B1846" w:rsidP="006B1846">
      <w:pPr>
        <w:keepNext/>
        <w:rPr>
          <w:rFonts w:ascii="David" w:hAnsi="David"/>
          <w:color w:val="000000"/>
          <w:sz w:val="22"/>
          <w:szCs w:val="22"/>
          <w:rtl/>
        </w:rPr>
      </w:pPr>
    </w:p>
    <w:p w14:paraId="1D25E07D" w14:textId="77777777" w:rsidR="006B1846" w:rsidRPr="006B1846" w:rsidRDefault="006B1846" w:rsidP="006B1846">
      <w:pPr>
        <w:keepNext/>
        <w:rPr>
          <w:rFonts w:ascii="David" w:hAnsi="David"/>
          <w:color w:val="000000"/>
          <w:sz w:val="22"/>
          <w:szCs w:val="22"/>
          <w:rtl/>
        </w:rPr>
      </w:pPr>
      <w:r w:rsidRPr="006B1846">
        <w:rPr>
          <w:rFonts w:ascii="David" w:hAnsi="David"/>
          <w:color w:val="000000"/>
          <w:sz w:val="22"/>
          <w:szCs w:val="22"/>
          <w:rtl/>
        </w:rPr>
        <w:t>יוסי טורס 54678313-/</w:t>
      </w:r>
    </w:p>
    <w:p w14:paraId="5121DC13" w14:textId="77777777" w:rsidR="005567C6" w:rsidRPr="005567C6" w:rsidRDefault="006B1846" w:rsidP="006B1846">
      <w:pPr>
        <w:rPr>
          <w:color w:val="0000FF"/>
          <w:u w:val="single"/>
        </w:rPr>
      </w:pPr>
      <w:r w:rsidRPr="006B1846">
        <w:rPr>
          <w:color w:val="000000"/>
          <w:u w:val="single"/>
          <w:rtl/>
        </w:rPr>
        <w:t>נוסח מסמך זה כפוף לשינויי ניסוח ועריכה</w:t>
      </w:r>
    </w:p>
    <w:sectPr w:rsidR="005567C6" w:rsidRPr="005567C6" w:rsidSect="006B1846">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6BC79A" w14:textId="77777777" w:rsidR="0031124D" w:rsidRDefault="0031124D" w:rsidP="005A3CD8">
      <w:r>
        <w:separator/>
      </w:r>
    </w:p>
  </w:endnote>
  <w:endnote w:type="continuationSeparator" w:id="0">
    <w:p w14:paraId="24A6659B" w14:textId="77777777" w:rsidR="0031124D" w:rsidRDefault="0031124D" w:rsidP="005A3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CB61D" w14:textId="77777777" w:rsidR="006B1846" w:rsidRDefault="006B1846" w:rsidP="006B184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503480E" w14:textId="77777777" w:rsidR="008500B6" w:rsidRPr="006B1846" w:rsidRDefault="006B1846" w:rsidP="006B1846">
    <w:pPr>
      <w:pStyle w:val="a5"/>
      <w:pBdr>
        <w:top w:val="single" w:sz="4" w:space="1" w:color="auto"/>
        <w:between w:val="single" w:sz="4" w:space="0" w:color="auto"/>
      </w:pBdr>
      <w:spacing w:after="60"/>
      <w:jc w:val="center"/>
      <w:rPr>
        <w:rFonts w:ascii="FrankRuehl" w:hAnsi="FrankRuehl" w:cs="FrankRuehl"/>
        <w:color w:val="000000"/>
      </w:rPr>
    </w:pPr>
    <w:r w:rsidRPr="006B184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D9E63" w14:textId="77777777" w:rsidR="006B1846" w:rsidRDefault="006B1846" w:rsidP="006B184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15904">
      <w:rPr>
        <w:rFonts w:ascii="FrankRuehl" w:hAnsi="FrankRuehl" w:cs="FrankRuehl"/>
        <w:noProof/>
        <w:rtl/>
      </w:rPr>
      <w:t>1</w:t>
    </w:r>
    <w:r>
      <w:rPr>
        <w:rFonts w:ascii="FrankRuehl" w:hAnsi="FrankRuehl" w:cs="FrankRuehl"/>
        <w:rtl/>
      </w:rPr>
      <w:fldChar w:fldCharType="end"/>
    </w:r>
  </w:p>
  <w:p w14:paraId="6712071E" w14:textId="77777777" w:rsidR="008500B6" w:rsidRPr="006B1846" w:rsidRDefault="006B1846" w:rsidP="006B1846">
    <w:pPr>
      <w:pStyle w:val="a5"/>
      <w:pBdr>
        <w:top w:val="single" w:sz="4" w:space="1" w:color="auto"/>
        <w:between w:val="single" w:sz="4" w:space="0" w:color="auto"/>
      </w:pBdr>
      <w:spacing w:after="60"/>
      <w:jc w:val="center"/>
      <w:rPr>
        <w:rFonts w:ascii="FrankRuehl" w:hAnsi="FrankRuehl" w:cs="FrankRuehl"/>
        <w:color w:val="000000"/>
      </w:rPr>
    </w:pPr>
    <w:r w:rsidRPr="006B1846">
      <w:rPr>
        <w:rFonts w:ascii="FrankRuehl" w:hAnsi="FrankRuehl" w:cs="FrankRuehl"/>
        <w:color w:val="000000"/>
      </w:rPr>
      <w:pict w14:anchorId="14ED3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E360DD" w14:textId="77777777" w:rsidR="0031124D" w:rsidRDefault="0031124D" w:rsidP="005A3CD8">
      <w:r>
        <w:separator/>
      </w:r>
    </w:p>
  </w:footnote>
  <w:footnote w:type="continuationSeparator" w:id="0">
    <w:p w14:paraId="1B9F9BF8" w14:textId="77777777" w:rsidR="0031124D" w:rsidRDefault="0031124D" w:rsidP="005A3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7D006" w14:textId="77777777" w:rsidR="005567C6" w:rsidRPr="006B1846" w:rsidRDefault="006B1846" w:rsidP="006B1846">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(קריות) 3919-12-20</w:t>
    </w:r>
    <w:r>
      <w:rPr>
        <w:rFonts w:ascii="David" w:hAnsi="David"/>
        <w:color w:val="000000"/>
        <w:sz w:val="22"/>
        <w:szCs w:val="22"/>
        <w:rtl/>
      </w:rPr>
      <w:tab/>
      <w:t xml:space="preserve"> מדינת ישראל  נ' יעקב קובי תורג'מן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E0A28" w14:textId="77777777" w:rsidR="005567C6" w:rsidRPr="006B1846" w:rsidRDefault="006B1846" w:rsidP="006B184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3919-12-20</w:t>
    </w:r>
    <w:r>
      <w:rPr>
        <w:rFonts w:ascii="David" w:hAnsi="David"/>
        <w:color w:val="000000"/>
        <w:sz w:val="22"/>
        <w:szCs w:val="22"/>
        <w:rtl/>
      </w:rPr>
      <w:tab/>
      <w:t xml:space="preserve"> מדינת ישראל  נ' יעקב קובי תורג'מן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D51"/>
    <w:multiLevelType w:val="hybridMultilevel"/>
    <w:tmpl w:val="0290C71A"/>
    <w:lvl w:ilvl="0" w:tplc="AF48CD38">
      <w:start w:val="1"/>
      <w:numFmt w:val="hebrew1"/>
      <w:lvlText w:val="%1."/>
      <w:lvlJc w:val="center"/>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E009E"/>
    <w:multiLevelType w:val="hybridMultilevel"/>
    <w:tmpl w:val="C78262C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2AB644CF"/>
    <w:multiLevelType w:val="hybridMultilevel"/>
    <w:tmpl w:val="8AEE5AE6"/>
    <w:lvl w:ilvl="0" w:tplc="D938E0B0">
      <w:start w:val="1"/>
      <w:numFmt w:val="decimal"/>
      <w:lvlText w:val="%1."/>
      <w:lvlJc w:val="left"/>
      <w:pPr>
        <w:tabs>
          <w:tab w:val="num" w:pos="567"/>
        </w:tabs>
        <w:ind w:left="0" w:firstLine="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6154B1"/>
    <w:multiLevelType w:val="hybridMultilevel"/>
    <w:tmpl w:val="F91C4956"/>
    <w:lvl w:ilvl="0" w:tplc="72BE403E">
      <w:start w:val="1"/>
      <w:numFmt w:val="hebrew1"/>
      <w:lvlText w:val="%1."/>
      <w:lvlJc w:val="center"/>
      <w:pPr>
        <w:tabs>
          <w:tab w:val="num" w:pos="1287"/>
        </w:tabs>
        <w:ind w:left="720" w:firstLine="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83258173">
    <w:abstractNumId w:val="2"/>
  </w:num>
  <w:num w:numId="2" w16cid:durableId="1639413216">
    <w:abstractNumId w:val="3"/>
  </w:num>
  <w:num w:numId="3" w16cid:durableId="1554806609">
    <w:abstractNumId w:val="0"/>
  </w:num>
  <w:num w:numId="4" w16cid:durableId="739986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94639"/>
    <w:rsid w:val="0000214B"/>
    <w:rsid w:val="000B5B6E"/>
    <w:rsid w:val="001B5A3B"/>
    <w:rsid w:val="001C2193"/>
    <w:rsid w:val="00294639"/>
    <w:rsid w:val="0031124D"/>
    <w:rsid w:val="003F787B"/>
    <w:rsid w:val="00511806"/>
    <w:rsid w:val="005567C6"/>
    <w:rsid w:val="005A3CD8"/>
    <w:rsid w:val="005D26D6"/>
    <w:rsid w:val="00615904"/>
    <w:rsid w:val="006B1846"/>
    <w:rsid w:val="008500B6"/>
    <w:rsid w:val="00F40A6B"/>
    <w:rsid w:val="00FB10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D6330E"/>
  <w15:chartTrackingRefBased/>
  <w15:docId w15:val="{E6CD272E-E6B9-47CB-9F50-15A9173CF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9463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94639"/>
    <w:pPr>
      <w:tabs>
        <w:tab w:val="center" w:pos="4153"/>
        <w:tab w:val="right" w:pos="8306"/>
      </w:tabs>
    </w:pPr>
  </w:style>
  <w:style w:type="character" w:customStyle="1" w:styleId="a4">
    <w:name w:val="כותרת עליונה תו"/>
    <w:link w:val="a3"/>
    <w:rsid w:val="00294639"/>
    <w:rPr>
      <w:rFonts w:ascii="Times New Roman" w:eastAsia="Times New Roman" w:hAnsi="Times New Roman" w:cs="David"/>
      <w:sz w:val="24"/>
      <w:szCs w:val="24"/>
    </w:rPr>
  </w:style>
  <w:style w:type="paragraph" w:styleId="a5">
    <w:name w:val="footer"/>
    <w:basedOn w:val="a"/>
    <w:link w:val="a6"/>
    <w:rsid w:val="00294639"/>
    <w:pPr>
      <w:tabs>
        <w:tab w:val="center" w:pos="4153"/>
        <w:tab w:val="right" w:pos="8306"/>
      </w:tabs>
    </w:pPr>
  </w:style>
  <w:style w:type="character" w:customStyle="1" w:styleId="a6">
    <w:name w:val="כותרת תחתונה תו"/>
    <w:link w:val="a5"/>
    <w:rsid w:val="00294639"/>
    <w:rPr>
      <w:rFonts w:ascii="Times New Roman" w:eastAsia="Times New Roman" w:hAnsi="Times New Roman" w:cs="David"/>
      <w:sz w:val="24"/>
      <w:szCs w:val="24"/>
    </w:rPr>
  </w:style>
  <w:style w:type="table" w:styleId="a7">
    <w:name w:val="Table Grid"/>
    <w:basedOn w:val="a1"/>
    <w:rsid w:val="0029463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94639"/>
  </w:style>
  <w:style w:type="paragraph" w:styleId="a9">
    <w:name w:val="List Paragraph"/>
    <w:basedOn w:val="a"/>
    <w:qFormat/>
    <w:rsid w:val="00294639"/>
    <w:pPr>
      <w:ind w:left="720"/>
      <w:contextualSpacing/>
    </w:pPr>
  </w:style>
  <w:style w:type="character" w:styleId="Hyperlink">
    <w:name w:val="Hyperlink"/>
    <w:rsid w:val="0029463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0" TargetMode="External"/><Relationship Id="rId18" Type="http://schemas.openxmlformats.org/officeDocument/2006/relationships/hyperlink" Target="http://www.nevo.co.il/law/70301/400" TargetMode="External"/><Relationship Id="rId26" Type="http://schemas.openxmlformats.org/officeDocument/2006/relationships/hyperlink" Target="http://www.nevo.co.il/case/26246488" TargetMode="External"/><Relationship Id="rId39" Type="http://schemas.openxmlformats.org/officeDocument/2006/relationships/hyperlink" Target="http://www.nevo.co.il/case/25946245" TargetMode="External"/><Relationship Id="rId21" Type="http://schemas.openxmlformats.org/officeDocument/2006/relationships/hyperlink" Target="http://www.nevo.co.il/case/22841413" TargetMode="External"/><Relationship Id="rId34" Type="http://schemas.openxmlformats.org/officeDocument/2006/relationships/hyperlink" Target="http://www.nevo.co.il/case/27573801"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9" Type="http://schemas.openxmlformats.org/officeDocument/2006/relationships/hyperlink" Target="http://www.nevo.co.il/case/2734763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26797877" TargetMode="External"/><Relationship Id="rId32" Type="http://schemas.openxmlformats.org/officeDocument/2006/relationships/hyperlink" Target="http://www.nevo.co.il/case/25946245" TargetMode="External"/><Relationship Id="rId37" Type="http://schemas.openxmlformats.org/officeDocument/2006/relationships/hyperlink" Target="http://www.nevo.co.il/case/6244964" TargetMode="External"/><Relationship Id="rId40" Type="http://schemas.openxmlformats.org/officeDocument/2006/relationships/hyperlink" Target="http://www.eca.gov.il"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44246" TargetMode="External"/><Relationship Id="rId28" Type="http://schemas.openxmlformats.org/officeDocument/2006/relationships/hyperlink" Target="http://www.nevo.co.il/case/27517511" TargetMode="External"/><Relationship Id="rId36" Type="http://schemas.openxmlformats.org/officeDocument/2006/relationships/hyperlink" Target="http://www.nevo.co.il/case/10459128"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7066481"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5681790" TargetMode="External"/><Relationship Id="rId27" Type="http://schemas.openxmlformats.org/officeDocument/2006/relationships/hyperlink" Target="http://www.nevo.co.il/case/27615803" TargetMode="External"/><Relationship Id="rId30" Type="http://schemas.openxmlformats.org/officeDocument/2006/relationships/hyperlink" Target="http://www.nevo.co.il/case/27502816" TargetMode="External"/><Relationship Id="rId35" Type="http://schemas.openxmlformats.org/officeDocument/2006/relationships/hyperlink" Target="http://www.nevo.co.il/case/22938500" TargetMode="External"/><Relationship Id="rId43" Type="http://schemas.openxmlformats.org/officeDocument/2006/relationships/header" Target="header2.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10" TargetMode="External"/><Relationship Id="rId25" Type="http://schemas.openxmlformats.org/officeDocument/2006/relationships/hyperlink" Target="http://www.nevo.co.il/case/27615803" TargetMode="External"/><Relationship Id="rId33" Type="http://schemas.openxmlformats.org/officeDocument/2006/relationships/hyperlink" Target="http://www.nevo.co.il/case/27862619" TargetMode="External"/><Relationship Id="rId38" Type="http://schemas.openxmlformats.org/officeDocument/2006/relationships/hyperlink" Target="http://www.nevo.co.il/case/27529712" TargetMode="External"/><Relationship Id="rId46" Type="http://schemas.openxmlformats.org/officeDocument/2006/relationships/fontTable" Target="fontTable.xml"/><Relationship Id="rId20" Type="http://schemas.openxmlformats.org/officeDocument/2006/relationships/hyperlink" Target="http://www.nevo.co.il/case/26995435"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2582</Words>
  <Characters>12910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15462</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7864368</vt:i4>
      </vt:variant>
      <vt:variant>
        <vt:i4>99</vt:i4>
      </vt:variant>
      <vt:variant>
        <vt:i4>0</vt:i4>
      </vt:variant>
      <vt:variant>
        <vt:i4>5</vt:i4>
      </vt:variant>
      <vt:variant>
        <vt:lpwstr>http://www.eca.gov.il/</vt:lpwstr>
      </vt:variant>
      <vt:variant>
        <vt:lpwstr/>
      </vt:variant>
      <vt:variant>
        <vt:i4>3735671</vt:i4>
      </vt:variant>
      <vt:variant>
        <vt:i4>96</vt:i4>
      </vt:variant>
      <vt:variant>
        <vt:i4>0</vt:i4>
      </vt:variant>
      <vt:variant>
        <vt:i4>5</vt:i4>
      </vt:variant>
      <vt:variant>
        <vt:lpwstr>http://www.nevo.co.il/case/25946245</vt:lpwstr>
      </vt:variant>
      <vt:variant>
        <vt:lpwstr/>
      </vt:variant>
      <vt:variant>
        <vt:i4>4128886</vt:i4>
      </vt:variant>
      <vt:variant>
        <vt:i4>93</vt:i4>
      </vt:variant>
      <vt:variant>
        <vt:i4>0</vt:i4>
      </vt:variant>
      <vt:variant>
        <vt:i4>5</vt:i4>
      </vt:variant>
      <vt:variant>
        <vt:lpwstr>http://www.nevo.co.il/case/27529712</vt:lpwstr>
      </vt:variant>
      <vt:variant>
        <vt:lpwstr/>
      </vt:variant>
      <vt:variant>
        <vt:i4>4128884</vt:i4>
      </vt:variant>
      <vt:variant>
        <vt:i4>90</vt:i4>
      </vt:variant>
      <vt:variant>
        <vt:i4>0</vt:i4>
      </vt:variant>
      <vt:variant>
        <vt:i4>5</vt:i4>
      </vt:variant>
      <vt:variant>
        <vt:lpwstr>http://www.nevo.co.il/case/6244964</vt:lpwstr>
      </vt:variant>
      <vt:variant>
        <vt:lpwstr/>
      </vt:variant>
      <vt:variant>
        <vt:i4>4063344</vt:i4>
      </vt:variant>
      <vt:variant>
        <vt:i4>87</vt:i4>
      </vt:variant>
      <vt:variant>
        <vt:i4>0</vt:i4>
      </vt:variant>
      <vt:variant>
        <vt:i4>5</vt:i4>
      </vt:variant>
      <vt:variant>
        <vt:lpwstr>http://www.nevo.co.il/case/10459128</vt:lpwstr>
      </vt:variant>
      <vt:variant>
        <vt:lpwstr/>
      </vt:variant>
      <vt:variant>
        <vt:i4>3342448</vt:i4>
      </vt:variant>
      <vt:variant>
        <vt:i4>84</vt:i4>
      </vt:variant>
      <vt:variant>
        <vt:i4>0</vt:i4>
      </vt:variant>
      <vt:variant>
        <vt:i4>5</vt:i4>
      </vt:variant>
      <vt:variant>
        <vt:lpwstr>http://www.nevo.co.il/case/22938500</vt:lpwstr>
      </vt:variant>
      <vt:variant>
        <vt:lpwstr/>
      </vt:variant>
      <vt:variant>
        <vt:i4>3407996</vt:i4>
      </vt:variant>
      <vt:variant>
        <vt:i4>81</vt:i4>
      </vt:variant>
      <vt:variant>
        <vt:i4>0</vt:i4>
      </vt:variant>
      <vt:variant>
        <vt:i4>5</vt:i4>
      </vt:variant>
      <vt:variant>
        <vt:lpwstr>http://www.nevo.co.il/case/27573801</vt:lpwstr>
      </vt:variant>
      <vt:variant>
        <vt:lpwstr/>
      </vt:variant>
      <vt:variant>
        <vt:i4>3735667</vt:i4>
      </vt:variant>
      <vt:variant>
        <vt:i4>78</vt:i4>
      </vt:variant>
      <vt:variant>
        <vt:i4>0</vt:i4>
      </vt:variant>
      <vt:variant>
        <vt:i4>5</vt:i4>
      </vt:variant>
      <vt:variant>
        <vt:lpwstr>http://www.nevo.co.il/case/27862619</vt:lpwstr>
      </vt:variant>
      <vt:variant>
        <vt:lpwstr/>
      </vt:variant>
      <vt:variant>
        <vt:i4>3735671</vt:i4>
      </vt:variant>
      <vt:variant>
        <vt:i4>75</vt:i4>
      </vt:variant>
      <vt:variant>
        <vt:i4>0</vt:i4>
      </vt:variant>
      <vt:variant>
        <vt:i4>5</vt:i4>
      </vt:variant>
      <vt:variant>
        <vt:lpwstr>http://www.nevo.co.il/case/25946245</vt:lpwstr>
      </vt:variant>
      <vt:variant>
        <vt:lpwstr/>
      </vt:variant>
      <vt:variant>
        <vt:i4>3932273</vt:i4>
      </vt:variant>
      <vt:variant>
        <vt:i4>72</vt:i4>
      </vt:variant>
      <vt:variant>
        <vt:i4>0</vt:i4>
      </vt:variant>
      <vt:variant>
        <vt:i4>5</vt:i4>
      </vt:variant>
      <vt:variant>
        <vt:lpwstr>http://www.nevo.co.il/case/27066481</vt:lpwstr>
      </vt:variant>
      <vt:variant>
        <vt:lpwstr/>
      </vt:variant>
      <vt:variant>
        <vt:i4>3407995</vt:i4>
      </vt:variant>
      <vt:variant>
        <vt:i4>69</vt:i4>
      </vt:variant>
      <vt:variant>
        <vt:i4>0</vt:i4>
      </vt:variant>
      <vt:variant>
        <vt:i4>5</vt:i4>
      </vt:variant>
      <vt:variant>
        <vt:lpwstr>http://www.nevo.co.il/case/27502816</vt:lpwstr>
      </vt:variant>
      <vt:variant>
        <vt:lpwstr/>
      </vt:variant>
      <vt:variant>
        <vt:i4>3473521</vt:i4>
      </vt:variant>
      <vt:variant>
        <vt:i4>66</vt:i4>
      </vt:variant>
      <vt:variant>
        <vt:i4>0</vt:i4>
      </vt:variant>
      <vt:variant>
        <vt:i4>5</vt:i4>
      </vt:variant>
      <vt:variant>
        <vt:lpwstr>http://www.nevo.co.il/case/27347635</vt:lpwstr>
      </vt:variant>
      <vt:variant>
        <vt:lpwstr/>
      </vt:variant>
      <vt:variant>
        <vt:i4>3211383</vt:i4>
      </vt:variant>
      <vt:variant>
        <vt:i4>63</vt:i4>
      </vt:variant>
      <vt:variant>
        <vt:i4>0</vt:i4>
      </vt:variant>
      <vt:variant>
        <vt:i4>5</vt:i4>
      </vt:variant>
      <vt:variant>
        <vt:lpwstr>http://www.nevo.co.il/case/27517511</vt:lpwstr>
      </vt:variant>
      <vt:variant>
        <vt:lpwstr/>
      </vt:variant>
      <vt:variant>
        <vt:i4>3211386</vt:i4>
      </vt:variant>
      <vt:variant>
        <vt:i4>60</vt:i4>
      </vt:variant>
      <vt:variant>
        <vt:i4>0</vt:i4>
      </vt:variant>
      <vt:variant>
        <vt:i4>5</vt:i4>
      </vt:variant>
      <vt:variant>
        <vt:lpwstr>http://www.nevo.co.il/case/27615803</vt:lpwstr>
      </vt:variant>
      <vt:variant>
        <vt:lpwstr/>
      </vt:variant>
      <vt:variant>
        <vt:i4>4063346</vt:i4>
      </vt:variant>
      <vt:variant>
        <vt:i4>57</vt:i4>
      </vt:variant>
      <vt:variant>
        <vt:i4>0</vt:i4>
      </vt:variant>
      <vt:variant>
        <vt:i4>5</vt:i4>
      </vt:variant>
      <vt:variant>
        <vt:lpwstr>http://www.nevo.co.il/case/26246488</vt:lpwstr>
      </vt:variant>
      <vt:variant>
        <vt:lpwstr/>
      </vt:variant>
      <vt:variant>
        <vt:i4>3211386</vt:i4>
      </vt:variant>
      <vt:variant>
        <vt:i4>54</vt:i4>
      </vt:variant>
      <vt:variant>
        <vt:i4>0</vt:i4>
      </vt:variant>
      <vt:variant>
        <vt:i4>5</vt:i4>
      </vt:variant>
      <vt:variant>
        <vt:lpwstr>http://www.nevo.co.il/case/27615803</vt:lpwstr>
      </vt:variant>
      <vt:variant>
        <vt:lpwstr/>
      </vt:variant>
      <vt:variant>
        <vt:i4>3473523</vt:i4>
      </vt:variant>
      <vt:variant>
        <vt:i4>51</vt:i4>
      </vt:variant>
      <vt:variant>
        <vt:i4>0</vt:i4>
      </vt:variant>
      <vt:variant>
        <vt:i4>5</vt:i4>
      </vt:variant>
      <vt:variant>
        <vt:lpwstr>http://www.nevo.co.il/case/26797877</vt:lpwstr>
      </vt:variant>
      <vt:variant>
        <vt:lpwstr/>
      </vt:variant>
      <vt:variant>
        <vt:i4>131138</vt:i4>
      </vt:variant>
      <vt:variant>
        <vt:i4>48</vt:i4>
      </vt:variant>
      <vt:variant>
        <vt:i4>0</vt:i4>
      </vt:variant>
      <vt:variant>
        <vt:i4>5</vt:i4>
      </vt:variant>
      <vt:variant>
        <vt:lpwstr>http://www.nevo.co.il/case/244246</vt:lpwstr>
      </vt:variant>
      <vt:variant>
        <vt:lpwstr/>
      </vt:variant>
      <vt:variant>
        <vt:i4>3801210</vt:i4>
      </vt:variant>
      <vt:variant>
        <vt:i4>45</vt:i4>
      </vt:variant>
      <vt:variant>
        <vt:i4>0</vt:i4>
      </vt:variant>
      <vt:variant>
        <vt:i4>5</vt:i4>
      </vt:variant>
      <vt:variant>
        <vt:lpwstr>http://www.nevo.co.il/case/5681790</vt:lpwstr>
      </vt:variant>
      <vt:variant>
        <vt:lpwstr/>
      </vt:variant>
      <vt:variant>
        <vt:i4>3801206</vt:i4>
      </vt:variant>
      <vt:variant>
        <vt:i4>42</vt:i4>
      </vt:variant>
      <vt:variant>
        <vt:i4>0</vt:i4>
      </vt:variant>
      <vt:variant>
        <vt:i4>5</vt:i4>
      </vt:variant>
      <vt:variant>
        <vt:lpwstr>http://www.nevo.co.il/case/22841413</vt:lpwstr>
      </vt:variant>
      <vt:variant>
        <vt:lpwstr/>
      </vt:variant>
      <vt:variant>
        <vt:i4>3997823</vt:i4>
      </vt:variant>
      <vt:variant>
        <vt:i4>39</vt:i4>
      </vt:variant>
      <vt:variant>
        <vt:i4>0</vt:i4>
      </vt:variant>
      <vt:variant>
        <vt:i4>5</vt:i4>
      </vt:variant>
      <vt:variant>
        <vt:lpwstr>http://www.nevo.co.il/case/26995435</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http://www.nevo.co.il/law/70301/400</vt:lpwstr>
      </vt:variant>
      <vt:variant>
        <vt:lpwstr/>
      </vt:variant>
      <vt:variant>
        <vt:i4>5177418</vt:i4>
      </vt:variant>
      <vt:variant>
        <vt:i4>30</vt:i4>
      </vt:variant>
      <vt:variant>
        <vt:i4>0</vt:i4>
      </vt:variant>
      <vt:variant>
        <vt:i4>5</vt:i4>
      </vt:variant>
      <vt:variant>
        <vt:lpwstr>http://www.nevo.co.il/law/4216/10</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6619233</vt:i4>
      </vt:variant>
      <vt:variant>
        <vt:i4>18</vt:i4>
      </vt:variant>
      <vt:variant>
        <vt:i4>0</vt:i4>
      </vt:variant>
      <vt:variant>
        <vt:i4>5</vt:i4>
      </vt:variant>
      <vt:variant>
        <vt:lpwstr>http://www.nevo.co.il/law/70301/400</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2025-04-23T00:50:00Z</dcterms:created>
  <dcterms:modified xsi:type="dcterms:W3CDTF">2025-04-23T00:50:00Z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3919</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 </vt:lpwstr>
  </property>
  <property fmtid="{D5CDD505-2E9C-101B-9397-08002B2CF9AE}" pid="9" name="APPELLEE">
    <vt:lpwstr>יעקב קובי תורג'מן</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20220718</vt:lpwstr>
  </property>
  <property fmtid="{D5CDD505-2E9C-101B-9397-08002B2CF9AE}" pid="13" name="TYPE_N_DATE">
    <vt:lpwstr>38020220718</vt:lpwstr>
  </property>
  <property fmtid="{D5CDD505-2E9C-101B-9397-08002B2CF9AE}" pid="14" name="WORDNUMPAGES">
    <vt:lpwstr>7</vt:lpwstr>
  </property>
  <property fmtid="{D5CDD505-2E9C-101B-9397-08002B2CF9AE}" pid="15" name="TYPE_ABS_DATE">
    <vt:lpwstr>380020220718</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26995435;22841413;5681790;244246;26797877;27615803:2;26246488;27517511;27347635;27502816;27066481;25946245:2;27862619;27573801;22938500;10459128;6244964;27529712</vt:lpwstr>
  </property>
  <property fmtid="{D5CDD505-2E9C-101B-9397-08002B2CF9AE}" pid="36" name="LAWLISTTMP1">
    <vt:lpwstr>4216/006;007.a;007.c;010</vt:lpwstr>
  </property>
  <property fmtid="{D5CDD505-2E9C-101B-9397-08002B2CF9AE}" pid="37" name="LAWLISTTMP2">
    <vt:lpwstr>70301/400</vt:lpwstr>
  </property>
</Properties>
</file>