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385"/>
        <w:gridCol w:w="3120"/>
      </w:tblGrid>
      <w:tr w:rsidR="008561AF" w:rsidRPr="00571FCC" w14:paraId="4740968D" w14:textId="77777777" w:rsidTr="009B0EA7">
        <w:trPr>
          <w:trHeight w:hRule="exact" w:val="418"/>
          <w:jc w:val="center"/>
        </w:trPr>
        <w:tc>
          <w:tcPr>
            <w:tcW w:w="8505" w:type="dxa"/>
            <w:gridSpan w:val="2"/>
          </w:tcPr>
          <w:p w14:paraId="64C07B21" w14:textId="77777777" w:rsidR="008561AF" w:rsidRPr="00571FCC" w:rsidRDefault="008561AF" w:rsidP="009B0EA7">
            <w:pPr>
              <w:pStyle w:val="a3"/>
              <w:jc w:val="center"/>
              <w:rPr>
                <w:rFonts w:ascii="Tahoma" w:hAnsi="Tahoma" w:cs="Tahoma"/>
                <w:color w:val="000080"/>
                <w:rtl/>
              </w:rPr>
            </w:pPr>
            <w:bookmarkStart w:id="0" w:name="LastJudge"/>
            <w:r w:rsidRPr="00571FCC">
              <w:rPr>
                <w:rFonts w:ascii="Tahoma" w:hAnsi="Tahoma" w:cs="Tahoma"/>
                <w:b/>
                <w:bCs/>
                <w:color w:val="000080"/>
                <w:rtl/>
              </w:rPr>
              <w:t>בית משפט השלום בירושלים</w:t>
            </w:r>
          </w:p>
        </w:tc>
      </w:tr>
      <w:tr w:rsidR="008561AF" w:rsidRPr="00571FCC" w14:paraId="765B284D" w14:textId="77777777" w:rsidTr="009B0EA7">
        <w:trPr>
          <w:trHeight w:val="337"/>
          <w:jc w:val="center"/>
        </w:trPr>
        <w:tc>
          <w:tcPr>
            <w:tcW w:w="5385" w:type="dxa"/>
          </w:tcPr>
          <w:p w14:paraId="13DC78D7" w14:textId="77777777" w:rsidR="008561AF" w:rsidRPr="00571FCC" w:rsidRDefault="008561AF" w:rsidP="009B0EA7">
            <w:pPr>
              <w:rPr>
                <w:rFonts w:ascii="David" w:hAnsi="David"/>
                <w:b/>
                <w:bCs/>
                <w:sz w:val="26"/>
                <w:szCs w:val="26"/>
                <w:rtl/>
              </w:rPr>
            </w:pPr>
            <w:r w:rsidRPr="00571FCC">
              <w:rPr>
                <w:rFonts w:ascii="David" w:hAnsi="David"/>
                <w:b/>
                <w:bCs/>
                <w:sz w:val="26"/>
                <w:szCs w:val="26"/>
                <w:rtl/>
              </w:rPr>
              <w:t>ת"פ 57130-12-20 מדינת ישראל נ' קרמר</w:t>
            </w:r>
            <w:r w:rsidRPr="00571FCC">
              <w:rPr>
                <w:rFonts w:ascii="David" w:hAnsi="David"/>
                <w:b/>
                <w:bCs/>
                <w:sz w:val="26"/>
                <w:szCs w:val="26"/>
                <w:rtl/>
              </w:rPr>
              <w:br/>
              <w:t>ת"פ</w:t>
            </w:r>
            <w:r w:rsidRPr="00571FCC">
              <w:rPr>
                <w:rFonts w:ascii="David" w:hAnsi="David" w:hint="cs"/>
                <w:b/>
                <w:bCs/>
                <w:sz w:val="26"/>
                <w:szCs w:val="26"/>
                <w:rtl/>
              </w:rPr>
              <w:t xml:space="preserve"> (רמלה) </w:t>
            </w:r>
            <w:r w:rsidRPr="00571FCC">
              <w:rPr>
                <w:rFonts w:ascii="David" w:hAnsi="David"/>
                <w:b/>
                <w:bCs/>
                <w:sz w:val="26"/>
                <w:szCs w:val="26"/>
                <w:rtl/>
              </w:rPr>
              <w:t>46036-04-22</w:t>
            </w:r>
          </w:p>
          <w:p w14:paraId="0C148CE0" w14:textId="77777777" w:rsidR="008561AF" w:rsidRPr="00571FCC" w:rsidRDefault="008561AF" w:rsidP="009B0EA7">
            <w:pPr>
              <w:pStyle w:val="a3"/>
              <w:rPr>
                <w:rFonts w:cs="FrankRuehl"/>
                <w:sz w:val="28"/>
                <w:szCs w:val="28"/>
                <w:rtl/>
              </w:rPr>
            </w:pPr>
          </w:p>
        </w:tc>
        <w:tc>
          <w:tcPr>
            <w:tcW w:w="3120" w:type="dxa"/>
          </w:tcPr>
          <w:p w14:paraId="0B6D2CC5" w14:textId="77777777" w:rsidR="008561AF" w:rsidRPr="00571FCC" w:rsidRDefault="008561AF" w:rsidP="009B0EA7">
            <w:pPr>
              <w:pStyle w:val="a3"/>
              <w:jc w:val="right"/>
              <w:rPr>
                <w:rFonts w:cs="FrankRuehl"/>
                <w:sz w:val="28"/>
                <w:szCs w:val="28"/>
                <w:rtl/>
              </w:rPr>
            </w:pPr>
          </w:p>
        </w:tc>
      </w:tr>
    </w:tbl>
    <w:p w14:paraId="22260EA8" w14:textId="77777777" w:rsidR="008561AF" w:rsidRPr="00571FCC" w:rsidRDefault="008561AF" w:rsidP="008561AF">
      <w:pPr>
        <w:pStyle w:val="a3"/>
        <w:rPr>
          <w:rtl/>
        </w:rPr>
      </w:pPr>
      <w:r w:rsidRPr="00571FCC">
        <w:rPr>
          <w:rFonts w:hint="cs"/>
          <w:rtl/>
        </w:rPr>
        <w:t xml:space="preserve"> </w:t>
      </w:r>
    </w:p>
    <w:p w14:paraId="290D0019" w14:textId="77777777" w:rsidR="008561AF" w:rsidRPr="00571FCC" w:rsidRDefault="008561AF" w:rsidP="008561AF">
      <w:pPr>
        <w:rPr>
          <w:sz w:val="26"/>
          <w:szCs w:val="26"/>
          <w:rtl/>
        </w:rPr>
      </w:pPr>
    </w:p>
    <w:p w14:paraId="72C99A58" w14:textId="77777777" w:rsidR="008561AF" w:rsidRPr="00571FCC" w:rsidRDefault="008561AF" w:rsidP="008561AF">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561AF" w:rsidRPr="00571FCC" w14:paraId="6D971EFD" w14:textId="77777777" w:rsidTr="008561AF">
        <w:trPr>
          <w:trHeight w:val="295"/>
          <w:jc w:val="center"/>
        </w:trPr>
        <w:tc>
          <w:tcPr>
            <w:tcW w:w="923" w:type="dxa"/>
            <w:tcBorders>
              <w:top w:val="nil"/>
              <w:left w:val="nil"/>
              <w:bottom w:val="nil"/>
              <w:right w:val="nil"/>
            </w:tcBorders>
            <w:shd w:val="clear" w:color="auto" w:fill="auto"/>
          </w:tcPr>
          <w:p w14:paraId="3B3304F3" w14:textId="77777777" w:rsidR="008561AF" w:rsidRPr="00571FCC" w:rsidRDefault="008561AF" w:rsidP="008561AF">
            <w:pPr>
              <w:jc w:val="both"/>
              <w:rPr>
                <w:rFonts w:ascii="David" w:hAnsi="David"/>
                <w:b/>
                <w:bCs/>
                <w:sz w:val="26"/>
                <w:szCs w:val="26"/>
              </w:rPr>
            </w:pPr>
            <w:r w:rsidRPr="00571FCC">
              <w:rPr>
                <w:rFonts w:ascii="David" w:hAnsi="David" w:hint="cs"/>
                <w:b/>
                <w:bCs/>
                <w:sz w:val="26"/>
                <w:szCs w:val="26"/>
                <w:rtl/>
              </w:rPr>
              <w:t>ל</w:t>
            </w:r>
            <w:r w:rsidRPr="00571FCC">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2F51B62B" w14:textId="77777777" w:rsidR="008561AF" w:rsidRPr="00571FCC" w:rsidRDefault="008561AF" w:rsidP="009B0EA7">
            <w:pPr>
              <w:rPr>
                <w:rFonts w:ascii="David" w:hAnsi="David"/>
                <w:b/>
                <w:bCs/>
                <w:sz w:val="26"/>
                <w:szCs w:val="26"/>
                <w:rtl/>
              </w:rPr>
            </w:pPr>
            <w:r w:rsidRPr="00571FCC">
              <w:rPr>
                <w:rFonts w:ascii="David" w:hAnsi="David"/>
                <w:b/>
                <w:bCs/>
                <w:sz w:val="26"/>
                <w:szCs w:val="26"/>
                <w:rtl/>
              </w:rPr>
              <w:t>כבוד השופט  דוד שאול גבאי ריכטר</w:t>
            </w:r>
          </w:p>
          <w:p w14:paraId="6CC66BEE" w14:textId="77777777" w:rsidR="008561AF" w:rsidRPr="00571FCC" w:rsidRDefault="008561AF" w:rsidP="009B0EA7">
            <w:pPr>
              <w:rPr>
                <w:rFonts w:ascii="David" w:hAnsi="David"/>
                <w:b/>
                <w:bCs/>
                <w:sz w:val="26"/>
                <w:szCs w:val="26"/>
                <w:rtl/>
              </w:rPr>
            </w:pPr>
          </w:p>
          <w:p w14:paraId="13278146" w14:textId="77777777" w:rsidR="008561AF" w:rsidRPr="00571FCC" w:rsidRDefault="008561AF" w:rsidP="008561AF">
            <w:pPr>
              <w:jc w:val="both"/>
              <w:rPr>
                <w:rFonts w:ascii="David" w:hAnsi="David"/>
                <w:b/>
                <w:bCs/>
                <w:sz w:val="26"/>
                <w:szCs w:val="26"/>
              </w:rPr>
            </w:pPr>
          </w:p>
        </w:tc>
      </w:tr>
      <w:tr w:rsidR="008561AF" w:rsidRPr="00571FCC" w14:paraId="64546D8B" w14:textId="77777777" w:rsidTr="008561AF">
        <w:trPr>
          <w:trHeight w:val="355"/>
          <w:jc w:val="center"/>
        </w:trPr>
        <w:tc>
          <w:tcPr>
            <w:tcW w:w="923" w:type="dxa"/>
            <w:tcBorders>
              <w:top w:val="nil"/>
              <w:left w:val="nil"/>
              <w:bottom w:val="nil"/>
              <w:right w:val="nil"/>
            </w:tcBorders>
            <w:shd w:val="clear" w:color="auto" w:fill="auto"/>
          </w:tcPr>
          <w:p w14:paraId="598CB177" w14:textId="77777777" w:rsidR="008561AF" w:rsidRPr="00571FCC" w:rsidRDefault="008561AF" w:rsidP="008561AF">
            <w:pPr>
              <w:jc w:val="both"/>
              <w:rPr>
                <w:rFonts w:ascii="David" w:hAnsi="David"/>
                <w:b/>
                <w:bCs/>
                <w:sz w:val="26"/>
                <w:szCs w:val="26"/>
              </w:rPr>
            </w:pPr>
            <w:bookmarkStart w:id="1" w:name="FirstAppellant"/>
            <w:bookmarkStart w:id="2" w:name="FirstLawyer"/>
            <w:r w:rsidRPr="00571FCC">
              <w:rPr>
                <w:rFonts w:ascii="David" w:hAnsi="David"/>
                <w:b/>
                <w:bCs/>
                <w:sz w:val="26"/>
                <w:szCs w:val="26"/>
                <w:rtl/>
              </w:rPr>
              <w:t>בעניין:</w:t>
            </w:r>
          </w:p>
        </w:tc>
        <w:tc>
          <w:tcPr>
            <w:tcW w:w="3219" w:type="dxa"/>
            <w:tcBorders>
              <w:top w:val="nil"/>
              <w:left w:val="nil"/>
              <w:bottom w:val="nil"/>
              <w:right w:val="nil"/>
            </w:tcBorders>
            <w:shd w:val="clear" w:color="auto" w:fill="auto"/>
          </w:tcPr>
          <w:p w14:paraId="05810F41" w14:textId="77777777" w:rsidR="008561AF" w:rsidRPr="00571FCC" w:rsidRDefault="008561AF" w:rsidP="008561AF">
            <w:pPr>
              <w:suppressLineNumbers/>
              <w:rPr>
                <w:b/>
                <w:bCs/>
              </w:rPr>
            </w:pPr>
            <w:r w:rsidRPr="00571FCC">
              <w:rPr>
                <w:rFonts w:ascii="Arial" w:hAnsi="Arial" w:hint="cs"/>
                <w:b/>
                <w:bCs/>
                <w:sz w:val="26"/>
                <w:szCs w:val="26"/>
                <w:rtl/>
              </w:rPr>
              <w:t>ה</w:t>
            </w:r>
            <w:r w:rsidRPr="00571FCC">
              <w:rPr>
                <w:rFonts w:ascii="Arial" w:hAnsi="Arial"/>
                <w:b/>
                <w:bCs/>
                <w:sz w:val="26"/>
                <w:szCs w:val="26"/>
                <w:rtl/>
              </w:rPr>
              <w:t>מאשימה</w:t>
            </w:r>
          </w:p>
          <w:p w14:paraId="4332EF1B" w14:textId="77777777" w:rsidR="008561AF" w:rsidRPr="00571FCC" w:rsidRDefault="008561AF" w:rsidP="009B0EA7">
            <w:pPr>
              <w:rPr>
                <w:rFonts w:ascii="David" w:hAnsi="David"/>
                <w:b/>
                <w:bCs/>
                <w:sz w:val="26"/>
                <w:szCs w:val="26"/>
              </w:rPr>
            </w:pPr>
          </w:p>
        </w:tc>
        <w:tc>
          <w:tcPr>
            <w:tcW w:w="4678" w:type="dxa"/>
            <w:tcBorders>
              <w:top w:val="nil"/>
              <w:left w:val="nil"/>
              <w:bottom w:val="nil"/>
              <w:right w:val="nil"/>
            </w:tcBorders>
            <w:shd w:val="clear" w:color="auto" w:fill="auto"/>
            <w:vAlign w:val="center"/>
          </w:tcPr>
          <w:p w14:paraId="140BA505" w14:textId="77777777" w:rsidR="008561AF" w:rsidRPr="00571FCC" w:rsidRDefault="008561AF" w:rsidP="008561AF">
            <w:pPr>
              <w:suppressLineNumbers/>
              <w:rPr>
                <w:rFonts w:ascii="Arial" w:hAnsi="Arial"/>
                <w:b/>
                <w:bCs/>
                <w:sz w:val="26"/>
                <w:szCs w:val="26"/>
                <w:rtl/>
              </w:rPr>
            </w:pPr>
            <w:r w:rsidRPr="00571FCC">
              <w:rPr>
                <w:rFonts w:ascii="Arial" w:hAnsi="Arial"/>
                <w:b/>
                <w:bCs/>
                <w:sz w:val="26"/>
                <w:szCs w:val="26"/>
                <w:rtl/>
              </w:rPr>
              <w:t>מדינת ישראל</w:t>
            </w:r>
            <w:r w:rsidRPr="00571FCC">
              <w:rPr>
                <w:rFonts w:ascii="Arial" w:hAnsi="Arial" w:hint="cs"/>
                <w:b/>
                <w:bCs/>
                <w:sz w:val="26"/>
                <w:szCs w:val="26"/>
                <w:rtl/>
              </w:rPr>
              <w:t xml:space="preserve"> </w:t>
            </w:r>
          </w:p>
          <w:p w14:paraId="1DC66BDD" w14:textId="77777777" w:rsidR="008561AF" w:rsidRPr="00571FCC" w:rsidRDefault="008561AF" w:rsidP="008561AF">
            <w:pPr>
              <w:suppressLineNumbers/>
              <w:rPr>
                <w:rFonts w:ascii="Arial" w:hAnsi="Arial"/>
                <w:b/>
                <w:bCs/>
                <w:sz w:val="26"/>
                <w:szCs w:val="26"/>
                <w:rtl/>
              </w:rPr>
            </w:pPr>
            <w:r w:rsidRPr="00571FCC">
              <w:rPr>
                <w:rFonts w:ascii="Arial" w:hAnsi="Arial"/>
                <w:b/>
                <w:bCs/>
                <w:sz w:val="26"/>
                <w:szCs w:val="26"/>
                <w:rtl/>
              </w:rPr>
              <w:t xml:space="preserve">ע"י ב"כ </w:t>
            </w:r>
            <w:r w:rsidRPr="00571FCC">
              <w:rPr>
                <w:rFonts w:ascii="Arial" w:hAnsi="Arial" w:hint="cs"/>
                <w:b/>
                <w:bCs/>
                <w:sz w:val="26"/>
                <w:szCs w:val="26"/>
                <w:rtl/>
              </w:rPr>
              <w:t>פקד דוד כהן, מתמחה</w:t>
            </w:r>
          </w:p>
          <w:p w14:paraId="6024B5DB" w14:textId="77777777" w:rsidR="008561AF" w:rsidRPr="00571FCC" w:rsidRDefault="008561AF" w:rsidP="008561AF">
            <w:pPr>
              <w:suppressLineNumbers/>
              <w:rPr>
                <w:b/>
                <w:bCs/>
              </w:rPr>
            </w:pPr>
            <w:r w:rsidRPr="00571FCC">
              <w:rPr>
                <w:rFonts w:ascii="Arial" w:hAnsi="Arial" w:hint="cs"/>
                <w:b/>
                <w:bCs/>
                <w:sz w:val="26"/>
                <w:szCs w:val="26"/>
                <w:rtl/>
              </w:rPr>
              <w:t>מתביעות ירושלים</w:t>
            </w:r>
          </w:p>
          <w:p w14:paraId="7B6171B7" w14:textId="77777777" w:rsidR="008561AF" w:rsidRPr="00571FCC" w:rsidRDefault="008561AF" w:rsidP="009B0EA7">
            <w:pPr>
              <w:rPr>
                <w:rFonts w:ascii="David" w:hAnsi="David"/>
                <w:b/>
                <w:bCs/>
                <w:sz w:val="26"/>
                <w:szCs w:val="26"/>
              </w:rPr>
            </w:pPr>
          </w:p>
        </w:tc>
      </w:tr>
      <w:bookmarkEnd w:id="1"/>
      <w:bookmarkEnd w:id="2"/>
      <w:tr w:rsidR="008561AF" w:rsidRPr="00571FCC" w14:paraId="22C9A08B" w14:textId="77777777" w:rsidTr="008561AF">
        <w:trPr>
          <w:trHeight w:val="355"/>
          <w:jc w:val="center"/>
        </w:trPr>
        <w:tc>
          <w:tcPr>
            <w:tcW w:w="923" w:type="dxa"/>
            <w:tcBorders>
              <w:top w:val="nil"/>
              <w:left w:val="nil"/>
              <w:bottom w:val="nil"/>
              <w:right w:val="nil"/>
            </w:tcBorders>
            <w:shd w:val="clear" w:color="auto" w:fill="auto"/>
          </w:tcPr>
          <w:p w14:paraId="15FB5546" w14:textId="77777777" w:rsidR="008561AF" w:rsidRPr="00571FCC" w:rsidRDefault="008561AF" w:rsidP="008561AF">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60327DB" w14:textId="77777777" w:rsidR="008561AF" w:rsidRPr="00571FCC" w:rsidRDefault="008561AF" w:rsidP="008561AF">
            <w:pPr>
              <w:jc w:val="center"/>
              <w:rPr>
                <w:rFonts w:ascii="David" w:hAnsi="David"/>
                <w:b/>
                <w:bCs/>
                <w:sz w:val="26"/>
                <w:szCs w:val="26"/>
                <w:rtl/>
              </w:rPr>
            </w:pPr>
          </w:p>
          <w:p w14:paraId="221CFD10" w14:textId="77777777" w:rsidR="008561AF" w:rsidRPr="00571FCC" w:rsidRDefault="008561AF" w:rsidP="008561AF">
            <w:pPr>
              <w:jc w:val="center"/>
              <w:rPr>
                <w:rFonts w:ascii="David" w:hAnsi="David"/>
                <w:b/>
                <w:bCs/>
                <w:sz w:val="26"/>
                <w:szCs w:val="26"/>
                <w:rtl/>
              </w:rPr>
            </w:pPr>
            <w:r w:rsidRPr="00571FCC">
              <w:rPr>
                <w:rFonts w:ascii="David" w:hAnsi="David"/>
                <w:b/>
                <w:bCs/>
                <w:sz w:val="26"/>
                <w:szCs w:val="26"/>
                <w:rtl/>
              </w:rPr>
              <w:t>נגד</w:t>
            </w:r>
          </w:p>
          <w:p w14:paraId="4D2515FE" w14:textId="77777777" w:rsidR="008561AF" w:rsidRPr="00571FCC" w:rsidRDefault="008561AF" w:rsidP="008561AF">
            <w:pPr>
              <w:jc w:val="both"/>
              <w:rPr>
                <w:rFonts w:ascii="David" w:hAnsi="David"/>
                <w:b/>
                <w:bCs/>
                <w:sz w:val="26"/>
                <w:szCs w:val="26"/>
              </w:rPr>
            </w:pPr>
          </w:p>
        </w:tc>
      </w:tr>
      <w:tr w:rsidR="008561AF" w:rsidRPr="00571FCC" w14:paraId="37D402B7" w14:textId="77777777" w:rsidTr="008561AF">
        <w:trPr>
          <w:trHeight w:val="355"/>
          <w:jc w:val="center"/>
        </w:trPr>
        <w:tc>
          <w:tcPr>
            <w:tcW w:w="923" w:type="dxa"/>
            <w:tcBorders>
              <w:top w:val="nil"/>
              <w:left w:val="nil"/>
              <w:bottom w:val="nil"/>
              <w:right w:val="nil"/>
            </w:tcBorders>
            <w:shd w:val="clear" w:color="auto" w:fill="auto"/>
          </w:tcPr>
          <w:p w14:paraId="2C20C439" w14:textId="77777777" w:rsidR="008561AF" w:rsidRPr="00571FCC" w:rsidRDefault="008561AF" w:rsidP="009B0EA7">
            <w:pPr>
              <w:rPr>
                <w:rFonts w:ascii="David" w:hAnsi="David"/>
                <w:b/>
                <w:bCs/>
                <w:sz w:val="26"/>
                <w:szCs w:val="26"/>
                <w:rtl/>
              </w:rPr>
            </w:pPr>
          </w:p>
        </w:tc>
        <w:tc>
          <w:tcPr>
            <w:tcW w:w="3219" w:type="dxa"/>
            <w:tcBorders>
              <w:top w:val="nil"/>
              <w:left w:val="nil"/>
              <w:bottom w:val="nil"/>
              <w:right w:val="nil"/>
            </w:tcBorders>
            <w:shd w:val="clear" w:color="auto" w:fill="auto"/>
          </w:tcPr>
          <w:p w14:paraId="00147C61" w14:textId="77777777" w:rsidR="008561AF" w:rsidRPr="00571FCC" w:rsidRDefault="008561AF" w:rsidP="009B0EA7">
            <w:pPr>
              <w:rPr>
                <w:rFonts w:ascii="Arial" w:hAnsi="Arial"/>
                <w:b/>
                <w:bCs/>
                <w:sz w:val="26"/>
                <w:szCs w:val="26"/>
                <w:rtl/>
              </w:rPr>
            </w:pPr>
            <w:r w:rsidRPr="00571FC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CF43529" w14:textId="77777777" w:rsidR="008561AF" w:rsidRPr="00571FCC" w:rsidRDefault="008561AF" w:rsidP="008561AF">
            <w:pPr>
              <w:suppressLineNumbers/>
              <w:rPr>
                <w:rFonts w:ascii="Arial" w:hAnsi="Arial"/>
                <w:b/>
                <w:bCs/>
                <w:sz w:val="26"/>
                <w:szCs w:val="26"/>
                <w:rtl/>
              </w:rPr>
            </w:pPr>
            <w:r w:rsidRPr="00571FCC">
              <w:rPr>
                <w:rFonts w:ascii="Arial" w:hAnsi="Arial"/>
                <w:b/>
                <w:bCs/>
                <w:sz w:val="26"/>
                <w:szCs w:val="26"/>
                <w:rtl/>
              </w:rPr>
              <w:t xml:space="preserve">ליאור קרמר </w:t>
            </w:r>
            <w:r w:rsidRPr="00571FCC">
              <w:rPr>
                <w:rFonts w:ascii="Arial" w:hAnsi="Arial" w:hint="cs"/>
                <w:b/>
                <w:bCs/>
                <w:sz w:val="26"/>
                <w:szCs w:val="26"/>
                <w:rtl/>
              </w:rPr>
              <w:t xml:space="preserve"> </w:t>
            </w:r>
          </w:p>
          <w:p w14:paraId="2FA827E9" w14:textId="77777777" w:rsidR="008561AF" w:rsidRPr="00571FCC" w:rsidRDefault="008561AF" w:rsidP="008561AF">
            <w:pPr>
              <w:suppressLineNumbers/>
              <w:rPr>
                <w:b/>
                <w:bCs/>
              </w:rPr>
            </w:pPr>
            <w:r w:rsidRPr="00571FCC">
              <w:rPr>
                <w:rFonts w:ascii="Arial" w:hAnsi="Arial"/>
                <w:b/>
                <w:bCs/>
                <w:sz w:val="26"/>
                <w:szCs w:val="26"/>
                <w:rtl/>
              </w:rPr>
              <w:t>ע"י ב"כ עוה"ד</w:t>
            </w:r>
            <w:r w:rsidRPr="00571FCC">
              <w:rPr>
                <w:rFonts w:ascii="Arial" w:hAnsi="Arial" w:hint="cs"/>
                <w:b/>
                <w:bCs/>
                <w:sz w:val="26"/>
                <w:szCs w:val="26"/>
                <w:rtl/>
              </w:rPr>
              <w:t xml:space="preserve"> רונן לוי</w:t>
            </w:r>
          </w:p>
          <w:p w14:paraId="610FD7BB" w14:textId="77777777" w:rsidR="008561AF" w:rsidRPr="00571FCC" w:rsidRDefault="008561AF" w:rsidP="009B0EA7">
            <w:pPr>
              <w:rPr>
                <w:rFonts w:ascii="David" w:hAnsi="David"/>
                <w:b/>
                <w:bCs/>
                <w:sz w:val="26"/>
                <w:szCs w:val="26"/>
              </w:rPr>
            </w:pPr>
          </w:p>
        </w:tc>
      </w:tr>
    </w:tbl>
    <w:p w14:paraId="5B7901E4" w14:textId="77777777" w:rsidR="008105BE" w:rsidRPr="008105BE" w:rsidRDefault="008105BE" w:rsidP="008105BE">
      <w:pPr>
        <w:spacing w:before="120" w:after="120" w:line="240" w:lineRule="exact"/>
        <w:ind w:left="283" w:hanging="283"/>
        <w:jc w:val="both"/>
        <w:rPr>
          <w:rFonts w:ascii="FrankRuehl" w:hAnsi="FrankRuehl" w:cs="FrankRuehl"/>
          <w:rtl/>
        </w:rPr>
      </w:pPr>
    </w:p>
    <w:p w14:paraId="4C4A78BF" w14:textId="77777777" w:rsidR="00671752" w:rsidRDefault="00671752" w:rsidP="00671752">
      <w:pPr>
        <w:rPr>
          <w:rFonts w:ascii="Arial" w:hAnsi="Arial"/>
          <w:sz w:val="26"/>
          <w:szCs w:val="26"/>
          <w:rtl/>
        </w:rPr>
      </w:pPr>
      <w:bookmarkStart w:id="3" w:name="LawTable"/>
      <w:bookmarkEnd w:id="3"/>
    </w:p>
    <w:p w14:paraId="600706F5" w14:textId="77777777" w:rsidR="00671752" w:rsidRPr="00671752" w:rsidRDefault="00671752" w:rsidP="00671752">
      <w:pPr>
        <w:spacing w:before="120" w:after="120" w:line="240" w:lineRule="exact"/>
        <w:ind w:left="283" w:hanging="283"/>
        <w:jc w:val="both"/>
        <w:rPr>
          <w:rFonts w:ascii="FrankRuehl" w:hAnsi="FrankRuehl" w:cs="FrankRuehl"/>
          <w:rtl/>
        </w:rPr>
      </w:pPr>
    </w:p>
    <w:p w14:paraId="08A2E177" w14:textId="77777777" w:rsidR="00671752" w:rsidRPr="00671752" w:rsidRDefault="00671752" w:rsidP="00671752">
      <w:pPr>
        <w:spacing w:before="120" w:after="120" w:line="240" w:lineRule="exact"/>
        <w:ind w:left="283" w:hanging="283"/>
        <w:jc w:val="both"/>
        <w:rPr>
          <w:rFonts w:ascii="FrankRuehl" w:hAnsi="FrankRuehl" w:cs="FrankRuehl"/>
          <w:rtl/>
        </w:rPr>
      </w:pPr>
    </w:p>
    <w:p w14:paraId="6BB03A64" w14:textId="77777777" w:rsidR="00671752" w:rsidRPr="00671752" w:rsidRDefault="00671752" w:rsidP="00671752">
      <w:pPr>
        <w:spacing w:before="120" w:after="120" w:line="240" w:lineRule="exact"/>
        <w:ind w:left="283" w:hanging="283"/>
        <w:jc w:val="both"/>
        <w:rPr>
          <w:rFonts w:ascii="FrankRuehl" w:hAnsi="FrankRuehl" w:cs="FrankRuehl"/>
          <w:rtl/>
        </w:rPr>
      </w:pPr>
      <w:r w:rsidRPr="00671752">
        <w:rPr>
          <w:rFonts w:ascii="FrankRuehl" w:hAnsi="FrankRuehl" w:cs="FrankRuehl"/>
          <w:rtl/>
        </w:rPr>
        <w:t xml:space="preserve">חקיקה שאוזכרה: </w:t>
      </w:r>
    </w:p>
    <w:p w14:paraId="62BCF5F4" w14:textId="77777777" w:rsidR="00671752" w:rsidRPr="00671752" w:rsidRDefault="00671752" w:rsidP="00671752">
      <w:pPr>
        <w:spacing w:before="120" w:after="120" w:line="240" w:lineRule="exact"/>
        <w:ind w:left="283" w:hanging="283"/>
        <w:jc w:val="both"/>
        <w:rPr>
          <w:rFonts w:ascii="FrankRuehl" w:hAnsi="FrankRuehl" w:cs="FrankRuehl"/>
          <w:rtl/>
        </w:rPr>
      </w:pPr>
      <w:hyperlink r:id="rId7" w:history="1">
        <w:r w:rsidRPr="00671752">
          <w:rPr>
            <w:rFonts w:ascii="FrankRuehl" w:hAnsi="FrankRuehl" w:cs="FrankRuehl"/>
            <w:color w:val="0000FF"/>
            <w:rtl/>
          </w:rPr>
          <w:t>פקודת הסמים המסוכנים [נוסח חדש], תשל"ג-1973</w:t>
        </w:r>
      </w:hyperlink>
      <w:r w:rsidRPr="00671752">
        <w:rPr>
          <w:rFonts w:ascii="FrankRuehl" w:hAnsi="FrankRuehl" w:cs="FrankRuehl"/>
          <w:rtl/>
        </w:rPr>
        <w:t xml:space="preserve">: סע'  </w:t>
      </w:r>
      <w:hyperlink r:id="rId8" w:history="1">
        <w:r w:rsidRPr="00671752">
          <w:rPr>
            <w:rFonts w:ascii="FrankRuehl" w:hAnsi="FrankRuehl" w:cs="FrankRuehl"/>
            <w:color w:val="0000FF"/>
            <w:rtl/>
          </w:rPr>
          <w:t>13</w:t>
        </w:r>
      </w:hyperlink>
      <w:r w:rsidRPr="00671752">
        <w:rPr>
          <w:rFonts w:ascii="FrankRuehl" w:hAnsi="FrankRuehl" w:cs="FrankRuehl"/>
          <w:rtl/>
        </w:rPr>
        <w:t xml:space="preserve">, </w:t>
      </w:r>
      <w:hyperlink r:id="rId9" w:history="1">
        <w:r w:rsidRPr="00671752">
          <w:rPr>
            <w:rFonts w:ascii="FrankRuehl" w:hAnsi="FrankRuehl" w:cs="FrankRuehl"/>
            <w:color w:val="0000FF"/>
            <w:rtl/>
          </w:rPr>
          <w:t>19א</w:t>
        </w:r>
      </w:hyperlink>
    </w:p>
    <w:p w14:paraId="06347393" w14:textId="77777777" w:rsidR="00671752" w:rsidRPr="00671752" w:rsidRDefault="00671752" w:rsidP="00671752">
      <w:pPr>
        <w:spacing w:before="120" w:after="120" w:line="240" w:lineRule="exact"/>
        <w:ind w:left="283" w:hanging="283"/>
        <w:jc w:val="both"/>
        <w:rPr>
          <w:rFonts w:ascii="FrankRuehl" w:hAnsi="FrankRuehl" w:cs="FrankRuehl"/>
          <w:rtl/>
        </w:rPr>
      </w:pPr>
      <w:hyperlink r:id="rId10" w:history="1">
        <w:r w:rsidRPr="00671752">
          <w:rPr>
            <w:rFonts w:ascii="FrankRuehl" w:hAnsi="FrankRuehl" w:cs="FrankRuehl"/>
            <w:color w:val="0000FF"/>
            <w:rtl/>
          </w:rPr>
          <w:t>חוק העונשין, תשל"ז-1977</w:t>
        </w:r>
      </w:hyperlink>
      <w:r w:rsidRPr="00671752">
        <w:rPr>
          <w:rFonts w:ascii="FrankRuehl" w:hAnsi="FrankRuehl" w:cs="FrankRuehl"/>
          <w:rtl/>
        </w:rPr>
        <w:t xml:space="preserve">: סע'  </w:t>
      </w:r>
      <w:hyperlink r:id="rId11" w:history="1">
        <w:r w:rsidRPr="00671752">
          <w:rPr>
            <w:rFonts w:ascii="FrankRuehl" w:hAnsi="FrankRuehl" w:cs="FrankRuehl"/>
            <w:color w:val="0000FF"/>
            <w:rtl/>
          </w:rPr>
          <w:t>192</w:t>
        </w:r>
      </w:hyperlink>
      <w:r w:rsidRPr="00671752">
        <w:rPr>
          <w:rFonts w:ascii="FrankRuehl" w:hAnsi="FrankRuehl" w:cs="FrankRuehl"/>
          <w:rtl/>
        </w:rPr>
        <w:t xml:space="preserve">, </w:t>
      </w:r>
      <w:hyperlink r:id="rId12" w:history="1">
        <w:r w:rsidRPr="00671752">
          <w:rPr>
            <w:rFonts w:ascii="FrankRuehl" w:hAnsi="FrankRuehl" w:cs="FrankRuehl"/>
            <w:color w:val="0000FF"/>
            <w:rtl/>
          </w:rPr>
          <w:t>275</w:t>
        </w:r>
      </w:hyperlink>
      <w:r w:rsidRPr="00671752">
        <w:rPr>
          <w:rFonts w:ascii="FrankRuehl" w:hAnsi="FrankRuehl" w:cs="FrankRuehl"/>
          <w:rtl/>
        </w:rPr>
        <w:t xml:space="preserve">, </w:t>
      </w:r>
      <w:hyperlink r:id="rId13" w:history="1">
        <w:r w:rsidRPr="00671752">
          <w:rPr>
            <w:rFonts w:ascii="FrankRuehl" w:hAnsi="FrankRuehl" w:cs="FrankRuehl"/>
            <w:color w:val="0000FF"/>
            <w:rtl/>
          </w:rPr>
          <w:t>379</w:t>
        </w:r>
      </w:hyperlink>
    </w:p>
    <w:p w14:paraId="25429164" w14:textId="77777777" w:rsidR="00671752" w:rsidRPr="00671752" w:rsidRDefault="00671752" w:rsidP="00671752">
      <w:pPr>
        <w:rPr>
          <w:rFonts w:ascii="Arial" w:hAnsi="Arial"/>
          <w:sz w:val="26"/>
          <w:szCs w:val="26"/>
          <w:rtl/>
        </w:rPr>
      </w:pPr>
      <w:bookmarkStart w:id="4" w:name="LawTable_End"/>
      <w:bookmarkEnd w:id="4"/>
    </w:p>
    <w:p w14:paraId="05D06BA5" w14:textId="77777777" w:rsidR="008561AF" w:rsidRPr="008105BE" w:rsidRDefault="008561AF" w:rsidP="008105BE">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61AF" w14:paraId="6E9003C5" w14:textId="77777777" w:rsidTr="008561AF">
        <w:trPr>
          <w:trHeight w:val="355"/>
          <w:jc w:val="center"/>
        </w:trPr>
        <w:tc>
          <w:tcPr>
            <w:tcW w:w="8820" w:type="dxa"/>
            <w:tcBorders>
              <w:top w:val="nil"/>
              <w:left w:val="nil"/>
              <w:bottom w:val="nil"/>
              <w:right w:val="nil"/>
            </w:tcBorders>
            <w:shd w:val="clear" w:color="auto" w:fill="auto"/>
          </w:tcPr>
          <w:p w14:paraId="27BE42E7" w14:textId="77777777" w:rsidR="00571FCC" w:rsidRPr="00571FCC" w:rsidRDefault="00571FCC" w:rsidP="00571FCC">
            <w:pPr>
              <w:jc w:val="center"/>
              <w:rPr>
                <w:rFonts w:ascii="David" w:hAnsi="David"/>
                <w:b/>
                <w:bCs/>
                <w:sz w:val="32"/>
                <w:szCs w:val="32"/>
                <w:u w:val="single"/>
                <w:rtl/>
              </w:rPr>
            </w:pPr>
            <w:bookmarkStart w:id="5" w:name="PsakDin" w:colFirst="0" w:colLast="0"/>
            <w:bookmarkEnd w:id="0"/>
            <w:r w:rsidRPr="00571FCC">
              <w:rPr>
                <w:rFonts w:ascii="David" w:hAnsi="David"/>
                <w:b/>
                <w:bCs/>
                <w:sz w:val="32"/>
                <w:szCs w:val="32"/>
                <w:u w:val="single"/>
                <w:rtl/>
              </w:rPr>
              <w:t>גזר דין</w:t>
            </w:r>
          </w:p>
          <w:p w14:paraId="491966F8" w14:textId="77777777" w:rsidR="008561AF" w:rsidRPr="00571FCC" w:rsidRDefault="008561AF" w:rsidP="00571FCC">
            <w:pPr>
              <w:jc w:val="center"/>
              <w:rPr>
                <w:rFonts w:ascii="David" w:hAnsi="David"/>
                <w:bCs/>
                <w:sz w:val="32"/>
                <w:szCs w:val="32"/>
                <w:u w:val="single"/>
                <w:rtl/>
              </w:rPr>
            </w:pPr>
          </w:p>
        </w:tc>
      </w:tr>
      <w:bookmarkEnd w:id="5"/>
    </w:tbl>
    <w:p w14:paraId="25ED87F1" w14:textId="77777777" w:rsidR="008561AF" w:rsidRPr="000F2247" w:rsidRDefault="008561AF" w:rsidP="008561AF">
      <w:pPr>
        <w:rPr>
          <w:rFonts w:ascii="Arial" w:hAnsi="Arial"/>
          <w:b/>
          <w:bCs/>
          <w:sz w:val="26"/>
          <w:szCs w:val="26"/>
          <w:rtl/>
        </w:rPr>
      </w:pPr>
    </w:p>
    <w:p w14:paraId="2484E745" w14:textId="77777777" w:rsidR="008561AF" w:rsidRDefault="008561AF" w:rsidP="008561AF">
      <w:pPr>
        <w:spacing w:after="160" w:line="252" w:lineRule="auto"/>
        <w:rPr>
          <w:rFonts w:ascii="David" w:hAnsi="David"/>
          <w:b/>
          <w:bCs/>
          <w:sz w:val="26"/>
          <w:szCs w:val="26"/>
          <w:u w:val="single"/>
        </w:rPr>
      </w:pPr>
      <w:r>
        <w:rPr>
          <w:rFonts w:ascii="David" w:hAnsi="David"/>
          <w:b/>
          <w:bCs/>
          <w:sz w:val="26"/>
          <w:szCs w:val="26"/>
          <w:u w:val="single"/>
          <w:rtl/>
        </w:rPr>
        <w:t>כתב</w:t>
      </w:r>
      <w:r>
        <w:rPr>
          <w:rFonts w:ascii="David" w:hAnsi="David" w:hint="cs"/>
          <w:b/>
          <w:bCs/>
          <w:sz w:val="26"/>
          <w:szCs w:val="26"/>
          <w:u w:val="single"/>
          <w:rtl/>
        </w:rPr>
        <w:t>י</w:t>
      </w:r>
      <w:r>
        <w:rPr>
          <w:rFonts w:ascii="David" w:hAnsi="David"/>
          <w:b/>
          <w:bCs/>
          <w:sz w:val="26"/>
          <w:szCs w:val="26"/>
          <w:u w:val="single"/>
          <w:rtl/>
        </w:rPr>
        <w:t xml:space="preserve"> האישום</w:t>
      </w:r>
      <w:r>
        <w:rPr>
          <w:rFonts w:ascii="David" w:hAnsi="David" w:hint="cs"/>
          <w:b/>
          <w:bCs/>
          <w:sz w:val="26"/>
          <w:szCs w:val="26"/>
          <w:u w:val="single"/>
          <w:rtl/>
        </w:rPr>
        <w:t xml:space="preserve"> בהם הודה הנאשם</w:t>
      </w:r>
    </w:p>
    <w:p w14:paraId="19A8F6D2" w14:textId="77777777" w:rsidR="008561AF" w:rsidRDefault="008561AF" w:rsidP="008561AF">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hint="cs"/>
          <w:sz w:val="26"/>
          <w:szCs w:val="26"/>
          <w:rtl/>
        </w:rPr>
        <w:t>הנאשם הודה בשני כתבי אישום כפי שיפורט להלן.</w:t>
      </w:r>
    </w:p>
    <w:p w14:paraId="021184F9" w14:textId="77777777" w:rsidR="008561AF" w:rsidRDefault="00571FCC" w:rsidP="008561AF">
      <w:pPr>
        <w:pStyle w:val="a9"/>
        <w:numPr>
          <w:ilvl w:val="0"/>
          <w:numId w:val="2"/>
        </w:numPr>
        <w:spacing w:after="160" w:line="360" w:lineRule="auto"/>
        <w:jc w:val="both"/>
        <w:rPr>
          <w:rFonts w:ascii="David" w:hAnsi="David"/>
          <w:sz w:val="26"/>
          <w:szCs w:val="26"/>
        </w:rPr>
      </w:pPr>
      <w:hyperlink r:id="rId14" w:history="1">
        <w:r w:rsidRPr="00571FCC">
          <w:rPr>
            <w:rFonts w:ascii="David" w:hAnsi="David"/>
            <w:b/>
            <w:bCs/>
            <w:color w:val="0000FF"/>
            <w:sz w:val="26"/>
            <w:szCs w:val="26"/>
            <w:u w:val="single"/>
            <w:rtl/>
          </w:rPr>
          <w:t>ת"פ 57130-12-20</w:t>
        </w:r>
      </w:hyperlink>
      <w:r w:rsidR="008561AF" w:rsidRPr="005548B1">
        <w:rPr>
          <w:rFonts w:ascii="David" w:hAnsi="David" w:hint="cs"/>
          <w:b/>
          <w:bCs/>
          <w:sz w:val="26"/>
          <w:szCs w:val="26"/>
          <w:rtl/>
        </w:rPr>
        <w:t xml:space="preserve"> (התיק העיקרי)</w:t>
      </w:r>
      <w:r w:rsidR="008561AF">
        <w:rPr>
          <w:rFonts w:ascii="David" w:hAnsi="David" w:hint="cs"/>
          <w:sz w:val="26"/>
          <w:szCs w:val="26"/>
          <w:rtl/>
        </w:rPr>
        <w:t xml:space="preserve"> </w:t>
      </w:r>
      <w:r w:rsidR="008561AF">
        <w:rPr>
          <w:rFonts w:ascii="David" w:hAnsi="David"/>
          <w:sz w:val="26"/>
          <w:szCs w:val="26"/>
          <w:rtl/>
        </w:rPr>
        <w:t>–</w:t>
      </w:r>
      <w:r w:rsidR="008561AF">
        <w:rPr>
          <w:rFonts w:ascii="David" w:hAnsi="David" w:hint="cs"/>
          <w:sz w:val="26"/>
          <w:szCs w:val="26"/>
          <w:rtl/>
        </w:rPr>
        <w:t xml:space="preserve"> הנאשם הודה בכתב אישום מתוקן בביצוע עבירה  של </w:t>
      </w:r>
      <w:r w:rsidR="008561AF" w:rsidRPr="005548B1">
        <w:rPr>
          <w:rFonts w:ascii="David" w:hAnsi="David" w:hint="cs"/>
          <w:b/>
          <w:bCs/>
          <w:sz w:val="26"/>
          <w:szCs w:val="26"/>
          <w:rtl/>
        </w:rPr>
        <w:t>סחר בסמים</w:t>
      </w:r>
      <w:r w:rsidR="008561AF">
        <w:rPr>
          <w:rFonts w:ascii="David" w:hAnsi="David" w:hint="cs"/>
          <w:sz w:val="26"/>
          <w:szCs w:val="26"/>
          <w:rtl/>
        </w:rPr>
        <w:t xml:space="preserve">, לפי </w:t>
      </w:r>
      <w:hyperlink r:id="rId15" w:history="1">
        <w:r w:rsidR="00FA4DFC" w:rsidRPr="00FA4DFC">
          <w:rPr>
            <w:rStyle w:val="Hyperlink"/>
            <w:rFonts w:ascii="David" w:hAnsi="David" w:hint="eastAsia"/>
            <w:sz w:val="26"/>
            <w:szCs w:val="26"/>
            <w:rtl/>
          </w:rPr>
          <w:t>סעיפים</w:t>
        </w:r>
        <w:r w:rsidR="00FA4DFC" w:rsidRPr="00FA4DFC">
          <w:rPr>
            <w:rStyle w:val="Hyperlink"/>
            <w:rFonts w:ascii="David" w:hAnsi="David"/>
            <w:sz w:val="26"/>
            <w:szCs w:val="26"/>
            <w:rtl/>
          </w:rPr>
          <w:t xml:space="preserve"> 13</w:t>
        </w:r>
      </w:hyperlink>
      <w:r w:rsidR="008561AF">
        <w:rPr>
          <w:rFonts w:ascii="David" w:hAnsi="David" w:hint="cs"/>
          <w:sz w:val="26"/>
          <w:szCs w:val="26"/>
          <w:rtl/>
        </w:rPr>
        <w:t xml:space="preserve"> ו-</w:t>
      </w:r>
      <w:hyperlink r:id="rId16" w:history="1">
        <w:r w:rsidR="00FA4DFC" w:rsidRPr="00FA4DFC">
          <w:rPr>
            <w:rStyle w:val="Hyperlink"/>
            <w:rFonts w:ascii="David" w:hAnsi="David"/>
            <w:sz w:val="26"/>
            <w:szCs w:val="26"/>
            <w:rtl/>
          </w:rPr>
          <w:t>19א</w:t>
        </w:r>
      </w:hyperlink>
      <w:r w:rsidR="008561AF">
        <w:rPr>
          <w:rFonts w:ascii="David" w:hAnsi="David" w:hint="cs"/>
          <w:sz w:val="26"/>
          <w:szCs w:val="26"/>
          <w:rtl/>
        </w:rPr>
        <w:t xml:space="preserve"> לפקודת הסמים, </w:t>
      </w:r>
      <w:r w:rsidR="008561AF" w:rsidRPr="007323E1">
        <w:rPr>
          <w:rFonts w:ascii="David" w:hAnsi="David" w:hint="cs"/>
          <w:b/>
          <w:bCs/>
          <w:sz w:val="26"/>
          <w:szCs w:val="26"/>
          <w:rtl/>
        </w:rPr>
        <w:t>הפרעה לשוטר</w:t>
      </w:r>
      <w:r w:rsidR="008561AF">
        <w:rPr>
          <w:rFonts w:ascii="David" w:hAnsi="David" w:hint="cs"/>
          <w:sz w:val="26"/>
          <w:szCs w:val="26"/>
          <w:rtl/>
        </w:rPr>
        <w:t xml:space="preserve">, לפי </w:t>
      </w:r>
      <w:hyperlink r:id="rId17" w:history="1">
        <w:r w:rsidR="00FA4DFC" w:rsidRPr="00FA4DFC">
          <w:rPr>
            <w:rStyle w:val="Hyperlink"/>
            <w:rFonts w:ascii="David" w:hAnsi="David" w:hint="eastAsia"/>
            <w:sz w:val="26"/>
            <w:szCs w:val="26"/>
            <w:rtl/>
          </w:rPr>
          <w:t>סעיף</w:t>
        </w:r>
        <w:r w:rsidR="00FA4DFC" w:rsidRPr="00FA4DFC">
          <w:rPr>
            <w:rStyle w:val="Hyperlink"/>
            <w:rFonts w:ascii="David" w:hAnsi="David"/>
            <w:sz w:val="26"/>
            <w:szCs w:val="26"/>
            <w:rtl/>
          </w:rPr>
          <w:t xml:space="preserve"> 275</w:t>
        </w:r>
      </w:hyperlink>
      <w:r w:rsidR="008561AF">
        <w:rPr>
          <w:rFonts w:ascii="David" w:hAnsi="David" w:hint="cs"/>
          <w:sz w:val="26"/>
          <w:szCs w:val="26"/>
          <w:rtl/>
        </w:rPr>
        <w:t xml:space="preserve"> ל</w:t>
      </w:r>
      <w:hyperlink r:id="rId18" w:history="1">
        <w:r w:rsidRPr="00571FCC">
          <w:rPr>
            <w:rFonts w:ascii="David" w:hAnsi="David"/>
            <w:color w:val="0000FF"/>
            <w:sz w:val="26"/>
            <w:szCs w:val="26"/>
            <w:u w:val="single"/>
            <w:rtl/>
          </w:rPr>
          <w:t>חוק העונשין</w:t>
        </w:r>
      </w:hyperlink>
      <w:r w:rsidR="008561AF">
        <w:rPr>
          <w:rFonts w:ascii="David" w:hAnsi="David" w:hint="cs"/>
          <w:sz w:val="26"/>
          <w:szCs w:val="26"/>
          <w:rtl/>
        </w:rPr>
        <w:t>, התשל"ז-1977, ו</w:t>
      </w:r>
      <w:r w:rsidR="008561AF" w:rsidRPr="007323E1">
        <w:rPr>
          <w:rFonts w:ascii="David" w:hAnsi="David" w:hint="cs"/>
          <w:b/>
          <w:bCs/>
          <w:sz w:val="26"/>
          <w:szCs w:val="26"/>
          <w:rtl/>
        </w:rPr>
        <w:t>איומים</w:t>
      </w:r>
      <w:r w:rsidR="008561AF">
        <w:rPr>
          <w:rFonts w:ascii="David" w:hAnsi="David" w:hint="cs"/>
          <w:sz w:val="26"/>
          <w:szCs w:val="26"/>
          <w:rtl/>
        </w:rPr>
        <w:t xml:space="preserve"> לפי </w:t>
      </w:r>
      <w:hyperlink r:id="rId19" w:history="1">
        <w:r w:rsidR="00FA4DFC" w:rsidRPr="00FA4DFC">
          <w:rPr>
            <w:rStyle w:val="Hyperlink"/>
            <w:rFonts w:ascii="David" w:hAnsi="David" w:hint="eastAsia"/>
            <w:sz w:val="26"/>
            <w:szCs w:val="26"/>
            <w:rtl/>
          </w:rPr>
          <w:t>סעיף</w:t>
        </w:r>
        <w:r w:rsidR="00FA4DFC" w:rsidRPr="00FA4DFC">
          <w:rPr>
            <w:rStyle w:val="Hyperlink"/>
            <w:rFonts w:ascii="David" w:hAnsi="David"/>
            <w:sz w:val="26"/>
            <w:szCs w:val="26"/>
            <w:rtl/>
          </w:rPr>
          <w:t xml:space="preserve"> 192</w:t>
        </w:r>
      </w:hyperlink>
      <w:r w:rsidR="008561AF">
        <w:rPr>
          <w:rFonts w:ascii="David" w:hAnsi="David" w:hint="cs"/>
          <w:sz w:val="26"/>
          <w:szCs w:val="26"/>
          <w:rtl/>
        </w:rPr>
        <w:t xml:space="preserve"> לחוק. מעובדות כתב האישום עולה כי במהלך חודש דצמבר 2020 סחר הנאשם פעם אחת בקנביס במשקל 98.72 גרם תמורות 1,200 ₪ בעסקה שתואמה ביישומון טלגרם ובסיוע חבר שיזם את הפניה </w:t>
      </w:r>
      <w:r w:rsidR="008561AF">
        <w:rPr>
          <w:rFonts w:ascii="David" w:hAnsi="David" w:hint="cs"/>
          <w:sz w:val="26"/>
          <w:szCs w:val="26"/>
          <w:rtl/>
        </w:rPr>
        <w:lastRenderedPageBreak/>
        <w:t>לנאשם. המשטרה שהגיע עם צו חיפוש לביתו של הנאשם סמוך לאחר העסקה, ביקשה לערוך חיפוש אך הנאשם השתולל וקילל את השוטרים וכן ירק על אחד מהם.</w:t>
      </w:r>
    </w:p>
    <w:bookmarkStart w:id="7" w:name="ABSTRACT_END"/>
    <w:bookmarkEnd w:id="7"/>
    <w:p w14:paraId="7526FE26" w14:textId="77777777" w:rsidR="008561AF" w:rsidRPr="005548B1" w:rsidRDefault="00571FCC" w:rsidP="008561AF">
      <w:pPr>
        <w:pStyle w:val="a9"/>
        <w:numPr>
          <w:ilvl w:val="0"/>
          <w:numId w:val="2"/>
        </w:numPr>
        <w:spacing w:after="160" w:line="360" w:lineRule="auto"/>
        <w:jc w:val="both"/>
        <w:rPr>
          <w:rFonts w:ascii="David" w:hAnsi="David"/>
          <w:sz w:val="26"/>
          <w:szCs w:val="26"/>
        </w:rPr>
      </w:pPr>
      <w:r w:rsidRPr="00571FCC">
        <w:rPr>
          <w:rFonts w:ascii="David" w:hAnsi="David"/>
          <w:b/>
          <w:bCs/>
          <w:color w:val="0000FF"/>
          <w:sz w:val="26"/>
          <w:szCs w:val="26"/>
          <w:u w:val="single"/>
          <w:rtl/>
        </w:rPr>
        <w:fldChar w:fldCharType="begin"/>
      </w:r>
      <w:r w:rsidRPr="00571FCC">
        <w:rPr>
          <w:rFonts w:ascii="David" w:hAnsi="David"/>
          <w:b/>
          <w:bCs/>
          <w:color w:val="0000FF"/>
          <w:sz w:val="26"/>
          <w:szCs w:val="26"/>
          <w:u w:val="single"/>
          <w:rtl/>
        </w:rPr>
        <w:instrText xml:space="preserve"> </w:instrText>
      </w:r>
      <w:r w:rsidRPr="00571FCC">
        <w:rPr>
          <w:rFonts w:ascii="David" w:hAnsi="David"/>
          <w:b/>
          <w:bCs/>
          <w:color w:val="0000FF"/>
          <w:sz w:val="26"/>
          <w:szCs w:val="26"/>
          <w:u w:val="single"/>
        </w:rPr>
        <w:instrText xml:space="preserve">HYPERLINK </w:instrText>
      </w:r>
      <w:r w:rsidRPr="00571FCC">
        <w:rPr>
          <w:rFonts w:ascii="David" w:hAnsi="David"/>
          <w:b/>
          <w:bCs/>
          <w:color w:val="0000FF"/>
          <w:sz w:val="26"/>
          <w:szCs w:val="26"/>
          <w:u w:val="single"/>
          <w:rtl/>
        </w:rPr>
        <w:instrText>"</w:instrText>
      </w:r>
      <w:r w:rsidRPr="00571FCC">
        <w:rPr>
          <w:rFonts w:ascii="David" w:hAnsi="David"/>
          <w:b/>
          <w:bCs/>
          <w:color w:val="0000FF"/>
          <w:sz w:val="26"/>
          <w:szCs w:val="26"/>
          <w:u w:val="single"/>
        </w:rPr>
        <w:instrText>http://www.nevo.co.il/case/28555866"</w:instrText>
      </w:r>
      <w:r w:rsidRPr="00571FCC">
        <w:rPr>
          <w:rFonts w:ascii="David" w:hAnsi="David"/>
          <w:b/>
          <w:bCs/>
          <w:color w:val="0000FF"/>
          <w:sz w:val="26"/>
          <w:szCs w:val="26"/>
          <w:u w:val="single"/>
          <w:rtl/>
        </w:rPr>
        <w:instrText xml:space="preserve"> </w:instrText>
      </w:r>
      <w:r w:rsidRPr="00571FCC">
        <w:rPr>
          <w:rFonts w:ascii="David" w:hAnsi="David"/>
          <w:b/>
          <w:bCs/>
          <w:color w:val="0000FF"/>
          <w:sz w:val="26"/>
          <w:szCs w:val="26"/>
          <w:u w:val="single"/>
          <w:rtl/>
        </w:rPr>
      </w:r>
      <w:r w:rsidRPr="00571FCC">
        <w:rPr>
          <w:rFonts w:ascii="David" w:hAnsi="David"/>
          <w:b/>
          <w:bCs/>
          <w:color w:val="0000FF"/>
          <w:sz w:val="26"/>
          <w:szCs w:val="26"/>
          <w:u w:val="single"/>
          <w:rtl/>
        </w:rPr>
        <w:fldChar w:fldCharType="separate"/>
      </w:r>
      <w:r w:rsidRPr="00571FCC">
        <w:rPr>
          <w:rFonts w:ascii="David" w:hAnsi="David"/>
          <w:b/>
          <w:bCs/>
          <w:color w:val="0000FF"/>
          <w:sz w:val="26"/>
          <w:szCs w:val="26"/>
          <w:u w:val="single"/>
          <w:rtl/>
        </w:rPr>
        <w:t>ת"פ (רמלה) 46036-04-22</w:t>
      </w:r>
      <w:r w:rsidRPr="00571FCC">
        <w:rPr>
          <w:rFonts w:ascii="David" w:hAnsi="David"/>
          <w:b/>
          <w:bCs/>
          <w:color w:val="0000FF"/>
          <w:sz w:val="26"/>
          <w:szCs w:val="26"/>
          <w:u w:val="single"/>
          <w:rtl/>
        </w:rPr>
        <w:fldChar w:fldCharType="end"/>
      </w:r>
      <w:r w:rsidR="008561AF" w:rsidRPr="007323E1">
        <w:rPr>
          <w:rFonts w:ascii="David" w:hAnsi="David" w:hint="cs"/>
          <w:b/>
          <w:bCs/>
          <w:sz w:val="26"/>
          <w:szCs w:val="26"/>
          <w:rtl/>
        </w:rPr>
        <w:t xml:space="preserve"> (התיק המצורף)</w:t>
      </w:r>
      <w:r w:rsidR="008561AF" w:rsidRPr="005548B1">
        <w:rPr>
          <w:rFonts w:ascii="David" w:hAnsi="David" w:hint="cs"/>
          <w:sz w:val="26"/>
          <w:szCs w:val="26"/>
          <w:rtl/>
        </w:rPr>
        <w:t xml:space="preserve"> </w:t>
      </w:r>
      <w:r w:rsidR="008561AF">
        <w:rPr>
          <w:rFonts w:ascii="David" w:hAnsi="David"/>
          <w:sz w:val="26"/>
          <w:szCs w:val="26"/>
          <w:rtl/>
        </w:rPr>
        <w:t>–</w:t>
      </w:r>
      <w:r w:rsidR="008561AF" w:rsidRPr="005548B1">
        <w:rPr>
          <w:rFonts w:ascii="David" w:hAnsi="David" w:hint="cs"/>
          <w:sz w:val="26"/>
          <w:szCs w:val="26"/>
          <w:rtl/>
        </w:rPr>
        <w:t xml:space="preserve"> </w:t>
      </w:r>
      <w:r w:rsidR="008561AF">
        <w:rPr>
          <w:rFonts w:ascii="David" w:hAnsi="David" w:hint="cs"/>
          <w:sz w:val="26"/>
          <w:szCs w:val="26"/>
          <w:rtl/>
        </w:rPr>
        <w:t xml:space="preserve">הנאשם הודה בכתב אישום מתוקן והורשע בביצוע עבירה של </w:t>
      </w:r>
      <w:r w:rsidR="008561AF" w:rsidRPr="005548B1">
        <w:rPr>
          <w:rFonts w:ascii="David" w:hAnsi="David" w:hint="cs"/>
          <w:b/>
          <w:bCs/>
          <w:sz w:val="26"/>
          <w:szCs w:val="26"/>
          <w:rtl/>
        </w:rPr>
        <w:t>תקיפה סתם</w:t>
      </w:r>
      <w:r w:rsidR="008561AF">
        <w:rPr>
          <w:rFonts w:ascii="David" w:hAnsi="David" w:hint="cs"/>
          <w:sz w:val="26"/>
          <w:szCs w:val="26"/>
          <w:rtl/>
        </w:rPr>
        <w:t xml:space="preserve">, לפי </w:t>
      </w:r>
      <w:hyperlink r:id="rId20" w:history="1">
        <w:r w:rsidR="00FA4DFC" w:rsidRPr="00FA4DFC">
          <w:rPr>
            <w:rStyle w:val="Hyperlink"/>
            <w:rFonts w:ascii="David" w:hAnsi="David" w:hint="eastAsia"/>
            <w:sz w:val="26"/>
            <w:szCs w:val="26"/>
            <w:rtl/>
          </w:rPr>
          <w:t>סעיף</w:t>
        </w:r>
        <w:r w:rsidR="00FA4DFC" w:rsidRPr="00FA4DFC">
          <w:rPr>
            <w:rStyle w:val="Hyperlink"/>
            <w:rFonts w:ascii="David" w:hAnsi="David"/>
            <w:sz w:val="26"/>
            <w:szCs w:val="26"/>
            <w:rtl/>
          </w:rPr>
          <w:t xml:space="preserve"> 379</w:t>
        </w:r>
      </w:hyperlink>
      <w:r w:rsidR="008561AF">
        <w:rPr>
          <w:rFonts w:ascii="David" w:hAnsi="David" w:hint="cs"/>
          <w:sz w:val="26"/>
          <w:szCs w:val="26"/>
          <w:rtl/>
        </w:rPr>
        <w:t xml:space="preserve"> ל</w:t>
      </w:r>
      <w:hyperlink r:id="rId21" w:history="1">
        <w:r w:rsidRPr="00571FCC">
          <w:rPr>
            <w:rFonts w:ascii="David" w:hAnsi="David"/>
            <w:color w:val="0000FF"/>
            <w:sz w:val="26"/>
            <w:szCs w:val="26"/>
            <w:u w:val="single"/>
            <w:rtl/>
          </w:rPr>
          <w:t>חוק העונשין</w:t>
        </w:r>
      </w:hyperlink>
      <w:r w:rsidR="008561AF">
        <w:rPr>
          <w:rFonts w:ascii="David" w:hAnsi="David" w:hint="cs"/>
          <w:sz w:val="26"/>
          <w:szCs w:val="26"/>
          <w:rtl/>
        </w:rPr>
        <w:t xml:space="preserve">. מעובדות כתב האישום עולה כי מדובר באירוע שהתרחש בחודש ספטמבר 2020, עת הנאשם, שנהג על קטנוע כשליח, החנה את הקטנוע במקום המיועד להולכי רגל. משנתבקש ע"י המתלונן שלא לחנות במקום, החל הנאשם לקלל את המתלונן, הוריד את הקסדה מראשו ובהמשך השליך לעבר המתלונן בקבוק ובו נוזל שפגע בחזהו של המתלונן. המתלונן אמר כי הוא מזמין משטרה וביקש מהנאשם להמתין, אך זה עלה על הקטנוע ועזב את המקום. </w:t>
      </w:r>
    </w:p>
    <w:p w14:paraId="73F0F2C3" w14:textId="77777777" w:rsidR="008561AF" w:rsidRDefault="008561AF" w:rsidP="008561AF">
      <w:pPr>
        <w:spacing w:after="160" w:line="360" w:lineRule="auto"/>
        <w:jc w:val="both"/>
        <w:rPr>
          <w:rFonts w:ascii="David" w:hAnsi="David"/>
          <w:b/>
          <w:bCs/>
          <w:sz w:val="26"/>
          <w:szCs w:val="26"/>
          <w:u w:val="single"/>
          <w:rtl/>
        </w:rPr>
      </w:pPr>
    </w:p>
    <w:p w14:paraId="7D9E1673" w14:textId="77777777" w:rsidR="008561AF" w:rsidRDefault="008561AF" w:rsidP="008561AF">
      <w:pPr>
        <w:spacing w:after="160" w:line="360" w:lineRule="auto"/>
        <w:jc w:val="both"/>
        <w:rPr>
          <w:rFonts w:ascii="David" w:hAnsi="David"/>
          <w:b/>
          <w:bCs/>
          <w:sz w:val="26"/>
          <w:szCs w:val="26"/>
          <w:u w:val="single"/>
          <w:rtl/>
        </w:rPr>
      </w:pPr>
    </w:p>
    <w:p w14:paraId="34D04478" w14:textId="77777777" w:rsidR="008561AF" w:rsidRDefault="008561AF" w:rsidP="008561AF">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34DF91D3" w14:textId="77777777" w:rsidR="008561AF" w:rsidRDefault="008561AF" w:rsidP="008561AF">
      <w:pPr>
        <w:pStyle w:val="a9"/>
        <w:numPr>
          <w:ilvl w:val="0"/>
          <w:numId w:val="2"/>
        </w:numPr>
        <w:spacing w:after="160" w:line="360" w:lineRule="auto"/>
        <w:jc w:val="both"/>
        <w:rPr>
          <w:rFonts w:ascii="David" w:hAnsi="David"/>
          <w:sz w:val="26"/>
          <w:szCs w:val="26"/>
        </w:rPr>
      </w:pPr>
      <w:r>
        <w:rPr>
          <w:rFonts w:ascii="David" w:hAnsi="David" w:hint="cs"/>
          <w:sz w:val="26"/>
          <w:szCs w:val="26"/>
          <w:rtl/>
        </w:rPr>
        <w:t>במסגרת התיק העיקרי, היה הנאשם עצור שבועיים ימים, בין 21.12.2020 ל-3.1.2021 אז נעצר בפיקוח אלקטרוני בו שהה שמונה חודשים עד ליום 11.8.2021 אז בוטל המעצר בפיקוח אלקטרוני והומר במעצר בית לילי בלבד שבוטל אף הוא ביום 7.12.2021.</w:t>
      </w:r>
    </w:p>
    <w:p w14:paraId="7FEA2A82" w14:textId="77777777" w:rsidR="008561AF" w:rsidRDefault="008561AF" w:rsidP="008561AF">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556DBBC8" w14:textId="77777777" w:rsidR="008561AF" w:rsidRDefault="008561AF" w:rsidP="008561AF">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בעניינו של הנאשם הוגשו שני תסקירים. מהתסקירים עולה כי הנאשם כבן 26, רווק, לומד שנה שלישית לימודי הנדסת חשמל ועובד מזה מספר שנים בשליחויות במקום קבוע תוך שמירה על יציבות תעסוקתית. הוא סיים לימודי תיכון ולאחר מכן שירת שירות צבאי מלא בתפקידי לחימה ותפקידים נוספים. לנאשם אין עבר פלילי. הן מפקדיו בצבא והן הממונה עליו במקום עבודתו מתארים אותו באורח חיובי, כאדם ערכי מוביל ויוזם האהוד על סביבתו. בנוסף לשירות המבחן הוצגו המסמכים בפניי. הנאשם קיבל אחריות למעשים בשני התיקים וטען שהמעשים אינם מאפיינים אותו. הנאשם היה משולב הן בקבוצה טיפולית ולאחרונה בטיפול פרטני במסגרת היחידה להתמכרויות במקום מגוריו. למעט בדיקה אחת שנמסרה בתחילת התהליך שנמצאה חיובית לקוקאין, אותו צרך הנאשם בנסיבות חברתיות לדבריו, יתר בדיקות השתן נמצאו נקיות, ונרשם שיתוף פעולה מלא והפקת לקחים מצד הנאשם בכל האמור לתהליך הטיפולי. שירות המבחן התרשם מאדם צעיר ללא דפוסים עברייניים בעל תפיסת עולם נורמטיבית ושאיפות להשתלבות מיטבית בעולם התעסוקה והלימודים. הנאשם הביע </w:t>
      </w:r>
      <w:r>
        <w:rPr>
          <w:rFonts w:ascii="David" w:hAnsi="David" w:hint="cs"/>
          <w:sz w:val="26"/>
          <w:szCs w:val="26"/>
          <w:rtl/>
        </w:rPr>
        <w:lastRenderedPageBreak/>
        <w:t>חשש מהותרת ההרשעה על כנה, הן בהיבט התעסוקתי, מחשש לא יועסק במוסדות ציבוריים, והן בהיבט של פגיעה אפשרית בהליך קבלת דרכון זר בו החל. שירות המבחן המליץ על ביטול ההרשעה והטלת של"ץ בהיקף 150 שעות, וכן צו מבחן למשך שנה.</w:t>
      </w:r>
    </w:p>
    <w:p w14:paraId="6DC9B98D" w14:textId="77777777" w:rsidR="008561AF" w:rsidRDefault="008561AF" w:rsidP="008561AF">
      <w:pPr>
        <w:spacing w:after="160" w:line="360" w:lineRule="auto"/>
        <w:jc w:val="both"/>
        <w:rPr>
          <w:rFonts w:ascii="David" w:hAnsi="David"/>
          <w:b/>
          <w:bCs/>
          <w:sz w:val="26"/>
          <w:szCs w:val="26"/>
          <w:u w:val="single"/>
          <w:rtl/>
        </w:rPr>
      </w:pPr>
    </w:p>
    <w:p w14:paraId="6EE04484" w14:textId="77777777" w:rsidR="008561AF" w:rsidRDefault="008561AF" w:rsidP="008561AF">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2CB1642E" w14:textId="77777777" w:rsidR="008561AF" w:rsidRPr="00DA2F88" w:rsidRDefault="008561AF" w:rsidP="008561AF">
      <w:pPr>
        <w:pStyle w:val="a9"/>
        <w:numPr>
          <w:ilvl w:val="0"/>
          <w:numId w:val="2"/>
        </w:numPr>
        <w:spacing w:after="160" w:line="360" w:lineRule="auto"/>
        <w:jc w:val="both"/>
        <w:rPr>
          <w:rFonts w:ascii="David" w:hAnsi="David"/>
          <w:sz w:val="26"/>
          <w:szCs w:val="26"/>
          <w:rtl/>
        </w:rPr>
      </w:pPr>
      <w:r w:rsidRPr="00DA2F88">
        <w:rPr>
          <w:rFonts w:ascii="David" w:hAnsi="David"/>
          <w:sz w:val="26"/>
          <w:szCs w:val="26"/>
          <w:rtl/>
        </w:rPr>
        <w:t>הצדדים לא הגיעו להסכמה עונשית. מחד</w:t>
      </w:r>
      <w:r>
        <w:rPr>
          <w:rFonts w:ascii="David" w:hAnsi="David" w:hint="cs"/>
          <w:sz w:val="26"/>
          <w:szCs w:val="26"/>
          <w:rtl/>
        </w:rPr>
        <w:t>-גיסא</w:t>
      </w:r>
      <w:r w:rsidRPr="00DA2F88">
        <w:rPr>
          <w:rFonts w:ascii="David" w:hAnsi="David"/>
          <w:sz w:val="26"/>
          <w:szCs w:val="26"/>
          <w:rtl/>
        </w:rPr>
        <w:t>, המאשימה טוענת כי יש להטיל על הנאשם</w:t>
      </w:r>
      <w:r>
        <w:rPr>
          <w:rFonts w:ascii="David" w:hAnsi="David" w:hint="cs"/>
          <w:sz w:val="26"/>
          <w:szCs w:val="26"/>
          <w:rtl/>
        </w:rPr>
        <w:t xml:space="preserve"> עונש מאסר בשני התיקים וענישה נלווית. התובע עמד על התנהגותו הנלוזה של הנאשם כלפי השוטרים וכלפי המתלונן</w:t>
      </w:r>
      <w:r w:rsidRPr="00DA2F88">
        <w:rPr>
          <w:rFonts w:ascii="David" w:hAnsi="David"/>
          <w:sz w:val="26"/>
          <w:szCs w:val="26"/>
          <w:rtl/>
        </w:rPr>
        <w:t xml:space="preserve"> </w:t>
      </w:r>
      <w:r>
        <w:rPr>
          <w:rFonts w:ascii="David" w:hAnsi="David" w:hint="cs"/>
          <w:sz w:val="26"/>
          <w:szCs w:val="26"/>
          <w:rtl/>
        </w:rPr>
        <w:t>המעידה על דפוס, וביקש להעביר מסר מרתיע לנאשם ולציבור. מאידך-גיסא, הסניגור ביקש להיעתר להמלצת שירות המבחן מטעמיה.</w:t>
      </w:r>
    </w:p>
    <w:p w14:paraId="2C5D05AA" w14:textId="77777777" w:rsidR="008561AF" w:rsidRDefault="008561AF" w:rsidP="008561AF">
      <w:pPr>
        <w:spacing w:after="160" w:line="360" w:lineRule="auto"/>
        <w:jc w:val="both"/>
        <w:rPr>
          <w:rFonts w:ascii="David" w:hAnsi="David"/>
          <w:b/>
          <w:bCs/>
          <w:sz w:val="26"/>
          <w:szCs w:val="26"/>
          <w:u w:val="single"/>
          <w:rtl/>
        </w:rPr>
      </w:pPr>
    </w:p>
    <w:p w14:paraId="07AF1324" w14:textId="77777777" w:rsidR="008561AF" w:rsidRDefault="008561AF" w:rsidP="008561AF">
      <w:pPr>
        <w:spacing w:after="160" w:line="360" w:lineRule="auto"/>
        <w:jc w:val="both"/>
        <w:rPr>
          <w:rFonts w:ascii="David" w:hAnsi="David"/>
          <w:b/>
          <w:bCs/>
          <w:sz w:val="26"/>
          <w:szCs w:val="26"/>
          <w:u w:val="single"/>
          <w:rtl/>
        </w:rPr>
      </w:pPr>
    </w:p>
    <w:p w14:paraId="627E1163" w14:textId="77777777" w:rsidR="008561AF" w:rsidRDefault="008561AF" w:rsidP="008561AF">
      <w:pPr>
        <w:spacing w:after="160" w:line="360" w:lineRule="auto"/>
        <w:jc w:val="both"/>
        <w:rPr>
          <w:rFonts w:ascii="David" w:hAnsi="David"/>
          <w:b/>
          <w:bCs/>
          <w:sz w:val="26"/>
          <w:szCs w:val="26"/>
          <w:u w:val="single"/>
          <w:rtl/>
        </w:rPr>
      </w:pPr>
      <w:r>
        <w:rPr>
          <w:rFonts w:ascii="David" w:hAnsi="David" w:hint="cs"/>
          <w:b/>
          <w:bCs/>
          <w:sz w:val="26"/>
          <w:szCs w:val="26"/>
          <w:u w:val="single"/>
          <w:rtl/>
        </w:rPr>
        <w:t xml:space="preserve">  </w:t>
      </w:r>
      <w:r>
        <w:rPr>
          <w:rFonts w:ascii="David" w:hAnsi="David"/>
          <w:b/>
          <w:bCs/>
          <w:sz w:val="26"/>
          <w:szCs w:val="26"/>
          <w:u w:val="single"/>
          <w:rtl/>
        </w:rPr>
        <w:t>קביעת מתחם הענישה</w:t>
      </w:r>
    </w:p>
    <w:p w14:paraId="196DDD7B" w14:textId="77777777" w:rsidR="008561AF" w:rsidRDefault="008561AF" w:rsidP="008561AF">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26D67B59" w14:textId="77777777" w:rsidR="008561AF" w:rsidRDefault="008561AF" w:rsidP="008561AF">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 xml:space="preserve">בריאות הציבור, שלומו וביטחונו, וכן פוגעים בזכות אדם לשלמות גופו, שלום נפשו וכבודו. כמו כן פגעו המעשים בערכים המוגנים של שלטון החוק וההגנה על שלוחיו השוטרים. מידת הפגיעה בערכים המוגנים בינונית בשני התיקים. </w:t>
      </w:r>
    </w:p>
    <w:p w14:paraId="0D46B9A3" w14:textId="77777777" w:rsidR="008561AF" w:rsidRDefault="008561AF" w:rsidP="008561AF">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אשר לתיק העיקרי </w:t>
      </w:r>
      <w:r>
        <w:rPr>
          <w:rFonts w:ascii="David" w:hAnsi="David"/>
          <w:sz w:val="26"/>
          <w:szCs w:val="26"/>
          <w:rtl/>
        </w:rPr>
        <w:t>–</w:t>
      </w:r>
      <w:r>
        <w:rPr>
          <w:rFonts w:ascii="David" w:hAnsi="David" w:hint="cs"/>
          <w:sz w:val="26"/>
          <w:szCs w:val="26"/>
          <w:rtl/>
        </w:rPr>
        <w:t xml:space="preserve"> מדובר בעבירה שנסיבות ביצועה מעידות על כך שהנאשם לא היה הגורם הדומיננטי בהוצאתה לפועל, אם כי היה גורם שבלעדיו אַין לצורך השלמת העבירה. הנאשם עצם עיניו והיה אדיש לפסול שבמעשיו ולהשלכותיהם האפשריות והוא אחראי למעשים. בפועל נגרם נזק בשיעור בינוני נוכח טיב הסם מחד גיסא, וכמותו הבלתי מבוטל מאידך גיסא, כשהסם נמכר לצרכן, שמידת השפעת הסם עליו אינה ידועה. במעשיו, סייע הנאשם להפיץ את נגע הסמים לכל דורש ובכך יש ממד לחומרה. כך ביחס להתנהגותו בעת המעצר. אשר לתיק המצורף </w:t>
      </w:r>
      <w:r>
        <w:rPr>
          <w:rFonts w:ascii="David" w:hAnsi="David"/>
          <w:sz w:val="26"/>
          <w:szCs w:val="26"/>
          <w:rtl/>
        </w:rPr>
        <w:t>–</w:t>
      </w:r>
      <w:r>
        <w:rPr>
          <w:rFonts w:ascii="David" w:hAnsi="David" w:hint="cs"/>
          <w:sz w:val="26"/>
          <w:szCs w:val="26"/>
          <w:rtl/>
        </w:rPr>
        <w:t xml:space="preserve"> הנאשם נהג בבריונות כלפי המתלונן, וגם אם זה פנה אליו בצורה שאינה מכבדת, מעשיו של הנאשם פסולים, מכוערים ועלולים היו להסתיים באופן חמור בהרבה. הנאשם אחראי למעשים באופן מלא. </w:t>
      </w:r>
    </w:p>
    <w:p w14:paraId="6D4C4D72" w14:textId="77777777" w:rsidR="008561AF" w:rsidRPr="00BE09B6" w:rsidRDefault="008561AF" w:rsidP="008561AF">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למדיניות הענישה הנוהגת</w:t>
      </w:r>
      <w:r>
        <w:rPr>
          <w:rFonts w:ascii="David" w:hAnsi="David" w:hint="cs"/>
          <w:b/>
          <w:bCs/>
          <w:sz w:val="26"/>
          <w:szCs w:val="26"/>
          <w:rtl/>
        </w:rPr>
        <w:t>:</w:t>
      </w:r>
    </w:p>
    <w:p w14:paraId="23440733" w14:textId="77777777" w:rsidR="008561AF" w:rsidRPr="00BE09B6" w:rsidRDefault="008561AF" w:rsidP="008561AF">
      <w:pPr>
        <w:pStyle w:val="a9"/>
        <w:numPr>
          <w:ilvl w:val="0"/>
          <w:numId w:val="4"/>
        </w:numPr>
        <w:spacing w:after="160" w:line="360" w:lineRule="auto"/>
        <w:jc w:val="both"/>
        <w:rPr>
          <w:rFonts w:ascii="David" w:hAnsi="David"/>
          <w:sz w:val="26"/>
          <w:szCs w:val="26"/>
        </w:rPr>
      </w:pPr>
      <w:r w:rsidRPr="00BE09B6">
        <w:rPr>
          <w:rFonts w:ascii="David" w:hAnsi="David" w:hint="cs"/>
          <w:sz w:val="26"/>
          <w:szCs w:val="26"/>
          <w:u w:val="single"/>
          <w:rtl/>
        </w:rPr>
        <w:t>ביחס לעבירות סחר בסמים</w:t>
      </w:r>
      <w:r w:rsidRPr="00BE09B6">
        <w:rPr>
          <w:rFonts w:ascii="David" w:hAnsi="David" w:hint="cs"/>
          <w:sz w:val="26"/>
          <w:szCs w:val="26"/>
          <w:rtl/>
        </w:rPr>
        <w:t xml:space="preserve"> -</w:t>
      </w:r>
      <w:r>
        <w:rPr>
          <w:rFonts w:ascii="David" w:hAnsi="David" w:hint="cs"/>
          <w:b/>
          <w:bCs/>
          <w:sz w:val="26"/>
          <w:szCs w:val="26"/>
          <w:rtl/>
        </w:rPr>
        <w:t xml:space="preserve"> </w:t>
      </w:r>
      <w:r w:rsidRPr="00BE09B6">
        <w:rPr>
          <w:rFonts w:ascii="David" w:hAnsi="David" w:hint="cs"/>
          <w:sz w:val="26"/>
          <w:szCs w:val="26"/>
          <w:rtl/>
        </w:rPr>
        <w:t>מדיניות הענישה נוטה להחמיר, הגם שקיימת פסיקה מגוונת נוכח השוני בין נסיבות המעשים והעושים.</w:t>
      </w:r>
    </w:p>
    <w:p w14:paraId="03D501E1" w14:textId="77777777" w:rsidR="008561AF" w:rsidRPr="007C4ADB" w:rsidRDefault="00571FCC" w:rsidP="008561AF">
      <w:pPr>
        <w:pStyle w:val="a9"/>
        <w:numPr>
          <w:ilvl w:val="0"/>
          <w:numId w:val="5"/>
        </w:numPr>
        <w:spacing w:after="160" w:line="360" w:lineRule="auto"/>
        <w:jc w:val="both"/>
        <w:rPr>
          <w:rFonts w:ascii="David" w:hAnsi="David"/>
          <w:sz w:val="26"/>
          <w:szCs w:val="26"/>
          <w:rtl/>
        </w:rPr>
      </w:pPr>
      <w:hyperlink r:id="rId22" w:history="1">
        <w:r w:rsidRPr="00571FCC">
          <w:rPr>
            <w:rFonts w:ascii="David" w:hAnsi="David"/>
            <w:color w:val="0000FF"/>
            <w:sz w:val="26"/>
            <w:szCs w:val="26"/>
            <w:u w:val="single"/>
            <w:rtl/>
          </w:rPr>
          <w:t>רע"פ 8632/19</w:t>
        </w:r>
      </w:hyperlink>
      <w:r w:rsidR="008561AF" w:rsidRPr="007C4ADB">
        <w:rPr>
          <w:rFonts w:ascii="David" w:hAnsi="David" w:hint="cs"/>
          <w:sz w:val="26"/>
          <w:szCs w:val="26"/>
          <w:rtl/>
        </w:rPr>
        <w:t xml:space="preserve"> </w:t>
      </w:r>
      <w:r w:rsidR="008561AF" w:rsidRPr="007C4ADB">
        <w:rPr>
          <w:rFonts w:ascii="David" w:hAnsi="David" w:hint="cs"/>
          <w:b/>
          <w:bCs/>
          <w:sz w:val="26"/>
          <w:szCs w:val="26"/>
          <w:rtl/>
        </w:rPr>
        <w:t>כהן נ' מ"י</w:t>
      </w:r>
      <w:r w:rsidR="008561AF" w:rsidRPr="007C4ADB">
        <w:rPr>
          <w:rFonts w:ascii="David" w:hAnsi="David" w:hint="cs"/>
          <w:sz w:val="26"/>
          <w:szCs w:val="26"/>
          <w:rtl/>
        </w:rPr>
        <w:t xml:space="preserve"> (מיום 5.1.2020) </w:t>
      </w:r>
      <w:r w:rsidR="008561AF" w:rsidRPr="007C4ADB">
        <w:rPr>
          <w:rFonts w:ascii="David" w:hAnsi="David"/>
          <w:sz w:val="26"/>
          <w:szCs w:val="26"/>
          <w:rtl/>
        </w:rPr>
        <w:t>–</w:t>
      </w:r>
      <w:r w:rsidR="008561AF" w:rsidRPr="007C4ADB">
        <w:rPr>
          <w:rFonts w:ascii="David" w:hAnsi="David" w:hint="cs"/>
          <w:sz w:val="26"/>
          <w:szCs w:val="26"/>
          <w:rtl/>
        </w:rPr>
        <w:t xml:space="preserve"> בית המשפט העליון אישר חריגה ממתחם העונש הראוי במספר מקרי סחר בסמים, ואישר הטלת 9 חודשי עבודות שירות במקום 400 שעות של"ץ שהוטלו בערכאה ראשונה.</w:t>
      </w:r>
    </w:p>
    <w:p w14:paraId="1DB5B9C1" w14:textId="77777777" w:rsidR="008561AF" w:rsidRPr="007C4ADB" w:rsidRDefault="008561AF" w:rsidP="008561AF">
      <w:pPr>
        <w:pStyle w:val="a9"/>
        <w:numPr>
          <w:ilvl w:val="0"/>
          <w:numId w:val="5"/>
        </w:numPr>
        <w:spacing w:after="160" w:line="360" w:lineRule="auto"/>
        <w:jc w:val="both"/>
        <w:rPr>
          <w:rFonts w:ascii="David" w:hAnsi="David"/>
          <w:sz w:val="26"/>
          <w:szCs w:val="26"/>
          <w:rtl/>
        </w:rPr>
      </w:pPr>
      <w:r w:rsidRPr="007C4ADB">
        <w:rPr>
          <w:rFonts w:ascii="David" w:hAnsi="David" w:hint="cs"/>
          <w:sz w:val="26"/>
          <w:szCs w:val="26"/>
          <w:rtl/>
        </w:rPr>
        <w:t xml:space="preserve">עפ"ג (ירושלים) 11045-09-18 </w:t>
      </w:r>
      <w:r w:rsidRPr="007C4ADB">
        <w:rPr>
          <w:rFonts w:ascii="David" w:hAnsi="David" w:hint="cs"/>
          <w:b/>
          <w:bCs/>
          <w:sz w:val="26"/>
          <w:szCs w:val="26"/>
          <w:rtl/>
        </w:rPr>
        <w:t>פלוני נ' מ"י</w:t>
      </w:r>
      <w:r w:rsidRPr="007C4ADB">
        <w:rPr>
          <w:rFonts w:ascii="David" w:hAnsi="David" w:hint="cs"/>
          <w:sz w:val="26"/>
          <w:szCs w:val="26"/>
          <w:rtl/>
        </w:rPr>
        <w:t xml:space="preserve"> (מיום 3.3.2019) </w:t>
      </w:r>
      <w:r w:rsidRPr="007C4ADB">
        <w:rPr>
          <w:rFonts w:ascii="David" w:hAnsi="David"/>
          <w:sz w:val="26"/>
          <w:szCs w:val="26"/>
          <w:rtl/>
        </w:rPr>
        <w:t>–</w:t>
      </w:r>
      <w:r w:rsidRPr="007C4ADB">
        <w:rPr>
          <w:rFonts w:ascii="David" w:hAnsi="David" w:hint="cs"/>
          <w:sz w:val="26"/>
          <w:szCs w:val="26"/>
          <w:rtl/>
        </w:rPr>
        <w:t xml:space="preserve"> בית המשפט המחוזי ביטל הרשעת מי שסחר בחשיש במשקל 192 גרם מול סוכן משטרתי מספר פעמים בנסיבות חמורות ממקרנו. בוטלה ההרשעה ובית המשפט הסתפק ב-380 שעות של"ץ וענישה נוספת. </w:t>
      </w:r>
    </w:p>
    <w:p w14:paraId="5FA3F09C" w14:textId="77777777" w:rsidR="008561AF" w:rsidRDefault="00571FCC" w:rsidP="008561AF">
      <w:pPr>
        <w:pStyle w:val="a9"/>
        <w:numPr>
          <w:ilvl w:val="0"/>
          <w:numId w:val="5"/>
        </w:numPr>
        <w:spacing w:after="160" w:line="360" w:lineRule="auto"/>
        <w:jc w:val="both"/>
        <w:rPr>
          <w:rFonts w:ascii="David" w:hAnsi="David"/>
          <w:sz w:val="26"/>
          <w:szCs w:val="26"/>
        </w:rPr>
      </w:pPr>
      <w:hyperlink r:id="rId23" w:history="1">
        <w:r w:rsidRPr="00571FCC">
          <w:rPr>
            <w:rFonts w:ascii="David" w:hAnsi="David"/>
            <w:color w:val="0000FF"/>
            <w:sz w:val="26"/>
            <w:szCs w:val="26"/>
            <w:u w:val="single"/>
            <w:rtl/>
          </w:rPr>
          <w:t>עפ"ג (ירושלים) 65233-03-17</w:t>
        </w:r>
      </w:hyperlink>
      <w:r w:rsidR="008561AF" w:rsidRPr="007C4ADB">
        <w:rPr>
          <w:rFonts w:ascii="David" w:hAnsi="David" w:hint="cs"/>
          <w:sz w:val="26"/>
          <w:szCs w:val="26"/>
          <w:rtl/>
        </w:rPr>
        <w:t xml:space="preserve"> </w:t>
      </w:r>
      <w:r w:rsidR="008561AF" w:rsidRPr="007C4ADB">
        <w:rPr>
          <w:rFonts w:ascii="David" w:hAnsi="David" w:hint="cs"/>
          <w:b/>
          <w:bCs/>
          <w:sz w:val="26"/>
          <w:szCs w:val="26"/>
          <w:rtl/>
        </w:rPr>
        <w:t>רוזנברג נ' מ"י</w:t>
      </w:r>
      <w:r w:rsidR="008561AF" w:rsidRPr="007C4ADB">
        <w:rPr>
          <w:rFonts w:ascii="David" w:hAnsi="David" w:hint="cs"/>
          <w:sz w:val="26"/>
          <w:szCs w:val="26"/>
          <w:rtl/>
        </w:rPr>
        <w:t xml:space="preserve"> (מיום 26.6.2017) </w:t>
      </w:r>
      <w:r w:rsidR="008561AF" w:rsidRPr="007C4ADB">
        <w:rPr>
          <w:rFonts w:ascii="David" w:hAnsi="David"/>
          <w:sz w:val="26"/>
          <w:szCs w:val="26"/>
          <w:rtl/>
        </w:rPr>
        <w:t>–</w:t>
      </w:r>
      <w:r w:rsidR="008561AF" w:rsidRPr="007C4ADB">
        <w:rPr>
          <w:rFonts w:ascii="David" w:hAnsi="David" w:hint="cs"/>
          <w:sz w:val="26"/>
          <w:szCs w:val="26"/>
          <w:rtl/>
        </w:rPr>
        <w:t xml:space="preserve"> בית המשפט המחוזי ביטל את גזר דיני, וקבע מתחם שבין מספר חודשי מאסר ועד 10 חודשי מאסר בנסיבות של שתי מכירות קנביס במשקל כולל של 100 גרם, והסתפק בימי מעצרו של הנאשם </w:t>
      </w:r>
      <w:r w:rsidR="008561AF" w:rsidRPr="007C4ADB">
        <w:rPr>
          <w:rFonts w:ascii="David" w:hAnsi="David"/>
          <w:sz w:val="26"/>
          <w:szCs w:val="26"/>
          <w:rtl/>
        </w:rPr>
        <w:t>–</w:t>
      </w:r>
      <w:r w:rsidR="008561AF" w:rsidRPr="007C4ADB">
        <w:rPr>
          <w:rFonts w:ascii="David" w:hAnsi="David" w:hint="cs"/>
          <w:sz w:val="26"/>
          <w:szCs w:val="26"/>
          <w:rtl/>
        </w:rPr>
        <w:t xml:space="preserve"> 49 ימים, מאסר מותנה וקנס.</w:t>
      </w:r>
    </w:p>
    <w:p w14:paraId="2F528629" w14:textId="77777777" w:rsidR="008561AF" w:rsidRDefault="008561AF" w:rsidP="008561AF">
      <w:pPr>
        <w:pStyle w:val="a9"/>
        <w:numPr>
          <w:ilvl w:val="0"/>
          <w:numId w:val="4"/>
        </w:numPr>
        <w:spacing w:after="160" w:line="360" w:lineRule="auto"/>
        <w:jc w:val="both"/>
        <w:rPr>
          <w:rFonts w:ascii="David" w:hAnsi="David"/>
          <w:sz w:val="26"/>
          <w:szCs w:val="26"/>
        </w:rPr>
      </w:pPr>
      <w:r w:rsidRPr="007C4ADB">
        <w:rPr>
          <w:rFonts w:ascii="David" w:hAnsi="David" w:hint="cs"/>
          <w:sz w:val="26"/>
          <w:szCs w:val="26"/>
          <w:u w:val="single"/>
          <w:rtl/>
        </w:rPr>
        <w:t>ביחס לעבירות אלימות</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w:t>
      </w:r>
    </w:p>
    <w:p w14:paraId="0BF1A58B" w14:textId="77777777" w:rsidR="008561AF" w:rsidRPr="00DA60C8" w:rsidRDefault="00571FCC" w:rsidP="008561AF">
      <w:pPr>
        <w:pStyle w:val="a9"/>
        <w:numPr>
          <w:ilvl w:val="0"/>
          <w:numId w:val="6"/>
        </w:numPr>
        <w:spacing w:after="160" w:line="360" w:lineRule="auto"/>
        <w:jc w:val="both"/>
        <w:rPr>
          <w:rFonts w:ascii="David" w:hAnsi="David"/>
          <w:sz w:val="26"/>
          <w:szCs w:val="26"/>
          <w:rtl/>
        </w:rPr>
      </w:pPr>
      <w:hyperlink r:id="rId24" w:history="1">
        <w:r w:rsidRPr="00571FCC">
          <w:rPr>
            <w:rFonts w:ascii="David" w:hAnsi="David"/>
            <w:color w:val="0000FF"/>
            <w:sz w:val="26"/>
            <w:szCs w:val="26"/>
            <w:u w:val="single"/>
            <w:rtl/>
          </w:rPr>
          <w:t>רע"פ 8991/08</w:t>
        </w:r>
      </w:hyperlink>
      <w:r w:rsidR="008561AF" w:rsidRPr="00DA60C8">
        <w:rPr>
          <w:rFonts w:ascii="David" w:hAnsi="David" w:hint="cs"/>
          <w:sz w:val="26"/>
          <w:szCs w:val="26"/>
          <w:rtl/>
        </w:rPr>
        <w:t xml:space="preserve"> </w:t>
      </w:r>
      <w:r w:rsidR="008561AF" w:rsidRPr="00DA60C8">
        <w:rPr>
          <w:rFonts w:ascii="David" w:hAnsi="David" w:hint="cs"/>
          <w:b/>
          <w:bCs/>
          <w:sz w:val="26"/>
          <w:szCs w:val="26"/>
          <w:rtl/>
        </w:rPr>
        <w:t>עבדאללה נ' מ"י</w:t>
      </w:r>
      <w:r w:rsidR="008561AF" w:rsidRPr="00DA60C8">
        <w:rPr>
          <w:rFonts w:ascii="David" w:hAnsi="David" w:hint="cs"/>
          <w:sz w:val="26"/>
          <w:szCs w:val="26"/>
          <w:rtl/>
        </w:rPr>
        <w:t xml:space="preserve"> (מיום 1.2.2009) </w:t>
      </w:r>
      <w:r w:rsidR="008561AF" w:rsidRPr="00DA60C8">
        <w:rPr>
          <w:rFonts w:ascii="David" w:hAnsi="David"/>
          <w:sz w:val="26"/>
          <w:szCs w:val="26"/>
          <w:rtl/>
        </w:rPr>
        <w:t>–</w:t>
      </w:r>
      <w:r w:rsidR="008561AF" w:rsidRPr="00DA60C8">
        <w:rPr>
          <w:rFonts w:ascii="David" w:hAnsi="David" w:hint="cs"/>
          <w:sz w:val="26"/>
          <w:szCs w:val="26"/>
          <w:rtl/>
        </w:rPr>
        <w:t xml:space="preserve"> הנאשם מנהל חטיבת ביניים, הורשע בתקיפה סתם של אחד מתלמידיו לרבות מתן סטירה בפניו של התלמיד. אושר עונש של מאסר מותנה, קנס ופיצוי. </w:t>
      </w:r>
    </w:p>
    <w:p w14:paraId="50688662" w14:textId="77777777" w:rsidR="008561AF" w:rsidRPr="00DA60C8" w:rsidRDefault="00571FCC" w:rsidP="008561AF">
      <w:pPr>
        <w:pStyle w:val="a9"/>
        <w:numPr>
          <w:ilvl w:val="0"/>
          <w:numId w:val="6"/>
        </w:numPr>
        <w:spacing w:after="160" w:line="360" w:lineRule="auto"/>
        <w:jc w:val="both"/>
        <w:rPr>
          <w:rFonts w:ascii="David" w:hAnsi="David"/>
          <w:sz w:val="26"/>
          <w:szCs w:val="26"/>
          <w:rtl/>
        </w:rPr>
      </w:pPr>
      <w:hyperlink r:id="rId25" w:history="1">
        <w:r w:rsidRPr="00571FCC">
          <w:rPr>
            <w:rFonts w:ascii="David" w:hAnsi="David"/>
            <w:color w:val="0000FF"/>
            <w:sz w:val="26"/>
            <w:szCs w:val="26"/>
            <w:u w:val="single"/>
            <w:rtl/>
          </w:rPr>
          <w:t>רע"פ 5561/19</w:t>
        </w:r>
      </w:hyperlink>
      <w:r w:rsidR="008561AF" w:rsidRPr="00DA60C8">
        <w:rPr>
          <w:rFonts w:ascii="David" w:hAnsi="David" w:hint="cs"/>
          <w:sz w:val="26"/>
          <w:szCs w:val="26"/>
          <w:rtl/>
        </w:rPr>
        <w:t xml:space="preserve"> </w:t>
      </w:r>
      <w:r w:rsidR="008561AF" w:rsidRPr="00DA60C8">
        <w:rPr>
          <w:rFonts w:ascii="David" w:hAnsi="David" w:hint="cs"/>
          <w:b/>
          <w:bCs/>
          <w:sz w:val="26"/>
          <w:szCs w:val="26"/>
          <w:rtl/>
        </w:rPr>
        <w:t>נקלה נ' מ"י</w:t>
      </w:r>
      <w:r w:rsidR="008561AF" w:rsidRPr="00DA60C8">
        <w:rPr>
          <w:rFonts w:ascii="David" w:hAnsi="David" w:hint="cs"/>
          <w:sz w:val="26"/>
          <w:szCs w:val="26"/>
          <w:rtl/>
        </w:rPr>
        <w:t xml:space="preserve"> (מיום 29.8.2019) </w:t>
      </w:r>
      <w:r w:rsidR="008561AF" w:rsidRPr="00DA60C8">
        <w:rPr>
          <w:rFonts w:ascii="David" w:hAnsi="David"/>
          <w:sz w:val="26"/>
          <w:szCs w:val="26"/>
          <w:rtl/>
        </w:rPr>
        <w:t>–</w:t>
      </w:r>
      <w:r w:rsidR="008561AF" w:rsidRPr="00DA60C8">
        <w:rPr>
          <w:rFonts w:ascii="David" w:hAnsi="David" w:hint="cs"/>
          <w:sz w:val="26"/>
          <w:szCs w:val="26"/>
          <w:rtl/>
        </w:rPr>
        <w:t xml:space="preserve"> בתיק זה הנאשם הורשע בעבירות רכוש, התחזות והפרעה לשוטר. בעניין הפרעה לשוטר בנסיבות של הימלטות משוטרים נקבע מתחם שבין מאסר מותנה ועד מאסר קצר. באותן נסיבות הסתיים התיק בשלושה חודשי מאסר ויום נוכח נסיבותיו האישיות של הנאשם. </w:t>
      </w:r>
    </w:p>
    <w:p w14:paraId="54F842FB" w14:textId="77777777" w:rsidR="008561AF" w:rsidRPr="00DA60C8" w:rsidRDefault="00571FCC" w:rsidP="008561AF">
      <w:pPr>
        <w:pStyle w:val="a9"/>
        <w:numPr>
          <w:ilvl w:val="0"/>
          <w:numId w:val="6"/>
        </w:numPr>
        <w:spacing w:after="160" w:line="360" w:lineRule="auto"/>
        <w:jc w:val="both"/>
        <w:rPr>
          <w:rFonts w:ascii="David" w:hAnsi="David"/>
          <w:sz w:val="26"/>
          <w:szCs w:val="26"/>
          <w:rtl/>
        </w:rPr>
      </w:pPr>
      <w:hyperlink r:id="rId26" w:history="1">
        <w:r w:rsidRPr="00571FCC">
          <w:rPr>
            <w:rFonts w:ascii="David" w:hAnsi="David"/>
            <w:color w:val="0000FF"/>
            <w:sz w:val="26"/>
            <w:szCs w:val="26"/>
            <w:u w:val="single"/>
            <w:rtl/>
          </w:rPr>
          <w:t>רע"פ 1643/16</w:t>
        </w:r>
      </w:hyperlink>
      <w:r w:rsidR="008561AF" w:rsidRPr="00DA60C8">
        <w:rPr>
          <w:rFonts w:ascii="David" w:hAnsi="David" w:hint="cs"/>
          <w:sz w:val="26"/>
          <w:szCs w:val="26"/>
          <w:rtl/>
        </w:rPr>
        <w:t xml:space="preserve"> </w:t>
      </w:r>
      <w:r w:rsidR="008561AF" w:rsidRPr="00DA60C8">
        <w:rPr>
          <w:rFonts w:ascii="David" w:hAnsi="David" w:hint="cs"/>
          <w:b/>
          <w:bCs/>
          <w:sz w:val="26"/>
          <w:szCs w:val="26"/>
          <w:rtl/>
        </w:rPr>
        <w:t>ביטון נ' מ"י</w:t>
      </w:r>
      <w:r w:rsidR="008561AF" w:rsidRPr="00DA60C8">
        <w:rPr>
          <w:rFonts w:ascii="David" w:hAnsi="David" w:hint="cs"/>
          <w:sz w:val="26"/>
          <w:szCs w:val="26"/>
          <w:rtl/>
        </w:rPr>
        <w:t xml:space="preserve"> (מיום 2.3.2016) </w:t>
      </w:r>
      <w:r w:rsidR="008561AF" w:rsidRPr="00DA60C8">
        <w:rPr>
          <w:rFonts w:ascii="David" w:hAnsi="David"/>
          <w:sz w:val="26"/>
          <w:szCs w:val="26"/>
          <w:rtl/>
        </w:rPr>
        <w:t>–</w:t>
      </w:r>
      <w:r w:rsidR="008561AF" w:rsidRPr="00DA60C8">
        <w:rPr>
          <w:rFonts w:ascii="David" w:hAnsi="David" w:hint="cs"/>
          <w:sz w:val="26"/>
          <w:szCs w:val="26"/>
          <w:rtl/>
        </w:rPr>
        <w:t xml:space="preserve"> מקרה של תקיפת שוטר בעקבות קבלת דו"ח חניה. אושר מתחם שבין עבודות שירות ל-6 חודשי מאסר ועונש של 3 חודשי עבודות שירות. מתיק זה ניתן לגזור לקולה לענייננו.</w:t>
      </w:r>
    </w:p>
    <w:p w14:paraId="532E67CE" w14:textId="77777777" w:rsidR="008561AF" w:rsidRDefault="008561AF" w:rsidP="008561AF">
      <w:pPr>
        <w:pStyle w:val="a9"/>
        <w:numPr>
          <w:ilvl w:val="0"/>
          <w:numId w:val="2"/>
        </w:numPr>
        <w:spacing w:after="160" w:line="360" w:lineRule="auto"/>
        <w:jc w:val="both"/>
        <w:rPr>
          <w:rFonts w:ascii="David" w:hAnsi="David"/>
          <w:sz w:val="26"/>
          <w:szCs w:val="26"/>
          <w:rtl/>
        </w:rPr>
      </w:pPr>
      <w:r w:rsidRPr="00DA60C8">
        <w:rPr>
          <w:rFonts w:ascii="David" w:hAnsi="David"/>
          <w:b/>
          <w:bCs/>
          <w:sz w:val="26"/>
          <w:szCs w:val="26"/>
          <w:rtl/>
        </w:rPr>
        <w:t>מתח</w:t>
      </w:r>
      <w:r w:rsidRPr="00DA60C8">
        <w:rPr>
          <w:rFonts w:ascii="David" w:hAnsi="David" w:hint="cs"/>
          <w:b/>
          <w:bCs/>
          <w:sz w:val="26"/>
          <w:szCs w:val="26"/>
          <w:rtl/>
        </w:rPr>
        <w:t>מי</w:t>
      </w:r>
      <w:r w:rsidRPr="00DA60C8">
        <w:rPr>
          <w:rFonts w:ascii="David" w:hAnsi="David"/>
          <w:b/>
          <w:bCs/>
          <w:sz w:val="26"/>
          <w:szCs w:val="26"/>
          <w:rtl/>
        </w:rPr>
        <w:t xml:space="preserve"> הענישה </w:t>
      </w:r>
      <w:r w:rsidRPr="00DA60C8">
        <w:rPr>
          <w:rFonts w:ascii="David" w:hAnsi="David" w:hint="cs"/>
          <w:b/>
          <w:bCs/>
          <w:sz w:val="26"/>
          <w:szCs w:val="26"/>
          <w:rtl/>
        </w:rPr>
        <w:t>ההולמים</w:t>
      </w:r>
      <w:r>
        <w:rPr>
          <w:rFonts w:ascii="David" w:hAnsi="David" w:hint="cs"/>
          <w:sz w:val="26"/>
          <w:szCs w:val="26"/>
          <w:rtl/>
        </w:rPr>
        <w:t xml:space="preserve"> </w:t>
      </w:r>
      <w:r>
        <w:rPr>
          <w:rFonts w:ascii="David" w:hAnsi="David"/>
          <w:sz w:val="26"/>
          <w:szCs w:val="26"/>
          <w:rtl/>
        </w:rPr>
        <w:t xml:space="preserve">– לפיכך, </w:t>
      </w:r>
      <w:r>
        <w:rPr>
          <w:rFonts w:ascii="David" w:hAnsi="David" w:hint="cs"/>
          <w:sz w:val="26"/>
          <w:szCs w:val="26"/>
          <w:rtl/>
        </w:rPr>
        <w:t xml:space="preserve">בתיק העיקרי קובע מתחם שבין ימי מאסר קצרים או של"ץ נרחב ועד 6 חודשי מאסר שיכול ויבוצע בעבודות שירות, ובתיק המצורף קובע מתחם שבין מאסר מותנה ועד 4 חודשי מאסר. </w:t>
      </w:r>
    </w:p>
    <w:p w14:paraId="365134C2" w14:textId="77777777" w:rsidR="008561AF" w:rsidRDefault="008561AF" w:rsidP="008561AF">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6461D808" w14:textId="77777777" w:rsidR="008561AF" w:rsidRDefault="008561AF" w:rsidP="008561AF">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צעיר לימים ללא עבר פלילי, מלבד שני התיקים שלפניי. הנאשם קיבל אחריות למעשים, שהה במעצר ממש כשבועיים ימים ולאחר מכן תקופה ארוכה מאוד של כ-8 חודשים במעצר בפיקוח אלקטרוני. גם לאחר שהוקלו התנאים והוסרו, לא נרשמו הפרות או פתיחת תיקים חדשים. הנאשם שיתף פעולה עם שירות המבחן לכל אורך הדרך, למעט מעידה אחת של שימוש בסם מסוג קוקאין. יתר הבדיקות היו נקיות מסמים ונרשם שיתוף פעולה מלא בטיפול. הנאשם סטודנט בשלב מתקדם בתחום בו יש לו  שאיפות לעסוק, הוא שירת שירות צבאי מלא בין היתר בתפקידים קרביים, והוא מוערך לחיוב על-ידי מפקדיו לשעבר והממונים עליו בעבודתו. נוכח כל אלה יש למקמו בתחתית המתחם.  </w:t>
      </w:r>
    </w:p>
    <w:p w14:paraId="18A997C8" w14:textId="77777777" w:rsidR="008561AF" w:rsidRDefault="008561AF" w:rsidP="008561AF">
      <w:pPr>
        <w:spacing w:after="160" w:line="360" w:lineRule="auto"/>
        <w:jc w:val="both"/>
        <w:rPr>
          <w:rFonts w:ascii="David" w:hAnsi="David"/>
          <w:b/>
          <w:bCs/>
          <w:sz w:val="26"/>
          <w:szCs w:val="26"/>
          <w:u w:val="single"/>
          <w:rtl/>
        </w:rPr>
      </w:pPr>
    </w:p>
    <w:p w14:paraId="3D308436" w14:textId="77777777" w:rsidR="008561AF" w:rsidRDefault="008561AF" w:rsidP="008561AF">
      <w:pPr>
        <w:spacing w:after="160" w:line="360" w:lineRule="auto"/>
        <w:jc w:val="both"/>
        <w:rPr>
          <w:rFonts w:ascii="David" w:hAnsi="David"/>
          <w:b/>
          <w:bCs/>
          <w:sz w:val="26"/>
          <w:szCs w:val="26"/>
          <w:u w:val="single"/>
          <w:rtl/>
        </w:rPr>
      </w:pPr>
    </w:p>
    <w:p w14:paraId="094CDA12" w14:textId="77777777" w:rsidR="008561AF" w:rsidRDefault="008561AF" w:rsidP="008561AF">
      <w:pPr>
        <w:spacing w:after="160" w:line="360" w:lineRule="auto"/>
        <w:jc w:val="both"/>
        <w:rPr>
          <w:rFonts w:ascii="David" w:hAnsi="David"/>
          <w:sz w:val="26"/>
          <w:szCs w:val="26"/>
          <w:rtl/>
        </w:rPr>
      </w:pPr>
      <w:r>
        <w:rPr>
          <w:rFonts w:ascii="David" w:hAnsi="David" w:hint="cs"/>
          <w:b/>
          <w:bCs/>
          <w:sz w:val="26"/>
          <w:szCs w:val="26"/>
          <w:u w:val="single"/>
          <w:rtl/>
        </w:rPr>
        <w:t xml:space="preserve">ביטול </w:t>
      </w:r>
      <w:r>
        <w:rPr>
          <w:rFonts w:ascii="David" w:hAnsi="David"/>
          <w:b/>
          <w:bCs/>
          <w:sz w:val="26"/>
          <w:szCs w:val="26"/>
          <w:u w:val="single"/>
          <w:rtl/>
        </w:rPr>
        <w:t>הרשעה</w:t>
      </w:r>
      <w:r>
        <w:rPr>
          <w:rFonts w:ascii="David" w:hAnsi="David"/>
          <w:sz w:val="26"/>
          <w:szCs w:val="26"/>
          <w:rtl/>
        </w:rPr>
        <w:t xml:space="preserve"> </w:t>
      </w:r>
    </w:p>
    <w:p w14:paraId="64569ED5" w14:textId="77777777" w:rsidR="008561AF" w:rsidRDefault="008561AF" w:rsidP="008561AF">
      <w:pPr>
        <w:pStyle w:val="a9"/>
        <w:numPr>
          <w:ilvl w:val="0"/>
          <w:numId w:val="2"/>
        </w:numPr>
        <w:spacing w:after="160" w:line="360" w:lineRule="auto"/>
        <w:jc w:val="both"/>
        <w:rPr>
          <w:rFonts w:ascii="David" w:hAnsi="David"/>
          <w:sz w:val="26"/>
          <w:szCs w:val="26"/>
        </w:rPr>
      </w:pPr>
      <w:r>
        <w:rPr>
          <w:rFonts w:ascii="David" w:hAnsi="David"/>
          <w:sz w:val="26"/>
          <w:szCs w:val="26"/>
          <w:rtl/>
        </w:rPr>
        <w:t>בידוע, שעה שנמצא כי נאשם ביצע את העבירות המיוחסות לו, יש להרשיעו. זהו הכלל. אי-הרשעה הוא היוצא מן הכלל. ב</w:t>
      </w:r>
      <w:hyperlink r:id="rId27" w:history="1">
        <w:r w:rsidR="00571FCC" w:rsidRPr="00571FCC">
          <w:rPr>
            <w:rFonts w:ascii="David" w:hAnsi="David"/>
            <w:color w:val="0000FF"/>
            <w:sz w:val="26"/>
            <w:szCs w:val="26"/>
            <w:u w:val="single"/>
            <w:rtl/>
          </w:rPr>
          <w:t>ע"פ 2083/96</w:t>
        </w:r>
      </w:hyperlink>
      <w:r>
        <w:rPr>
          <w:rFonts w:ascii="David" w:hAnsi="David"/>
          <w:sz w:val="26"/>
          <w:szCs w:val="26"/>
          <w:rtl/>
        </w:rPr>
        <w:t xml:space="preserve"> </w:t>
      </w:r>
      <w:r>
        <w:rPr>
          <w:rFonts w:ascii="David" w:hAnsi="David"/>
          <w:b/>
          <w:bCs/>
          <w:sz w:val="26"/>
          <w:szCs w:val="26"/>
          <w:rtl/>
        </w:rPr>
        <w:t>כתב נ' מ"י</w:t>
      </w:r>
      <w:r>
        <w:rPr>
          <w:rFonts w:ascii="David" w:hAnsi="David"/>
          <w:sz w:val="26"/>
          <w:szCs w:val="26"/>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28" w:history="1">
        <w:r w:rsidR="00571FCC" w:rsidRPr="00571FCC">
          <w:rPr>
            <w:rFonts w:ascii="David" w:hAnsi="David"/>
            <w:color w:val="0000FF"/>
            <w:sz w:val="26"/>
            <w:szCs w:val="26"/>
            <w:u w:val="single"/>
            <w:rtl/>
          </w:rPr>
          <w:t>ע"פ 5985/13</w:t>
        </w:r>
      </w:hyperlink>
      <w:r>
        <w:rPr>
          <w:rFonts w:ascii="David" w:hAnsi="David"/>
          <w:sz w:val="26"/>
          <w:szCs w:val="26"/>
          <w:rtl/>
        </w:rPr>
        <w:t xml:space="preserve"> </w:t>
      </w:r>
      <w:r>
        <w:rPr>
          <w:rFonts w:ascii="David" w:hAnsi="David"/>
          <w:b/>
          <w:bCs/>
          <w:sz w:val="26"/>
          <w:szCs w:val="26"/>
          <w:rtl/>
        </w:rPr>
        <w:t>אבן נ' מ"י</w:t>
      </w:r>
      <w:r>
        <w:rPr>
          <w:rFonts w:ascii="David" w:hAnsi="David"/>
          <w:sz w:val="26"/>
          <w:szCs w:val="26"/>
          <w:rtl/>
        </w:rPr>
        <w:t xml:space="preserve"> (מיום 2.4.2014) בפסקאות 6 ו-7. </w:t>
      </w:r>
      <w:r>
        <w:rPr>
          <w:rFonts w:ascii="David" w:hAnsi="David" w:hint="cs"/>
          <w:sz w:val="26"/>
          <w:szCs w:val="26"/>
          <w:rtl/>
        </w:rPr>
        <w:t xml:space="preserve">בענייננו, מדובר בשני אישומים נפרדים שהתבצעו בסמיכות זמנים (ספטמבר ודצמבר 2020). המשותף לשניהם הוא התנהגות כוחנית ואלימה של הנאשם הן כלפי עובר אורח שכל חטאו שהעיר לו, והן כלפי שוטרים שבאו לביתו לבצע את עבודתם. לטעמי, צירוף נסיבות שני התיקים גם יחד אינם מאפשרים לבטל את ההרשעה, וזאת מבלי להתייחס לחומרה שבסחר בסמים. מעבר לכך, לא הוכח נזק קונקרטי ויוצא דופן שייגרם לנאשם מהותרת הרשעתו על כנה. לכן העתירה נדחית. </w:t>
      </w:r>
    </w:p>
    <w:p w14:paraId="6A18375B" w14:textId="77777777" w:rsidR="008561AF" w:rsidRDefault="008561AF" w:rsidP="008561AF">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מעבר לדרוש אציין, כי בסקירת הנסיבות הקשורות בנאשם עמדתי על כך שמדובר באדם נורמטיבי וחרוץ בעל שאיפות חיוביות לתרום לחברה ולהיתרם ממנה. לטעמי, אין בכשליו של הנאשם בשני התיקים שלפניי, כדי למנוע את העסקתו בתחום מקצועו או בכל תחום אחר בעתיד, או כדי למנוע ממנו לקבל אזרחות זרה. הנאשם אמנם כשל, אך הוכיח כי ניתן לתת בו אמון, והוכיח כי הוא יודע להיעזר בגורמי הטיפול ולהפיק לקחים. </w:t>
      </w:r>
    </w:p>
    <w:p w14:paraId="3E108011" w14:textId="77777777" w:rsidR="008561AF" w:rsidRDefault="008561AF" w:rsidP="008561AF">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1A0DD622" w14:textId="77777777" w:rsidR="008561AF" w:rsidRDefault="008561AF" w:rsidP="008561AF">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1FDC948B" w14:textId="77777777" w:rsidR="008561AF" w:rsidRDefault="008561AF" w:rsidP="008561AF">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מהיום כל </w:t>
      </w:r>
      <w:r>
        <w:rPr>
          <w:rFonts w:ascii="David" w:hAnsi="David" w:hint="cs"/>
          <w:sz w:val="26"/>
          <w:szCs w:val="26"/>
          <w:rtl/>
        </w:rPr>
        <w:t>עבירת פשע לפי פקודת הסמים או כל עבירת אלימות מסוג פשע;</w:t>
      </w:r>
    </w:p>
    <w:p w14:paraId="6C3B6931" w14:textId="77777777" w:rsidR="008561AF" w:rsidRDefault="008561AF" w:rsidP="008561A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חודשיים מאסר על-תנאי, שלא יעבור הנאשם בתוך 3 שנים מהיום, כל עבירת אלימות מסוג עוון לרבות איומים, וכן כל עבירה כלפי שוטרים;</w:t>
      </w:r>
    </w:p>
    <w:p w14:paraId="3E3F6EB1" w14:textId="77777777" w:rsidR="008561AF" w:rsidRDefault="008561AF" w:rsidP="008561AF">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4,000</w:t>
      </w:r>
      <w:r>
        <w:rPr>
          <w:rFonts w:ascii="David" w:hAnsi="David"/>
          <w:sz w:val="26"/>
          <w:szCs w:val="26"/>
          <w:rtl/>
        </w:rPr>
        <w:t xml:space="preserve"> ₪, או </w:t>
      </w:r>
      <w:r>
        <w:rPr>
          <w:rFonts w:ascii="David" w:hAnsi="David" w:hint="cs"/>
          <w:sz w:val="26"/>
          <w:szCs w:val="26"/>
          <w:rtl/>
        </w:rPr>
        <w:t xml:space="preserve">חודש </w:t>
      </w:r>
      <w:r>
        <w:rPr>
          <w:rFonts w:ascii="David" w:hAnsi="David"/>
          <w:sz w:val="26"/>
          <w:szCs w:val="26"/>
          <w:rtl/>
        </w:rPr>
        <w:t>מאסר תמורתו אם לא ישולם. הקנס ישולם ב</w:t>
      </w:r>
      <w:r>
        <w:rPr>
          <w:rFonts w:ascii="David" w:hAnsi="David" w:hint="cs"/>
          <w:sz w:val="26"/>
          <w:szCs w:val="26"/>
          <w:rtl/>
        </w:rPr>
        <w:t xml:space="preserve">-10 </w:t>
      </w:r>
      <w:r>
        <w:rPr>
          <w:rFonts w:ascii="David" w:hAnsi="David"/>
          <w:sz w:val="26"/>
          <w:szCs w:val="26"/>
          <w:rtl/>
        </w:rPr>
        <w:t xml:space="preserve"> תשלומים שווים ורצופים החל מיום </w:t>
      </w:r>
      <w:r>
        <w:rPr>
          <w:rFonts w:ascii="David" w:hAnsi="David" w:hint="cs"/>
          <w:sz w:val="26"/>
          <w:szCs w:val="26"/>
          <w:rtl/>
        </w:rPr>
        <w:t xml:space="preserve">1.5.2023 </w:t>
      </w:r>
      <w:r>
        <w:rPr>
          <w:rFonts w:ascii="David" w:hAnsi="David"/>
          <w:sz w:val="26"/>
          <w:szCs w:val="26"/>
          <w:rtl/>
        </w:rPr>
        <w:t xml:space="preserve">ובכל </w:t>
      </w:r>
      <w:r>
        <w:rPr>
          <w:rFonts w:ascii="David" w:hAnsi="David" w:hint="cs"/>
          <w:sz w:val="26"/>
          <w:szCs w:val="26"/>
          <w:rtl/>
        </w:rPr>
        <w:t xml:space="preserve">1 </w:t>
      </w:r>
      <w:r>
        <w:rPr>
          <w:rFonts w:ascii="David" w:hAnsi="David"/>
          <w:sz w:val="26"/>
          <w:szCs w:val="26"/>
          <w:rtl/>
        </w:rPr>
        <w:t>בחודש. לא ישולם תשלום במועד או לא ישולם כלל, יעמוד הקנס לפירעון מיידי;</w:t>
      </w:r>
    </w:p>
    <w:p w14:paraId="228659BD" w14:textId="77777777" w:rsidR="008561AF" w:rsidRDefault="008561AF" w:rsidP="008561A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450 </w:t>
      </w:r>
      <w:r>
        <w:rPr>
          <w:rFonts w:ascii="David" w:hAnsi="David"/>
          <w:sz w:val="26"/>
          <w:szCs w:val="26"/>
          <w:rtl/>
        </w:rPr>
        <w:t xml:space="preserve">שעות שירות לתועלת הציבור (של"ץ), אשר ירוצו החל מיום </w:t>
      </w:r>
      <w:r>
        <w:rPr>
          <w:rFonts w:ascii="David" w:hAnsi="David" w:hint="cs"/>
          <w:sz w:val="26"/>
          <w:szCs w:val="26"/>
          <w:rtl/>
        </w:rPr>
        <w:t xml:space="preserve">1.5.2023 </w:t>
      </w:r>
      <w:r>
        <w:rPr>
          <w:rFonts w:ascii="David" w:hAnsi="David"/>
          <w:sz w:val="26"/>
          <w:szCs w:val="26"/>
          <w:rtl/>
        </w:rPr>
        <w:t>על-פי תוכנית שיכין שירות המבחן ויגיש לבית המשפט בתוך 30 יום מהיום;</w:t>
      </w:r>
    </w:p>
    <w:p w14:paraId="172D6E8C" w14:textId="77777777" w:rsidR="008561AF" w:rsidRDefault="008561AF" w:rsidP="008561AF">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 xml:space="preserve">12 </w:t>
      </w:r>
      <w:r>
        <w:rPr>
          <w:rFonts w:ascii="David" w:hAnsi="David"/>
          <w:sz w:val="26"/>
          <w:szCs w:val="26"/>
          <w:rtl/>
        </w:rPr>
        <w:t>חודשים</w:t>
      </w:r>
      <w:r>
        <w:rPr>
          <w:rFonts w:ascii="David" w:hAnsi="David" w:hint="cs"/>
          <w:sz w:val="26"/>
          <w:szCs w:val="26"/>
          <w:rtl/>
        </w:rPr>
        <w:t xml:space="preserve"> מהיום</w:t>
      </w:r>
      <w:r>
        <w:rPr>
          <w:rFonts w:ascii="David" w:hAnsi="David"/>
          <w:sz w:val="26"/>
          <w:szCs w:val="26"/>
          <w:rtl/>
        </w:rPr>
        <w:t>;</w:t>
      </w:r>
    </w:p>
    <w:p w14:paraId="44F69DE4" w14:textId="77777777" w:rsidR="008561AF" w:rsidRDefault="008561AF" w:rsidP="008561AF">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פיצוי </w:t>
      </w:r>
      <w:r>
        <w:rPr>
          <w:rFonts w:ascii="David" w:hAnsi="David" w:hint="cs"/>
          <w:sz w:val="26"/>
          <w:szCs w:val="26"/>
          <w:rtl/>
        </w:rPr>
        <w:t xml:space="preserve">לשוטר אהרון חסון (ע"ת 3 בתיק העיקרי) </w:t>
      </w:r>
      <w:r>
        <w:rPr>
          <w:rFonts w:ascii="David" w:hAnsi="David"/>
          <w:sz w:val="26"/>
          <w:szCs w:val="26"/>
          <w:rtl/>
        </w:rPr>
        <w:t xml:space="preserve">בסך </w:t>
      </w:r>
      <w:r>
        <w:rPr>
          <w:rFonts w:ascii="David" w:hAnsi="David" w:hint="cs"/>
          <w:sz w:val="26"/>
          <w:szCs w:val="26"/>
          <w:rtl/>
        </w:rPr>
        <w:t>1,000 ₪</w:t>
      </w:r>
      <w:r>
        <w:rPr>
          <w:rFonts w:ascii="David" w:hAnsi="David"/>
          <w:sz w:val="26"/>
          <w:szCs w:val="26"/>
          <w:rtl/>
        </w:rPr>
        <w:t>.</w:t>
      </w:r>
    </w:p>
    <w:p w14:paraId="44141409" w14:textId="77777777" w:rsidR="008561AF" w:rsidRDefault="008561AF" w:rsidP="008561AF">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פיצוי למתלונן מיכאל מלכה (ע"ת 2 בתיק המצורף) בסך 1,000 ₪. </w:t>
      </w:r>
      <w:r w:rsidRPr="002D5713">
        <w:rPr>
          <w:rFonts w:ascii="David" w:hAnsi="David"/>
          <w:b/>
          <w:bCs/>
          <w:sz w:val="26"/>
          <w:szCs w:val="26"/>
          <w:rtl/>
        </w:rPr>
        <w:t>הפיצוי</w:t>
      </w:r>
      <w:r w:rsidRPr="002D5713">
        <w:rPr>
          <w:rFonts w:ascii="David" w:hAnsi="David" w:hint="cs"/>
          <w:b/>
          <w:bCs/>
          <w:sz w:val="26"/>
          <w:szCs w:val="26"/>
          <w:rtl/>
        </w:rPr>
        <w:t>ים</w:t>
      </w:r>
      <w:r w:rsidRPr="002D5713">
        <w:rPr>
          <w:rFonts w:ascii="David" w:hAnsi="David"/>
          <w:b/>
          <w:bCs/>
          <w:sz w:val="26"/>
          <w:szCs w:val="26"/>
          <w:rtl/>
        </w:rPr>
        <w:t xml:space="preserve"> ישולם </w:t>
      </w:r>
      <w:r w:rsidRPr="002D5713">
        <w:rPr>
          <w:rFonts w:ascii="David" w:hAnsi="David" w:hint="cs"/>
          <w:b/>
          <w:bCs/>
          <w:sz w:val="26"/>
          <w:szCs w:val="26"/>
          <w:rtl/>
        </w:rPr>
        <w:t>בתשלום אחד עד ליום 1.6.2023.</w:t>
      </w:r>
    </w:p>
    <w:p w14:paraId="51517FCD" w14:textId="77777777" w:rsidR="008561AF" w:rsidRPr="002D5713" w:rsidRDefault="008561AF" w:rsidP="008561AF">
      <w:pPr>
        <w:numPr>
          <w:ilvl w:val="0"/>
          <w:numId w:val="1"/>
        </w:numPr>
        <w:spacing w:after="160" w:line="360" w:lineRule="auto"/>
        <w:contextualSpacing/>
        <w:jc w:val="both"/>
        <w:rPr>
          <w:rFonts w:ascii="David" w:hAnsi="David"/>
          <w:sz w:val="26"/>
          <w:szCs w:val="26"/>
        </w:rPr>
      </w:pPr>
      <w:r w:rsidRPr="002D5713">
        <w:rPr>
          <w:rFonts w:ascii="David" w:hAnsi="David"/>
          <w:sz w:val="26"/>
          <w:szCs w:val="26"/>
          <w:rtl/>
        </w:rPr>
        <w:t>התחייבות בסך</w:t>
      </w:r>
      <w:r>
        <w:rPr>
          <w:rFonts w:ascii="David" w:hAnsi="David" w:hint="cs"/>
          <w:sz w:val="26"/>
          <w:szCs w:val="26"/>
          <w:rtl/>
        </w:rPr>
        <w:t xml:space="preserve"> 10,000 </w:t>
      </w:r>
      <w:r w:rsidRPr="002D5713">
        <w:rPr>
          <w:rFonts w:ascii="David" w:hAnsi="David"/>
          <w:sz w:val="26"/>
          <w:szCs w:val="26"/>
          <w:rtl/>
        </w:rPr>
        <w:t xml:space="preserve">₪ שלא לעבור כל </w:t>
      </w:r>
      <w:r>
        <w:rPr>
          <w:rFonts w:ascii="David" w:hAnsi="David" w:hint="cs"/>
          <w:sz w:val="26"/>
          <w:szCs w:val="26"/>
          <w:rtl/>
        </w:rPr>
        <w:t xml:space="preserve">עבירת פשע לפי פקודת הסמים או עבירת אלימות מסוג פשע </w:t>
      </w:r>
      <w:r w:rsidRPr="002D5713">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3EA0AFD8" w14:textId="77777777" w:rsidR="008561AF" w:rsidRPr="00A22970" w:rsidRDefault="008561AF" w:rsidP="008561AF">
      <w:pPr>
        <w:spacing w:after="160" w:line="360" w:lineRule="auto"/>
        <w:jc w:val="both"/>
        <w:rPr>
          <w:rFonts w:ascii="David" w:hAnsi="David"/>
          <w:b/>
          <w:bCs/>
          <w:sz w:val="2"/>
          <w:szCs w:val="2"/>
          <w:rtl/>
        </w:rPr>
      </w:pPr>
    </w:p>
    <w:p w14:paraId="3586B92D" w14:textId="77777777" w:rsidR="008561AF" w:rsidRDefault="008561AF" w:rsidP="008561AF">
      <w:pPr>
        <w:spacing w:after="160" w:line="360" w:lineRule="auto"/>
        <w:jc w:val="both"/>
        <w:rPr>
          <w:rFonts w:ascii="David" w:hAnsi="David"/>
          <w:b/>
          <w:bCs/>
          <w:sz w:val="26"/>
          <w:szCs w:val="26"/>
          <w:rtl/>
        </w:rPr>
      </w:pPr>
      <w:r>
        <w:rPr>
          <w:rFonts w:ascii="David" w:hAnsi="David"/>
          <w:b/>
          <w:bCs/>
          <w:sz w:val="26"/>
          <w:szCs w:val="26"/>
          <w:rtl/>
        </w:rPr>
        <w:t>הנאשם הוזהר כי אי ביצוע צו המבחן וצו השל"ץ עלול להוביל להפקעתם ולהטלת כל עונש חלופי לרבות מאסר.</w:t>
      </w:r>
    </w:p>
    <w:p w14:paraId="0C7AC6AC" w14:textId="77777777" w:rsidR="008561AF" w:rsidRDefault="008561AF" w:rsidP="008561AF">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5D24675C" w14:textId="77777777" w:rsidR="008561AF" w:rsidRDefault="008561AF" w:rsidP="008561AF">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9"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589E1B13" w14:textId="77777777" w:rsidR="008561AF" w:rsidRDefault="008561AF" w:rsidP="008561AF">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44817BE6" w14:textId="77777777" w:rsidR="008561AF" w:rsidRDefault="008561AF" w:rsidP="008561AF">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367AF1C9" w14:textId="77777777" w:rsidR="008561AF" w:rsidRDefault="008561AF" w:rsidP="008561AF">
      <w:pPr>
        <w:spacing w:line="360" w:lineRule="auto"/>
        <w:jc w:val="both"/>
        <w:rPr>
          <w:rFonts w:ascii="David" w:hAnsi="David"/>
          <w:b/>
          <w:bCs/>
          <w:sz w:val="26"/>
          <w:szCs w:val="26"/>
        </w:rPr>
      </w:pPr>
      <w:r>
        <w:rPr>
          <w:rFonts w:ascii="David" w:hAnsi="David"/>
          <w:b/>
          <w:bCs/>
          <w:sz w:val="26"/>
          <w:szCs w:val="26"/>
          <w:rtl/>
        </w:rPr>
        <w:t>לא יונפקו שוברי תשלום.</w:t>
      </w:r>
    </w:p>
    <w:p w14:paraId="259A6D95" w14:textId="77777777" w:rsidR="008561AF" w:rsidRDefault="008561AF" w:rsidP="008561AF">
      <w:pPr>
        <w:spacing w:line="360" w:lineRule="auto"/>
        <w:jc w:val="both"/>
        <w:rPr>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306AC47F" w14:textId="77777777" w:rsidR="008561AF" w:rsidRDefault="008561AF" w:rsidP="008561AF">
      <w:pPr>
        <w:spacing w:line="360" w:lineRule="auto"/>
        <w:jc w:val="both"/>
        <w:rPr>
          <w:b/>
          <w:bCs/>
          <w:sz w:val="26"/>
          <w:szCs w:val="26"/>
          <w:rtl/>
        </w:rPr>
      </w:pPr>
    </w:p>
    <w:p w14:paraId="0B010E09" w14:textId="77777777" w:rsidR="008561AF" w:rsidRDefault="008561AF" w:rsidP="008561AF">
      <w:pPr>
        <w:spacing w:line="360" w:lineRule="auto"/>
        <w:jc w:val="both"/>
        <w:rPr>
          <w:b/>
          <w:bCs/>
          <w:sz w:val="26"/>
          <w:szCs w:val="26"/>
        </w:rPr>
      </w:pPr>
      <w:r>
        <w:rPr>
          <w:rFonts w:hint="cs"/>
          <w:b/>
          <w:bCs/>
          <w:sz w:val="26"/>
          <w:szCs w:val="26"/>
          <w:rtl/>
        </w:rPr>
        <w:t>מורה על השמדת הסמים.</w:t>
      </w:r>
    </w:p>
    <w:p w14:paraId="42843733" w14:textId="77777777" w:rsidR="008561AF" w:rsidRPr="00571FCC" w:rsidRDefault="00571FCC" w:rsidP="008561AF">
      <w:pPr>
        <w:rPr>
          <w:color w:val="FFFFFF"/>
          <w:sz w:val="2"/>
          <w:szCs w:val="2"/>
        </w:rPr>
      </w:pPr>
      <w:r w:rsidRPr="00571FCC">
        <w:rPr>
          <w:color w:val="FFFFFF"/>
          <w:sz w:val="2"/>
          <w:szCs w:val="2"/>
          <w:rtl/>
        </w:rPr>
        <w:t>5129371</w:t>
      </w:r>
    </w:p>
    <w:p w14:paraId="654687C0" w14:textId="77777777" w:rsidR="008561AF" w:rsidRDefault="00571FCC" w:rsidP="008561AF">
      <w:pPr>
        <w:spacing w:after="160" w:line="360" w:lineRule="auto"/>
        <w:rPr>
          <w:rFonts w:ascii="David" w:hAnsi="David"/>
          <w:sz w:val="26"/>
          <w:szCs w:val="26"/>
        </w:rPr>
      </w:pPr>
      <w:r w:rsidRPr="00571FCC">
        <w:rPr>
          <w:rFonts w:ascii="David" w:hAnsi="David"/>
          <w:color w:val="FFFFFF"/>
          <w:sz w:val="2"/>
          <w:szCs w:val="2"/>
          <w:rtl/>
        </w:rPr>
        <w:t>54678313</w:t>
      </w:r>
      <w:r w:rsidR="008561AF">
        <w:rPr>
          <w:rFonts w:ascii="David" w:hAnsi="David"/>
          <w:sz w:val="26"/>
          <w:szCs w:val="26"/>
          <w:rtl/>
        </w:rPr>
        <w:t>יש לשלוח לשירות המבחן ולממונה על עבודות שירות.</w:t>
      </w:r>
    </w:p>
    <w:p w14:paraId="5DD2C3FD" w14:textId="77777777" w:rsidR="008561AF" w:rsidRDefault="008561AF" w:rsidP="008561AF">
      <w:pPr>
        <w:spacing w:after="160" w:line="252" w:lineRule="auto"/>
        <w:rPr>
          <w:rFonts w:ascii="David" w:hAnsi="David"/>
          <w:sz w:val="26"/>
          <w:szCs w:val="26"/>
          <w:rtl/>
        </w:rPr>
      </w:pPr>
      <w:r>
        <w:rPr>
          <w:rFonts w:ascii="David" w:hAnsi="David"/>
          <w:sz w:val="26"/>
          <w:szCs w:val="26"/>
          <w:rtl/>
        </w:rPr>
        <w:t>זכות ערעור כחוק לבית המשפט המחוזי בירושלים בתוך 45 יום מהיום.</w:t>
      </w:r>
    </w:p>
    <w:p w14:paraId="79B5A8AF" w14:textId="77777777" w:rsidR="008561AF" w:rsidRPr="000F2247" w:rsidRDefault="00571FCC" w:rsidP="008561A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שבט תשפ"ג, 15 פברואר 2023, במעמד הצדדים. </w:t>
      </w:r>
      <w:bookmarkEnd w:id="8"/>
      <w:r w:rsidR="008561AF">
        <w:rPr>
          <w:rFonts w:ascii="Arial" w:hAnsi="Arial"/>
          <w:b/>
          <w:bCs/>
          <w:sz w:val="26"/>
          <w:szCs w:val="26"/>
          <w:rtl/>
        </w:rPr>
        <w:tab/>
      </w:r>
      <w:r w:rsidR="008561AF">
        <w:rPr>
          <w:rFonts w:ascii="Arial" w:hAnsi="Arial"/>
          <w:b/>
          <w:bCs/>
          <w:sz w:val="26"/>
          <w:szCs w:val="26"/>
          <w:rtl/>
        </w:rPr>
        <w:tab/>
      </w:r>
      <w:r w:rsidR="008561AF">
        <w:rPr>
          <w:rFonts w:ascii="Arial" w:hAnsi="Arial"/>
          <w:b/>
          <w:bCs/>
          <w:sz w:val="26"/>
          <w:szCs w:val="26"/>
          <w:rtl/>
        </w:rPr>
        <w:tab/>
      </w:r>
      <w:r w:rsidR="008561AF">
        <w:rPr>
          <w:rFonts w:ascii="Arial" w:hAnsi="Arial"/>
          <w:b/>
          <w:bCs/>
          <w:sz w:val="26"/>
          <w:szCs w:val="26"/>
          <w:rtl/>
        </w:rPr>
        <w:tab/>
      </w:r>
      <w:r w:rsidR="008561AF">
        <w:rPr>
          <w:rFonts w:ascii="Arial" w:hAnsi="Arial" w:hint="cs"/>
          <w:b/>
          <w:bCs/>
          <w:sz w:val="26"/>
          <w:szCs w:val="26"/>
          <w:rtl/>
        </w:rPr>
        <w:t xml:space="preserve">     </w:t>
      </w:r>
    </w:p>
    <w:p w14:paraId="4915315E" w14:textId="77777777" w:rsidR="008561AF" w:rsidRPr="000F2247" w:rsidRDefault="008561AF" w:rsidP="00571FC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D13BD49" w14:textId="77777777" w:rsidR="008561AF" w:rsidRPr="00FA4DFC" w:rsidRDefault="00FA4DFC" w:rsidP="008561AF">
      <w:pPr>
        <w:jc w:val="center"/>
        <w:rPr>
          <w:rFonts w:ascii="Arial" w:hAnsi="Arial"/>
          <w:b/>
          <w:bCs/>
          <w:color w:val="FFFFFF"/>
          <w:sz w:val="2"/>
          <w:szCs w:val="2"/>
          <w:rtl/>
        </w:rPr>
      </w:pPr>
      <w:r w:rsidRPr="00FA4DFC">
        <w:rPr>
          <w:rFonts w:ascii="Arial" w:hAnsi="Arial"/>
          <w:b/>
          <w:bCs/>
          <w:color w:val="FFFFFF"/>
          <w:sz w:val="2"/>
          <w:szCs w:val="2"/>
          <w:rtl/>
        </w:rPr>
        <w:t>5129371</w:t>
      </w:r>
    </w:p>
    <w:p w14:paraId="09518711" w14:textId="77777777" w:rsidR="002E53E8" w:rsidRPr="00FA4DFC" w:rsidRDefault="00FA4DFC" w:rsidP="00571FCC">
      <w:pPr>
        <w:keepNext/>
        <w:rPr>
          <w:rFonts w:ascii="David" w:hAnsi="David"/>
          <w:color w:val="FFFFFF"/>
          <w:sz w:val="2"/>
          <w:szCs w:val="2"/>
          <w:rtl/>
        </w:rPr>
      </w:pPr>
      <w:r w:rsidRPr="00FA4DFC">
        <w:rPr>
          <w:rFonts w:ascii="David" w:hAnsi="David"/>
          <w:color w:val="FFFFFF"/>
          <w:sz w:val="2"/>
          <w:szCs w:val="2"/>
          <w:rtl/>
        </w:rPr>
        <w:t>54678313</w:t>
      </w:r>
    </w:p>
    <w:p w14:paraId="17B76015" w14:textId="77777777" w:rsidR="00571FCC" w:rsidRPr="00571FCC" w:rsidRDefault="00571FCC" w:rsidP="00571FCC">
      <w:pPr>
        <w:keepNext/>
        <w:rPr>
          <w:rFonts w:ascii="David" w:hAnsi="David"/>
          <w:color w:val="000000"/>
          <w:sz w:val="22"/>
          <w:szCs w:val="22"/>
          <w:rtl/>
        </w:rPr>
      </w:pPr>
      <w:r w:rsidRPr="00571FCC">
        <w:rPr>
          <w:rFonts w:ascii="David" w:hAnsi="David"/>
          <w:color w:val="000000"/>
          <w:sz w:val="22"/>
          <w:szCs w:val="22"/>
          <w:rtl/>
        </w:rPr>
        <w:t>דוד שאול גבאי ריכטר 54678313</w:t>
      </w:r>
    </w:p>
    <w:p w14:paraId="70EDD55A" w14:textId="77777777" w:rsidR="00571FCC" w:rsidRDefault="00571FCC" w:rsidP="00571FCC">
      <w:r w:rsidRPr="00571FCC">
        <w:rPr>
          <w:color w:val="000000"/>
          <w:rtl/>
        </w:rPr>
        <w:t>נוסח מסמך זה כפוף לשינויי ניסוח ועריכה</w:t>
      </w:r>
    </w:p>
    <w:p w14:paraId="6F1EC1B9" w14:textId="77777777" w:rsidR="00571FCC" w:rsidRDefault="00571FCC" w:rsidP="00571FCC">
      <w:pPr>
        <w:rPr>
          <w:rtl/>
        </w:rPr>
      </w:pPr>
    </w:p>
    <w:p w14:paraId="09FAC2EE" w14:textId="77777777" w:rsidR="00571FCC" w:rsidRDefault="00571FCC" w:rsidP="00571FCC">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sectPr w:rsidR="00571FCC" w:rsidSect="00FA4DFC">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003A7" w14:textId="77777777" w:rsidR="00131A6E" w:rsidRDefault="00131A6E" w:rsidP="009C4015">
      <w:r>
        <w:separator/>
      </w:r>
    </w:p>
  </w:endnote>
  <w:endnote w:type="continuationSeparator" w:id="0">
    <w:p w14:paraId="38B803C3" w14:textId="77777777" w:rsidR="00131A6E" w:rsidRDefault="00131A6E" w:rsidP="009C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3369C" w14:textId="77777777" w:rsidR="00FA4DFC" w:rsidRDefault="00FA4DFC" w:rsidP="00FA4DF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E2D6B7" w14:textId="77777777" w:rsidR="009B0EA7" w:rsidRPr="00FA4DFC" w:rsidRDefault="00FA4DFC" w:rsidP="00FA4DFC">
    <w:pPr>
      <w:pStyle w:val="a5"/>
      <w:pBdr>
        <w:top w:val="single" w:sz="4" w:space="1" w:color="auto"/>
        <w:between w:val="single" w:sz="4" w:space="0" w:color="auto"/>
      </w:pBdr>
      <w:spacing w:after="60"/>
      <w:jc w:val="center"/>
      <w:rPr>
        <w:rFonts w:ascii="FrankRuehl" w:hAnsi="FrankRuehl" w:cs="FrankRuehl"/>
        <w:color w:val="000000"/>
      </w:rPr>
    </w:pPr>
    <w:r w:rsidRPr="00FA4DF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C555B" w14:textId="77777777" w:rsidR="00FA4DFC" w:rsidRDefault="00FA4DFC" w:rsidP="00FA4DF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3FDE">
      <w:rPr>
        <w:rFonts w:ascii="FrankRuehl" w:hAnsi="FrankRuehl" w:cs="FrankRuehl"/>
        <w:noProof/>
        <w:rtl/>
      </w:rPr>
      <w:t>1</w:t>
    </w:r>
    <w:r>
      <w:rPr>
        <w:rFonts w:ascii="FrankRuehl" w:hAnsi="FrankRuehl" w:cs="FrankRuehl"/>
        <w:rtl/>
      </w:rPr>
      <w:fldChar w:fldCharType="end"/>
    </w:r>
  </w:p>
  <w:p w14:paraId="7993494A" w14:textId="77777777" w:rsidR="009B0EA7" w:rsidRPr="00FA4DFC" w:rsidRDefault="00FA4DFC" w:rsidP="00FA4DFC">
    <w:pPr>
      <w:pStyle w:val="a5"/>
      <w:pBdr>
        <w:top w:val="single" w:sz="4" w:space="1" w:color="auto"/>
        <w:between w:val="single" w:sz="4" w:space="0" w:color="auto"/>
      </w:pBdr>
      <w:spacing w:after="60"/>
      <w:jc w:val="center"/>
      <w:rPr>
        <w:rFonts w:ascii="FrankRuehl" w:hAnsi="FrankRuehl" w:cs="FrankRuehl"/>
        <w:color w:val="000000"/>
      </w:rPr>
    </w:pPr>
    <w:r w:rsidRPr="00FA4DFC">
      <w:rPr>
        <w:rFonts w:ascii="FrankRuehl" w:hAnsi="FrankRuehl" w:cs="FrankRuehl"/>
        <w:color w:val="000000"/>
      </w:rPr>
      <w:pict w14:anchorId="790479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8BE9D" w14:textId="77777777" w:rsidR="00131A6E" w:rsidRDefault="00131A6E" w:rsidP="009C4015">
      <w:r>
        <w:separator/>
      </w:r>
    </w:p>
  </w:footnote>
  <w:footnote w:type="continuationSeparator" w:id="0">
    <w:p w14:paraId="53F8ED6D" w14:textId="77777777" w:rsidR="00131A6E" w:rsidRDefault="00131A6E" w:rsidP="009C4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7A7A0" w14:textId="77777777" w:rsidR="00571FCC" w:rsidRPr="00FA4DFC" w:rsidRDefault="00FA4DFC" w:rsidP="00FA4DF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57130-12-20</w:t>
    </w:r>
    <w:r>
      <w:rPr>
        <w:rFonts w:ascii="David" w:hAnsi="David"/>
        <w:color w:val="000000"/>
        <w:sz w:val="22"/>
        <w:szCs w:val="22"/>
        <w:rtl/>
      </w:rPr>
      <w:tab/>
      <w:t xml:space="preserve"> מדינת ישראל נ' ליאור קרמר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0ED5E" w14:textId="77777777" w:rsidR="00571FCC" w:rsidRPr="00FA4DFC" w:rsidRDefault="00FA4DFC" w:rsidP="00FA4DF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57130-12-20</w:t>
    </w:r>
    <w:r>
      <w:rPr>
        <w:rFonts w:ascii="David" w:hAnsi="David"/>
        <w:color w:val="000000"/>
        <w:sz w:val="22"/>
        <w:szCs w:val="22"/>
        <w:rtl/>
      </w:rPr>
      <w:tab/>
      <w:t xml:space="preserve"> מדינת ישראל נ' ליאור קרמר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BA6093"/>
    <w:multiLevelType w:val="hybridMultilevel"/>
    <w:tmpl w:val="9692C35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11B26CB"/>
    <w:multiLevelType w:val="hybridMultilevel"/>
    <w:tmpl w:val="597C84D0"/>
    <w:lvl w:ilvl="0" w:tplc="EFD6A16C">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0236A"/>
    <w:multiLevelType w:val="hybridMultilevel"/>
    <w:tmpl w:val="75FA6E8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559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70913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5617985">
    <w:abstractNumId w:val="0"/>
  </w:num>
  <w:num w:numId="4" w16cid:durableId="646279786">
    <w:abstractNumId w:val="4"/>
  </w:num>
  <w:num w:numId="5" w16cid:durableId="719404230">
    <w:abstractNumId w:val="5"/>
  </w:num>
  <w:num w:numId="6" w16cid:durableId="888342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61AF"/>
    <w:rsid w:val="00131A6E"/>
    <w:rsid w:val="001C0040"/>
    <w:rsid w:val="002E53E8"/>
    <w:rsid w:val="00562619"/>
    <w:rsid w:val="00571FCC"/>
    <w:rsid w:val="00671752"/>
    <w:rsid w:val="008105BE"/>
    <w:rsid w:val="008561AF"/>
    <w:rsid w:val="009A4E4C"/>
    <w:rsid w:val="009B0EA7"/>
    <w:rsid w:val="009C4015"/>
    <w:rsid w:val="009F5F6D"/>
    <w:rsid w:val="00AD014C"/>
    <w:rsid w:val="00E23690"/>
    <w:rsid w:val="00EC5D47"/>
    <w:rsid w:val="00F63FDE"/>
    <w:rsid w:val="00FA4D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53BF2"/>
  <w15:chartTrackingRefBased/>
  <w15:docId w15:val="{C370B516-0D83-4F37-AD39-A87EAD49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61A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61AF"/>
    <w:pPr>
      <w:tabs>
        <w:tab w:val="center" w:pos="4153"/>
        <w:tab w:val="right" w:pos="8306"/>
      </w:tabs>
    </w:pPr>
  </w:style>
  <w:style w:type="character" w:customStyle="1" w:styleId="a4">
    <w:name w:val="כותרת עליונה תו"/>
    <w:link w:val="a3"/>
    <w:rsid w:val="008561AF"/>
    <w:rPr>
      <w:rFonts w:ascii="Times New Roman" w:eastAsia="Times New Roman" w:hAnsi="Times New Roman" w:cs="David"/>
      <w:sz w:val="24"/>
      <w:szCs w:val="24"/>
    </w:rPr>
  </w:style>
  <w:style w:type="paragraph" w:styleId="a5">
    <w:name w:val="footer"/>
    <w:basedOn w:val="a"/>
    <w:link w:val="a6"/>
    <w:rsid w:val="008561AF"/>
    <w:pPr>
      <w:tabs>
        <w:tab w:val="center" w:pos="4153"/>
        <w:tab w:val="right" w:pos="8306"/>
      </w:tabs>
    </w:pPr>
  </w:style>
  <w:style w:type="character" w:customStyle="1" w:styleId="a6">
    <w:name w:val="כותרת תחתונה תו"/>
    <w:link w:val="a5"/>
    <w:rsid w:val="008561AF"/>
    <w:rPr>
      <w:rFonts w:ascii="Times New Roman" w:eastAsia="Times New Roman" w:hAnsi="Times New Roman" w:cs="David"/>
      <w:sz w:val="24"/>
      <w:szCs w:val="24"/>
    </w:rPr>
  </w:style>
  <w:style w:type="table" w:styleId="a7">
    <w:name w:val="Table Grid"/>
    <w:basedOn w:val="a1"/>
    <w:rsid w:val="008561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61AF"/>
  </w:style>
  <w:style w:type="character" w:styleId="Hyperlink">
    <w:name w:val="Hyperlink"/>
    <w:rsid w:val="008561AF"/>
    <w:rPr>
      <w:noProof w:val="0"/>
      <w:color w:val="0000FF"/>
      <w:u w:val="single"/>
    </w:rPr>
  </w:style>
  <w:style w:type="paragraph" w:styleId="a9">
    <w:name w:val="List Paragraph"/>
    <w:basedOn w:val="a"/>
    <w:qFormat/>
    <w:rsid w:val="00856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010037"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70301/275" TargetMode="External"/><Relationship Id="rId25" Type="http://schemas.openxmlformats.org/officeDocument/2006/relationships/hyperlink" Target="http://www.nevo.co.il/case/2598691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70301/379" TargetMode="External"/><Relationship Id="rId29"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6142132"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2368098" TargetMode="External"/><Relationship Id="rId28" Type="http://schemas.openxmlformats.org/officeDocument/2006/relationships/hyperlink" Target="http://www.nevo.co.il/case/7980179"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192"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7268123" TargetMode="External"/><Relationship Id="rId22" Type="http://schemas.openxmlformats.org/officeDocument/2006/relationships/hyperlink" Target="http://www.nevo.co.il/case/26314376" TargetMode="External"/><Relationship Id="rId27" Type="http://schemas.openxmlformats.org/officeDocument/2006/relationships/hyperlink" Target="http://www.nevo.co.il/case/581078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1855</Words>
  <Characters>9280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11113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7864368</vt:i4>
      </vt:variant>
      <vt:variant>
        <vt:i4>69</vt:i4>
      </vt:variant>
      <vt:variant>
        <vt:i4>0</vt:i4>
      </vt:variant>
      <vt:variant>
        <vt:i4>5</vt:i4>
      </vt:variant>
      <vt:variant>
        <vt:lpwstr>http://www.eca.gov.il/</vt:lpwstr>
      </vt:variant>
      <vt:variant>
        <vt:lpwstr/>
      </vt:variant>
      <vt:variant>
        <vt:i4>3604602</vt:i4>
      </vt:variant>
      <vt:variant>
        <vt:i4>66</vt:i4>
      </vt:variant>
      <vt:variant>
        <vt:i4>0</vt:i4>
      </vt:variant>
      <vt:variant>
        <vt:i4>5</vt:i4>
      </vt:variant>
      <vt:variant>
        <vt:lpwstr>http://www.nevo.co.il/case/7980179</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3211380</vt:i4>
      </vt:variant>
      <vt:variant>
        <vt:i4>60</vt:i4>
      </vt:variant>
      <vt:variant>
        <vt:i4>0</vt:i4>
      </vt:variant>
      <vt:variant>
        <vt:i4>5</vt:i4>
      </vt:variant>
      <vt:variant>
        <vt:lpwstr>http://www.nevo.co.il/case/21010037</vt:lpwstr>
      </vt:variant>
      <vt:variant>
        <vt:lpwstr/>
      </vt:variant>
      <vt:variant>
        <vt:i4>3932272</vt:i4>
      </vt:variant>
      <vt:variant>
        <vt:i4>57</vt:i4>
      </vt:variant>
      <vt:variant>
        <vt:i4>0</vt:i4>
      </vt:variant>
      <vt:variant>
        <vt:i4>5</vt:i4>
      </vt:variant>
      <vt:variant>
        <vt:lpwstr>http://www.nevo.co.il/case/25986910</vt:lpwstr>
      </vt:variant>
      <vt:variant>
        <vt:lpwstr/>
      </vt:variant>
      <vt:variant>
        <vt:i4>3211380</vt:i4>
      </vt:variant>
      <vt:variant>
        <vt:i4>54</vt:i4>
      </vt:variant>
      <vt:variant>
        <vt:i4>0</vt:i4>
      </vt:variant>
      <vt:variant>
        <vt:i4>5</vt:i4>
      </vt:variant>
      <vt:variant>
        <vt:lpwstr>http://www.nevo.co.il/case/6142132</vt:lpwstr>
      </vt:variant>
      <vt:variant>
        <vt:lpwstr/>
      </vt:variant>
      <vt:variant>
        <vt:i4>3145840</vt:i4>
      </vt:variant>
      <vt:variant>
        <vt:i4>51</vt:i4>
      </vt:variant>
      <vt:variant>
        <vt:i4>0</vt:i4>
      </vt:variant>
      <vt:variant>
        <vt:i4>5</vt:i4>
      </vt:variant>
      <vt:variant>
        <vt:lpwstr>http://www.nevo.co.il/case/22368098</vt:lpwstr>
      </vt:variant>
      <vt:variant>
        <vt:lpwstr/>
      </vt:variant>
      <vt:variant>
        <vt:i4>3276912</vt:i4>
      </vt:variant>
      <vt:variant>
        <vt:i4>48</vt:i4>
      </vt:variant>
      <vt:variant>
        <vt:i4>0</vt:i4>
      </vt:variant>
      <vt:variant>
        <vt:i4>5</vt:i4>
      </vt:variant>
      <vt:variant>
        <vt:lpwstr>http://www.nevo.co.il/case/26314376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6422630</vt:i4>
      </vt:variant>
      <vt:variant>
        <vt:i4>42</vt:i4>
      </vt:variant>
      <vt:variant>
        <vt:i4>0</vt:i4>
      </vt:variant>
      <vt:variant>
        <vt:i4>5</vt:i4>
      </vt:variant>
      <vt:variant>
        <vt:lpwstr>http://www.nevo.co.il/law/70301/379</vt:lpwstr>
      </vt:variant>
      <vt:variant>
        <vt:lpwstr/>
      </vt:variant>
      <vt:variant>
        <vt:i4>3407985</vt:i4>
      </vt:variant>
      <vt:variant>
        <vt:i4>39</vt:i4>
      </vt:variant>
      <vt:variant>
        <vt:i4>0</vt:i4>
      </vt:variant>
      <vt:variant>
        <vt:i4>5</vt:i4>
      </vt:variant>
      <vt:variant>
        <vt:lpwstr>http://www.nevo.co.il/case/28555866</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3801204</vt:i4>
      </vt:variant>
      <vt:variant>
        <vt:i4>21</vt:i4>
      </vt:variant>
      <vt:variant>
        <vt:i4>0</vt:i4>
      </vt:variant>
      <vt:variant>
        <vt:i4>5</vt:i4>
      </vt:variant>
      <vt:variant>
        <vt:lpwstr>http://www.nevo.co.il/case/27268123</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2025-04-23T00:51:00Z</dcterms:created>
  <dcterms:modified xsi:type="dcterms:W3CDTF">2025-04-23T00:51:00Z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57130</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ליאור קרמר</vt:lpwstr>
  </property>
  <property fmtid="{D5CDD505-2E9C-101B-9397-08002B2CF9AE}" pid="10" name="LAWYER">
    <vt:lpwstr>פקד דוד כהן;רונן לוי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20230215</vt:lpwstr>
  </property>
  <property fmtid="{D5CDD505-2E9C-101B-9397-08002B2CF9AE}" pid="14" name="TYPE_N_DATE">
    <vt:lpwstr>38020230215</vt:lpwstr>
  </property>
  <property fmtid="{D5CDD505-2E9C-101B-9397-08002B2CF9AE}" pid="15" name="WORDNUMPAGES">
    <vt:lpwstr>7</vt:lpwstr>
  </property>
  <property fmtid="{D5CDD505-2E9C-101B-9397-08002B2CF9AE}" pid="16" name="TYPE_ABS_DATE">
    <vt:lpwstr>380020230215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27268123;28555866;26314376;22368098;6142132;25986910;21010037;5810781;7980179</vt:lpwstr>
  </property>
  <property fmtid="{D5CDD505-2E9C-101B-9397-08002B2CF9AE}" pid="36" name="LAWLISTTMP1">
    <vt:lpwstr>4216/013;019a</vt:lpwstr>
  </property>
  <property fmtid="{D5CDD505-2E9C-101B-9397-08002B2CF9AE}" pid="37" name="LAWLISTTMP2">
    <vt:lpwstr>70301/275;192;379</vt:lpwstr>
  </property>
</Properties>
</file>