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090F7A" w:rsidRPr="006F5507" w14:paraId="6D7D03F7" w14:textId="77777777" w:rsidTr="002A7320">
        <w:trPr>
          <w:gridAfter w:val="1"/>
          <w:wAfter w:w="99" w:type="dxa"/>
          <w:trHeight w:hRule="exact" w:val="418"/>
          <w:jc w:val="center"/>
        </w:trPr>
        <w:tc>
          <w:tcPr>
            <w:tcW w:w="8721" w:type="dxa"/>
            <w:gridSpan w:val="4"/>
          </w:tcPr>
          <w:p w14:paraId="0FEC0B5F" w14:textId="77777777" w:rsidR="00090F7A" w:rsidRPr="006F5507" w:rsidRDefault="00090F7A" w:rsidP="006E450D">
            <w:pPr>
              <w:pStyle w:val="a3"/>
              <w:jc w:val="center"/>
              <w:rPr>
                <w:rFonts w:ascii="FrankRuehl" w:hAnsi="FrankRuehl" w:cs="FrankRuehl"/>
                <w:b/>
                <w:bCs/>
                <w:color w:val="000080"/>
                <w:sz w:val="28"/>
                <w:szCs w:val="28"/>
                <w:rtl/>
              </w:rPr>
            </w:pPr>
            <w:bookmarkStart w:id="0" w:name="FirstLawyer"/>
            <w:bookmarkStart w:id="1" w:name="LastJudge"/>
            <w:r w:rsidRPr="006F5507">
              <w:rPr>
                <w:rFonts w:ascii="FrankRuehl" w:hAnsi="FrankRuehl" w:cs="FrankRuehl"/>
                <w:b/>
                <w:bCs/>
                <w:color w:val="000080"/>
                <w:sz w:val="28"/>
                <w:szCs w:val="28"/>
                <w:rtl/>
              </w:rPr>
              <w:t>בית משפט השלום בירושלים</w:t>
            </w:r>
          </w:p>
        </w:tc>
      </w:tr>
      <w:tr w:rsidR="00090F7A" w:rsidRPr="006F5507" w14:paraId="7A167937" w14:textId="77777777" w:rsidTr="002A7320">
        <w:trPr>
          <w:gridAfter w:val="1"/>
          <w:wAfter w:w="99" w:type="dxa"/>
          <w:trHeight w:val="337"/>
          <w:jc w:val="center"/>
        </w:trPr>
        <w:tc>
          <w:tcPr>
            <w:tcW w:w="5054" w:type="dxa"/>
            <w:gridSpan w:val="3"/>
          </w:tcPr>
          <w:p w14:paraId="700E0D5E" w14:textId="77777777" w:rsidR="00090F7A" w:rsidRPr="006F5507" w:rsidRDefault="00090F7A" w:rsidP="006E450D">
            <w:pPr>
              <w:rPr>
                <w:rFonts w:ascii="FrankRuehl" w:hAnsi="FrankRuehl" w:cs="FrankRuehl"/>
                <w:b/>
                <w:bCs/>
                <w:sz w:val="28"/>
                <w:szCs w:val="28"/>
                <w:rtl/>
              </w:rPr>
            </w:pPr>
            <w:r w:rsidRPr="006F5507">
              <w:rPr>
                <w:rFonts w:ascii="FrankRuehl" w:hAnsi="FrankRuehl" w:cs="FrankRuehl"/>
                <w:b/>
                <w:bCs/>
                <w:sz w:val="28"/>
                <w:szCs w:val="28"/>
                <w:rtl/>
              </w:rPr>
              <w:t>ת"פ 59045-12-20 מדינת ישראל נ' רבאיעה</w:t>
            </w:r>
          </w:p>
          <w:p w14:paraId="6623CC0D" w14:textId="77777777" w:rsidR="00090F7A" w:rsidRPr="006F5507" w:rsidRDefault="00090F7A" w:rsidP="006E450D">
            <w:pPr>
              <w:pStyle w:val="a3"/>
              <w:rPr>
                <w:rFonts w:ascii="FrankRuehl" w:hAnsi="FrankRuehl" w:cs="FrankRuehl"/>
                <w:b/>
                <w:bCs/>
                <w:sz w:val="28"/>
                <w:szCs w:val="28"/>
                <w:rtl/>
              </w:rPr>
            </w:pPr>
          </w:p>
        </w:tc>
        <w:tc>
          <w:tcPr>
            <w:tcW w:w="3667" w:type="dxa"/>
          </w:tcPr>
          <w:p w14:paraId="06580723" w14:textId="77777777" w:rsidR="00090F7A" w:rsidRPr="006F5507" w:rsidRDefault="00090F7A" w:rsidP="006E450D">
            <w:pPr>
              <w:pStyle w:val="a3"/>
              <w:jc w:val="right"/>
              <w:rPr>
                <w:rFonts w:cs="FrankRuehl"/>
                <w:sz w:val="28"/>
                <w:szCs w:val="28"/>
                <w:rtl/>
              </w:rPr>
            </w:pPr>
          </w:p>
        </w:tc>
      </w:tr>
      <w:tr w:rsidR="00090F7A" w:rsidRPr="006F5507" w14:paraId="768C4D87" w14:textId="77777777" w:rsidTr="002A73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B353954" w14:textId="77777777" w:rsidR="00090F7A" w:rsidRPr="006F5507" w:rsidRDefault="00090F7A" w:rsidP="00090F7A">
            <w:pPr>
              <w:jc w:val="both"/>
              <w:rPr>
                <w:rFonts w:ascii="FrankRuehl" w:hAnsi="FrankRuehl" w:cs="FrankRuehl"/>
                <w:sz w:val="28"/>
                <w:szCs w:val="28"/>
              </w:rPr>
            </w:pPr>
            <w:r w:rsidRPr="006F5507">
              <w:rPr>
                <w:rFonts w:hint="cs"/>
                <w:rtl/>
              </w:rPr>
              <w:t xml:space="preserve"> </w:t>
            </w:r>
            <w:r w:rsidRPr="006F5507">
              <w:rPr>
                <w:rFonts w:ascii="FrankRuehl" w:hAnsi="FrankRuehl" w:cs="FrankRuehl"/>
                <w:sz w:val="28"/>
                <w:szCs w:val="28"/>
                <w:rtl/>
              </w:rPr>
              <w:t xml:space="preserve">בפני </w:t>
            </w:r>
          </w:p>
        </w:tc>
        <w:tc>
          <w:tcPr>
            <w:tcW w:w="7897" w:type="dxa"/>
            <w:gridSpan w:val="4"/>
            <w:tcBorders>
              <w:top w:val="nil"/>
              <w:left w:val="nil"/>
              <w:bottom w:val="nil"/>
              <w:right w:val="nil"/>
            </w:tcBorders>
            <w:shd w:val="clear" w:color="auto" w:fill="auto"/>
          </w:tcPr>
          <w:p w14:paraId="53E51937" w14:textId="77777777" w:rsidR="00090F7A" w:rsidRPr="006F5507" w:rsidRDefault="00090F7A" w:rsidP="006E450D">
            <w:pPr>
              <w:rPr>
                <w:rFonts w:ascii="FrankRuehl" w:hAnsi="FrankRuehl" w:cs="FrankRuehl"/>
                <w:b/>
                <w:bCs/>
                <w:sz w:val="28"/>
                <w:szCs w:val="28"/>
                <w:rtl/>
              </w:rPr>
            </w:pPr>
            <w:r w:rsidRPr="006F5507">
              <w:rPr>
                <w:rFonts w:ascii="FrankRuehl" w:hAnsi="FrankRuehl" w:cs="FrankRuehl"/>
                <w:b/>
                <w:bCs/>
                <w:sz w:val="28"/>
                <w:szCs w:val="28"/>
                <w:rtl/>
              </w:rPr>
              <w:t>כבוד השופט  דוד שאול גבאי ריכטר</w:t>
            </w:r>
          </w:p>
          <w:p w14:paraId="17053AAF" w14:textId="77777777" w:rsidR="00090F7A" w:rsidRPr="006F5507" w:rsidRDefault="00090F7A" w:rsidP="006E450D">
            <w:pPr>
              <w:rPr>
                <w:rFonts w:ascii="FrankRuehl" w:hAnsi="FrankRuehl" w:cs="FrankRuehl"/>
                <w:sz w:val="28"/>
                <w:szCs w:val="28"/>
                <w:rtl/>
              </w:rPr>
            </w:pPr>
          </w:p>
          <w:p w14:paraId="3EA90E09" w14:textId="77777777" w:rsidR="00090F7A" w:rsidRPr="006F5507" w:rsidRDefault="00090F7A" w:rsidP="00090F7A">
            <w:pPr>
              <w:jc w:val="both"/>
              <w:rPr>
                <w:rFonts w:ascii="FrankRuehl" w:hAnsi="FrankRuehl" w:cs="FrankRuehl"/>
                <w:sz w:val="28"/>
                <w:szCs w:val="28"/>
              </w:rPr>
            </w:pPr>
          </w:p>
        </w:tc>
      </w:tr>
      <w:tr w:rsidR="00090F7A" w:rsidRPr="006F5507" w14:paraId="5C74C68E" w14:textId="77777777" w:rsidTr="002A73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F872136" w14:textId="77777777" w:rsidR="00090F7A" w:rsidRPr="006F5507" w:rsidRDefault="00090F7A" w:rsidP="00090F7A">
            <w:pPr>
              <w:jc w:val="both"/>
              <w:rPr>
                <w:rFonts w:ascii="FrankRuehl" w:hAnsi="FrankRuehl" w:cs="FrankRuehl"/>
                <w:sz w:val="28"/>
                <w:szCs w:val="28"/>
              </w:rPr>
            </w:pPr>
            <w:bookmarkStart w:id="2" w:name="FirstAppellant"/>
            <w:r w:rsidRPr="006F5507">
              <w:rPr>
                <w:rFonts w:ascii="FrankRuehl" w:hAnsi="FrankRuehl" w:cs="FrankRuehl"/>
                <w:sz w:val="28"/>
                <w:szCs w:val="28"/>
                <w:rtl/>
              </w:rPr>
              <w:t>בעניין:</w:t>
            </w:r>
          </w:p>
        </w:tc>
        <w:tc>
          <w:tcPr>
            <w:tcW w:w="3219" w:type="dxa"/>
            <w:tcBorders>
              <w:top w:val="nil"/>
              <w:left w:val="nil"/>
              <w:bottom w:val="nil"/>
              <w:right w:val="nil"/>
            </w:tcBorders>
            <w:shd w:val="clear" w:color="auto" w:fill="auto"/>
          </w:tcPr>
          <w:p w14:paraId="7E12077B" w14:textId="77777777" w:rsidR="00090F7A" w:rsidRPr="006F5507" w:rsidRDefault="00090F7A" w:rsidP="00090F7A">
            <w:pPr>
              <w:suppressLineNumbers/>
              <w:rPr>
                <w:rFonts w:ascii="FrankRuehl" w:hAnsi="FrankRuehl" w:cs="FrankRuehl"/>
                <w:sz w:val="28"/>
                <w:szCs w:val="28"/>
              </w:rPr>
            </w:pPr>
            <w:r w:rsidRPr="006F5507">
              <w:rPr>
                <w:rFonts w:ascii="FrankRuehl" w:hAnsi="FrankRuehl" w:cs="FrankRuehl"/>
                <w:b/>
                <w:bCs/>
                <w:sz w:val="28"/>
                <w:szCs w:val="28"/>
                <w:rtl/>
              </w:rPr>
              <w:t>המאשימה</w:t>
            </w:r>
          </w:p>
          <w:p w14:paraId="14B5E50F" w14:textId="77777777" w:rsidR="00090F7A" w:rsidRPr="006F5507" w:rsidRDefault="00090F7A" w:rsidP="006E450D">
            <w:pPr>
              <w:rPr>
                <w:rFonts w:ascii="FrankRuehl" w:hAnsi="FrankRuehl" w:cs="FrankRuehl"/>
                <w:sz w:val="28"/>
                <w:szCs w:val="28"/>
              </w:rPr>
            </w:pPr>
          </w:p>
        </w:tc>
        <w:tc>
          <w:tcPr>
            <w:tcW w:w="4678" w:type="dxa"/>
            <w:gridSpan w:val="3"/>
            <w:tcBorders>
              <w:top w:val="nil"/>
              <w:left w:val="nil"/>
              <w:bottom w:val="nil"/>
              <w:right w:val="nil"/>
            </w:tcBorders>
            <w:shd w:val="clear" w:color="auto" w:fill="auto"/>
            <w:vAlign w:val="center"/>
          </w:tcPr>
          <w:p w14:paraId="21212F2B" w14:textId="77777777" w:rsidR="00090F7A" w:rsidRPr="006F5507" w:rsidRDefault="00090F7A" w:rsidP="00090F7A">
            <w:pPr>
              <w:suppressLineNumbers/>
              <w:rPr>
                <w:rFonts w:ascii="FrankRuehl" w:hAnsi="FrankRuehl" w:cs="FrankRuehl"/>
                <w:sz w:val="28"/>
                <w:szCs w:val="28"/>
              </w:rPr>
            </w:pPr>
            <w:r w:rsidRPr="006F5507">
              <w:rPr>
                <w:rFonts w:ascii="FrankRuehl" w:hAnsi="FrankRuehl" w:cs="FrankRuehl"/>
                <w:b/>
                <w:bCs/>
                <w:sz w:val="28"/>
                <w:szCs w:val="28"/>
                <w:rtl/>
              </w:rPr>
              <w:t>מדינת ישראל</w:t>
            </w:r>
          </w:p>
          <w:p w14:paraId="111B3960" w14:textId="77777777" w:rsidR="00090F7A" w:rsidRPr="006F5507" w:rsidRDefault="00090F7A" w:rsidP="006E450D">
            <w:pPr>
              <w:rPr>
                <w:rFonts w:ascii="FrankRuehl" w:hAnsi="FrankRuehl" w:cs="FrankRuehl"/>
                <w:b/>
                <w:bCs/>
                <w:sz w:val="28"/>
                <w:szCs w:val="28"/>
              </w:rPr>
            </w:pPr>
            <w:r w:rsidRPr="006F5507">
              <w:rPr>
                <w:rFonts w:ascii="FrankRuehl" w:hAnsi="FrankRuehl" w:cs="FrankRuehl" w:hint="cs"/>
                <w:b/>
                <w:bCs/>
                <w:sz w:val="28"/>
                <w:szCs w:val="28"/>
                <w:rtl/>
              </w:rPr>
              <w:t>ע"י עו"ד כרמית כהן, תביעות ירושלים</w:t>
            </w:r>
          </w:p>
        </w:tc>
      </w:tr>
      <w:bookmarkEnd w:id="2"/>
      <w:tr w:rsidR="00090F7A" w:rsidRPr="006F5507" w14:paraId="326D9550" w14:textId="77777777" w:rsidTr="002A73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F215A6" w14:textId="77777777" w:rsidR="00090F7A" w:rsidRPr="006F5507" w:rsidRDefault="00090F7A" w:rsidP="00090F7A">
            <w:pPr>
              <w:jc w:val="both"/>
              <w:rPr>
                <w:rFonts w:ascii="FrankRuehl" w:hAnsi="FrankRuehl" w:cs="FrankRuehl"/>
                <w:sz w:val="28"/>
                <w:szCs w:val="28"/>
                <w:rtl/>
              </w:rPr>
            </w:pPr>
          </w:p>
        </w:tc>
        <w:tc>
          <w:tcPr>
            <w:tcW w:w="7897" w:type="dxa"/>
            <w:gridSpan w:val="4"/>
            <w:tcBorders>
              <w:top w:val="nil"/>
              <w:left w:val="nil"/>
              <w:bottom w:val="nil"/>
              <w:right w:val="nil"/>
            </w:tcBorders>
            <w:shd w:val="clear" w:color="auto" w:fill="auto"/>
          </w:tcPr>
          <w:p w14:paraId="10352F8A" w14:textId="77777777" w:rsidR="00090F7A" w:rsidRPr="006F5507" w:rsidRDefault="00090F7A" w:rsidP="00090F7A">
            <w:pPr>
              <w:jc w:val="center"/>
              <w:rPr>
                <w:rFonts w:ascii="FrankRuehl" w:hAnsi="FrankRuehl" w:cs="FrankRuehl"/>
                <w:b/>
                <w:bCs/>
                <w:sz w:val="28"/>
                <w:szCs w:val="28"/>
                <w:rtl/>
              </w:rPr>
            </w:pPr>
          </w:p>
          <w:p w14:paraId="636D7761" w14:textId="77777777" w:rsidR="00090F7A" w:rsidRPr="006F5507" w:rsidRDefault="00090F7A" w:rsidP="00090F7A">
            <w:pPr>
              <w:jc w:val="center"/>
              <w:rPr>
                <w:rFonts w:ascii="FrankRuehl" w:hAnsi="FrankRuehl" w:cs="FrankRuehl"/>
                <w:b/>
                <w:bCs/>
                <w:sz w:val="28"/>
                <w:szCs w:val="28"/>
                <w:rtl/>
              </w:rPr>
            </w:pPr>
            <w:r w:rsidRPr="006F5507">
              <w:rPr>
                <w:rFonts w:ascii="FrankRuehl" w:hAnsi="FrankRuehl" w:cs="FrankRuehl"/>
                <w:b/>
                <w:bCs/>
                <w:sz w:val="28"/>
                <w:szCs w:val="28"/>
                <w:rtl/>
              </w:rPr>
              <w:t>נגד</w:t>
            </w:r>
          </w:p>
          <w:p w14:paraId="7989B18E" w14:textId="77777777" w:rsidR="00090F7A" w:rsidRPr="006F5507" w:rsidRDefault="00090F7A" w:rsidP="00090F7A">
            <w:pPr>
              <w:jc w:val="both"/>
              <w:rPr>
                <w:rFonts w:ascii="FrankRuehl" w:hAnsi="FrankRuehl" w:cs="FrankRuehl"/>
                <w:sz w:val="28"/>
                <w:szCs w:val="28"/>
              </w:rPr>
            </w:pPr>
          </w:p>
        </w:tc>
      </w:tr>
      <w:tr w:rsidR="00090F7A" w:rsidRPr="006F5507" w14:paraId="796C8F18" w14:textId="77777777" w:rsidTr="002A73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05FA4D" w14:textId="77777777" w:rsidR="00090F7A" w:rsidRPr="006F5507" w:rsidRDefault="00090F7A" w:rsidP="006E450D">
            <w:pPr>
              <w:rPr>
                <w:rFonts w:ascii="FrankRuehl" w:hAnsi="FrankRuehl" w:cs="FrankRuehl"/>
                <w:sz w:val="28"/>
                <w:szCs w:val="28"/>
                <w:rtl/>
              </w:rPr>
            </w:pPr>
          </w:p>
        </w:tc>
        <w:tc>
          <w:tcPr>
            <w:tcW w:w="3219" w:type="dxa"/>
            <w:tcBorders>
              <w:top w:val="nil"/>
              <w:left w:val="nil"/>
              <w:bottom w:val="nil"/>
              <w:right w:val="nil"/>
            </w:tcBorders>
            <w:shd w:val="clear" w:color="auto" w:fill="auto"/>
          </w:tcPr>
          <w:p w14:paraId="4D602673" w14:textId="77777777" w:rsidR="00090F7A" w:rsidRPr="006F5507" w:rsidRDefault="00090F7A" w:rsidP="006E450D">
            <w:pPr>
              <w:rPr>
                <w:rFonts w:ascii="FrankRuehl" w:hAnsi="FrankRuehl" w:cs="FrankRuehl"/>
                <w:b/>
                <w:bCs/>
                <w:sz w:val="28"/>
                <w:szCs w:val="28"/>
                <w:rtl/>
              </w:rPr>
            </w:pPr>
            <w:r w:rsidRPr="006F5507">
              <w:rPr>
                <w:rFonts w:ascii="FrankRuehl" w:hAnsi="FrankRuehl" w:cs="FrankRuehl"/>
                <w:b/>
                <w:bCs/>
                <w:sz w:val="28"/>
                <w:szCs w:val="28"/>
                <w:rtl/>
              </w:rPr>
              <w:t>הנאשם</w:t>
            </w:r>
          </w:p>
        </w:tc>
        <w:tc>
          <w:tcPr>
            <w:tcW w:w="4678" w:type="dxa"/>
            <w:gridSpan w:val="3"/>
            <w:tcBorders>
              <w:top w:val="nil"/>
              <w:left w:val="nil"/>
              <w:bottom w:val="nil"/>
              <w:right w:val="nil"/>
            </w:tcBorders>
            <w:shd w:val="clear" w:color="auto" w:fill="auto"/>
            <w:vAlign w:val="center"/>
          </w:tcPr>
          <w:p w14:paraId="7CAFF8BE" w14:textId="77777777" w:rsidR="00090F7A" w:rsidRPr="006F5507" w:rsidRDefault="00090F7A" w:rsidP="00090F7A">
            <w:pPr>
              <w:suppressLineNumbers/>
              <w:rPr>
                <w:rFonts w:ascii="FrankRuehl" w:hAnsi="FrankRuehl" w:cs="FrankRuehl"/>
                <w:sz w:val="28"/>
                <w:szCs w:val="28"/>
              </w:rPr>
            </w:pPr>
            <w:r w:rsidRPr="006F5507">
              <w:rPr>
                <w:rFonts w:ascii="FrankRuehl" w:hAnsi="FrankRuehl" w:cs="FrankRuehl"/>
                <w:b/>
                <w:bCs/>
                <w:sz w:val="28"/>
                <w:szCs w:val="28"/>
                <w:rtl/>
              </w:rPr>
              <w:t>חוסאם רבאיעה</w:t>
            </w:r>
            <w:r w:rsidRPr="006F5507">
              <w:rPr>
                <w:rFonts w:ascii="FrankRuehl" w:hAnsi="FrankRuehl" w:cs="FrankRuehl"/>
                <w:b/>
                <w:bCs/>
                <w:sz w:val="28"/>
                <w:szCs w:val="28"/>
                <w:rtl/>
              </w:rPr>
              <w:br/>
            </w:r>
            <w:r w:rsidRPr="006F5507">
              <w:rPr>
                <w:rFonts w:ascii="FrankRuehl" w:hAnsi="FrankRuehl" w:cs="FrankRuehl" w:hint="cs"/>
                <w:b/>
                <w:bCs/>
                <w:sz w:val="28"/>
                <w:szCs w:val="28"/>
                <w:rtl/>
              </w:rPr>
              <w:t>ע"י ב"כ עו"ד ארז שלו</w:t>
            </w:r>
          </w:p>
          <w:p w14:paraId="05E6919B" w14:textId="77777777" w:rsidR="00090F7A" w:rsidRPr="006F5507" w:rsidRDefault="00090F7A" w:rsidP="006E450D">
            <w:pPr>
              <w:rPr>
                <w:rFonts w:ascii="FrankRuehl" w:hAnsi="FrankRuehl" w:cs="FrankRuehl"/>
                <w:sz w:val="28"/>
                <w:szCs w:val="28"/>
              </w:rPr>
            </w:pPr>
          </w:p>
        </w:tc>
      </w:tr>
    </w:tbl>
    <w:p w14:paraId="54BA76DE" w14:textId="77777777" w:rsidR="002A7320" w:rsidRDefault="002A7320" w:rsidP="006F5507">
      <w:pPr>
        <w:rPr>
          <w:sz w:val="26"/>
          <w:szCs w:val="26"/>
          <w:rtl/>
        </w:rPr>
      </w:pPr>
    </w:p>
    <w:p w14:paraId="106EF2E6" w14:textId="77777777" w:rsidR="002A7320" w:rsidRPr="002A7320" w:rsidRDefault="002A7320" w:rsidP="002A7320">
      <w:pPr>
        <w:spacing w:after="120" w:line="240" w:lineRule="exact"/>
        <w:ind w:left="283" w:hanging="283"/>
        <w:jc w:val="both"/>
        <w:rPr>
          <w:rFonts w:ascii="FrankRuehl" w:hAnsi="FrankRuehl" w:cs="FrankRuehl"/>
          <w:rtl/>
        </w:rPr>
      </w:pPr>
    </w:p>
    <w:p w14:paraId="0B6929A4" w14:textId="77777777" w:rsidR="001A633A" w:rsidRPr="001A633A" w:rsidRDefault="001A633A" w:rsidP="001A633A">
      <w:pPr>
        <w:spacing w:before="120" w:after="120" w:line="240" w:lineRule="exact"/>
        <w:ind w:left="283" w:hanging="283"/>
        <w:jc w:val="both"/>
        <w:rPr>
          <w:rFonts w:ascii="FrankRuehl" w:hAnsi="FrankRuehl" w:cs="FrankRuehl"/>
          <w:rtl/>
        </w:rPr>
      </w:pPr>
    </w:p>
    <w:p w14:paraId="5C6F2203" w14:textId="77777777" w:rsidR="00765A6B" w:rsidRDefault="00765A6B" w:rsidP="00765A6B">
      <w:pPr>
        <w:rPr>
          <w:sz w:val="26"/>
          <w:szCs w:val="26"/>
          <w:rtl/>
        </w:rPr>
      </w:pPr>
      <w:bookmarkStart w:id="3" w:name="LawTable"/>
      <w:bookmarkEnd w:id="3"/>
    </w:p>
    <w:p w14:paraId="2E78B817" w14:textId="77777777" w:rsidR="00765A6B" w:rsidRPr="00765A6B" w:rsidRDefault="00765A6B" w:rsidP="00765A6B">
      <w:pPr>
        <w:spacing w:before="120" w:after="120" w:line="240" w:lineRule="exact"/>
        <w:ind w:left="283" w:hanging="283"/>
        <w:jc w:val="both"/>
        <w:rPr>
          <w:rFonts w:ascii="FrankRuehl" w:hAnsi="FrankRuehl" w:cs="FrankRuehl"/>
          <w:rtl/>
        </w:rPr>
      </w:pPr>
    </w:p>
    <w:p w14:paraId="683B0C84" w14:textId="77777777" w:rsidR="00765A6B" w:rsidRPr="00765A6B" w:rsidRDefault="00765A6B" w:rsidP="00765A6B">
      <w:pPr>
        <w:spacing w:before="120" w:after="120" w:line="240" w:lineRule="exact"/>
        <w:ind w:left="283" w:hanging="283"/>
        <w:jc w:val="both"/>
        <w:rPr>
          <w:rFonts w:ascii="FrankRuehl" w:hAnsi="FrankRuehl" w:cs="FrankRuehl"/>
          <w:rtl/>
        </w:rPr>
      </w:pPr>
    </w:p>
    <w:p w14:paraId="3C5C0CB4" w14:textId="77777777" w:rsidR="00765A6B" w:rsidRPr="00765A6B" w:rsidRDefault="00765A6B" w:rsidP="00765A6B">
      <w:pPr>
        <w:spacing w:before="120" w:after="120" w:line="240" w:lineRule="exact"/>
        <w:ind w:left="283" w:hanging="283"/>
        <w:jc w:val="both"/>
        <w:rPr>
          <w:rFonts w:ascii="FrankRuehl" w:hAnsi="FrankRuehl" w:cs="FrankRuehl"/>
          <w:rtl/>
        </w:rPr>
      </w:pPr>
      <w:r w:rsidRPr="00765A6B">
        <w:rPr>
          <w:rFonts w:ascii="FrankRuehl" w:hAnsi="FrankRuehl" w:cs="FrankRuehl"/>
          <w:rtl/>
        </w:rPr>
        <w:t xml:space="preserve">חקיקה שאוזכרה: </w:t>
      </w:r>
    </w:p>
    <w:p w14:paraId="32602CAF" w14:textId="77777777" w:rsidR="00765A6B" w:rsidRPr="00765A6B" w:rsidRDefault="00765A6B" w:rsidP="00765A6B">
      <w:pPr>
        <w:spacing w:before="120" w:after="120" w:line="240" w:lineRule="exact"/>
        <w:ind w:left="283" w:hanging="283"/>
        <w:jc w:val="both"/>
        <w:rPr>
          <w:rFonts w:ascii="FrankRuehl" w:hAnsi="FrankRuehl" w:cs="FrankRuehl"/>
          <w:rtl/>
        </w:rPr>
      </w:pPr>
      <w:hyperlink r:id="rId7" w:history="1">
        <w:r w:rsidRPr="00765A6B">
          <w:rPr>
            <w:rFonts w:ascii="FrankRuehl" w:hAnsi="FrankRuehl" w:cs="FrankRuehl"/>
            <w:color w:val="0000FF"/>
            <w:rtl/>
          </w:rPr>
          <w:t>פקודת הסמים המסוכנים [נוסח חדש], תשל"ג-1973</w:t>
        </w:r>
      </w:hyperlink>
      <w:r w:rsidRPr="00765A6B">
        <w:rPr>
          <w:rFonts w:ascii="FrankRuehl" w:hAnsi="FrankRuehl" w:cs="FrankRuehl"/>
          <w:rtl/>
        </w:rPr>
        <w:t xml:space="preserve">: סע'  </w:t>
      </w:r>
      <w:hyperlink r:id="rId8" w:history="1">
        <w:r w:rsidRPr="00765A6B">
          <w:rPr>
            <w:rFonts w:ascii="FrankRuehl" w:hAnsi="FrankRuehl" w:cs="FrankRuehl"/>
            <w:color w:val="0000FF"/>
            <w:rtl/>
          </w:rPr>
          <w:t>7(א)</w:t>
        </w:r>
      </w:hyperlink>
      <w:r w:rsidRPr="00765A6B">
        <w:rPr>
          <w:rFonts w:ascii="FrankRuehl" w:hAnsi="FrankRuehl" w:cs="FrankRuehl"/>
          <w:rtl/>
        </w:rPr>
        <w:t xml:space="preserve">, </w:t>
      </w:r>
      <w:hyperlink r:id="rId9" w:history="1">
        <w:r w:rsidRPr="00765A6B">
          <w:rPr>
            <w:rFonts w:ascii="FrankRuehl" w:hAnsi="FrankRuehl" w:cs="FrankRuehl"/>
            <w:color w:val="0000FF"/>
            <w:rtl/>
          </w:rPr>
          <w:t>7(ג)</w:t>
        </w:r>
      </w:hyperlink>
      <w:r w:rsidRPr="00765A6B">
        <w:rPr>
          <w:rFonts w:ascii="FrankRuehl" w:hAnsi="FrankRuehl" w:cs="FrankRuehl"/>
          <w:rtl/>
        </w:rPr>
        <w:t xml:space="preserve">, </w:t>
      </w:r>
      <w:hyperlink r:id="rId10" w:history="1">
        <w:r w:rsidRPr="00765A6B">
          <w:rPr>
            <w:rFonts w:ascii="FrankRuehl" w:hAnsi="FrankRuehl" w:cs="FrankRuehl"/>
            <w:color w:val="0000FF"/>
            <w:rtl/>
          </w:rPr>
          <w:t>13</w:t>
        </w:r>
      </w:hyperlink>
      <w:r w:rsidRPr="00765A6B">
        <w:rPr>
          <w:rFonts w:ascii="FrankRuehl" w:hAnsi="FrankRuehl" w:cs="FrankRuehl"/>
          <w:rtl/>
        </w:rPr>
        <w:t xml:space="preserve">, </w:t>
      </w:r>
      <w:hyperlink r:id="rId11" w:history="1">
        <w:r w:rsidRPr="00765A6B">
          <w:rPr>
            <w:rFonts w:ascii="FrankRuehl" w:hAnsi="FrankRuehl" w:cs="FrankRuehl"/>
            <w:color w:val="0000FF"/>
            <w:rtl/>
          </w:rPr>
          <w:t>19א</w:t>
        </w:r>
      </w:hyperlink>
    </w:p>
    <w:p w14:paraId="2E9F0081" w14:textId="77777777" w:rsidR="00765A6B" w:rsidRPr="00765A6B" w:rsidRDefault="00765A6B" w:rsidP="00765A6B">
      <w:pPr>
        <w:spacing w:before="120" w:after="120" w:line="240" w:lineRule="exact"/>
        <w:ind w:left="283" w:hanging="283"/>
        <w:jc w:val="both"/>
        <w:rPr>
          <w:rFonts w:ascii="FrankRuehl" w:hAnsi="FrankRuehl" w:cs="FrankRuehl"/>
          <w:rtl/>
        </w:rPr>
      </w:pPr>
      <w:hyperlink r:id="rId12" w:history="1">
        <w:r w:rsidRPr="00765A6B">
          <w:rPr>
            <w:rFonts w:ascii="FrankRuehl" w:hAnsi="FrankRuehl" w:cs="FrankRuehl"/>
            <w:color w:val="0000FF"/>
            <w:rtl/>
          </w:rPr>
          <w:t>חוק העונשין, תשל"ז-1977</w:t>
        </w:r>
      </w:hyperlink>
      <w:r w:rsidRPr="00765A6B">
        <w:rPr>
          <w:rFonts w:ascii="FrankRuehl" w:hAnsi="FrankRuehl" w:cs="FrankRuehl"/>
          <w:rtl/>
        </w:rPr>
        <w:t xml:space="preserve">: סע'  </w:t>
      </w:r>
      <w:hyperlink r:id="rId13" w:history="1">
        <w:r w:rsidRPr="00765A6B">
          <w:rPr>
            <w:rFonts w:ascii="FrankRuehl" w:hAnsi="FrankRuehl" w:cs="FrankRuehl"/>
            <w:color w:val="0000FF"/>
            <w:rtl/>
          </w:rPr>
          <w:t>31</w:t>
        </w:r>
      </w:hyperlink>
      <w:r w:rsidRPr="00765A6B">
        <w:rPr>
          <w:rFonts w:ascii="FrankRuehl" w:hAnsi="FrankRuehl" w:cs="FrankRuehl"/>
          <w:rtl/>
        </w:rPr>
        <w:t xml:space="preserve">, </w:t>
      </w:r>
      <w:hyperlink r:id="rId14" w:history="1">
        <w:r w:rsidRPr="00765A6B">
          <w:rPr>
            <w:rFonts w:ascii="FrankRuehl" w:hAnsi="FrankRuehl" w:cs="FrankRuehl"/>
            <w:color w:val="0000FF"/>
            <w:rtl/>
          </w:rPr>
          <w:t>32</w:t>
        </w:r>
      </w:hyperlink>
      <w:r w:rsidRPr="00765A6B">
        <w:rPr>
          <w:rFonts w:ascii="FrankRuehl" w:hAnsi="FrankRuehl" w:cs="FrankRuehl"/>
          <w:rtl/>
        </w:rPr>
        <w:t xml:space="preserve">, </w:t>
      </w:r>
      <w:hyperlink r:id="rId15" w:history="1">
        <w:r w:rsidRPr="00765A6B">
          <w:rPr>
            <w:rFonts w:ascii="FrankRuehl" w:hAnsi="FrankRuehl" w:cs="FrankRuehl"/>
            <w:color w:val="0000FF"/>
            <w:rtl/>
          </w:rPr>
          <w:t>40ט'</w:t>
        </w:r>
      </w:hyperlink>
      <w:r w:rsidRPr="00765A6B">
        <w:rPr>
          <w:rFonts w:ascii="FrankRuehl" w:hAnsi="FrankRuehl" w:cs="FrankRuehl"/>
          <w:rtl/>
        </w:rPr>
        <w:t xml:space="preserve">, </w:t>
      </w:r>
      <w:hyperlink r:id="rId16" w:history="1">
        <w:r w:rsidRPr="00765A6B">
          <w:rPr>
            <w:rFonts w:ascii="FrankRuehl" w:hAnsi="FrankRuehl" w:cs="FrankRuehl"/>
            <w:color w:val="0000FF"/>
            <w:rtl/>
          </w:rPr>
          <w:t>275</w:t>
        </w:r>
      </w:hyperlink>
      <w:r w:rsidRPr="00765A6B">
        <w:rPr>
          <w:rFonts w:ascii="FrankRuehl" w:hAnsi="FrankRuehl" w:cs="FrankRuehl"/>
          <w:rtl/>
        </w:rPr>
        <w:t xml:space="preserve">, </w:t>
      </w:r>
      <w:hyperlink r:id="rId17" w:history="1">
        <w:r w:rsidRPr="00765A6B">
          <w:rPr>
            <w:rFonts w:ascii="FrankRuehl" w:hAnsi="FrankRuehl" w:cs="FrankRuehl"/>
            <w:color w:val="0000FF"/>
            <w:rtl/>
          </w:rPr>
          <w:t>40יא</w:t>
        </w:r>
      </w:hyperlink>
    </w:p>
    <w:p w14:paraId="24E320EB" w14:textId="77777777" w:rsidR="00765A6B" w:rsidRPr="00765A6B" w:rsidRDefault="00765A6B" w:rsidP="00765A6B">
      <w:pPr>
        <w:rPr>
          <w:sz w:val="26"/>
          <w:szCs w:val="26"/>
          <w:rtl/>
        </w:rPr>
      </w:pPr>
      <w:bookmarkStart w:id="4" w:name="LawTable_End"/>
      <w:bookmarkEnd w:id="4"/>
    </w:p>
    <w:p w14:paraId="387298DC" w14:textId="77777777" w:rsidR="00090F7A" w:rsidRPr="001A633A" w:rsidRDefault="00090F7A" w:rsidP="001A633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0F7A" w14:paraId="727D0FC1" w14:textId="77777777" w:rsidTr="00090F7A">
        <w:trPr>
          <w:trHeight w:val="355"/>
          <w:jc w:val="center"/>
        </w:trPr>
        <w:tc>
          <w:tcPr>
            <w:tcW w:w="8820" w:type="dxa"/>
            <w:tcBorders>
              <w:top w:val="nil"/>
              <w:left w:val="nil"/>
              <w:bottom w:val="nil"/>
              <w:right w:val="nil"/>
            </w:tcBorders>
            <w:shd w:val="clear" w:color="auto" w:fill="auto"/>
          </w:tcPr>
          <w:p w14:paraId="1F5F0052" w14:textId="77777777" w:rsidR="006F5507" w:rsidRPr="006F5507" w:rsidRDefault="006F5507" w:rsidP="006F5507">
            <w:pPr>
              <w:jc w:val="center"/>
              <w:rPr>
                <w:rFonts w:ascii="FrankRuehl" w:hAnsi="FrankRuehl" w:cs="FrankRuehl"/>
                <w:b/>
                <w:bCs/>
                <w:sz w:val="52"/>
                <w:szCs w:val="52"/>
                <w:u w:val="single"/>
                <w:rtl/>
              </w:rPr>
            </w:pPr>
            <w:bookmarkStart w:id="5" w:name="PsakDin" w:colFirst="0" w:colLast="0"/>
            <w:bookmarkEnd w:id="0"/>
            <w:bookmarkEnd w:id="1"/>
            <w:r w:rsidRPr="006F5507">
              <w:rPr>
                <w:rFonts w:ascii="FrankRuehl" w:hAnsi="FrankRuehl" w:cs="FrankRuehl"/>
                <w:b/>
                <w:bCs/>
                <w:sz w:val="52"/>
                <w:szCs w:val="52"/>
                <w:u w:val="single"/>
                <w:rtl/>
              </w:rPr>
              <w:t>גזר דין</w:t>
            </w:r>
          </w:p>
          <w:p w14:paraId="1A9C1FCF" w14:textId="77777777" w:rsidR="00090F7A" w:rsidRPr="006F5507" w:rsidRDefault="00090F7A" w:rsidP="006F5507">
            <w:pPr>
              <w:jc w:val="center"/>
              <w:rPr>
                <w:rFonts w:ascii="FrankRuehl" w:hAnsi="FrankRuehl" w:cs="FrankRuehl"/>
                <w:bCs/>
                <w:sz w:val="32"/>
                <w:szCs w:val="32"/>
                <w:u w:val="single"/>
                <w:rtl/>
              </w:rPr>
            </w:pPr>
          </w:p>
        </w:tc>
      </w:tr>
      <w:bookmarkEnd w:id="5"/>
    </w:tbl>
    <w:p w14:paraId="42D24ADC" w14:textId="77777777" w:rsidR="00090F7A" w:rsidRPr="000F2247" w:rsidRDefault="00090F7A" w:rsidP="00090F7A">
      <w:pPr>
        <w:rPr>
          <w:rFonts w:ascii="Arial" w:hAnsi="Arial"/>
          <w:b/>
          <w:bCs/>
          <w:sz w:val="26"/>
          <w:szCs w:val="26"/>
          <w:rtl/>
        </w:rPr>
      </w:pPr>
    </w:p>
    <w:p w14:paraId="188EBB8E" w14:textId="77777777" w:rsidR="00090F7A" w:rsidRDefault="00090F7A" w:rsidP="00090F7A">
      <w:pPr>
        <w:rPr>
          <w:rFonts w:ascii="Arial" w:hAnsi="Arial"/>
          <w:b/>
          <w:bCs/>
          <w:sz w:val="26"/>
          <w:szCs w:val="26"/>
          <w:rtl/>
        </w:rPr>
      </w:pPr>
    </w:p>
    <w:p w14:paraId="36BE0410" w14:textId="77777777" w:rsidR="00090F7A" w:rsidRPr="000F2247" w:rsidRDefault="00090F7A" w:rsidP="00090F7A">
      <w:pPr>
        <w:rPr>
          <w:rFonts w:ascii="Arial" w:hAnsi="Arial"/>
          <w:b/>
          <w:bCs/>
          <w:sz w:val="26"/>
          <w:szCs w:val="26"/>
          <w:rtl/>
        </w:rPr>
      </w:pPr>
    </w:p>
    <w:p w14:paraId="32AEAC9C" w14:textId="77777777" w:rsidR="00090F7A" w:rsidRDefault="00090F7A" w:rsidP="00090F7A">
      <w:pPr>
        <w:spacing w:line="360" w:lineRule="auto"/>
        <w:rPr>
          <w:rFonts w:cs="FrankRuehl"/>
          <w:b/>
          <w:bCs/>
          <w:sz w:val="28"/>
          <w:szCs w:val="28"/>
          <w:u w:val="single"/>
        </w:rPr>
      </w:pPr>
      <w:r>
        <w:rPr>
          <w:rFonts w:cs="FrankRuehl"/>
          <w:b/>
          <w:bCs/>
          <w:sz w:val="28"/>
          <w:szCs w:val="28"/>
          <w:u w:val="single"/>
          <w:rtl/>
        </w:rPr>
        <w:t>כתב האישום המתוקן</w:t>
      </w:r>
    </w:p>
    <w:p w14:paraId="7220AB7E" w14:textId="77777777" w:rsidR="00090F7A" w:rsidRDefault="00090F7A" w:rsidP="002A7320">
      <w:pPr>
        <w:tabs>
          <w:tab w:val="left" w:pos="4185"/>
        </w:tabs>
        <w:spacing w:line="360" w:lineRule="auto"/>
        <w:jc w:val="both"/>
        <w:rPr>
          <w:rFonts w:cs="FrankRuehl"/>
          <w:sz w:val="28"/>
          <w:szCs w:val="28"/>
        </w:rPr>
      </w:pPr>
      <w:bookmarkStart w:id="6" w:name="ABSTRACT_START"/>
      <w:bookmarkEnd w:id="6"/>
      <w:r>
        <w:rPr>
          <w:rFonts w:cs="FrankRuehl"/>
          <w:sz w:val="28"/>
          <w:szCs w:val="28"/>
          <w:rtl/>
        </w:rPr>
        <w:t xml:space="preserve">הנאשם הורשע על פי הודאתו בעבירה של </w:t>
      </w:r>
      <w:r>
        <w:rPr>
          <w:rFonts w:cs="FrankRuehl"/>
          <w:b/>
          <w:bCs/>
          <w:sz w:val="28"/>
          <w:szCs w:val="28"/>
          <w:rtl/>
        </w:rPr>
        <w:t>סיוע לניסיון לעסקה אחרת בסם</w:t>
      </w:r>
      <w:r>
        <w:rPr>
          <w:rFonts w:cs="FrankRuehl"/>
          <w:sz w:val="28"/>
          <w:szCs w:val="28"/>
          <w:rtl/>
        </w:rPr>
        <w:t xml:space="preserve">, לפי </w:t>
      </w:r>
      <w:hyperlink r:id="rId18" w:history="1">
        <w:r w:rsidR="002A7320" w:rsidRPr="002A7320">
          <w:rPr>
            <w:rStyle w:val="Hyperlink"/>
            <w:rFonts w:cs="FrankRuehl"/>
            <w:sz w:val="28"/>
            <w:szCs w:val="28"/>
            <w:rtl/>
          </w:rPr>
          <w:t>סעיפים 13</w:t>
        </w:r>
      </w:hyperlink>
      <w:r>
        <w:rPr>
          <w:rFonts w:cs="FrankRuehl"/>
          <w:sz w:val="28"/>
          <w:szCs w:val="28"/>
          <w:rtl/>
        </w:rPr>
        <w:t xml:space="preserve"> ו – </w:t>
      </w:r>
      <w:hyperlink r:id="rId19" w:history="1">
        <w:r w:rsidR="002A7320" w:rsidRPr="002A7320">
          <w:rPr>
            <w:rStyle w:val="Hyperlink"/>
            <w:rFonts w:cs="FrankRuehl"/>
            <w:sz w:val="28"/>
            <w:szCs w:val="28"/>
            <w:rtl/>
          </w:rPr>
          <w:t>19א</w:t>
        </w:r>
      </w:hyperlink>
      <w:r>
        <w:rPr>
          <w:rFonts w:cs="FrankRuehl"/>
          <w:sz w:val="28"/>
          <w:szCs w:val="28"/>
          <w:rtl/>
        </w:rPr>
        <w:t xml:space="preserve"> ל</w:t>
      </w:r>
      <w:hyperlink r:id="rId20" w:history="1">
        <w:r w:rsidR="006F5507" w:rsidRPr="006F5507">
          <w:rPr>
            <w:rFonts w:cs="FrankRuehl"/>
            <w:color w:val="0000FF"/>
            <w:sz w:val="28"/>
            <w:szCs w:val="28"/>
            <w:u w:val="single"/>
            <w:rtl/>
          </w:rPr>
          <w:t>פקודת הסמים המסוכנים</w:t>
        </w:r>
      </w:hyperlink>
      <w:r>
        <w:rPr>
          <w:rFonts w:cs="FrankRuehl"/>
          <w:sz w:val="28"/>
          <w:szCs w:val="28"/>
          <w:rtl/>
        </w:rPr>
        <w:t xml:space="preserve"> (נוסח חדש), תשל"ג – 1973 (</w:t>
      </w:r>
      <w:r>
        <w:rPr>
          <w:rFonts w:cs="FrankRuehl"/>
          <w:b/>
          <w:bCs/>
          <w:sz w:val="28"/>
          <w:szCs w:val="28"/>
          <w:rtl/>
        </w:rPr>
        <w:t>פקודת הסמים</w:t>
      </w:r>
      <w:r>
        <w:rPr>
          <w:rFonts w:cs="FrankRuehl"/>
          <w:sz w:val="28"/>
          <w:szCs w:val="28"/>
          <w:rtl/>
        </w:rPr>
        <w:t xml:space="preserve">) + סעיף </w:t>
      </w:r>
      <w:hyperlink r:id="rId21" w:history="1">
        <w:r w:rsidR="002A7320" w:rsidRPr="002A7320">
          <w:rPr>
            <w:rStyle w:val="Hyperlink"/>
            <w:rFonts w:cs="FrankRuehl"/>
            <w:sz w:val="28"/>
            <w:szCs w:val="28"/>
            <w:rtl/>
          </w:rPr>
          <w:t>31</w:t>
        </w:r>
      </w:hyperlink>
      <w:r>
        <w:rPr>
          <w:rFonts w:cs="FrankRuehl"/>
          <w:sz w:val="28"/>
          <w:szCs w:val="28"/>
          <w:rtl/>
        </w:rPr>
        <w:t xml:space="preserve"> ל</w:t>
      </w:r>
      <w:hyperlink r:id="rId22" w:history="1">
        <w:r w:rsidR="006F5507" w:rsidRPr="006F5507">
          <w:rPr>
            <w:rFonts w:cs="FrankRuehl"/>
            <w:color w:val="0000FF"/>
            <w:sz w:val="28"/>
            <w:szCs w:val="28"/>
            <w:u w:val="single"/>
            <w:rtl/>
          </w:rPr>
          <w:t>חוק העונשין</w:t>
        </w:r>
      </w:hyperlink>
      <w:r>
        <w:rPr>
          <w:rFonts w:cs="FrankRuehl"/>
          <w:sz w:val="28"/>
          <w:szCs w:val="28"/>
          <w:rtl/>
        </w:rPr>
        <w:t>, תשל"ז – 1977 (</w:t>
      </w:r>
      <w:r>
        <w:rPr>
          <w:rFonts w:cs="FrankRuehl"/>
          <w:b/>
          <w:bCs/>
          <w:sz w:val="28"/>
          <w:szCs w:val="28"/>
          <w:rtl/>
        </w:rPr>
        <w:t>חוק העונשין</w:t>
      </w:r>
      <w:r>
        <w:rPr>
          <w:rFonts w:cs="FrankRuehl"/>
          <w:sz w:val="28"/>
          <w:szCs w:val="28"/>
          <w:rtl/>
        </w:rPr>
        <w:t xml:space="preserve">) + סעיף 25 לחוק העונשין; בעבירה של </w:t>
      </w:r>
      <w:r>
        <w:rPr>
          <w:rFonts w:cs="FrankRuehl"/>
          <w:b/>
          <w:bCs/>
          <w:sz w:val="28"/>
          <w:szCs w:val="28"/>
          <w:rtl/>
        </w:rPr>
        <w:t>סיוע להחזקת סמים שלא לצריכה עצמית</w:t>
      </w:r>
      <w:r>
        <w:rPr>
          <w:rFonts w:cs="FrankRuehl"/>
          <w:sz w:val="28"/>
          <w:szCs w:val="28"/>
          <w:rtl/>
        </w:rPr>
        <w:t xml:space="preserve">, לפי </w:t>
      </w:r>
      <w:hyperlink r:id="rId23" w:history="1">
        <w:r w:rsidR="002A7320" w:rsidRPr="002A7320">
          <w:rPr>
            <w:rStyle w:val="Hyperlink"/>
            <w:rFonts w:cs="FrankRuehl"/>
            <w:sz w:val="28"/>
            <w:szCs w:val="28"/>
            <w:rtl/>
          </w:rPr>
          <w:t>סעיפים 7(א)</w:t>
        </w:r>
      </w:hyperlink>
      <w:r>
        <w:rPr>
          <w:rFonts w:cs="FrankRuehl"/>
          <w:sz w:val="28"/>
          <w:szCs w:val="28"/>
          <w:rtl/>
        </w:rPr>
        <w:t xml:space="preserve"> ו</w:t>
      </w:r>
      <w:hyperlink r:id="rId24" w:history="1">
        <w:r w:rsidR="002A7320" w:rsidRPr="002A7320">
          <w:rPr>
            <w:rStyle w:val="Hyperlink"/>
            <w:rFonts w:cs="FrankRuehl"/>
            <w:sz w:val="28"/>
            <w:szCs w:val="28"/>
            <w:rtl/>
          </w:rPr>
          <w:t>7(ג)</w:t>
        </w:r>
      </w:hyperlink>
      <w:r>
        <w:rPr>
          <w:rFonts w:cs="FrankRuehl"/>
          <w:sz w:val="28"/>
          <w:szCs w:val="28"/>
          <w:rtl/>
        </w:rPr>
        <w:t xml:space="preserve"> לפקודת הסמים + </w:t>
      </w:r>
      <w:hyperlink r:id="rId25" w:history="1">
        <w:r w:rsidR="002A7320" w:rsidRPr="002A7320">
          <w:rPr>
            <w:rStyle w:val="Hyperlink"/>
            <w:rFonts w:cs="FrankRuehl"/>
            <w:sz w:val="28"/>
            <w:szCs w:val="28"/>
            <w:rtl/>
          </w:rPr>
          <w:t>סעיף 31</w:t>
        </w:r>
      </w:hyperlink>
      <w:r>
        <w:rPr>
          <w:rFonts w:cs="FrankRuehl"/>
          <w:sz w:val="28"/>
          <w:szCs w:val="28"/>
          <w:rtl/>
        </w:rPr>
        <w:t xml:space="preserve"> לחוק העונשין ובעבירה של </w:t>
      </w:r>
      <w:r>
        <w:rPr>
          <w:rFonts w:cs="FrankRuehl"/>
          <w:b/>
          <w:bCs/>
          <w:sz w:val="28"/>
          <w:szCs w:val="28"/>
          <w:rtl/>
        </w:rPr>
        <w:t>הפרעה לשוטר</w:t>
      </w:r>
      <w:r>
        <w:rPr>
          <w:rFonts w:cs="FrankRuehl"/>
          <w:sz w:val="28"/>
          <w:szCs w:val="28"/>
          <w:rtl/>
        </w:rPr>
        <w:t xml:space="preserve">, לפי </w:t>
      </w:r>
      <w:hyperlink r:id="rId26" w:history="1">
        <w:r w:rsidR="002A7320" w:rsidRPr="002A7320">
          <w:rPr>
            <w:rStyle w:val="Hyperlink"/>
            <w:rFonts w:cs="FrankRuehl"/>
            <w:sz w:val="28"/>
            <w:szCs w:val="28"/>
            <w:rtl/>
          </w:rPr>
          <w:t>סעיף 275</w:t>
        </w:r>
      </w:hyperlink>
      <w:r>
        <w:rPr>
          <w:rFonts w:cs="FrankRuehl"/>
          <w:sz w:val="28"/>
          <w:szCs w:val="28"/>
          <w:rtl/>
        </w:rPr>
        <w:t xml:space="preserve"> לחוק העונשין. </w:t>
      </w:r>
    </w:p>
    <w:p w14:paraId="6A600445" w14:textId="77777777" w:rsidR="00090F7A" w:rsidRDefault="00090F7A" w:rsidP="00090F7A">
      <w:pPr>
        <w:jc w:val="both"/>
        <w:rPr>
          <w:rFonts w:cs="FrankRuehl"/>
          <w:sz w:val="28"/>
          <w:szCs w:val="28"/>
        </w:rPr>
      </w:pPr>
    </w:p>
    <w:p w14:paraId="0090C2E2" w14:textId="77777777" w:rsidR="00090F7A" w:rsidRDefault="00090F7A" w:rsidP="00090F7A">
      <w:pPr>
        <w:spacing w:line="360" w:lineRule="auto"/>
        <w:jc w:val="both"/>
        <w:rPr>
          <w:rFonts w:cs="FrankRuehl"/>
          <w:sz w:val="28"/>
          <w:szCs w:val="28"/>
          <w:rtl/>
        </w:rPr>
      </w:pPr>
      <w:bookmarkStart w:id="7" w:name="ABSTRACT_END"/>
      <w:bookmarkEnd w:id="7"/>
      <w:r>
        <w:rPr>
          <w:rFonts w:cs="FrankRuehl"/>
          <w:sz w:val="28"/>
          <w:szCs w:val="28"/>
          <w:rtl/>
        </w:rPr>
        <w:lastRenderedPageBreak/>
        <w:t>על פי עובדות כתב האישום, ביום 15.12.2020, נצפה רכבו של הנאשם על ידי בלשים שהיו במקום, מגיע לרחוב כשהוא חונה בצד. הבלשים החלו להתקרב אל הרכב ואל חלון תא הנהג. אחד הבלשים הציג עצמו כשוטר באמצעות תעודת שוטר וביקש מהנאשם ומיתר יושבי הרכב לפתוח את דלתות הרכב. הנאשם וסלאח אבו טראש (</w:t>
      </w:r>
      <w:r>
        <w:rPr>
          <w:rFonts w:cs="FrankRuehl"/>
          <w:b/>
          <w:bCs/>
          <w:sz w:val="28"/>
          <w:szCs w:val="28"/>
          <w:rtl/>
        </w:rPr>
        <w:t xml:space="preserve">סלאח) </w:t>
      </w:r>
      <w:r>
        <w:rPr>
          <w:rFonts w:cs="FrankRuehl"/>
          <w:sz w:val="28"/>
          <w:szCs w:val="28"/>
          <w:rtl/>
        </w:rPr>
        <w:t>שישב לצד הנאשם, לא פתחו את דלתות הרכב. אחד הבלשים הבחין בחומר החשוד כסם על רצפת הרכב בסמוך לנהג, בו ישב סלאח. הבלש הקיש על חלון הנאשם ואמר לו כי אם לא יפתח את הדלת, יאלץ לשבור את החלון והנאשם פתח את הדלת. אז הבחין הבלש בנחמן גל (</w:t>
      </w:r>
      <w:r>
        <w:rPr>
          <w:rFonts w:cs="FrankRuehl"/>
          <w:b/>
          <w:bCs/>
          <w:sz w:val="28"/>
          <w:szCs w:val="28"/>
          <w:rtl/>
        </w:rPr>
        <w:t>נחמן</w:t>
      </w:r>
      <w:r>
        <w:rPr>
          <w:rFonts w:cs="FrankRuehl"/>
          <w:sz w:val="28"/>
          <w:szCs w:val="28"/>
          <w:rtl/>
        </w:rPr>
        <w:t xml:space="preserve">) שישב במושב האחורי של הרכב. בשלב מסוים, נחמן החל להתעמת ולתקוף את השוטרים, אז הצליחו סאלח והנאשם להימלט מהמקום, על אף ניסיון אחד הבלשים לעצור אותם. בעקבות בריחתם, הוזעקו כוחות משטרה נוספים למקום ולאחר חיפוש שביצעו, אותרו ונעצרו סאלח והנאשם. בהמשך למתואר בוצע חיפוש ברכבו של נחמן ונתפסה פלטת חשיש במשקל 85.60 גרם נטו ואילו ברכבו של הנאשם נמצאו למעלה מ-3 ק"ג חשיש ב-36 פלטות. במעשים אלה, סייע הנאשם לנחמן וסלאח להחזיק 3.280 ק"ג חשיש בנוסף לפלטת חשיש שנמצאה ברכבו של נחמן. </w:t>
      </w:r>
    </w:p>
    <w:p w14:paraId="4C90F639" w14:textId="77777777" w:rsidR="00090F7A" w:rsidRDefault="00090F7A" w:rsidP="00090F7A">
      <w:pPr>
        <w:jc w:val="both"/>
        <w:rPr>
          <w:rFonts w:cs="FrankRuehl"/>
          <w:b/>
          <w:bCs/>
          <w:sz w:val="28"/>
          <w:szCs w:val="28"/>
          <w:u w:val="single"/>
          <w:rtl/>
        </w:rPr>
      </w:pPr>
    </w:p>
    <w:p w14:paraId="7042C34B" w14:textId="77777777" w:rsidR="00090F7A" w:rsidRDefault="00090F7A" w:rsidP="00090F7A">
      <w:pPr>
        <w:spacing w:line="360" w:lineRule="auto"/>
        <w:jc w:val="both"/>
        <w:rPr>
          <w:rFonts w:cs="FrankRuehl"/>
          <w:b/>
          <w:bCs/>
          <w:sz w:val="28"/>
          <w:szCs w:val="28"/>
          <w:u w:val="single"/>
        </w:rPr>
      </w:pPr>
    </w:p>
    <w:p w14:paraId="4C4B10B4" w14:textId="77777777" w:rsidR="00090F7A" w:rsidRDefault="00090F7A" w:rsidP="00090F7A">
      <w:pPr>
        <w:spacing w:line="360" w:lineRule="auto"/>
        <w:jc w:val="both"/>
        <w:rPr>
          <w:rFonts w:cs="FrankRuehl"/>
          <w:b/>
          <w:bCs/>
          <w:sz w:val="28"/>
          <w:szCs w:val="28"/>
          <w:u w:val="single"/>
          <w:rtl/>
        </w:rPr>
      </w:pPr>
      <w:r>
        <w:rPr>
          <w:rFonts w:cs="FrankRuehl"/>
          <w:b/>
          <w:bCs/>
          <w:sz w:val="28"/>
          <w:szCs w:val="28"/>
          <w:u w:val="single"/>
          <w:rtl/>
        </w:rPr>
        <w:t>מהלך הדיון</w:t>
      </w:r>
    </w:p>
    <w:p w14:paraId="76CC97FD" w14:textId="77777777" w:rsidR="00090F7A" w:rsidRDefault="00090F7A" w:rsidP="00090F7A">
      <w:pPr>
        <w:spacing w:line="360" w:lineRule="auto"/>
        <w:jc w:val="both"/>
        <w:rPr>
          <w:rFonts w:cs="FrankRuehl"/>
          <w:sz w:val="28"/>
          <w:szCs w:val="28"/>
          <w:rtl/>
        </w:rPr>
      </w:pPr>
      <w:r>
        <w:rPr>
          <w:rFonts w:cs="FrankRuehl"/>
          <w:sz w:val="28"/>
          <w:szCs w:val="28"/>
          <w:rtl/>
        </w:rPr>
        <w:t xml:space="preserve">הנאשם נעצר עד תום ההליכים נגדו ביום 27.12.2020 ושהה במעצר של ממש עד יום 4.2.2021 עת שוחרר למעצר בית מלא. במהלך השנה, הוקלו תנאי מעצר הבית למעצר בית חלקי וביום 17.10.2021 שונו תנאיו המגבילים למעצר בית לילי בלבד. ביום 19.7.2021 הורשע הנאשם על פי הודאתו בכתב האישום המתוקן, במסגרת הסדר טיעון, ללא הסכמה עונשית. הנאשם נשלח לשירות המבחן ולממונה לעבודות שירות. </w:t>
      </w:r>
    </w:p>
    <w:p w14:paraId="21EFB382" w14:textId="77777777" w:rsidR="00090F7A" w:rsidRDefault="00090F7A" w:rsidP="00090F7A">
      <w:pPr>
        <w:spacing w:line="360" w:lineRule="auto"/>
        <w:jc w:val="both"/>
        <w:rPr>
          <w:rFonts w:cs="FrankRuehl"/>
          <w:sz w:val="28"/>
          <w:szCs w:val="28"/>
          <w:rtl/>
        </w:rPr>
      </w:pPr>
    </w:p>
    <w:p w14:paraId="03C6399A" w14:textId="77777777" w:rsidR="00090F7A" w:rsidRDefault="00090F7A" w:rsidP="00090F7A">
      <w:pPr>
        <w:spacing w:line="360" w:lineRule="auto"/>
        <w:jc w:val="both"/>
        <w:rPr>
          <w:rFonts w:cs="FrankRuehl"/>
          <w:sz w:val="28"/>
          <w:szCs w:val="28"/>
          <w:rtl/>
        </w:rPr>
      </w:pPr>
      <w:r>
        <w:rPr>
          <w:rFonts w:cs="FrankRuehl"/>
          <w:sz w:val="28"/>
          <w:szCs w:val="28"/>
          <w:rtl/>
        </w:rPr>
        <w:t>יצוין, כי בעניינו של נחמן הוטלו בהסכמה 11 חודשי מאסר לרבות הפעלה של מאסר מותנה בן -8 חודשים וענישה נלווית לרבות קנס בסך 10,000 ₪ (ת"פ 59014-12-20), שם נמחקו מכתב האישום עבירת הסחר והפרעה לשוטר, וכן נמחקה העובדה המייחסת לנחמן את החזקת הסם ברכבו של הנאשם במש</w:t>
      </w:r>
      <w:r>
        <w:rPr>
          <w:rFonts w:cs="FrankRuehl" w:hint="cs"/>
          <w:sz w:val="28"/>
          <w:szCs w:val="28"/>
          <w:rtl/>
        </w:rPr>
        <w:t>ק</w:t>
      </w:r>
      <w:r>
        <w:rPr>
          <w:rFonts w:cs="FrankRuehl"/>
          <w:sz w:val="28"/>
          <w:szCs w:val="28"/>
          <w:rtl/>
        </w:rPr>
        <w:t>ל 3 ק"ג לערך. בעניינו של סאלח, אשר הודה בהחזקת כלל הסמים שלא לצריכה עצמית, בניסיון לעבור עסקה ובהפרעה לשוטר, הוסכם כי יוטלו עליו 3 וחצי חודשי מאסר לריצוי בעבודות שירות, ענישה נלווית וקנס בסך 16,000 ₪</w:t>
      </w:r>
      <w:r>
        <w:rPr>
          <w:rFonts w:cs="FrankRuehl" w:hint="cs"/>
          <w:sz w:val="28"/>
          <w:szCs w:val="28"/>
          <w:rtl/>
        </w:rPr>
        <w:t xml:space="preserve"> (</w:t>
      </w:r>
      <w:hyperlink r:id="rId27" w:history="1">
        <w:r w:rsidR="006F5507" w:rsidRPr="006F5507">
          <w:rPr>
            <w:rFonts w:cs="FrankRuehl"/>
            <w:color w:val="0000FF"/>
            <w:sz w:val="28"/>
            <w:szCs w:val="28"/>
            <w:u w:val="single"/>
            <w:rtl/>
          </w:rPr>
          <w:t>ת"פ 59072-12-20</w:t>
        </w:r>
      </w:hyperlink>
      <w:r>
        <w:rPr>
          <w:rFonts w:cs="FrankRuehl" w:hint="cs"/>
          <w:sz w:val="28"/>
          <w:szCs w:val="28"/>
          <w:rtl/>
        </w:rPr>
        <w:t>)</w:t>
      </w:r>
      <w:r>
        <w:rPr>
          <w:rFonts w:cs="FrankRuehl"/>
          <w:sz w:val="28"/>
          <w:szCs w:val="28"/>
          <w:rtl/>
        </w:rPr>
        <w:t>.</w:t>
      </w:r>
    </w:p>
    <w:p w14:paraId="669C8556" w14:textId="77777777" w:rsidR="00090F7A" w:rsidRDefault="00090F7A" w:rsidP="00090F7A">
      <w:pPr>
        <w:spacing w:line="360" w:lineRule="auto"/>
        <w:jc w:val="both"/>
        <w:rPr>
          <w:rFonts w:cs="FrankRuehl"/>
          <w:b/>
          <w:bCs/>
          <w:sz w:val="28"/>
          <w:szCs w:val="28"/>
          <w:u w:val="single"/>
        </w:rPr>
      </w:pPr>
    </w:p>
    <w:p w14:paraId="1DB41D85" w14:textId="77777777" w:rsidR="00090F7A" w:rsidRDefault="00090F7A" w:rsidP="00090F7A">
      <w:pPr>
        <w:spacing w:line="360" w:lineRule="auto"/>
        <w:jc w:val="both"/>
        <w:rPr>
          <w:rFonts w:cs="FrankRuehl"/>
          <w:b/>
          <w:bCs/>
          <w:sz w:val="28"/>
          <w:szCs w:val="28"/>
          <w:u w:val="single"/>
        </w:rPr>
      </w:pPr>
      <w:r>
        <w:rPr>
          <w:rFonts w:cs="FrankRuehl"/>
          <w:b/>
          <w:bCs/>
          <w:sz w:val="28"/>
          <w:szCs w:val="28"/>
          <w:u w:val="single"/>
          <w:rtl/>
        </w:rPr>
        <w:t>תסקיר שירות המבחן</w:t>
      </w:r>
    </w:p>
    <w:p w14:paraId="21DD32A9" w14:textId="77777777" w:rsidR="00090F7A" w:rsidRDefault="00090F7A" w:rsidP="00090F7A">
      <w:pPr>
        <w:spacing w:line="360" w:lineRule="auto"/>
        <w:jc w:val="both"/>
        <w:rPr>
          <w:rFonts w:ascii="FrankRuehl" w:hAnsi="FrankRuehl" w:cs="FrankRuehl"/>
          <w:sz w:val="28"/>
          <w:szCs w:val="28"/>
        </w:rPr>
      </w:pPr>
      <w:r>
        <w:rPr>
          <w:rFonts w:cs="FrankRuehl"/>
          <w:sz w:val="28"/>
          <w:szCs w:val="28"/>
          <w:rtl/>
        </w:rPr>
        <w:lastRenderedPageBreak/>
        <w:t xml:space="preserve">מהתסקיר שהוגש בעניינו של הנאשם, עולה כי הוא כבן 24, גרוש ללא ילדים ושוהה במעצר בית לילי בבית אביו בשגב שלום. מסקירת חייו כפי שפורטו על ידי שירות מבחן, עולה כי הנאשם סיים 11 שנות לימוד בבית ספר "עמל" בשגב שלום המשלב לימודים ועבודה. הנאשם תיאר את מצבה הכלכלי של המשפחה כקשה ולכן החל לעבוד בגיל צעיר במטרה לעזור בפרנסת משפחתו. במהלך השנים עבד בתחומים שונים, ביניהם, חקלאות שיפוצים ומיזוג. בשנת 2019 נישא לבת דודתו, אך השניים התגרשו לאחר שמונה חודשים בגלל אילוצים של בת זוגו. הנאשם נעדר עבר פלילי. שירות המבחן מסר כי הנאשם זומן 6 פעמים למסור בדיקות לגילוי </w:t>
      </w:r>
      <w:r>
        <w:rPr>
          <w:rFonts w:cs="FrankRuehl" w:hint="cs"/>
          <w:sz w:val="28"/>
          <w:szCs w:val="28"/>
          <w:rtl/>
        </w:rPr>
        <w:t>שרידי</w:t>
      </w:r>
      <w:r>
        <w:rPr>
          <w:rFonts w:ascii="FrankRuehl" w:hAnsi="FrankRuehl" w:cs="FrankRuehl"/>
          <w:sz w:val="28"/>
          <w:szCs w:val="28"/>
          <w:rtl/>
        </w:rPr>
        <w:t xml:space="preserve"> סם, כאשר </w:t>
      </w:r>
      <w:r>
        <w:rPr>
          <w:rFonts w:ascii="FrankRuehl" w:hAnsi="FrankRuehl" w:cs="FrankRuehl" w:hint="cs"/>
          <w:sz w:val="28"/>
          <w:szCs w:val="28"/>
          <w:rtl/>
        </w:rPr>
        <w:t xml:space="preserve">לחלק </w:t>
      </w:r>
      <w:r>
        <w:rPr>
          <w:rFonts w:ascii="FrankRuehl" w:hAnsi="FrankRuehl" w:cs="FrankRuehl"/>
          <w:sz w:val="28"/>
          <w:szCs w:val="28"/>
          <w:rtl/>
        </w:rPr>
        <w:t>מהן הגיע ולא מסר בדיקות ולשתיים כלל לא הגיע. אשר לעבירות המיוחסות לו, הנאשם מכחיש את מעורבותו. לדבריו, מכר ביקש ממנו שיסיע אותו למקום מסוים והוא הגיע עם אדם נוסף שהנאשם אינו מכיר, כאשר השניים עלו לרכב עם שקית ניילון שחורה. לטענת הנאשם, הוא ברח כי לא ידע כי מדובר באנשי אכיפת חוק. שירות המבחן התרשם כי הנאשם שב והביע כי כלל לא היה שותף לביצוע העבירות והציג עצמו כקורבן הנסיבות. נוכח האמור, שיר</w:t>
      </w:r>
      <w:r>
        <w:rPr>
          <w:rFonts w:ascii="FrankRuehl" w:hAnsi="FrankRuehl" w:cs="FrankRuehl" w:hint="cs"/>
          <w:sz w:val="28"/>
          <w:szCs w:val="28"/>
          <w:rtl/>
        </w:rPr>
        <w:t>ו</w:t>
      </w:r>
      <w:r>
        <w:rPr>
          <w:rFonts w:ascii="FrankRuehl" w:hAnsi="FrankRuehl" w:cs="FrankRuehl"/>
          <w:sz w:val="28"/>
          <w:szCs w:val="28"/>
          <w:rtl/>
        </w:rPr>
        <w:t>ת המבחן נמנע מלבוא בהמלצה טיפולית בעניינו והמליץ להטיל עליו מאסר שירוצ</w:t>
      </w:r>
      <w:r>
        <w:rPr>
          <w:rFonts w:ascii="FrankRuehl" w:hAnsi="FrankRuehl" w:cs="FrankRuehl" w:hint="cs"/>
          <w:sz w:val="28"/>
          <w:szCs w:val="28"/>
          <w:rtl/>
        </w:rPr>
        <w:t>ה</w:t>
      </w:r>
      <w:r>
        <w:rPr>
          <w:rFonts w:ascii="FrankRuehl" w:hAnsi="FrankRuehl" w:cs="FrankRuehl"/>
          <w:sz w:val="28"/>
          <w:szCs w:val="28"/>
          <w:rtl/>
        </w:rPr>
        <w:t xml:space="preserve"> בעבודות שירות לצד ענישה נלווית.</w:t>
      </w:r>
    </w:p>
    <w:p w14:paraId="3DED51D7" w14:textId="77777777" w:rsidR="00090F7A" w:rsidRDefault="00090F7A" w:rsidP="00090F7A">
      <w:pPr>
        <w:spacing w:line="360" w:lineRule="auto"/>
        <w:jc w:val="both"/>
        <w:rPr>
          <w:rFonts w:ascii="FrankRuehl" w:hAnsi="FrankRuehl" w:cs="FrankRuehl"/>
          <w:sz w:val="28"/>
          <w:szCs w:val="28"/>
          <w:rtl/>
        </w:rPr>
      </w:pPr>
    </w:p>
    <w:p w14:paraId="546973C7" w14:textId="77777777" w:rsidR="00090F7A" w:rsidRDefault="00090F7A" w:rsidP="00090F7A">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חוות דעת ממונה על עבודות שירות</w:t>
      </w:r>
    </w:p>
    <w:p w14:paraId="6C8B8EDA" w14:textId="77777777" w:rsidR="00090F7A" w:rsidRDefault="00090F7A" w:rsidP="00090F7A">
      <w:pPr>
        <w:spacing w:line="360" w:lineRule="auto"/>
        <w:jc w:val="both"/>
        <w:rPr>
          <w:rFonts w:ascii="FrankRuehl" w:hAnsi="FrankRuehl" w:cs="FrankRuehl"/>
          <w:sz w:val="28"/>
          <w:szCs w:val="28"/>
          <w:rtl/>
        </w:rPr>
      </w:pPr>
      <w:r>
        <w:rPr>
          <w:rFonts w:ascii="FrankRuehl" w:hAnsi="FrankRuehl" w:cs="FrankRuehl"/>
          <w:sz w:val="28"/>
          <w:szCs w:val="28"/>
          <w:rtl/>
        </w:rPr>
        <w:t>הממונה על עבודות שירות הגיש חוות דעת בעניינו של הנאשם, ממנה עולה כי הוא כשיר לבצע עבודות שירות וביקש להציבו במועצה הדתית נתיבות.</w:t>
      </w:r>
    </w:p>
    <w:p w14:paraId="40F4412C" w14:textId="77777777" w:rsidR="00090F7A" w:rsidRDefault="00090F7A" w:rsidP="00090F7A">
      <w:pPr>
        <w:spacing w:line="360" w:lineRule="auto"/>
        <w:jc w:val="both"/>
        <w:rPr>
          <w:rFonts w:cs="FrankRuehl"/>
          <w:b/>
          <w:bCs/>
          <w:sz w:val="28"/>
          <w:szCs w:val="28"/>
          <w:u w:val="single"/>
        </w:rPr>
      </w:pPr>
    </w:p>
    <w:p w14:paraId="7575181D" w14:textId="77777777" w:rsidR="00090F7A" w:rsidRDefault="00090F7A" w:rsidP="00090F7A">
      <w:pPr>
        <w:spacing w:line="360" w:lineRule="auto"/>
        <w:jc w:val="both"/>
        <w:rPr>
          <w:rFonts w:cs="FrankRuehl"/>
          <w:b/>
          <w:bCs/>
          <w:sz w:val="28"/>
          <w:szCs w:val="28"/>
          <w:u w:val="single"/>
        </w:rPr>
      </w:pPr>
      <w:r>
        <w:rPr>
          <w:rFonts w:cs="FrankRuehl"/>
          <w:b/>
          <w:bCs/>
          <w:sz w:val="28"/>
          <w:szCs w:val="28"/>
          <w:u w:val="single"/>
          <w:rtl/>
        </w:rPr>
        <w:t>טיעונים לעונש</w:t>
      </w:r>
    </w:p>
    <w:p w14:paraId="282AF64A" w14:textId="77777777" w:rsidR="00090F7A" w:rsidRDefault="00090F7A" w:rsidP="00090F7A">
      <w:pPr>
        <w:spacing w:line="360" w:lineRule="auto"/>
        <w:jc w:val="both"/>
        <w:rPr>
          <w:rFonts w:cs="FrankRuehl"/>
          <w:sz w:val="28"/>
          <w:szCs w:val="28"/>
        </w:rPr>
      </w:pPr>
      <w:r>
        <w:rPr>
          <w:rFonts w:cs="FrankRuehl"/>
          <w:sz w:val="28"/>
          <w:szCs w:val="28"/>
          <w:rtl/>
        </w:rPr>
        <w:t xml:space="preserve">הצדדים לא הגיעו להסכמה עונשית. </w:t>
      </w:r>
    </w:p>
    <w:p w14:paraId="13374223" w14:textId="77777777" w:rsidR="00090F7A" w:rsidRDefault="00090F7A" w:rsidP="00090F7A">
      <w:pPr>
        <w:spacing w:line="360" w:lineRule="auto"/>
        <w:jc w:val="both"/>
        <w:rPr>
          <w:rFonts w:cs="FrankRuehl"/>
          <w:sz w:val="28"/>
          <w:szCs w:val="28"/>
          <w:rtl/>
        </w:rPr>
      </w:pPr>
      <w:r>
        <w:rPr>
          <w:rFonts w:cs="FrankRuehl"/>
          <w:sz w:val="28"/>
          <w:szCs w:val="28"/>
          <w:rtl/>
        </w:rPr>
        <w:t xml:space="preserve">מחד, ב"כ המאשימה עתרה להטיל על הנאשם עונש של 10 חודשי מאסר בפועל על בסיס מתחם שבין 8 ל-14 חודשי מאסר, וענישה נלווית לרבות חילוט הרכב ששוחרר ושימש לביצוע העבירה. המאשימה אבחנה את עניינו של הנאשם מעניינם של האחרים והפנתה לפסיקה. </w:t>
      </w:r>
    </w:p>
    <w:p w14:paraId="49F0F69B" w14:textId="77777777" w:rsidR="00090F7A" w:rsidRDefault="00090F7A" w:rsidP="00090F7A">
      <w:pPr>
        <w:spacing w:line="360" w:lineRule="auto"/>
        <w:jc w:val="both"/>
        <w:rPr>
          <w:rFonts w:cs="FrankRuehl"/>
          <w:sz w:val="28"/>
          <w:szCs w:val="28"/>
          <w:rtl/>
        </w:rPr>
      </w:pPr>
      <w:r>
        <w:rPr>
          <w:rFonts w:cs="FrankRuehl"/>
          <w:sz w:val="28"/>
          <w:szCs w:val="28"/>
          <w:rtl/>
        </w:rPr>
        <w:t xml:space="preserve">מאידך, הדגיש הסניגור את התיקון שבוצע בכתב האישום, ואת עקרון אחידות הענישה, וביקש לגזור את עונשו של הנאשם לכל היותר, בדומה לעונשו של סאלח. </w:t>
      </w:r>
    </w:p>
    <w:p w14:paraId="3C31737F" w14:textId="77777777" w:rsidR="00090F7A" w:rsidRDefault="00090F7A" w:rsidP="00090F7A">
      <w:pPr>
        <w:spacing w:line="360" w:lineRule="auto"/>
        <w:jc w:val="both"/>
        <w:rPr>
          <w:rFonts w:cs="FrankRuehl"/>
          <w:sz w:val="28"/>
          <w:szCs w:val="28"/>
          <w:rtl/>
        </w:rPr>
      </w:pPr>
    </w:p>
    <w:p w14:paraId="5028AB26" w14:textId="77777777" w:rsidR="00090F7A" w:rsidRDefault="00090F7A" w:rsidP="00090F7A">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433AACBE" w14:textId="77777777" w:rsidR="00090F7A" w:rsidRDefault="00090F7A" w:rsidP="00090F7A">
      <w:pPr>
        <w:spacing w:line="360" w:lineRule="auto"/>
        <w:jc w:val="both"/>
        <w:rPr>
          <w:rFonts w:cs="FrankRuehl"/>
          <w:b/>
          <w:bCs/>
          <w:sz w:val="28"/>
          <w:szCs w:val="28"/>
          <w:u w:val="single"/>
          <w:rtl/>
        </w:rPr>
      </w:pPr>
    </w:p>
    <w:p w14:paraId="3D01C9FE" w14:textId="77777777" w:rsidR="00090F7A" w:rsidRDefault="00090F7A" w:rsidP="00090F7A">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Pr>
          <w:rFonts w:ascii="FrankRuehl" w:hAnsi="FrankRuehl" w:cs="FrankRuehl"/>
          <w:sz w:val="28"/>
          <w:szCs w:val="28"/>
          <w:rtl/>
        </w:rPr>
        <w:t xml:space="preserve">עבירות סמים פוגעות בבריאות הציבור ובביטחונו, בוודאי כשהן נועדו להפיץ את נגד הסמים בקרב הציבור. בית המשפט העליון ציוונו להחמיר בענישה בעבירות מסוג זה. הערכים המוגנים נפגעו במידה בינונית. </w:t>
      </w:r>
    </w:p>
    <w:p w14:paraId="08AEEE5E" w14:textId="77777777" w:rsidR="00090F7A" w:rsidRDefault="00090F7A" w:rsidP="00090F7A">
      <w:pPr>
        <w:spacing w:line="360" w:lineRule="auto"/>
        <w:jc w:val="both"/>
        <w:rPr>
          <w:rFonts w:cs="FrankRuehl"/>
          <w:sz w:val="28"/>
          <w:szCs w:val="28"/>
        </w:rPr>
      </w:pPr>
    </w:p>
    <w:p w14:paraId="39FB3E80" w14:textId="77777777" w:rsidR="00090F7A" w:rsidRDefault="00090F7A" w:rsidP="00090F7A">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8" w:history="1">
        <w:r w:rsidR="002A7320" w:rsidRPr="002A7320">
          <w:rPr>
            <w:rStyle w:val="Hyperlink"/>
            <w:rFonts w:cs="FrankRuehl"/>
            <w:b/>
            <w:bCs/>
            <w:sz w:val="28"/>
            <w:szCs w:val="28"/>
            <w:rtl/>
          </w:rPr>
          <w:t>סעיף 40ט'</w:t>
        </w:r>
      </w:hyperlink>
      <w:r>
        <w:rPr>
          <w:rFonts w:cs="FrankRuehl"/>
          <w:b/>
          <w:bCs/>
          <w:sz w:val="28"/>
          <w:szCs w:val="28"/>
          <w:u w:val="single"/>
          <w:rtl/>
        </w:rPr>
        <w:t xml:space="preserve"> ל</w:t>
      </w:r>
      <w:hyperlink r:id="rId29" w:history="1">
        <w:r w:rsidR="006F5507" w:rsidRPr="006F5507">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 xml:space="preserve">בין הנסיבות הקשורות בביצוע העבירה יש לשקול את אלה, לעניין קביעת המתחם: מדובר בעבירה מתוכננת כאשר כמות הסמים והתכנון הן נסיבות לחומרה. יחד עם זאת, חלקו של הנאשם קטן משל סאלח וגדול מזה של נחמן בהתחשב בנסיבות שצוינו בכתב האישום. נדמה כי התיקון המשמעותי לכתב האישום בדמות "סיוע לניסיון לביצוע עסקה אחרת" מגלם גם את מידת אשמו של הנאשם ומידת הבנתו את הנסיבות. לכן, לא בכדי, היה קושי בקבלת האחריות, שכן הנאשם חש מנוצל ע"י סאלח לכל הפחות. פוטנציאל הנזק מעבירות מסוג זה הוא רב, בוודאי נוכח המשקל הרב של הסם. בפועל לא נגרם נזק, מלבד התרחשות האירוע עצמו והעימות עם השוטרים. </w:t>
      </w:r>
    </w:p>
    <w:p w14:paraId="769990BC" w14:textId="77777777" w:rsidR="00090F7A" w:rsidRDefault="00090F7A" w:rsidP="00090F7A">
      <w:pPr>
        <w:spacing w:line="360" w:lineRule="auto"/>
        <w:jc w:val="both"/>
        <w:rPr>
          <w:rFonts w:cs="FrankRuehl"/>
          <w:b/>
          <w:bCs/>
          <w:sz w:val="28"/>
          <w:szCs w:val="28"/>
          <w:u w:val="single"/>
          <w:rtl/>
        </w:rPr>
      </w:pPr>
    </w:p>
    <w:p w14:paraId="7C526D23" w14:textId="77777777" w:rsidR="00090F7A" w:rsidRDefault="00090F7A" w:rsidP="00090F7A">
      <w:pPr>
        <w:spacing w:after="200" w:line="360" w:lineRule="auto"/>
        <w:jc w:val="both"/>
        <w:rPr>
          <w:rFonts w:ascii="FrankRuehl" w:hAnsi="FrankRuehl" w:cs="FrankRuehl"/>
          <w:sz w:val="28"/>
          <w:szCs w:val="28"/>
          <w:u w:val="single"/>
          <w:rtl/>
        </w:rPr>
      </w:pPr>
      <w:r>
        <w:rPr>
          <w:rFonts w:ascii="FrankRuehl" w:hAnsi="FrankRuehl" w:cs="FrankRuehl"/>
          <w:b/>
          <w:bCs/>
          <w:sz w:val="28"/>
          <w:szCs w:val="28"/>
          <w:u w:val="single"/>
          <w:rtl/>
        </w:rPr>
        <w:t>מדיניות הענישה הנוהגת</w:t>
      </w:r>
      <w:r>
        <w:rPr>
          <w:rFonts w:ascii="FrankRuehl" w:hAnsi="FrankRuehl" w:cs="FrankRuehl"/>
          <w:sz w:val="28"/>
          <w:szCs w:val="28"/>
          <w:rtl/>
        </w:rPr>
        <w:t xml:space="preserve"> – מדיניות הענישה בעבירות מסוג זה הענישה מגוונת אך לרוב הכלל הוא מאסר של ממש מאחורי סורג ובריח. ב-</w:t>
      </w:r>
      <w:hyperlink r:id="rId30" w:history="1">
        <w:r w:rsidR="006F5507" w:rsidRPr="006F5507">
          <w:rPr>
            <w:rFonts w:ascii="FrankRuehl" w:hAnsi="FrankRuehl" w:cs="FrankRuehl"/>
            <w:color w:val="0000FF"/>
            <w:sz w:val="28"/>
            <w:szCs w:val="28"/>
            <w:u w:val="single"/>
            <w:rtl/>
          </w:rPr>
          <w:t>רע"פ 1830/16</w:t>
        </w:r>
      </w:hyperlink>
      <w:r>
        <w:rPr>
          <w:rFonts w:ascii="FrankRuehl" w:hAnsi="FrankRuehl" w:cs="FrankRuehl"/>
          <w:sz w:val="28"/>
          <w:szCs w:val="28"/>
          <w:rtl/>
        </w:rPr>
        <w:t xml:space="preserve"> </w:t>
      </w:r>
      <w:r>
        <w:rPr>
          <w:rFonts w:ascii="FrankRuehl" w:hAnsi="FrankRuehl" w:cs="FrankRuehl"/>
          <w:b/>
          <w:bCs/>
          <w:sz w:val="28"/>
          <w:szCs w:val="28"/>
          <w:u w:val="single"/>
          <w:rtl/>
        </w:rPr>
        <w:t>רקיבי</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11.4.2016) אושר עונש מאסר של 8 חודשי מאסר על בסיס מתחם ענישה שבין 6 ח' ל-15 חודשים, לנאשם שהחזיק 2.3 ק"ג סם מסוג חשיש, כשלא היה לחובתו רישום פלילי והתסקיר היה חיובי. ב-</w:t>
      </w:r>
      <w:hyperlink r:id="rId31" w:history="1">
        <w:r w:rsidR="006F5507" w:rsidRPr="006F5507">
          <w:rPr>
            <w:rFonts w:ascii="FrankRuehl" w:hAnsi="FrankRuehl" w:cs="FrankRuehl"/>
            <w:color w:val="0000FF"/>
            <w:sz w:val="28"/>
            <w:szCs w:val="28"/>
            <w:u w:val="single"/>
            <w:rtl/>
          </w:rPr>
          <w:t>רע"פ 7819/15</w:t>
        </w:r>
      </w:hyperlink>
      <w:r>
        <w:rPr>
          <w:rFonts w:ascii="FrankRuehl" w:hAnsi="FrankRuehl" w:cs="FrankRuehl"/>
          <w:sz w:val="28"/>
          <w:szCs w:val="28"/>
          <w:rtl/>
        </w:rPr>
        <w:t xml:space="preserve"> </w:t>
      </w:r>
      <w:r>
        <w:rPr>
          <w:rFonts w:ascii="FrankRuehl" w:hAnsi="FrankRuehl" w:cs="FrankRuehl"/>
          <w:b/>
          <w:bCs/>
          <w:sz w:val="28"/>
          <w:szCs w:val="28"/>
          <w:u w:val="single"/>
          <w:rtl/>
        </w:rPr>
        <w:t>סלור</w:t>
      </w:r>
      <w:r>
        <w:rPr>
          <w:rFonts w:ascii="FrankRuehl" w:hAnsi="FrankRuehl" w:cs="FrankRuehl"/>
          <w:sz w:val="28"/>
          <w:szCs w:val="28"/>
          <w:rtl/>
        </w:rPr>
        <w:t xml:space="preserve"> נ'</w:t>
      </w:r>
      <w:r>
        <w:rPr>
          <w:rFonts w:ascii="FrankRuehl" w:hAnsi="FrankRuehl" w:cs="FrankRuehl"/>
          <w:b/>
          <w:bCs/>
          <w:sz w:val="28"/>
          <w:szCs w:val="28"/>
          <w:u w:val="single"/>
          <w:rtl/>
        </w:rPr>
        <w:t xml:space="preserve"> מ"י </w:t>
      </w:r>
      <w:r>
        <w:rPr>
          <w:rFonts w:ascii="FrankRuehl" w:hAnsi="FrankRuehl" w:cs="FrankRuehl"/>
          <w:sz w:val="28"/>
          <w:szCs w:val="28"/>
          <w:rtl/>
        </w:rPr>
        <w:t>(מיום 22.5.2016) אושר עונש של 9 ח' מאסר, על בסיס מתחם של 7 עד 18 חודשי מאסר, בנסיבות של החזקת מעבדת סמים וסמים במשקל של 7.4 קנביס. ב-</w:t>
      </w:r>
      <w:hyperlink r:id="rId32" w:history="1">
        <w:r w:rsidR="006F5507" w:rsidRPr="006F5507">
          <w:rPr>
            <w:rFonts w:ascii="FrankRuehl" w:hAnsi="FrankRuehl" w:cs="FrankRuehl"/>
            <w:color w:val="0000FF"/>
            <w:sz w:val="28"/>
            <w:szCs w:val="28"/>
            <w:u w:val="single"/>
            <w:rtl/>
          </w:rPr>
          <w:t>ע"פ 616/16</w:t>
        </w:r>
      </w:hyperlink>
      <w:r>
        <w:rPr>
          <w:rFonts w:ascii="FrankRuehl" w:hAnsi="FrankRuehl" w:cs="FrankRuehl"/>
          <w:sz w:val="28"/>
          <w:szCs w:val="28"/>
          <w:rtl/>
        </w:rPr>
        <w:t xml:space="preserve"> </w:t>
      </w:r>
      <w:r>
        <w:rPr>
          <w:rFonts w:ascii="FrankRuehl" w:hAnsi="FrankRuehl" w:cs="FrankRuehl"/>
          <w:b/>
          <w:bCs/>
          <w:sz w:val="28"/>
          <w:szCs w:val="28"/>
          <w:u w:val="single"/>
          <w:rtl/>
        </w:rPr>
        <w:t>יזרעאלוב</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20.2.2017) הוטל עונש מאסר של 6 חודשים לריצוי בעבודות שירות, תוך ששם חרג בית המשפט ממתחם ענישה בין 8 ל-20 ח', בשל שיקולי שיקום. שם דובר בסחר בסם מסוג נייס גאי, לאדם ללא עבר שעבר הליך שיקומי מוצלח.</w:t>
      </w:r>
      <w:r>
        <w:rPr>
          <w:rtl/>
        </w:rPr>
        <w:t xml:space="preserve">  </w:t>
      </w:r>
    </w:p>
    <w:p w14:paraId="0131C6D6" w14:textId="77777777" w:rsidR="00090F7A" w:rsidRDefault="00090F7A" w:rsidP="00090F7A">
      <w:pPr>
        <w:spacing w:after="200" w:line="360" w:lineRule="auto"/>
        <w:jc w:val="both"/>
        <w:rPr>
          <w:rFonts w:ascii="FrankRuehl" w:hAnsi="FrankRuehl" w:cs="FrankRuehl"/>
          <w:sz w:val="28"/>
          <w:szCs w:val="28"/>
          <w:rtl/>
        </w:rPr>
      </w:pPr>
      <w:r>
        <w:rPr>
          <w:rFonts w:ascii="FrankRuehl" w:hAnsi="FrankRuehl" w:cs="FrankRuehl"/>
          <w:sz w:val="28"/>
          <w:szCs w:val="28"/>
          <w:u w:val="single"/>
          <w:rtl/>
        </w:rPr>
        <w:t>סיוע</w:t>
      </w:r>
      <w:r>
        <w:rPr>
          <w:rFonts w:ascii="FrankRuehl" w:hAnsi="FrankRuehl" w:cs="FrankRuehl"/>
          <w:sz w:val="28"/>
          <w:szCs w:val="28"/>
          <w:rtl/>
        </w:rPr>
        <w:t xml:space="preserve"> – כאן המקום להתייחס למשמעות עבירת הסיוע - </w:t>
      </w:r>
      <w:hyperlink r:id="rId33" w:history="1">
        <w:r w:rsidR="002A7320" w:rsidRPr="002A7320">
          <w:rPr>
            <w:rStyle w:val="Hyperlink"/>
            <w:rFonts w:ascii="FrankRuehl" w:hAnsi="FrankRuehl" w:cs="FrankRuehl"/>
            <w:sz w:val="28"/>
            <w:szCs w:val="28"/>
            <w:rtl/>
          </w:rPr>
          <w:t>סעיף 32</w:t>
        </w:r>
      </w:hyperlink>
      <w:r>
        <w:rPr>
          <w:rFonts w:ascii="FrankRuehl" w:hAnsi="FrankRuehl" w:cs="FrankRuehl"/>
          <w:sz w:val="28"/>
          <w:szCs w:val="28"/>
          <w:rtl/>
        </w:rPr>
        <w:t xml:space="preserve"> ל</w:t>
      </w:r>
      <w:hyperlink r:id="rId34" w:history="1">
        <w:r w:rsidR="006F5507" w:rsidRPr="006F5507">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קובע, כי עונשו של מסייע הוא "מחצית העונש שנקבע בחיקוק בשל ביצועה העיקרי". כתב האישום מייחס לנאשם עבירות סיוע, הואיל והנאשם לא היה המבצע העיקרי של העבירות המיוחסות לו. זהו שיקול משמעותי בעיניי, שיש בו להוות עוגן בשיקוליי לִזְכוּת הנאשם בעת גזירת הדין [ראו בהקשר זה: </w:t>
      </w:r>
      <w:hyperlink r:id="rId35" w:history="1">
        <w:r w:rsidR="006F5507" w:rsidRPr="006F5507">
          <w:rPr>
            <w:rFonts w:ascii="FrankRuehl" w:hAnsi="FrankRuehl" w:cs="FrankRuehl"/>
            <w:color w:val="0000FF"/>
            <w:sz w:val="28"/>
            <w:szCs w:val="28"/>
            <w:u w:val="single"/>
            <w:rtl/>
          </w:rPr>
          <w:t>ע"פ 4592/15</w:t>
        </w:r>
      </w:hyperlink>
      <w:r>
        <w:rPr>
          <w:rFonts w:ascii="FrankRuehl" w:hAnsi="FrankRuehl" w:cs="FrankRuehl"/>
          <w:sz w:val="28"/>
          <w:szCs w:val="28"/>
          <w:rtl/>
        </w:rPr>
        <w:t xml:space="preserve"> </w:t>
      </w:r>
      <w:r>
        <w:rPr>
          <w:rFonts w:ascii="FrankRuehl" w:hAnsi="FrankRuehl" w:cs="FrankRuehl"/>
          <w:b/>
          <w:bCs/>
          <w:sz w:val="28"/>
          <w:szCs w:val="28"/>
          <w:u w:val="single"/>
          <w:rtl/>
        </w:rPr>
        <w:t>פדידה</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8.2.2016)]. עמדה זו לא קיבלה ביטוי בטיעוני המאשימה לעונש. </w:t>
      </w:r>
    </w:p>
    <w:p w14:paraId="6DA5C19A" w14:textId="77777777" w:rsidR="00090F7A" w:rsidRDefault="00090F7A" w:rsidP="00090F7A">
      <w:pPr>
        <w:spacing w:line="360" w:lineRule="auto"/>
        <w:jc w:val="both"/>
        <w:rPr>
          <w:rFonts w:ascii="FrankRuehl" w:hAnsi="FrankRuehl" w:cs="FrankRuehl"/>
          <w:sz w:val="28"/>
          <w:szCs w:val="28"/>
          <w:rtl/>
        </w:rPr>
      </w:pPr>
      <w:r>
        <w:rPr>
          <w:rFonts w:ascii="FrankRuehl" w:hAnsi="FrankRuehl" w:cs="FrankRuehl"/>
          <w:b/>
          <w:bCs/>
          <w:sz w:val="28"/>
          <w:szCs w:val="28"/>
          <w:rtl/>
        </w:rPr>
        <w:t>מתחם הענישה</w:t>
      </w:r>
      <w:r>
        <w:rPr>
          <w:rFonts w:ascii="FrankRuehl" w:hAnsi="FrankRuehl" w:cs="FrankRuehl"/>
          <w:sz w:val="28"/>
          <w:szCs w:val="28"/>
          <w:rtl/>
        </w:rPr>
        <w:t xml:space="preserve"> – לפיכך, מתחם הענישה בנסיבות העניין הספציפיות צריך לנוע בין 3 ל – 12 חודשי מאסר בפועל.</w:t>
      </w:r>
    </w:p>
    <w:p w14:paraId="0B012431" w14:textId="77777777" w:rsidR="00090F7A" w:rsidRDefault="00090F7A" w:rsidP="00090F7A">
      <w:pPr>
        <w:spacing w:line="360" w:lineRule="auto"/>
        <w:jc w:val="both"/>
        <w:rPr>
          <w:rFonts w:cs="FrankRuehl"/>
          <w:b/>
          <w:bCs/>
          <w:sz w:val="28"/>
          <w:szCs w:val="28"/>
          <w:u w:val="single"/>
          <w:rtl/>
        </w:rPr>
      </w:pPr>
    </w:p>
    <w:p w14:paraId="45D61264" w14:textId="77777777" w:rsidR="00090F7A" w:rsidRDefault="00090F7A" w:rsidP="00090F7A">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36" w:history="1">
        <w:r w:rsidR="002A7320" w:rsidRPr="002A7320">
          <w:rPr>
            <w:rStyle w:val="Hyperlink"/>
            <w:rFonts w:cs="FrankRuehl"/>
            <w:b/>
            <w:bCs/>
            <w:sz w:val="28"/>
            <w:szCs w:val="28"/>
            <w:rtl/>
          </w:rPr>
          <w:t>סעיף 40י"א</w:t>
        </w:r>
      </w:hyperlink>
      <w:r>
        <w:rPr>
          <w:rFonts w:cs="FrankRuehl"/>
          <w:b/>
          <w:bCs/>
          <w:sz w:val="28"/>
          <w:szCs w:val="28"/>
          <w:u w:val="single"/>
          <w:rtl/>
        </w:rPr>
        <w:t xml:space="preserve"> ל</w:t>
      </w:r>
      <w:hyperlink r:id="rId37" w:history="1">
        <w:r w:rsidR="006F5507" w:rsidRPr="006F5507">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 xml:space="preserve">ניתן  לתת משקל לנסיבות הבאות שאינן קשורות בביצוע העבירה, במסגרת גזירת העונש בתוך המתחם: הנאשם הודה וחסך בזמן שיפוטי. כאמור לעיל, אי קבלת האחריות מול שירות המבחן מגלמת את </w:t>
      </w:r>
      <w:r>
        <w:rPr>
          <w:rFonts w:cs="FrankRuehl" w:hint="cs"/>
          <w:sz w:val="28"/>
          <w:szCs w:val="28"/>
          <w:rtl/>
        </w:rPr>
        <w:t>גרסתו</w:t>
      </w:r>
      <w:r>
        <w:rPr>
          <w:rFonts w:cs="FrankRuehl"/>
          <w:sz w:val="28"/>
          <w:szCs w:val="28"/>
          <w:rtl/>
        </w:rPr>
        <w:t xml:space="preserve"> למעשים, המשתקפת גם בתיקון המאסיבי של כתב האישום. לכן מבחינתי, הנאשם קיבל אחריות למעשים. אין לנאשם עבר פלילי, הוא היה עצור תקופה ארוכה יחסית ובהמשך שהה במעצר בית כל זאת ללא הפרות. לא נפתחו לו תיקים חדשים. הנאשם אינו מרבה במילים, כפי שגם אני התרשמ</w:t>
      </w:r>
      <w:r>
        <w:rPr>
          <w:rFonts w:cs="FrankRuehl" w:hint="cs"/>
          <w:sz w:val="28"/>
          <w:szCs w:val="28"/>
          <w:rtl/>
        </w:rPr>
        <w:t>ת</w:t>
      </w:r>
      <w:r>
        <w:rPr>
          <w:rFonts w:cs="FrankRuehl"/>
          <w:sz w:val="28"/>
          <w:szCs w:val="28"/>
          <w:rtl/>
        </w:rPr>
        <w:t xml:space="preserve">י, ולכן אין זה מפתיע כי לא ביקש להשתלב בטיפול. לחובת הנאשם בדיקות השתן שלא מסר בסופו של דבר. </w:t>
      </w:r>
    </w:p>
    <w:p w14:paraId="408C4EB6" w14:textId="77777777" w:rsidR="00090F7A" w:rsidRDefault="00090F7A" w:rsidP="00090F7A">
      <w:pPr>
        <w:rPr>
          <w:rFonts w:cs="FrankRuehl"/>
          <w:sz w:val="28"/>
          <w:szCs w:val="28"/>
          <w:rtl/>
        </w:rPr>
      </w:pPr>
    </w:p>
    <w:p w14:paraId="61B4616D" w14:textId="77777777" w:rsidR="00090F7A" w:rsidRDefault="00090F7A" w:rsidP="00090F7A">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בהתחשב במכלול השיקולים ובמיוחד נוכח עקרון אחידות הענישה, במיוחד בהתחשב בעונש המפליג לקולא שנגזר על הנאשם סאלח, לא מצאתי שיש לגזור על הנאשם עונש </w:t>
      </w:r>
      <w:r>
        <w:rPr>
          <w:rFonts w:cs="FrankRuehl" w:hint="cs"/>
          <w:sz w:val="28"/>
          <w:szCs w:val="28"/>
          <w:rtl/>
        </w:rPr>
        <w:t>חמור מזה ש</w:t>
      </w:r>
      <w:r>
        <w:rPr>
          <w:rFonts w:cs="FrankRuehl"/>
          <w:sz w:val="28"/>
          <w:szCs w:val="28"/>
          <w:rtl/>
        </w:rPr>
        <w:t xml:space="preserve">הוטל על סאלח, הגם שהתסקיר בעניינו של האחרון היה חיובי.  אציין כי אלמלא גזרי הדין שהוטלו על האחרים, היה מקום לגזור על הנאשם מאסר בפועל. </w:t>
      </w:r>
    </w:p>
    <w:p w14:paraId="600A6D1C" w14:textId="77777777" w:rsidR="00090F7A" w:rsidRDefault="00090F7A" w:rsidP="00090F7A">
      <w:pPr>
        <w:spacing w:line="360" w:lineRule="auto"/>
        <w:jc w:val="both"/>
        <w:rPr>
          <w:rFonts w:cs="FrankRuehl"/>
          <w:b/>
          <w:bCs/>
          <w:sz w:val="28"/>
          <w:szCs w:val="28"/>
          <w:u w:val="single"/>
          <w:rtl/>
        </w:rPr>
      </w:pPr>
      <w:r>
        <w:rPr>
          <w:rFonts w:cs="FrankRuehl"/>
          <w:b/>
          <w:bCs/>
          <w:sz w:val="28"/>
          <w:szCs w:val="28"/>
          <w:u w:val="single"/>
          <w:rtl/>
        </w:rPr>
        <w:t xml:space="preserve"> </w:t>
      </w:r>
    </w:p>
    <w:p w14:paraId="0B08B533" w14:textId="77777777" w:rsidR="00090F7A" w:rsidRDefault="00090F7A" w:rsidP="00090F7A">
      <w:pPr>
        <w:spacing w:line="360" w:lineRule="auto"/>
        <w:jc w:val="both"/>
        <w:rPr>
          <w:rFonts w:cs="FrankRuehl"/>
          <w:b/>
          <w:bCs/>
          <w:sz w:val="28"/>
          <w:szCs w:val="28"/>
          <w:u w:val="single"/>
          <w:rtl/>
        </w:rPr>
      </w:pPr>
      <w:r>
        <w:rPr>
          <w:rFonts w:cs="FrankRuehl"/>
          <w:b/>
          <w:bCs/>
          <w:sz w:val="28"/>
          <w:szCs w:val="28"/>
          <w:u w:val="single"/>
          <w:rtl/>
        </w:rPr>
        <w:t>גזירת הדין</w:t>
      </w:r>
    </w:p>
    <w:p w14:paraId="681C19D3" w14:textId="77777777" w:rsidR="00090F7A" w:rsidRDefault="00090F7A" w:rsidP="00090F7A">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1917AB9E" w14:textId="77777777" w:rsidR="00090F7A" w:rsidRDefault="00090F7A" w:rsidP="00090F7A">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 xml:space="preserve">3.5 חודשי מאסר שירוצו בעבודות שירות במועצה הדתית נתיבות החל יום </w:t>
      </w:r>
      <w:r>
        <w:rPr>
          <w:rFonts w:ascii="FrankRuehl" w:hAnsi="FrankRuehl" w:cs="FrankRuehl" w:hint="cs"/>
          <w:sz w:val="28"/>
          <w:szCs w:val="28"/>
          <w:rtl/>
        </w:rPr>
        <w:t>27</w:t>
      </w:r>
      <w:r>
        <w:rPr>
          <w:rFonts w:ascii="FrankRuehl" w:hAnsi="FrankRuehl" w:cs="FrankRuehl"/>
          <w:sz w:val="28"/>
          <w:szCs w:val="28"/>
          <w:rtl/>
        </w:rPr>
        <w:t xml:space="preserve">.3.2022. </w:t>
      </w:r>
      <w:r>
        <w:rPr>
          <w:rFonts w:ascii="FrankRuehl" w:hAnsi="FrankRuehl" w:cs="FrankRuehl"/>
          <w:b/>
          <w:bCs/>
          <w:sz w:val="28"/>
          <w:szCs w:val="28"/>
          <w:rtl/>
        </w:rPr>
        <w:t xml:space="preserve">אין לנכות את ימי מעצרו של הנאשם בתיק זה, שאחרת לא תהיה משמעות לעונש שהטלתי עליו. </w:t>
      </w:r>
      <w:r>
        <w:rPr>
          <w:rFonts w:ascii="FrankRuehl" w:hAnsi="FrankRuehl" w:cs="FrankRuehl"/>
          <w:sz w:val="28"/>
          <w:szCs w:val="28"/>
          <w:rtl/>
        </w:rPr>
        <w:t>במועד זה על הנאשם להתייצב לתחילת ריצוי עונשו במשרדי הממונה בבאר שבע עד לשעה 08:00. אם לא יבצע את העבודות כנדרש, יומר העונש לעבודות שירות</w:t>
      </w:r>
      <w:r>
        <w:rPr>
          <w:rFonts w:ascii="FrankRuehl" w:hAnsi="FrankRuehl" w:cs="FrankRuehl" w:hint="cs"/>
          <w:sz w:val="28"/>
          <w:szCs w:val="28"/>
          <w:rtl/>
        </w:rPr>
        <w:t>;</w:t>
      </w:r>
    </w:p>
    <w:p w14:paraId="3C1F7875" w14:textId="77777777" w:rsidR="00090F7A" w:rsidRDefault="00090F7A" w:rsidP="00090F7A">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6 חודשי מאסר שלא ירוצו, אלא אם יעבור הנאשם כל עבירת פשע לפי פקודת הסמים בתוך 3 שנים מסיום עבודות השירות;</w:t>
      </w:r>
    </w:p>
    <w:p w14:paraId="1E5CF2DA" w14:textId="77777777" w:rsidR="00090F7A" w:rsidRDefault="00090F7A" w:rsidP="00090F7A">
      <w:pPr>
        <w:pStyle w:val="a9"/>
        <w:numPr>
          <w:ilvl w:val="0"/>
          <w:numId w:val="1"/>
        </w:numPr>
        <w:spacing w:line="360" w:lineRule="auto"/>
        <w:rPr>
          <w:rFonts w:ascii="FrankRuehl" w:hAnsi="FrankRuehl" w:cs="FrankRuehl"/>
          <w:sz w:val="28"/>
          <w:szCs w:val="28"/>
        </w:rPr>
      </w:pPr>
      <w:r>
        <w:rPr>
          <w:rFonts w:ascii="FrankRuehl" w:hAnsi="FrankRuehl" w:cs="FrankRuehl"/>
          <w:sz w:val="28"/>
          <w:szCs w:val="28"/>
          <w:rtl/>
        </w:rPr>
        <w:t>חודש מאסר שלא ירוצה, אלא אם יעבור הנאשם בתוך 3 שנים מסיום עבודות השירות כל עבירת עוון לפי פקודת הסמים, וכן כל עבירה כלפי שוטרים;</w:t>
      </w:r>
    </w:p>
    <w:p w14:paraId="6EDD6092" w14:textId="77777777" w:rsidR="00090F7A" w:rsidRDefault="00090F7A" w:rsidP="00090F7A">
      <w:pPr>
        <w:pStyle w:val="a9"/>
        <w:numPr>
          <w:ilvl w:val="0"/>
          <w:numId w:val="1"/>
        </w:numPr>
        <w:spacing w:line="360" w:lineRule="auto"/>
        <w:rPr>
          <w:rFonts w:ascii="FrankRuehl" w:hAnsi="FrankRuehl" w:cs="FrankRuehl"/>
          <w:sz w:val="28"/>
          <w:szCs w:val="28"/>
        </w:rPr>
      </w:pPr>
      <w:r>
        <w:rPr>
          <w:rFonts w:ascii="FrankRuehl" w:hAnsi="FrankRuehl" w:cs="FrankRuehl"/>
          <w:sz w:val="28"/>
          <w:szCs w:val="28"/>
          <w:rtl/>
        </w:rPr>
        <w:t xml:space="preserve">6 חודשי פסילה מלקבל או מלהחזיק ברישיון נהיגה, וזאת על-תנאי למשך 3 שנים מהיום, שלא יעבור הנאשם כל עבירה לפי </w:t>
      </w:r>
      <w:hyperlink r:id="rId38" w:history="1">
        <w:r w:rsidR="006F5507" w:rsidRPr="006F5507">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w:t>
      </w:r>
    </w:p>
    <w:p w14:paraId="3DCEB6E7" w14:textId="77777777" w:rsidR="00090F7A" w:rsidRDefault="00090F7A" w:rsidP="00090F7A">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קנס בסך 6,000 ₪ או חודש מאסר תמורתו אם לא ישולם. הקנס ישולם ב-20 תשלומים שווים ורצופים החל מיום 1.3.2022 ובכל 1 לחודש רציף ועוקב. לא ישולם תשלום במועד יועמד הקנס לפירעון מיידי. ניתן לקזז מכל הפקדה בתיק זה או בתיק קשור על אף כל הודעת עיקול. ככל שקיימת יתרת זכות ואין עיקול ניתן להשיב;</w:t>
      </w:r>
    </w:p>
    <w:p w14:paraId="3E4B8B1E" w14:textId="77777777" w:rsidR="00090F7A" w:rsidRDefault="00090F7A" w:rsidP="00090F7A">
      <w:pPr>
        <w:pStyle w:val="a9"/>
        <w:numPr>
          <w:ilvl w:val="0"/>
          <w:numId w:val="1"/>
        </w:numPr>
        <w:spacing w:line="360" w:lineRule="auto"/>
        <w:rPr>
          <w:rFonts w:ascii="FrankRuehl" w:hAnsi="FrankRuehl" w:cs="FrankRuehl"/>
          <w:sz w:val="28"/>
          <w:szCs w:val="28"/>
        </w:rPr>
      </w:pPr>
      <w:r>
        <w:rPr>
          <w:rFonts w:ascii="FrankRuehl" w:hAnsi="FrankRuehl" w:cs="FrankRuehl" w:hint="cs"/>
          <w:sz w:val="28"/>
          <w:szCs w:val="28"/>
          <w:rtl/>
        </w:rPr>
        <w:t>התחייבות בסך 5,000 ₪ שלא לעבור כל עבירה לפי פקודת הסמים בתוך שנתיים מהיום;</w:t>
      </w:r>
    </w:p>
    <w:p w14:paraId="7324D783" w14:textId="77777777" w:rsidR="00090F7A" w:rsidRDefault="00090F7A" w:rsidP="00090F7A">
      <w:pPr>
        <w:pStyle w:val="a9"/>
        <w:numPr>
          <w:ilvl w:val="0"/>
          <w:numId w:val="1"/>
        </w:numPr>
        <w:spacing w:line="360" w:lineRule="auto"/>
        <w:rPr>
          <w:rFonts w:ascii="FrankRuehl" w:hAnsi="FrankRuehl" w:cs="FrankRuehl"/>
          <w:sz w:val="28"/>
          <w:szCs w:val="28"/>
        </w:rPr>
      </w:pPr>
      <w:r>
        <w:rPr>
          <w:rFonts w:ascii="FrankRuehl" w:hAnsi="FrankRuehl" w:cs="FrankRuehl"/>
          <w:sz w:val="28"/>
          <w:szCs w:val="28"/>
          <w:rtl/>
        </w:rPr>
        <w:t xml:space="preserve">מורה על חילוט הסכום של 5,000 </w:t>
      </w:r>
      <w:r>
        <w:rPr>
          <w:rFonts w:ascii="FrankRuehl" w:hAnsi="FrankRuehl" w:cs="FrankRuehl" w:hint="cs"/>
          <w:sz w:val="28"/>
          <w:szCs w:val="28"/>
          <w:rtl/>
        </w:rPr>
        <w:t xml:space="preserve">₪ </w:t>
      </w:r>
      <w:r>
        <w:rPr>
          <w:rFonts w:ascii="FrankRuehl" w:hAnsi="FrankRuehl" w:cs="FrankRuehl"/>
          <w:sz w:val="28"/>
          <w:szCs w:val="28"/>
          <w:rtl/>
        </w:rPr>
        <w:t>שהופקד לטובת שחרור הרכב</w:t>
      </w:r>
      <w:r>
        <w:rPr>
          <w:rFonts w:ascii="FrankRuehl" w:hAnsi="FrankRuehl" w:cs="FrankRuehl" w:hint="cs"/>
          <w:sz w:val="28"/>
          <w:szCs w:val="28"/>
          <w:rtl/>
        </w:rPr>
        <w:t xml:space="preserve"> ועל ביטול עיקולים בהקשר זה</w:t>
      </w:r>
      <w:r>
        <w:rPr>
          <w:rFonts w:ascii="FrankRuehl" w:hAnsi="FrankRuehl" w:cs="FrankRuehl"/>
          <w:sz w:val="28"/>
          <w:szCs w:val="28"/>
          <w:rtl/>
        </w:rPr>
        <w:t>;</w:t>
      </w:r>
    </w:p>
    <w:p w14:paraId="676C9FB8" w14:textId="77777777" w:rsidR="00090F7A" w:rsidRDefault="00090F7A" w:rsidP="00090F7A">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מכריז על הנאשם סוחר סמים ומורה על השמדת הסמים וחילוט הציוד והכספים שנתפסו, למעט הרכב, אשר שוחרר ושבמקום חילוטו, הוריתי על חילוט ההפקדה כאמור לעיל. </w:t>
      </w:r>
    </w:p>
    <w:p w14:paraId="4D383BAC" w14:textId="77777777" w:rsidR="00090F7A" w:rsidRDefault="00090F7A" w:rsidP="00090F7A">
      <w:pPr>
        <w:spacing w:line="360" w:lineRule="auto"/>
        <w:rPr>
          <w:rFonts w:ascii="FrankRuehl" w:hAnsi="FrankRuehl" w:cs="FrankRuehl"/>
          <w:sz w:val="28"/>
          <w:szCs w:val="28"/>
          <w:rtl/>
        </w:rPr>
      </w:pPr>
    </w:p>
    <w:p w14:paraId="0156098F" w14:textId="77777777" w:rsidR="00090F7A" w:rsidRDefault="00090F7A" w:rsidP="00090F7A">
      <w:pPr>
        <w:spacing w:line="360" w:lineRule="auto"/>
        <w:rPr>
          <w:rFonts w:ascii="FrankRuehl" w:hAnsi="FrankRuehl" w:cs="FrankRuehl"/>
          <w:sz w:val="28"/>
          <w:szCs w:val="28"/>
          <w:rtl/>
        </w:rPr>
      </w:pPr>
      <w:r>
        <w:rPr>
          <w:rFonts w:ascii="FrankRuehl" w:hAnsi="FrankRuehl" w:cs="FrankRuehl"/>
          <w:sz w:val="28"/>
          <w:szCs w:val="28"/>
          <w:rtl/>
        </w:rPr>
        <w:t xml:space="preserve">יש לשלוח לשירות המבחן ולממונה על עבודות השירות. </w:t>
      </w:r>
    </w:p>
    <w:p w14:paraId="5CB95EC8" w14:textId="77777777" w:rsidR="00090F7A" w:rsidRDefault="00090F7A" w:rsidP="00090F7A">
      <w:pPr>
        <w:rPr>
          <w:rFonts w:ascii="FrankRuehl" w:hAnsi="FrankRuehl" w:cs="FrankRuehl"/>
          <w:sz w:val="28"/>
          <w:szCs w:val="28"/>
        </w:rPr>
      </w:pPr>
    </w:p>
    <w:p w14:paraId="4E760276" w14:textId="77777777" w:rsidR="00090F7A" w:rsidRDefault="00090F7A" w:rsidP="00090F7A">
      <w:pPr>
        <w:rPr>
          <w:rtl/>
        </w:rPr>
      </w:pPr>
      <w:r>
        <w:rPr>
          <w:rFonts w:ascii="FrankRuehl" w:hAnsi="FrankRuehl" w:cs="FrankRuehl"/>
          <w:sz w:val="28"/>
          <w:szCs w:val="28"/>
          <w:rtl/>
        </w:rPr>
        <w:t>זכות ערעור כחוק לבית המשפט המחוזי בירושלים בתוך 45 יום מהיום.</w:t>
      </w:r>
    </w:p>
    <w:p w14:paraId="20494C13" w14:textId="77777777" w:rsidR="00090F7A" w:rsidRPr="006F5507" w:rsidRDefault="006F5507" w:rsidP="00090F7A">
      <w:pPr>
        <w:rPr>
          <w:rFonts w:ascii="David" w:hAnsi="David"/>
          <w:color w:val="FFFFFF"/>
          <w:sz w:val="2"/>
          <w:szCs w:val="2"/>
        </w:rPr>
      </w:pPr>
      <w:r w:rsidRPr="006F5507">
        <w:rPr>
          <w:rFonts w:ascii="David" w:hAnsi="David"/>
          <w:color w:val="FFFFFF"/>
          <w:sz w:val="2"/>
          <w:szCs w:val="2"/>
          <w:rtl/>
        </w:rPr>
        <w:t>5129371</w:t>
      </w:r>
    </w:p>
    <w:p w14:paraId="36F83B43" w14:textId="77777777" w:rsidR="00090F7A" w:rsidRPr="006F5507" w:rsidRDefault="006F5507" w:rsidP="00090F7A">
      <w:pPr>
        <w:rPr>
          <w:color w:val="FFFFFF"/>
          <w:sz w:val="2"/>
          <w:szCs w:val="2"/>
          <w:rtl/>
        </w:rPr>
      </w:pPr>
      <w:r w:rsidRPr="006F5507">
        <w:rPr>
          <w:color w:val="FFFFFF"/>
          <w:sz w:val="2"/>
          <w:szCs w:val="2"/>
          <w:rtl/>
        </w:rPr>
        <w:t>54678313</w:t>
      </w:r>
    </w:p>
    <w:p w14:paraId="6C064251" w14:textId="77777777" w:rsidR="00090F7A" w:rsidRPr="000F2247" w:rsidRDefault="00090F7A" w:rsidP="00090F7A">
      <w:pPr>
        <w:rPr>
          <w:rFonts w:ascii="Arial" w:hAnsi="Arial"/>
          <w:b/>
          <w:bCs/>
          <w:sz w:val="26"/>
          <w:szCs w:val="26"/>
          <w:rtl/>
        </w:rPr>
      </w:pPr>
    </w:p>
    <w:p w14:paraId="472B1A7B" w14:textId="77777777" w:rsidR="00090F7A" w:rsidRPr="001C1E1E" w:rsidRDefault="006F5507" w:rsidP="00090F7A">
      <w:pPr>
        <w:rPr>
          <w:rFonts w:ascii="Arial" w:hAnsi="Arial"/>
          <w:b/>
          <w:bCs/>
          <w:sz w:val="26"/>
          <w:szCs w:val="26"/>
          <w:rtl/>
        </w:rPr>
      </w:pPr>
      <w:bookmarkStart w:id="8" w:name="Nitan"/>
      <w:r>
        <w:rPr>
          <w:rFonts w:ascii="Arial" w:hAnsi="Arial"/>
          <w:b/>
          <w:bCs/>
          <w:sz w:val="26"/>
          <w:szCs w:val="26"/>
          <w:rtl/>
        </w:rPr>
        <w:t xml:space="preserve">ניתן היום,  ה' אדר א' תשפ"ב, 06 פברואר 2022, במעמד הצדדים. </w:t>
      </w:r>
      <w:bookmarkEnd w:id="8"/>
    </w:p>
    <w:p w14:paraId="5BA3C0AA" w14:textId="77777777" w:rsidR="006F5507" w:rsidRDefault="006F5507" w:rsidP="006F5507">
      <w:pPr>
        <w:rPr>
          <w:rtl/>
        </w:rPr>
      </w:pPr>
    </w:p>
    <w:p w14:paraId="34232DBF" w14:textId="77777777" w:rsidR="006F5507" w:rsidRDefault="006F5507" w:rsidP="006F5507">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49ED91F" w14:textId="77777777" w:rsidR="002A7320" w:rsidRPr="002A7320" w:rsidRDefault="002A7320" w:rsidP="002A7320">
      <w:pPr>
        <w:keepNext/>
        <w:rPr>
          <w:rFonts w:ascii="David" w:hAnsi="David"/>
          <w:color w:val="000000"/>
          <w:sz w:val="22"/>
          <w:szCs w:val="22"/>
          <w:rtl/>
        </w:rPr>
      </w:pPr>
    </w:p>
    <w:p w14:paraId="1CFC40D9" w14:textId="77777777" w:rsidR="002A7320" w:rsidRPr="002A7320" w:rsidRDefault="002A7320" w:rsidP="002A7320">
      <w:pPr>
        <w:keepNext/>
        <w:rPr>
          <w:rFonts w:ascii="David" w:hAnsi="David"/>
          <w:color w:val="000000"/>
          <w:sz w:val="22"/>
          <w:szCs w:val="22"/>
          <w:rtl/>
        </w:rPr>
      </w:pPr>
      <w:r w:rsidRPr="002A7320">
        <w:rPr>
          <w:rFonts w:ascii="David" w:hAnsi="David"/>
          <w:color w:val="000000"/>
          <w:sz w:val="22"/>
          <w:szCs w:val="22"/>
          <w:rtl/>
        </w:rPr>
        <w:t>דוד שאול גבאי ריכטר 54678313-/</w:t>
      </w:r>
    </w:p>
    <w:p w14:paraId="14507C5B" w14:textId="77777777" w:rsidR="006F5507" w:rsidRPr="006F5507" w:rsidRDefault="002A7320" w:rsidP="002A7320">
      <w:pPr>
        <w:rPr>
          <w:color w:val="0000FF"/>
          <w:u w:val="single"/>
        </w:rPr>
      </w:pPr>
      <w:r w:rsidRPr="002A7320">
        <w:rPr>
          <w:color w:val="000000"/>
          <w:u w:val="single"/>
          <w:rtl/>
        </w:rPr>
        <w:t>נוסח מסמך זה כפוף לשינויי ניסוח ועריכה</w:t>
      </w:r>
    </w:p>
    <w:sectPr w:rsidR="006F5507" w:rsidRPr="006F5507" w:rsidSect="002A7320">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6D080" w14:textId="77777777" w:rsidR="006265FB" w:rsidRDefault="006265FB" w:rsidP="004B557A">
      <w:r>
        <w:separator/>
      </w:r>
    </w:p>
  </w:endnote>
  <w:endnote w:type="continuationSeparator" w:id="0">
    <w:p w14:paraId="6A9ED22B" w14:textId="77777777" w:rsidR="006265FB" w:rsidRDefault="006265FB" w:rsidP="004B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B6F0" w14:textId="77777777" w:rsidR="002A7320" w:rsidRDefault="002A7320" w:rsidP="002A73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E0123E" w14:textId="77777777" w:rsidR="006E450D" w:rsidRPr="002A7320" w:rsidRDefault="002A7320" w:rsidP="002A7320">
    <w:pPr>
      <w:pStyle w:val="a5"/>
      <w:pBdr>
        <w:top w:val="single" w:sz="4" w:space="1" w:color="auto"/>
        <w:between w:val="single" w:sz="4" w:space="0" w:color="auto"/>
      </w:pBdr>
      <w:spacing w:after="60"/>
      <w:jc w:val="center"/>
      <w:rPr>
        <w:rFonts w:ascii="FrankRuehl" w:hAnsi="FrankRuehl" w:cs="FrankRuehl"/>
        <w:color w:val="000000"/>
      </w:rPr>
    </w:pPr>
    <w:r w:rsidRPr="002A73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1ACDA" w14:textId="77777777" w:rsidR="002A7320" w:rsidRDefault="002A7320" w:rsidP="002A73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25B4">
      <w:rPr>
        <w:rFonts w:ascii="FrankRuehl" w:hAnsi="FrankRuehl" w:cs="FrankRuehl"/>
        <w:noProof/>
        <w:rtl/>
      </w:rPr>
      <w:t>1</w:t>
    </w:r>
    <w:r>
      <w:rPr>
        <w:rFonts w:ascii="FrankRuehl" w:hAnsi="FrankRuehl" w:cs="FrankRuehl"/>
        <w:rtl/>
      </w:rPr>
      <w:fldChar w:fldCharType="end"/>
    </w:r>
  </w:p>
  <w:p w14:paraId="677107ED" w14:textId="77777777" w:rsidR="006E450D" w:rsidRPr="002A7320" w:rsidRDefault="002A7320" w:rsidP="002A7320">
    <w:pPr>
      <w:pStyle w:val="a5"/>
      <w:pBdr>
        <w:top w:val="single" w:sz="4" w:space="1" w:color="auto"/>
        <w:between w:val="single" w:sz="4" w:space="0" w:color="auto"/>
      </w:pBdr>
      <w:spacing w:after="60"/>
      <w:jc w:val="center"/>
      <w:rPr>
        <w:rFonts w:ascii="FrankRuehl" w:hAnsi="FrankRuehl" w:cs="FrankRuehl"/>
        <w:color w:val="000000"/>
      </w:rPr>
    </w:pPr>
    <w:r w:rsidRPr="002A7320">
      <w:rPr>
        <w:rFonts w:ascii="FrankRuehl" w:hAnsi="FrankRuehl" w:cs="FrankRuehl"/>
        <w:color w:val="000000"/>
      </w:rPr>
      <w:pict w14:anchorId="1A091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0ABFF" w14:textId="77777777" w:rsidR="006265FB" w:rsidRDefault="006265FB" w:rsidP="004B557A">
      <w:r>
        <w:separator/>
      </w:r>
    </w:p>
  </w:footnote>
  <w:footnote w:type="continuationSeparator" w:id="0">
    <w:p w14:paraId="15BE9DFE" w14:textId="77777777" w:rsidR="006265FB" w:rsidRDefault="006265FB" w:rsidP="004B5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A7D62" w14:textId="77777777" w:rsidR="006F5507" w:rsidRPr="002A7320" w:rsidRDefault="002A7320" w:rsidP="002A73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59045-12-20</w:t>
    </w:r>
    <w:r>
      <w:rPr>
        <w:rFonts w:ascii="David" w:hAnsi="David"/>
        <w:color w:val="000000"/>
        <w:sz w:val="22"/>
        <w:szCs w:val="22"/>
        <w:rtl/>
      </w:rPr>
      <w:tab/>
      <w:t xml:space="preserve"> מדינת ישראל נ' חוסאם רבאיעה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471C4" w14:textId="77777777" w:rsidR="006F5507" w:rsidRPr="002A7320" w:rsidRDefault="002A7320" w:rsidP="002A73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59045-12-20</w:t>
    </w:r>
    <w:r>
      <w:rPr>
        <w:rFonts w:ascii="David" w:hAnsi="David"/>
        <w:color w:val="000000"/>
        <w:sz w:val="22"/>
        <w:szCs w:val="22"/>
        <w:rtl/>
      </w:rPr>
      <w:tab/>
      <w:t xml:space="preserve"> מדינת ישראל נ' חוסאם רבאיעה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DB1022"/>
    <w:multiLevelType w:val="hybridMultilevel"/>
    <w:tmpl w:val="DF0C7E04"/>
    <w:lvl w:ilvl="0" w:tplc="AEFEF45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08466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0F7A"/>
    <w:rsid w:val="00090F7A"/>
    <w:rsid w:val="001A633A"/>
    <w:rsid w:val="001C37FF"/>
    <w:rsid w:val="002A7320"/>
    <w:rsid w:val="004B3A79"/>
    <w:rsid w:val="004B557A"/>
    <w:rsid w:val="006233FF"/>
    <w:rsid w:val="006265FB"/>
    <w:rsid w:val="006E450D"/>
    <w:rsid w:val="006F5507"/>
    <w:rsid w:val="007624D2"/>
    <w:rsid w:val="00765A6B"/>
    <w:rsid w:val="009A4E4C"/>
    <w:rsid w:val="00CE622B"/>
    <w:rsid w:val="00EE25B4"/>
    <w:rsid w:val="00EE45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E0FBA0"/>
  <w15:chartTrackingRefBased/>
  <w15:docId w15:val="{E1C45C70-D6DB-48FB-886B-7F2CFD22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F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0F7A"/>
    <w:pPr>
      <w:tabs>
        <w:tab w:val="center" w:pos="4153"/>
        <w:tab w:val="right" w:pos="8306"/>
      </w:tabs>
    </w:pPr>
  </w:style>
  <w:style w:type="character" w:customStyle="1" w:styleId="a4">
    <w:name w:val="כותרת עליונה תו"/>
    <w:link w:val="a3"/>
    <w:rsid w:val="00090F7A"/>
    <w:rPr>
      <w:rFonts w:ascii="Times New Roman" w:eastAsia="Times New Roman" w:hAnsi="Times New Roman" w:cs="David"/>
      <w:sz w:val="24"/>
      <w:szCs w:val="24"/>
    </w:rPr>
  </w:style>
  <w:style w:type="paragraph" w:styleId="a5">
    <w:name w:val="footer"/>
    <w:basedOn w:val="a"/>
    <w:link w:val="a6"/>
    <w:rsid w:val="00090F7A"/>
    <w:pPr>
      <w:tabs>
        <w:tab w:val="center" w:pos="4153"/>
        <w:tab w:val="right" w:pos="8306"/>
      </w:tabs>
    </w:pPr>
  </w:style>
  <w:style w:type="character" w:customStyle="1" w:styleId="a6">
    <w:name w:val="כותרת תחתונה תו"/>
    <w:link w:val="a5"/>
    <w:rsid w:val="00090F7A"/>
    <w:rPr>
      <w:rFonts w:ascii="Times New Roman" w:eastAsia="Times New Roman" w:hAnsi="Times New Roman" w:cs="David"/>
      <w:sz w:val="24"/>
      <w:szCs w:val="24"/>
    </w:rPr>
  </w:style>
  <w:style w:type="table" w:styleId="a7">
    <w:name w:val="Table Grid"/>
    <w:basedOn w:val="a1"/>
    <w:rsid w:val="00090F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0F7A"/>
  </w:style>
  <w:style w:type="paragraph" w:styleId="a9">
    <w:name w:val="List Paragraph"/>
    <w:basedOn w:val="a"/>
    <w:qFormat/>
    <w:rsid w:val="00090F7A"/>
    <w:pPr>
      <w:ind w:left="720"/>
      <w:contextualSpacing/>
    </w:pPr>
  </w:style>
  <w:style w:type="character" w:styleId="Hyperlink">
    <w:name w:val="Hyperlink"/>
    <w:rsid w:val="006F5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27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31"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5384322"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2068514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7270487" TargetMode="External"/><Relationship Id="rId30" Type="http://schemas.openxmlformats.org/officeDocument/2006/relationships/hyperlink" Target="http://www.nevo.co.il/case/21017469" TargetMode="External"/><Relationship Id="rId35" Type="http://schemas.openxmlformats.org/officeDocument/2006/relationships/hyperlink" Target="http://www.nevo.co.il/case/20412551"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31" TargetMode="External"/><Relationship Id="rId33" Type="http://schemas.openxmlformats.org/officeDocument/2006/relationships/hyperlink" Target="http://www.nevo.co.il/law/70301/32" TargetMode="External"/><Relationship Id="rId38"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10730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3211376</vt:i4>
      </vt:variant>
      <vt:variant>
        <vt:i4>84</vt:i4>
      </vt:variant>
      <vt:variant>
        <vt:i4>0</vt:i4>
      </vt:variant>
      <vt:variant>
        <vt:i4>5</vt:i4>
      </vt:variant>
      <vt:variant>
        <vt:lpwstr>http://www.nevo.co.il/case/20412551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6750310</vt:i4>
      </vt:variant>
      <vt:variant>
        <vt:i4>78</vt:i4>
      </vt:variant>
      <vt:variant>
        <vt:i4>0</vt:i4>
      </vt:variant>
      <vt:variant>
        <vt:i4>5</vt:i4>
      </vt:variant>
      <vt:variant>
        <vt:lpwstr>http://www.nevo.co.il/law/70301/32</vt:lpwstr>
      </vt:variant>
      <vt:variant>
        <vt:lpwstr/>
      </vt:variant>
      <vt:variant>
        <vt:i4>3604602</vt:i4>
      </vt:variant>
      <vt:variant>
        <vt:i4>75</vt:i4>
      </vt:variant>
      <vt:variant>
        <vt:i4>0</vt:i4>
      </vt:variant>
      <vt:variant>
        <vt:i4>5</vt:i4>
      </vt:variant>
      <vt:variant>
        <vt:lpwstr>http://www.nevo.co.il/case/25384322</vt:lpwstr>
      </vt:variant>
      <vt:variant>
        <vt:lpwstr/>
      </vt:variant>
      <vt:variant>
        <vt:i4>3473533</vt:i4>
      </vt:variant>
      <vt:variant>
        <vt:i4>72</vt:i4>
      </vt:variant>
      <vt:variant>
        <vt:i4>0</vt:i4>
      </vt:variant>
      <vt:variant>
        <vt:i4>5</vt:i4>
      </vt:variant>
      <vt:variant>
        <vt:lpwstr>http://www.nevo.co.il/case/20685141</vt:lpwstr>
      </vt:variant>
      <vt:variant>
        <vt:lpwstr/>
      </vt:variant>
      <vt:variant>
        <vt:i4>3342448</vt:i4>
      </vt:variant>
      <vt:variant>
        <vt:i4>69</vt:i4>
      </vt:variant>
      <vt:variant>
        <vt:i4>0</vt:i4>
      </vt:variant>
      <vt:variant>
        <vt:i4>5</vt:i4>
      </vt:variant>
      <vt:variant>
        <vt:lpwstr>http://www.nevo.co.il/case/21017469</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3670128</vt:i4>
      </vt:variant>
      <vt:variant>
        <vt:i4>60</vt:i4>
      </vt:variant>
      <vt:variant>
        <vt:i4>0</vt:i4>
      </vt:variant>
      <vt:variant>
        <vt:i4>5</vt:i4>
      </vt:variant>
      <vt:variant>
        <vt:lpwstr>http://www.nevo.co.il/case/27270487</vt:lpwstr>
      </vt:variant>
      <vt:variant>
        <vt:lpwstr/>
      </vt:variant>
      <vt:variant>
        <vt:i4>6422631</vt:i4>
      </vt:variant>
      <vt:variant>
        <vt:i4>57</vt:i4>
      </vt:variant>
      <vt:variant>
        <vt:i4>0</vt:i4>
      </vt:variant>
      <vt:variant>
        <vt:i4>5</vt:i4>
      </vt:variant>
      <vt:variant>
        <vt:lpwstr>http://www.nevo.co.il/law/70301/275</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6750310</vt:i4>
      </vt:variant>
      <vt:variant>
        <vt:i4>21</vt:i4>
      </vt:variant>
      <vt:variant>
        <vt:i4>0</vt:i4>
      </vt:variant>
      <vt:variant>
        <vt:i4>5</vt:i4>
      </vt:variant>
      <vt:variant>
        <vt:lpwstr>http://www.nevo.co.il/law/70301/32</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59045</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חוסאם רבאיעה</vt:lpwstr>
  </property>
  <property fmtid="{D5CDD505-2E9C-101B-9397-08002B2CF9AE}" pid="10" name="LAWYER">
    <vt:lpwstr>ארז שלו;כרמית כהן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20220206</vt:lpwstr>
  </property>
  <property fmtid="{D5CDD505-2E9C-101B-9397-08002B2CF9AE}" pid="14" name="TYPE_N_DATE">
    <vt:lpwstr>38020220206</vt:lpwstr>
  </property>
  <property fmtid="{D5CDD505-2E9C-101B-9397-08002B2CF9AE}" pid="15" name="WORDNUMPAGES">
    <vt:lpwstr>6</vt:lpwstr>
  </property>
  <property fmtid="{D5CDD505-2E9C-101B-9397-08002B2CF9AE}" pid="16" name="TYPE_ABS_DATE">
    <vt:lpwstr>380020220206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27270487;21017469;20685141;25384322;20412551</vt:lpwstr>
  </property>
  <property fmtid="{D5CDD505-2E9C-101B-9397-08002B2CF9AE}" pid="36" name="LAWLISTTMP1">
    <vt:lpwstr>4216/013;019a;007.a;007.c</vt:lpwstr>
  </property>
  <property fmtid="{D5CDD505-2E9C-101B-9397-08002B2CF9AE}" pid="37" name="LAWLISTTMP2">
    <vt:lpwstr>70301/031:2;275;040i;032;40ja</vt:lpwstr>
  </property>
</Properties>
</file>