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05"/>
      </w:tblGrid>
      <w:tr w:rsidR="00B42204" w:rsidRPr="009D52CE" w14:paraId="15BA16D3" w14:textId="77777777" w:rsidTr="00EC4DD8">
        <w:trPr>
          <w:trHeight w:hRule="exact" w:val="284"/>
          <w:jc w:val="center"/>
        </w:trPr>
        <w:tc>
          <w:tcPr>
            <w:tcW w:w="8505" w:type="dxa"/>
          </w:tcPr>
          <w:p w14:paraId="5290BD46" w14:textId="77777777" w:rsidR="00B42204" w:rsidRPr="009D52CE" w:rsidRDefault="00B42204" w:rsidP="00EC4DD8">
            <w:pPr>
              <w:pStyle w:val="a3"/>
              <w:jc w:val="center"/>
              <w:rPr>
                <w:rFonts w:ascii="Tahoma" w:hAnsi="Tahoma" w:cs="Tahoma"/>
                <w:noProof w:val="0"/>
                <w:color w:val="000080"/>
                <w:rtl/>
              </w:rPr>
            </w:pPr>
            <w:bookmarkStart w:id="0" w:name="LastJudge"/>
            <w:r w:rsidRPr="009D52CE">
              <w:rPr>
                <w:rFonts w:ascii="Tahoma" w:hAnsi="Tahoma" w:cs="Tahoma"/>
                <w:b/>
                <w:bCs/>
                <w:noProof w:val="0"/>
                <w:color w:val="000080"/>
                <w:rtl/>
              </w:rPr>
              <w:t>בית משפט השלום בקריית גת</w:t>
            </w:r>
          </w:p>
        </w:tc>
      </w:tr>
      <w:tr w:rsidR="00B42204" w:rsidRPr="009D52CE" w14:paraId="6C573523" w14:textId="77777777" w:rsidTr="00EC4DD8">
        <w:trPr>
          <w:trHeight w:val="337"/>
          <w:jc w:val="center"/>
        </w:trPr>
        <w:tc>
          <w:tcPr>
            <w:tcW w:w="8505" w:type="dxa"/>
            <w:vAlign w:val="bottom"/>
          </w:tcPr>
          <w:p w14:paraId="1F0A61D0" w14:textId="77777777" w:rsidR="00B42204" w:rsidRPr="009D52CE" w:rsidRDefault="00B42204" w:rsidP="00EC4DD8">
            <w:pPr>
              <w:rPr>
                <w:b/>
                <w:bCs/>
                <w:noProof w:val="0"/>
                <w:sz w:val="26"/>
                <w:szCs w:val="26"/>
                <w:rtl/>
              </w:rPr>
            </w:pPr>
            <w:r w:rsidRPr="009D52CE">
              <w:rPr>
                <w:b/>
                <w:bCs/>
                <w:noProof w:val="0"/>
                <w:sz w:val="26"/>
                <w:szCs w:val="26"/>
                <w:rtl/>
              </w:rPr>
              <w:t>ת"פ 62983-12-20 מדינת ישראל נ' אמזלג</w:t>
            </w:r>
          </w:p>
        </w:tc>
      </w:tr>
    </w:tbl>
    <w:p w14:paraId="689E71FA" w14:textId="77777777" w:rsidR="00B42204" w:rsidRPr="009D52CE" w:rsidRDefault="00B42204" w:rsidP="00B42204">
      <w:pPr>
        <w:pStyle w:val="a3"/>
        <w:rPr>
          <w:noProof w:val="0"/>
          <w:rtl/>
        </w:rPr>
      </w:pPr>
      <w:r w:rsidRPr="009D52CE">
        <w:rPr>
          <w:noProof w:val="0"/>
          <w:rtl/>
        </w:rPr>
        <w:t xml:space="preserve"> </w:t>
      </w:r>
    </w:p>
    <w:tbl>
      <w:tblPr>
        <w:bidiVisual/>
        <w:tblW w:w="8562" w:type="dxa"/>
        <w:tblInd w:w="-28" w:type="dxa"/>
        <w:tblLook w:val="01E0" w:firstRow="1" w:lastRow="1" w:firstColumn="1" w:lastColumn="1" w:noHBand="0" w:noVBand="0"/>
      </w:tblPr>
      <w:tblGrid>
        <w:gridCol w:w="1896"/>
        <w:gridCol w:w="6666"/>
      </w:tblGrid>
      <w:tr w:rsidR="00B42204" w:rsidRPr="009D52CE" w14:paraId="7C82201F" w14:textId="77777777" w:rsidTr="00B42204">
        <w:tc>
          <w:tcPr>
            <w:tcW w:w="8562" w:type="dxa"/>
            <w:gridSpan w:val="2"/>
            <w:shd w:val="clear" w:color="auto" w:fill="auto"/>
          </w:tcPr>
          <w:p w14:paraId="2187842D" w14:textId="77777777" w:rsidR="00B42204" w:rsidRPr="009D52CE" w:rsidRDefault="00B42204" w:rsidP="00B42204">
            <w:pPr>
              <w:widowControl w:val="0"/>
              <w:rPr>
                <w:rFonts w:ascii="David" w:hAnsi="David"/>
                <w:b/>
                <w:bCs/>
                <w:sz w:val="26"/>
                <w:szCs w:val="26"/>
              </w:rPr>
            </w:pPr>
            <w:r w:rsidRPr="009D52CE">
              <w:rPr>
                <w:rFonts w:ascii="David" w:hAnsi="David"/>
                <w:b/>
                <w:bCs/>
                <w:sz w:val="26"/>
                <w:szCs w:val="26"/>
                <w:rtl/>
              </w:rPr>
              <w:t>לפני כב' השופטת זהר דולב להמן</w:t>
            </w:r>
          </w:p>
          <w:p w14:paraId="66E66B97" w14:textId="77777777" w:rsidR="00B42204" w:rsidRPr="009D52CE" w:rsidRDefault="00B42204" w:rsidP="00B42204">
            <w:pPr>
              <w:widowControl w:val="0"/>
              <w:rPr>
                <w:rFonts w:ascii="David" w:hAnsi="David"/>
                <w:b/>
                <w:bCs/>
                <w:noProof w:val="0"/>
                <w:sz w:val="28"/>
                <w:szCs w:val="28"/>
              </w:rPr>
            </w:pPr>
          </w:p>
          <w:p w14:paraId="30BA775E" w14:textId="77777777" w:rsidR="00B42204" w:rsidRPr="009D52CE" w:rsidRDefault="00B42204" w:rsidP="00B42204">
            <w:pPr>
              <w:widowControl w:val="0"/>
              <w:rPr>
                <w:rFonts w:ascii="David" w:hAnsi="David"/>
                <w:b/>
                <w:bCs/>
                <w:sz w:val="2"/>
                <w:szCs w:val="2"/>
                <w:rtl/>
              </w:rPr>
            </w:pPr>
          </w:p>
        </w:tc>
      </w:tr>
      <w:tr w:rsidR="00B42204" w:rsidRPr="009D52CE" w14:paraId="69319FA2" w14:textId="77777777" w:rsidTr="00B42204">
        <w:tc>
          <w:tcPr>
            <w:tcW w:w="1896" w:type="dxa"/>
            <w:shd w:val="clear" w:color="auto" w:fill="auto"/>
          </w:tcPr>
          <w:p w14:paraId="27173056" w14:textId="77777777" w:rsidR="00B42204" w:rsidRPr="009D52CE" w:rsidRDefault="00B42204" w:rsidP="00B42204">
            <w:pPr>
              <w:widowControl w:val="0"/>
              <w:rPr>
                <w:b/>
                <w:bCs/>
                <w:sz w:val="28"/>
                <w:szCs w:val="28"/>
              </w:rPr>
            </w:pPr>
            <w:bookmarkStart w:id="1" w:name="FirstAppellant"/>
            <w:bookmarkStart w:id="2" w:name="FirstLawyer"/>
            <w:r w:rsidRPr="009D52CE">
              <w:rPr>
                <w:b/>
                <w:bCs/>
                <w:sz w:val="28"/>
                <w:szCs w:val="28"/>
                <w:rtl/>
              </w:rPr>
              <w:t xml:space="preserve"> </w:t>
            </w:r>
            <w:r w:rsidRPr="009D52CE">
              <w:rPr>
                <w:b/>
                <w:bCs/>
                <w:sz w:val="26"/>
                <w:szCs w:val="26"/>
                <w:rtl/>
              </w:rPr>
              <w:t>המאשימה</w:t>
            </w:r>
          </w:p>
        </w:tc>
        <w:tc>
          <w:tcPr>
            <w:tcW w:w="6666" w:type="dxa"/>
            <w:shd w:val="clear" w:color="auto" w:fill="auto"/>
          </w:tcPr>
          <w:p w14:paraId="3FA61C73" w14:textId="77777777" w:rsidR="00B42204" w:rsidRPr="009D52CE" w:rsidRDefault="00B42204" w:rsidP="00B42204">
            <w:pPr>
              <w:widowControl w:val="0"/>
              <w:rPr>
                <w:rFonts w:ascii="David" w:hAnsi="David"/>
                <w:sz w:val="26"/>
                <w:szCs w:val="26"/>
                <w:rtl/>
              </w:rPr>
            </w:pPr>
            <w:r w:rsidRPr="009D52CE">
              <w:rPr>
                <w:rFonts w:ascii="David" w:hAnsi="David"/>
                <w:b/>
                <w:bCs/>
                <w:sz w:val="26"/>
                <w:szCs w:val="26"/>
                <w:rtl/>
              </w:rPr>
              <w:t xml:space="preserve"> מדינת ישראל </w:t>
            </w:r>
          </w:p>
          <w:p w14:paraId="629E2D02" w14:textId="77777777" w:rsidR="00B42204" w:rsidRPr="009D52CE" w:rsidRDefault="00B42204" w:rsidP="00B42204">
            <w:pPr>
              <w:widowControl w:val="0"/>
              <w:rPr>
                <w:rFonts w:ascii="David" w:hAnsi="David"/>
                <w:rtl/>
              </w:rPr>
            </w:pPr>
            <w:r w:rsidRPr="009D52CE">
              <w:rPr>
                <w:rFonts w:ascii="David" w:hAnsi="David"/>
                <w:rtl/>
              </w:rPr>
              <w:t xml:space="preserve"> ע"י ב"כ עוה"ד חני שנפ</w:t>
            </w:r>
          </w:p>
        </w:tc>
      </w:tr>
      <w:bookmarkEnd w:id="1"/>
      <w:bookmarkEnd w:id="2"/>
      <w:tr w:rsidR="00B42204" w:rsidRPr="009D52CE" w14:paraId="5398DD02" w14:textId="77777777" w:rsidTr="00B42204">
        <w:tc>
          <w:tcPr>
            <w:tcW w:w="8562" w:type="dxa"/>
            <w:gridSpan w:val="2"/>
            <w:shd w:val="clear" w:color="auto" w:fill="auto"/>
            <w:vAlign w:val="center"/>
          </w:tcPr>
          <w:p w14:paraId="2FC5F7FF" w14:textId="77777777" w:rsidR="00B42204" w:rsidRPr="009D52CE" w:rsidRDefault="00B42204" w:rsidP="00B42204">
            <w:pPr>
              <w:widowControl w:val="0"/>
              <w:jc w:val="center"/>
              <w:rPr>
                <w:rFonts w:ascii="Arial" w:hAnsi="Arial"/>
                <w:b/>
                <w:bCs/>
                <w:rtl/>
              </w:rPr>
            </w:pPr>
          </w:p>
          <w:p w14:paraId="58C7CBED" w14:textId="77777777" w:rsidR="00B42204" w:rsidRPr="009D52CE" w:rsidRDefault="00B42204" w:rsidP="00B42204">
            <w:pPr>
              <w:widowControl w:val="0"/>
              <w:jc w:val="center"/>
              <w:rPr>
                <w:rFonts w:ascii="Arial" w:hAnsi="Arial"/>
                <w:b/>
                <w:bCs/>
                <w:sz w:val="28"/>
                <w:szCs w:val="28"/>
                <w:rtl/>
              </w:rPr>
            </w:pPr>
            <w:r w:rsidRPr="009D52CE">
              <w:rPr>
                <w:rFonts w:ascii="Arial" w:hAnsi="Arial"/>
                <w:b/>
                <w:bCs/>
                <w:sz w:val="28"/>
                <w:szCs w:val="28"/>
                <w:rtl/>
              </w:rPr>
              <w:t>נ ג ד</w:t>
            </w:r>
          </w:p>
          <w:p w14:paraId="03E71838" w14:textId="77777777" w:rsidR="00B42204" w:rsidRPr="009D52CE" w:rsidRDefault="00B42204" w:rsidP="00B42204">
            <w:pPr>
              <w:widowControl w:val="0"/>
              <w:jc w:val="center"/>
              <w:rPr>
                <w:rFonts w:ascii="David" w:hAnsi="David"/>
                <w:b/>
                <w:bCs/>
                <w:rtl/>
              </w:rPr>
            </w:pPr>
          </w:p>
        </w:tc>
      </w:tr>
      <w:tr w:rsidR="00B42204" w:rsidRPr="009D52CE" w14:paraId="7D878815" w14:textId="77777777" w:rsidTr="00B42204">
        <w:trPr>
          <w:trHeight w:val="593"/>
        </w:trPr>
        <w:tc>
          <w:tcPr>
            <w:tcW w:w="1896" w:type="dxa"/>
            <w:shd w:val="clear" w:color="auto" w:fill="auto"/>
          </w:tcPr>
          <w:p w14:paraId="2A636634" w14:textId="77777777" w:rsidR="00B42204" w:rsidRPr="009D52CE" w:rsidRDefault="00B42204" w:rsidP="00B42204">
            <w:pPr>
              <w:widowControl w:val="0"/>
              <w:rPr>
                <w:b/>
                <w:bCs/>
                <w:sz w:val="28"/>
                <w:szCs w:val="28"/>
                <w:rtl/>
              </w:rPr>
            </w:pPr>
            <w:r w:rsidRPr="009D52CE">
              <w:rPr>
                <w:b/>
                <w:bCs/>
                <w:sz w:val="28"/>
                <w:szCs w:val="28"/>
                <w:rtl/>
              </w:rPr>
              <w:t xml:space="preserve"> </w:t>
            </w:r>
            <w:r w:rsidRPr="009D52CE">
              <w:rPr>
                <w:b/>
                <w:bCs/>
                <w:sz w:val="26"/>
                <w:szCs w:val="26"/>
                <w:rtl/>
              </w:rPr>
              <w:t>הנאשם</w:t>
            </w:r>
          </w:p>
        </w:tc>
        <w:tc>
          <w:tcPr>
            <w:tcW w:w="6666" w:type="dxa"/>
            <w:shd w:val="clear" w:color="auto" w:fill="auto"/>
          </w:tcPr>
          <w:p w14:paraId="42548F83" w14:textId="77777777" w:rsidR="00B42204" w:rsidRPr="009D52CE" w:rsidRDefault="00B42204" w:rsidP="00B42204">
            <w:pPr>
              <w:widowControl w:val="0"/>
              <w:rPr>
                <w:rFonts w:cs="Times New Roman"/>
                <w:szCs w:val="26"/>
                <w:rtl/>
              </w:rPr>
            </w:pPr>
            <w:r w:rsidRPr="009D52CE">
              <w:rPr>
                <w:rFonts w:ascii="David" w:hAnsi="David"/>
                <w:b/>
                <w:bCs/>
                <w:sz w:val="26"/>
                <w:szCs w:val="26"/>
                <w:rtl/>
              </w:rPr>
              <w:t>לידור רפאל אמזלג</w:t>
            </w:r>
          </w:p>
          <w:p w14:paraId="41127E64" w14:textId="77777777" w:rsidR="00B42204" w:rsidRPr="009D52CE" w:rsidRDefault="00B42204" w:rsidP="00B42204">
            <w:pPr>
              <w:widowControl w:val="0"/>
              <w:rPr>
                <w:rFonts w:ascii="David" w:hAnsi="David"/>
                <w:szCs w:val="26"/>
              </w:rPr>
            </w:pPr>
            <w:r w:rsidRPr="009D52CE">
              <w:rPr>
                <w:rtl/>
              </w:rPr>
              <w:t>ע"י ב"כ עוה"ד שרית עוז</w:t>
            </w:r>
          </w:p>
        </w:tc>
      </w:tr>
    </w:tbl>
    <w:p w14:paraId="537C91F4" w14:textId="77777777" w:rsidR="009D52CE" w:rsidRPr="009D52CE" w:rsidRDefault="009D52CE" w:rsidP="009D52CE">
      <w:pPr>
        <w:widowControl w:val="0"/>
        <w:spacing w:before="120" w:after="120" w:line="240" w:lineRule="exact"/>
        <w:ind w:left="283" w:hanging="283"/>
        <w:jc w:val="both"/>
        <w:rPr>
          <w:rFonts w:ascii="FrankRuehl" w:hAnsi="FrankRuehl" w:cs="FrankRuehl"/>
          <w:rtl/>
        </w:rPr>
      </w:pPr>
    </w:p>
    <w:p w14:paraId="6CF80F16" w14:textId="77777777" w:rsidR="009D52CE" w:rsidRPr="009D52CE" w:rsidRDefault="009D52CE" w:rsidP="009D52CE">
      <w:pPr>
        <w:widowControl w:val="0"/>
        <w:spacing w:line="360" w:lineRule="auto"/>
        <w:rPr>
          <w:sz w:val="26"/>
          <w:szCs w:val="26"/>
          <w:rtl/>
        </w:rPr>
      </w:pPr>
    </w:p>
    <w:p w14:paraId="0367A9D8" w14:textId="77777777" w:rsidR="006149A5" w:rsidRPr="006149A5" w:rsidRDefault="006149A5" w:rsidP="006149A5">
      <w:pPr>
        <w:widowControl w:val="0"/>
        <w:spacing w:before="120" w:after="120" w:line="240" w:lineRule="exact"/>
        <w:ind w:left="283" w:hanging="283"/>
        <w:jc w:val="both"/>
        <w:rPr>
          <w:rFonts w:ascii="FrankRuehl" w:hAnsi="FrankRuehl" w:cs="FrankRuehl"/>
          <w:rtl/>
        </w:rPr>
      </w:pPr>
    </w:p>
    <w:p w14:paraId="3AEB77D8" w14:textId="77777777" w:rsidR="00F438FF" w:rsidRPr="00F438FF" w:rsidRDefault="00F438FF" w:rsidP="00F438FF">
      <w:pPr>
        <w:widowControl w:val="0"/>
        <w:spacing w:before="120" w:after="120" w:line="240" w:lineRule="exact"/>
        <w:ind w:left="283" w:hanging="283"/>
        <w:jc w:val="both"/>
        <w:rPr>
          <w:rFonts w:ascii="FrankRuehl" w:hAnsi="FrankRuehl" w:cs="FrankRuehl"/>
          <w:rtl/>
        </w:rPr>
      </w:pPr>
    </w:p>
    <w:p w14:paraId="76617208" w14:textId="77777777" w:rsidR="002E242F" w:rsidRDefault="002E242F" w:rsidP="002E242F">
      <w:pPr>
        <w:widowControl w:val="0"/>
        <w:spacing w:line="360" w:lineRule="auto"/>
        <w:rPr>
          <w:sz w:val="26"/>
          <w:szCs w:val="26"/>
          <w:rtl/>
        </w:rPr>
      </w:pPr>
      <w:bookmarkStart w:id="3" w:name="LawTable"/>
      <w:bookmarkEnd w:id="3"/>
    </w:p>
    <w:p w14:paraId="13609193" w14:textId="77777777" w:rsidR="002E242F" w:rsidRPr="002E242F" w:rsidRDefault="002E242F" w:rsidP="002E242F">
      <w:pPr>
        <w:widowControl w:val="0"/>
        <w:spacing w:before="120" w:after="120" w:line="240" w:lineRule="exact"/>
        <w:ind w:left="283" w:hanging="283"/>
        <w:jc w:val="both"/>
        <w:rPr>
          <w:rFonts w:ascii="FrankRuehl" w:hAnsi="FrankRuehl" w:cs="FrankRuehl"/>
          <w:rtl/>
        </w:rPr>
      </w:pPr>
    </w:p>
    <w:p w14:paraId="7ABD60D5" w14:textId="77777777" w:rsidR="002E242F" w:rsidRPr="002E242F" w:rsidRDefault="002E242F" w:rsidP="002E242F">
      <w:pPr>
        <w:widowControl w:val="0"/>
        <w:spacing w:before="120" w:after="120" w:line="240" w:lineRule="exact"/>
        <w:ind w:left="283" w:hanging="283"/>
        <w:jc w:val="both"/>
        <w:rPr>
          <w:rFonts w:ascii="FrankRuehl" w:hAnsi="FrankRuehl" w:cs="FrankRuehl"/>
          <w:rtl/>
        </w:rPr>
      </w:pPr>
    </w:p>
    <w:p w14:paraId="4E38C091" w14:textId="77777777" w:rsidR="002E242F" w:rsidRPr="002E242F" w:rsidRDefault="002E242F" w:rsidP="002E242F">
      <w:pPr>
        <w:widowControl w:val="0"/>
        <w:spacing w:before="120" w:after="120" w:line="240" w:lineRule="exact"/>
        <w:ind w:left="283" w:hanging="283"/>
        <w:jc w:val="both"/>
        <w:rPr>
          <w:rFonts w:ascii="FrankRuehl" w:hAnsi="FrankRuehl" w:cs="FrankRuehl"/>
          <w:rtl/>
        </w:rPr>
      </w:pPr>
      <w:r w:rsidRPr="002E242F">
        <w:rPr>
          <w:rFonts w:ascii="FrankRuehl" w:hAnsi="FrankRuehl" w:cs="FrankRuehl"/>
          <w:rtl/>
        </w:rPr>
        <w:t xml:space="preserve">חקיקה שאוזכרה: </w:t>
      </w:r>
    </w:p>
    <w:p w14:paraId="724057CF" w14:textId="77777777" w:rsidR="002E242F" w:rsidRPr="002E242F" w:rsidRDefault="002E242F" w:rsidP="002E242F">
      <w:pPr>
        <w:widowControl w:val="0"/>
        <w:spacing w:before="120" w:after="120" w:line="240" w:lineRule="exact"/>
        <w:ind w:left="283" w:hanging="283"/>
        <w:jc w:val="both"/>
        <w:rPr>
          <w:rFonts w:ascii="FrankRuehl" w:hAnsi="FrankRuehl" w:cs="FrankRuehl"/>
          <w:rtl/>
        </w:rPr>
      </w:pPr>
      <w:hyperlink r:id="rId7" w:history="1">
        <w:r w:rsidRPr="002E242F">
          <w:rPr>
            <w:rFonts w:ascii="FrankRuehl" w:hAnsi="FrankRuehl" w:cs="FrankRuehl"/>
            <w:color w:val="0000FF"/>
            <w:rtl/>
          </w:rPr>
          <w:t>פקודת הסמים המסוכנים [נוסח חדש], תשל"ג-1973</w:t>
        </w:r>
      </w:hyperlink>
      <w:r w:rsidRPr="002E242F">
        <w:rPr>
          <w:rFonts w:ascii="FrankRuehl" w:hAnsi="FrankRuehl" w:cs="FrankRuehl"/>
          <w:rtl/>
        </w:rPr>
        <w:t xml:space="preserve">: סע'  </w:t>
      </w:r>
      <w:hyperlink r:id="rId8" w:history="1">
        <w:r w:rsidRPr="002E242F">
          <w:rPr>
            <w:rFonts w:ascii="FrankRuehl" w:hAnsi="FrankRuehl" w:cs="FrankRuehl"/>
            <w:color w:val="0000FF"/>
            <w:rtl/>
          </w:rPr>
          <w:t>7(א)</w:t>
        </w:r>
      </w:hyperlink>
      <w:r w:rsidRPr="002E242F">
        <w:rPr>
          <w:rFonts w:ascii="FrankRuehl" w:hAnsi="FrankRuehl" w:cs="FrankRuehl"/>
          <w:rtl/>
        </w:rPr>
        <w:t xml:space="preserve">, </w:t>
      </w:r>
      <w:hyperlink r:id="rId9" w:history="1">
        <w:r w:rsidRPr="002E242F">
          <w:rPr>
            <w:rFonts w:ascii="FrankRuehl" w:hAnsi="FrankRuehl" w:cs="FrankRuehl"/>
            <w:color w:val="0000FF"/>
            <w:rtl/>
          </w:rPr>
          <w:t>7(ג)</w:t>
        </w:r>
      </w:hyperlink>
      <w:r w:rsidRPr="002E242F">
        <w:rPr>
          <w:rFonts w:ascii="FrankRuehl" w:hAnsi="FrankRuehl" w:cs="FrankRuehl"/>
          <w:rtl/>
        </w:rPr>
        <w:t xml:space="preserve">, </w:t>
      </w:r>
      <w:hyperlink r:id="rId10" w:history="1">
        <w:r w:rsidRPr="002E242F">
          <w:rPr>
            <w:rFonts w:ascii="FrankRuehl" w:hAnsi="FrankRuehl" w:cs="FrankRuehl"/>
            <w:color w:val="0000FF"/>
            <w:rtl/>
          </w:rPr>
          <w:t>37א</w:t>
        </w:r>
      </w:hyperlink>
    </w:p>
    <w:p w14:paraId="297597F0" w14:textId="77777777" w:rsidR="002E242F" w:rsidRPr="002E242F" w:rsidRDefault="002E242F" w:rsidP="002E242F">
      <w:pPr>
        <w:widowControl w:val="0"/>
        <w:spacing w:before="120" w:after="120" w:line="240" w:lineRule="exact"/>
        <w:ind w:left="283" w:hanging="283"/>
        <w:jc w:val="both"/>
        <w:rPr>
          <w:rFonts w:ascii="FrankRuehl" w:hAnsi="FrankRuehl" w:cs="FrankRuehl"/>
          <w:rtl/>
        </w:rPr>
      </w:pPr>
      <w:hyperlink r:id="rId11" w:history="1">
        <w:r w:rsidRPr="002E242F">
          <w:rPr>
            <w:rFonts w:ascii="FrankRuehl" w:hAnsi="FrankRuehl" w:cs="FrankRuehl"/>
            <w:color w:val="0000FF"/>
            <w:rtl/>
          </w:rPr>
          <w:t>חוק העונשין, תשל"ז-1977</w:t>
        </w:r>
      </w:hyperlink>
      <w:r w:rsidRPr="002E242F">
        <w:rPr>
          <w:rFonts w:ascii="FrankRuehl" w:hAnsi="FrankRuehl" w:cs="FrankRuehl"/>
          <w:rtl/>
        </w:rPr>
        <w:t xml:space="preserve">: סע'  </w:t>
      </w:r>
      <w:hyperlink r:id="rId12" w:history="1">
        <w:r w:rsidRPr="002E242F">
          <w:rPr>
            <w:rFonts w:ascii="FrankRuehl" w:hAnsi="FrankRuehl" w:cs="FrankRuehl"/>
            <w:color w:val="0000FF"/>
            <w:rtl/>
          </w:rPr>
          <w:t>40ג(א)</w:t>
        </w:r>
      </w:hyperlink>
      <w:r w:rsidRPr="002E242F">
        <w:rPr>
          <w:rFonts w:ascii="FrankRuehl" w:hAnsi="FrankRuehl" w:cs="FrankRuehl"/>
          <w:rtl/>
        </w:rPr>
        <w:t xml:space="preserve">, </w:t>
      </w:r>
      <w:hyperlink r:id="rId13" w:history="1">
        <w:r w:rsidRPr="002E242F">
          <w:rPr>
            <w:rFonts w:ascii="FrankRuehl" w:hAnsi="FrankRuehl" w:cs="FrankRuehl"/>
            <w:color w:val="0000FF"/>
            <w:rtl/>
          </w:rPr>
          <w:t>40ו</w:t>
        </w:r>
      </w:hyperlink>
      <w:r w:rsidRPr="002E242F">
        <w:rPr>
          <w:rFonts w:ascii="FrankRuehl" w:hAnsi="FrankRuehl" w:cs="FrankRuehl"/>
          <w:rtl/>
        </w:rPr>
        <w:t xml:space="preserve">, </w:t>
      </w:r>
      <w:hyperlink r:id="rId14" w:history="1">
        <w:r w:rsidRPr="002E242F">
          <w:rPr>
            <w:rFonts w:ascii="FrankRuehl" w:hAnsi="FrankRuehl" w:cs="FrankRuehl"/>
            <w:color w:val="0000FF"/>
            <w:rtl/>
          </w:rPr>
          <w:t>40ז</w:t>
        </w:r>
      </w:hyperlink>
      <w:r w:rsidRPr="002E242F">
        <w:rPr>
          <w:rFonts w:ascii="FrankRuehl" w:hAnsi="FrankRuehl" w:cs="FrankRuehl"/>
          <w:rtl/>
        </w:rPr>
        <w:t xml:space="preserve">, </w:t>
      </w:r>
      <w:hyperlink r:id="rId15" w:history="1">
        <w:r w:rsidRPr="002E242F">
          <w:rPr>
            <w:rFonts w:ascii="FrankRuehl" w:hAnsi="FrankRuehl" w:cs="FrankRuehl"/>
            <w:color w:val="0000FF"/>
            <w:rtl/>
          </w:rPr>
          <w:t>40ח'</w:t>
        </w:r>
      </w:hyperlink>
      <w:r w:rsidRPr="002E242F">
        <w:rPr>
          <w:rFonts w:ascii="FrankRuehl" w:hAnsi="FrankRuehl" w:cs="FrankRuehl"/>
          <w:rtl/>
        </w:rPr>
        <w:t xml:space="preserve">, </w:t>
      </w:r>
      <w:hyperlink r:id="rId16" w:history="1">
        <w:r w:rsidRPr="002E242F">
          <w:rPr>
            <w:rFonts w:ascii="FrankRuehl" w:hAnsi="FrankRuehl" w:cs="FrankRuehl"/>
            <w:color w:val="0000FF"/>
            <w:rtl/>
          </w:rPr>
          <w:t>55</w:t>
        </w:r>
      </w:hyperlink>
      <w:r w:rsidRPr="002E242F">
        <w:rPr>
          <w:rFonts w:ascii="FrankRuehl" w:hAnsi="FrankRuehl" w:cs="FrankRuehl"/>
          <w:rtl/>
        </w:rPr>
        <w:t xml:space="preserve">, </w:t>
      </w:r>
      <w:hyperlink r:id="rId17" w:history="1">
        <w:r w:rsidRPr="002E242F">
          <w:rPr>
            <w:rFonts w:ascii="FrankRuehl" w:hAnsi="FrankRuehl" w:cs="FrankRuehl"/>
            <w:color w:val="0000FF"/>
            <w:rtl/>
          </w:rPr>
          <w:t>56</w:t>
        </w:r>
      </w:hyperlink>
      <w:r w:rsidRPr="002E242F">
        <w:rPr>
          <w:rFonts w:ascii="FrankRuehl" w:hAnsi="FrankRuehl" w:cs="FrankRuehl"/>
          <w:rtl/>
        </w:rPr>
        <w:t xml:space="preserve">, </w:t>
      </w:r>
      <w:hyperlink r:id="rId18" w:history="1">
        <w:r w:rsidRPr="002E242F">
          <w:rPr>
            <w:rFonts w:ascii="FrankRuehl" w:hAnsi="FrankRuehl" w:cs="FrankRuehl"/>
            <w:color w:val="0000FF"/>
            <w:rtl/>
          </w:rPr>
          <w:t>40יט</w:t>
        </w:r>
      </w:hyperlink>
    </w:p>
    <w:p w14:paraId="1F528FDB" w14:textId="77777777" w:rsidR="002E242F" w:rsidRPr="002E242F" w:rsidRDefault="002E242F" w:rsidP="002E242F">
      <w:pPr>
        <w:widowControl w:val="0"/>
        <w:spacing w:line="360" w:lineRule="auto"/>
        <w:rPr>
          <w:sz w:val="26"/>
          <w:szCs w:val="26"/>
          <w:rtl/>
        </w:rPr>
      </w:pPr>
      <w:bookmarkStart w:id="4" w:name="LawTable_End"/>
      <w:bookmarkEnd w:id="4"/>
    </w:p>
    <w:p w14:paraId="3D658AD8" w14:textId="77777777" w:rsidR="00B42204" w:rsidRPr="00F438FF" w:rsidRDefault="00B42204" w:rsidP="00F438FF">
      <w:pPr>
        <w:widowControl w:val="0"/>
        <w:spacing w:line="360" w:lineRule="auto"/>
        <w:rPr>
          <w:sz w:val="26"/>
          <w:szCs w:val="26"/>
          <w:rtl/>
        </w:rPr>
      </w:pPr>
    </w:p>
    <w:p w14:paraId="7B8C427A" w14:textId="77777777" w:rsidR="006149A5" w:rsidRPr="009D52CE" w:rsidRDefault="006149A5" w:rsidP="009D52CE">
      <w:pPr>
        <w:widowControl w:val="0"/>
        <w:bidi w:val="0"/>
        <w:spacing w:line="480" w:lineRule="auto"/>
        <w:jc w:val="center"/>
        <w:rPr>
          <w:rFonts w:ascii="Arial" w:hAnsi="Arial"/>
          <w:b/>
          <w:bCs/>
          <w:noProof w:val="0"/>
          <w:sz w:val="32"/>
          <w:szCs w:val="32"/>
          <w:u w:val="single"/>
        </w:rPr>
      </w:pPr>
      <w:bookmarkStart w:id="5" w:name="PsakDin" w:colFirst="0" w:colLast="0"/>
      <w:bookmarkEnd w:id="0"/>
      <w:r w:rsidRPr="009D52CE">
        <w:rPr>
          <w:rFonts w:ascii="Arial" w:hAnsi="Arial"/>
          <w:b/>
          <w:bCs/>
          <w:noProof w:val="0"/>
          <w:sz w:val="32"/>
          <w:szCs w:val="32"/>
          <w:u w:val="single"/>
          <w:rtl/>
        </w:rPr>
        <w:t>גזר דין</w:t>
      </w:r>
    </w:p>
    <w:p w14:paraId="4EDF437F" w14:textId="77777777" w:rsidR="006149A5" w:rsidRPr="009D52CE" w:rsidRDefault="006149A5" w:rsidP="009D52CE">
      <w:pPr>
        <w:widowControl w:val="0"/>
        <w:bidi w:val="0"/>
        <w:spacing w:line="480" w:lineRule="auto"/>
        <w:jc w:val="center"/>
        <w:rPr>
          <w:rFonts w:ascii="Arial" w:hAnsi="Arial"/>
          <w:b/>
          <w:bCs/>
          <w:noProof w:val="0"/>
          <w:sz w:val="32"/>
          <w:szCs w:val="32"/>
          <w:u w:val="single"/>
          <w:rtl/>
        </w:rPr>
      </w:pPr>
    </w:p>
    <w:bookmarkEnd w:id="5"/>
    <w:p w14:paraId="662D3EAB" w14:textId="77777777" w:rsidR="00B42204" w:rsidRDefault="00B42204" w:rsidP="00B42204">
      <w:pPr>
        <w:widowControl w:val="0"/>
        <w:spacing w:line="360" w:lineRule="auto"/>
        <w:rPr>
          <w:b/>
          <w:bCs/>
          <w:sz w:val="26"/>
          <w:szCs w:val="26"/>
        </w:rPr>
      </w:pPr>
      <w:r>
        <w:rPr>
          <w:b/>
          <w:bCs/>
          <w:sz w:val="26"/>
          <w:szCs w:val="26"/>
          <w:rtl/>
        </w:rPr>
        <w:t>כתב האישום, הסדר הטיעון, הכרעת הדין והשתלשלות העניינים בתיק</w:t>
      </w:r>
    </w:p>
    <w:p w14:paraId="70CA16A9" w14:textId="77777777" w:rsidR="00B42204" w:rsidRDefault="00B42204" w:rsidP="00B42204">
      <w:pPr>
        <w:pStyle w:val="aa"/>
        <w:widowControl w:val="0"/>
        <w:numPr>
          <w:ilvl w:val="0"/>
          <w:numId w:val="1"/>
        </w:numPr>
        <w:spacing w:line="360" w:lineRule="auto"/>
        <w:ind w:left="360"/>
        <w:jc w:val="both"/>
      </w:pPr>
      <w:bookmarkStart w:id="6" w:name="ABSTRACT_START"/>
      <w:bookmarkEnd w:id="6"/>
      <w:r>
        <w:rPr>
          <w:rFonts w:hint="cs"/>
          <w:rtl/>
        </w:rPr>
        <w:t>ביום 19.12.21 הוצג בפני כב' הש' לחיאני שהם הסדר טיעון, במסגרתו הנאשם הורשע על פי הודאתו ב-</w:t>
      </w:r>
      <w:r>
        <w:rPr>
          <w:rFonts w:hint="cs"/>
          <w:b/>
          <w:bCs/>
          <w:rtl/>
        </w:rPr>
        <w:t>החזקת סמים לצריכה עצמית</w:t>
      </w:r>
      <w:r>
        <w:rPr>
          <w:rFonts w:hint="cs"/>
          <w:rtl/>
        </w:rPr>
        <w:t xml:space="preserve">, בהתאם </w:t>
      </w:r>
      <w:hyperlink r:id="rId19" w:history="1">
        <w:r w:rsidR="006149A5" w:rsidRPr="006149A5">
          <w:rPr>
            <w:rStyle w:val="Hyperlink"/>
            <w:rFonts w:hint="eastAsia"/>
            <w:rtl/>
          </w:rPr>
          <w:t>לסעיפים</w:t>
        </w:r>
        <w:r w:rsidR="006149A5" w:rsidRPr="006149A5">
          <w:rPr>
            <w:rStyle w:val="Hyperlink"/>
            <w:rtl/>
          </w:rPr>
          <w:t xml:space="preserve"> 7(א)</w:t>
        </w:r>
      </w:hyperlink>
      <w:r>
        <w:rPr>
          <w:rFonts w:hint="cs"/>
          <w:rtl/>
        </w:rPr>
        <w:t xml:space="preserve"> ו-</w:t>
      </w:r>
      <w:hyperlink r:id="rId20" w:history="1">
        <w:r w:rsidR="006149A5" w:rsidRPr="006149A5">
          <w:rPr>
            <w:rStyle w:val="Hyperlink"/>
            <w:rtl/>
          </w:rPr>
          <w:t>7(ג)</w:t>
        </w:r>
      </w:hyperlink>
      <w:r>
        <w:rPr>
          <w:rFonts w:hint="cs"/>
          <w:rtl/>
        </w:rPr>
        <w:t xml:space="preserve"> סיפא ל-</w:t>
      </w:r>
      <w:hyperlink r:id="rId21" w:history="1">
        <w:r w:rsidR="009D52CE" w:rsidRPr="009D52CE">
          <w:rPr>
            <w:rFonts w:ascii="Miriam" w:hAnsi="Miriam" w:cs="Miriam"/>
            <w:b/>
            <w:bCs/>
            <w:color w:val="0000FF"/>
            <w:sz w:val="18"/>
            <w:szCs w:val="22"/>
            <w:u w:val="single"/>
            <w:rtl/>
          </w:rPr>
          <w:t>פקודת הסמים המסוכנים</w:t>
        </w:r>
      </w:hyperlink>
      <w:r>
        <w:rPr>
          <w:rFonts w:ascii="Miriam" w:hAnsi="Miriam" w:cs="Miriam"/>
          <w:b/>
          <w:bCs/>
          <w:sz w:val="18"/>
          <w:szCs w:val="22"/>
          <w:rtl/>
        </w:rPr>
        <w:t xml:space="preserve"> [נוסח חדש]</w:t>
      </w:r>
      <w:r>
        <w:rPr>
          <w:rFonts w:hint="cs"/>
          <w:rtl/>
        </w:rPr>
        <w:t xml:space="preserve">, התשל"ג-1973 (להלן: </w:t>
      </w:r>
      <w:r>
        <w:rPr>
          <w:rFonts w:ascii="Miriam" w:hAnsi="Miriam" w:cs="Miriam"/>
          <w:b/>
          <w:bCs/>
          <w:sz w:val="18"/>
          <w:szCs w:val="22"/>
          <w:rtl/>
        </w:rPr>
        <w:t>פקודת הסמים</w:t>
      </w:r>
      <w:r>
        <w:rPr>
          <w:rFonts w:hint="cs"/>
          <w:rtl/>
        </w:rPr>
        <w:t xml:space="preserve">) והופנה לשירות המבחן, לבחינת אפשרות הארכת מאסר מותנה. מועד הטיעונים לעונש נדחה מעת לעת מטעמים שונים ואלו נשמעו ב-22.6.23. מועד מתן גזר הדין נדחה לבקשת ההגנה ובשל מצב החירום ונקבע ליום 4.12.23, הכל כפי שיפורט בהמשך. </w:t>
      </w:r>
    </w:p>
    <w:p w14:paraId="13D44ADB" w14:textId="77777777" w:rsidR="00B42204" w:rsidRDefault="00B42204" w:rsidP="00B42204">
      <w:pPr>
        <w:pStyle w:val="aa"/>
        <w:widowControl w:val="0"/>
        <w:spacing w:line="360" w:lineRule="auto"/>
        <w:ind w:left="360"/>
        <w:jc w:val="both"/>
      </w:pPr>
      <w:bookmarkStart w:id="7" w:name="ABSTRACT_END"/>
      <w:bookmarkEnd w:id="7"/>
    </w:p>
    <w:p w14:paraId="524877F8" w14:textId="77777777" w:rsidR="00B42204" w:rsidRDefault="00B42204" w:rsidP="00B42204">
      <w:pPr>
        <w:pStyle w:val="aa"/>
        <w:widowControl w:val="0"/>
        <w:numPr>
          <w:ilvl w:val="0"/>
          <w:numId w:val="1"/>
        </w:numPr>
        <w:spacing w:line="360" w:lineRule="auto"/>
        <w:ind w:left="360"/>
        <w:jc w:val="both"/>
      </w:pPr>
      <w:r>
        <w:rPr>
          <w:rFonts w:hint="cs"/>
          <w:rtl/>
        </w:rPr>
        <w:t xml:space="preserve">על פי עובדות כתב האישום בהן הודה והורשע, ב-16.12.19, בדירה ברוגוזין 41/30 באשדוד, החזיק הנאשם בחדרו, ב-3 שקיות, 11.151 גרם נטו סם מסוכן מסוג </w:t>
      </w:r>
      <w:r>
        <w:t>5f MDMB-PICA</w:t>
      </w:r>
      <w:r>
        <w:rPr>
          <w:rFonts w:hint="cs"/>
          <w:rtl/>
        </w:rPr>
        <w:t>, אשר כונה בידי ההגנה "</w:t>
      </w:r>
      <w:r>
        <w:rPr>
          <w:rFonts w:hint="cs"/>
          <w:b/>
          <w:bCs/>
          <w:rtl/>
        </w:rPr>
        <w:t>נייס גאי</w:t>
      </w:r>
      <w:r>
        <w:rPr>
          <w:rFonts w:hint="cs"/>
          <w:rtl/>
        </w:rPr>
        <w:t>" ולכן יכונה כך גם להלן. כשהגיע לתחנת המשטרה החזיק בגרב 0.4711 גרם נטו נייס גאי. סך הכל החזיק הנאשם 11.6221 גרם נטו נייס גאי לצריכה עצמית.</w:t>
      </w:r>
    </w:p>
    <w:p w14:paraId="412F38B7" w14:textId="77777777" w:rsidR="00B42204" w:rsidRDefault="00B42204" w:rsidP="00B42204">
      <w:pPr>
        <w:widowControl w:val="0"/>
        <w:spacing w:line="360" w:lineRule="auto"/>
        <w:jc w:val="both"/>
        <w:rPr>
          <w:rFonts w:ascii="David" w:hAnsi="David"/>
          <w:b/>
          <w:bCs/>
          <w:sz w:val="26"/>
          <w:szCs w:val="26"/>
        </w:rPr>
      </w:pPr>
    </w:p>
    <w:p w14:paraId="4B9F933B" w14:textId="77777777" w:rsidR="00B42204" w:rsidRDefault="00B42204" w:rsidP="00B42204">
      <w:pPr>
        <w:widowControl w:val="0"/>
        <w:spacing w:line="360" w:lineRule="auto"/>
        <w:jc w:val="both"/>
        <w:rPr>
          <w:rFonts w:ascii="David" w:hAnsi="David"/>
          <w:b/>
          <w:bCs/>
          <w:sz w:val="26"/>
          <w:szCs w:val="26"/>
        </w:rPr>
      </w:pPr>
      <w:r>
        <w:rPr>
          <w:rFonts w:ascii="David" w:hAnsi="David"/>
          <w:b/>
          <w:bCs/>
          <w:sz w:val="26"/>
          <w:szCs w:val="26"/>
          <w:rtl/>
        </w:rPr>
        <w:t>קביעת מתחם העונש ההולם</w:t>
      </w:r>
    </w:p>
    <w:p w14:paraId="43E0149A" w14:textId="77777777" w:rsidR="00B42204" w:rsidRDefault="00B42204" w:rsidP="00B42204">
      <w:pPr>
        <w:pStyle w:val="aa"/>
        <w:widowControl w:val="0"/>
        <w:numPr>
          <w:ilvl w:val="0"/>
          <w:numId w:val="1"/>
        </w:numPr>
        <w:spacing w:line="360" w:lineRule="auto"/>
        <w:ind w:left="357" w:hanging="357"/>
        <w:jc w:val="both"/>
        <w:rPr>
          <w:rFonts w:ascii="Times New Roman" w:hAnsi="Times New Roman"/>
          <w:rtl/>
        </w:rPr>
      </w:pPr>
      <w:r>
        <w:rPr>
          <w:rFonts w:hint="cs"/>
          <w:rtl/>
        </w:rPr>
        <w:t xml:space="preserve">בקביעת מתחם העונש ההולם, בהתאם </w:t>
      </w:r>
      <w:hyperlink r:id="rId22" w:history="1">
        <w:r w:rsidR="006149A5" w:rsidRPr="006149A5">
          <w:rPr>
            <w:rStyle w:val="Hyperlink"/>
            <w:rFonts w:hint="eastAsia"/>
            <w:rtl/>
          </w:rPr>
          <w:t>לסעיף</w:t>
        </w:r>
        <w:r w:rsidR="006149A5" w:rsidRPr="006149A5">
          <w:rPr>
            <w:rStyle w:val="Hyperlink"/>
            <w:rtl/>
          </w:rPr>
          <w:t xml:space="preserve"> 40ג(א)</w:t>
        </w:r>
      </w:hyperlink>
      <w:r>
        <w:rPr>
          <w:rFonts w:hint="cs"/>
          <w:rtl/>
        </w:rPr>
        <w:t xml:space="preserve"> ל</w:t>
      </w:r>
      <w:hyperlink r:id="rId23" w:history="1">
        <w:r w:rsidR="009D52CE" w:rsidRPr="009D52CE">
          <w:rPr>
            <w:rFonts w:ascii="Miriam" w:hAnsi="Miriam" w:cs="Miriam"/>
            <w:b/>
            <w:bCs/>
            <w:color w:val="0000FF"/>
            <w:sz w:val="18"/>
            <w:szCs w:val="22"/>
            <w:u w:val="single"/>
            <w:rtl/>
          </w:rPr>
          <w:t>חוק העונשין</w:t>
        </w:r>
      </w:hyperlink>
      <w:r>
        <w:rPr>
          <w:rFonts w:hint="cs"/>
          <w:rtl/>
        </w:rPr>
        <w:t xml:space="preserve">, התשל"ז-1977 (להלן: </w:t>
      </w:r>
      <w:r>
        <w:rPr>
          <w:rFonts w:ascii="Miriam" w:hAnsi="Miriam" w:cs="Miriam"/>
          <w:b/>
          <w:bCs/>
          <w:sz w:val="18"/>
          <w:szCs w:val="22"/>
          <w:rtl/>
        </w:rPr>
        <w:t>חוק העונשין</w:t>
      </w:r>
      <w:r>
        <w:rPr>
          <w:rFonts w:hint="cs"/>
          <w:rtl/>
        </w:rPr>
        <w:t xml:space="preserve">), התחשבתי בקריטריונים הבאים: </w:t>
      </w:r>
    </w:p>
    <w:p w14:paraId="06832D71" w14:textId="77777777" w:rsidR="00B42204" w:rsidRDefault="00B42204" w:rsidP="00B42204">
      <w:pPr>
        <w:pStyle w:val="aa"/>
        <w:widowControl w:val="0"/>
        <w:ind w:left="357"/>
        <w:jc w:val="both"/>
        <w:rPr>
          <w:sz w:val="18"/>
          <w:szCs w:val="20"/>
          <w:rtl/>
        </w:rPr>
      </w:pPr>
    </w:p>
    <w:p w14:paraId="71730531" w14:textId="77777777" w:rsidR="00B42204" w:rsidRDefault="00B42204" w:rsidP="00B42204">
      <w:pPr>
        <w:widowControl w:val="0"/>
        <w:numPr>
          <w:ilvl w:val="1"/>
          <w:numId w:val="1"/>
        </w:numPr>
        <w:snapToGrid w:val="0"/>
        <w:spacing w:line="360" w:lineRule="auto"/>
        <w:ind w:left="850" w:hanging="425"/>
        <w:jc w:val="both"/>
        <w:rPr>
          <w:sz w:val="20"/>
          <w:lang w:eastAsia="he-IL"/>
        </w:rPr>
      </w:pPr>
      <w:r>
        <w:rPr>
          <w:b/>
          <w:bCs/>
          <w:rtl/>
        </w:rPr>
        <w:t xml:space="preserve">הערכים החברתיים שנפגעו מביצוע העבירה </w:t>
      </w:r>
      <w:r>
        <w:rPr>
          <w:rFonts w:ascii="David" w:hAnsi="David"/>
          <w:rtl/>
        </w:rPr>
        <w:t xml:space="preserve">הם </w:t>
      </w:r>
      <w:r>
        <w:rPr>
          <w:rFonts w:ascii="Arial" w:hAnsi="Arial"/>
          <w:sz w:val="20"/>
          <w:rtl/>
          <w:lang w:eastAsia="he-IL"/>
        </w:rPr>
        <w:t>הגנה על שלום הציבור ובריאותו מפני הנזקים הישירים והעקיפים שנגרמים עקב השימוש בסמים</w:t>
      </w:r>
      <w:r>
        <w:rPr>
          <w:rFonts w:ascii="David" w:hAnsi="David"/>
          <w:rtl/>
        </w:rPr>
        <w:t>, כמו גם השמירה על הסדר הציבורי</w:t>
      </w:r>
      <w:r>
        <w:rPr>
          <w:rFonts w:ascii="Arial" w:hAnsi="Arial"/>
          <w:sz w:val="20"/>
          <w:rtl/>
          <w:lang w:eastAsia="he-IL"/>
        </w:rPr>
        <w:t xml:space="preserve">. </w:t>
      </w:r>
      <w:r>
        <w:rPr>
          <w:rFonts w:ascii="David" w:hAnsi="David"/>
          <w:rtl/>
        </w:rPr>
        <w:t xml:space="preserve">מקובלת עלי טענת ב"כ המאשימה, כי נגע הסמים הוא אחד ממחוללי הפשיעה בישראל. </w:t>
      </w:r>
      <w:r>
        <w:rPr>
          <w:sz w:val="20"/>
          <w:rtl/>
          <w:lang w:eastAsia="he-IL"/>
        </w:rPr>
        <w:t>מעבר לנזקים הישירים הנגרמים למשתמשי הסם, נגע הסמים מלווה ואף יוצר עבירות נוספות, ובכלל זה עבירות רכוש,</w:t>
      </w:r>
      <w:r>
        <w:rPr>
          <w:b/>
          <w:bCs/>
          <w:sz w:val="20"/>
          <w:rtl/>
          <w:lang w:eastAsia="he-IL"/>
        </w:rPr>
        <w:t xml:space="preserve"> </w:t>
      </w:r>
      <w:r>
        <w:rPr>
          <w:sz w:val="20"/>
          <w:rtl/>
          <w:lang w:eastAsia="he-IL"/>
        </w:rPr>
        <w:t xml:space="preserve">בשל הצורך להשיג את מנת הסם, ולעיתים אף אלימות, שמבוצעות כתוצאה מהשימוש בסמים, או במהלך ביצוע עבירות הרכוש. </w:t>
      </w:r>
    </w:p>
    <w:p w14:paraId="649B0B08" w14:textId="77777777" w:rsidR="00B42204" w:rsidRDefault="00B42204" w:rsidP="00B42204">
      <w:pPr>
        <w:widowControl w:val="0"/>
        <w:snapToGrid w:val="0"/>
        <w:ind w:left="850"/>
        <w:jc w:val="both"/>
        <w:rPr>
          <w:sz w:val="20"/>
          <w:lang w:eastAsia="he-IL"/>
        </w:rPr>
      </w:pPr>
    </w:p>
    <w:p w14:paraId="2B0310D8" w14:textId="77777777" w:rsidR="00B42204" w:rsidRDefault="00B42204" w:rsidP="00B42204">
      <w:pPr>
        <w:widowControl w:val="0"/>
        <w:numPr>
          <w:ilvl w:val="1"/>
          <w:numId w:val="1"/>
        </w:numPr>
        <w:snapToGrid w:val="0"/>
        <w:spacing w:line="360" w:lineRule="auto"/>
        <w:ind w:left="850" w:hanging="425"/>
        <w:jc w:val="both"/>
        <w:rPr>
          <w:sz w:val="20"/>
          <w:lang w:eastAsia="he-IL"/>
        </w:rPr>
      </w:pPr>
      <w:r>
        <w:rPr>
          <w:sz w:val="20"/>
          <w:rtl/>
          <w:lang w:eastAsia="he-IL"/>
        </w:rPr>
        <w:t>אין להקל ראש ב-</w:t>
      </w:r>
      <w:r>
        <w:rPr>
          <w:b/>
          <w:bCs/>
          <w:rtl/>
        </w:rPr>
        <w:t>מידת הפגיעה בערכים החברתיים</w:t>
      </w:r>
      <w:r>
        <w:rPr>
          <w:rFonts w:ascii="David" w:hAnsi="David"/>
          <w:rtl/>
        </w:rPr>
        <w:t xml:space="preserve"> ויש לדחות טענת ההגנה, כי הסם דומה במהותו לסמים מסוג קנבוס או חשיש. </w:t>
      </w:r>
      <w:r>
        <w:rPr>
          <w:sz w:val="20"/>
          <w:rtl/>
          <w:lang w:eastAsia="he-IL"/>
        </w:rPr>
        <w:t>ב-</w:t>
      </w:r>
      <w:hyperlink r:id="rId24" w:history="1">
        <w:r w:rsidR="009D52CE" w:rsidRPr="009D52CE">
          <w:rPr>
            <w:color w:val="0000FF"/>
            <w:sz w:val="20"/>
            <w:u w:val="single"/>
            <w:rtl/>
            <w:lang w:eastAsia="he-IL"/>
          </w:rPr>
          <w:t>ע"פ 4915/15</w:t>
        </w:r>
      </w:hyperlink>
      <w:r>
        <w:rPr>
          <w:sz w:val="20"/>
          <w:rtl/>
          <w:lang w:eastAsia="he-IL"/>
        </w:rPr>
        <w:t xml:space="preserve"> </w:t>
      </w:r>
      <w:r>
        <w:rPr>
          <w:rFonts w:ascii="Miriam" w:hAnsi="Miriam" w:cs="Miriam"/>
          <w:b/>
          <w:bCs/>
          <w:sz w:val="18"/>
          <w:szCs w:val="22"/>
          <w:rtl/>
          <w:lang w:eastAsia="he-IL"/>
        </w:rPr>
        <w:t xml:space="preserve">ותד ואח' נ' מדינת ישראל </w:t>
      </w:r>
      <w:r>
        <w:rPr>
          <w:sz w:val="20"/>
          <w:rtl/>
          <w:lang w:eastAsia="he-IL"/>
        </w:rPr>
        <w:t xml:space="preserve">(2.11.15) (להלן: </w:t>
      </w:r>
      <w:r>
        <w:rPr>
          <w:rFonts w:ascii="Miriam" w:hAnsi="Miriam" w:cs="Miriam"/>
          <w:b/>
          <w:bCs/>
          <w:sz w:val="18"/>
          <w:szCs w:val="22"/>
          <w:rtl/>
          <w:lang w:eastAsia="he-IL"/>
        </w:rPr>
        <w:t>ענין ותד</w:t>
      </w:r>
      <w:r>
        <w:rPr>
          <w:sz w:val="20"/>
          <w:rtl/>
          <w:lang w:eastAsia="he-IL"/>
        </w:rPr>
        <w:t>) דן בית המשפט העליון בעבירות סמים שבוצעו בסם</w:t>
      </w:r>
      <w:r>
        <w:rPr>
          <w:rFonts w:ascii="David" w:hAnsi="David"/>
          <w:rtl/>
        </w:rPr>
        <w:t xml:space="preserve"> ממשפחת הקנבינואידים הסינטטיים, המכונה בעגה </w:t>
      </w:r>
      <w:r>
        <w:rPr>
          <w:sz w:val="20"/>
          <w:rtl/>
          <w:lang w:eastAsia="he-IL"/>
        </w:rPr>
        <w:t>"</w:t>
      </w:r>
      <w:r>
        <w:rPr>
          <w:b/>
          <w:bCs/>
          <w:sz w:val="20"/>
          <w:rtl/>
          <w:lang w:eastAsia="he-IL"/>
        </w:rPr>
        <w:t>נייס גאי</w:t>
      </w:r>
      <w:r>
        <w:rPr>
          <w:sz w:val="20"/>
          <w:rtl/>
          <w:lang w:eastAsia="he-IL"/>
        </w:rPr>
        <w:t>" או "</w:t>
      </w:r>
      <w:r>
        <w:rPr>
          <w:b/>
          <w:bCs/>
          <w:sz w:val="20"/>
          <w:rtl/>
          <w:lang w:eastAsia="he-IL"/>
        </w:rPr>
        <w:t>סמי פיצוציות</w:t>
      </w:r>
      <w:r>
        <w:rPr>
          <w:sz w:val="20"/>
          <w:rtl/>
          <w:lang w:eastAsia="he-IL"/>
        </w:rPr>
        <w:t>". אמנם קיים שוני בנסיבות ביצוע העבירות, לרבות סוג הסם ומהות המעשים שנדונו ב-</w:t>
      </w:r>
      <w:r>
        <w:rPr>
          <w:rFonts w:ascii="Miriam" w:hAnsi="Miriam" w:cs="Miriam"/>
          <w:b/>
          <w:bCs/>
          <w:sz w:val="18"/>
          <w:szCs w:val="22"/>
          <w:rtl/>
          <w:lang w:eastAsia="he-IL"/>
        </w:rPr>
        <w:t>ענין ותד</w:t>
      </w:r>
      <w:r>
        <w:rPr>
          <w:sz w:val="20"/>
          <w:rtl/>
          <w:lang w:eastAsia="he-IL"/>
        </w:rPr>
        <w:t xml:space="preserve"> לעניינו - אך חלק מהקביעות ב-</w:t>
      </w:r>
      <w:r>
        <w:rPr>
          <w:rFonts w:ascii="Miriam" w:hAnsi="Miriam" w:cs="Miriam"/>
          <w:b/>
          <w:bCs/>
          <w:sz w:val="18"/>
          <w:szCs w:val="22"/>
          <w:rtl/>
          <w:lang w:eastAsia="he-IL"/>
        </w:rPr>
        <w:t xml:space="preserve">ענין ותד </w:t>
      </w:r>
      <w:r>
        <w:rPr>
          <w:sz w:val="20"/>
          <w:rtl/>
          <w:lang w:eastAsia="he-IL"/>
        </w:rPr>
        <w:t xml:space="preserve">רלוונטיות, לרבות הקביעה </w:t>
      </w:r>
      <w:r>
        <w:rPr>
          <w:rFonts w:ascii="David" w:hAnsi="David"/>
          <w:rtl/>
        </w:rPr>
        <w:t xml:space="preserve">כי נוכח תכונותיהם הרעות של חומרים אלו – אין להחיל עליהם את רמת הענישה המתונה באופן יחסי הנהוגה ביחס לסמים מסוג קנבוס או חשיש. </w:t>
      </w:r>
      <w:r>
        <w:rPr>
          <w:sz w:val="20"/>
          <w:rtl/>
          <w:lang w:eastAsia="he-IL"/>
        </w:rPr>
        <w:t>כך קבע כב' הש' הנדל בסעיף 3 לפסק דינו ב-</w:t>
      </w:r>
      <w:r w:rsidRPr="00B42204">
        <w:rPr>
          <w:rFonts w:ascii="David" w:eastAsia="Calibri" w:hAnsi="David" w:cs="Miriam"/>
          <w:b/>
          <w:bCs/>
          <w:noProof w:val="0"/>
          <w:sz w:val="18"/>
          <w:szCs w:val="22"/>
          <w:rtl/>
          <w:lang w:eastAsia="he-IL"/>
        </w:rPr>
        <w:t>ענין ותד</w:t>
      </w:r>
      <w:r>
        <w:rPr>
          <w:sz w:val="20"/>
          <w:rtl/>
          <w:lang w:eastAsia="he-IL"/>
        </w:rPr>
        <w:t xml:space="preserve"> – </w:t>
      </w:r>
    </w:p>
    <w:p w14:paraId="2FA9E744" w14:textId="77777777" w:rsidR="00B42204" w:rsidRDefault="00B42204" w:rsidP="00B42204">
      <w:pPr>
        <w:widowControl w:val="0"/>
        <w:snapToGrid w:val="0"/>
        <w:jc w:val="both"/>
        <w:rPr>
          <w:sz w:val="16"/>
          <w:szCs w:val="20"/>
          <w:lang w:eastAsia="he-IL"/>
        </w:rPr>
      </w:pPr>
    </w:p>
    <w:p w14:paraId="2419E968" w14:textId="77777777" w:rsidR="00B42204" w:rsidRDefault="00B42204" w:rsidP="00B42204">
      <w:pPr>
        <w:widowControl w:val="0"/>
        <w:snapToGrid w:val="0"/>
        <w:ind w:left="1474" w:right="1304"/>
        <w:jc w:val="both"/>
        <w:rPr>
          <w:b/>
          <w:bCs/>
          <w:sz w:val="20"/>
          <w:rtl/>
          <w:lang w:eastAsia="he-IL"/>
        </w:rPr>
      </w:pPr>
      <w:r>
        <w:rPr>
          <w:sz w:val="20"/>
          <w:rtl/>
          <w:lang w:eastAsia="he-IL"/>
        </w:rPr>
        <w:t>"...</w:t>
      </w:r>
      <w:r>
        <w:rPr>
          <w:b/>
          <w:bCs/>
          <w:sz w:val="20"/>
          <w:rtl/>
          <w:lang w:eastAsia="he-IL"/>
        </w:rPr>
        <w:t>טיבו של הסם ומהות הסכנה הנשקפת ממנו</w:t>
      </w:r>
      <w:r>
        <w:rPr>
          <w:sz w:val="20"/>
          <w:rtl/>
          <w:lang w:eastAsia="he-IL"/>
        </w:rPr>
        <w:t xml:space="preserve"> - ...</w:t>
      </w:r>
      <w:r>
        <w:rPr>
          <w:b/>
          <w:bCs/>
          <w:sz w:val="20"/>
          <w:rtl/>
          <w:lang w:eastAsia="he-IL"/>
        </w:rPr>
        <w:t>הסם אמנם איננו מסוכן בעוצמה המיוחסת לסמים קשים, כגון הרואין, אך בד בבד הוא ניחן במאפיינים שונים שבגינם מסוכנותו עולה על זו של סמים שנחשבים קשים פחות, כגון חשיש או מריחואנה. לנוכח מיקומו של הסם במדרג הסיכון</w:t>
      </w:r>
      <w:r>
        <w:rPr>
          <w:sz w:val="20"/>
          <w:rtl/>
          <w:lang w:eastAsia="he-IL"/>
        </w:rPr>
        <w:t>,...</w:t>
      </w:r>
      <w:r>
        <w:rPr>
          <w:b/>
          <w:bCs/>
          <w:sz w:val="20"/>
          <w:rtl/>
          <w:lang w:eastAsia="he-IL"/>
        </w:rPr>
        <w:t xml:space="preserve"> מאפייניו האינדיבידואליים של הסם מחייבים התייחסות מחמירה לעבירות הקשורות בו</w:t>
      </w:r>
      <w:r>
        <w:rPr>
          <w:sz w:val="20"/>
          <w:rtl/>
          <w:lang w:eastAsia="he-IL"/>
        </w:rPr>
        <w:t>...".</w:t>
      </w:r>
    </w:p>
    <w:p w14:paraId="111BFC1F" w14:textId="77777777" w:rsidR="00B42204" w:rsidRDefault="00B42204" w:rsidP="00B42204">
      <w:pPr>
        <w:pStyle w:val="aa"/>
        <w:widowControl w:val="0"/>
      </w:pPr>
    </w:p>
    <w:p w14:paraId="79A3F3B8" w14:textId="77777777" w:rsidR="00B42204" w:rsidRDefault="00B42204" w:rsidP="00B42204">
      <w:pPr>
        <w:widowControl w:val="0"/>
        <w:snapToGrid w:val="0"/>
        <w:spacing w:line="360" w:lineRule="auto"/>
        <w:ind w:left="850"/>
        <w:jc w:val="both"/>
        <w:rPr>
          <w:sz w:val="20"/>
          <w:rtl/>
          <w:lang w:eastAsia="he-IL"/>
        </w:rPr>
      </w:pPr>
      <w:r>
        <w:rPr>
          <w:rFonts w:ascii="David" w:hAnsi="David"/>
          <w:rtl/>
        </w:rPr>
        <w:t xml:space="preserve">לצד כל האמור לעיל, לא מדובר בפגיעה מהחמורות, </w:t>
      </w:r>
      <w:r>
        <w:rPr>
          <w:rFonts w:ascii="Arial" w:hAnsi="Arial"/>
          <w:rtl/>
        </w:rPr>
        <w:t>בהינתן כמות הסם והעובדה שהוחזק לצריכה עצמית</w:t>
      </w:r>
      <w:r>
        <w:rPr>
          <w:rtl/>
        </w:rPr>
        <w:t xml:space="preserve">. </w:t>
      </w:r>
    </w:p>
    <w:p w14:paraId="21C9DE78" w14:textId="77777777" w:rsidR="00B42204" w:rsidRDefault="00B42204" w:rsidP="00B42204">
      <w:pPr>
        <w:widowControl w:val="0"/>
        <w:snapToGrid w:val="0"/>
        <w:ind w:left="850"/>
        <w:jc w:val="both"/>
        <w:rPr>
          <w:sz w:val="20"/>
          <w:lang w:eastAsia="he-IL"/>
        </w:rPr>
      </w:pPr>
    </w:p>
    <w:p w14:paraId="5868688D" w14:textId="77777777" w:rsidR="00B42204" w:rsidRDefault="00B42204" w:rsidP="00B42204">
      <w:pPr>
        <w:widowControl w:val="0"/>
        <w:numPr>
          <w:ilvl w:val="1"/>
          <w:numId w:val="1"/>
        </w:numPr>
        <w:snapToGrid w:val="0"/>
        <w:spacing w:line="360" w:lineRule="auto"/>
        <w:ind w:left="850" w:hanging="425"/>
        <w:jc w:val="both"/>
        <w:rPr>
          <w:sz w:val="20"/>
          <w:lang w:eastAsia="he-IL"/>
        </w:rPr>
      </w:pPr>
      <w:r>
        <w:rPr>
          <w:sz w:val="20"/>
          <w:rtl/>
          <w:lang w:eastAsia="he-IL"/>
        </w:rPr>
        <w:t xml:space="preserve">בחינת </w:t>
      </w:r>
      <w:r>
        <w:rPr>
          <w:b/>
          <w:bCs/>
          <w:sz w:val="20"/>
          <w:rtl/>
          <w:lang w:eastAsia="he-IL"/>
        </w:rPr>
        <w:t>מדיניות הענישה הנהוגה בפסיקה</w:t>
      </w:r>
      <w:r>
        <w:rPr>
          <w:sz w:val="20"/>
          <w:rtl/>
          <w:lang w:eastAsia="he-IL"/>
        </w:rPr>
        <w:t xml:space="preserve"> </w:t>
      </w:r>
      <w:r>
        <w:rPr>
          <w:rFonts w:ascii="David" w:hAnsi="David"/>
          <w:rtl/>
        </w:rPr>
        <w:t>מלמדת כי הענישה בגין החזקת תרכובות המכונות בעגה "</w:t>
      </w:r>
      <w:r>
        <w:rPr>
          <w:rFonts w:ascii="David" w:hAnsi="David"/>
          <w:b/>
          <w:bCs/>
          <w:rtl/>
        </w:rPr>
        <w:t>נייס גאי</w:t>
      </w:r>
      <w:r>
        <w:rPr>
          <w:rFonts w:ascii="David" w:hAnsi="David"/>
          <w:rtl/>
        </w:rPr>
        <w:t xml:space="preserve">" שלא לצריכה עצמית, סחר בהן והפצתן, נעה בין מספר חודשי מאסר שניתן לרצותם בעבודות שירות לבין 18–24 חודשי מאסר בפועל, לצד ענישה נלווית, הכוללת גם עיצומים כלכליים וגם פסילה בפועל או מותנית. מענישה זו יש לגזור את </w:t>
      </w:r>
      <w:r>
        <w:rPr>
          <w:sz w:val="20"/>
          <w:rtl/>
          <w:lang w:eastAsia="he-IL"/>
        </w:rPr>
        <w:t xml:space="preserve">מדיניות הענישה הראויה כאשר מדובר בהחזקה לשימוש עצמי, כאשר כל מקרה לנסיבותיו, </w:t>
      </w:r>
      <w:r>
        <w:rPr>
          <w:rFonts w:ascii="David" w:hAnsi="David"/>
          <w:rtl/>
        </w:rPr>
        <w:t>ויש לאבחן המקרים השונים למקרה שלפניי. לצד זאת, יש פסקי-דין מהם ניתן לגזור אמת-מידה עונשית הולמת למקרה שלפני</w:t>
      </w:r>
      <w:r>
        <w:rPr>
          <w:sz w:val="20"/>
          <w:rtl/>
          <w:lang w:eastAsia="he-IL"/>
        </w:rPr>
        <w:t xml:space="preserve">י, כאשר ברי כי מתחם ענישה בגין החזקה לצריכה עצמית יכול להתחיל גם מענישה שלא כוללת מאסר בפועל במקרים מסויימים – </w:t>
      </w:r>
    </w:p>
    <w:p w14:paraId="387FC396" w14:textId="77777777" w:rsidR="00B42204" w:rsidRDefault="00B42204" w:rsidP="00B42204">
      <w:pPr>
        <w:pStyle w:val="aa"/>
        <w:widowControl w:val="0"/>
        <w:rPr>
          <w:sz w:val="16"/>
          <w:szCs w:val="20"/>
        </w:rPr>
      </w:pPr>
    </w:p>
    <w:p w14:paraId="187F2D95" w14:textId="77777777" w:rsidR="00B42204" w:rsidRDefault="009D52CE" w:rsidP="00B42204">
      <w:pPr>
        <w:pStyle w:val="aa"/>
        <w:widowControl w:val="0"/>
        <w:numPr>
          <w:ilvl w:val="2"/>
          <w:numId w:val="1"/>
        </w:numPr>
        <w:spacing w:line="360" w:lineRule="auto"/>
        <w:ind w:left="1305" w:hanging="454"/>
        <w:jc w:val="both"/>
        <w:rPr>
          <w:sz w:val="24"/>
          <w:rtl/>
        </w:rPr>
      </w:pPr>
      <w:hyperlink r:id="rId25" w:history="1">
        <w:r w:rsidRPr="009D52CE">
          <w:rPr>
            <w:color w:val="0000FF"/>
            <w:u w:val="single"/>
            <w:rtl/>
          </w:rPr>
          <w:t>רע"פ 2361/20</w:t>
        </w:r>
      </w:hyperlink>
      <w:r w:rsidR="00B42204">
        <w:rPr>
          <w:rFonts w:hint="cs"/>
          <w:color w:val="000000"/>
          <w:rtl/>
        </w:rPr>
        <w:t xml:space="preserve"> </w:t>
      </w:r>
      <w:r w:rsidR="00B42204">
        <w:rPr>
          <w:rFonts w:ascii="Miriam" w:hAnsi="Miriam" w:cs="Miriam"/>
          <w:b/>
          <w:bCs/>
          <w:sz w:val="18"/>
          <w:szCs w:val="22"/>
          <w:rtl/>
        </w:rPr>
        <w:t>בן אדרת נ' מדינת ישראל</w:t>
      </w:r>
      <w:r w:rsidR="00B42204">
        <w:rPr>
          <w:rFonts w:hint="cs"/>
          <w:color w:val="000000"/>
          <w:rtl/>
        </w:rPr>
        <w:t xml:space="preserve"> (‏6.4.20) - נדחו ערעור ובקשת רשות ערעור של מי שהורשע על פי הודאתו, במספר עבירות סחר בסם מסוכן הידוע בכינוי "</w:t>
      </w:r>
      <w:r w:rsidR="00B42204">
        <w:rPr>
          <w:rFonts w:hint="cs"/>
          <w:b/>
          <w:bCs/>
          <w:color w:val="000000"/>
          <w:rtl/>
        </w:rPr>
        <w:t xml:space="preserve">נייס </w:t>
      </w:r>
      <w:r w:rsidR="00B42204">
        <w:rPr>
          <w:rFonts w:hint="cs"/>
          <w:b/>
          <w:bCs/>
          <w:color w:val="000000"/>
          <w:rtl/>
        </w:rPr>
        <w:lastRenderedPageBreak/>
        <w:t>גאי</w:t>
      </w:r>
      <w:r w:rsidR="00B42204">
        <w:rPr>
          <w:rFonts w:hint="cs"/>
          <w:color w:val="000000"/>
          <w:rtl/>
        </w:rPr>
        <w:t>", במסגרת רשת אספקת סמים מסוכנים בה שימש כבלדר ונדון ל-24 חודשי מאסר בפועל. בדחותו בקשת רשות הערעור, קבע כב' השופט אלרון, בנוגע לסחר ב-"</w:t>
      </w:r>
      <w:r w:rsidR="00B42204">
        <w:rPr>
          <w:rFonts w:hint="cs"/>
          <w:b/>
          <w:bCs/>
          <w:color w:val="000000"/>
          <w:rtl/>
        </w:rPr>
        <w:t>סמים סינתטיים</w:t>
      </w:r>
      <w:r w:rsidR="00B42204">
        <w:rPr>
          <w:rFonts w:hint="cs"/>
          <w:color w:val="000000"/>
          <w:rtl/>
        </w:rPr>
        <w:t xml:space="preserve">" קביעות הרלוונטיות אף לעניינו (ההדגשה לא במקור - זד"ל) - </w:t>
      </w:r>
    </w:p>
    <w:p w14:paraId="620469AB" w14:textId="77777777" w:rsidR="00B42204" w:rsidRDefault="00B42204" w:rsidP="00B42204">
      <w:pPr>
        <w:widowControl w:val="0"/>
        <w:snapToGrid w:val="0"/>
        <w:ind w:left="1474" w:right="1304"/>
        <w:jc w:val="both"/>
        <w:rPr>
          <w:sz w:val="16"/>
          <w:szCs w:val="20"/>
          <w:lang w:eastAsia="he-IL"/>
        </w:rPr>
      </w:pPr>
    </w:p>
    <w:p w14:paraId="5E56BC55" w14:textId="77777777" w:rsidR="00B42204" w:rsidRDefault="00B42204" w:rsidP="00B42204">
      <w:pPr>
        <w:widowControl w:val="0"/>
        <w:snapToGrid w:val="0"/>
        <w:ind w:left="1474" w:right="1304"/>
        <w:jc w:val="both"/>
        <w:rPr>
          <w:sz w:val="20"/>
          <w:rtl/>
          <w:lang w:eastAsia="he-IL"/>
        </w:rPr>
      </w:pPr>
      <w:r>
        <w:rPr>
          <w:sz w:val="20"/>
          <w:rtl/>
          <w:lang w:eastAsia="he-IL"/>
        </w:rPr>
        <w:t>"</w:t>
      </w:r>
      <w:r>
        <w:rPr>
          <w:b/>
          <w:bCs/>
          <w:sz w:val="20"/>
          <w:rtl/>
          <w:lang w:eastAsia="he-IL"/>
        </w:rPr>
        <w:t>בית משפט זה שב והדגיש כי על מדיניות הענישה בגין סחר והפצה של סמים מסוכנים, ובכללן סמים הנחשבים ל'סמים קלים', להיות מרתיעה ומשמעותית,</w:t>
      </w:r>
      <w:r>
        <w:rPr>
          <w:sz w:val="20"/>
          <w:rtl/>
          <w:lang w:eastAsia="he-IL"/>
        </w:rPr>
        <w:t>...</w:t>
      </w:r>
      <w:r>
        <w:rPr>
          <w:b/>
          <w:bCs/>
          <w:sz w:val="20"/>
          <w:rtl/>
          <w:lang w:eastAsia="he-IL"/>
        </w:rPr>
        <w:t xml:space="preserve"> </w:t>
      </w:r>
      <w:r>
        <w:rPr>
          <w:b/>
          <w:bCs/>
          <w:sz w:val="20"/>
          <w:u w:val="single"/>
          <w:rtl/>
          <w:lang w:eastAsia="he-IL"/>
        </w:rPr>
        <w:t>קל וחומר כי כאשר עסקינן בסמים סינתטיים שפגיעתם חמורה יותר, על הענישה להיות מרתיעה ומשמעותית</w:t>
      </w:r>
      <w:r>
        <w:rPr>
          <w:sz w:val="20"/>
          <w:rtl/>
          <w:lang w:eastAsia="he-IL"/>
        </w:rPr>
        <w:t>".</w:t>
      </w:r>
    </w:p>
    <w:p w14:paraId="4083E258" w14:textId="77777777" w:rsidR="00B42204" w:rsidRDefault="00B42204" w:rsidP="00B42204">
      <w:pPr>
        <w:pStyle w:val="aa"/>
        <w:widowControl w:val="0"/>
        <w:spacing w:line="360" w:lineRule="auto"/>
        <w:ind w:left="1305"/>
        <w:jc w:val="both"/>
      </w:pPr>
    </w:p>
    <w:p w14:paraId="1E8F1F2A" w14:textId="77777777" w:rsidR="00B42204" w:rsidRDefault="009D52CE" w:rsidP="00B42204">
      <w:pPr>
        <w:widowControl w:val="0"/>
        <w:numPr>
          <w:ilvl w:val="2"/>
          <w:numId w:val="1"/>
        </w:numPr>
        <w:snapToGrid w:val="0"/>
        <w:spacing w:line="360" w:lineRule="auto"/>
        <w:ind w:left="1134" w:hanging="454"/>
        <w:jc w:val="both"/>
        <w:rPr>
          <w:sz w:val="20"/>
          <w:lang w:eastAsia="he-IL"/>
        </w:rPr>
      </w:pPr>
      <w:hyperlink r:id="rId26" w:history="1">
        <w:r w:rsidRPr="009D52CE">
          <w:rPr>
            <w:color w:val="0000FF"/>
            <w:sz w:val="20"/>
            <w:u w:val="single"/>
            <w:rtl/>
            <w:lang w:eastAsia="he-IL"/>
          </w:rPr>
          <w:t>רע"פ 3807/18</w:t>
        </w:r>
      </w:hyperlink>
      <w:r w:rsidR="00B42204">
        <w:rPr>
          <w:sz w:val="20"/>
          <w:rtl/>
          <w:lang w:eastAsia="he-IL"/>
        </w:rPr>
        <w:t xml:space="preserve"> </w:t>
      </w:r>
      <w:r w:rsidR="00B42204">
        <w:rPr>
          <w:rFonts w:cs="Miriam"/>
          <w:b/>
          <w:bCs/>
          <w:sz w:val="18"/>
          <w:szCs w:val="22"/>
          <w:rtl/>
        </w:rPr>
        <w:t>טרטיאקוב נ' מדינת ישראל</w:t>
      </w:r>
      <w:r w:rsidR="00B42204">
        <w:rPr>
          <w:rtl/>
        </w:rPr>
        <w:t xml:space="preserve"> (12.8.18) – נדחו ערעור ובקשת רשות ערעור. בגין החזקת 20 יחידות של סם מסוכן מסוג </w:t>
      </w:r>
      <w:r w:rsidR="00B42204">
        <w:rPr>
          <w:rFonts w:ascii="David" w:hAnsi="David"/>
          <w:sz w:val="22"/>
          <w:szCs w:val="22"/>
        </w:rPr>
        <w:t>AMB-FUB</w:t>
      </w:r>
      <w:r w:rsidR="00B42204">
        <w:rPr>
          <w:rtl/>
        </w:rPr>
        <w:t xml:space="preserve">, במשקל לא ידוע, אשר בית המשפט התייחס אליו כאל מזערי – נקבע </w:t>
      </w:r>
      <w:r w:rsidR="00B42204">
        <w:rPr>
          <w:rFonts w:ascii="Arial" w:hAnsi="Arial"/>
          <w:rtl/>
        </w:rPr>
        <w:t>מתחם הנע בין מספר חודשי מאסר שיכול שירוצו בעבודות שירות עד 18 חודשים מאסר בפועל. הושתו 20 חודשי מאסר בפועל, תוך הפעלת מאסרים מותנים. בדחותו הערעור, קבע בית המשפט המחוזי בבאר שבע, כי בהינתן נסיבותיו האישיות של המערער, לרבות עברו הפלילי "</w:t>
      </w:r>
      <w:r w:rsidR="00B42204">
        <w:rPr>
          <w:rFonts w:ascii="Arial" w:hAnsi="Arial"/>
          <w:b/>
          <w:bCs/>
          <w:rtl/>
        </w:rPr>
        <w:t>עונש של 20 חודשי מאסר אינו אלא הסתפקות בהפעלת התנאים. נראה, כי ביהמ"ש נתן משקל רב לנסיבותיו האישיות של המערער ודן אותו בחלק הנמוך של המתחם שקבע</w:t>
      </w:r>
      <w:r w:rsidR="00B42204">
        <w:rPr>
          <w:rFonts w:ascii="Arial" w:hAnsi="Arial"/>
          <w:rtl/>
        </w:rPr>
        <w:t xml:space="preserve">".  </w:t>
      </w:r>
    </w:p>
    <w:p w14:paraId="73AB55E3" w14:textId="77777777" w:rsidR="00B42204" w:rsidRDefault="00B42204" w:rsidP="00B42204">
      <w:pPr>
        <w:widowControl w:val="0"/>
        <w:snapToGrid w:val="0"/>
        <w:ind w:left="1134"/>
        <w:jc w:val="both"/>
        <w:rPr>
          <w:sz w:val="20"/>
          <w:lang w:eastAsia="he-IL"/>
        </w:rPr>
      </w:pPr>
    </w:p>
    <w:p w14:paraId="0F0AD82F" w14:textId="77777777" w:rsidR="00B42204" w:rsidRDefault="009D52CE" w:rsidP="00B42204">
      <w:pPr>
        <w:widowControl w:val="0"/>
        <w:numPr>
          <w:ilvl w:val="2"/>
          <w:numId w:val="1"/>
        </w:numPr>
        <w:snapToGrid w:val="0"/>
        <w:spacing w:line="360" w:lineRule="auto"/>
        <w:ind w:left="1134" w:hanging="454"/>
        <w:jc w:val="both"/>
        <w:rPr>
          <w:sz w:val="20"/>
          <w:lang w:eastAsia="he-IL"/>
        </w:rPr>
      </w:pPr>
      <w:hyperlink r:id="rId27" w:history="1">
        <w:r w:rsidRPr="009D52CE">
          <w:rPr>
            <w:color w:val="0000FF"/>
            <w:sz w:val="20"/>
            <w:u w:val="single"/>
            <w:rtl/>
            <w:lang w:eastAsia="he-IL"/>
          </w:rPr>
          <w:t>ע"פ 4915/15</w:t>
        </w:r>
      </w:hyperlink>
      <w:r w:rsidR="00B42204">
        <w:rPr>
          <w:sz w:val="20"/>
          <w:rtl/>
          <w:lang w:eastAsia="he-IL"/>
        </w:rPr>
        <w:t xml:space="preserve"> </w:t>
      </w:r>
      <w:r w:rsidR="00B42204">
        <w:rPr>
          <w:rFonts w:ascii="Miriam" w:hAnsi="Miriam" w:cs="Miriam"/>
          <w:b/>
          <w:bCs/>
          <w:sz w:val="18"/>
          <w:szCs w:val="22"/>
          <w:rtl/>
          <w:lang w:eastAsia="he-IL"/>
        </w:rPr>
        <w:t xml:space="preserve">ותד ואח' נ' מדינת ישראל </w:t>
      </w:r>
      <w:r w:rsidR="00B42204">
        <w:rPr>
          <w:sz w:val="20"/>
          <w:rtl/>
          <w:lang w:eastAsia="he-IL"/>
        </w:rPr>
        <w:t xml:space="preserve">(2.11.15) (לעיל ולהלן: </w:t>
      </w:r>
      <w:r w:rsidR="00B42204">
        <w:rPr>
          <w:rFonts w:ascii="Miriam" w:hAnsi="Miriam" w:cs="Miriam"/>
          <w:b/>
          <w:bCs/>
          <w:sz w:val="18"/>
          <w:szCs w:val="22"/>
          <w:rtl/>
          <w:lang w:eastAsia="he-IL"/>
        </w:rPr>
        <w:t>ענין ותד</w:t>
      </w:r>
      <w:r w:rsidR="00B42204">
        <w:rPr>
          <w:sz w:val="20"/>
          <w:rtl/>
          <w:lang w:eastAsia="he-IL"/>
        </w:rPr>
        <w:t xml:space="preserve">) </w:t>
      </w:r>
      <w:r w:rsidR="00B42204">
        <w:rPr>
          <w:rFonts w:ascii="David" w:hAnsi="David"/>
          <w:rtl/>
        </w:rPr>
        <w:t>- נדחה ערעורם של מי שהורשעו על פי הודאתם בעבירות בקשר לעסקה אחת, בה רכשו כ-300 גרם חומר פעיל ממשפחת הקנבינואידים הסינטטיים, הידוע בכינוי "</w:t>
      </w:r>
      <w:r w:rsidR="00B42204">
        <w:rPr>
          <w:rFonts w:ascii="David" w:hAnsi="David"/>
          <w:b/>
          <w:bCs/>
          <w:rtl/>
        </w:rPr>
        <w:t>נייס גיא</w:t>
      </w:r>
      <w:r w:rsidR="00B42204">
        <w:rPr>
          <w:rFonts w:ascii="David" w:hAnsi="David"/>
          <w:rtl/>
        </w:rPr>
        <w:t>" (</w:t>
      </w:r>
      <w:r w:rsidR="00B42204">
        <w:rPr>
          <w:rtl/>
        </w:rPr>
        <w:t>ביחס משוער של 20 גרם חומר פעיל לכל ק"ג חומר צמחי במשקל כ-15 ק"ג)</w:t>
      </w:r>
      <w:r w:rsidR="00B42204">
        <w:rPr>
          <w:rFonts w:ascii="David" w:hAnsi="David"/>
          <w:rtl/>
        </w:rPr>
        <w:t>. נקבע כי נוכח תכונותיהם הרעות של חומרים אלו אין להחיל עליהם רמת הענישה המתונה באופן יחסי הנהוגה ביחס לסמים מסוג קנבוס או חשיש, אך מאחר שהחומרים הוכרזו כסמים פחות משנה עובר למתן גזר הדין – יש להעלות רף הענישה באופן הדרגתי, ולא באבחה אחת. נקבע מתחם 2–5 שנות מאסר והושתו עונשים של 24–28 חודשי מאסר בפועל, בין היתר בהינתן נסיבותיהם האישיות, שכללו גם את גילם הצעיר של חלק מהנאשמים, העדר עבר פלילי לחלקם ורצח אבי שניים מהם.</w:t>
      </w:r>
    </w:p>
    <w:p w14:paraId="2E143A26" w14:textId="77777777" w:rsidR="00B42204" w:rsidRDefault="00B42204" w:rsidP="00B42204">
      <w:pPr>
        <w:pStyle w:val="aa"/>
        <w:widowControl w:val="0"/>
        <w:rPr>
          <w:sz w:val="18"/>
          <w:szCs w:val="20"/>
        </w:rPr>
      </w:pPr>
    </w:p>
    <w:p w14:paraId="59078AB0" w14:textId="77777777" w:rsidR="00B42204" w:rsidRDefault="00B42204" w:rsidP="00B42204">
      <w:pPr>
        <w:widowControl w:val="0"/>
        <w:snapToGrid w:val="0"/>
        <w:ind w:left="1134"/>
        <w:jc w:val="both"/>
        <w:rPr>
          <w:sz w:val="20"/>
          <w:rtl/>
          <w:lang w:eastAsia="he-IL"/>
        </w:rPr>
      </w:pPr>
      <w:r>
        <w:rPr>
          <w:rFonts w:ascii="David" w:hAnsi="David"/>
          <w:rtl/>
        </w:rPr>
        <w:t>* בענייננו מדובר בכמות קטנה בהרבה מזו שנדונה ב-</w:t>
      </w:r>
      <w:r>
        <w:rPr>
          <w:rFonts w:ascii="Miriam" w:hAnsi="Miriam" w:cs="Miriam"/>
          <w:b/>
          <w:bCs/>
          <w:sz w:val="18"/>
          <w:szCs w:val="22"/>
          <w:rtl/>
          <w:lang w:eastAsia="he-IL"/>
        </w:rPr>
        <w:t>ענין ותד</w:t>
      </w:r>
      <w:r>
        <w:rPr>
          <w:rFonts w:ascii="David" w:hAnsi="David"/>
          <w:rtl/>
        </w:rPr>
        <w:t>, אולם חלפו לא מעט שנים מאז שניתן פסק הדין ב-</w:t>
      </w:r>
      <w:r>
        <w:rPr>
          <w:rFonts w:ascii="Miriam" w:hAnsi="Miriam" w:cs="Miriam"/>
          <w:b/>
          <w:bCs/>
          <w:sz w:val="18"/>
          <w:szCs w:val="22"/>
          <w:rtl/>
          <w:lang w:eastAsia="he-IL"/>
        </w:rPr>
        <w:t>ענין ותד</w:t>
      </w:r>
      <w:r>
        <w:rPr>
          <w:rFonts w:ascii="David" w:hAnsi="David"/>
          <w:rtl/>
        </w:rPr>
        <w:t>, בו נקבע כי יש להעלות רף הענישה בהדרגה. זאת ועוד, בעניינו לא מתקיימות הנסיבות המיוחדות שהתקיימו ב-</w:t>
      </w:r>
      <w:r>
        <w:rPr>
          <w:rFonts w:ascii="Miriam" w:hAnsi="Miriam" w:cs="Miriam"/>
          <w:b/>
          <w:bCs/>
          <w:sz w:val="18"/>
          <w:szCs w:val="22"/>
          <w:rtl/>
          <w:lang w:eastAsia="he-IL"/>
        </w:rPr>
        <w:t>ענין ותד</w:t>
      </w:r>
      <w:r>
        <w:rPr>
          <w:rFonts w:ascii="David" w:hAnsi="David"/>
          <w:rtl/>
        </w:rPr>
        <w:t xml:space="preserve">.  </w:t>
      </w:r>
    </w:p>
    <w:p w14:paraId="11605556" w14:textId="77777777" w:rsidR="00B42204" w:rsidRDefault="00B42204" w:rsidP="00B42204">
      <w:pPr>
        <w:widowControl w:val="0"/>
        <w:snapToGrid w:val="0"/>
        <w:spacing w:line="360" w:lineRule="auto"/>
        <w:ind w:left="1134"/>
        <w:jc w:val="both"/>
        <w:rPr>
          <w:rFonts w:ascii="David" w:hAnsi="David"/>
          <w:sz w:val="20"/>
          <w:lang w:eastAsia="he-IL"/>
        </w:rPr>
      </w:pPr>
    </w:p>
    <w:p w14:paraId="37B67E16" w14:textId="77777777" w:rsidR="00B42204" w:rsidRDefault="009D52CE" w:rsidP="00B42204">
      <w:pPr>
        <w:widowControl w:val="0"/>
        <w:numPr>
          <w:ilvl w:val="2"/>
          <w:numId w:val="1"/>
        </w:numPr>
        <w:snapToGrid w:val="0"/>
        <w:spacing w:line="360" w:lineRule="auto"/>
        <w:ind w:left="1134" w:hanging="454"/>
        <w:jc w:val="both"/>
        <w:rPr>
          <w:sz w:val="20"/>
          <w:lang w:eastAsia="he-IL"/>
        </w:rPr>
      </w:pPr>
      <w:hyperlink r:id="rId28" w:history="1">
        <w:r w:rsidRPr="009D52CE">
          <w:rPr>
            <w:color w:val="0000FF"/>
            <w:sz w:val="20"/>
            <w:u w:val="single"/>
            <w:rtl/>
            <w:lang w:eastAsia="he-IL"/>
          </w:rPr>
          <w:t>ע"פ 1635/14</w:t>
        </w:r>
      </w:hyperlink>
      <w:r w:rsidR="00B42204">
        <w:rPr>
          <w:sz w:val="20"/>
          <w:rtl/>
          <w:lang w:eastAsia="he-IL"/>
        </w:rPr>
        <w:t xml:space="preserve"> </w:t>
      </w:r>
      <w:r w:rsidR="00B42204">
        <w:rPr>
          <w:rFonts w:ascii="Miriam" w:hAnsi="Miriam" w:cs="Miriam"/>
          <w:b/>
          <w:bCs/>
          <w:sz w:val="18"/>
          <w:szCs w:val="22"/>
          <w:rtl/>
        </w:rPr>
        <w:t>יהודה נ' מדינת ישראל</w:t>
      </w:r>
      <w:r w:rsidR="00B42204">
        <w:rPr>
          <w:sz w:val="20"/>
          <w:rtl/>
          <w:lang w:eastAsia="he-IL"/>
        </w:rPr>
        <w:t xml:space="preserve"> (21.8.14) (להלן: </w:t>
      </w:r>
      <w:r w:rsidR="00B42204">
        <w:rPr>
          <w:rFonts w:ascii="Miriam" w:hAnsi="Miriam" w:cs="Miriam"/>
          <w:b/>
          <w:bCs/>
          <w:sz w:val="18"/>
          <w:szCs w:val="22"/>
          <w:rtl/>
        </w:rPr>
        <w:t>ענין יהודה</w:t>
      </w:r>
      <w:r w:rsidR="00B42204">
        <w:rPr>
          <w:sz w:val="20"/>
          <w:rtl/>
          <w:lang w:eastAsia="he-IL"/>
        </w:rPr>
        <w:t xml:space="preserve">) - נדחה ערעור על 30 חודשי מאסר, שהושתו בגין הרשעה ביבוא סם מסוכן </w:t>
      </w:r>
      <w:r w:rsidR="00B42204">
        <w:rPr>
          <w:sz w:val="20"/>
          <w:lang w:eastAsia="he-IL"/>
        </w:rPr>
        <w:t>MMC</w:t>
      </w:r>
      <w:r w:rsidR="00B42204">
        <w:rPr>
          <w:sz w:val="20"/>
          <w:rtl/>
          <w:lang w:eastAsia="he-IL"/>
        </w:rPr>
        <w:t>. על דודו, שותפו לביצוע העבירות, הושתו 42 חודשי מאסר. עונשים אלו היו ברף התחתון של מתחמי הענישה שנקבעו.</w:t>
      </w:r>
      <w:r w:rsidR="00B42204">
        <w:rPr>
          <w:sz w:val="20"/>
          <w:rtl/>
        </w:rPr>
        <w:t xml:space="preserve"> הקביעות ב-</w:t>
      </w:r>
      <w:r w:rsidR="00B42204">
        <w:rPr>
          <w:rFonts w:ascii="Miriam" w:hAnsi="Miriam" w:cs="Miriam"/>
          <w:b/>
          <w:bCs/>
          <w:sz w:val="18"/>
          <w:szCs w:val="22"/>
          <w:rtl/>
        </w:rPr>
        <w:t xml:space="preserve">ענין יהודה </w:t>
      </w:r>
      <w:r w:rsidR="00B42204">
        <w:rPr>
          <w:rFonts w:ascii="David" w:hAnsi="David"/>
          <w:rtl/>
          <w:lang w:eastAsia="he-IL"/>
        </w:rPr>
        <w:t>על "</w:t>
      </w:r>
      <w:r w:rsidR="00B42204">
        <w:rPr>
          <w:rFonts w:ascii="David" w:hAnsi="David"/>
          <w:b/>
          <w:bCs/>
          <w:rtl/>
          <w:lang w:eastAsia="he-IL"/>
        </w:rPr>
        <w:t>מעגלי ההרס</w:t>
      </w:r>
      <w:r w:rsidR="00B42204">
        <w:rPr>
          <w:rFonts w:ascii="David" w:hAnsi="David"/>
          <w:rtl/>
          <w:lang w:eastAsia="he-IL"/>
        </w:rPr>
        <w:t xml:space="preserve">" הנגרמים כתוצאה מהשימוש בסמים מסוכנים, עליהם עמד כב' הש' הנדל בסעיף 5 לפסק דינו, </w:t>
      </w:r>
      <w:r w:rsidR="00B42204">
        <w:rPr>
          <w:sz w:val="20"/>
          <w:rtl/>
          <w:lang w:eastAsia="he-IL"/>
        </w:rPr>
        <w:t xml:space="preserve">רלוונטיות גם לענייננו – </w:t>
      </w:r>
    </w:p>
    <w:p w14:paraId="6F0FF485" w14:textId="77777777" w:rsidR="00B42204" w:rsidRDefault="00B42204" w:rsidP="00B42204">
      <w:pPr>
        <w:pStyle w:val="aa"/>
        <w:widowControl w:val="0"/>
        <w:rPr>
          <w:sz w:val="16"/>
          <w:szCs w:val="20"/>
        </w:rPr>
      </w:pPr>
    </w:p>
    <w:p w14:paraId="52248D0C" w14:textId="77777777" w:rsidR="00B42204" w:rsidRDefault="00B42204" w:rsidP="00B42204">
      <w:pPr>
        <w:widowControl w:val="0"/>
        <w:snapToGrid w:val="0"/>
        <w:ind w:left="1474" w:right="1304"/>
        <w:jc w:val="both"/>
        <w:rPr>
          <w:sz w:val="20"/>
          <w:rtl/>
          <w:lang w:eastAsia="he-IL"/>
        </w:rPr>
      </w:pPr>
      <w:r>
        <w:rPr>
          <w:sz w:val="20"/>
          <w:rtl/>
          <w:lang w:eastAsia="he-IL"/>
        </w:rPr>
        <w:t>"</w:t>
      </w:r>
      <w:r>
        <w:rPr>
          <w:b/>
          <w:bCs/>
          <w:sz w:val="20"/>
          <w:rtl/>
          <w:lang w:eastAsia="he-IL"/>
        </w:rPr>
        <w:t>כידוע, השימוש בסם מסוכן אינו פוגע במשתמש לבדו, כי אם בבני משפחתו ובזרים לו, בסביבתו הקרובה והרחוקה, וסופה של השפעתו המחריבה להתפרס על פני החברה בכללותה. הנה כי כן, מעגלי ההרס הקשורים בשימוש בסמים מסוכנים ובייבואם מתרחבים והולכים, כמעגליה של אבן הפוגעת במים מורעלים</w:t>
      </w:r>
      <w:r>
        <w:rPr>
          <w:sz w:val="20"/>
          <w:rtl/>
          <w:lang w:eastAsia="he-IL"/>
        </w:rPr>
        <w:t>".</w:t>
      </w:r>
    </w:p>
    <w:p w14:paraId="5F43F394" w14:textId="77777777" w:rsidR="00B42204" w:rsidRDefault="00B42204" w:rsidP="00B42204">
      <w:pPr>
        <w:widowControl w:val="0"/>
        <w:snapToGrid w:val="0"/>
        <w:ind w:left="1134"/>
        <w:jc w:val="both"/>
        <w:rPr>
          <w:rFonts w:ascii="David" w:hAnsi="David"/>
          <w:rtl/>
        </w:rPr>
      </w:pPr>
    </w:p>
    <w:p w14:paraId="4CE45606" w14:textId="77777777" w:rsidR="00B42204" w:rsidRDefault="00B42204" w:rsidP="00B42204">
      <w:pPr>
        <w:widowControl w:val="0"/>
        <w:snapToGrid w:val="0"/>
        <w:ind w:left="1134"/>
        <w:jc w:val="both"/>
        <w:rPr>
          <w:sz w:val="20"/>
          <w:rtl/>
          <w:lang w:eastAsia="he-IL"/>
        </w:rPr>
      </w:pPr>
      <w:r>
        <w:rPr>
          <w:rFonts w:ascii="David" w:hAnsi="David"/>
          <w:rtl/>
        </w:rPr>
        <w:t>* גם כאן, בענייננו מדובר בכמות קטנה בהרבה מזו שנדונה ב-</w:t>
      </w:r>
      <w:r>
        <w:rPr>
          <w:rFonts w:ascii="Miriam" w:hAnsi="Miriam" w:cs="Miriam"/>
          <w:b/>
          <w:bCs/>
          <w:sz w:val="18"/>
          <w:szCs w:val="22"/>
          <w:rtl/>
          <w:lang w:eastAsia="he-IL"/>
        </w:rPr>
        <w:t>ענין יהודה</w:t>
      </w:r>
      <w:r>
        <w:rPr>
          <w:rFonts w:ascii="David" w:hAnsi="David"/>
          <w:rtl/>
        </w:rPr>
        <w:t xml:space="preserve"> ובעבירה חמורה פחות, אך אין בכך כדי לשנות מהקביעות הנוגעות ל"מעגלי ההרס" עליהם עמד כב' הש' הנדל בפסק דינו ב-</w:t>
      </w:r>
      <w:r>
        <w:rPr>
          <w:rFonts w:ascii="Miriam" w:hAnsi="Miriam" w:cs="Miriam"/>
          <w:b/>
          <w:bCs/>
          <w:sz w:val="18"/>
          <w:szCs w:val="22"/>
          <w:rtl/>
          <w:lang w:eastAsia="he-IL"/>
        </w:rPr>
        <w:t>ענין יהודה</w:t>
      </w:r>
      <w:r>
        <w:rPr>
          <w:rFonts w:ascii="David" w:hAnsi="David"/>
          <w:rtl/>
        </w:rPr>
        <w:t xml:space="preserve">.  </w:t>
      </w:r>
    </w:p>
    <w:p w14:paraId="6EC4F52D" w14:textId="77777777" w:rsidR="00B42204" w:rsidRDefault="00B42204" w:rsidP="00B42204">
      <w:pPr>
        <w:widowControl w:val="0"/>
        <w:snapToGrid w:val="0"/>
        <w:ind w:left="1474" w:right="1304"/>
        <w:jc w:val="both"/>
        <w:rPr>
          <w:rFonts w:ascii="David" w:hAnsi="David"/>
        </w:rPr>
      </w:pPr>
      <w:r>
        <w:rPr>
          <w:sz w:val="20"/>
          <w:rtl/>
          <w:lang w:eastAsia="he-IL"/>
        </w:rPr>
        <w:t xml:space="preserve"> </w:t>
      </w:r>
    </w:p>
    <w:p w14:paraId="14FEA6C0" w14:textId="77777777" w:rsidR="00B42204" w:rsidRDefault="009D52CE" w:rsidP="00B42204">
      <w:pPr>
        <w:widowControl w:val="0"/>
        <w:numPr>
          <w:ilvl w:val="2"/>
          <w:numId w:val="1"/>
        </w:numPr>
        <w:snapToGrid w:val="0"/>
        <w:spacing w:line="360" w:lineRule="auto"/>
        <w:ind w:left="1134" w:hanging="454"/>
        <w:jc w:val="both"/>
      </w:pPr>
      <w:hyperlink r:id="rId29" w:history="1">
        <w:r w:rsidRPr="009D52CE">
          <w:rPr>
            <w:rFonts w:ascii="David" w:hAnsi="David"/>
            <w:color w:val="0000FF"/>
            <w:u w:val="single"/>
            <w:rtl/>
          </w:rPr>
          <w:t>עפ"ג (באר שבע) 54915-05-21</w:t>
        </w:r>
      </w:hyperlink>
      <w:r w:rsidR="00B42204">
        <w:rPr>
          <w:rFonts w:ascii="David" w:hAnsi="David"/>
          <w:rtl/>
        </w:rPr>
        <w:t xml:space="preserve"> </w:t>
      </w:r>
      <w:r w:rsidR="00B42204">
        <w:rPr>
          <w:rFonts w:ascii="David" w:hAnsi="David" w:cs="Miriam"/>
          <w:b/>
          <w:bCs/>
          <w:sz w:val="18"/>
          <w:szCs w:val="22"/>
          <w:rtl/>
        </w:rPr>
        <w:t>מדינת ישראל נ' בניטה</w:t>
      </w:r>
      <w:r w:rsidR="00B42204">
        <w:rPr>
          <w:rFonts w:ascii="David" w:hAnsi="David"/>
          <w:rtl/>
        </w:rPr>
        <w:t xml:space="preserve"> (16.3.22) (להלן: </w:t>
      </w:r>
      <w:r w:rsidR="00B42204">
        <w:rPr>
          <w:rFonts w:ascii="David" w:hAnsi="David" w:cs="Miriam"/>
          <w:b/>
          <w:bCs/>
          <w:sz w:val="18"/>
          <w:szCs w:val="22"/>
          <w:rtl/>
        </w:rPr>
        <w:t>ענין בניטה</w:t>
      </w:r>
      <w:r w:rsidR="00B42204">
        <w:rPr>
          <w:rFonts w:ascii="David" w:hAnsi="David"/>
          <w:rtl/>
        </w:rPr>
        <w:t xml:space="preserve">) – התקבל ערעור המדינה, כך שהושתו 6 חודשי מאסר בפועל (חלף מבחן ו-200 שעות של"ץ). יתר רכיבי גזר הדין שכללו מאסר מותנים, 5,000 ₪ קנס, התחייבות ופסילה מותנית נותרו על כנם. נקבע כי בהחזקת סמים שלא לצריכה עצמית, בנסיבות בהן מדובר בסמים מ-3 סוגים שונים: 1.35 גרם קנבוס, 3.7 גרם חשיש ו-100.13 גרם סם מסוכן מסוג </w:t>
      </w:r>
      <w:r w:rsidR="00B42204">
        <w:rPr>
          <w:rFonts w:ascii="David" w:hAnsi="David"/>
          <w:sz w:val="22"/>
          <w:szCs w:val="22"/>
        </w:rPr>
        <w:t>HEXEDRONE</w:t>
      </w:r>
      <w:r w:rsidR="00B42204">
        <w:rPr>
          <w:rFonts w:ascii="David" w:hAnsi="David"/>
          <w:sz w:val="22"/>
          <w:szCs w:val="22"/>
          <w:rtl/>
        </w:rPr>
        <w:t xml:space="preserve"> </w:t>
      </w:r>
      <w:r w:rsidR="00B42204">
        <w:rPr>
          <w:rFonts w:ascii="David" w:hAnsi="David"/>
          <w:rtl/>
        </w:rPr>
        <w:t>(נגזרת של קאתינון) שהמשיב הודה כי לפחות חלקם הוחזק שלא לצריכה עצמית – לא יכול להתחיל ממאסר מותנה.</w:t>
      </w:r>
      <w:r w:rsidR="00B42204">
        <w:rPr>
          <w:rtl/>
        </w:rPr>
        <w:t xml:space="preserve"> בית המשפט המחוזי קבע את הדברים הבאים, הרלוונטיים בשינויים המחוייבים גם לענייננו (וראו כל האסמכתאות בפסק הדין) - </w:t>
      </w:r>
    </w:p>
    <w:p w14:paraId="084FE0B5" w14:textId="77777777" w:rsidR="00B42204" w:rsidRDefault="00B42204" w:rsidP="00B42204">
      <w:pPr>
        <w:widowControl w:val="0"/>
        <w:snapToGrid w:val="0"/>
        <w:ind w:left="1474" w:right="1304"/>
        <w:jc w:val="both"/>
        <w:rPr>
          <w:sz w:val="16"/>
          <w:szCs w:val="20"/>
          <w:lang w:eastAsia="he-IL"/>
        </w:rPr>
      </w:pPr>
    </w:p>
    <w:p w14:paraId="7B6C21C5" w14:textId="77777777" w:rsidR="00B42204" w:rsidRDefault="00B42204" w:rsidP="00B42204">
      <w:pPr>
        <w:widowControl w:val="0"/>
        <w:snapToGrid w:val="0"/>
        <w:ind w:left="1474" w:right="1304"/>
        <w:jc w:val="both"/>
        <w:rPr>
          <w:sz w:val="20"/>
          <w:rtl/>
          <w:lang w:eastAsia="he-IL"/>
        </w:rPr>
      </w:pPr>
      <w:r>
        <w:rPr>
          <w:sz w:val="20"/>
          <w:rtl/>
          <w:lang w:eastAsia="he-IL"/>
        </w:rPr>
        <w:t>"</w:t>
      </w:r>
      <w:r>
        <w:rPr>
          <w:b/>
          <w:bCs/>
          <w:sz w:val="20"/>
          <w:rtl/>
          <w:lang w:eastAsia="he-IL"/>
        </w:rPr>
        <w:t>מאז ומתמיד מצאו בתי המשפט, כי השימוש בסמים הסינתטיים, הידועים כנגזרות של האמפיטמינים בכל תרכובת שלא תומצא, השפעתו קשה, לא פחות מההשפעה של מה שמכונה 'סמים קשים' כגון הרואין וקוקאין</w:t>
      </w:r>
      <w:r>
        <w:rPr>
          <w:sz w:val="20"/>
          <w:rtl/>
          <w:lang w:eastAsia="he-IL"/>
        </w:rPr>
        <w:t>...</w:t>
      </w:r>
    </w:p>
    <w:p w14:paraId="7E586E3C" w14:textId="77777777" w:rsidR="00B42204" w:rsidRDefault="00B42204" w:rsidP="00B42204">
      <w:pPr>
        <w:widowControl w:val="0"/>
        <w:snapToGrid w:val="0"/>
        <w:ind w:left="1474" w:right="1304"/>
        <w:jc w:val="both"/>
        <w:rPr>
          <w:sz w:val="20"/>
          <w:rtl/>
          <w:lang w:eastAsia="he-IL"/>
        </w:rPr>
      </w:pPr>
      <w:r>
        <w:rPr>
          <w:sz w:val="20"/>
          <w:rtl/>
          <w:lang w:eastAsia="he-IL"/>
        </w:rPr>
        <w:t>...</w:t>
      </w:r>
    </w:p>
    <w:p w14:paraId="2189F4C0" w14:textId="77777777" w:rsidR="00B42204" w:rsidRDefault="00B42204" w:rsidP="00B42204">
      <w:pPr>
        <w:widowControl w:val="0"/>
        <w:snapToGrid w:val="0"/>
        <w:ind w:left="1474" w:right="1304"/>
        <w:jc w:val="both"/>
        <w:rPr>
          <w:sz w:val="20"/>
          <w:rtl/>
          <w:lang w:eastAsia="he-IL"/>
        </w:rPr>
      </w:pPr>
      <w:r>
        <w:rPr>
          <w:b/>
          <w:bCs/>
          <w:sz w:val="20"/>
          <w:rtl/>
          <w:lang w:eastAsia="he-IL"/>
        </w:rPr>
        <w:t>לא מצאנו ממש גם בהנחה, כי המשיב החזיק ב'סמים קלים', כנימוק נוסף להקלה בעונשו, שכן, פקודת הסמים אינה מבחינה בין 'סמים קלים' ל'סמים קלים יותר' או ל'סמים קלים פחות'</w:t>
      </w:r>
      <w:r>
        <w:rPr>
          <w:sz w:val="20"/>
          <w:rtl/>
          <w:lang w:eastAsia="he-IL"/>
        </w:rPr>
        <w:t xml:space="preserve">..." </w:t>
      </w:r>
    </w:p>
    <w:p w14:paraId="447F3474" w14:textId="77777777" w:rsidR="00B42204" w:rsidRDefault="00B42204" w:rsidP="00B42204">
      <w:pPr>
        <w:pStyle w:val="aa"/>
        <w:widowControl w:val="0"/>
        <w:rPr>
          <w:rtl/>
        </w:rPr>
      </w:pPr>
    </w:p>
    <w:p w14:paraId="5F0C23A6" w14:textId="77777777" w:rsidR="00B42204" w:rsidRDefault="00B42204" w:rsidP="00B42204">
      <w:pPr>
        <w:widowControl w:val="0"/>
        <w:snapToGrid w:val="0"/>
        <w:ind w:left="1134"/>
        <w:jc w:val="both"/>
        <w:rPr>
          <w:rFonts w:ascii="David" w:hAnsi="David"/>
          <w:rtl/>
        </w:rPr>
      </w:pPr>
      <w:r>
        <w:rPr>
          <w:rFonts w:ascii="David" w:hAnsi="David"/>
          <w:rtl/>
        </w:rPr>
        <w:t>* נסיבותיו האישיות של המשיב ב-</w:t>
      </w:r>
      <w:r>
        <w:rPr>
          <w:rFonts w:ascii="David" w:hAnsi="David" w:cs="Miriam"/>
          <w:b/>
          <w:bCs/>
          <w:sz w:val="18"/>
          <w:szCs w:val="22"/>
          <w:rtl/>
        </w:rPr>
        <w:t>ענין בניטה</w:t>
      </w:r>
      <w:r>
        <w:rPr>
          <w:rFonts w:ascii="David" w:hAnsi="David"/>
          <w:rtl/>
        </w:rPr>
        <w:t xml:space="preserve"> דומות לאלו של הנאשם שלפני, שכן מדובר במי שעבר תאונת דרכים עת רכב על אופניו, טופל כשנתיים במשככי כאבים שלא הקלו על כאביו וקיבל אישור לשימוש בקנבוס רפואי זמן לא רב לפני מתן פסק הדין. אף המשיב ב-</w:t>
      </w:r>
      <w:r>
        <w:rPr>
          <w:rFonts w:ascii="David" w:hAnsi="David" w:cs="Miriam"/>
          <w:b/>
          <w:bCs/>
          <w:sz w:val="18"/>
          <w:szCs w:val="22"/>
          <w:rtl/>
        </w:rPr>
        <w:t>ענין בניטה</w:t>
      </w:r>
      <w:r>
        <w:rPr>
          <w:rFonts w:ascii="David" w:hAnsi="David"/>
          <w:rtl/>
        </w:rPr>
        <w:t xml:space="preserve"> שלל צורך טיפולי, כמו הנאשם שלפניי. לחובת המשיב עבר פלילי הכולל גם עבירות סמים. </w:t>
      </w:r>
    </w:p>
    <w:p w14:paraId="6FC08B84" w14:textId="77777777" w:rsidR="00B42204" w:rsidRDefault="00B42204" w:rsidP="00B42204">
      <w:pPr>
        <w:pStyle w:val="aa"/>
        <w:widowControl w:val="0"/>
      </w:pPr>
    </w:p>
    <w:p w14:paraId="48B53C97" w14:textId="77777777" w:rsidR="00B42204" w:rsidRDefault="009D52CE" w:rsidP="00B42204">
      <w:pPr>
        <w:widowControl w:val="0"/>
        <w:numPr>
          <w:ilvl w:val="2"/>
          <w:numId w:val="1"/>
        </w:numPr>
        <w:snapToGrid w:val="0"/>
        <w:spacing w:line="360" w:lineRule="auto"/>
        <w:ind w:left="1134" w:hanging="454"/>
        <w:jc w:val="both"/>
        <w:rPr>
          <w:rtl/>
        </w:rPr>
      </w:pPr>
      <w:hyperlink r:id="rId30" w:history="1">
        <w:r w:rsidRPr="009D52CE">
          <w:rPr>
            <w:rFonts w:ascii="David" w:hAnsi="David"/>
            <w:color w:val="0000FF"/>
            <w:u w:val="single"/>
            <w:rtl/>
          </w:rPr>
          <w:t>עפ"ג (מחוזי-ב"ש) 16702-12-14</w:t>
        </w:r>
      </w:hyperlink>
      <w:r w:rsidR="00B42204">
        <w:rPr>
          <w:rFonts w:ascii="David" w:hAnsi="David"/>
          <w:rtl/>
        </w:rPr>
        <w:t xml:space="preserve"> </w:t>
      </w:r>
      <w:r w:rsidR="00B42204">
        <w:rPr>
          <w:rFonts w:ascii="David" w:hAnsi="David" w:cs="Miriam"/>
          <w:b/>
          <w:bCs/>
          <w:sz w:val="18"/>
          <w:szCs w:val="22"/>
          <w:rtl/>
        </w:rPr>
        <w:t>פייסחוב נ' מדינת ישראל</w:t>
      </w:r>
      <w:r w:rsidR="00B42204">
        <w:rPr>
          <w:rFonts w:ascii="David" w:hAnsi="David"/>
          <w:rtl/>
        </w:rPr>
        <w:t xml:space="preserve"> (11.2.15) – התקבל ערעור, כך שהושתו 13 חודשי מאסר בפועל (חלף 14 חודשים), לצד מע"ת, קנס בסך 1,000 ₪, פסילת רישיון בפועל ופסילה על תנאי. זאת בשל טעות בגזר הדין, שייחס לנאשם סחר ולא אספקה ללא תמורה. בית המשפט המחוזי לא התערב במתחמים שנקבעו: 4–12 חודשי מאסר בפועל בגין כל אישום של החזקה לצורך הפצה והפצה של חומרים מסכנים מסוג </w:t>
      </w:r>
      <w:r w:rsidR="00B42204">
        <w:rPr>
          <w:rFonts w:ascii="David" w:hAnsi="David"/>
          <w:sz w:val="22"/>
          <w:szCs w:val="22"/>
        </w:rPr>
        <w:t>AB-PINACA</w:t>
      </w:r>
      <w:r w:rsidR="00B42204">
        <w:rPr>
          <w:rFonts w:ascii="David" w:hAnsi="David"/>
          <w:sz w:val="22"/>
          <w:szCs w:val="22"/>
          <w:rtl/>
        </w:rPr>
        <w:t xml:space="preserve"> </w:t>
      </w:r>
      <w:r w:rsidR="00B42204">
        <w:rPr>
          <w:rFonts w:ascii="David" w:hAnsi="David" w:hint="cs"/>
          <w:sz w:val="22"/>
          <w:szCs w:val="22"/>
          <w:rtl/>
        </w:rPr>
        <w:t xml:space="preserve">ומסוג </w:t>
      </w:r>
      <w:r w:rsidR="00B42204">
        <w:rPr>
          <w:rFonts w:ascii="David" w:hAnsi="David"/>
          <w:sz w:val="22"/>
          <w:szCs w:val="22"/>
        </w:rPr>
        <w:t>AB-FUBINACA</w:t>
      </w:r>
      <w:r w:rsidR="00B42204">
        <w:rPr>
          <w:rFonts w:ascii="David" w:hAnsi="David"/>
          <w:rtl/>
        </w:rPr>
        <w:t xml:space="preserve">. בגין החזקת יחידה של חומר מסכן מסוג </w:t>
      </w:r>
      <w:r w:rsidR="00B42204">
        <w:rPr>
          <w:rFonts w:ascii="David" w:hAnsi="David"/>
          <w:sz w:val="22"/>
          <w:szCs w:val="22"/>
        </w:rPr>
        <w:t>PB</w:t>
      </w:r>
      <w:r w:rsidR="00B42204">
        <w:rPr>
          <w:rFonts w:ascii="David" w:hAnsi="David"/>
        </w:rPr>
        <w:t>-22</w:t>
      </w:r>
      <w:r w:rsidR="00B42204">
        <w:rPr>
          <w:rFonts w:ascii="David" w:hAnsi="David"/>
          <w:rtl/>
        </w:rPr>
        <w:t>, נקבע מתחם הנע ממאסר מותנה עד 6 חודשי מאסר. בתי המשפט התחשבו בנסיבותיו האישיות, בכך שהודה מייד במיוחס לו ובכך שהיה עצור זמן ממושך</w:t>
      </w:r>
      <w:r w:rsidR="00B42204">
        <w:rPr>
          <w:rtl/>
        </w:rPr>
        <w:t>.</w:t>
      </w:r>
    </w:p>
    <w:p w14:paraId="6BE24D96" w14:textId="77777777" w:rsidR="00B42204" w:rsidRDefault="00B42204" w:rsidP="00B42204">
      <w:pPr>
        <w:pStyle w:val="aa"/>
        <w:widowControl w:val="0"/>
        <w:ind w:left="1134"/>
        <w:jc w:val="both"/>
        <w:rPr>
          <w:sz w:val="18"/>
          <w:szCs w:val="20"/>
        </w:rPr>
      </w:pPr>
    </w:p>
    <w:p w14:paraId="63C76070" w14:textId="77777777" w:rsidR="00B42204" w:rsidRDefault="00B42204" w:rsidP="00B42204">
      <w:pPr>
        <w:pStyle w:val="aa"/>
        <w:widowControl w:val="0"/>
        <w:ind w:left="1134"/>
        <w:jc w:val="both"/>
        <w:rPr>
          <w:rtl/>
        </w:rPr>
      </w:pPr>
      <w:r>
        <w:rPr>
          <w:rFonts w:hint="cs"/>
          <w:rtl/>
        </w:rPr>
        <w:t xml:space="preserve">* גם כאן מדובר בעבירות חמורות מאלו שלפניי, אולם ניתן להקיש מהמתחם שנקבע לגבי החזקת יחידה של חומר מסכן לענייננו. </w:t>
      </w:r>
    </w:p>
    <w:p w14:paraId="72CB86B8" w14:textId="77777777" w:rsidR="00B42204" w:rsidRDefault="00B42204" w:rsidP="00B42204">
      <w:pPr>
        <w:widowControl w:val="0"/>
        <w:snapToGrid w:val="0"/>
        <w:ind w:left="1134"/>
        <w:jc w:val="both"/>
      </w:pPr>
    </w:p>
    <w:p w14:paraId="04FC3F7A" w14:textId="77777777" w:rsidR="00B42204" w:rsidRDefault="009D52CE" w:rsidP="00B42204">
      <w:pPr>
        <w:widowControl w:val="0"/>
        <w:numPr>
          <w:ilvl w:val="2"/>
          <w:numId w:val="1"/>
        </w:numPr>
        <w:snapToGrid w:val="0"/>
        <w:spacing w:line="360" w:lineRule="auto"/>
        <w:ind w:left="1134" w:hanging="454"/>
        <w:jc w:val="both"/>
      </w:pPr>
      <w:hyperlink r:id="rId31" w:history="1">
        <w:r w:rsidRPr="009D52CE">
          <w:rPr>
            <w:rFonts w:ascii="David" w:hAnsi="David"/>
            <w:color w:val="0000FF"/>
            <w:u w:val="single"/>
            <w:rtl/>
          </w:rPr>
          <w:t>ת"פ (שלום-ב"ש) 19211-06-17</w:t>
        </w:r>
      </w:hyperlink>
      <w:r w:rsidR="00B42204">
        <w:rPr>
          <w:rFonts w:ascii="David" w:hAnsi="David"/>
          <w:rtl/>
        </w:rPr>
        <w:t xml:space="preserve"> </w:t>
      </w:r>
      <w:r w:rsidR="00B42204">
        <w:rPr>
          <w:rFonts w:ascii="David" w:hAnsi="David" w:cs="Miriam"/>
          <w:b/>
          <w:bCs/>
          <w:sz w:val="18"/>
          <w:szCs w:val="22"/>
          <w:rtl/>
        </w:rPr>
        <w:t>מדינת ישראל נ' אמשיקשוילי</w:t>
      </w:r>
      <w:r w:rsidR="00B42204">
        <w:rPr>
          <w:rFonts w:ascii="David" w:hAnsi="David"/>
          <w:b/>
          <w:bCs/>
          <w:rtl/>
        </w:rPr>
        <w:t xml:space="preserve"> </w:t>
      </w:r>
      <w:r w:rsidR="00B42204">
        <w:rPr>
          <w:rFonts w:ascii="David" w:hAnsi="David"/>
          <w:rtl/>
        </w:rPr>
        <w:t>(27.2.23)</w:t>
      </w:r>
      <w:r w:rsidR="00B42204">
        <w:rPr>
          <w:rtl/>
        </w:rPr>
        <w:t xml:space="preserve"> </w:t>
      </w:r>
      <w:r w:rsidR="00B42204">
        <w:rPr>
          <w:rFonts w:ascii="David" w:hAnsi="David"/>
          <w:rtl/>
        </w:rPr>
        <w:t xml:space="preserve">- נאשם 2 הודה והורשע בסיוע לנאשם 1 בהחזקת 11 יחידות סם מסוג </w:t>
      </w:r>
      <w:r w:rsidR="00B42204">
        <w:rPr>
          <w:rFonts w:ascii="David" w:hAnsi="David"/>
          <w:sz w:val="22"/>
          <w:szCs w:val="22"/>
        </w:rPr>
        <w:t>AMB-FUB</w:t>
      </w:r>
      <w:r w:rsidR="00B42204">
        <w:rPr>
          <w:rFonts w:ascii="David" w:hAnsi="David"/>
          <w:sz w:val="22"/>
          <w:szCs w:val="22"/>
          <w:rtl/>
        </w:rPr>
        <w:t xml:space="preserve"> </w:t>
      </w:r>
      <w:r w:rsidR="00B42204">
        <w:rPr>
          <w:rtl/>
        </w:rPr>
        <w:t>במשקל 2,500 גרם, בכך ששכר דירה עבור נאשם 1, בה החזיק נאשם 1 את הסמים. הנאשם הופנה לשירות המבחן אולם לא התייצב, אף לאחר שזומן באמצעות אשתו ובאמצעות באת כוחו. נ</w:t>
      </w:r>
      <w:r w:rsidR="00B42204">
        <w:rPr>
          <w:rFonts w:ascii="David" w:hAnsi="David"/>
          <w:rtl/>
        </w:rPr>
        <w:t xml:space="preserve">קבע מתחם </w:t>
      </w:r>
      <w:r w:rsidR="00B42204">
        <w:rPr>
          <w:rtl/>
        </w:rPr>
        <w:t xml:space="preserve">6–12 </w:t>
      </w:r>
      <w:r w:rsidR="00B42204">
        <w:rPr>
          <w:rFonts w:ascii="David" w:hAnsi="David"/>
          <w:rtl/>
        </w:rPr>
        <w:t>חודשי מאסר. על הנאשם, שנטל אחריות, חסך בזמן שיפוטי</w:t>
      </w:r>
      <w:r w:rsidR="00B42204">
        <w:rPr>
          <w:rtl/>
        </w:rPr>
        <w:t xml:space="preserve"> ו</w:t>
      </w:r>
      <w:r w:rsidR="00B42204">
        <w:rPr>
          <w:rFonts w:ascii="David" w:hAnsi="David"/>
          <w:rtl/>
        </w:rPr>
        <w:t>תוך התחשבות בנסיבותיו האישיות</w:t>
      </w:r>
      <w:r w:rsidR="00B42204">
        <w:rPr>
          <w:rtl/>
        </w:rPr>
        <w:t xml:space="preserve">, הכוללות עבר פלילי, גם בעבירות סמים – הושתו </w:t>
      </w:r>
      <w:r w:rsidR="00B42204">
        <w:rPr>
          <w:rFonts w:ascii="David" w:hAnsi="David"/>
          <w:rtl/>
        </w:rPr>
        <w:t>9 חודשי</w:t>
      </w:r>
      <w:r w:rsidR="00B42204">
        <w:rPr>
          <w:rtl/>
        </w:rPr>
        <w:t xml:space="preserve"> מאסר לריצוי בעבודות שירות,</w:t>
      </w:r>
      <w:r w:rsidR="00B42204">
        <w:rPr>
          <w:rFonts w:ascii="David" w:hAnsi="David"/>
          <w:rtl/>
        </w:rPr>
        <w:t xml:space="preserve"> מאסרים מותנים, 5,000 ₪</w:t>
      </w:r>
      <w:r w:rsidR="00B42204">
        <w:rPr>
          <w:rtl/>
        </w:rPr>
        <w:t xml:space="preserve"> קנס ופסילה מותנית. על גזר הדין הוגש ערעור ב-</w:t>
      </w:r>
      <w:hyperlink r:id="rId32" w:history="1">
        <w:r w:rsidRPr="009D52CE">
          <w:rPr>
            <w:rFonts w:ascii="David" w:hAnsi="David"/>
            <w:color w:val="0000FF"/>
            <w:u w:val="single"/>
            <w:rtl/>
          </w:rPr>
          <w:t>עפ"ג 3181-05-23</w:t>
        </w:r>
      </w:hyperlink>
      <w:r w:rsidR="00B42204">
        <w:rPr>
          <w:rFonts w:ascii="David" w:hAnsi="David"/>
          <w:rtl/>
        </w:rPr>
        <w:t xml:space="preserve"> </w:t>
      </w:r>
      <w:r w:rsidR="00B42204">
        <w:rPr>
          <w:rFonts w:ascii="David" w:hAnsi="David" w:cs="Miriam"/>
          <w:b/>
          <w:bCs/>
          <w:sz w:val="18"/>
          <w:szCs w:val="22"/>
          <w:rtl/>
        </w:rPr>
        <w:t>צ'רנוב נ' מדינת ישראל</w:t>
      </w:r>
      <w:r w:rsidR="00B42204">
        <w:rPr>
          <w:rFonts w:ascii="David" w:hAnsi="David"/>
          <w:rtl/>
        </w:rPr>
        <w:t xml:space="preserve">, שטרם נדון. </w:t>
      </w:r>
    </w:p>
    <w:p w14:paraId="5C1BDDE5" w14:textId="77777777" w:rsidR="00B42204" w:rsidRDefault="00B42204" w:rsidP="00B42204">
      <w:pPr>
        <w:pStyle w:val="aa"/>
        <w:widowControl w:val="0"/>
        <w:spacing w:line="360" w:lineRule="auto"/>
        <w:ind w:left="1471"/>
        <w:jc w:val="both"/>
        <w:rPr>
          <w:sz w:val="24"/>
        </w:rPr>
      </w:pPr>
    </w:p>
    <w:p w14:paraId="341C8B56" w14:textId="77777777" w:rsidR="00B42204" w:rsidRDefault="00B42204" w:rsidP="00B42204">
      <w:pPr>
        <w:pStyle w:val="aa"/>
        <w:widowControl w:val="0"/>
        <w:numPr>
          <w:ilvl w:val="1"/>
          <w:numId w:val="1"/>
        </w:numPr>
        <w:spacing w:line="360" w:lineRule="auto"/>
        <w:ind w:left="714" w:hanging="357"/>
        <w:jc w:val="both"/>
      </w:pPr>
      <w:r>
        <w:rPr>
          <w:rFonts w:hint="cs"/>
          <w:b/>
          <w:rtl/>
        </w:rPr>
        <w:t xml:space="preserve">בפסיקה עוברת כחוט השני חשיבות </w:t>
      </w:r>
      <w:r>
        <w:rPr>
          <w:rFonts w:hint="cs"/>
          <w:b/>
          <w:bCs/>
          <w:rtl/>
        </w:rPr>
        <w:t>נסיבות הקשורות בביצוע העבירות</w:t>
      </w:r>
      <w:r>
        <w:rPr>
          <w:rFonts w:hint="cs"/>
          <w:rtl/>
        </w:rPr>
        <w:t xml:space="preserve">, בהתאם </w:t>
      </w:r>
      <w:hyperlink r:id="rId33" w:history="1">
        <w:r w:rsidR="006149A5" w:rsidRPr="006149A5">
          <w:rPr>
            <w:rStyle w:val="Hyperlink"/>
            <w:rFonts w:hint="eastAsia"/>
            <w:rtl/>
          </w:rPr>
          <w:t>לסעיף</w:t>
        </w:r>
        <w:r w:rsidR="006149A5" w:rsidRPr="006149A5">
          <w:rPr>
            <w:rStyle w:val="Hyperlink"/>
            <w:rtl/>
          </w:rPr>
          <w:t xml:space="preserve"> 40יט</w:t>
        </w:r>
      </w:hyperlink>
      <w:r>
        <w:rPr>
          <w:rFonts w:hint="cs"/>
          <w:rtl/>
        </w:rPr>
        <w:t xml:space="preserve"> ל-</w:t>
      </w:r>
      <w:hyperlink r:id="rId34" w:history="1">
        <w:r w:rsidR="009D52CE" w:rsidRPr="009D52CE">
          <w:rPr>
            <w:rFonts w:ascii="Miriam" w:hAnsi="Miriam" w:cs="Miriam"/>
            <w:b/>
            <w:bCs/>
            <w:color w:val="0000FF"/>
            <w:sz w:val="18"/>
            <w:szCs w:val="22"/>
            <w:u w:val="single"/>
            <w:rtl/>
          </w:rPr>
          <w:t>חוק העונשין</w:t>
        </w:r>
      </w:hyperlink>
      <w:r>
        <w:rPr>
          <w:rFonts w:hint="cs"/>
          <w:rtl/>
        </w:rPr>
        <w:t xml:space="preserve"> </w:t>
      </w:r>
      <w:r>
        <w:rPr>
          <w:rFonts w:hint="cs"/>
          <w:b/>
          <w:rtl/>
        </w:rPr>
        <w:t xml:space="preserve">בעת קביעת המתחם, </w:t>
      </w:r>
      <w:r>
        <w:rPr>
          <w:rFonts w:hint="cs"/>
          <w:rtl/>
        </w:rPr>
        <w:t>ובכלל זה סוג הסם, אופן החזקתו וכמותו. עיון בפסיקה מלמד, כי אין דין החזקת גרמים בודדים כדין החזקת ק"ג רבים ואין דין החזקה לשימוש עצמי כדין החזקה שלא לשימוש עצמי. משכך התחשבתי בנסיבות הבאות:</w:t>
      </w:r>
    </w:p>
    <w:p w14:paraId="461A205C" w14:textId="77777777" w:rsidR="00B42204" w:rsidRDefault="00B42204" w:rsidP="00B42204">
      <w:pPr>
        <w:widowControl w:val="0"/>
        <w:snapToGrid w:val="0"/>
        <w:ind w:left="1134"/>
        <w:jc w:val="both"/>
        <w:rPr>
          <w:sz w:val="16"/>
          <w:szCs w:val="20"/>
          <w:lang w:eastAsia="he-IL"/>
        </w:rPr>
      </w:pPr>
    </w:p>
    <w:p w14:paraId="73583326" w14:textId="77777777" w:rsidR="00B42204" w:rsidRDefault="00B42204" w:rsidP="00B42204">
      <w:pPr>
        <w:widowControl w:val="0"/>
        <w:numPr>
          <w:ilvl w:val="2"/>
          <w:numId w:val="1"/>
        </w:numPr>
        <w:snapToGrid w:val="0"/>
        <w:spacing w:line="360" w:lineRule="auto"/>
        <w:ind w:left="1134" w:hanging="414"/>
        <w:jc w:val="both"/>
        <w:rPr>
          <w:sz w:val="20"/>
          <w:lang w:eastAsia="he-IL"/>
        </w:rPr>
      </w:pPr>
      <w:r>
        <w:rPr>
          <w:sz w:val="20"/>
          <w:rtl/>
          <w:lang w:eastAsia="he-IL"/>
        </w:rPr>
        <w:t xml:space="preserve">עבירת החזקת הסמים, מעצם טיבה וטבעה ברי כי </w:t>
      </w:r>
      <w:r>
        <w:rPr>
          <w:b/>
          <w:bCs/>
          <w:sz w:val="20"/>
          <w:rtl/>
          <w:lang w:eastAsia="he-IL"/>
        </w:rPr>
        <w:t>קדם לה תכנון</w:t>
      </w:r>
      <w:r>
        <w:rPr>
          <w:sz w:val="20"/>
          <w:rtl/>
          <w:lang w:eastAsia="he-IL"/>
        </w:rPr>
        <w:t>;</w:t>
      </w:r>
    </w:p>
    <w:p w14:paraId="19AF2ED2" w14:textId="77777777" w:rsidR="00B42204" w:rsidRDefault="00B42204" w:rsidP="00B42204">
      <w:pPr>
        <w:widowControl w:val="0"/>
        <w:snapToGrid w:val="0"/>
        <w:ind w:left="1134"/>
        <w:jc w:val="both"/>
        <w:rPr>
          <w:sz w:val="16"/>
          <w:szCs w:val="20"/>
          <w:lang w:eastAsia="he-IL"/>
        </w:rPr>
      </w:pPr>
    </w:p>
    <w:p w14:paraId="70A3E50F" w14:textId="77777777" w:rsidR="00B42204" w:rsidRDefault="00B42204" w:rsidP="00B42204">
      <w:pPr>
        <w:widowControl w:val="0"/>
        <w:numPr>
          <w:ilvl w:val="2"/>
          <w:numId w:val="1"/>
        </w:numPr>
        <w:snapToGrid w:val="0"/>
        <w:spacing w:line="360" w:lineRule="auto"/>
        <w:ind w:left="1134" w:hanging="414"/>
        <w:jc w:val="both"/>
        <w:rPr>
          <w:sz w:val="20"/>
          <w:lang w:eastAsia="he-IL"/>
        </w:rPr>
      </w:pPr>
      <w:r>
        <w:rPr>
          <w:sz w:val="20"/>
          <w:rtl/>
          <w:lang w:eastAsia="he-IL"/>
        </w:rPr>
        <w:t xml:space="preserve">הנאשם הוא </w:t>
      </w:r>
      <w:r>
        <w:rPr>
          <w:b/>
          <w:bCs/>
          <w:sz w:val="20"/>
          <w:rtl/>
          <w:lang w:eastAsia="he-IL"/>
        </w:rPr>
        <w:t>המבצע היחיד והעיקרי</w:t>
      </w:r>
      <w:r>
        <w:rPr>
          <w:sz w:val="20"/>
          <w:rtl/>
          <w:lang w:eastAsia="he-IL"/>
        </w:rPr>
        <w:t>;</w:t>
      </w:r>
    </w:p>
    <w:p w14:paraId="5A97682F" w14:textId="77777777" w:rsidR="00B42204" w:rsidRDefault="00B42204" w:rsidP="00B42204">
      <w:pPr>
        <w:pStyle w:val="aa"/>
        <w:widowControl w:val="0"/>
        <w:rPr>
          <w:sz w:val="16"/>
          <w:szCs w:val="20"/>
        </w:rPr>
      </w:pPr>
    </w:p>
    <w:p w14:paraId="7D84B71A" w14:textId="77777777" w:rsidR="00B42204" w:rsidRDefault="00B42204" w:rsidP="00B42204">
      <w:pPr>
        <w:widowControl w:val="0"/>
        <w:numPr>
          <w:ilvl w:val="2"/>
          <w:numId w:val="1"/>
        </w:numPr>
        <w:snapToGrid w:val="0"/>
        <w:spacing w:line="360" w:lineRule="auto"/>
        <w:ind w:left="1134" w:hanging="414"/>
        <w:jc w:val="both"/>
        <w:rPr>
          <w:sz w:val="20"/>
          <w:rtl/>
          <w:lang w:eastAsia="he-IL"/>
        </w:rPr>
      </w:pPr>
      <w:r>
        <w:rPr>
          <w:b/>
          <w:bCs/>
          <w:sz w:val="20"/>
          <w:rtl/>
          <w:lang w:eastAsia="he-IL"/>
        </w:rPr>
        <w:t>הנזק שנגרם מביצוע העבירה</w:t>
      </w:r>
      <w:r>
        <w:rPr>
          <w:sz w:val="20"/>
          <w:rtl/>
          <w:lang w:eastAsia="he-IL"/>
        </w:rPr>
        <w:t xml:space="preserve"> הוא לא רב, בהינתן כי הסם נתפס;</w:t>
      </w:r>
    </w:p>
    <w:p w14:paraId="67714D17" w14:textId="77777777" w:rsidR="00B42204" w:rsidRDefault="00B42204" w:rsidP="00B42204">
      <w:pPr>
        <w:pStyle w:val="aa"/>
        <w:widowControl w:val="0"/>
        <w:rPr>
          <w:sz w:val="16"/>
          <w:szCs w:val="20"/>
        </w:rPr>
      </w:pPr>
    </w:p>
    <w:p w14:paraId="00A753E2" w14:textId="77777777" w:rsidR="00B42204" w:rsidRDefault="00B42204" w:rsidP="00B42204">
      <w:pPr>
        <w:widowControl w:val="0"/>
        <w:numPr>
          <w:ilvl w:val="2"/>
          <w:numId w:val="1"/>
        </w:numPr>
        <w:snapToGrid w:val="0"/>
        <w:spacing w:line="360" w:lineRule="auto"/>
        <w:ind w:left="1134" w:hanging="414"/>
        <w:jc w:val="both"/>
        <w:rPr>
          <w:sz w:val="20"/>
          <w:rtl/>
          <w:lang w:eastAsia="he-IL"/>
        </w:rPr>
      </w:pPr>
      <w:r>
        <w:rPr>
          <w:b/>
          <w:bCs/>
          <w:sz w:val="20"/>
          <w:rtl/>
          <w:lang w:eastAsia="he-IL"/>
        </w:rPr>
        <w:t>הנזק שהיה צפוי להיגרם מהעבירה הוא משמעותי</w:t>
      </w:r>
      <w:r>
        <w:rPr>
          <w:sz w:val="20"/>
          <w:rtl/>
          <w:lang w:eastAsia="he-IL"/>
        </w:rPr>
        <w:t>. מחד גיסא, בהינתן כמות הסם (</w:t>
      </w:r>
      <w:r>
        <w:rPr>
          <w:rtl/>
        </w:rPr>
        <w:t>11.6221 גרם נטו)</w:t>
      </w:r>
      <w:r>
        <w:rPr>
          <w:sz w:val="20"/>
          <w:rtl/>
          <w:lang w:eastAsia="he-IL"/>
        </w:rPr>
        <w:t xml:space="preserve">, סוג הסם ונסיבות החזקתו (לשימוש עצמי) – לא מדובר ברף הגבוה של החומרה. מאידך גיסא, מדובר </w:t>
      </w:r>
      <w:r>
        <w:rPr>
          <w:b/>
          <w:bCs/>
          <w:sz w:val="20"/>
          <w:rtl/>
          <w:lang w:eastAsia="he-IL"/>
        </w:rPr>
        <w:t xml:space="preserve">בסם מסוג </w:t>
      </w:r>
      <w:r>
        <w:rPr>
          <w:rFonts w:ascii="David" w:hAnsi="David"/>
        </w:rPr>
        <w:t>5</w:t>
      </w:r>
      <w:r>
        <w:rPr>
          <w:rFonts w:ascii="David" w:hAnsi="David"/>
          <w:sz w:val="22"/>
          <w:szCs w:val="22"/>
        </w:rPr>
        <w:t>f MDMB-PICA</w:t>
      </w:r>
      <w:r>
        <w:rPr>
          <w:sz w:val="20"/>
          <w:rtl/>
          <w:lang w:eastAsia="he-IL"/>
        </w:rPr>
        <w:t>, שאמנם לא נמנה על הסמים המסוכנים והקטלניים שב-</w:t>
      </w:r>
      <w:r>
        <w:rPr>
          <w:rFonts w:cs="Miriam"/>
          <w:b/>
          <w:bCs/>
          <w:sz w:val="18"/>
          <w:szCs w:val="22"/>
          <w:rtl/>
          <w:lang w:eastAsia="he-IL"/>
        </w:rPr>
        <w:t>פקודת הסמים</w:t>
      </w:r>
      <w:r>
        <w:rPr>
          <w:sz w:val="20"/>
          <w:rtl/>
          <w:lang w:eastAsia="he-IL"/>
        </w:rPr>
        <w:t>, אך פגיעתו חמורה מזו של קנבוס או חשיש, כפי שנקבע בפסיקה שהובאה לעיל;</w:t>
      </w:r>
    </w:p>
    <w:p w14:paraId="2E49C77D" w14:textId="77777777" w:rsidR="00B42204" w:rsidRDefault="00B42204" w:rsidP="00B42204">
      <w:pPr>
        <w:pStyle w:val="aa"/>
        <w:widowControl w:val="0"/>
      </w:pPr>
    </w:p>
    <w:p w14:paraId="5F76DDB4" w14:textId="77777777" w:rsidR="00B42204" w:rsidRDefault="00B42204" w:rsidP="00B42204">
      <w:pPr>
        <w:widowControl w:val="0"/>
        <w:numPr>
          <w:ilvl w:val="2"/>
          <w:numId w:val="1"/>
        </w:numPr>
        <w:snapToGrid w:val="0"/>
        <w:spacing w:line="360" w:lineRule="auto"/>
        <w:ind w:left="1134" w:hanging="414"/>
        <w:jc w:val="both"/>
        <w:rPr>
          <w:sz w:val="20"/>
          <w:rtl/>
          <w:lang w:eastAsia="he-IL"/>
        </w:rPr>
      </w:pPr>
      <w:r>
        <w:rPr>
          <w:b/>
          <w:bCs/>
          <w:sz w:val="20"/>
          <w:rtl/>
          <w:lang w:eastAsia="he-IL"/>
        </w:rPr>
        <w:t>הסיבות שהביאו את הנאשם לביצוע העבירה</w:t>
      </w:r>
      <w:r>
        <w:rPr>
          <w:sz w:val="20"/>
          <w:rtl/>
          <w:lang w:eastAsia="he-IL"/>
        </w:rPr>
        <w:t xml:space="preserve">, כעולה </w:t>
      </w:r>
      <w:r>
        <w:rPr>
          <w:rFonts w:ascii="David" w:hAnsi="David"/>
          <w:rtl/>
        </w:rPr>
        <w:t>מדברי הנאשם בפני שירות המבחן ובבית המשפט, הן כאבים בשל פציעה כתוצאה מתאונה שעבר, במהלכה שבר את המרפק. הנאשם טופל בתרופות שלטענתו גרמו לו לפצעים בגוף ולא הצליח לישון. לטענתו רק הקנבוס עזר לו בכאביו והוא פעל לקבלת רישיון לשימוש בו (שלימים ניתן).</w:t>
      </w:r>
    </w:p>
    <w:p w14:paraId="6E2418D1" w14:textId="77777777" w:rsidR="00B42204" w:rsidRDefault="00B42204" w:rsidP="00B42204">
      <w:pPr>
        <w:widowControl w:val="0"/>
        <w:spacing w:line="360" w:lineRule="auto"/>
        <w:jc w:val="both"/>
        <w:rPr>
          <w:rFonts w:ascii="David" w:hAnsi="David"/>
          <w:bCs/>
          <w:sz w:val="26"/>
          <w:szCs w:val="26"/>
        </w:rPr>
      </w:pPr>
    </w:p>
    <w:p w14:paraId="79D90AF3" w14:textId="77777777" w:rsidR="00B42204" w:rsidRDefault="00B42204" w:rsidP="00B42204">
      <w:pPr>
        <w:widowControl w:val="0"/>
        <w:spacing w:line="360" w:lineRule="auto"/>
        <w:jc w:val="both"/>
        <w:rPr>
          <w:rFonts w:ascii="David" w:hAnsi="David"/>
          <w:bCs/>
          <w:sz w:val="26"/>
          <w:szCs w:val="26"/>
        </w:rPr>
      </w:pPr>
      <w:r>
        <w:rPr>
          <w:rFonts w:ascii="David" w:hAnsi="David"/>
          <w:bCs/>
          <w:sz w:val="26"/>
          <w:szCs w:val="26"/>
          <w:rtl/>
        </w:rPr>
        <w:t>מתחם העונש ההולם</w:t>
      </w:r>
    </w:p>
    <w:p w14:paraId="16860464" w14:textId="77777777" w:rsidR="00B42204" w:rsidRDefault="00B42204" w:rsidP="00B42204">
      <w:pPr>
        <w:pStyle w:val="aa"/>
        <w:widowControl w:val="0"/>
        <w:numPr>
          <w:ilvl w:val="0"/>
          <w:numId w:val="1"/>
        </w:numPr>
        <w:spacing w:line="360" w:lineRule="auto"/>
        <w:ind w:left="357" w:hanging="357"/>
        <w:jc w:val="both"/>
        <w:rPr>
          <w:rFonts w:ascii="Times New Roman" w:hAnsi="Times New Roman"/>
          <w:b/>
        </w:rPr>
      </w:pPr>
      <w:r>
        <w:rPr>
          <w:rFonts w:hint="cs"/>
          <w:rtl/>
        </w:rPr>
        <w:t xml:space="preserve">הנאשם הורשע בעבירה אחת המהווה אירוע אחד. נוכח כל המתואר לעיל, מקובלת עלי עמדת ב"כ המאשימה ומשכך אני קובעת </w:t>
      </w:r>
      <w:r>
        <w:rPr>
          <w:rFonts w:hint="cs"/>
          <w:b/>
          <w:bCs/>
          <w:rtl/>
        </w:rPr>
        <w:t>מתחם עונש הולם כמתחם שתחילתו בענישה צופה פני עתיד עד 9 חודשי מאסר, אשר יכול שירוצו בעבודות שירות, לצד ענישה נלווית</w:t>
      </w:r>
      <w:r>
        <w:rPr>
          <w:rFonts w:hint="cs"/>
          <w:b/>
          <w:rtl/>
        </w:rPr>
        <w:t xml:space="preserve">. </w:t>
      </w:r>
    </w:p>
    <w:p w14:paraId="2E632A66" w14:textId="77777777" w:rsidR="00B42204" w:rsidRDefault="00B42204" w:rsidP="00B42204">
      <w:pPr>
        <w:pStyle w:val="aa"/>
        <w:widowControl w:val="0"/>
        <w:spacing w:line="360" w:lineRule="auto"/>
        <w:ind w:left="357"/>
        <w:jc w:val="both"/>
        <w:rPr>
          <w:rFonts w:ascii="Times New Roman" w:hAnsi="Times New Roman"/>
          <w:b/>
        </w:rPr>
      </w:pPr>
    </w:p>
    <w:p w14:paraId="2D5E5C21" w14:textId="77777777" w:rsidR="00B42204" w:rsidRDefault="00B42204" w:rsidP="00B42204">
      <w:pPr>
        <w:pStyle w:val="aa"/>
        <w:widowControl w:val="0"/>
        <w:numPr>
          <w:ilvl w:val="0"/>
          <w:numId w:val="1"/>
        </w:numPr>
        <w:spacing w:line="360" w:lineRule="auto"/>
        <w:ind w:left="357" w:hanging="357"/>
        <w:jc w:val="both"/>
        <w:rPr>
          <w:rFonts w:ascii="Times New Roman" w:hAnsi="Times New Roman"/>
          <w:b/>
        </w:rPr>
      </w:pPr>
      <w:r>
        <w:rPr>
          <w:rFonts w:hint="cs"/>
          <w:rtl/>
        </w:rPr>
        <w:t xml:space="preserve">עבירות הסמים הן עבירות כלכליות וככאלו מחייבות עיצומים כלכליים, שיהיה בהם כדי ללמד על חוסר הכדאיות בצבירת הון על חשבון בריאות הציבור. לצד זאת, בהתאם </w:t>
      </w:r>
      <w:hyperlink r:id="rId35" w:history="1">
        <w:r w:rsidR="006149A5" w:rsidRPr="006149A5">
          <w:rPr>
            <w:rStyle w:val="Hyperlink"/>
            <w:rFonts w:ascii="Arial" w:hAnsi="Arial" w:hint="eastAsia"/>
            <w:rtl/>
          </w:rPr>
          <w:t>לסעיף</w:t>
        </w:r>
        <w:r w:rsidR="006149A5" w:rsidRPr="006149A5">
          <w:rPr>
            <w:rStyle w:val="Hyperlink"/>
            <w:rFonts w:ascii="Arial" w:hAnsi="Arial"/>
            <w:rtl/>
          </w:rPr>
          <w:t xml:space="preserve"> 40ח'</w:t>
        </w:r>
      </w:hyperlink>
      <w:r>
        <w:rPr>
          <w:rFonts w:ascii="Arial" w:hAnsi="Arial" w:hint="cs"/>
          <w:rtl/>
        </w:rPr>
        <w:t xml:space="preserve"> ל-</w:t>
      </w:r>
      <w:hyperlink r:id="rId36" w:history="1">
        <w:r w:rsidR="009D52CE" w:rsidRPr="009D52CE">
          <w:rPr>
            <w:rFonts w:ascii="Miriam" w:hAnsi="Miriam" w:cs="Miriam"/>
            <w:b/>
            <w:bCs/>
            <w:color w:val="0000FF"/>
            <w:szCs w:val="22"/>
            <w:u w:val="single"/>
            <w:rtl/>
          </w:rPr>
          <w:t>חוק העונשין</w:t>
        </w:r>
      </w:hyperlink>
      <w:r>
        <w:rPr>
          <w:rFonts w:ascii="Arial" w:hAnsi="Arial" w:hint="cs"/>
          <w:rtl/>
        </w:rPr>
        <w:t>, בקביעת מתחם הקנס שומה על בית המשפט לבחון היכולת הכלכלית של הנאשם, שכן לא הרי פלוני כאלמוני. לטענת ההגנה, מצבו הכלכלי של הנאשם מורכב</w:t>
      </w:r>
      <w:r>
        <w:rPr>
          <w:rFonts w:hint="cs"/>
          <w:rtl/>
        </w:rPr>
        <w:t xml:space="preserve"> ועליו לשלם חובות לבנק ולגורמים נוספים, כאשר כעת הוא לא עובד ומסייע לאביו במאפיה שבבעלותו. הגם שלא הוצגו מסמכים לביסוס טענות אלו, ראיתי לנכון לקבוע מתחם מתון בחלקו התחתון, ומשכך אני קובעת </w:t>
      </w:r>
      <w:r>
        <w:rPr>
          <w:rFonts w:hint="cs"/>
          <w:b/>
          <w:bCs/>
          <w:rtl/>
        </w:rPr>
        <w:t>מתחם קנס</w:t>
      </w:r>
      <w:r>
        <w:rPr>
          <w:rFonts w:hint="cs"/>
          <w:rtl/>
        </w:rPr>
        <w:t xml:space="preserve"> </w:t>
      </w:r>
      <w:r>
        <w:rPr>
          <w:rFonts w:hint="cs"/>
          <w:b/>
          <w:bCs/>
          <w:rtl/>
        </w:rPr>
        <w:t>הנע בין 1,000 ₪ לבין 7,500 ₪</w:t>
      </w:r>
      <w:r>
        <w:rPr>
          <w:rFonts w:hint="cs"/>
          <w:rtl/>
        </w:rPr>
        <w:t xml:space="preserve">. </w:t>
      </w:r>
    </w:p>
    <w:p w14:paraId="180125FF" w14:textId="77777777" w:rsidR="00B42204" w:rsidRDefault="00B42204" w:rsidP="00B42204">
      <w:pPr>
        <w:pStyle w:val="aa"/>
        <w:widowControl w:val="0"/>
        <w:spacing w:line="360" w:lineRule="auto"/>
      </w:pPr>
    </w:p>
    <w:p w14:paraId="7F1B7077" w14:textId="77777777" w:rsidR="00B42204" w:rsidRDefault="00B42204" w:rsidP="00B42204">
      <w:pPr>
        <w:pStyle w:val="aa"/>
        <w:widowControl w:val="0"/>
        <w:numPr>
          <w:ilvl w:val="0"/>
          <w:numId w:val="1"/>
        </w:numPr>
        <w:spacing w:line="360" w:lineRule="auto"/>
        <w:ind w:left="357" w:hanging="357"/>
        <w:jc w:val="both"/>
        <w:rPr>
          <w:rFonts w:ascii="Times New Roman" w:hAnsi="Times New Roman"/>
          <w:b/>
          <w:rtl/>
        </w:rPr>
      </w:pPr>
      <w:r>
        <w:rPr>
          <w:rFonts w:hint="cs"/>
          <w:rtl/>
        </w:rPr>
        <w:t xml:space="preserve">כפי שנקבע בפסיקה ובהתאם להוראות </w:t>
      </w:r>
      <w:hyperlink r:id="rId37" w:history="1">
        <w:r w:rsidR="006149A5" w:rsidRPr="006149A5">
          <w:rPr>
            <w:rStyle w:val="Hyperlink"/>
            <w:rFonts w:hint="eastAsia"/>
            <w:rtl/>
          </w:rPr>
          <w:t>סעיף</w:t>
        </w:r>
        <w:r w:rsidR="006149A5" w:rsidRPr="006149A5">
          <w:rPr>
            <w:rStyle w:val="Hyperlink"/>
            <w:rtl/>
          </w:rPr>
          <w:t xml:space="preserve"> 37א</w:t>
        </w:r>
      </w:hyperlink>
      <w:r>
        <w:rPr>
          <w:rFonts w:hint="cs"/>
          <w:rtl/>
        </w:rPr>
        <w:t xml:space="preserve"> ל</w:t>
      </w:r>
      <w:r>
        <w:rPr>
          <w:rFonts w:ascii="Miriam" w:hAnsi="Miriam" w:cs="Miriam"/>
          <w:b/>
          <w:bCs/>
          <w:sz w:val="18"/>
          <w:szCs w:val="22"/>
          <w:rtl/>
        </w:rPr>
        <w:t>פקודת הסמים</w:t>
      </w:r>
      <w:r>
        <w:rPr>
          <w:rFonts w:hint="cs"/>
          <w:rtl/>
        </w:rPr>
        <w:t xml:space="preserve">, בעבירות הקשורות בסם מסוכן יש חשיבות לפסילה. מתחם הפסילה נע בין </w:t>
      </w:r>
      <w:r>
        <w:rPr>
          <w:rFonts w:hint="cs"/>
          <w:b/>
          <w:bCs/>
          <w:rtl/>
        </w:rPr>
        <w:t>פסילה מותנית לבין שנת פסילה בפועל</w:t>
      </w:r>
      <w:r>
        <w:rPr>
          <w:rFonts w:hint="cs"/>
          <w:b/>
          <w:rtl/>
        </w:rPr>
        <w:t>.</w:t>
      </w:r>
    </w:p>
    <w:p w14:paraId="5AB67459" w14:textId="77777777" w:rsidR="00B42204" w:rsidRDefault="00B42204" w:rsidP="00B42204">
      <w:pPr>
        <w:widowControl w:val="0"/>
        <w:spacing w:line="360" w:lineRule="auto"/>
        <w:jc w:val="both"/>
        <w:rPr>
          <w:rFonts w:ascii="David" w:hAnsi="David"/>
          <w:bCs/>
          <w:sz w:val="26"/>
          <w:szCs w:val="26"/>
          <w:rtl/>
        </w:rPr>
      </w:pPr>
    </w:p>
    <w:p w14:paraId="249A628F" w14:textId="77777777" w:rsidR="00B42204" w:rsidRDefault="00B42204" w:rsidP="00B42204">
      <w:pPr>
        <w:widowControl w:val="0"/>
        <w:spacing w:line="360" w:lineRule="auto"/>
        <w:jc w:val="both"/>
        <w:rPr>
          <w:rFonts w:ascii="David" w:hAnsi="David"/>
          <w:bCs/>
          <w:sz w:val="26"/>
          <w:szCs w:val="26"/>
        </w:rPr>
      </w:pPr>
      <w:r>
        <w:rPr>
          <w:rFonts w:ascii="David" w:hAnsi="David"/>
          <w:bCs/>
          <w:sz w:val="26"/>
          <w:szCs w:val="26"/>
          <w:rtl/>
        </w:rPr>
        <w:t>נסיבות אישיות ושיקולים בהארכת מאסר מותנה או הפעלתו</w:t>
      </w:r>
    </w:p>
    <w:p w14:paraId="51C3D4D3" w14:textId="77777777" w:rsidR="00B42204" w:rsidRDefault="00B42204" w:rsidP="00B42204">
      <w:pPr>
        <w:pStyle w:val="aa"/>
        <w:widowControl w:val="0"/>
        <w:numPr>
          <w:ilvl w:val="0"/>
          <w:numId w:val="1"/>
        </w:numPr>
        <w:spacing w:line="360" w:lineRule="auto"/>
        <w:ind w:left="357" w:hanging="357"/>
        <w:jc w:val="both"/>
      </w:pPr>
      <w:r>
        <w:rPr>
          <w:rFonts w:hint="cs"/>
          <w:rtl/>
        </w:rPr>
        <w:t xml:space="preserve">הכלל, כפי שנקבע </w:t>
      </w:r>
      <w:hyperlink r:id="rId38" w:history="1">
        <w:r w:rsidR="006149A5" w:rsidRPr="006149A5">
          <w:rPr>
            <w:rStyle w:val="Hyperlink"/>
            <w:rFonts w:hint="eastAsia"/>
            <w:rtl/>
          </w:rPr>
          <w:t>בסעיף</w:t>
        </w:r>
        <w:r w:rsidR="006149A5" w:rsidRPr="006149A5">
          <w:rPr>
            <w:rStyle w:val="Hyperlink"/>
            <w:rtl/>
          </w:rPr>
          <w:t xml:space="preserve"> 55</w:t>
        </w:r>
      </w:hyperlink>
      <w:r>
        <w:rPr>
          <w:rFonts w:hint="cs"/>
          <w:rtl/>
        </w:rPr>
        <w:t xml:space="preserve"> ל-</w:t>
      </w:r>
      <w:hyperlink r:id="rId39" w:history="1">
        <w:r w:rsidR="009D52CE" w:rsidRPr="009D52CE">
          <w:rPr>
            <w:rFonts w:ascii="Miriam" w:hAnsi="Miriam" w:cs="Miriam"/>
            <w:b/>
            <w:bCs/>
            <w:color w:val="0000FF"/>
            <w:szCs w:val="22"/>
            <w:u w:val="single"/>
            <w:rtl/>
          </w:rPr>
          <w:t>חוק העונשין</w:t>
        </w:r>
      </w:hyperlink>
      <w:r>
        <w:rPr>
          <w:rFonts w:hint="cs"/>
          <w:rtl/>
        </w:rPr>
        <w:t xml:space="preserve">, הוא כי מאסר מותנה יופעל שעה שהנאשם עבר, בתקופת התנאי, עבירה שנקבעה בגזר הדין בו הושת התנאי, הורשע בה ונדון לעונש מאסר בשלה. החריג לכלל נקבע </w:t>
      </w:r>
      <w:hyperlink r:id="rId40" w:history="1">
        <w:r w:rsidR="006149A5" w:rsidRPr="006149A5">
          <w:rPr>
            <w:rStyle w:val="Hyperlink"/>
            <w:rFonts w:hint="eastAsia"/>
            <w:rtl/>
          </w:rPr>
          <w:t>בסעיף</w:t>
        </w:r>
        <w:r w:rsidR="006149A5" w:rsidRPr="006149A5">
          <w:rPr>
            <w:rStyle w:val="Hyperlink"/>
            <w:rtl/>
          </w:rPr>
          <w:t xml:space="preserve"> 56</w:t>
        </w:r>
      </w:hyperlink>
      <w:r>
        <w:rPr>
          <w:rFonts w:hint="cs"/>
          <w:rtl/>
        </w:rPr>
        <w:t xml:space="preserve"> ל-</w:t>
      </w:r>
      <w:hyperlink r:id="rId41" w:history="1">
        <w:r w:rsidR="009D52CE" w:rsidRPr="009D52CE">
          <w:rPr>
            <w:rFonts w:ascii="Miriam" w:hAnsi="Miriam" w:cs="Miriam"/>
            <w:b/>
            <w:bCs/>
            <w:color w:val="0000FF"/>
            <w:szCs w:val="22"/>
            <w:u w:val="single"/>
            <w:rtl/>
          </w:rPr>
          <w:t>חוק העונשין</w:t>
        </w:r>
      </w:hyperlink>
      <w:r>
        <w:rPr>
          <w:rFonts w:hint="cs"/>
          <w:rtl/>
        </w:rPr>
        <w:t xml:space="preserve">, ולפיו אם לא הושת מאסר בפועל, רשאי </w:t>
      </w:r>
      <w:r>
        <w:rPr>
          <w:rFonts w:hint="cs"/>
          <w:color w:val="000000"/>
          <w:sz w:val="24"/>
          <w:rtl/>
        </w:rPr>
        <w:t>בית המשפט להאריך תקופת התנאי "...</w:t>
      </w:r>
      <w:r>
        <w:rPr>
          <w:rFonts w:hint="cs"/>
          <w:b/>
          <w:bCs/>
          <w:color w:val="000000"/>
          <w:sz w:val="24"/>
          <w:rtl/>
        </w:rPr>
        <w:t>מטעמים שיירשמו,</w:t>
      </w:r>
      <w:r>
        <w:rPr>
          <w:rFonts w:hint="cs"/>
          <w:color w:val="000000"/>
          <w:sz w:val="24"/>
          <w:rtl/>
        </w:rPr>
        <w:t>...,</w:t>
      </w:r>
      <w:r>
        <w:rPr>
          <w:rFonts w:hint="cs"/>
          <w:b/>
          <w:bCs/>
          <w:color w:val="000000"/>
          <w:sz w:val="24"/>
          <w:rtl/>
        </w:rPr>
        <w:t xml:space="preserve"> אם שוכנע</w:t>
      </w:r>
      <w:r>
        <w:rPr>
          <w:rFonts w:hint="cs"/>
          <w:color w:val="000000"/>
          <w:sz w:val="24"/>
          <w:rtl/>
        </w:rPr>
        <w:t>...</w:t>
      </w:r>
      <w:r>
        <w:rPr>
          <w:rFonts w:hint="cs"/>
          <w:b/>
          <w:bCs/>
          <w:color w:val="000000"/>
          <w:sz w:val="24"/>
          <w:rtl/>
        </w:rPr>
        <w:t xml:space="preserve"> שבנסיבות הענין לא יהיה צודק להפעיל את המאסר על תנאי</w:t>
      </w:r>
      <w:r>
        <w:rPr>
          <w:rFonts w:hint="cs"/>
          <w:color w:val="000000"/>
          <w:sz w:val="24"/>
          <w:rtl/>
        </w:rPr>
        <w:t>..."</w:t>
      </w:r>
      <w:r>
        <w:rPr>
          <w:rFonts w:hint="cs"/>
          <w:rtl/>
        </w:rPr>
        <w:t>.</w:t>
      </w:r>
    </w:p>
    <w:p w14:paraId="60C88A6D" w14:textId="77777777" w:rsidR="00B42204" w:rsidRDefault="00B42204" w:rsidP="00B42204">
      <w:pPr>
        <w:pStyle w:val="aa"/>
        <w:widowControl w:val="0"/>
        <w:spacing w:line="360" w:lineRule="auto"/>
        <w:ind w:left="357"/>
        <w:jc w:val="both"/>
      </w:pPr>
    </w:p>
    <w:p w14:paraId="08736765" w14:textId="77777777" w:rsidR="00B42204" w:rsidRDefault="00B42204" w:rsidP="00B42204">
      <w:pPr>
        <w:pStyle w:val="aa"/>
        <w:widowControl w:val="0"/>
        <w:numPr>
          <w:ilvl w:val="0"/>
          <w:numId w:val="1"/>
        </w:numPr>
        <w:spacing w:line="360" w:lineRule="auto"/>
        <w:ind w:left="360"/>
        <w:jc w:val="both"/>
      </w:pPr>
      <w:r>
        <w:rPr>
          <w:rFonts w:hint="cs"/>
          <w:rtl/>
        </w:rPr>
        <w:t xml:space="preserve">הבחינה אם הנאשם עומד בתנאי </w:t>
      </w:r>
      <w:hyperlink r:id="rId42" w:history="1">
        <w:r w:rsidR="006149A5" w:rsidRPr="006149A5">
          <w:rPr>
            <w:rStyle w:val="Hyperlink"/>
            <w:rFonts w:hint="eastAsia"/>
            <w:rtl/>
          </w:rPr>
          <w:t>סעיף</w:t>
        </w:r>
        <w:r w:rsidR="006149A5" w:rsidRPr="006149A5">
          <w:rPr>
            <w:rStyle w:val="Hyperlink"/>
            <w:rtl/>
          </w:rPr>
          <w:t xml:space="preserve"> 56</w:t>
        </w:r>
      </w:hyperlink>
      <w:r>
        <w:rPr>
          <w:rFonts w:hint="cs"/>
          <w:rtl/>
        </w:rPr>
        <w:t xml:space="preserve"> ל</w:t>
      </w:r>
      <w:r>
        <w:rPr>
          <w:rFonts w:ascii="Miriam" w:hAnsi="Miriam" w:cs="Miriam"/>
          <w:b/>
          <w:bCs/>
          <w:sz w:val="18"/>
          <w:szCs w:val="22"/>
          <w:rtl/>
        </w:rPr>
        <w:t>-</w:t>
      </w:r>
      <w:hyperlink r:id="rId43" w:history="1">
        <w:r w:rsidR="009D52CE" w:rsidRPr="009D52CE">
          <w:rPr>
            <w:rFonts w:ascii="Miriam" w:hAnsi="Miriam" w:cs="Miriam"/>
            <w:b/>
            <w:bCs/>
            <w:color w:val="0000FF"/>
            <w:sz w:val="18"/>
            <w:szCs w:val="22"/>
            <w:u w:val="single"/>
            <w:rtl/>
          </w:rPr>
          <w:t>חוק העונשין</w:t>
        </w:r>
      </w:hyperlink>
      <w:r>
        <w:rPr>
          <w:rFonts w:hint="cs"/>
          <w:rtl/>
        </w:rPr>
        <w:t>, המאפשר הארכת מאסר מותנה, כרוכה במידה רבה בנסיבות האישיות של הנאשם, שלא קשורות בביצוע העבירה, לכן אדון בהן במאוחד. בעניינו של הנאשם הוגשו 5 תסקירים ועדכונים (17.5.22, 2.10.22, 23.5.23, 28.9.23 ו-30.10.23) וכן הוגשה חוות דעת הממונה על עבודות השירות (21.5.23). מכל אלו ומטיעוני הצדדים לעונש, כמו גם מדברי הנאשם עצמו, עולה התמונה הבאה:</w:t>
      </w:r>
    </w:p>
    <w:p w14:paraId="4E524177" w14:textId="77777777" w:rsidR="00B42204" w:rsidRDefault="00B42204" w:rsidP="00B42204">
      <w:pPr>
        <w:pStyle w:val="aa"/>
        <w:widowControl w:val="0"/>
      </w:pPr>
    </w:p>
    <w:p w14:paraId="44A65FC7" w14:textId="77777777" w:rsidR="00B42204" w:rsidRDefault="00B42204" w:rsidP="00B42204">
      <w:pPr>
        <w:widowControl w:val="0"/>
        <w:numPr>
          <w:ilvl w:val="2"/>
          <w:numId w:val="1"/>
        </w:numPr>
        <w:spacing w:line="360" w:lineRule="auto"/>
        <w:ind w:left="851" w:hanging="454"/>
        <w:jc w:val="both"/>
        <w:rPr>
          <w:rFonts w:ascii="David" w:hAnsi="David"/>
          <w:rtl/>
        </w:rPr>
      </w:pPr>
      <w:r>
        <w:rPr>
          <w:rFonts w:ascii="David" w:hAnsi="David"/>
          <w:b/>
          <w:bCs/>
          <w:rtl/>
        </w:rPr>
        <w:t>נסיבות חיים של הנאשם</w:t>
      </w:r>
      <w:r>
        <w:rPr>
          <w:rFonts w:ascii="David" w:hAnsi="David"/>
          <w:rtl/>
        </w:rPr>
        <w:t xml:space="preserve"> – הנאשם כבן 24. רווק. מתגורר בבית אמו באשדוד. לא עובד. השני מבין 5 ילדים. אחיו בגילי 11–26. הוריו התגרשו בהיותו בגיר (בשנת 2022). שירות המבחן התרשם ממורכבות ביחסים עם הוריו, אולם הנאשם נמנע מלפרט. </w:t>
      </w:r>
    </w:p>
    <w:p w14:paraId="3DB51E33" w14:textId="77777777" w:rsidR="00B42204" w:rsidRDefault="00B42204" w:rsidP="00B42204">
      <w:pPr>
        <w:widowControl w:val="0"/>
        <w:spacing w:line="360" w:lineRule="auto"/>
        <w:ind w:left="851"/>
        <w:jc w:val="both"/>
        <w:rPr>
          <w:rFonts w:ascii="David" w:hAnsi="David"/>
        </w:rPr>
      </w:pPr>
    </w:p>
    <w:p w14:paraId="68545A40" w14:textId="77777777" w:rsidR="00B42204" w:rsidRDefault="00B42204" w:rsidP="00B42204">
      <w:pPr>
        <w:widowControl w:val="0"/>
        <w:numPr>
          <w:ilvl w:val="2"/>
          <w:numId w:val="1"/>
        </w:numPr>
        <w:spacing w:line="360" w:lineRule="auto"/>
        <w:ind w:left="851" w:hanging="454"/>
        <w:jc w:val="both"/>
        <w:rPr>
          <w:rFonts w:ascii="David" w:hAnsi="David"/>
        </w:rPr>
      </w:pPr>
      <w:r>
        <w:rPr>
          <w:rFonts w:ascii="David" w:hAnsi="David"/>
          <w:b/>
          <w:bCs/>
          <w:rtl/>
        </w:rPr>
        <w:t xml:space="preserve">לימודים, שירות צבאי ורצף תעסוקתי </w:t>
      </w:r>
      <w:r>
        <w:rPr>
          <w:rFonts w:ascii="David" w:hAnsi="David"/>
          <w:rtl/>
        </w:rPr>
        <w:t xml:space="preserve">– לדבריו סיים 12 שנות לימוד וקיבל בגרות מלאה. מגיל 17 עבד ברשת משקאות כמוביל סחורה. בסיום לימודיו התגייס לצבא, אולם כעבור כחצי שנה נעצר בעבירות סמים, ריצה מאסר בכלא צבאי ושוחרר משירותו הצבאי לאחר סיום ריצוי המאסר. לאחר שחרור עבד במחסן משקאות כמנהל קו חלוקה ובהמשך עבד בהתקנת שערי אלומיניום. כיום לא עובד ומסייע לאביו במאפיה שבבעלותו.  </w:t>
      </w:r>
    </w:p>
    <w:p w14:paraId="07172D48" w14:textId="77777777" w:rsidR="00B42204" w:rsidRDefault="00B42204" w:rsidP="00B42204">
      <w:pPr>
        <w:pStyle w:val="aa"/>
        <w:widowControl w:val="0"/>
      </w:pPr>
    </w:p>
    <w:p w14:paraId="1F30E971" w14:textId="77777777" w:rsidR="00B42204" w:rsidRDefault="00B42204" w:rsidP="00B42204">
      <w:pPr>
        <w:widowControl w:val="0"/>
        <w:numPr>
          <w:ilvl w:val="2"/>
          <w:numId w:val="1"/>
        </w:numPr>
        <w:spacing w:line="360" w:lineRule="auto"/>
        <w:ind w:left="851" w:hanging="454"/>
        <w:jc w:val="both"/>
        <w:rPr>
          <w:rFonts w:ascii="David" w:hAnsi="David"/>
          <w:rtl/>
        </w:rPr>
      </w:pPr>
      <w:r>
        <w:rPr>
          <w:rFonts w:ascii="David" w:hAnsi="David"/>
          <w:b/>
          <w:bCs/>
          <w:rtl/>
        </w:rPr>
        <w:t>שימוש בחומרים פסיכואקטיביים</w:t>
      </w:r>
      <w:r>
        <w:rPr>
          <w:rFonts w:ascii="David" w:hAnsi="David"/>
          <w:rtl/>
        </w:rPr>
        <w:t xml:space="preserve"> – לדבריו בגיל 14 החל לעשן קנבוס באופן יומיומי. טען שצריכת הסם עזרה לו להתרכז בלימודיו. הדבר גרם לחיכוכים רבים בקשר עם הוריו שניסו להניעו משימוש על ידי הצבת גבולות נוקשים</w:t>
      </w:r>
      <w:r>
        <w:rPr>
          <w:rFonts w:ascii="David" w:hAnsi="David"/>
        </w:rPr>
        <w:t xml:space="preserve"> </w:t>
      </w:r>
      <w:r>
        <w:rPr>
          <w:rFonts w:ascii="David" w:hAnsi="David"/>
          <w:rtl/>
        </w:rPr>
        <w:t xml:space="preserve">ואף ערכו בדיקות שתן לוודא כי נמנע משימוש. בגיל 16 החל לצרוך "נייס גאי" כדי שלא ניתן יהיה לאתרו בבדיקו. כאמור לעיל, במהלך שירותו הצבאי נעצר בגין החזקת סמים. חרף נסיונות שירות המבחן וגורמי הטיפול לגייס את הנאשם להליך הטיפולי, הנאשם לא שיתף פעולה ובמאי 2019 הוחלט על הפסקת הטיפול. בהמשך נידון הנאשם בבית הדין הצבאי ל-60 ימי מאסר וענישה נלווית. הנאשם המשיך להשתמש ב-"נייס גאי" ובקנבוס גם לאחר שחרורו מהכלא הצבאי ושחרורו מהצבא ולדבריו הפסיק שימוש ב-"נייס גאי" אך לאחרונה, כאשר שמע כי השימוש עלול לגרום למוות. לאחרונה קיבל רישיון לשימוש בקנבוס רפואי. </w:t>
      </w:r>
    </w:p>
    <w:p w14:paraId="32785610" w14:textId="77777777" w:rsidR="00B42204" w:rsidRDefault="00B42204" w:rsidP="00B42204">
      <w:pPr>
        <w:pStyle w:val="aa"/>
        <w:widowControl w:val="0"/>
      </w:pPr>
    </w:p>
    <w:p w14:paraId="4D8A7EA0" w14:textId="77777777" w:rsidR="00B42204" w:rsidRDefault="00B42204" w:rsidP="00B42204">
      <w:pPr>
        <w:widowControl w:val="0"/>
        <w:numPr>
          <w:ilvl w:val="2"/>
          <w:numId w:val="1"/>
        </w:numPr>
        <w:spacing w:line="360" w:lineRule="auto"/>
        <w:ind w:left="851" w:hanging="454"/>
        <w:jc w:val="both"/>
        <w:rPr>
          <w:rFonts w:ascii="David" w:hAnsi="David"/>
          <w:rtl/>
        </w:rPr>
      </w:pPr>
      <w:r>
        <w:rPr>
          <w:rFonts w:ascii="David" w:hAnsi="David"/>
          <w:b/>
          <w:bCs/>
          <w:rtl/>
        </w:rPr>
        <w:t>נטילת האחריות של הנאשם על מעשיו</w:t>
      </w:r>
      <w:r>
        <w:rPr>
          <w:rFonts w:ascii="David" w:hAnsi="David"/>
          <w:rtl/>
        </w:rPr>
        <w:t xml:space="preserve"> – הנאשם הודה בכתב האישום עוד ביום 19.12.21,  כשנה לאחר הגשת כתב האישום, שהוגש כשנה לאחר ביצוע העבירה. אין חולק כי הודאת הנאשם מגלמת נטילת אחריות על מעשיו. עם זאת, לא ניתן להתעלם מכך שבמשך כמעט שנתיים לא שיתף פעולה עם שירות המבחן, הגם שהופנה פעם אחר פעם, כשבית המשפט נעתר לבקשת באת כוחו, אשר עשתה למענו כל שניתן. גם שירות המבחן עשה מאמצים רבים לגייס את הנאשם להליך טיפולי, אולם הנאשם עמד במריו, עד שהתרצה בחודשים האחרונים, כעולה מהתסקיר מיום 30.10.23. בעבר טען כי עישן קנבוס משום שהתקשה להירדם ובשל כאבי ברכיים מהם סבל ובהמשך טען שעשה זאת משום הכאבים במרפק.</w:t>
      </w:r>
    </w:p>
    <w:p w14:paraId="55289FA8" w14:textId="77777777" w:rsidR="00B42204" w:rsidRDefault="00B42204" w:rsidP="00B42204">
      <w:pPr>
        <w:widowControl w:val="0"/>
        <w:ind w:left="851"/>
        <w:jc w:val="both"/>
        <w:rPr>
          <w:rFonts w:ascii="David" w:hAnsi="David"/>
        </w:rPr>
      </w:pPr>
    </w:p>
    <w:p w14:paraId="1281E094" w14:textId="77777777" w:rsidR="00B42204" w:rsidRDefault="00B42204" w:rsidP="00B42204">
      <w:pPr>
        <w:widowControl w:val="0"/>
        <w:numPr>
          <w:ilvl w:val="2"/>
          <w:numId w:val="1"/>
        </w:numPr>
        <w:spacing w:line="360" w:lineRule="auto"/>
        <w:ind w:left="851" w:hanging="454"/>
        <w:jc w:val="both"/>
        <w:rPr>
          <w:rFonts w:ascii="David" w:hAnsi="David"/>
        </w:rPr>
      </w:pPr>
      <w:r>
        <w:rPr>
          <w:rFonts w:ascii="David" w:hAnsi="David"/>
          <w:b/>
          <w:bCs/>
          <w:rtl/>
        </w:rPr>
        <w:t>שיתוף פעולה עם הליך טיפולי והמלצת שירות המבחן</w:t>
      </w:r>
      <w:r>
        <w:rPr>
          <w:rFonts w:ascii="David" w:hAnsi="David"/>
          <w:rtl/>
        </w:rPr>
        <w:t xml:space="preserve"> – כמתואר לעיל, במשך כעשור השתמש הנאשם ב-"נייס גאי" וקנבוס, אך לא ראה עצמו כמי שזקוק לטיפול בהתמכרות ומשכך לא שיתף פעולה עם גורמי הטיפול. כעולה מתסקיר שירות המבחן מיום 2.10.22, הקשר עם שירות המבחן החל עוד בשנת 2018, עת שוחרר למעצר בית והחל טיפול בתחנה לנפגעי סמים באשדוד. מדברי הנאשם עלה כי רצה להיגמל כדי לרצות את הוריו – אך בפועל רצה להמשיך להשתמש. בשל חוסר מוטיבציה, קושי להתגייס להליך</w:t>
      </w:r>
      <w:r>
        <w:rPr>
          <w:rFonts w:ascii="David" w:hAnsi="David"/>
        </w:rPr>
        <w:t xml:space="preserve"> </w:t>
      </w:r>
      <w:r>
        <w:rPr>
          <w:rFonts w:ascii="David" w:hAnsi="David"/>
          <w:rtl/>
        </w:rPr>
        <w:t>טיפול משמעותי ומשום שלא הגיע לבדיקות איתור שרידי סם באופן שבועי וכנדרש – ניסיון הטיפול לא צלח</w:t>
      </w:r>
      <w:r>
        <w:rPr>
          <w:rFonts w:ascii="David" w:hAnsi="David"/>
        </w:rPr>
        <w:t xml:space="preserve"> </w:t>
      </w:r>
      <w:r>
        <w:rPr>
          <w:rFonts w:ascii="David" w:hAnsi="David"/>
          <w:rtl/>
        </w:rPr>
        <w:t>למרות מאמצי גורמי הטיפול לגייסו. עם זאת, במהלך דחיית מועד מתן גזר הדין בשל מצב החירום ואף קודם לכן החל הנאשם לשתף פעולה עם שירות המבחן, כעולה מהתסקיר החמישי, שהוגש ב-30.10.23 (מבלי שנתבקש). בשל חשיבות הדברים, ראיתי לנכון לסקור את תקצירי תסקירי שירות המבחן:</w:t>
      </w:r>
    </w:p>
    <w:p w14:paraId="1B913A80" w14:textId="77777777" w:rsidR="00B42204" w:rsidRDefault="00B42204" w:rsidP="00B42204">
      <w:pPr>
        <w:pStyle w:val="aa"/>
        <w:widowControl w:val="0"/>
        <w:rPr>
          <w:sz w:val="18"/>
          <w:szCs w:val="20"/>
        </w:rPr>
      </w:pPr>
    </w:p>
    <w:p w14:paraId="2D7E04D6" w14:textId="77777777" w:rsidR="00B42204" w:rsidRDefault="00B42204" w:rsidP="00B42204">
      <w:pPr>
        <w:widowControl w:val="0"/>
        <w:numPr>
          <w:ilvl w:val="3"/>
          <w:numId w:val="1"/>
        </w:numPr>
        <w:spacing w:line="360" w:lineRule="auto"/>
        <w:ind w:left="1211"/>
        <w:jc w:val="both"/>
        <w:rPr>
          <w:rFonts w:ascii="David" w:hAnsi="David"/>
          <w:rtl/>
        </w:rPr>
      </w:pPr>
      <w:r>
        <w:rPr>
          <w:rFonts w:ascii="David" w:hAnsi="David"/>
          <w:u w:val="single"/>
          <w:rtl/>
        </w:rPr>
        <w:t>תסקיר מיום 2.10.22</w:t>
      </w:r>
      <w:r>
        <w:rPr>
          <w:rFonts w:ascii="David" w:hAnsi="David"/>
          <w:rtl/>
        </w:rPr>
        <w:t xml:space="preserve"> – להתרשמות שירות המבחן מדובר</w:t>
      </w:r>
      <w:r>
        <w:rPr>
          <w:rFonts w:ascii="David" w:hAnsi="David"/>
        </w:rPr>
        <w:t xml:space="preserve"> </w:t>
      </w:r>
      <w:r>
        <w:rPr>
          <w:rFonts w:ascii="David" w:hAnsi="David"/>
          <w:rtl/>
        </w:rPr>
        <w:t>במי שמתקשה להפיק תועלת מהקשר עם שירות המבחן ומהתערבות אבחונית או טיפולית. הנאשם לא מעוניין בהליך בדיקות שתן ולא מעוניין להפסיק לצרוך קנבוס עד להסדרת השימוש בו. הנאשם טען כי חש עייפות מהקשר עם שירות המבחן בעבר וכיום ורוצה לסיים את ההליך הפלילי ללא מעורבות שירות המבחן. שירות המבחן התרשם מסיכון גבוה להישנות עבירות, נוכח ההתנגדות כלפי גורמי סמכות וממסד, הקושי להירתם להליך טיפולי, חרף קיום דפוסי התמכרות לסמים</w:t>
      </w:r>
      <w:r>
        <w:rPr>
          <w:rFonts w:ascii="David" w:hAnsi="David"/>
        </w:rPr>
        <w:t xml:space="preserve"> </w:t>
      </w:r>
      <w:r>
        <w:rPr>
          <w:rFonts w:ascii="David" w:hAnsi="David"/>
          <w:rtl/>
        </w:rPr>
        <w:t>ולכן לא בא בהמלצה</w:t>
      </w:r>
      <w:r>
        <w:rPr>
          <w:rFonts w:ascii="David" w:hAnsi="David"/>
        </w:rPr>
        <w:t xml:space="preserve"> </w:t>
      </w:r>
      <w:r>
        <w:rPr>
          <w:rFonts w:ascii="David" w:hAnsi="David"/>
          <w:rtl/>
        </w:rPr>
        <w:t>שיקומית בעניינו.</w:t>
      </w:r>
    </w:p>
    <w:p w14:paraId="568C5265" w14:textId="77777777" w:rsidR="00B42204" w:rsidRDefault="00B42204" w:rsidP="00B42204">
      <w:pPr>
        <w:widowControl w:val="0"/>
        <w:ind w:left="1211"/>
        <w:jc w:val="both"/>
        <w:rPr>
          <w:rFonts w:ascii="David" w:hAnsi="David"/>
          <w:sz w:val="20"/>
          <w:szCs w:val="20"/>
        </w:rPr>
      </w:pPr>
    </w:p>
    <w:p w14:paraId="6041BF8F" w14:textId="77777777" w:rsidR="00B42204" w:rsidRDefault="00B42204" w:rsidP="00B42204">
      <w:pPr>
        <w:widowControl w:val="0"/>
        <w:numPr>
          <w:ilvl w:val="3"/>
          <w:numId w:val="1"/>
        </w:numPr>
        <w:spacing w:line="360" w:lineRule="auto"/>
        <w:ind w:left="1211"/>
        <w:jc w:val="both"/>
        <w:rPr>
          <w:rFonts w:ascii="David" w:hAnsi="David"/>
        </w:rPr>
      </w:pPr>
      <w:r>
        <w:rPr>
          <w:rFonts w:ascii="David" w:hAnsi="David"/>
          <w:u w:val="single"/>
          <w:rtl/>
        </w:rPr>
        <w:t>תסקיר מיום 23.5.23</w:t>
      </w:r>
      <w:r>
        <w:rPr>
          <w:rFonts w:ascii="David" w:hAnsi="David"/>
          <w:rtl/>
        </w:rPr>
        <w:t xml:space="preserve"> – במהלך תקופת הדחייה נפגש הגיע למפגשים ושיתף בקשייו. לא עובד. מסייע לאביו במאפייה. החל בהחזרת חובות לשוק האפור. פעל להוצאת רישיון לקנבוס רפואי על רקע פציעה שנגרמה לו בעבודתו הקודמת (לא הציג מסמכים). שב והביע רצונו לסיים ההליך המשפטי, לעבוד ולהתפתח במסגרת עבודתו, שלל צרכים טיפוליים, טען כי הקנבוס משמש תרופה לכאבים פיזיים ובעיות רפואיות. לא התייצב ל-4 בדיקות לאיתור שרידי סם. בבדיקה 1 נמצאו תוצאות חיוביות לשרידי סם מסוג קנבוס. שירות המבחן חזר על התרשמותו</w:t>
      </w:r>
      <w:r>
        <w:rPr>
          <w:rFonts w:ascii="David" w:hAnsi="David"/>
        </w:rPr>
        <w:t xml:space="preserve"> </w:t>
      </w:r>
      <w:r>
        <w:rPr>
          <w:rFonts w:ascii="David" w:hAnsi="David"/>
          <w:rtl/>
        </w:rPr>
        <w:t>כי קיים סיכון גבוה לביצוע עבירות נוספות, גם נוכח קושי ביציבות תעסוקתית, העדר גורמי תמיכה יציבים בחייו, בנוסף לקושי בשיתוף וביסוס אמון בגורמי תמיכה וטיפול וההתנגדות לגורמי סמכות וממסד. אשר על כן שירות המבחן</w:t>
      </w:r>
      <w:r>
        <w:rPr>
          <w:rFonts w:ascii="David" w:hAnsi="David"/>
        </w:rPr>
        <w:t xml:space="preserve"> </w:t>
      </w:r>
      <w:r>
        <w:rPr>
          <w:rFonts w:ascii="David" w:hAnsi="David"/>
          <w:rtl/>
        </w:rPr>
        <w:t>לא בא בהמלצה טיפולית בעניינו.</w:t>
      </w:r>
    </w:p>
    <w:p w14:paraId="555ECD1B" w14:textId="77777777" w:rsidR="00B42204" w:rsidRDefault="00B42204" w:rsidP="00B42204">
      <w:pPr>
        <w:pStyle w:val="aa"/>
        <w:widowControl w:val="0"/>
        <w:rPr>
          <w:sz w:val="18"/>
          <w:szCs w:val="20"/>
        </w:rPr>
      </w:pPr>
    </w:p>
    <w:p w14:paraId="30EF5DD3" w14:textId="77777777" w:rsidR="00B42204" w:rsidRDefault="00B42204" w:rsidP="00B42204">
      <w:pPr>
        <w:widowControl w:val="0"/>
        <w:numPr>
          <w:ilvl w:val="3"/>
          <w:numId w:val="1"/>
        </w:numPr>
        <w:spacing w:line="360" w:lineRule="auto"/>
        <w:ind w:left="1211"/>
        <w:jc w:val="both"/>
        <w:rPr>
          <w:rFonts w:ascii="David" w:hAnsi="David"/>
          <w:rtl/>
        </w:rPr>
      </w:pPr>
      <w:r>
        <w:rPr>
          <w:rFonts w:ascii="David" w:hAnsi="David"/>
          <w:u w:val="single"/>
          <w:rtl/>
        </w:rPr>
        <w:t>תסקיר מיום 26.9.23</w:t>
      </w:r>
      <w:r>
        <w:rPr>
          <w:rFonts w:ascii="David" w:hAnsi="David"/>
        </w:rPr>
        <w:t xml:space="preserve"> </w:t>
      </w:r>
      <w:r>
        <w:rPr>
          <w:rFonts w:ascii="David" w:hAnsi="David"/>
          <w:rtl/>
        </w:rPr>
        <w:t>– חרף כל האמור לעיל, לאחר מספר בקשות של באת כוח הנאשם, הופנה הנאשם לשירות המבחן. למרות זאת, הנאשם לא הגיע לפגישה שנקבעה עמו, לא עידכן</w:t>
      </w:r>
      <w:r>
        <w:rPr>
          <w:rFonts w:ascii="David" w:hAnsi="David"/>
        </w:rPr>
        <w:t xml:space="preserve"> </w:t>
      </w:r>
      <w:r>
        <w:rPr>
          <w:rFonts w:ascii="David" w:hAnsi="David"/>
          <w:rtl/>
        </w:rPr>
        <w:t>ולא יצר קשר עם שירות המבחן. ניסיונות נוספים של שירות המבחן ליצור קשר עם הנאשם לא זכו למענה ולכן לא באו בהמלצה שיקומית בעניינו.</w:t>
      </w:r>
    </w:p>
    <w:p w14:paraId="69EF3966" w14:textId="77777777" w:rsidR="00B42204" w:rsidRDefault="00B42204" w:rsidP="00B42204">
      <w:pPr>
        <w:pStyle w:val="aa"/>
        <w:widowControl w:val="0"/>
        <w:rPr>
          <w:sz w:val="18"/>
          <w:szCs w:val="20"/>
        </w:rPr>
      </w:pPr>
    </w:p>
    <w:p w14:paraId="1979DE6A" w14:textId="77777777" w:rsidR="00B42204" w:rsidRDefault="00B42204" w:rsidP="00B42204">
      <w:pPr>
        <w:widowControl w:val="0"/>
        <w:numPr>
          <w:ilvl w:val="3"/>
          <w:numId w:val="1"/>
        </w:numPr>
        <w:spacing w:line="360" w:lineRule="auto"/>
        <w:ind w:left="1211"/>
        <w:jc w:val="both"/>
        <w:rPr>
          <w:rFonts w:ascii="David" w:hAnsi="David"/>
          <w:rtl/>
        </w:rPr>
      </w:pPr>
      <w:r>
        <w:rPr>
          <w:rFonts w:ascii="David" w:hAnsi="David"/>
          <w:u w:val="single"/>
          <w:rtl/>
        </w:rPr>
        <w:t>תסקיר מיום 30.10.23</w:t>
      </w:r>
      <w:r>
        <w:rPr>
          <w:rFonts w:ascii="David" w:hAnsi="David"/>
          <w:rtl/>
        </w:rPr>
        <w:t xml:space="preserve"> – תסקיר זה הוגש מבלי שהנאשם הופנה שוב לשירות המבחן, כאשר מועד מתן גזר הדין נדחה בשל מצב החירום. מהתסקיר עלה כי במהלך תקופת הדחייה הגיעה לפגישה ב-23.9.23, במהלכה הציג אישור לקנבוס רפואי שפעל לקבלתו, כחלק מעריכת שינוי בחייו, רצונו לבסס יציבות תעסוקתית ולמסד יחסיו עם בת זוגו. שירות המבחן התרשם כי הנאשם מצליח לקחת אחריות על התנהגותו ומעשיו, מצליח לפעול לשינוי בדפוסי התמודדות. החל להסתייע בשירות המבחן, עמד בקשר עימם, הביע רצון להיות בטיפול ומעקב. שירות המבחן התרשם מכוחות תפקודיים במסגרתם שינה דפוסי התמודדות, כפי שבא לידי ביטוי בהפסקת שימוש בסמי רחוב והסדרת רישיון לקנבוס רפואי. נוכח שינוי עמדותיו ורצונו לבחון דרכי טיפול, להשתלב בבדיקות לאיתור שרידי סם, לצד לקיחת אחריות על ניהול חייו ורצונו להסתייע ולהיעזר בגורמי הטיפול – שירות המבחן המליץ על הארכת המאסר המותנה, צו מבחן במסגרתו ימסור בדיקות לאיתור שרידי סם ותבורר נזקקות טיפולית בהתמכרויות וכן 140 שעות של"ץ, קנס והתחייבות.</w:t>
      </w:r>
    </w:p>
    <w:p w14:paraId="7356529C" w14:textId="77777777" w:rsidR="00B42204" w:rsidRDefault="00B42204" w:rsidP="00B42204">
      <w:pPr>
        <w:pStyle w:val="aa"/>
        <w:widowControl w:val="0"/>
        <w:rPr>
          <w:highlight w:val="yellow"/>
        </w:rPr>
      </w:pPr>
    </w:p>
    <w:p w14:paraId="51AC1D29" w14:textId="77777777" w:rsidR="00B42204" w:rsidRDefault="00B42204" w:rsidP="00B42204">
      <w:pPr>
        <w:widowControl w:val="0"/>
        <w:numPr>
          <w:ilvl w:val="2"/>
          <w:numId w:val="1"/>
        </w:numPr>
        <w:spacing w:line="360" w:lineRule="auto"/>
        <w:ind w:left="851" w:hanging="454"/>
        <w:jc w:val="both"/>
        <w:rPr>
          <w:rtl/>
        </w:rPr>
      </w:pPr>
      <w:r>
        <w:rPr>
          <w:rFonts w:ascii="David" w:hAnsi="David"/>
          <w:b/>
          <w:bCs/>
          <w:rtl/>
        </w:rPr>
        <w:t>חלוף הזמן</w:t>
      </w:r>
      <w:r>
        <w:rPr>
          <w:rFonts w:ascii="David" w:hAnsi="David"/>
          <w:rtl/>
        </w:rPr>
        <w:t xml:space="preserve"> – כפי שטענה באת כוח הנאשם, </w:t>
      </w:r>
      <w:r>
        <w:rPr>
          <w:rFonts w:ascii="David" w:hAnsi="David"/>
          <w:b/>
          <w:bCs/>
          <w:rtl/>
        </w:rPr>
        <w:t>חלפו כ-4 שנים מביצוע העבירה</w:t>
      </w:r>
      <w:r>
        <w:rPr>
          <w:rFonts w:ascii="David" w:hAnsi="David"/>
          <w:rtl/>
        </w:rPr>
        <w:t xml:space="preserve"> ויש להתחשב בכך. לצד זאת, לא ניתן להתעלם מכך ש</w:t>
      </w:r>
      <w:r>
        <w:rPr>
          <w:rFonts w:ascii="David" w:hAnsi="David"/>
          <w:b/>
          <w:bCs/>
          <w:rtl/>
        </w:rPr>
        <w:t>חלוף הזמן רובץ רובו ככולו לפתחו של הנאשם</w:t>
      </w:r>
      <w:r>
        <w:rPr>
          <w:rFonts w:ascii="David" w:hAnsi="David"/>
          <w:rtl/>
        </w:rPr>
        <w:t>. במצב דברים זה ראיתי לנכון לפרט השתלשלות ההליכים בתיק:</w:t>
      </w:r>
    </w:p>
    <w:p w14:paraId="52E79CB6" w14:textId="77777777" w:rsidR="00B42204" w:rsidRDefault="00B42204" w:rsidP="00B42204">
      <w:pPr>
        <w:pStyle w:val="aa"/>
        <w:widowControl w:val="0"/>
        <w:rPr>
          <w:sz w:val="18"/>
          <w:szCs w:val="20"/>
        </w:rPr>
      </w:pPr>
    </w:p>
    <w:p w14:paraId="1A73E4C3" w14:textId="77777777" w:rsidR="00B42204" w:rsidRDefault="00B42204" w:rsidP="00B42204">
      <w:pPr>
        <w:widowControl w:val="0"/>
        <w:numPr>
          <w:ilvl w:val="3"/>
          <w:numId w:val="1"/>
        </w:numPr>
        <w:spacing w:line="360" w:lineRule="auto"/>
        <w:ind w:left="1211"/>
        <w:jc w:val="both"/>
        <w:rPr>
          <w:rtl/>
        </w:rPr>
      </w:pPr>
      <w:r>
        <w:rPr>
          <w:rFonts w:ascii="David" w:hAnsi="David"/>
          <w:rtl/>
        </w:rPr>
        <w:t xml:space="preserve">כתב האישום הוגש ב-28.12.20. הדיון נדחה מספר פעמים לבקשת ההגנה. </w:t>
      </w:r>
    </w:p>
    <w:p w14:paraId="6B1BBCDE" w14:textId="77777777" w:rsidR="00B42204" w:rsidRDefault="00B42204" w:rsidP="00B42204">
      <w:pPr>
        <w:widowControl w:val="0"/>
        <w:ind w:left="1211"/>
        <w:jc w:val="both"/>
        <w:rPr>
          <w:sz w:val="20"/>
          <w:szCs w:val="20"/>
        </w:rPr>
      </w:pPr>
    </w:p>
    <w:p w14:paraId="22297B0C" w14:textId="77777777" w:rsidR="00B42204" w:rsidRDefault="00B42204" w:rsidP="00B42204">
      <w:pPr>
        <w:widowControl w:val="0"/>
        <w:numPr>
          <w:ilvl w:val="3"/>
          <w:numId w:val="1"/>
        </w:numPr>
        <w:spacing w:line="360" w:lineRule="auto"/>
        <w:ind w:left="1211"/>
        <w:jc w:val="both"/>
      </w:pPr>
      <w:r>
        <w:rPr>
          <w:rFonts w:ascii="David" w:hAnsi="David"/>
          <w:rtl/>
        </w:rPr>
        <w:t xml:space="preserve">בחלוף כשנה ולאחר חילופי ייצוג, הוצג ביום 19.12.21 הסדר הטיעון. לאחר הרשעתו, </w:t>
      </w:r>
      <w:r>
        <w:rPr>
          <w:rtl/>
        </w:rPr>
        <w:t xml:space="preserve">מועד הטיעונים לעונש נדחה ל-18.5.22. </w:t>
      </w:r>
    </w:p>
    <w:p w14:paraId="2C625281" w14:textId="77777777" w:rsidR="00B42204" w:rsidRDefault="00B42204" w:rsidP="00B42204">
      <w:pPr>
        <w:pStyle w:val="aa"/>
        <w:widowControl w:val="0"/>
        <w:rPr>
          <w:sz w:val="18"/>
          <w:szCs w:val="20"/>
        </w:rPr>
      </w:pPr>
    </w:p>
    <w:p w14:paraId="5303DBDB" w14:textId="77777777" w:rsidR="00B42204" w:rsidRDefault="00B42204" w:rsidP="00B42204">
      <w:pPr>
        <w:widowControl w:val="0"/>
        <w:numPr>
          <w:ilvl w:val="3"/>
          <w:numId w:val="1"/>
        </w:numPr>
        <w:spacing w:line="360" w:lineRule="auto"/>
        <w:ind w:left="1211"/>
        <w:jc w:val="both"/>
      </w:pPr>
      <w:r>
        <w:rPr>
          <w:rtl/>
        </w:rPr>
        <w:t xml:space="preserve">סגנית הנשיא כב' הש' חלפון נזריאן נעתרה לבקשות ב"כ הצדדים ומטעמיהן ונוכח אילוצי בית משפט ושינוי מותבים – מועד הטיעונים לעונש נדחה מפעם לפעם עד שנקבע בפניי ב-25.1.23. </w:t>
      </w:r>
    </w:p>
    <w:p w14:paraId="561634DA" w14:textId="77777777" w:rsidR="00B42204" w:rsidRDefault="00B42204" w:rsidP="00B42204">
      <w:pPr>
        <w:pStyle w:val="aa"/>
        <w:widowControl w:val="0"/>
        <w:rPr>
          <w:sz w:val="18"/>
          <w:szCs w:val="20"/>
        </w:rPr>
      </w:pPr>
    </w:p>
    <w:p w14:paraId="2CF6764C" w14:textId="77777777" w:rsidR="00B42204" w:rsidRDefault="00B42204" w:rsidP="00B42204">
      <w:pPr>
        <w:widowControl w:val="0"/>
        <w:numPr>
          <w:ilvl w:val="3"/>
          <w:numId w:val="1"/>
        </w:numPr>
        <w:spacing w:line="360" w:lineRule="auto"/>
        <w:ind w:left="1211"/>
        <w:jc w:val="both"/>
        <w:rPr>
          <w:rtl/>
        </w:rPr>
      </w:pPr>
      <w:r>
        <w:rPr>
          <w:rtl/>
        </w:rPr>
        <w:t xml:space="preserve">ב-25.1.23, חרף חוסר שיתוף הפעולה של הנאשם עם שירות המבחן, נעתרתי לבקשת ההגנה לקבל תסקיר משלים והדיון נדחה ל-29.5.23 ובהמשך ל-22.6.23 – מועד בו נשמעו הטיעונים לעונש. בתום הדיון אפשרתי להגנה להגיש מסמכים עד ליום 20.7.23. </w:t>
      </w:r>
    </w:p>
    <w:p w14:paraId="0625190E" w14:textId="77777777" w:rsidR="00B42204" w:rsidRDefault="00B42204" w:rsidP="00B42204">
      <w:pPr>
        <w:widowControl w:val="0"/>
        <w:ind w:left="1211"/>
        <w:jc w:val="both"/>
        <w:rPr>
          <w:rFonts w:ascii="David" w:hAnsi="David"/>
          <w:sz w:val="20"/>
          <w:szCs w:val="20"/>
        </w:rPr>
      </w:pPr>
    </w:p>
    <w:p w14:paraId="583EE096" w14:textId="77777777" w:rsidR="00B42204" w:rsidRDefault="00B42204" w:rsidP="00B42204">
      <w:pPr>
        <w:widowControl w:val="0"/>
        <w:numPr>
          <w:ilvl w:val="3"/>
          <w:numId w:val="1"/>
        </w:numPr>
        <w:spacing w:line="360" w:lineRule="auto"/>
        <w:ind w:left="1211"/>
        <w:jc w:val="both"/>
      </w:pPr>
      <w:r>
        <w:rPr>
          <w:rtl/>
        </w:rPr>
        <w:t xml:space="preserve">ב-30.7.23 הוגש מסמך שכותרתו "בקשה להשלמת טיעונים וקבלת תסקיר משלים". עמדת המאשימה לבקשה צורפה ב-8.8.23. בנסיבות המתוארות לעיל, בעיקר בהינתן חוסר שיתוף הפעולה של הנאשם עם שירות המבחן לאורך תקופה ארוכה, בהינתן כי הנאשם הופנה מספר רב של פעמים לשירות המבחן וחרף זאת לא השכיל לשתף פעולה, חרף חרב המאסר המותנה המתהפכת מעל לראשו – לא ראיתי לנכון לשוב ולהפנותו לשירות המבחן ומשכך נדחתה הבקשה. </w:t>
      </w:r>
    </w:p>
    <w:p w14:paraId="7F3AC4A9" w14:textId="77777777" w:rsidR="00B42204" w:rsidRDefault="00B42204" w:rsidP="00B42204">
      <w:pPr>
        <w:pStyle w:val="aa"/>
        <w:widowControl w:val="0"/>
        <w:rPr>
          <w:sz w:val="18"/>
          <w:szCs w:val="20"/>
        </w:rPr>
      </w:pPr>
    </w:p>
    <w:p w14:paraId="0C97965C" w14:textId="77777777" w:rsidR="00B42204" w:rsidRDefault="00B42204" w:rsidP="00B42204">
      <w:pPr>
        <w:widowControl w:val="0"/>
        <w:numPr>
          <w:ilvl w:val="3"/>
          <w:numId w:val="1"/>
        </w:numPr>
        <w:spacing w:line="360" w:lineRule="auto"/>
        <w:ind w:left="1211"/>
        <w:jc w:val="both"/>
        <w:rPr>
          <w:rtl/>
        </w:rPr>
      </w:pPr>
      <w:r>
        <w:rPr>
          <w:rtl/>
        </w:rPr>
        <w:t xml:space="preserve">באת כוח הנאשם לא השלימה עם ההחלטה ועתרה שוב להפנות את הנאשם לשירות המבחן. הפעם צרפה לבקשתה אישור רפואי לשימוש בקנבוס ותיעוד רפואי. בנסיבות אלו נעתרתי לבקשה, אולם כמתואר לעיל וכעולה מהתסקיר מיום 26.9.23 – הנאשם לא ניצל את ההזדמנות שנתנה לו ולא שיתף פעולה עם שירות המבחן. </w:t>
      </w:r>
    </w:p>
    <w:p w14:paraId="2E7010C7" w14:textId="77777777" w:rsidR="00B42204" w:rsidRDefault="00B42204" w:rsidP="00B42204">
      <w:pPr>
        <w:pStyle w:val="aa"/>
        <w:widowControl w:val="0"/>
        <w:rPr>
          <w:sz w:val="18"/>
          <w:szCs w:val="20"/>
        </w:rPr>
      </w:pPr>
    </w:p>
    <w:p w14:paraId="1C407577" w14:textId="77777777" w:rsidR="00B42204" w:rsidRDefault="00B42204" w:rsidP="00B42204">
      <w:pPr>
        <w:widowControl w:val="0"/>
        <w:numPr>
          <w:ilvl w:val="3"/>
          <w:numId w:val="1"/>
        </w:numPr>
        <w:spacing w:line="360" w:lineRule="auto"/>
        <w:ind w:left="1211"/>
        <w:jc w:val="both"/>
        <w:rPr>
          <w:rtl/>
        </w:rPr>
      </w:pPr>
      <w:r>
        <w:rPr>
          <w:rtl/>
        </w:rPr>
        <w:t xml:space="preserve">מועד מתן גזר הדין, שנקבע ליום 11.10.23, נדחה מספר פעמים בשל מצב החירום. במהלך תקופת הדחיה, ב-30.10.23, הוגש התסקיר ה-5, וזאת מבלי שהנאשם הופנה שוב לשירות המבחן. מהתסקיר עלה כי בסופו של יום הנאשם בחר להירתם להליך הטיפולי. </w:t>
      </w:r>
    </w:p>
    <w:p w14:paraId="6FE72188" w14:textId="77777777" w:rsidR="00B42204" w:rsidRDefault="00B42204" w:rsidP="00B42204">
      <w:pPr>
        <w:widowControl w:val="0"/>
        <w:ind w:left="851"/>
        <w:jc w:val="both"/>
        <w:rPr>
          <w:sz w:val="20"/>
          <w:szCs w:val="20"/>
        </w:rPr>
      </w:pPr>
    </w:p>
    <w:p w14:paraId="10FE4D4E" w14:textId="77777777" w:rsidR="00B42204" w:rsidRDefault="00B42204" w:rsidP="00B42204">
      <w:pPr>
        <w:widowControl w:val="0"/>
        <w:spacing w:line="360" w:lineRule="auto"/>
        <w:ind w:left="851"/>
        <w:jc w:val="both"/>
        <w:rPr>
          <w:rtl/>
        </w:rPr>
      </w:pPr>
      <w:r>
        <w:rPr>
          <w:rtl/>
        </w:rPr>
        <w:t xml:space="preserve">אשר על כן, נוכח כל המתואר לעיל, המשקל שיש לתת לחלוף הזמן לא רב.  </w:t>
      </w:r>
    </w:p>
    <w:p w14:paraId="06E85639" w14:textId="77777777" w:rsidR="00B42204" w:rsidRDefault="00B42204" w:rsidP="00B42204">
      <w:pPr>
        <w:widowControl w:val="0"/>
        <w:jc w:val="both"/>
        <w:rPr>
          <w:rFonts w:ascii="David" w:hAnsi="David"/>
        </w:rPr>
      </w:pPr>
    </w:p>
    <w:p w14:paraId="1A40749E" w14:textId="77777777" w:rsidR="00B42204" w:rsidRDefault="00B42204" w:rsidP="00B42204">
      <w:pPr>
        <w:widowControl w:val="0"/>
        <w:numPr>
          <w:ilvl w:val="2"/>
          <w:numId w:val="1"/>
        </w:numPr>
        <w:spacing w:line="360" w:lineRule="auto"/>
        <w:ind w:left="851" w:hanging="454"/>
        <w:jc w:val="both"/>
        <w:rPr>
          <w:rFonts w:ascii="David" w:hAnsi="David"/>
        </w:rPr>
      </w:pPr>
      <w:r>
        <w:rPr>
          <w:rFonts w:ascii="David" w:hAnsi="David"/>
          <w:b/>
          <w:bCs/>
          <w:rtl/>
        </w:rPr>
        <w:t>עבר פלילי</w:t>
      </w:r>
      <w:r>
        <w:rPr>
          <w:rFonts w:ascii="David" w:hAnsi="David"/>
          <w:rtl/>
        </w:rPr>
        <w:t xml:space="preserve"> - לחובת הנאשם הרשעה קודמת ב-3 עבירות החזקת סמים לצריכה עצמית ועבירת סיוע להחזקת סמים לצרכיה עצמית, בגינה נדון ב-31.7.19 ל-60 ימי מאסר בפועל, 60 ימי מאסר מותנה לשנתיים מיום שחרורו ופסילה ל-364 יום.  </w:t>
      </w:r>
    </w:p>
    <w:p w14:paraId="35C695CF" w14:textId="77777777" w:rsidR="00B42204" w:rsidRDefault="00B42204" w:rsidP="00B42204">
      <w:pPr>
        <w:widowControl w:val="0"/>
        <w:spacing w:line="360" w:lineRule="auto"/>
        <w:jc w:val="both"/>
        <w:rPr>
          <w:rFonts w:ascii="David" w:hAnsi="David"/>
          <w:bCs/>
          <w:sz w:val="26"/>
          <w:szCs w:val="26"/>
        </w:rPr>
      </w:pPr>
    </w:p>
    <w:p w14:paraId="1E6DF9D2" w14:textId="77777777" w:rsidR="00B42204" w:rsidRDefault="00B42204" w:rsidP="00B42204">
      <w:pPr>
        <w:widowControl w:val="0"/>
        <w:spacing w:line="360" w:lineRule="auto"/>
        <w:jc w:val="both"/>
        <w:rPr>
          <w:rFonts w:ascii="David" w:hAnsi="David"/>
          <w:bCs/>
          <w:sz w:val="26"/>
          <w:szCs w:val="26"/>
          <w:rtl/>
        </w:rPr>
      </w:pPr>
      <w:r>
        <w:rPr>
          <w:rFonts w:ascii="David" w:hAnsi="David"/>
          <w:bCs/>
          <w:sz w:val="26"/>
          <w:szCs w:val="26"/>
          <w:rtl/>
        </w:rPr>
        <w:t>הארכת מאסר מותנה או הפעלתו – המסגרת הנורמטיבית ויישומה בענייננו</w:t>
      </w:r>
    </w:p>
    <w:p w14:paraId="7C15BC09" w14:textId="77777777" w:rsidR="00B42204" w:rsidRDefault="00B42204" w:rsidP="00B42204">
      <w:pPr>
        <w:pStyle w:val="aa"/>
        <w:widowControl w:val="0"/>
        <w:numPr>
          <w:ilvl w:val="0"/>
          <w:numId w:val="1"/>
        </w:numPr>
        <w:spacing w:line="360" w:lineRule="auto"/>
        <w:ind w:left="357" w:hanging="357"/>
        <w:jc w:val="both"/>
      </w:pPr>
      <w:r>
        <w:rPr>
          <w:rFonts w:hint="cs"/>
          <w:rtl/>
        </w:rPr>
        <w:t xml:space="preserve">להפעלת המאסר המותנה יש משמעות גם בבחינת הצורך בהרתעה אישית ובהרתעת הרבים, בהתאם </w:t>
      </w:r>
      <w:hyperlink r:id="rId44" w:history="1">
        <w:r w:rsidR="006149A5" w:rsidRPr="006149A5">
          <w:rPr>
            <w:rStyle w:val="Hyperlink"/>
            <w:rFonts w:hint="eastAsia"/>
            <w:rtl/>
          </w:rPr>
          <w:t>לסעיפים</w:t>
        </w:r>
        <w:r w:rsidR="006149A5" w:rsidRPr="006149A5">
          <w:rPr>
            <w:rStyle w:val="Hyperlink"/>
            <w:rtl/>
          </w:rPr>
          <w:t xml:space="preserve"> 40ו</w:t>
        </w:r>
      </w:hyperlink>
      <w:r>
        <w:rPr>
          <w:rFonts w:hint="cs"/>
          <w:rtl/>
        </w:rPr>
        <w:t xml:space="preserve"> ו-</w:t>
      </w:r>
      <w:hyperlink r:id="rId45" w:history="1">
        <w:r w:rsidR="006149A5" w:rsidRPr="006149A5">
          <w:rPr>
            <w:rStyle w:val="Hyperlink"/>
            <w:rtl/>
          </w:rPr>
          <w:t>40ז</w:t>
        </w:r>
      </w:hyperlink>
      <w:r>
        <w:rPr>
          <w:rFonts w:hint="cs"/>
          <w:rtl/>
        </w:rPr>
        <w:t xml:space="preserve"> ל-</w:t>
      </w:r>
      <w:hyperlink r:id="rId46" w:history="1">
        <w:r w:rsidR="009D52CE" w:rsidRPr="009D52CE">
          <w:rPr>
            <w:rFonts w:ascii="Miriam" w:hAnsi="Miriam" w:cs="Miriam"/>
            <w:b/>
            <w:bCs/>
            <w:color w:val="0000FF"/>
            <w:sz w:val="18"/>
            <w:szCs w:val="22"/>
            <w:u w:val="single"/>
            <w:rtl/>
          </w:rPr>
          <w:t>חוק העונשין</w:t>
        </w:r>
      </w:hyperlink>
      <w:r>
        <w:rPr>
          <w:rFonts w:hint="cs"/>
          <w:rtl/>
        </w:rPr>
        <w:t xml:space="preserve"> [ראו </w:t>
      </w:r>
      <w:hyperlink r:id="rId47" w:history="1">
        <w:r w:rsidR="009D52CE" w:rsidRPr="009D52CE">
          <w:rPr>
            <w:rFonts w:ascii="Arimo" w:hAnsi="Arimo" w:hint="cs"/>
            <w:color w:val="0000FF"/>
            <w:sz w:val="25"/>
            <w:u w:val="single"/>
            <w:rtl/>
          </w:rPr>
          <w:t>ע</w:t>
        </w:r>
        <w:r w:rsidR="009D52CE" w:rsidRPr="009D52CE">
          <w:rPr>
            <w:rFonts w:ascii="Arimo" w:hAnsi="Arimo"/>
            <w:color w:val="0000FF"/>
            <w:sz w:val="25"/>
            <w:u w:val="single"/>
            <w:rtl/>
          </w:rPr>
          <w:t>"</w:t>
        </w:r>
        <w:r w:rsidR="009D52CE" w:rsidRPr="009D52CE">
          <w:rPr>
            <w:rFonts w:ascii="Arimo" w:hAnsi="Arimo" w:hint="cs"/>
            <w:color w:val="0000FF"/>
            <w:sz w:val="25"/>
            <w:u w:val="single"/>
            <w:rtl/>
          </w:rPr>
          <w:t>פ</w:t>
        </w:r>
        <w:r w:rsidR="009D52CE" w:rsidRPr="009D52CE">
          <w:rPr>
            <w:rFonts w:ascii="Arimo" w:hAnsi="Arimo"/>
            <w:color w:val="0000FF"/>
            <w:sz w:val="25"/>
            <w:u w:val="single"/>
            <w:rtl/>
          </w:rPr>
          <w:t xml:space="preserve"> 49/80</w:t>
        </w:r>
      </w:hyperlink>
      <w:r>
        <w:rPr>
          <w:rFonts w:ascii="Arimo" w:hAnsi="Arimo" w:hint="cs"/>
          <w:sz w:val="25"/>
          <w:rtl/>
        </w:rPr>
        <w:t xml:space="preserve"> </w:t>
      </w:r>
      <w:r>
        <w:rPr>
          <w:rFonts w:ascii="Miriam" w:hAnsi="Miriam" w:cs="Miriam"/>
          <w:b/>
          <w:bCs/>
          <w:sz w:val="23"/>
          <w:szCs w:val="22"/>
          <w:rtl/>
        </w:rPr>
        <w:t>מסילתי נ' מדינת ישראל</w:t>
      </w:r>
      <w:r>
        <w:rPr>
          <w:rFonts w:ascii="Arimo" w:hAnsi="Arimo" w:hint="cs"/>
          <w:sz w:val="25"/>
          <w:rtl/>
        </w:rPr>
        <w:t xml:space="preserve">, פ"ד לד(3) 808 (1980); ‏‏ע"פ </w:t>
      </w:r>
      <w:hyperlink r:id="rId48" w:history="1">
        <w:r w:rsidR="00F438FF" w:rsidRPr="00F438FF">
          <w:rPr>
            <w:rFonts w:ascii="Arimo" w:hAnsi="Arimo"/>
            <w:color w:val="0000FF"/>
            <w:sz w:val="25"/>
            <w:u w:val="single"/>
            <w:rtl/>
          </w:rPr>
          <w:t xml:space="preserve">4517/04 </w:t>
        </w:r>
      </w:hyperlink>
      <w:r>
        <w:rPr>
          <w:rFonts w:ascii="Arimo" w:hAnsi="Arimo" w:hint="cs"/>
          <w:sz w:val="25"/>
          <w:rtl/>
        </w:rPr>
        <w:t xml:space="preserve"> </w:t>
      </w:r>
      <w:r>
        <w:rPr>
          <w:rFonts w:ascii="Miriam" w:hAnsi="Miriam" w:cs="Miriam"/>
          <w:b/>
          <w:bCs/>
          <w:sz w:val="23"/>
          <w:szCs w:val="22"/>
          <w:rtl/>
        </w:rPr>
        <w:t>מסראווה נ' מדינת ישראל</w:t>
      </w:r>
      <w:r>
        <w:rPr>
          <w:rFonts w:ascii="Arimo" w:hAnsi="Arimo" w:hint="cs"/>
          <w:sz w:val="25"/>
          <w:rtl/>
        </w:rPr>
        <w:t xml:space="preserve">, פ"ד נט(6) 119 (2005)]. </w:t>
      </w:r>
      <w:r>
        <w:rPr>
          <w:rFonts w:hint="cs"/>
          <w:rtl/>
        </w:rPr>
        <w:t>כאשר "</w:t>
      </w:r>
      <w:r>
        <w:rPr>
          <w:rFonts w:hint="cs"/>
          <w:b/>
          <w:bCs/>
          <w:rtl/>
        </w:rPr>
        <w:t>ביסודו של מנגנון המאסר המותנה גלומה התכלית של הרתעת הנאשם מפני שיבה לסורו</w:t>
      </w:r>
      <w:r>
        <w:rPr>
          <w:rFonts w:hint="cs"/>
          <w:rtl/>
        </w:rPr>
        <w:t xml:space="preserve">... </w:t>
      </w:r>
      <w:r>
        <w:rPr>
          <w:rFonts w:ascii="Arimo" w:hAnsi="Arimo" w:hint="cs"/>
          <w:b/>
          <w:bCs/>
          <w:sz w:val="25"/>
          <w:rtl/>
        </w:rPr>
        <w:t>באמצעות הבטחה כי ביצועה יוביל בודאות למאסרו בפועל</w:t>
      </w:r>
      <w:r>
        <w:rPr>
          <w:rFonts w:ascii="Arimo" w:hAnsi="Arimo" w:hint="cs"/>
          <w:sz w:val="25"/>
          <w:rtl/>
        </w:rPr>
        <w:t>", לצד ההזדמנות שניתנה לנאשם "</w:t>
      </w:r>
      <w:r>
        <w:rPr>
          <w:rFonts w:ascii="Arimo" w:hAnsi="Arimo" w:hint="cs"/>
          <w:b/>
          <w:bCs/>
          <w:sz w:val="25"/>
          <w:rtl/>
        </w:rPr>
        <w:t>לעלות על דרך הישר כשהוא מצוי בפיקוחה של עין צופיה, תחת מיצוי הדין עמו</w:t>
      </w:r>
      <w:r>
        <w:rPr>
          <w:rFonts w:ascii="Arimo" w:hAnsi="Arimo" w:hint="cs"/>
          <w:sz w:val="25"/>
          <w:rtl/>
        </w:rPr>
        <w:t>", כך "</w:t>
      </w:r>
      <w:r>
        <w:rPr>
          <w:rFonts w:ascii="Arimo" w:hAnsi="Arimo" w:hint="cs"/>
          <w:b/>
          <w:bCs/>
          <w:sz w:val="25"/>
          <w:rtl/>
        </w:rPr>
        <w:t>אם יאמץ נאשם הזדמנות זו, אכן יזכה להקלה בעונשו. ואולם, על שלא בחר לאמץ הזדמנויות חוזרות ונשנות שהוענקו לו באופן זה, אין לו למבקש להלין אלא על עצמו</w:t>
      </w:r>
      <w:r>
        <w:rPr>
          <w:rFonts w:ascii="Arimo" w:hAnsi="Arimo" w:hint="cs"/>
          <w:sz w:val="25"/>
          <w:rtl/>
        </w:rPr>
        <w:t>"</w:t>
      </w:r>
      <w:r>
        <w:rPr>
          <w:rFonts w:hint="cs"/>
          <w:rtl/>
        </w:rPr>
        <w:t xml:space="preserve"> [המשנה לנשיאה, כב' הש' רובינשטיין ב- פסקה כב' ל-</w:t>
      </w:r>
      <w:hyperlink r:id="rId49" w:history="1">
        <w:r w:rsidR="009D52CE" w:rsidRPr="009D52CE">
          <w:rPr>
            <w:rFonts w:ascii="Arimo" w:hAnsi="Arimo" w:hint="cs"/>
            <w:color w:val="0000FF"/>
            <w:sz w:val="25"/>
            <w:u w:val="single"/>
            <w:rtl/>
          </w:rPr>
          <w:t>רע</w:t>
        </w:r>
        <w:r w:rsidR="009D52CE" w:rsidRPr="009D52CE">
          <w:rPr>
            <w:rFonts w:ascii="Arimo" w:hAnsi="Arimo"/>
            <w:color w:val="0000FF"/>
            <w:sz w:val="25"/>
            <w:u w:val="single"/>
            <w:rtl/>
          </w:rPr>
          <w:t>"</w:t>
        </w:r>
        <w:r w:rsidR="009D52CE" w:rsidRPr="009D52CE">
          <w:rPr>
            <w:rFonts w:ascii="Arimo" w:hAnsi="Arimo" w:hint="cs"/>
            <w:color w:val="0000FF"/>
            <w:sz w:val="25"/>
            <w:u w:val="single"/>
            <w:rtl/>
          </w:rPr>
          <w:t>פ</w:t>
        </w:r>
        <w:r w:rsidR="009D52CE" w:rsidRPr="009D52CE">
          <w:rPr>
            <w:rFonts w:ascii="Arimo" w:hAnsi="Arimo"/>
            <w:color w:val="0000FF"/>
            <w:sz w:val="25"/>
            <w:u w:val="single"/>
            <w:rtl/>
          </w:rPr>
          <w:t xml:space="preserve"> 4935/12</w:t>
        </w:r>
      </w:hyperlink>
      <w:r>
        <w:rPr>
          <w:rFonts w:ascii="Arimo" w:hAnsi="Arimo" w:hint="cs"/>
          <w:sz w:val="25"/>
          <w:rtl/>
        </w:rPr>
        <w:t xml:space="preserve"> </w:t>
      </w:r>
      <w:r>
        <w:rPr>
          <w:rFonts w:ascii="Miriam" w:hAnsi="Miriam" w:cs="Miriam"/>
          <w:b/>
          <w:bCs/>
          <w:sz w:val="23"/>
          <w:szCs w:val="22"/>
          <w:rtl/>
        </w:rPr>
        <w:t>עמאר נ' מדינת ישראל</w:t>
      </w:r>
      <w:r>
        <w:rPr>
          <w:rFonts w:ascii="Arimo" w:hAnsi="Arimo" w:hint="cs"/>
          <w:sz w:val="23"/>
          <w:szCs w:val="22"/>
          <w:rtl/>
        </w:rPr>
        <w:t xml:space="preserve"> </w:t>
      </w:r>
      <w:r>
        <w:rPr>
          <w:rFonts w:ascii="Arimo" w:hAnsi="Arimo" w:hint="cs"/>
          <w:sz w:val="25"/>
          <w:rtl/>
        </w:rPr>
        <w:t>(13.1.13)‏‏ והאסמכתאות שם].</w:t>
      </w:r>
    </w:p>
    <w:p w14:paraId="68DBA1CC" w14:textId="77777777" w:rsidR="00B42204" w:rsidRDefault="00B42204" w:rsidP="00B42204">
      <w:pPr>
        <w:widowControl w:val="0"/>
        <w:spacing w:line="360" w:lineRule="auto"/>
        <w:jc w:val="both"/>
        <w:rPr>
          <w:rFonts w:ascii="David" w:hAnsi="David"/>
        </w:rPr>
      </w:pPr>
    </w:p>
    <w:p w14:paraId="4CDB0B1E" w14:textId="77777777" w:rsidR="00B42204" w:rsidRDefault="00B42204" w:rsidP="00B42204">
      <w:pPr>
        <w:pStyle w:val="aa"/>
        <w:widowControl w:val="0"/>
        <w:numPr>
          <w:ilvl w:val="0"/>
          <w:numId w:val="1"/>
        </w:numPr>
        <w:spacing w:line="360" w:lineRule="auto"/>
        <w:ind w:left="357" w:hanging="357"/>
        <w:jc w:val="both"/>
      </w:pPr>
      <w:r>
        <w:rPr>
          <w:rFonts w:hint="cs"/>
          <w:rtl/>
        </w:rPr>
        <w:t>זאת ועוד, נפסק לא אחת, כי אורך המאסר המותנה הוא לא טעם מיוחד המצדיק אי הפעלתו. כך, ב-</w:t>
      </w:r>
      <w:hyperlink r:id="rId50" w:history="1">
        <w:r w:rsidR="009D52CE" w:rsidRPr="009D52CE">
          <w:rPr>
            <w:color w:val="0000FF"/>
            <w:sz w:val="24"/>
            <w:u w:val="single"/>
            <w:rtl/>
          </w:rPr>
          <w:t>רע"פ 2801/14</w:t>
        </w:r>
      </w:hyperlink>
      <w:r>
        <w:rPr>
          <w:rFonts w:hint="cs"/>
          <w:color w:val="000000"/>
          <w:sz w:val="24"/>
          <w:rtl/>
        </w:rPr>
        <w:t xml:space="preserve"> </w:t>
      </w:r>
      <w:r>
        <w:rPr>
          <w:rFonts w:ascii="Miriam" w:hAnsi="Miriam" w:cs="Miriam"/>
          <w:b/>
          <w:bCs/>
          <w:szCs w:val="22"/>
          <w:rtl/>
        </w:rPr>
        <w:t>מראד נ' מדינת ישראל</w:t>
      </w:r>
      <w:r>
        <w:rPr>
          <w:rFonts w:hint="cs"/>
          <w:color w:val="000000"/>
          <w:sz w:val="24"/>
          <w:rtl/>
        </w:rPr>
        <w:t xml:space="preserve"> (1.5.14) - נדחתה בקשת רשות ערעור על פסק דינו של בית המשפט המחוזי בבאר שבע ב-</w:t>
      </w:r>
      <w:hyperlink r:id="rId51" w:history="1">
        <w:r w:rsidR="009D52CE" w:rsidRPr="009D52CE">
          <w:rPr>
            <w:color w:val="0000FF"/>
            <w:sz w:val="24"/>
            <w:u w:val="single"/>
            <w:rtl/>
          </w:rPr>
          <w:t>עפ"ג 48101-10-13</w:t>
        </w:r>
      </w:hyperlink>
      <w:r>
        <w:rPr>
          <w:rFonts w:hint="cs"/>
          <w:color w:val="000000"/>
          <w:sz w:val="24"/>
          <w:rtl/>
        </w:rPr>
        <w:t xml:space="preserve"> </w:t>
      </w:r>
      <w:r>
        <w:rPr>
          <w:rFonts w:ascii="Miriam" w:hAnsi="Miriam" w:cs="Miriam"/>
          <w:b/>
          <w:bCs/>
          <w:szCs w:val="22"/>
          <w:rtl/>
        </w:rPr>
        <w:t>מדינת ישראל נ' מראד</w:t>
      </w:r>
      <w:r>
        <w:rPr>
          <w:rFonts w:hint="cs"/>
          <w:color w:val="000000"/>
          <w:sz w:val="24"/>
          <w:rtl/>
        </w:rPr>
        <w:t xml:space="preserve"> (30.10.13). בקבלו ערעור המדינה, קבע בית המשפט המחוזי בבאר שבע, כי היות אורכו של המאסר המותנה "</w:t>
      </w:r>
      <w:r>
        <w:rPr>
          <w:rFonts w:hint="cs"/>
          <w:b/>
          <w:bCs/>
          <w:color w:val="000000"/>
          <w:sz w:val="24"/>
          <w:rtl/>
        </w:rPr>
        <w:t>לא מידתי</w:t>
      </w:r>
      <w:r>
        <w:rPr>
          <w:rFonts w:hint="cs"/>
          <w:color w:val="000000"/>
          <w:sz w:val="24"/>
          <w:rtl/>
        </w:rPr>
        <w:t>" הוא לא שיקול בשאלת הפעלת המאסר המותנה. "</w:t>
      </w:r>
      <w:r>
        <w:rPr>
          <w:rFonts w:hint="cs"/>
          <w:b/>
          <w:bCs/>
          <w:color w:val="000000"/>
          <w:sz w:val="24"/>
          <w:rtl/>
        </w:rPr>
        <w:t>יתרה מכך, לו סבר המשיב, כי מדובר בעונש שאינו מידתי וראוי, היה עליו להגיש ערעור לערכאה גבוהה יותר ולא להמתין לשלב בו תתבקש הפעלת התנאי</w:t>
      </w:r>
      <w:r>
        <w:rPr>
          <w:rFonts w:hint="cs"/>
          <w:color w:val="000000"/>
          <w:sz w:val="24"/>
          <w:rtl/>
        </w:rPr>
        <w:t xml:space="preserve">". כן נקבע כי "... </w:t>
      </w:r>
      <w:r>
        <w:rPr>
          <w:rFonts w:hint="cs"/>
          <w:b/>
          <w:bCs/>
          <w:color w:val="000000"/>
          <w:sz w:val="24"/>
          <w:rtl/>
        </w:rPr>
        <w:t>ככל שבתי המשפט ימעטו לחרוג מן הכלל של הפעלת התנאי, כך יגדל כוחו המרתיע של המאסר המותנה</w:t>
      </w:r>
      <w:r>
        <w:rPr>
          <w:rFonts w:hint="cs"/>
          <w:color w:val="000000"/>
          <w:sz w:val="24"/>
          <w:rtl/>
        </w:rPr>
        <w:t>". בדחותו בקשת רשות הערעור, הפנה כב' הש' שהם לקביעת כב' הש' פרוקצ'יה בסעיף 20 ל-</w:t>
      </w:r>
      <w:hyperlink r:id="rId52" w:history="1">
        <w:r w:rsidR="009D52CE" w:rsidRPr="009D52CE">
          <w:rPr>
            <w:color w:val="0000FF"/>
            <w:sz w:val="24"/>
            <w:u w:val="single"/>
            <w:rtl/>
          </w:rPr>
          <w:t>רע"פ 7391/08</w:t>
        </w:r>
      </w:hyperlink>
      <w:r>
        <w:rPr>
          <w:rFonts w:hint="cs"/>
          <w:color w:val="000000"/>
          <w:sz w:val="24"/>
          <w:rtl/>
        </w:rPr>
        <w:t xml:space="preserve"> </w:t>
      </w:r>
      <w:r>
        <w:rPr>
          <w:rFonts w:ascii="Miriam" w:hAnsi="Miriam" w:cs="Miriam"/>
          <w:b/>
          <w:bCs/>
          <w:szCs w:val="22"/>
          <w:rtl/>
        </w:rPr>
        <w:t>מחאג'נה נ' מדינת ישראל</w:t>
      </w:r>
      <w:r>
        <w:rPr>
          <w:rFonts w:hint="cs"/>
          <w:color w:val="000000"/>
          <w:sz w:val="24"/>
          <w:rtl/>
        </w:rPr>
        <w:t xml:space="preserve"> (14.9.09) (ההדגשה לא במקור - זד"ל)-</w:t>
      </w:r>
    </w:p>
    <w:p w14:paraId="0A4648FB" w14:textId="77777777" w:rsidR="00B42204" w:rsidRDefault="00B42204" w:rsidP="00B42204">
      <w:pPr>
        <w:pStyle w:val="a3"/>
        <w:widowControl w:val="0"/>
        <w:tabs>
          <w:tab w:val="clear" w:pos="4153"/>
        </w:tabs>
        <w:jc w:val="both"/>
        <w:rPr>
          <w:rFonts w:ascii="David" w:hAnsi="David"/>
          <w:color w:val="000000"/>
          <w:sz w:val="20"/>
          <w:szCs w:val="20"/>
        </w:rPr>
      </w:pPr>
    </w:p>
    <w:p w14:paraId="456A78CF" w14:textId="77777777" w:rsidR="00B42204" w:rsidRDefault="00B42204" w:rsidP="00B42204">
      <w:pPr>
        <w:pStyle w:val="Ruller5"/>
        <w:widowControl w:val="0"/>
        <w:ind w:right="1134"/>
        <w:rPr>
          <w:rFonts w:ascii="David" w:hAnsi="David" w:cs="David"/>
          <w:spacing w:val="0"/>
          <w:sz w:val="24"/>
          <w:szCs w:val="24"/>
          <w:rtl/>
        </w:rPr>
      </w:pPr>
      <w:r>
        <w:rPr>
          <w:rFonts w:ascii="David" w:hAnsi="David" w:cs="David"/>
          <w:spacing w:val="0"/>
          <w:sz w:val="24"/>
          <w:szCs w:val="24"/>
          <w:rtl/>
        </w:rPr>
        <w:t>"...</w:t>
      </w:r>
      <w:r>
        <w:rPr>
          <w:rFonts w:ascii="David" w:hAnsi="David" w:cs="David"/>
          <w:b/>
          <w:bCs/>
          <w:spacing w:val="0"/>
          <w:sz w:val="24"/>
          <w:szCs w:val="24"/>
          <w:rtl/>
        </w:rPr>
        <w:t xml:space="preserve"> שיקול הדעת הניתן לבית המשפט בהארכת עונש מאסר מותנה מתמקד במצבים שבהם מוצדק לתת לנאשם הזדמנות נוספת לחזור לדרך הישר, כאשר הוא מראה סימנים המניחים יסוד לציפייה כי כך יהיה. </w:t>
      </w:r>
      <w:r>
        <w:rPr>
          <w:rFonts w:ascii="David" w:hAnsi="David" w:cs="David"/>
          <w:b/>
          <w:bCs/>
          <w:spacing w:val="0"/>
          <w:sz w:val="24"/>
          <w:szCs w:val="24"/>
          <w:u w:val="single"/>
          <w:rtl/>
        </w:rPr>
        <w:t>עצם אורכו של עונש המאסר על תנאי</w:t>
      </w:r>
      <w:r>
        <w:rPr>
          <w:rFonts w:ascii="David" w:hAnsi="David" w:cs="David"/>
          <w:b/>
          <w:bCs/>
          <w:spacing w:val="0"/>
          <w:sz w:val="24"/>
          <w:szCs w:val="24"/>
          <w:rtl/>
        </w:rPr>
        <w:t xml:space="preserve"> שהוטל בגין הליך קודם </w:t>
      </w:r>
      <w:r>
        <w:rPr>
          <w:rFonts w:ascii="David" w:hAnsi="David" w:cs="David"/>
          <w:b/>
          <w:bCs/>
          <w:spacing w:val="0"/>
          <w:sz w:val="24"/>
          <w:szCs w:val="24"/>
          <w:u w:val="single"/>
          <w:rtl/>
        </w:rPr>
        <w:t>אינו טעם מיוחד להארכתו</w:t>
      </w:r>
      <w:r>
        <w:rPr>
          <w:rFonts w:ascii="David" w:hAnsi="David" w:cs="David"/>
          <w:b/>
          <w:bCs/>
          <w:spacing w:val="0"/>
          <w:sz w:val="24"/>
          <w:szCs w:val="24"/>
          <w:rtl/>
        </w:rPr>
        <w:t xml:space="preserve">, במיוחד כאשר הנאשם אינו מראה סימנים אמיתיים של הכרה והפנמה של משמעות התנהגותו הפלילית. </w:t>
      </w:r>
      <w:r>
        <w:rPr>
          <w:rFonts w:ascii="David" w:hAnsi="David" w:cs="David"/>
          <w:b/>
          <w:bCs/>
          <w:spacing w:val="0"/>
          <w:sz w:val="24"/>
          <w:szCs w:val="24"/>
          <w:u w:val="single"/>
          <w:rtl/>
        </w:rPr>
        <w:t>הימנעות מהטלת עונש מאסר בפועל והארכת תקופת התנאי רק בשל היקפו</w:t>
      </w:r>
      <w:r>
        <w:rPr>
          <w:rFonts w:ascii="David" w:hAnsi="David" w:cs="David"/>
          <w:b/>
          <w:bCs/>
          <w:spacing w:val="0"/>
          <w:sz w:val="24"/>
          <w:szCs w:val="24"/>
          <w:rtl/>
        </w:rPr>
        <w:t xml:space="preserve"> של עונש המאסר על תנאי שיש להפעילו, </w:t>
      </w:r>
      <w:r>
        <w:rPr>
          <w:rFonts w:ascii="David" w:hAnsi="David" w:cs="David"/>
          <w:b/>
          <w:bCs/>
          <w:spacing w:val="0"/>
          <w:sz w:val="24"/>
          <w:szCs w:val="24"/>
          <w:u w:val="single"/>
          <w:rtl/>
        </w:rPr>
        <w:t>אינה מתיישבת עם קו עונשי אפקטיבי וראוי</w:t>
      </w:r>
      <w:r>
        <w:rPr>
          <w:rFonts w:ascii="David" w:hAnsi="David" w:cs="David"/>
          <w:b/>
          <w:bCs/>
          <w:spacing w:val="0"/>
          <w:sz w:val="24"/>
          <w:szCs w:val="24"/>
          <w:rtl/>
        </w:rPr>
        <w:t xml:space="preserve"> בנסיבות מקרה זה</w:t>
      </w:r>
      <w:r>
        <w:rPr>
          <w:rFonts w:ascii="David" w:hAnsi="David" w:cs="David"/>
          <w:spacing w:val="0"/>
          <w:sz w:val="24"/>
          <w:szCs w:val="24"/>
          <w:rtl/>
        </w:rPr>
        <w:t>".</w:t>
      </w:r>
    </w:p>
    <w:p w14:paraId="20A97CCF" w14:textId="77777777" w:rsidR="00B42204" w:rsidRDefault="00B42204" w:rsidP="00B42204">
      <w:pPr>
        <w:widowControl w:val="0"/>
        <w:spacing w:line="360" w:lineRule="auto"/>
        <w:jc w:val="both"/>
        <w:rPr>
          <w:rFonts w:ascii="David" w:hAnsi="David"/>
          <w:b/>
          <w:bCs/>
          <w:sz w:val="26"/>
          <w:szCs w:val="26"/>
          <w:rtl/>
        </w:rPr>
      </w:pPr>
    </w:p>
    <w:p w14:paraId="2125E259" w14:textId="77777777" w:rsidR="00B42204" w:rsidRDefault="00B42204" w:rsidP="00B42204">
      <w:pPr>
        <w:widowControl w:val="0"/>
        <w:spacing w:line="360" w:lineRule="auto"/>
        <w:jc w:val="both"/>
        <w:rPr>
          <w:rFonts w:ascii="David" w:hAnsi="David"/>
          <w:b/>
          <w:bCs/>
          <w:sz w:val="26"/>
          <w:szCs w:val="26"/>
          <w:rtl/>
        </w:rPr>
      </w:pPr>
      <w:r>
        <w:rPr>
          <w:rFonts w:ascii="David" w:hAnsi="David"/>
          <w:b/>
          <w:bCs/>
          <w:sz w:val="26"/>
          <w:szCs w:val="26"/>
          <w:rtl/>
        </w:rPr>
        <w:t>סוף דבר</w:t>
      </w:r>
    </w:p>
    <w:p w14:paraId="45693F4E" w14:textId="77777777" w:rsidR="00B42204" w:rsidRDefault="00B42204" w:rsidP="00B42204">
      <w:pPr>
        <w:pStyle w:val="aa"/>
        <w:widowControl w:val="0"/>
        <w:numPr>
          <w:ilvl w:val="0"/>
          <w:numId w:val="1"/>
        </w:numPr>
        <w:spacing w:line="360" w:lineRule="auto"/>
        <w:ind w:left="357" w:hanging="357"/>
        <w:jc w:val="both"/>
        <w:rPr>
          <w:rtl/>
        </w:rPr>
      </w:pPr>
      <w:r>
        <w:rPr>
          <w:rFonts w:hint="cs"/>
          <w:rtl/>
        </w:rPr>
        <w:t>עולה מן המקובץ, כי הנאשם לא עונה על התנאים שנקבעו בדין ובפסיקה להארכת מאסר מותנה. הנאשם אמנם החל לאחרונה לשתף פעולה עם שירות המבחן, אולם מדובר בנאשם שלא עבר הליך טיפול משמעותי ולמעשה מהתסקיר מיום 30.10.23 גם לא עולה שעתיד להתחיל הליך שכזה. בהינתן התנהלות הנאשם ומאחר שלא מדובר בהסתבכותו הראשונה ואף לא במאסרו הראשון, לא התרשמתי כי הפעלת המאסר המותנה תסב לו נזק חמור, מעבר לנזק שנגרם לנאשמים אחרים שבעניינם מופעל מאסר מותנה. נוכח התנהלות הנאשם לא התרשמתי כי הנאשם אכן נרתם להליך שיקומי ויתרם ממנו. לצד המלצתו, שירות המבחן לא ציין כי הסיכון הגבוה להישנות ביצוע עבירות פחת. במצב דברים רגיל, נוכח התנהלותו מול שירות המבחן ועברו הפלילי – היה מקום למקם את הנאשם מעל אמצע המתחם.</w:t>
      </w:r>
      <w:r>
        <w:rPr>
          <w:rFonts w:hint="cs"/>
          <w:b/>
          <w:bCs/>
          <w:rtl/>
        </w:rPr>
        <w:t xml:space="preserve"> </w:t>
      </w:r>
      <w:r>
        <w:rPr>
          <w:rFonts w:hint="cs"/>
          <w:rtl/>
        </w:rPr>
        <w:t xml:space="preserve">עם זאת, בהינתן הודיית הנאשם, נסיבות ביצוע העבירה שהן לא מהחמורות (נוכח כמות הסם, סוגו ומטרת החזקתו), בהינתן מצבו הרפואי ותוך מתן משקל מסויים לחלוף הזמן – ראיתי לנכון למקם את הנאשם בחלקו התחתון של המתחם, אך לא בתחתיתו. זאת ועוד, בהינתן שינוי דרכיו ועמדותיו ותחילת הקשר הטיפולי עם שירות המבחן – ראיתי לנכון להורות על הפעלת המאסר המותנה בחופף. </w:t>
      </w:r>
    </w:p>
    <w:p w14:paraId="71AE7E68" w14:textId="77777777" w:rsidR="00B42204" w:rsidRDefault="00B42204" w:rsidP="00B42204">
      <w:pPr>
        <w:pStyle w:val="aa"/>
        <w:widowControl w:val="0"/>
        <w:spacing w:line="360" w:lineRule="auto"/>
        <w:ind w:left="357"/>
        <w:jc w:val="both"/>
      </w:pPr>
    </w:p>
    <w:p w14:paraId="4E344B46" w14:textId="77777777" w:rsidR="00B42204" w:rsidRDefault="00B42204" w:rsidP="00B42204">
      <w:pPr>
        <w:pStyle w:val="aa"/>
        <w:widowControl w:val="0"/>
        <w:numPr>
          <w:ilvl w:val="0"/>
          <w:numId w:val="1"/>
        </w:numPr>
        <w:spacing w:line="360" w:lineRule="auto"/>
        <w:ind w:left="357" w:hanging="357"/>
        <w:jc w:val="both"/>
      </w:pPr>
      <w:r>
        <w:rPr>
          <w:rFonts w:hint="cs"/>
          <w:rtl/>
        </w:rPr>
        <w:t xml:space="preserve">אשר על כן, </w:t>
      </w:r>
      <w:r>
        <w:rPr>
          <w:rFonts w:hint="cs"/>
          <w:b/>
          <w:bCs/>
          <w:rtl/>
        </w:rPr>
        <w:t>אני גוזרת על הנאשם את העונשים הבאים</w:t>
      </w:r>
      <w:r>
        <w:rPr>
          <w:rFonts w:hint="cs"/>
          <w:rtl/>
        </w:rPr>
        <w:t>:</w:t>
      </w:r>
    </w:p>
    <w:p w14:paraId="4738A10F" w14:textId="77777777" w:rsidR="00B42204" w:rsidRDefault="00B42204" w:rsidP="00B42204">
      <w:pPr>
        <w:widowControl w:val="0"/>
        <w:snapToGrid w:val="0"/>
        <w:ind w:left="357"/>
        <w:jc w:val="both"/>
        <w:rPr>
          <w:sz w:val="16"/>
          <w:szCs w:val="20"/>
          <w:lang w:eastAsia="he-IL"/>
        </w:rPr>
      </w:pPr>
    </w:p>
    <w:p w14:paraId="6287941D" w14:textId="77777777" w:rsidR="00B42204" w:rsidRDefault="00B42204" w:rsidP="00B42204">
      <w:pPr>
        <w:pStyle w:val="aa"/>
        <w:widowControl w:val="0"/>
        <w:numPr>
          <w:ilvl w:val="1"/>
          <w:numId w:val="1"/>
        </w:numPr>
        <w:spacing w:line="360" w:lineRule="auto"/>
        <w:ind w:left="714" w:hanging="357"/>
        <w:jc w:val="both"/>
      </w:pPr>
      <w:r>
        <w:rPr>
          <w:rFonts w:hint="cs"/>
          <w:b/>
          <w:bCs/>
          <w:rtl/>
        </w:rPr>
        <w:t>חודש מאסר בפועל</w:t>
      </w:r>
      <w:r>
        <w:rPr>
          <w:rFonts w:hint="cs"/>
          <w:rtl/>
        </w:rPr>
        <w:t>.</w:t>
      </w:r>
    </w:p>
    <w:p w14:paraId="064A0A4F" w14:textId="77777777" w:rsidR="00B42204" w:rsidRDefault="00B42204" w:rsidP="00B42204">
      <w:pPr>
        <w:pStyle w:val="aa"/>
        <w:widowControl w:val="0"/>
        <w:spacing w:line="360" w:lineRule="auto"/>
        <w:ind w:left="714"/>
        <w:jc w:val="both"/>
      </w:pPr>
      <w:r>
        <w:rPr>
          <w:rFonts w:hint="cs"/>
          <w:b/>
          <w:bCs/>
          <w:rtl/>
        </w:rPr>
        <w:t>יופעל מאסר מותנה בן 60 יום</w:t>
      </w:r>
      <w:r>
        <w:rPr>
          <w:rFonts w:hint="cs"/>
          <w:rtl/>
        </w:rPr>
        <w:t xml:space="preserve">, שהושת על הנאשם בתיק של בית הדין הצבאי מחוזי דרום 403/18, ביום 31.7.19, בחופף למאסר, כך שסך הכל יהיה על הנאשם לרצות </w:t>
      </w:r>
      <w:r>
        <w:rPr>
          <w:rFonts w:hint="cs"/>
          <w:b/>
          <w:bCs/>
          <w:rtl/>
        </w:rPr>
        <w:t>60 ימי מאסר</w:t>
      </w:r>
      <w:r>
        <w:rPr>
          <w:rFonts w:hint="cs"/>
          <w:rtl/>
        </w:rPr>
        <w:t xml:space="preserve">. </w:t>
      </w:r>
    </w:p>
    <w:p w14:paraId="617A3025" w14:textId="77777777" w:rsidR="00B42204" w:rsidRDefault="00B42204" w:rsidP="00B42204">
      <w:pPr>
        <w:widowControl w:val="0"/>
        <w:spacing w:line="360" w:lineRule="auto"/>
        <w:ind w:left="720"/>
        <w:jc w:val="both"/>
        <w:rPr>
          <w:rFonts w:ascii="David" w:hAnsi="David"/>
        </w:rPr>
      </w:pPr>
      <w:r>
        <w:rPr>
          <w:b/>
          <w:bCs/>
          <w:rtl/>
        </w:rPr>
        <w:t>המאסר ירוצה בעבודות שירות</w:t>
      </w:r>
      <w:r>
        <w:rPr>
          <w:rtl/>
        </w:rPr>
        <w:t>, בהתאם לחוות דעת הממונה על עבודות שירות.</w:t>
      </w:r>
    </w:p>
    <w:p w14:paraId="2795E52B" w14:textId="77777777" w:rsidR="00B42204" w:rsidRDefault="00B42204" w:rsidP="00B42204">
      <w:pPr>
        <w:pStyle w:val="aa"/>
        <w:widowControl w:val="0"/>
        <w:spacing w:line="360" w:lineRule="auto"/>
        <w:jc w:val="both"/>
        <w:rPr>
          <w:snapToGrid w:val="0"/>
          <w:rtl/>
        </w:rPr>
      </w:pPr>
      <w:r>
        <w:rPr>
          <w:rFonts w:hint="cs"/>
          <w:snapToGrid w:val="0"/>
          <w:rtl/>
        </w:rPr>
        <w:t xml:space="preserve">תחילת בצוע עבודות השירות ביום 15.1.24. בהינתן כי חלפו כמעט 5 חודשים ממועד תחילת ריצוי עבודות השירות בהתאם לחוות הדעת שהוגשה, ככל שיהיה צורך בשינוי מקום ההשמה – הממונה תקבע את מקום ההשמה החדש ותעדכן את בית המשפט לגביו.   </w:t>
      </w:r>
      <w:bookmarkStart w:id="8" w:name="_Hlk77084713"/>
    </w:p>
    <w:p w14:paraId="3C856169" w14:textId="77777777" w:rsidR="00B42204" w:rsidRDefault="00B42204" w:rsidP="00B42204">
      <w:pPr>
        <w:pStyle w:val="aa"/>
        <w:widowControl w:val="0"/>
        <w:spacing w:line="360" w:lineRule="auto"/>
        <w:jc w:val="both"/>
      </w:pPr>
      <w:r>
        <w:rPr>
          <w:rFonts w:hint="cs"/>
          <w:rtl/>
        </w:rPr>
        <w:t xml:space="preserve">הנאשם יבצע את עבודות השירות - </w:t>
      </w:r>
      <w:r>
        <w:rPr>
          <w:rFonts w:hint="cs"/>
          <w:u w:val="single"/>
          <w:rtl/>
        </w:rPr>
        <w:t>5 ימים בשבוע, 8.5 שעות ביום</w:t>
      </w:r>
      <w:r>
        <w:rPr>
          <w:rFonts w:hint="cs"/>
          <w:rtl/>
        </w:rPr>
        <w:t>.</w:t>
      </w:r>
    </w:p>
    <w:p w14:paraId="63F6DB39" w14:textId="77777777" w:rsidR="00B42204" w:rsidRDefault="00B42204" w:rsidP="00B42204">
      <w:pPr>
        <w:pStyle w:val="aa"/>
        <w:widowControl w:val="0"/>
        <w:spacing w:line="360" w:lineRule="auto"/>
        <w:jc w:val="both"/>
      </w:pPr>
      <w:r>
        <w:rPr>
          <w:rFonts w:hint="cs"/>
          <w:b/>
          <w:bCs/>
          <w:rtl/>
        </w:rPr>
        <w:t>ביום 15.1.24, בשעה 08:00</w:t>
      </w:r>
      <w:r>
        <w:rPr>
          <w:rFonts w:hint="cs"/>
          <w:rtl/>
        </w:rPr>
        <w:t xml:space="preserve"> יתייצב הנאשם לצורך קליטה והצבה ב-יחידת ברקאי - עבודות שירות - שלוחת דרום - סמוך לכלא באר שבע. </w:t>
      </w:r>
    </w:p>
    <w:p w14:paraId="104510FF" w14:textId="77777777" w:rsidR="00B42204" w:rsidRDefault="00B42204" w:rsidP="00B42204">
      <w:pPr>
        <w:pStyle w:val="aa"/>
        <w:widowControl w:val="0"/>
        <w:spacing w:line="360" w:lineRule="auto"/>
        <w:jc w:val="both"/>
      </w:pPr>
      <w:r>
        <w:rPr>
          <w:rFonts w:hint="cs"/>
          <w:rtl/>
        </w:rPr>
        <w:t xml:space="preserve">אוטובוסים להגעה: 247, 350, 189. </w:t>
      </w:r>
    </w:p>
    <w:bookmarkEnd w:id="8"/>
    <w:p w14:paraId="44A9C0B5" w14:textId="77777777" w:rsidR="00B42204" w:rsidRDefault="00B42204" w:rsidP="00B42204">
      <w:pPr>
        <w:pStyle w:val="aa"/>
        <w:widowControl w:val="0"/>
        <w:ind w:left="851"/>
        <w:jc w:val="both"/>
        <w:rPr>
          <w:b/>
          <w:bCs/>
          <w:szCs w:val="20"/>
          <w:u w:val="single"/>
          <w:rtl/>
        </w:rPr>
      </w:pPr>
    </w:p>
    <w:p w14:paraId="3F52B0D4" w14:textId="77777777" w:rsidR="00B42204" w:rsidRDefault="00B42204" w:rsidP="00B42204">
      <w:pPr>
        <w:pStyle w:val="aa"/>
        <w:widowControl w:val="0"/>
        <w:ind w:left="851"/>
        <w:jc w:val="both"/>
        <w:rPr>
          <w:rtl/>
        </w:rPr>
      </w:pPr>
      <w:r>
        <w:rPr>
          <w:rFonts w:hint="cs"/>
          <w:b/>
          <w:bCs/>
          <w:u w:val="single"/>
          <w:rtl/>
        </w:rPr>
        <w:t>הנאשם מוזהר</w:t>
      </w:r>
      <w:r>
        <w:rPr>
          <w:rFonts w:hint="cs"/>
          <w:rtl/>
        </w:rPr>
        <w:t xml:space="preserve"> -</w:t>
      </w:r>
    </w:p>
    <w:p w14:paraId="62567D05" w14:textId="77777777" w:rsidR="00B42204" w:rsidRDefault="00B42204" w:rsidP="00B42204">
      <w:pPr>
        <w:pStyle w:val="aa"/>
        <w:widowControl w:val="0"/>
        <w:numPr>
          <w:ilvl w:val="2"/>
          <w:numId w:val="2"/>
        </w:numPr>
        <w:ind w:left="1211"/>
        <w:jc w:val="both"/>
        <w:rPr>
          <w:rtl/>
        </w:rPr>
      </w:pPr>
      <w:r>
        <w:rPr>
          <w:rFonts w:hint="cs"/>
          <w:rtl/>
        </w:rPr>
        <w:t>עליו לעדכן את משרד הממונה בכל שינוי, אם יחול, בכתובת מגוריו ובטלפון הנייד שלו;</w:t>
      </w:r>
    </w:p>
    <w:p w14:paraId="2B071803" w14:textId="77777777" w:rsidR="00B42204" w:rsidRDefault="00B42204" w:rsidP="00B42204">
      <w:pPr>
        <w:pStyle w:val="aa"/>
        <w:widowControl w:val="0"/>
        <w:numPr>
          <w:ilvl w:val="2"/>
          <w:numId w:val="2"/>
        </w:numPr>
        <w:ind w:left="1211"/>
        <w:jc w:val="both"/>
      </w:pPr>
      <w:r>
        <w:rPr>
          <w:rFonts w:hint="cs"/>
          <w:rtl/>
        </w:rPr>
        <w:t>עליו לעמוד בתנאי הפיקוח, שכן כל הפרה או אי מילוי עבודות השירות על פי הנחיות המפקח, עלול להביא להפסקתן ולהמרתן בריצוי יתרת המאסר בפועל;</w:t>
      </w:r>
    </w:p>
    <w:p w14:paraId="4A30F3D8" w14:textId="77777777" w:rsidR="00B42204" w:rsidRDefault="00B42204" w:rsidP="00B42204">
      <w:pPr>
        <w:pStyle w:val="aa"/>
        <w:widowControl w:val="0"/>
        <w:numPr>
          <w:ilvl w:val="2"/>
          <w:numId w:val="2"/>
        </w:numPr>
        <w:ind w:left="1211"/>
        <w:jc w:val="both"/>
      </w:pPr>
      <w:r>
        <w:rPr>
          <w:rFonts w:hint="cs"/>
          <w:snapToGrid w:val="0"/>
          <w:rtl/>
        </w:rPr>
        <w:t>במקום נערכות ביקורות, וכי אי עמידה בביקורת עלולה להביא להפסקת עבודות השירות ולהמרתן בריצוי יתרת המאסר בפועל;</w:t>
      </w:r>
    </w:p>
    <w:p w14:paraId="53078D9E" w14:textId="77777777" w:rsidR="00B42204" w:rsidRDefault="00B42204" w:rsidP="00B42204">
      <w:pPr>
        <w:pStyle w:val="aa"/>
        <w:widowControl w:val="0"/>
        <w:numPr>
          <w:ilvl w:val="2"/>
          <w:numId w:val="2"/>
        </w:numPr>
        <w:ind w:left="1211"/>
        <w:jc w:val="both"/>
        <w:rPr>
          <w:rtl/>
        </w:rPr>
      </w:pPr>
      <w:r>
        <w:rPr>
          <w:rFonts w:hint="cs"/>
          <w:snapToGrid w:val="0"/>
          <w:rtl/>
        </w:rPr>
        <w:t>מדובר</w:t>
      </w:r>
      <w:r>
        <w:rPr>
          <w:rFonts w:hint="cs"/>
          <w:snapToGrid w:val="0"/>
        </w:rPr>
        <w:t xml:space="preserve"> </w:t>
      </w:r>
      <w:r>
        <w:rPr>
          <w:rFonts w:hint="cs"/>
          <w:snapToGrid w:val="0"/>
          <w:rtl/>
        </w:rPr>
        <w:t>בתנאי</w:t>
      </w:r>
      <w:r>
        <w:rPr>
          <w:rFonts w:hint="cs"/>
          <w:snapToGrid w:val="0"/>
        </w:rPr>
        <w:t xml:space="preserve"> </w:t>
      </w:r>
      <w:r>
        <w:rPr>
          <w:rFonts w:hint="cs"/>
          <w:snapToGrid w:val="0"/>
          <w:rtl/>
        </w:rPr>
        <w:t>העסקה</w:t>
      </w:r>
      <w:r>
        <w:rPr>
          <w:rFonts w:hint="cs"/>
          <w:snapToGrid w:val="0"/>
        </w:rPr>
        <w:t xml:space="preserve"> </w:t>
      </w:r>
      <w:r>
        <w:rPr>
          <w:rFonts w:hint="cs"/>
          <w:snapToGrid w:val="0"/>
          <w:rtl/>
        </w:rPr>
        <w:t>קפדניים</w:t>
      </w:r>
      <w:r>
        <w:rPr>
          <w:rFonts w:hint="cs"/>
          <w:snapToGrid w:val="0"/>
        </w:rPr>
        <w:t xml:space="preserve"> </w:t>
      </w:r>
      <w:r>
        <w:rPr>
          <w:rFonts w:hint="cs"/>
          <w:snapToGrid w:val="0"/>
          <w:rtl/>
        </w:rPr>
        <w:t>וכי כל</w:t>
      </w:r>
      <w:r>
        <w:rPr>
          <w:rFonts w:hint="cs"/>
          <w:snapToGrid w:val="0"/>
        </w:rPr>
        <w:t xml:space="preserve"> </w:t>
      </w:r>
      <w:r>
        <w:rPr>
          <w:rFonts w:hint="cs"/>
          <w:snapToGrid w:val="0"/>
          <w:rtl/>
        </w:rPr>
        <w:t>חריגה</w:t>
      </w:r>
      <w:r>
        <w:rPr>
          <w:rFonts w:hint="cs"/>
          <w:snapToGrid w:val="0"/>
        </w:rPr>
        <w:t xml:space="preserve"> </w:t>
      </w:r>
      <w:r>
        <w:rPr>
          <w:rFonts w:hint="cs"/>
          <w:snapToGrid w:val="0"/>
          <w:rtl/>
        </w:rPr>
        <w:t>מכללים</w:t>
      </w:r>
      <w:r>
        <w:rPr>
          <w:rFonts w:hint="cs"/>
          <w:snapToGrid w:val="0"/>
        </w:rPr>
        <w:t xml:space="preserve"> </w:t>
      </w:r>
      <w:r>
        <w:rPr>
          <w:rFonts w:hint="cs"/>
          <w:snapToGrid w:val="0"/>
          <w:rtl/>
        </w:rPr>
        <w:t>אלו עלולה להביא להפסקת עבודות</w:t>
      </w:r>
      <w:r>
        <w:rPr>
          <w:rFonts w:hint="cs"/>
          <w:snapToGrid w:val="0"/>
        </w:rPr>
        <w:t xml:space="preserve"> </w:t>
      </w:r>
      <w:r>
        <w:rPr>
          <w:rFonts w:hint="cs"/>
          <w:snapToGrid w:val="0"/>
          <w:rtl/>
        </w:rPr>
        <w:t>השירות</w:t>
      </w:r>
      <w:r>
        <w:rPr>
          <w:rFonts w:hint="cs"/>
          <w:snapToGrid w:val="0"/>
        </w:rPr>
        <w:t xml:space="preserve"> </w:t>
      </w:r>
      <w:r>
        <w:rPr>
          <w:rFonts w:hint="cs"/>
          <w:snapToGrid w:val="0"/>
          <w:rtl/>
        </w:rPr>
        <w:t>ולהמרתן בריצוי יתרת המאסר בפועל.</w:t>
      </w:r>
    </w:p>
    <w:p w14:paraId="63D0D2AB" w14:textId="77777777" w:rsidR="00B42204" w:rsidRDefault="00B42204" w:rsidP="00B42204">
      <w:pPr>
        <w:pStyle w:val="aa"/>
        <w:widowControl w:val="0"/>
        <w:ind w:left="851"/>
        <w:jc w:val="both"/>
        <w:rPr>
          <w:b/>
          <w:bCs/>
          <w:snapToGrid w:val="0"/>
          <w:u w:val="single"/>
        </w:rPr>
      </w:pPr>
    </w:p>
    <w:p w14:paraId="5D2ED604" w14:textId="77777777" w:rsidR="00B42204" w:rsidRDefault="00B42204" w:rsidP="00B42204">
      <w:pPr>
        <w:pStyle w:val="aa"/>
        <w:widowControl w:val="0"/>
        <w:ind w:left="851"/>
        <w:jc w:val="both"/>
      </w:pPr>
      <w:r>
        <w:rPr>
          <w:rFonts w:hint="cs"/>
          <w:b/>
          <w:bCs/>
          <w:snapToGrid w:val="0"/>
          <w:u w:val="single"/>
          <w:rtl/>
        </w:rPr>
        <w:t xml:space="preserve">הממונה על עבודות השירות תדווח לבית המשפט עם תום ביצוען של העבודות. </w:t>
      </w:r>
    </w:p>
    <w:p w14:paraId="68D546DF" w14:textId="77777777" w:rsidR="00B42204" w:rsidRDefault="00B42204" w:rsidP="00B42204">
      <w:pPr>
        <w:pStyle w:val="aa"/>
        <w:widowControl w:val="0"/>
        <w:spacing w:line="360" w:lineRule="auto"/>
        <w:ind w:left="851"/>
        <w:jc w:val="both"/>
      </w:pPr>
    </w:p>
    <w:p w14:paraId="590CB6AC" w14:textId="77777777" w:rsidR="00B42204" w:rsidRDefault="00B42204" w:rsidP="00B42204">
      <w:pPr>
        <w:pStyle w:val="aa"/>
        <w:widowControl w:val="0"/>
        <w:numPr>
          <w:ilvl w:val="1"/>
          <w:numId w:val="1"/>
        </w:numPr>
        <w:spacing w:line="360" w:lineRule="auto"/>
        <w:ind w:left="714" w:hanging="357"/>
        <w:jc w:val="both"/>
      </w:pPr>
      <w:r>
        <w:rPr>
          <w:rFonts w:hint="cs"/>
          <w:b/>
          <w:bCs/>
          <w:rtl/>
        </w:rPr>
        <w:t>חודשיים מאסר על תנאי</w:t>
      </w:r>
      <w:r>
        <w:rPr>
          <w:rFonts w:hint="cs"/>
          <w:rtl/>
        </w:rPr>
        <w:t xml:space="preserve"> למשך 3 שנים מהיום שלא יעבור עבירה על </w:t>
      </w:r>
      <w:r>
        <w:rPr>
          <w:rFonts w:ascii="Miriam" w:hAnsi="Miriam" w:cs="Miriam"/>
          <w:b/>
          <w:bCs/>
          <w:noProof/>
          <w:sz w:val="18"/>
          <w:szCs w:val="22"/>
          <w:rtl/>
        </w:rPr>
        <w:t>פקודת הסמים</w:t>
      </w:r>
      <w:r>
        <w:rPr>
          <w:rFonts w:hint="cs"/>
          <w:rtl/>
        </w:rPr>
        <w:t xml:space="preserve"> מסוג פשע.</w:t>
      </w:r>
    </w:p>
    <w:p w14:paraId="57C8C045" w14:textId="77777777" w:rsidR="00B42204" w:rsidRDefault="00B42204" w:rsidP="00B42204">
      <w:pPr>
        <w:pStyle w:val="aa"/>
        <w:widowControl w:val="0"/>
        <w:ind w:left="714"/>
        <w:jc w:val="both"/>
      </w:pPr>
    </w:p>
    <w:p w14:paraId="4B850476" w14:textId="77777777" w:rsidR="00B42204" w:rsidRDefault="00B42204" w:rsidP="00B42204">
      <w:pPr>
        <w:pStyle w:val="aa"/>
        <w:widowControl w:val="0"/>
        <w:numPr>
          <w:ilvl w:val="1"/>
          <w:numId w:val="1"/>
        </w:numPr>
        <w:spacing w:line="360" w:lineRule="auto"/>
        <w:ind w:left="714" w:hanging="357"/>
        <w:jc w:val="both"/>
        <w:rPr>
          <w:b/>
          <w:bCs/>
        </w:rPr>
      </w:pPr>
      <w:r>
        <w:rPr>
          <w:rFonts w:hint="cs"/>
          <w:b/>
          <w:bCs/>
          <w:rtl/>
        </w:rPr>
        <w:t xml:space="preserve">קנס בסך 1,000 ₪, או 20 ימי מאסר תמורתו. </w:t>
      </w:r>
    </w:p>
    <w:p w14:paraId="49090433" w14:textId="77777777" w:rsidR="00B42204" w:rsidRDefault="00B42204" w:rsidP="00B42204">
      <w:pPr>
        <w:pStyle w:val="aa"/>
        <w:widowControl w:val="0"/>
        <w:spacing w:line="360" w:lineRule="auto"/>
        <w:jc w:val="both"/>
      </w:pPr>
      <w:r>
        <w:rPr>
          <w:rFonts w:hint="cs"/>
          <w:rtl/>
        </w:rPr>
        <w:t>הקנס ישולם ב-4 תשלומים שווים ורצופים, החל מיום 1.1.24 וכל 1 בחודש שלאחריו.</w:t>
      </w:r>
    </w:p>
    <w:p w14:paraId="79F2F07D" w14:textId="77777777" w:rsidR="00B42204" w:rsidRDefault="00B42204" w:rsidP="00B42204">
      <w:pPr>
        <w:pStyle w:val="aa"/>
        <w:widowControl w:val="0"/>
        <w:spacing w:line="360" w:lineRule="auto"/>
        <w:jc w:val="both"/>
      </w:pPr>
      <w:r>
        <w:rPr>
          <w:rFonts w:hint="cs"/>
          <w:rtl/>
        </w:rPr>
        <w:t>לא יבוצע תשלום במועדו - תעמוד כל יתרת הקנס לפירעון מיידי.</w:t>
      </w:r>
    </w:p>
    <w:p w14:paraId="7800F50D" w14:textId="77777777" w:rsidR="00B42204" w:rsidRDefault="00B42204" w:rsidP="00B42204">
      <w:pPr>
        <w:pStyle w:val="aa"/>
        <w:widowControl w:val="0"/>
        <w:ind w:left="794"/>
        <w:jc w:val="both"/>
        <w:rPr>
          <w:rtl/>
        </w:rPr>
      </w:pPr>
    </w:p>
    <w:p w14:paraId="57C5E77C" w14:textId="77777777" w:rsidR="00B42204" w:rsidRDefault="00B42204" w:rsidP="00B42204">
      <w:pPr>
        <w:pStyle w:val="aa"/>
        <w:widowControl w:val="0"/>
        <w:numPr>
          <w:ilvl w:val="1"/>
          <w:numId w:val="1"/>
        </w:numPr>
        <w:spacing w:line="360" w:lineRule="auto"/>
        <w:ind w:left="714" w:hanging="357"/>
        <w:jc w:val="both"/>
        <w:rPr>
          <w:b/>
          <w:bCs/>
          <w:rtl/>
        </w:rPr>
      </w:pPr>
      <w:r>
        <w:rPr>
          <w:rFonts w:hint="cs"/>
          <w:b/>
          <w:bCs/>
          <w:rtl/>
        </w:rPr>
        <w:t>1,500 ₪ התחייבות</w:t>
      </w:r>
      <w:r>
        <w:rPr>
          <w:rFonts w:hint="cs"/>
          <w:rtl/>
        </w:rPr>
        <w:t xml:space="preserve">, למשך 3 שנים מהיום, שלא יעבור כל עבירה על </w:t>
      </w:r>
      <w:r>
        <w:rPr>
          <w:rFonts w:ascii="Miriam" w:hAnsi="Miriam" w:cs="Miriam"/>
          <w:bCs/>
          <w:sz w:val="18"/>
          <w:szCs w:val="22"/>
          <w:rtl/>
        </w:rPr>
        <w:t>פקודת הסמים</w:t>
      </w:r>
      <w:r>
        <w:rPr>
          <w:rFonts w:hint="cs"/>
          <w:rtl/>
        </w:rPr>
        <w:t>.</w:t>
      </w:r>
    </w:p>
    <w:p w14:paraId="5E4E7250" w14:textId="77777777" w:rsidR="00B42204" w:rsidRDefault="00B42204" w:rsidP="00B42204">
      <w:pPr>
        <w:pStyle w:val="aa"/>
        <w:widowControl w:val="0"/>
        <w:spacing w:line="360" w:lineRule="auto"/>
        <w:jc w:val="both"/>
        <w:rPr>
          <w:rtl/>
        </w:rPr>
      </w:pPr>
      <w:r>
        <w:rPr>
          <w:rFonts w:hint="cs"/>
          <w:rtl/>
        </w:rPr>
        <w:t>על הנאשם להצהיר על ההתחייבות היום. לא יצהיר על ההתחייבות היום - יהיה על הנאשם לרצות 30 ימי מאסר בפועל במצטבר לכל מאסר אחר, על מנת לכפות אותו לעשות כן.</w:t>
      </w:r>
    </w:p>
    <w:p w14:paraId="028440FB" w14:textId="77777777" w:rsidR="00B42204" w:rsidRDefault="00B42204" w:rsidP="00B42204">
      <w:pPr>
        <w:pStyle w:val="aa"/>
        <w:widowControl w:val="0"/>
        <w:jc w:val="both"/>
        <w:rPr>
          <w:rtl/>
        </w:rPr>
      </w:pPr>
    </w:p>
    <w:p w14:paraId="26BD8F76" w14:textId="77777777" w:rsidR="00B42204" w:rsidRDefault="00B42204" w:rsidP="00B42204">
      <w:pPr>
        <w:pStyle w:val="aa"/>
        <w:widowControl w:val="0"/>
        <w:numPr>
          <w:ilvl w:val="1"/>
          <w:numId w:val="1"/>
        </w:numPr>
        <w:spacing w:line="360" w:lineRule="auto"/>
        <w:ind w:left="714" w:hanging="357"/>
        <w:jc w:val="both"/>
        <w:rPr>
          <w:rtl/>
        </w:rPr>
      </w:pPr>
      <w:r>
        <w:rPr>
          <w:rFonts w:hint="cs"/>
          <w:b/>
          <w:bCs/>
          <w:rtl/>
        </w:rPr>
        <w:t>6 חודשי פסילה מקבל או מהחזיק רישיון נהיגה על תנאי</w:t>
      </w:r>
      <w:r>
        <w:rPr>
          <w:rFonts w:hint="cs"/>
          <w:rtl/>
        </w:rPr>
        <w:t xml:space="preserve">, למשך 3 שנים מהיום, שלא יעבור כל עבירה </w:t>
      </w:r>
      <w:r>
        <w:rPr>
          <w:rFonts w:hint="cs"/>
          <w:sz w:val="24"/>
          <w:rtl/>
        </w:rPr>
        <w:t xml:space="preserve">על </w:t>
      </w:r>
      <w:r>
        <w:rPr>
          <w:rFonts w:ascii="Miriam" w:hAnsi="Miriam" w:cs="Miriam"/>
          <w:b/>
          <w:bCs/>
          <w:color w:val="000000"/>
          <w:szCs w:val="22"/>
          <w:rtl/>
        </w:rPr>
        <w:t>פקודת הסמים</w:t>
      </w:r>
      <w:r>
        <w:rPr>
          <w:rFonts w:hint="cs"/>
          <w:sz w:val="24"/>
          <w:rtl/>
        </w:rPr>
        <w:t>.</w:t>
      </w:r>
    </w:p>
    <w:p w14:paraId="51357723" w14:textId="77777777" w:rsidR="00B42204" w:rsidRDefault="00B42204" w:rsidP="00B42204">
      <w:pPr>
        <w:pStyle w:val="aa"/>
        <w:widowControl w:val="0"/>
        <w:ind w:left="714"/>
        <w:jc w:val="both"/>
      </w:pPr>
    </w:p>
    <w:p w14:paraId="0B285F52" w14:textId="77777777" w:rsidR="00B42204" w:rsidRDefault="00B42204" w:rsidP="00B42204">
      <w:pPr>
        <w:pStyle w:val="aa"/>
        <w:widowControl w:val="0"/>
        <w:numPr>
          <w:ilvl w:val="1"/>
          <w:numId w:val="1"/>
        </w:numPr>
        <w:spacing w:line="360" w:lineRule="auto"/>
        <w:ind w:left="714" w:hanging="357"/>
        <w:jc w:val="both"/>
      </w:pPr>
      <w:r>
        <w:rPr>
          <w:rFonts w:hint="cs"/>
          <w:b/>
          <w:bCs/>
          <w:rtl/>
        </w:rPr>
        <w:t>פיקוח שירות המבחן למשך שנה מהיום</w:t>
      </w:r>
      <w:r>
        <w:rPr>
          <w:rFonts w:hint="cs"/>
          <w:rtl/>
        </w:rPr>
        <w:t xml:space="preserve"> (להלן: </w:t>
      </w:r>
      <w:r>
        <w:rPr>
          <w:rFonts w:hint="cs"/>
          <w:b/>
          <w:bCs/>
          <w:rtl/>
        </w:rPr>
        <w:t>צו מבחן</w:t>
      </w:r>
      <w:r>
        <w:rPr>
          <w:rFonts w:hint="cs"/>
          <w:rtl/>
        </w:rPr>
        <w:t>).</w:t>
      </w:r>
    </w:p>
    <w:p w14:paraId="26DD8BF5" w14:textId="77777777" w:rsidR="00B42204" w:rsidRDefault="00B42204" w:rsidP="00B42204">
      <w:pPr>
        <w:pStyle w:val="aa"/>
        <w:widowControl w:val="0"/>
        <w:spacing w:line="360" w:lineRule="auto"/>
        <w:ind w:left="714"/>
        <w:jc w:val="both"/>
      </w:pPr>
      <w:r>
        <w:rPr>
          <w:rFonts w:hint="cs"/>
          <w:b/>
          <w:bCs/>
          <w:rtl/>
        </w:rPr>
        <w:t>מובהר לנאשם כי אם לא יעמוד בצו המבחן, יוחזר עניינו לדיון בבית המשפט ודינו ייגזר מחדש</w:t>
      </w:r>
      <w:r>
        <w:rPr>
          <w:rFonts w:hint="cs"/>
          <w:rtl/>
        </w:rPr>
        <w:t>.</w:t>
      </w:r>
    </w:p>
    <w:p w14:paraId="1C4EEE34" w14:textId="77777777" w:rsidR="00B42204" w:rsidRDefault="00B42204" w:rsidP="00B42204">
      <w:pPr>
        <w:widowControl w:val="0"/>
        <w:tabs>
          <w:tab w:val="left" w:pos="368"/>
        </w:tabs>
        <w:snapToGrid w:val="0"/>
        <w:spacing w:line="360" w:lineRule="auto"/>
        <w:jc w:val="both"/>
        <w:rPr>
          <w:b/>
          <w:bCs/>
          <w:sz w:val="20"/>
          <w:lang w:eastAsia="he-IL"/>
        </w:rPr>
      </w:pPr>
    </w:p>
    <w:p w14:paraId="1B14FD36" w14:textId="77777777" w:rsidR="00B42204" w:rsidRDefault="00B42204" w:rsidP="00B42204">
      <w:pPr>
        <w:pStyle w:val="aa"/>
        <w:widowControl w:val="0"/>
        <w:spacing w:line="360" w:lineRule="auto"/>
        <w:ind w:left="0"/>
        <w:jc w:val="both"/>
        <w:rPr>
          <w:b/>
          <w:bCs/>
          <w:sz w:val="24"/>
          <w:rtl/>
        </w:rPr>
      </w:pPr>
      <w:r>
        <w:rPr>
          <w:rFonts w:hint="cs"/>
          <w:b/>
          <w:bCs/>
          <w:u w:val="single"/>
          <w:rtl/>
        </w:rPr>
        <w:t xml:space="preserve">תשומת לב הנאשם כי </w:t>
      </w:r>
      <w:r>
        <w:rPr>
          <w:rFonts w:hint="cs"/>
          <w:b/>
          <w:bCs/>
          <w:sz w:val="24"/>
          <w:u w:val="single"/>
          <w:rtl/>
        </w:rPr>
        <w:t>ניתן לשלם את הקנס באחת הדרכים הבאות</w:t>
      </w:r>
      <w:r>
        <w:rPr>
          <w:rFonts w:hint="cs"/>
          <w:b/>
          <w:bCs/>
          <w:sz w:val="24"/>
          <w:rtl/>
        </w:rPr>
        <w:t>:</w:t>
      </w:r>
    </w:p>
    <w:p w14:paraId="0F42BC90" w14:textId="77777777" w:rsidR="00B42204" w:rsidRDefault="00B42204" w:rsidP="00B42204">
      <w:pPr>
        <w:pStyle w:val="aa"/>
        <w:widowControl w:val="0"/>
        <w:numPr>
          <w:ilvl w:val="0"/>
          <w:numId w:val="3"/>
        </w:numPr>
        <w:spacing w:line="360" w:lineRule="auto"/>
        <w:ind w:left="360"/>
        <w:jc w:val="both"/>
        <w:rPr>
          <w:sz w:val="24"/>
          <w:rtl/>
        </w:rPr>
      </w:pPr>
      <w:r>
        <w:rPr>
          <w:rFonts w:hint="cs"/>
          <w:sz w:val="24"/>
          <w:rtl/>
        </w:rPr>
        <w:t>בכרטיס</w:t>
      </w:r>
      <w:r>
        <w:rPr>
          <w:rFonts w:hint="cs"/>
          <w:sz w:val="24"/>
        </w:rPr>
        <w:t xml:space="preserve"> </w:t>
      </w:r>
      <w:r>
        <w:rPr>
          <w:rFonts w:hint="cs"/>
          <w:sz w:val="24"/>
          <w:rtl/>
        </w:rPr>
        <w:t>אשראי - באתר</w:t>
      </w:r>
      <w:r>
        <w:rPr>
          <w:rFonts w:hint="cs"/>
          <w:sz w:val="24"/>
        </w:rPr>
        <w:t xml:space="preserve"> </w:t>
      </w:r>
      <w:r>
        <w:rPr>
          <w:rFonts w:hint="cs"/>
          <w:sz w:val="24"/>
          <w:rtl/>
        </w:rPr>
        <w:t>המקוון</w:t>
      </w:r>
      <w:r>
        <w:rPr>
          <w:rFonts w:hint="cs"/>
          <w:sz w:val="24"/>
        </w:rPr>
        <w:t xml:space="preserve"> </w:t>
      </w:r>
      <w:r>
        <w:rPr>
          <w:rFonts w:hint="cs"/>
          <w:sz w:val="24"/>
          <w:rtl/>
        </w:rPr>
        <w:t>של</w:t>
      </w:r>
      <w:r>
        <w:rPr>
          <w:rFonts w:hint="cs"/>
          <w:sz w:val="24"/>
        </w:rPr>
        <w:t xml:space="preserve"> </w:t>
      </w:r>
      <w:r>
        <w:rPr>
          <w:rFonts w:hint="cs"/>
          <w:sz w:val="24"/>
          <w:rtl/>
        </w:rPr>
        <w:t>רשות</w:t>
      </w:r>
      <w:r>
        <w:rPr>
          <w:rFonts w:hint="cs"/>
          <w:sz w:val="24"/>
        </w:rPr>
        <w:t xml:space="preserve"> </w:t>
      </w:r>
      <w:r>
        <w:rPr>
          <w:rFonts w:hint="cs"/>
          <w:sz w:val="24"/>
          <w:rtl/>
        </w:rPr>
        <w:t>האכיפה</w:t>
      </w:r>
      <w:r>
        <w:rPr>
          <w:rFonts w:hint="cs"/>
          <w:sz w:val="24"/>
        </w:rPr>
        <w:t xml:space="preserve"> </w:t>
      </w:r>
      <w:r>
        <w:rPr>
          <w:rFonts w:hint="cs"/>
          <w:sz w:val="24"/>
          <w:rtl/>
        </w:rPr>
        <w:t>והגבייה</w:t>
      </w:r>
      <w:r>
        <w:rPr>
          <w:sz w:val="24"/>
        </w:rPr>
        <w:t xml:space="preserve">www.eca.gov.il </w:t>
      </w:r>
      <w:r>
        <w:rPr>
          <w:rFonts w:hint="cs"/>
          <w:sz w:val="24"/>
          <w:rtl/>
        </w:rPr>
        <w:t>.</w:t>
      </w:r>
    </w:p>
    <w:p w14:paraId="0E489FC8" w14:textId="77777777" w:rsidR="00B42204" w:rsidRDefault="00B42204" w:rsidP="00B42204">
      <w:pPr>
        <w:pStyle w:val="aa"/>
        <w:widowControl w:val="0"/>
        <w:numPr>
          <w:ilvl w:val="0"/>
          <w:numId w:val="3"/>
        </w:numPr>
        <w:spacing w:line="360" w:lineRule="auto"/>
        <w:ind w:left="360"/>
        <w:jc w:val="both"/>
        <w:rPr>
          <w:sz w:val="24"/>
          <w:rtl/>
        </w:rPr>
      </w:pPr>
      <w:r>
        <w:rPr>
          <w:rFonts w:hint="cs"/>
          <w:sz w:val="24"/>
          <w:rtl/>
        </w:rPr>
        <w:t>מוקד</w:t>
      </w:r>
      <w:r>
        <w:rPr>
          <w:rFonts w:hint="cs"/>
          <w:sz w:val="24"/>
        </w:rPr>
        <w:t xml:space="preserve"> </w:t>
      </w:r>
      <w:r>
        <w:rPr>
          <w:rFonts w:hint="cs"/>
          <w:sz w:val="24"/>
          <w:rtl/>
        </w:rPr>
        <w:t>שירות</w:t>
      </w:r>
      <w:r>
        <w:rPr>
          <w:rFonts w:hint="cs"/>
          <w:sz w:val="24"/>
        </w:rPr>
        <w:t xml:space="preserve"> </w:t>
      </w:r>
      <w:r>
        <w:rPr>
          <w:rFonts w:hint="cs"/>
          <w:sz w:val="24"/>
          <w:rtl/>
        </w:rPr>
        <w:t>טלפוני</w:t>
      </w:r>
      <w:r>
        <w:rPr>
          <w:rFonts w:hint="cs"/>
          <w:sz w:val="24"/>
        </w:rPr>
        <w:t xml:space="preserve"> </w:t>
      </w:r>
      <w:r>
        <w:rPr>
          <w:rFonts w:hint="cs"/>
          <w:sz w:val="24"/>
          <w:rtl/>
        </w:rPr>
        <w:t>(בשרות</w:t>
      </w:r>
      <w:r>
        <w:rPr>
          <w:rFonts w:hint="cs"/>
          <w:sz w:val="24"/>
        </w:rPr>
        <w:t xml:space="preserve"> </w:t>
      </w:r>
      <w:r>
        <w:rPr>
          <w:rFonts w:hint="cs"/>
          <w:sz w:val="24"/>
          <w:rtl/>
        </w:rPr>
        <w:t>עצמי) מרכז</w:t>
      </w:r>
      <w:r>
        <w:rPr>
          <w:rFonts w:hint="cs"/>
          <w:sz w:val="24"/>
        </w:rPr>
        <w:t xml:space="preserve"> </w:t>
      </w:r>
      <w:r>
        <w:rPr>
          <w:rFonts w:hint="cs"/>
          <w:sz w:val="24"/>
          <w:rtl/>
        </w:rPr>
        <w:t>גבייה - במספר *</w:t>
      </w:r>
      <w:r>
        <w:rPr>
          <w:sz w:val="24"/>
        </w:rPr>
        <w:t>35592</w:t>
      </w:r>
      <w:r>
        <w:rPr>
          <w:sz w:val="24"/>
          <w:rtl/>
        </w:rPr>
        <w:t xml:space="preserve"> </w:t>
      </w:r>
      <w:r>
        <w:rPr>
          <w:rFonts w:hint="cs"/>
          <w:sz w:val="24"/>
          <w:rtl/>
        </w:rPr>
        <w:t>או</w:t>
      </w:r>
      <w:r>
        <w:rPr>
          <w:sz w:val="24"/>
        </w:rPr>
        <w:t xml:space="preserve">073-2055000 </w:t>
      </w:r>
      <w:r>
        <w:rPr>
          <w:rFonts w:hint="cs"/>
          <w:sz w:val="24"/>
          <w:rtl/>
        </w:rPr>
        <w:t>.</w:t>
      </w:r>
    </w:p>
    <w:p w14:paraId="1326695E" w14:textId="77777777" w:rsidR="00B42204" w:rsidRDefault="00B42204" w:rsidP="00B42204">
      <w:pPr>
        <w:pStyle w:val="aa"/>
        <w:widowControl w:val="0"/>
        <w:numPr>
          <w:ilvl w:val="0"/>
          <w:numId w:val="3"/>
        </w:numPr>
        <w:spacing w:line="360" w:lineRule="auto"/>
        <w:ind w:left="360"/>
        <w:jc w:val="both"/>
        <w:rPr>
          <w:sz w:val="24"/>
          <w:rtl/>
        </w:rPr>
      </w:pPr>
      <w:r>
        <w:rPr>
          <w:rFonts w:hint="cs"/>
          <w:sz w:val="24"/>
          <w:rtl/>
        </w:rPr>
        <w:t>במזומן</w:t>
      </w:r>
      <w:r>
        <w:rPr>
          <w:rFonts w:hint="cs"/>
          <w:sz w:val="24"/>
        </w:rPr>
        <w:t xml:space="preserve"> </w:t>
      </w:r>
      <w:r>
        <w:rPr>
          <w:rFonts w:hint="cs"/>
          <w:sz w:val="24"/>
          <w:rtl/>
        </w:rPr>
        <w:t>בכל</w:t>
      </w:r>
      <w:r>
        <w:rPr>
          <w:rFonts w:hint="cs"/>
          <w:sz w:val="24"/>
        </w:rPr>
        <w:t xml:space="preserve"> </w:t>
      </w:r>
      <w:r>
        <w:rPr>
          <w:rFonts w:hint="cs"/>
          <w:sz w:val="24"/>
          <w:rtl/>
        </w:rPr>
        <w:t>סניף</w:t>
      </w:r>
      <w:r>
        <w:rPr>
          <w:rFonts w:hint="cs"/>
          <w:sz w:val="24"/>
        </w:rPr>
        <w:t xml:space="preserve"> </w:t>
      </w:r>
      <w:r>
        <w:rPr>
          <w:rFonts w:hint="cs"/>
          <w:sz w:val="24"/>
          <w:rtl/>
        </w:rPr>
        <w:t>של</w:t>
      </w:r>
      <w:r>
        <w:rPr>
          <w:rFonts w:hint="cs"/>
          <w:sz w:val="24"/>
        </w:rPr>
        <w:t xml:space="preserve"> </w:t>
      </w:r>
      <w:r>
        <w:rPr>
          <w:rFonts w:hint="cs"/>
          <w:sz w:val="24"/>
          <w:rtl/>
        </w:rPr>
        <w:t>בנק</w:t>
      </w:r>
      <w:r>
        <w:rPr>
          <w:rFonts w:hint="cs"/>
          <w:sz w:val="24"/>
        </w:rPr>
        <w:t xml:space="preserve"> </w:t>
      </w:r>
      <w:r>
        <w:rPr>
          <w:rFonts w:hint="cs"/>
          <w:sz w:val="24"/>
          <w:rtl/>
        </w:rPr>
        <w:t>הדואר - בהצגת</w:t>
      </w:r>
      <w:r>
        <w:rPr>
          <w:rFonts w:hint="cs"/>
          <w:sz w:val="24"/>
        </w:rPr>
        <w:t xml:space="preserve"> </w:t>
      </w:r>
      <w:r>
        <w:rPr>
          <w:rFonts w:hint="cs"/>
          <w:sz w:val="24"/>
          <w:rtl/>
        </w:rPr>
        <w:t>תעודת</w:t>
      </w:r>
      <w:r>
        <w:rPr>
          <w:rFonts w:hint="cs"/>
          <w:sz w:val="24"/>
        </w:rPr>
        <w:t xml:space="preserve"> </w:t>
      </w:r>
      <w:r>
        <w:rPr>
          <w:rFonts w:hint="cs"/>
          <w:sz w:val="24"/>
          <w:rtl/>
        </w:rPr>
        <w:t>זהות</w:t>
      </w:r>
      <w:r>
        <w:rPr>
          <w:rFonts w:hint="cs"/>
          <w:sz w:val="24"/>
        </w:rPr>
        <w:t xml:space="preserve"> </w:t>
      </w:r>
      <w:r>
        <w:rPr>
          <w:rFonts w:hint="cs"/>
          <w:sz w:val="24"/>
          <w:rtl/>
        </w:rPr>
        <w:t>בלבד (אין</w:t>
      </w:r>
      <w:r>
        <w:rPr>
          <w:rFonts w:hint="cs"/>
          <w:sz w:val="24"/>
        </w:rPr>
        <w:t xml:space="preserve"> </w:t>
      </w:r>
      <w:r>
        <w:rPr>
          <w:rFonts w:hint="cs"/>
          <w:sz w:val="24"/>
          <w:rtl/>
        </w:rPr>
        <w:t>צורך</w:t>
      </w:r>
      <w:r>
        <w:rPr>
          <w:rFonts w:hint="cs"/>
          <w:sz w:val="24"/>
        </w:rPr>
        <w:t xml:space="preserve"> </w:t>
      </w:r>
      <w:r>
        <w:rPr>
          <w:rFonts w:hint="cs"/>
          <w:sz w:val="24"/>
          <w:rtl/>
        </w:rPr>
        <w:t>בהצגת</w:t>
      </w:r>
      <w:r>
        <w:rPr>
          <w:rFonts w:hint="cs"/>
          <w:sz w:val="24"/>
        </w:rPr>
        <w:t xml:space="preserve"> </w:t>
      </w:r>
      <w:r>
        <w:rPr>
          <w:rFonts w:hint="cs"/>
          <w:sz w:val="24"/>
          <w:rtl/>
        </w:rPr>
        <w:t>בשוברי</w:t>
      </w:r>
      <w:r>
        <w:rPr>
          <w:rFonts w:hint="cs"/>
          <w:sz w:val="24"/>
        </w:rPr>
        <w:t xml:space="preserve"> </w:t>
      </w:r>
      <w:r>
        <w:rPr>
          <w:rFonts w:hint="cs"/>
          <w:sz w:val="24"/>
          <w:rtl/>
        </w:rPr>
        <w:t>תשלום).</w:t>
      </w:r>
    </w:p>
    <w:p w14:paraId="43A4E6FB" w14:textId="77777777" w:rsidR="00B42204" w:rsidRDefault="00B42204" w:rsidP="00B42204">
      <w:pPr>
        <w:pStyle w:val="aa"/>
        <w:widowControl w:val="0"/>
        <w:spacing w:line="360" w:lineRule="auto"/>
        <w:ind w:left="0"/>
        <w:jc w:val="both"/>
        <w:rPr>
          <w:sz w:val="24"/>
          <w:rtl/>
        </w:rPr>
      </w:pPr>
      <w:r>
        <w:rPr>
          <w:rFonts w:hint="cs"/>
          <w:b/>
          <w:bCs/>
          <w:rtl/>
        </w:rPr>
        <w:t>לא תשמע טענה שהנאשם לא קיבל שוברי תשלום בדואר</w:t>
      </w:r>
      <w:r>
        <w:rPr>
          <w:rFonts w:hint="cs"/>
          <w:sz w:val="24"/>
          <w:rtl/>
        </w:rPr>
        <w:t>.</w:t>
      </w:r>
    </w:p>
    <w:p w14:paraId="283E0EFD" w14:textId="77777777" w:rsidR="00B42204" w:rsidRDefault="00B42204" w:rsidP="00B42204">
      <w:pPr>
        <w:pStyle w:val="aa"/>
        <w:widowControl w:val="0"/>
        <w:spacing w:line="360" w:lineRule="auto"/>
        <w:jc w:val="both"/>
        <w:rPr>
          <w:rtl/>
        </w:rPr>
      </w:pPr>
    </w:p>
    <w:p w14:paraId="6FD1D7A6" w14:textId="77777777" w:rsidR="00B42204" w:rsidRDefault="00B42204" w:rsidP="00B42204">
      <w:pPr>
        <w:widowControl w:val="0"/>
        <w:spacing w:line="360" w:lineRule="auto"/>
        <w:jc w:val="both"/>
        <w:rPr>
          <w:rFonts w:ascii="David" w:hAnsi="David"/>
          <w:b/>
          <w:bCs/>
          <w:rtl/>
        </w:rPr>
      </w:pPr>
      <w:r>
        <w:rPr>
          <w:rFonts w:ascii="David" w:hAnsi="David"/>
          <w:b/>
          <w:bCs/>
          <w:u w:val="single"/>
          <w:rtl/>
        </w:rPr>
        <w:t>המזכירות מתבקשת להעביר עותק גזר הדין לשירות המבחן ולממונה על עבודות השירות</w:t>
      </w:r>
      <w:r>
        <w:rPr>
          <w:rFonts w:ascii="David" w:hAnsi="David"/>
          <w:b/>
          <w:bCs/>
          <w:rtl/>
        </w:rPr>
        <w:t xml:space="preserve">. </w:t>
      </w:r>
    </w:p>
    <w:p w14:paraId="604AF00B" w14:textId="77777777" w:rsidR="00B42204" w:rsidRDefault="00B42204" w:rsidP="00B42204">
      <w:pPr>
        <w:widowControl w:val="0"/>
        <w:spacing w:line="360" w:lineRule="auto"/>
        <w:jc w:val="both"/>
        <w:rPr>
          <w:rFonts w:ascii="David" w:hAnsi="David"/>
          <w:b/>
          <w:bCs/>
          <w:rtl/>
        </w:rPr>
      </w:pPr>
    </w:p>
    <w:p w14:paraId="35E7AFD6" w14:textId="77777777" w:rsidR="00B42204" w:rsidRDefault="00B42204" w:rsidP="00B42204">
      <w:pPr>
        <w:widowControl w:val="0"/>
        <w:spacing w:line="360" w:lineRule="auto"/>
        <w:jc w:val="both"/>
        <w:rPr>
          <w:rFonts w:ascii="David" w:hAnsi="David"/>
          <w:b/>
          <w:bCs/>
          <w:rtl/>
        </w:rPr>
      </w:pPr>
      <w:r>
        <w:rPr>
          <w:rFonts w:ascii="David" w:hAnsi="David"/>
          <w:b/>
          <w:bCs/>
          <w:rtl/>
        </w:rPr>
        <w:t>ניתן צו כללי למוצגים: להשמיד, לחלט ולהשיב לבעלים, לפי שיקול דעת היחידה החוקרת.</w:t>
      </w:r>
    </w:p>
    <w:p w14:paraId="1451766B" w14:textId="77777777" w:rsidR="00B42204" w:rsidRDefault="00B42204" w:rsidP="00B42204">
      <w:pPr>
        <w:widowControl w:val="0"/>
        <w:spacing w:line="360" w:lineRule="auto"/>
        <w:jc w:val="both"/>
        <w:rPr>
          <w:rFonts w:ascii="David" w:hAnsi="David"/>
          <w:b/>
          <w:bCs/>
          <w:rtl/>
        </w:rPr>
      </w:pPr>
      <w:r>
        <w:rPr>
          <w:rFonts w:ascii="David" w:hAnsi="David"/>
          <w:b/>
          <w:bCs/>
          <w:rtl/>
        </w:rPr>
        <w:t>הסמים - יושמדו.</w:t>
      </w:r>
    </w:p>
    <w:p w14:paraId="143899E6" w14:textId="77777777" w:rsidR="00B42204" w:rsidRDefault="00B42204" w:rsidP="00B42204">
      <w:pPr>
        <w:widowControl w:val="0"/>
        <w:spacing w:line="360" w:lineRule="auto"/>
        <w:jc w:val="both"/>
        <w:rPr>
          <w:rFonts w:ascii="David" w:hAnsi="David"/>
          <w:b/>
          <w:bCs/>
          <w:u w:val="single"/>
          <w:rtl/>
        </w:rPr>
      </w:pPr>
    </w:p>
    <w:p w14:paraId="5A74DAC7" w14:textId="77777777" w:rsidR="00B42204" w:rsidRDefault="009D52CE" w:rsidP="00B42204">
      <w:pPr>
        <w:widowControl w:val="0"/>
        <w:spacing w:line="360" w:lineRule="auto"/>
        <w:jc w:val="both"/>
        <w:rPr>
          <w:rFonts w:ascii="David" w:hAnsi="David"/>
          <w:b/>
          <w:bCs/>
          <w:u w:val="single"/>
          <w:rtl/>
        </w:rPr>
      </w:pPr>
      <w:r w:rsidRPr="009D52CE">
        <w:rPr>
          <w:rFonts w:ascii="David" w:hAnsi="David"/>
          <w:b/>
          <w:bCs/>
          <w:color w:val="FFFFFF"/>
          <w:sz w:val="2"/>
          <w:szCs w:val="2"/>
          <w:u w:val="single"/>
          <w:rtl/>
        </w:rPr>
        <w:t>5129371</w:t>
      </w:r>
      <w:r w:rsidR="00B42204">
        <w:rPr>
          <w:rFonts w:ascii="David" w:hAnsi="David"/>
          <w:b/>
          <w:bCs/>
          <w:u w:val="single"/>
          <w:rtl/>
        </w:rPr>
        <w:t>זכות ערעור לבית-המשפט המחוזי תוך 45 יום.</w:t>
      </w:r>
    </w:p>
    <w:p w14:paraId="4FF9F668" w14:textId="77777777" w:rsidR="00B42204" w:rsidRPr="009D52CE" w:rsidRDefault="009D52CE" w:rsidP="00B42204">
      <w:pPr>
        <w:widowControl w:val="0"/>
        <w:spacing w:line="360" w:lineRule="auto"/>
        <w:jc w:val="both"/>
        <w:rPr>
          <w:rFonts w:ascii="Arial" w:hAnsi="Arial"/>
          <w:noProof w:val="0"/>
          <w:color w:val="FFFFFF"/>
          <w:sz w:val="2"/>
          <w:szCs w:val="2"/>
          <w:rtl/>
        </w:rPr>
      </w:pPr>
      <w:r w:rsidRPr="009D52CE">
        <w:rPr>
          <w:rFonts w:ascii="Arial" w:hAnsi="Arial"/>
          <w:noProof w:val="0"/>
          <w:color w:val="FFFFFF"/>
          <w:sz w:val="2"/>
          <w:szCs w:val="2"/>
          <w:rtl/>
        </w:rPr>
        <w:t>54678313</w:t>
      </w:r>
    </w:p>
    <w:p w14:paraId="436EE61F" w14:textId="77777777" w:rsidR="00B42204" w:rsidRDefault="009D52CE" w:rsidP="00B42204">
      <w:pPr>
        <w:widowControl w:val="0"/>
        <w:jc w:val="both"/>
        <w:rPr>
          <w:rFonts w:ascii="Arial" w:hAnsi="Arial"/>
          <w:noProof w:val="0"/>
          <w:rtl/>
        </w:rPr>
      </w:pPr>
      <w:bookmarkStart w:id="9" w:name="Nitan"/>
      <w:r>
        <w:rPr>
          <w:rFonts w:ascii="Arial" w:hAnsi="Arial"/>
          <w:b/>
          <w:bCs/>
          <w:noProof w:val="0"/>
          <w:rtl/>
        </w:rPr>
        <w:t xml:space="preserve">ניתנה היום,  כ"א כסלו תשפ"ד, 04 דצמבר 2023, במעמד הנוכחים. </w:t>
      </w:r>
      <w:bookmarkEnd w:id="9"/>
    </w:p>
    <w:p w14:paraId="107F1426" w14:textId="77777777" w:rsidR="00B42204" w:rsidRDefault="00B42204" w:rsidP="00B42204">
      <w:pPr>
        <w:widowControl w:val="0"/>
        <w:ind w:left="3600" w:firstLine="720"/>
        <w:jc w:val="both"/>
      </w:pPr>
    </w:p>
    <w:p w14:paraId="7634A3F5" w14:textId="77777777" w:rsidR="00B42204" w:rsidRDefault="00B42204" w:rsidP="00B42204">
      <w:pPr>
        <w:widowControl w:val="0"/>
        <w:ind w:left="3600" w:firstLine="720"/>
        <w:jc w:val="both"/>
        <w:rPr>
          <w:rFonts w:ascii="Arial" w:hAnsi="Arial"/>
          <w:noProof w:val="0"/>
          <w:rtl/>
        </w:rPr>
      </w:pPr>
    </w:p>
    <w:p w14:paraId="5C82EA02" w14:textId="77777777" w:rsidR="00B42204" w:rsidRPr="001C149D" w:rsidRDefault="00B42204" w:rsidP="00B42204">
      <w:pPr>
        <w:widowControl w:val="0"/>
        <w:rPr>
          <w:rtl/>
        </w:rPr>
      </w:pPr>
    </w:p>
    <w:p w14:paraId="2558403F" w14:textId="77777777" w:rsidR="004B3BB3" w:rsidRPr="009D52CE" w:rsidRDefault="004B3BB3" w:rsidP="009D52CE">
      <w:pPr>
        <w:keepNext/>
        <w:rPr>
          <w:rFonts w:ascii="David" w:hAnsi="David" w:hint="cs"/>
          <w:color w:val="000000"/>
          <w:sz w:val="22"/>
          <w:szCs w:val="22"/>
          <w:rtl/>
        </w:rPr>
      </w:pPr>
    </w:p>
    <w:p w14:paraId="45A56B7B" w14:textId="77777777" w:rsidR="009D52CE" w:rsidRPr="009D52CE" w:rsidRDefault="009D52CE" w:rsidP="009D52CE">
      <w:pPr>
        <w:keepNext/>
        <w:rPr>
          <w:rFonts w:ascii="David" w:hAnsi="David"/>
          <w:color w:val="000000"/>
          <w:sz w:val="22"/>
          <w:szCs w:val="22"/>
          <w:rtl/>
        </w:rPr>
      </w:pPr>
      <w:r w:rsidRPr="009D52CE">
        <w:rPr>
          <w:rFonts w:ascii="David" w:hAnsi="David"/>
          <w:color w:val="000000"/>
          <w:sz w:val="22"/>
          <w:szCs w:val="22"/>
          <w:rtl/>
        </w:rPr>
        <w:t>זהר דולב להמן 54678313</w:t>
      </w:r>
    </w:p>
    <w:p w14:paraId="7619292B" w14:textId="77777777" w:rsidR="009D52CE" w:rsidRDefault="009D52CE" w:rsidP="009D52CE">
      <w:r w:rsidRPr="009D52CE">
        <w:rPr>
          <w:color w:val="000000"/>
          <w:rtl/>
        </w:rPr>
        <w:t>נוסח מסמך זה כפוף לשינויי ניסוח ועריכה</w:t>
      </w:r>
    </w:p>
    <w:p w14:paraId="3E4D4E82" w14:textId="77777777" w:rsidR="009D52CE" w:rsidRDefault="009D52CE" w:rsidP="009D52CE">
      <w:pPr>
        <w:rPr>
          <w:rtl/>
        </w:rPr>
      </w:pPr>
    </w:p>
    <w:p w14:paraId="36C99CAE" w14:textId="77777777" w:rsidR="009D52CE" w:rsidRDefault="009D52CE" w:rsidP="009D52CE">
      <w:pPr>
        <w:jc w:val="center"/>
        <w:rPr>
          <w:color w:val="0000FF"/>
          <w:u w:val="single"/>
        </w:rPr>
      </w:pPr>
      <w:hyperlink r:id="rId53" w:history="1">
        <w:r>
          <w:rPr>
            <w:color w:val="0000FF"/>
            <w:u w:val="single"/>
            <w:rtl/>
          </w:rPr>
          <w:t>בעניין עריכה ושינויים במסמכי פסיקה, חקיקה ועוד באתר נבו – הקש כאן</w:t>
        </w:r>
      </w:hyperlink>
    </w:p>
    <w:p w14:paraId="6F8C95AD" w14:textId="77777777" w:rsidR="009D52CE" w:rsidRPr="009D52CE" w:rsidRDefault="009D52CE" w:rsidP="009D52CE">
      <w:pPr>
        <w:jc w:val="center"/>
        <w:rPr>
          <w:rFonts w:hint="cs"/>
          <w:color w:val="0000FF"/>
          <w:u w:val="single"/>
        </w:rPr>
      </w:pPr>
    </w:p>
    <w:sectPr w:rsidR="009D52CE" w:rsidRPr="009D52CE" w:rsidSect="009D52CE">
      <w:headerReference w:type="even" r:id="rId54"/>
      <w:headerReference w:type="default" r:id="rId55"/>
      <w:footerReference w:type="even" r:id="rId56"/>
      <w:footerReference w:type="default" r:id="rId57"/>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F0EB24" w14:textId="77777777" w:rsidR="00A7562C" w:rsidRDefault="00A7562C" w:rsidP="001F7601">
      <w:r>
        <w:separator/>
      </w:r>
    </w:p>
  </w:endnote>
  <w:endnote w:type="continuationSeparator" w:id="0">
    <w:p w14:paraId="7A4B5B7F" w14:textId="77777777" w:rsidR="00A7562C" w:rsidRDefault="00A7562C" w:rsidP="001F7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rimo">
    <w:altName w:val="Times New Roman"/>
    <w:panose1 w:val="00000000000000000000"/>
    <w:charset w:val="00"/>
    <w:family w:val="auto"/>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ED1BB" w14:textId="77777777" w:rsidR="009D52CE" w:rsidRDefault="009D52CE" w:rsidP="009D52C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09C0C2F6" w14:textId="77777777" w:rsidR="009D52CE" w:rsidRPr="009D52CE" w:rsidRDefault="009D52CE" w:rsidP="009D52C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D39D5" w14:textId="77777777" w:rsidR="009D52CE" w:rsidRDefault="009D52CE" w:rsidP="009D52CE">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 xml:space="preserve">PAGE </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7F0FC2">
      <w:rPr>
        <w:rStyle w:val="a8"/>
        <w:rFonts w:ascii="FrankRuehl" w:hAnsi="FrankRuehl" w:cs="FrankRuehl"/>
        <w:rtl/>
      </w:rPr>
      <w:t>1</w:t>
    </w:r>
    <w:r>
      <w:rPr>
        <w:rStyle w:val="a8"/>
        <w:rFonts w:ascii="FrankRuehl" w:hAnsi="FrankRuehl" w:cs="FrankRuehl"/>
        <w:rtl/>
      </w:rPr>
      <w:fldChar w:fldCharType="end"/>
    </w:r>
  </w:p>
  <w:p w14:paraId="3AE04BEA" w14:textId="77777777" w:rsidR="00EC4DD8" w:rsidRPr="009D52CE" w:rsidRDefault="009D52CE" w:rsidP="009D52CE">
    <w:pPr>
      <w:pStyle w:val="a5"/>
      <w:pBdr>
        <w:top w:val="single" w:sz="4" w:space="1" w:color="auto"/>
        <w:between w:val="single" w:sz="4" w:space="0" w:color="auto"/>
      </w:pBdr>
      <w:spacing w:after="60"/>
      <w:jc w:val="center"/>
      <w:rPr>
        <w:rStyle w:val="a8"/>
        <w:rFonts w:ascii="FrankRuehl" w:hAnsi="FrankRuehl" w:cs="FrankRuehl" w:hint="cs"/>
        <w:color w:val="000000"/>
        <w:rtl/>
      </w:rPr>
    </w:pPr>
    <w:r>
      <w:rPr>
        <w:rStyle w:val="a8"/>
        <w:rFonts w:ascii="FrankRuehl" w:hAnsi="FrankRuehl" w:cs="FrankRuehl" w:hint="cs"/>
        <w:color w:val="000000"/>
      </w:rPr>
      <w:pict w14:anchorId="41F9C1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89B413" w14:textId="77777777" w:rsidR="00A7562C" w:rsidRDefault="00A7562C" w:rsidP="001F7601">
      <w:r>
        <w:separator/>
      </w:r>
    </w:p>
  </w:footnote>
  <w:footnote w:type="continuationSeparator" w:id="0">
    <w:p w14:paraId="67D4EB77" w14:textId="77777777" w:rsidR="00A7562C" w:rsidRDefault="00A7562C" w:rsidP="001F76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BF618" w14:textId="77777777" w:rsidR="009D52CE" w:rsidRPr="009D52CE" w:rsidRDefault="009D52CE" w:rsidP="009D52C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62983-12-20</w:t>
    </w:r>
    <w:r>
      <w:rPr>
        <w:rFonts w:ascii="David" w:hAnsi="David"/>
        <w:color w:val="000000"/>
        <w:sz w:val="22"/>
        <w:szCs w:val="22"/>
        <w:rtl/>
      </w:rPr>
      <w:tab/>
      <w:t xml:space="preserve"> מדינת ישראל נ' לידור רפאל אמזלג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7B298" w14:textId="77777777" w:rsidR="009D52CE" w:rsidRPr="009D52CE" w:rsidRDefault="009D52CE" w:rsidP="009D52C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62983-12-20</w:t>
    </w:r>
    <w:r>
      <w:rPr>
        <w:rFonts w:ascii="David" w:hAnsi="David"/>
        <w:color w:val="000000"/>
        <w:sz w:val="22"/>
        <w:szCs w:val="22"/>
        <w:rtl/>
      </w:rPr>
      <w:tab/>
      <w:t xml:space="preserve"> מדינת ישראל נ' לידור רפאל אמזלג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067F4"/>
    <w:multiLevelType w:val="hybridMultilevel"/>
    <w:tmpl w:val="9DC40054"/>
    <w:lvl w:ilvl="0" w:tplc="0EDC6F70">
      <w:start w:val="1"/>
      <w:numFmt w:val="hebrew1"/>
      <w:lvlText w:val="%1."/>
      <w:lvlJc w:val="left"/>
      <w:pPr>
        <w:ind w:left="720" w:hanging="360"/>
      </w:pPr>
      <w:rPr>
        <w:b/>
        <w:bCs/>
        <w:sz w:val="24"/>
      </w:rPr>
    </w:lvl>
    <w:lvl w:ilvl="1" w:tplc="8E4A4E10">
      <w:start w:val="1"/>
      <w:numFmt w:val="hebrew1"/>
      <w:lvlText w:val="%2."/>
      <w:lvlJc w:val="center"/>
      <w:pPr>
        <w:ind w:left="1440" w:hanging="360"/>
      </w:pPr>
    </w:lvl>
    <w:lvl w:ilvl="2" w:tplc="4F9A5DF8">
      <w:start w:val="1"/>
      <w:numFmt w:val="decimal"/>
      <w:lvlText w:val="%3)"/>
      <w:lvlJc w:val="left"/>
      <w:pPr>
        <w:ind w:left="2340" w:hanging="360"/>
      </w:pPr>
    </w:lvl>
    <w:lvl w:ilvl="3" w:tplc="831410E0">
      <w:start w:val="1"/>
      <w:numFmt w:val="decimal"/>
      <w:lvlText w:val="%4."/>
      <w:lvlJc w:val="left"/>
      <w:pPr>
        <w:ind w:left="2880" w:hanging="360"/>
      </w:pPr>
    </w:lvl>
    <w:lvl w:ilvl="4" w:tplc="A0BA7ADA">
      <w:start w:val="1"/>
      <w:numFmt w:val="lowerLetter"/>
      <w:lvlText w:val="%5."/>
      <w:lvlJc w:val="left"/>
      <w:pPr>
        <w:ind w:left="3600" w:hanging="360"/>
      </w:pPr>
    </w:lvl>
    <w:lvl w:ilvl="5" w:tplc="74BE1C2A">
      <w:start w:val="1"/>
      <w:numFmt w:val="lowerRoman"/>
      <w:lvlText w:val="%6."/>
      <w:lvlJc w:val="right"/>
      <w:pPr>
        <w:ind w:left="4320" w:hanging="180"/>
      </w:pPr>
    </w:lvl>
    <w:lvl w:ilvl="6" w:tplc="CE7E76FA">
      <w:start w:val="1"/>
      <w:numFmt w:val="decimal"/>
      <w:lvlText w:val="%7."/>
      <w:lvlJc w:val="left"/>
      <w:pPr>
        <w:ind w:left="5040" w:hanging="360"/>
      </w:pPr>
    </w:lvl>
    <w:lvl w:ilvl="7" w:tplc="FABA62DE">
      <w:start w:val="1"/>
      <w:numFmt w:val="lowerLetter"/>
      <w:lvlText w:val="%8."/>
      <w:lvlJc w:val="left"/>
      <w:pPr>
        <w:ind w:left="5760" w:hanging="360"/>
      </w:pPr>
    </w:lvl>
    <w:lvl w:ilvl="8" w:tplc="4E186642">
      <w:start w:val="1"/>
      <w:numFmt w:val="lowerRoman"/>
      <w:lvlText w:val="%9."/>
      <w:lvlJc w:val="right"/>
      <w:pPr>
        <w:ind w:left="6480" w:hanging="180"/>
      </w:pPr>
    </w:lvl>
  </w:abstractNum>
  <w:abstractNum w:abstractNumId="1" w15:restartNumberingAfterBreak="0">
    <w:nsid w:val="6C693E3F"/>
    <w:multiLevelType w:val="hybridMultilevel"/>
    <w:tmpl w:val="97B8D5EA"/>
    <w:lvl w:ilvl="0" w:tplc="48F08E0C">
      <w:start w:val="1"/>
      <w:numFmt w:val="decimal"/>
      <w:lvlText w:val="%1."/>
      <w:lvlJc w:val="left"/>
      <w:pPr>
        <w:ind w:left="720" w:hanging="360"/>
      </w:pPr>
      <w:rPr>
        <w:lang w:val="en-US"/>
      </w:rPr>
    </w:lvl>
    <w:lvl w:ilvl="1" w:tplc="C400B8EA">
      <w:start w:val="1"/>
      <w:numFmt w:val="hebrew1"/>
      <w:lvlText w:val="%2)"/>
      <w:lvlJc w:val="left"/>
      <w:pPr>
        <w:ind w:left="1440" w:hanging="360"/>
      </w:pPr>
      <w:rPr>
        <w:b w:val="0"/>
        <w:bCs w:val="0"/>
      </w:rPr>
    </w:lvl>
    <w:lvl w:ilvl="2" w:tplc="3A425266">
      <w:start w:val="1"/>
      <w:numFmt w:val="decimal"/>
      <w:lvlText w:val="(%3)"/>
      <w:lvlJc w:val="left"/>
      <w:pPr>
        <w:ind w:left="2160" w:hanging="180"/>
      </w:pPr>
      <w:rPr>
        <w:rFonts w:ascii="David" w:hAnsi="David" w:cs="David" w:hint="default"/>
        <w:bCs w:val="0"/>
        <w:iCs w:val="0"/>
        <w:sz w:val="18"/>
        <w:szCs w:val="22"/>
        <w:lang w:val="en-US"/>
      </w:rPr>
    </w:lvl>
    <w:lvl w:ilvl="3" w:tplc="79961122">
      <w:start w:val="1"/>
      <w:numFmt w:val="hebrew1"/>
      <w:lvlText w:val="(%4)"/>
      <w:lvlJc w:val="left"/>
      <w:pPr>
        <w:ind w:left="2880" w:hanging="360"/>
      </w:pPr>
      <w:rPr>
        <w:rFonts w:ascii="David" w:hAnsi="David" w:cs="David" w:hint="default"/>
        <w:b w:val="0"/>
        <w:bCs w:val="0"/>
        <w:i w:val="0"/>
        <w:iCs w:val="0"/>
        <w:sz w:val="22"/>
        <w:szCs w:val="24"/>
      </w:rPr>
    </w:lvl>
    <w:lvl w:ilvl="4" w:tplc="381011D4">
      <w:start w:val="1"/>
      <w:numFmt w:val="lowerLetter"/>
      <w:lvlText w:val="%5."/>
      <w:lvlJc w:val="left"/>
      <w:pPr>
        <w:ind w:left="3600" w:hanging="360"/>
      </w:pPr>
    </w:lvl>
    <w:lvl w:ilvl="5" w:tplc="4DC860AE">
      <w:start w:val="1"/>
      <w:numFmt w:val="lowerRoman"/>
      <w:lvlText w:val="%6."/>
      <w:lvlJc w:val="right"/>
      <w:pPr>
        <w:ind w:left="4320" w:hanging="180"/>
      </w:pPr>
    </w:lvl>
    <w:lvl w:ilvl="6" w:tplc="4F6442C8">
      <w:start w:val="1"/>
      <w:numFmt w:val="decimal"/>
      <w:lvlText w:val="%7."/>
      <w:lvlJc w:val="left"/>
      <w:pPr>
        <w:ind w:left="5040" w:hanging="360"/>
      </w:pPr>
    </w:lvl>
    <w:lvl w:ilvl="7" w:tplc="4B36EB3E">
      <w:start w:val="1"/>
      <w:numFmt w:val="lowerLetter"/>
      <w:lvlText w:val="%8."/>
      <w:lvlJc w:val="left"/>
      <w:pPr>
        <w:ind w:left="5760" w:hanging="360"/>
      </w:pPr>
    </w:lvl>
    <w:lvl w:ilvl="8" w:tplc="555ACA3C">
      <w:start w:val="1"/>
      <w:numFmt w:val="lowerRoman"/>
      <w:lvlText w:val="%9."/>
      <w:lvlJc w:val="right"/>
      <w:pPr>
        <w:ind w:left="6480" w:hanging="180"/>
      </w:pPr>
    </w:lvl>
  </w:abstractNum>
  <w:abstractNum w:abstractNumId="2" w15:restartNumberingAfterBreak="0">
    <w:nsid w:val="6D3856D5"/>
    <w:multiLevelType w:val="hybridMultilevel"/>
    <w:tmpl w:val="E94C95BE"/>
    <w:lvl w:ilvl="0" w:tplc="03E00FBC">
      <w:start w:val="1"/>
      <w:numFmt w:val="bullet"/>
      <w:lvlText w:val=""/>
      <w:lvlJc w:val="left"/>
      <w:pPr>
        <w:ind w:left="1445" w:hanging="360"/>
      </w:pPr>
      <w:rPr>
        <w:rFonts w:ascii="Symbol" w:hAnsi="Symbol" w:hint="default"/>
      </w:rPr>
    </w:lvl>
    <w:lvl w:ilvl="1" w:tplc="E89EBDA2">
      <w:start w:val="1"/>
      <w:numFmt w:val="bullet"/>
      <w:lvlText w:val="o"/>
      <w:lvlJc w:val="left"/>
      <w:pPr>
        <w:ind w:left="2165" w:hanging="360"/>
      </w:pPr>
      <w:rPr>
        <w:rFonts w:ascii="Courier New" w:hAnsi="Courier New" w:cs="Courier New" w:hint="default"/>
      </w:rPr>
    </w:lvl>
    <w:lvl w:ilvl="2" w:tplc="A9A81892">
      <w:start w:val="1"/>
      <w:numFmt w:val="bullet"/>
      <w:lvlText w:val=""/>
      <w:lvlJc w:val="left"/>
      <w:pPr>
        <w:ind w:left="2885" w:hanging="360"/>
      </w:pPr>
      <w:rPr>
        <w:rFonts w:ascii="Wingdings" w:hAnsi="Wingdings" w:hint="default"/>
      </w:rPr>
    </w:lvl>
    <w:lvl w:ilvl="3" w:tplc="F386E3FC">
      <w:start w:val="1"/>
      <w:numFmt w:val="bullet"/>
      <w:lvlText w:val=""/>
      <w:lvlJc w:val="left"/>
      <w:pPr>
        <w:ind w:left="3605" w:hanging="360"/>
      </w:pPr>
      <w:rPr>
        <w:rFonts w:ascii="Symbol" w:hAnsi="Symbol" w:hint="default"/>
      </w:rPr>
    </w:lvl>
    <w:lvl w:ilvl="4" w:tplc="C1743B4A">
      <w:start w:val="1"/>
      <w:numFmt w:val="bullet"/>
      <w:lvlText w:val="o"/>
      <w:lvlJc w:val="left"/>
      <w:pPr>
        <w:ind w:left="4325" w:hanging="360"/>
      </w:pPr>
      <w:rPr>
        <w:rFonts w:ascii="Courier New" w:hAnsi="Courier New" w:cs="Courier New" w:hint="default"/>
      </w:rPr>
    </w:lvl>
    <w:lvl w:ilvl="5" w:tplc="EC2AA8DC">
      <w:start w:val="1"/>
      <w:numFmt w:val="bullet"/>
      <w:lvlText w:val=""/>
      <w:lvlJc w:val="left"/>
      <w:pPr>
        <w:ind w:left="5045" w:hanging="360"/>
      </w:pPr>
      <w:rPr>
        <w:rFonts w:ascii="Wingdings" w:hAnsi="Wingdings" w:hint="default"/>
      </w:rPr>
    </w:lvl>
    <w:lvl w:ilvl="6" w:tplc="8AE6302E">
      <w:start w:val="1"/>
      <w:numFmt w:val="bullet"/>
      <w:lvlText w:val=""/>
      <w:lvlJc w:val="left"/>
      <w:pPr>
        <w:ind w:left="5765" w:hanging="360"/>
      </w:pPr>
      <w:rPr>
        <w:rFonts w:ascii="Symbol" w:hAnsi="Symbol" w:hint="default"/>
      </w:rPr>
    </w:lvl>
    <w:lvl w:ilvl="7" w:tplc="D5DC0BE0">
      <w:start w:val="1"/>
      <w:numFmt w:val="bullet"/>
      <w:lvlText w:val="o"/>
      <w:lvlJc w:val="left"/>
      <w:pPr>
        <w:ind w:left="6485" w:hanging="360"/>
      </w:pPr>
      <w:rPr>
        <w:rFonts w:ascii="Courier New" w:hAnsi="Courier New" w:cs="Courier New" w:hint="default"/>
      </w:rPr>
    </w:lvl>
    <w:lvl w:ilvl="8" w:tplc="E4A4E4EC">
      <w:start w:val="1"/>
      <w:numFmt w:val="bullet"/>
      <w:lvlText w:val=""/>
      <w:lvlJc w:val="left"/>
      <w:pPr>
        <w:ind w:left="7205" w:hanging="360"/>
      </w:pPr>
      <w:rPr>
        <w:rFonts w:ascii="Wingdings" w:hAnsi="Wingdings" w:hint="default"/>
      </w:rPr>
    </w:lvl>
  </w:abstractNum>
  <w:num w:numId="1" w16cid:durableId="2077363218">
    <w:abstractNumId w:val="1"/>
  </w:num>
  <w:num w:numId="2" w16cid:durableId="8279381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544522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42204"/>
    <w:rsid w:val="001B5A3B"/>
    <w:rsid w:val="001B6840"/>
    <w:rsid w:val="001C1342"/>
    <w:rsid w:val="001F7601"/>
    <w:rsid w:val="002E242F"/>
    <w:rsid w:val="004B3BB3"/>
    <w:rsid w:val="006149A5"/>
    <w:rsid w:val="007F0FC2"/>
    <w:rsid w:val="007F1740"/>
    <w:rsid w:val="008042E4"/>
    <w:rsid w:val="00873EBC"/>
    <w:rsid w:val="009D52CE"/>
    <w:rsid w:val="00A7562C"/>
    <w:rsid w:val="00B42204"/>
    <w:rsid w:val="00EC4DD8"/>
    <w:rsid w:val="00F438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C20B6AB"/>
  <w15:chartTrackingRefBased/>
  <w15:docId w15:val="{57270224-E189-4744-847E-240C064A9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42204"/>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42204"/>
    <w:pPr>
      <w:tabs>
        <w:tab w:val="center" w:pos="4153"/>
        <w:tab w:val="right" w:pos="8306"/>
      </w:tabs>
    </w:pPr>
  </w:style>
  <w:style w:type="character" w:customStyle="1" w:styleId="a4">
    <w:name w:val="כותרת עליונה תו"/>
    <w:link w:val="a3"/>
    <w:rsid w:val="00B42204"/>
    <w:rPr>
      <w:rFonts w:ascii="Times New Roman" w:eastAsia="Times New Roman" w:hAnsi="Times New Roman" w:cs="David"/>
      <w:noProof/>
      <w:sz w:val="24"/>
      <w:szCs w:val="24"/>
    </w:rPr>
  </w:style>
  <w:style w:type="paragraph" w:styleId="a5">
    <w:name w:val="footer"/>
    <w:basedOn w:val="a"/>
    <w:link w:val="a6"/>
    <w:rsid w:val="00B42204"/>
    <w:pPr>
      <w:tabs>
        <w:tab w:val="center" w:pos="4153"/>
        <w:tab w:val="right" w:pos="8306"/>
      </w:tabs>
    </w:pPr>
  </w:style>
  <w:style w:type="character" w:customStyle="1" w:styleId="a6">
    <w:name w:val="כותרת תחתונה תו"/>
    <w:link w:val="a5"/>
    <w:rsid w:val="00B42204"/>
    <w:rPr>
      <w:rFonts w:ascii="Times New Roman" w:eastAsia="Times New Roman" w:hAnsi="Times New Roman" w:cs="David"/>
      <w:noProof/>
      <w:sz w:val="24"/>
      <w:szCs w:val="24"/>
    </w:rPr>
  </w:style>
  <w:style w:type="table" w:styleId="a7">
    <w:name w:val="Table Grid"/>
    <w:basedOn w:val="a1"/>
    <w:rsid w:val="00B4220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42204"/>
  </w:style>
  <w:style w:type="character" w:customStyle="1" w:styleId="a9">
    <w:name w:val="פיסקת רשימה תו"/>
    <w:link w:val="aa"/>
    <w:locked/>
    <w:rsid w:val="00B42204"/>
    <w:rPr>
      <w:rFonts w:ascii="David" w:hAnsi="David" w:cs="David"/>
      <w:szCs w:val="24"/>
      <w:lang w:eastAsia="he-IL"/>
    </w:rPr>
  </w:style>
  <w:style w:type="paragraph" w:styleId="aa">
    <w:name w:val="List Paragraph"/>
    <w:basedOn w:val="a"/>
    <w:link w:val="a9"/>
    <w:qFormat/>
    <w:rsid w:val="00B42204"/>
    <w:pPr>
      <w:snapToGrid w:val="0"/>
      <w:ind w:left="720"/>
      <w:contextualSpacing/>
    </w:pPr>
    <w:rPr>
      <w:rFonts w:ascii="David" w:eastAsia="Calibri" w:hAnsi="David"/>
      <w:noProof w:val="0"/>
      <w:sz w:val="22"/>
      <w:lang w:eastAsia="he-IL"/>
    </w:rPr>
  </w:style>
  <w:style w:type="paragraph" w:customStyle="1" w:styleId="Ruller5">
    <w:name w:val="Ruller5"/>
    <w:basedOn w:val="a"/>
    <w:rsid w:val="00B42204"/>
    <w:pPr>
      <w:overflowPunct w:val="0"/>
      <w:autoSpaceDE w:val="0"/>
      <w:autoSpaceDN w:val="0"/>
      <w:adjustRightInd w:val="0"/>
      <w:ind w:left="1642" w:right="1282"/>
      <w:jc w:val="both"/>
    </w:pPr>
    <w:rPr>
      <w:rFonts w:ascii="Arial TUR" w:hAnsi="Arial TUR" w:cs="FrankRuehl"/>
      <w:noProof w:val="0"/>
      <w:spacing w:val="10"/>
      <w:sz w:val="22"/>
      <w:szCs w:val="28"/>
    </w:rPr>
  </w:style>
  <w:style w:type="character" w:styleId="Hyperlink">
    <w:name w:val="Hyperlink"/>
    <w:rsid w:val="009D52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f" TargetMode="External"/><Relationship Id="rId18" Type="http://schemas.openxmlformats.org/officeDocument/2006/relationships/hyperlink" Target="http://www.nevo.co.il/law/70301/40ji" TargetMode="External"/><Relationship Id="rId26" Type="http://schemas.openxmlformats.org/officeDocument/2006/relationships/hyperlink" Target="http://www.nevo.co.il/case/24263098" TargetMode="External"/><Relationship Id="rId39" Type="http://schemas.openxmlformats.org/officeDocument/2006/relationships/hyperlink" Target="http://www.nevo.co.il/law/70301" TargetMode="External"/><Relationship Id="rId21" Type="http://schemas.openxmlformats.org/officeDocument/2006/relationships/hyperlink" Target="http://www.nevo.co.il/law/4216"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0301/56" TargetMode="External"/><Relationship Id="rId47" Type="http://schemas.openxmlformats.org/officeDocument/2006/relationships/hyperlink" Target="http://www.nevo.co.il/case/17942576" TargetMode="External"/><Relationship Id="rId50" Type="http://schemas.openxmlformats.org/officeDocument/2006/relationships/hyperlink" Target="http://www.nevo.co.il/case/16864089" TargetMode="External"/><Relationship Id="rId55"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55" TargetMode="External"/><Relationship Id="rId29" Type="http://schemas.openxmlformats.org/officeDocument/2006/relationships/hyperlink" Target="http://www.nevo.co.il/case/27651924"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0443128" TargetMode="External"/><Relationship Id="rId32" Type="http://schemas.openxmlformats.org/officeDocument/2006/relationships/hyperlink" Target="http://www.nevo.co.il/case/29617305" TargetMode="External"/><Relationship Id="rId37" Type="http://schemas.openxmlformats.org/officeDocument/2006/relationships/hyperlink" Target="http://www.nevo.co.il/law/4216/37a" TargetMode="External"/><Relationship Id="rId40" Type="http://schemas.openxmlformats.org/officeDocument/2006/relationships/hyperlink" Target="http://www.nevo.co.il/law/70301/56" TargetMode="External"/><Relationship Id="rId45" Type="http://schemas.openxmlformats.org/officeDocument/2006/relationships/hyperlink" Target="http://www.nevo.co.il/law/70301/40g"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www.nevo.co.il/law/4216/7.a"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g" TargetMode="External"/><Relationship Id="rId22" Type="http://schemas.openxmlformats.org/officeDocument/2006/relationships/hyperlink" Target="http://www.nevo.co.il/law/70301/40c.a" TargetMode="External"/><Relationship Id="rId27" Type="http://schemas.openxmlformats.org/officeDocument/2006/relationships/hyperlink" Target="http://www.nevo.co.il/case/20443128" TargetMode="External"/><Relationship Id="rId30" Type="http://schemas.openxmlformats.org/officeDocument/2006/relationships/hyperlink" Target="http://www.nevo.co.il/case/18717393" TargetMode="External"/><Relationship Id="rId35" Type="http://schemas.openxmlformats.org/officeDocument/2006/relationships/hyperlink" Target="http://www.nevo.co.il/law/70301/40h"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5962012" TargetMode="External"/><Relationship Id="rId56" Type="http://schemas.openxmlformats.org/officeDocument/2006/relationships/footer" Target="footer1.xml"/><Relationship Id="rId8" Type="http://schemas.openxmlformats.org/officeDocument/2006/relationships/hyperlink" Target="http://www.nevo.co.il/law/4216/7.a" TargetMode="External"/><Relationship Id="rId51" Type="http://schemas.openxmlformats.org/officeDocument/2006/relationships/hyperlink" Target="http://www.nevo.co.il/case/8459331" TargetMode="External"/><Relationship Id="rId3" Type="http://schemas.openxmlformats.org/officeDocument/2006/relationships/settings" Target="settings.xml"/><Relationship Id="rId12" Type="http://schemas.openxmlformats.org/officeDocument/2006/relationships/hyperlink" Target="http://www.nevo.co.il/law/70301/40c.a" TargetMode="External"/><Relationship Id="rId17" Type="http://schemas.openxmlformats.org/officeDocument/2006/relationships/hyperlink" Target="http://www.nevo.co.il/law/70301/56" TargetMode="External"/><Relationship Id="rId25" Type="http://schemas.openxmlformats.org/officeDocument/2006/relationships/hyperlink" Target="http://www.nevo.co.il/case/26574841" TargetMode="External"/><Relationship Id="rId33" Type="http://schemas.openxmlformats.org/officeDocument/2006/relationships/hyperlink" Target="http://www.nevo.co.il/law/70301/40ji" TargetMode="External"/><Relationship Id="rId38" Type="http://schemas.openxmlformats.org/officeDocument/2006/relationships/hyperlink" Target="http://www.nevo.co.il/law/70301/55" TargetMode="External"/><Relationship Id="rId46" Type="http://schemas.openxmlformats.org/officeDocument/2006/relationships/hyperlink" Target="http://www.nevo.co.il/law/70301" TargetMode="External"/><Relationship Id="rId59" Type="http://schemas.openxmlformats.org/officeDocument/2006/relationships/theme" Target="theme/theme1.xml"/><Relationship Id="rId20" Type="http://schemas.openxmlformats.org/officeDocument/2006/relationships/hyperlink" Target="http://www.nevo.co.il/law/4216/7.c" TargetMode="External"/><Relationship Id="rId41" Type="http://schemas.openxmlformats.org/officeDocument/2006/relationships/hyperlink" Target="http://www.nevo.co.il/law/70301"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h"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13022249"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5588319" TargetMode="External"/><Relationship Id="rId57" Type="http://schemas.openxmlformats.org/officeDocument/2006/relationships/footer" Target="footer2.xml"/><Relationship Id="rId10" Type="http://schemas.openxmlformats.org/officeDocument/2006/relationships/hyperlink" Target="http://www.nevo.co.il/law/4216/37a" TargetMode="External"/><Relationship Id="rId31" Type="http://schemas.openxmlformats.org/officeDocument/2006/relationships/hyperlink" Target="http://www.nevo.co.il/case/22719187" TargetMode="External"/><Relationship Id="rId44" Type="http://schemas.openxmlformats.org/officeDocument/2006/relationships/hyperlink" Target="http://www.nevo.co.il/law/70301/40f" TargetMode="External"/><Relationship Id="rId52" Type="http://schemas.openxmlformats.org/officeDocument/2006/relationships/hyperlink" Target="http://www.nevo.co.il/case/610273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4490</Words>
  <Characters>22450</Characters>
  <Application>Microsoft Office Word</Application>
  <DocSecurity>0</DocSecurity>
  <Lines>187</Lines>
  <Paragraphs>53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26887</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3539060</vt:i4>
      </vt:variant>
      <vt:variant>
        <vt:i4>135</vt:i4>
      </vt:variant>
      <vt:variant>
        <vt:i4>0</vt:i4>
      </vt:variant>
      <vt:variant>
        <vt:i4>5</vt:i4>
      </vt:variant>
      <vt:variant>
        <vt:lpwstr>http://www.nevo.co.il/case/6102737</vt:lpwstr>
      </vt:variant>
      <vt:variant>
        <vt:lpwstr/>
      </vt:variant>
      <vt:variant>
        <vt:i4>4128890</vt:i4>
      </vt:variant>
      <vt:variant>
        <vt:i4>132</vt:i4>
      </vt:variant>
      <vt:variant>
        <vt:i4>0</vt:i4>
      </vt:variant>
      <vt:variant>
        <vt:i4>5</vt:i4>
      </vt:variant>
      <vt:variant>
        <vt:lpwstr>http://www.nevo.co.il/case/8459331</vt:lpwstr>
      </vt:variant>
      <vt:variant>
        <vt:lpwstr/>
      </vt:variant>
      <vt:variant>
        <vt:i4>3473524</vt:i4>
      </vt:variant>
      <vt:variant>
        <vt:i4>129</vt:i4>
      </vt:variant>
      <vt:variant>
        <vt:i4>0</vt:i4>
      </vt:variant>
      <vt:variant>
        <vt:i4>5</vt:i4>
      </vt:variant>
      <vt:variant>
        <vt:lpwstr>http://www.nevo.co.il/case/16864089</vt:lpwstr>
      </vt:variant>
      <vt:variant>
        <vt:lpwstr/>
      </vt:variant>
      <vt:variant>
        <vt:i4>3604600</vt:i4>
      </vt:variant>
      <vt:variant>
        <vt:i4>126</vt:i4>
      </vt:variant>
      <vt:variant>
        <vt:i4>0</vt:i4>
      </vt:variant>
      <vt:variant>
        <vt:i4>5</vt:i4>
      </vt:variant>
      <vt:variant>
        <vt:lpwstr>http://www.nevo.co.il/case/5588319</vt:lpwstr>
      </vt:variant>
      <vt:variant>
        <vt:lpwstr/>
      </vt:variant>
      <vt:variant>
        <vt:i4>3211390</vt:i4>
      </vt:variant>
      <vt:variant>
        <vt:i4>123</vt:i4>
      </vt:variant>
      <vt:variant>
        <vt:i4>0</vt:i4>
      </vt:variant>
      <vt:variant>
        <vt:i4>5</vt:i4>
      </vt:variant>
      <vt:variant>
        <vt:lpwstr>http://www.nevo.co.il/case/5962012</vt:lpwstr>
      </vt:variant>
      <vt:variant>
        <vt:lpwstr/>
      </vt:variant>
      <vt:variant>
        <vt:i4>3997810</vt:i4>
      </vt:variant>
      <vt:variant>
        <vt:i4>120</vt:i4>
      </vt:variant>
      <vt:variant>
        <vt:i4>0</vt:i4>
      </vt:variant>
      <vt:variant>
        <vt:i4>5</vt:i4>
      </vt:variant>
      <vt:variant>
        <vt:lpwstr>http://www.nevo.co.il/case/17942576</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6619233</vt:i4>
      </vt:variant>
      <vt:variant>
        <vt:i4>114</vt:i4>
      </vt:variant>
      <vt:variant>
        <vt:i4>0</vt:i4>
      </vt:variant>
      <vt:variant>
        <vt:i4>5</vt:i4>
      </vt:variant>
      <vt:variant>
        <vt:lpwstr>http://www.nevo.co.il/law/70301/40g</vt:lpwstr>
      </vt:variant>
      <vt:variant>
        <vt:lpwstr/>
      </vt:variant>
      <vt:variant>
        <vt:i4>6619233</vt:i4>
      </vt:variant>
      <vt:variant>
        <vt:i4>111</vt:i4>
      </vt:variant>
      <vt:variant>
        <vt:i4>0</vt:i4>
      </vt:variant>
      <vt:variant>
        <vt:i4>5</vt:i4>
      </vt:variant>
      <vt:variant>
        <vt:lpwstr>http://www.nevo.co.il/law/70301/40f</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6488160</vt:i4>
      </vt:variant>
      <vt:variant>
        <vt:i4>105</vt:i4>
      </vt:variant>
      <vt:variant>
        <vt:i4>0</vt:i4>
      </vt:variant>
      <vt:variant>
        <vt:i4>5</vt:i4>
      </vt:variant>
      <vt:variant>
        <vt:lpwstr>http://www.nevo.co.il/law/70301/56</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6488160</vt:i4>
      </vt:variant>
      <vt:variant>
        <vt:i4>99</vt:i4>
      </vt:variant>
      <vt:variant>
        <vt:i4>0</vt:i4>
      </vt:variant>
      <vt:variant>
        <vt:i4>5</vt:i4>
      </vt:variant>
      <vt:variant>
        <vt:lpwstr>http://www.nevo.co.il/law/70301/56</vt:lpwstr>
      </vt:variant>
      <vt:variant>
        <vt:lpwstr/>
      </vt:variant>
      <vt:variant>
        <vt:i4>7995492</vt:i4>
      </vt:variant>
      <vt:variant>
        <vt:i4>96</vt:i4>
      </vt:variant>
      <vt:variant>
        <vt:i4>0</vt:i4>
      </vt:variant>
      <vt:variant>
        <vt:i4>5</vt:i4>
      </vt:variant>
      <vt:variant>
        <vt:lpwstr>http://www.nevo.co.il/law/70301</vt:lpwstr>
      </vt:variant>
      <vt:variant>
        <vt:lpwstr/>
      </vt:variant>
      <vt:variant>
        <vt:i4>6291552</vt:i4>
      </vt:variant>
      <vt:variant>
        <vt:i4>93</vt:i4>
      </vt:variant>
      <vt:variant>
        <vt:i4>0</vt:i4>
      </vt:variant>
      <vt:variant>
        <vt:i4>5</vt:i4>
      </vt:variant>
      <vt:variant>
        <vt:lpwstr>http://www.nevo.co.il/law/70301/55</vt:lpwstr>
      </vt:variant>
      <vt:variant>
        <vt:lpwstr/>
      </vt:variant>
      <vt:variant>
        <vt:i4>2883709</vt:i4>
      </vt:variant>
      <vt:variant>
        <vt:i4>90</vt:i4>
      </vt:variant>
      <vt:variant>
        <vt:i4>0</vt:i4>
      </vt:variant>
      <vt:variant>
        <vt:i4>5</vt:i4>
      </vt:variant>
      <vt:variant>
        <vt:lpwstr>http://www.nevo.co.il/law/4216/37a</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http://www.nevo.co.il/law/70301/40h</vt:lpwstr>
      </vt:variant>
      <vt:variant>
        <vt:lpwstr/>
      </vt:variant>
      <vt:variant>
        <vt:i4>7995492</vt:i4>
      </vt:variant>
      <vt:variant>
        <vt:i4>81</vt:i4>
      </vt:variant>
      <vt:variant>
        <vt:i4>0</vt:i4>
      </vt:variant>
      <vt:variant>
        <vt:i4>5</vt:i4>
      </vt:variant>
      <vt:variant>
        <vt:lpwstr>http://www.nevo.co.il/law/70301</vt:lpwstr>
      </vt:variant>
      <vt:variant>
        <vt:lpwstr/>
      </vt:variant>
      <vt:variant>
        <vt:i4>786443</vt:i4>
      </vt:variant>
      <vt:variant>
        <vt:i4>78</vt:i4>
      </vt:variant>
      <vt:variant>
        <vt:i4>0</vt:i4>
      </vt:variant>
      <vt:variant>
        <vt:i4>5</vt:i4>
      </vt:variant>
      <vt:variant>
        <vt:lpwstr>http://www.nevo.co.il/law/70301/40ji</vt:lpwstr>
      </vt:variant>
      <vt:variant>
        <vt:lpwstr/>
      </vt:variant>
      <vt:variant>
        <vt:i4>3342463</vt:i4>
      </vt:variant>
      <vt:variant>
        <vt:i4>75</vt:i4>
      </vt:variant>
      <vt:variant>
        <vt:i4>0</vt:i4>
      </vt:variant>
      <vt:variant>
        <vt:i4>5</vt:i4>
      </vt:variant>
      <vt:variant>
        <vt:lpwstr>http://www.nevo.co.il/case/29617305</vt:lpwstr>
      </vt:variant>
      <vt:variant>
        <vt:lpwstr/>
      </vt:variant>
      <vt:variant>
        <vt:i4>3407990</vt:i4>
      </vt:variant>
      <vt:variant>
        <vt:i4>72</vt:i4>
      </vt:variant>
      <vt:variant>
        <vt:i4>0</vt:i4>
      </vt:variant>
      <vt:variant>
        <vt:i4>5</vt:i4>
      </vt:variant>
      <vt:variant>
        <vt:lpwstr>http://www.nevo.co.il/case/22719187</vt:lpwstr>
      </vt:variant>
      <vt:variant>
        <vt:lpwstr/>
      </vt:variant>
      <vt:variant>
        <vt:i4>3670142</vt:i4>
      </vt:variant>
      <vt:variant>
        <vt:i4>69</vt:i4>
      </vt:variant>
      <vt:variant>
        <vt:i4>0</vt:i4>
      </vt:variant>
      <vt:variant>
        <vt:i4>5</vt:i4>
      </vt:variant>
      <vt:variant>
        <vt:lpwstr>http://www.nevo.co.il/case/18717393</vt:lpwstr>
      </vt:variant>
      <vt:variant>
        <vt:lpwstr/>
      </vt:variant>
      <vt:variant>
        <vt:i4>3604607</vt:i4>
      </vt:variant>
      <vt:variant>
        <vt:i4>66</vt:i4>
      </vt:variant>
      <vt:variant>
        <vt:i4>0</vt:i4>
      </vt:variant>
      <vt:variant>
        <vt:i4>5</vt:i4>
      </vt:variant>
      <vt:variant>
        <vt:lpwstr>http://www.nevo.co.il/case/27651924</vt:lpwstr>
      </vt:variant>
      <vt:variant>
        <vt:lpwstr/>
      </vt:variant>
      <vt:variant>
        <vt:i4>3604599</vt:i4>
      </vt:variant>
      <vt:variant>
        <vt:i4>63</vt:i4>
      </vt:variant>
      <vt:variant>
        <vt:i4>0</vt:i4>
      </vt:variant>
      <vt:variant>
        <vt:i4>5</vt:i4>
      </vt:variant>
      <vt:variant>
        <vt:lpwstr>http://www.nevo.co.il/case/13022249</vt:lpwstr>
      </vt:variant>
      <vt:variant>
        <vt:lpwstr/>
      </vt:variant>
      <vt:variant>
        <vt:i4>3604593</vt:i4>
      </vt:variant>
      <vt:variant>
        <vt:i4>60</vt:i4>
      </vt:variant>
      <vt:variant>
        <vt:i4>0</vt:i4>
      </vt:variant>
      <vt:variant>
        <vt:i4>5</vt:i4>
      </vt:variant>
      <vt:variant>
        <vt:lpwstr>http://www.nevo.co.il/case/20443128</vt:lpwstr>
      </vt:variant>
      <vt:variant>
        <vt:lpwstr/>
      </vt:variant>
      <vt:variant>
        <vt:i4>3801206</vt:i4>
      </vt:variant>
      <vt:variant>
        <vt:i4>57</vt:i4>
      </vt:variant>
      <vt:variant>
        <vt:i4>0</vt:i4>
      </vt:variant>
      <vt:variant>
        <vt:i4>5</vt:i4>
      </vt:variant>
      <vt:variant>
        <vt:lpwstr>http://www.nevo.co.il/case/24263098</vt:lpwstr>
      </vt:variant>
      <vt:variant>
        <vt:lpwstr/>
      </vt:variant>
      <vt:variant>
        <vt:i4>3604605</vt:i4>
      </vt:variant>
      <vt:variant>
        <vt:i4>54</vt:i4>
      </vt:variant>
      <vt:variant>
        <vt:i4>0</vt:i4>
      </vt:variant>
      <vt:variant>
        <vt:i4>5</vt:i4>
      </vt:variant>
      <vt:variant>
        <vt:lpwstr>http://www.nevo.co.il/case/26574841</vt:lpwstr>
      </vt:variant>
      <vt:variant>
        <vt:lpwstr/>
      </vt:variant>
      <vt:variant>
        <vt:i4>3604593</vt:i4>
      </vt:variant>
      <vt:variant>
        <vt:i4>51</vt:i4>
      </vt:variant>
      <vt:variant>
        <vt:i4>0</vt:i4>
      </vt:variant>
      <vt:variant>
        <vt:i4>5</vt:i4>
      </vt:variant>
      <vt:variant>
        <vt:lpwstr>http://www.nevo.co.il/case/20443128</vt:lpwstr>
      </vt:variant>
      <vt:variant>
        <vt:lpwstr/>
      </vt:variant>
      <vt:variant>
        <vt:i4>7995492</vt:i4>
      </vt:variant>
      <vt:variant>
        <vt:i4>48</vt:i4>
      </vt:variant>
      <vt:variant>
        <vt:i4>0</vt:i4>
      </vt:variant>
      <vt:variant>
        <vt:i4>5</vt:i4>
      </vt:variant>
      <vt:variant>
        <vt:lpwstr>http://www.nevo.co.il/law/70301</vt:lpwstr>
      </vt:variant>
      <vt:variant>
        <vt:lpwstr/>
      </vt:variant>
      <vt:variant>
        <vt:i4>4915202</vt:i4>
      </vt:variant>
      <vt:variant>
        <vt:i4>45</vt:i4>
      </vt:variant>
      <vt:variant>
        <vt:i4>0</vt:i4>
      </vt:variant>
      <vt:variant>
        <vt:i4>5</vt:i4>
      </vt:variant>
      <vt:variant>
        <vt:lpwstr>http://www.nevo.co.il/law/70301/40c.a</vt:lpwstr>
      </vt:variant>
      <vt:variant>
        <vt:lpwstr/>
      </vt:variant>
      <vt:variant>
        <vt:i4>8257637</vt:i4>
      </vt:variant>
      <vt:variant>
        <vt:i4>42</vt:i4>
      </vt:variant>
      <vt:variant>
        <vt:i4>0</vt:i4>
      </vt:variant>
      <vt:variant>
        <vt:i4>5</vt:i4>
      </vt:variant>
      <vt:variant>
        <vt:lpwstr>http://www.nevo.co.il/law/4216</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786443</vt:i4>
      </vt:variant>
      <vt:variant>
        <vt:i4>33</vt:i4>
      </vt:variant>
      <vt:variant>
        <vt:i4>0</vt:i4>
      </vt:variant>
      <vt:variant>
        <vt:i4>5</vt:i4>
      </vt:variant>
      <vt:variant>
        <vt:lpwstr>http://www.nevo.co.il/law/70301/40ji</vt:lpwstr>
      </vt:variant>
      <vt:variant>
        <vt:lpwstr/>
      </vt:variant>
      <vt:variant>
        <vt:i4>6488160</vt:i4>
      </vt:variant>
      <vt:variant>
        <vt:i4>30</vt:i4>
      </vt:variant>
      <vt:variant>
        <vt:i4>0</vt:i4>
      </vt:variant>
      <vt:variant>
        <vt:i4>5</vt:i4>
      </vt:variant>
      <vt:variant>
        <vt:lpwstr>http://www.nevo.co.il/law/70301/56</vt:lpwstr>
      </vt:variant>
      <vt:variant>
        <vt:lpwstr/>
      </vt:variant>
      <vt:variant>
        <vt:i4>6291552</vt:i4>
      </vt:variant>
      <vt:variant>
        <vt:i4>27</vt:i4>
      </vt:variant>
      <vt:variant>
        <vt:i4>0</vt:i4>
      </vt:variant>
      <vt:variant>
        <vt:i4>5</vt:i4>
      </vt:variant>
      <vt:variant>
        <vt:lpwstr>http://www.nevo.co.il/law/70301/55</vt:lpwstr>
      </vt:variant>
      <vt:variant>
        <vt:lpwstr/>
      </vt:variant>
      <vt:variant>
        <vt:i4>6619233</vt:i4>
      </vt:variant>
      <vt:variant>
        <vt:i4>24</vt:i4>
      </vt:variant>
      <vt:variant>
        <vt:i4>0</vt:i4>
      </vt:variant>
      <vt:variant>
        <vt:i4>5</vt:i4>
      </vt:variant>
      <vt:variant>
        <vt:lpwstr>http://www.nevo.co.il/law/70301/40h</vt:lpwstr>
      </vt:variant>
      <vt:variant>
        <vt:lpwstr/>
      </vt:variant>
      <vt:variant>
        <vt:i4>6619233</vt:i4>
      </vt:variant>
      <vt:variant>
        <vt:i4>21</vt:i4>
      </vt:variant>
      <vt:variant>
        <vt:i4>0</vt:i4>
      </vt:variant>
      <vt:variant>
        <vt:i4>5</vt:i4>
      </vt:variant>
      <vt:variant>
        <vt:lpwstr>http://www.nevo.co.il/law/70301/40g</vt:lpwstr>
      </vt:variant>
      <vt:variant>
        <vt:lpwstr/>
      </vt:variant>
      <vt:variant>
        <vt:i4>6619233</vt:i4>
      </vt:variant>
      <vt:variant>
        <vt:i4>18</vt:i4>
      </vt:variant>
      <vt:variant>
        <vt:i4>0</vt:i4>
      </vt:variant>
      <vt:variant>
        <vt:i4>5</vt:i4>
      </vt:variant>
      <vt:variant>
        <vt:lpwstr>http://www.nevo.co.il/law/70301/40f</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7995492</vt:i4>
      </vt:variant>
      <vt:variant>
        <vt:i4>12</vt:i4>
      </vt:variant>
      <vt:variant>
        <vt:i4>0</vt:i4>
      </vt:variant>
      <vt:variant>
        <vt:i4>5</vt:i4>
      </vt:variant>
      <vt:variant>
        <vt:lpwstr>http://www.nevo.co.il/law/70301</vt:lpwstr>
      </vt:variant>
      <vt:variant>
        <vt:lpwstr/>
      </vt:variant>
      <vt:variant>
        <vt:i4>2883709</vt:i4>
      </vt:variant>
      <vt:variant>
        <vt:i4>9</vt:i4>
      </vt:variant>
      <vt:variant>
        <vt:i4>0</vt:i4>
      </vt:variant>
      <vt:variant>
        <vt:i4>5</vt:i4>
      </vt:variant>
      <vt:variant>
        <vt:lpwstr>http://www.nevo.co.il/law/4216/37a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2025-04-23T00:51:00Z</dcterms:created>
  <dcterms:modified xsi:type="dcterms:W3CDTF">2025-04-23T00:51:00Z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62983</vt:lpwstr>
  </property>
  <property fmtid="{D5CDD505-2E9C-101B-9397-08002B2CF9AE}" pid="6" name="NEWPARTB">
    <vt:lpwstr>12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לידור רפאל אמזלג</vt:lpwstr>
  </property>
  <property fmtid="{D5CDD505-2E9C-101B-9397-08002B2CF9AE}" pid="10" name="LAWYER">
    <vt:lpwstr>חני שנפ;שרית עוז</vt:lpwstr>
  </property>
  <property fmtid="{D5CDD505-2E9C-101B-9397-08002B2CF9AE}" pid="11" name="JUDGE">
    <vt:lpwstr>זהר דולב להמן</vt:lpwstr>
  </property>
  <property fmtid="{D5CDD505-2E9C-101B-9397-08002B2CF9AE}" pid="12" name="CITY">
    <vt:lpwstr>ק"ג</vt:lpwstr>
  </property>
  <property fmtid="{D5CDD505-2E9C-101B-9397-08002B2CF9AE}" pid="13" name="DATE">
    <vt:lpwstr>20231204</vt:lpwstr>
  </property>
  <property fmtid="{D5CDD505-2E9C-101B-9397-08002B2CF9AE}" pid="14" name="TYPE_N_DATE">
    <vt:lpwstr>38020231204</vt:lpwstr>
  </property>
  <property fmtid="{D5CDD505-2E9C-101B-9397-08002B2CF9AE}" pid="15" name="WORDNUMPAGES">
    <vt:lpwstr>11</vt:lpwstr>
  </property>
  <property fmtid="{D5CDD505-2E9C-101B-9397-08002B2CF9AE}" pid="16" name="TYPE_ABS_DATE">
    <vt:lpwstr>380020231204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20443128:2;26574841;24263098;13022249;27651924;18717393;22719187;29617305;17942576;5962012;5588319;16864089;8459331;6102737</vt:lpwstr>
  </property>
  <property fmtid="{D5CDD505-2E9C-101B-9397-08002B2CF9AE}" pid="36" name="LAWLISTTMP1">
    <vt:lpwstr>4216/007.a;007.c;037a</vt:lpwstr>
  </property>
  <property fmtid="{D5CDD505-2E9C-101B-9397-08002B2CF9AE}" pid="37" name="LAWLISTTMP2">
    <vt:lpwstr>70301/040c.a;40ji;040h;055;056:2;040f;040g</vt:lpwstr>
  </property>
</Properties>
</file>