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E37EF" w:rsidRPr="007E72EC" w14:paraId="40809C92" w14:textId="77777777" w:rsidTr="00FF4117">
        <w:trPr>
          <w:trHeight w:hRule="exact" w:val="418"/>
          <w:jc w:val="center"/>
        </w:trPr>
        <w:tc>
          <w:tcPr>
            <w:tcW w:w="8721" w:type="dxa"/>
            <w:gridSpan w:val="2"/>
          </w:tcPr>
          <w:p w14:paraId="7EB352E8" w14:textId="77777777" w:rsidR="007E37EF" w:rsidRPr="007E72EC" w:rsidRDefault="007E37EF" w:rsidP="00644C8D">
            <w:pPr>
              <w:pStyle w:val="a3"/>
              <w:jc w:val="center"/>
              <w:rPr>
                <w:rFonts w:ascii="Tahoma" w:hAnsi="Tahoma" w:cs="Tahoma"/>
                <w:color w:val="000080"/>
                <w:rtl/>
              </w:rPr>
            </w:pPr>
            <w:bookmarkStart w:id="0" w:name="FirstLawyer"/>
            <w:r w:rsidRPr="007E72EC">
              <w:rPr>
                <w:rFonts w:ascii="Tahoma" w:hAnsi="Tahoma" w:cs="Tahoma"/>
                <w:b/>
                <w:bCs/>
                <w:color w:val="000080"/>
                <w:rtl/>
              </w:rPr>
              <w:t>בית משפט השלום בבאר שבע</w:t>
            </w:r>
          </w:p>
        </w:tc>
      </w:tr>
      <w:tr w:rsidR="007E37EF" w:rsidRPr="007E72EC" w14:paraId="22863409" w14:textId="77777777" w:rsidTr="00FF4117">
        <w:trPr>
          <w:trHeight w:val="337"/>
          <w:jc w:val="center"/>
        </w:trPr>
        <w:tc>
          <w:tcPr>
            <w:tcW w:w="5057" w:type="dxa"/>
          </w:tcPr>
          <w:p w14:paraId="2103647C" w14:textId="77777777" w:rsidR="007E37EF" w:rsidRPr="007E72EC" w:rsidRDefault="007E37EF" w:rsidP="00644C8D">
            <w:pPr>
              <w:rPr>
                <w:rFonts w:ascii="David" w:hAnsi="David"/>
                <w:b/>
                <w:bCs/>
                <w:sz w:val="28"/>
                <w:szCs w:val="28"/>
                <w:rtl/>
              </w:rPr>
            </w:pPr>
            <w:r w:rsidRPr="007E72EC">
              <w:rPr>
                <w:rFonts w:ascii="David" w:hAnsi="David"/>
                <w:b/>
                <w:bCs/>
                <w:sz w:val="28"/>
                <w:szCs w:val="28"/>
                <w:rtl/>
              </w:rPr>
              <w:t>ת"פ 70876-12-20 מדינת ישראל נ' אסמאעיל</w:t>
            </w:r>
          </w:p>
        </w:tc>
        <w:tc>
          <w:tcPr>
            <w:tcW w:w="3664" w:type="dxa"/>
          </w:tcPr>
          <w:p w14:paraId="1A329B8D" w14:textId="77777777" w:rsidR="007E37EF" w:rsidRPr="007E72EC" w:rsidRDefault="007E37EF" w:rsidP="00644C8D">
            <w:pPr>
              <w:pStyle w:val="a3"/>
              <w:jc w:val="right"/>
              <w:rPr>
                <w:rFonts w:cs="FrankRuehl"/>
                <w:sz w:val="28"/>
                <w:szCs w:val="28"/>
                <w:rtl/>
              </w:rPr>
            </w:pPr>
          </w:p>
        </w:tc>
      </w:tr>
    </w:tbl>
    <w:p w14:paraId="1186FF82" w14:textId="77777777" w:rsidR="007E37EF" w:rsidRPr="007E72EC" w:rsidRDefault="007E37EF" w:rsidP="00FF4117">
      <w:pPr>
        <w:pStyle w:val="a3"/>
        <w:rPr>
          <w:sz w:val="26"/>
          <w:szCs w:val="26"/>
          <w:rtl/>
        </w:rPr>
      </w:pPr>
      <w:r w:rsidRPr="007E72E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E37EF" w:rsidRPr="007E72EC" w14:paraId="0B0B0EB3" w14:textId="77777777" w:rsidTr="007E37EF">
        <w:trPr>
          <w:trHeight w:val="295"/>
          <w:jc w:val="center"/>
        </w:trPr>
        <w:tc>
          <w:tcPr>
            <w:tcW w:w="923" w:type="dxa"/>
            <w:tcBorders>
              <w:top w:val="nil"/>
              <w:left w:val="nil"/>
              <w:bottom w:val="nil"/>
              <w:right w:val="nil"/>
            </w:tcBorders>
            <w:shd w:val="clear" w:color="auto" w:fill="auto"/>
          </w:tcPr>
          <w:p w14:paraId="0304E796" w14:textId="77777777" w:rsidR="007E37EF" w:rsidRPr="007E72EC" w:rsidRDefault="007E37EF" w:rsidP="007E37EF">
            <w:pPr>
              <w:jc w:val="both"/>
              <w:rPr>
                <w:rFonts w:ascii="David" w:hAnsi="David"/>
                <w:b/>
                <w:bCs/>
                <w:sz w:val="26"/>
                <w:szCs w:val="26"/>
              </w:rPr>
            </w:pPr>
            <w:r w:rsidRPr="007E72EC">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E35124C" w14:textId="77777777" w:rsidR="007E37EF" w:rsidRPr="007E72EC" w:rsidRDefault="007E37EF" w:rsidP="00644C8D">
            <w:pPr>
              <w:rPr>
                <w:rFonts w:ascii="David" w:hAnsi="David"/>
                <w:b/>
                <w:bCs/>
                <w:sz w:val="26"/>
                <w:szCs w:val="26"/>
                <w:rtl/>
              </w:rPr>
            </w:pPr>
            <w:r w:rsidRPr="007E72EC">
              <w:rPr>
                <w:rFonts w:ascii="David" w:hAnsi="David"/>
                <w:b/>
                <w:bCs/>
                <w:sz w:val="26"/>
                <w:szCs w:val="26"/>
                <w:rtl/>
              </w:rPr>
              <w:t>כבוד השופטת, סגנית הנשיא  ענת חולתא</w:t>
            </w:r>
          </w:p>
          <w:p w14:paraId="050BDF48" w14:textId="77777777" w:rsidR="007E37EF" w:rsidRPr="007E72EC" w:rsidRDefault="007E37EF" w:rsidP="00644C8D">
            <w:pPr>
              <w:rPr>
                <w:rFonts w:ascii="David" w:hAnsi="David"/>
                <w:b/>
                <w:bCs/>
                <w:sz w:val="26"/>
                <w:szCs w:val="26"/>
                <w:rtl/>
              </w:rPr>
            </w:pPr>
          </w:p>
          <w:p w14:paraId="33818654" w14:textId="77777777" w:rsidR="007E37EF" w:rsidRPr="007E72EC" w:rsidRDefault="007E37EF" w:rsidP="007E37EF">
            <w:pPr>
              <w:jc w:val="both"/>
              <w:rPr>
                <w:rFonts w:ascii="David" w:hAnsi="David"/>
                <w:b/>
                <w:bCs/>
                <w:sz w:val="26"/>
                <w:szCs w:val="26"/>
              </w:rPr>
            </w:pPr>
          </w:p>
        </w:tc>
      </w:tr>
      <w:tr w:rsidR="007E37EF" w:rsidRPr="007E72EC" w14:paraId="624F43CE" w14:textId="77777777" w:rsidTr="007E37EF">
        <w:trPr>
          <w:trHeight w:val="355"/>
          <w:jc w:val="center"/>
        </w:trPr>
        <w:tc>
          <w:tcPr>
            <w:tcW w:w="923" w:type="dxa"/>
            <w:tcBorders>
              <w:top w:val="nil"/>
              <w:left w:val="nil"/>
              <w:bottom w:val="nil"/>
              <w:right w:val="nil"/>
            </w:tcBorders>
            <w:shd w:val="clear" w:color="auto" w:fill="auto"/>
          </w:tcPr>
          <w:p w14:paraId="423F95C2" w14:textId="77777777" w:rsidR="007E37EF" w:rsidRPr="007E72EC" w:rsidRDefault="007E37EF" w:rsidP="007E37EF">
            <w:pPr>
              <w:jc w:val="both"/>
              <w:rPr>
                <w:rFonts w:ascii="David" w:hAnsi="David"/>
                <w:b/>
                <w:bCs/>
                <w:sz w:val="26"/>
                <w:szCs w:val="26"/>
              </w:rPr>
            </w:pPr>
            <w:bookmarkStart w:id="1" w:name="FirstAppellant"/>
            <w:bookmarkStart w:id="2" w:name="LastJudge"/>
            <w:bookmarkEnd w:id="2"/>
            <w:r w:rsidRPr="007E72EC">
              <w:rPr>
                <w:rFonts w:ascii="David" w:hAnsi="David"/>
                <w:b/>
                <w:bCs/>
                <w:sz w:val="26"/>
                <w:szCs w:val="26"/>
                <w:rtl/>
              </w:rPr>
              <w:t>בעניין:</w:t>
            </w:r>
          </w:p>
        </w:tc>
        <w:tc>
          <w:tcPr>
            <w:tcW w:w="3219" w:type="dxa"/>
            <w:tcBorders>
              <w:top w:val="nil"/>
              <w:left w:val="nil"/>
              <w:bottom w:val="nil"/>
              <w:right w:val="nil"/>
            </w:tcBorders>
            <w:shd w:val="clear" w:color="auto" w:fill="auto"/>
          </w:tcPr>
          <w:p w14:paraId="1C611E2D" w14:textId="77777777" w:rsidR="007E37EF" w:rsidRPr="007E72EC" w:rsidRDefault="007E37EF" w:rsidP="007E37EF">
            <w:pPr>
              <w:suppressLineNumbers/>
              <w:rPr>
                <w:b/>
                <w:bCs/>
              </w:rPr>
            </w:pPr>
            <w:r w:rsidRPr="007E72EC">
              <w:rPr>
                <w:rFonts w:ascii="Arial" w:hAnsi="Arial" w:hint="cs"/>
                <w:b/>
                <w:bCs/>
                <w:sz w:val="26"/>
                <w:szCs w:val="26"/>
                <w:rtl/>
              </w:rPr>
              <w:t>ה</w:t>
            </w:r>
            <w:r w:rsidRPr="007E72EC">
              <w:rPr>
                <w:rFonts w:ascii="Arial" w:hAnsi="Arial"/>
                <w:b/>
                <w:bCs/>
                <w:sz w:val="26"/>
                <w:szCs w:val="26"/>
                <w:rtl/>
              </w:rPr>
              <w:t>מאשימה</w:t>
            </w:r>
          </w:p>
          <w:p w14:paraId="54CF7100" w14:textId="77777777" w:rsidR="007E37EF" w:rsidRPr="007E72EC" w:rsidRDefault="007E37EF" w:rsidP="00644C8D">
            <w:pPr>
              <w:rPr>
                <w:rFonts w:ascii="David" w:hAnsi="David"/>
                <w:b/>
                <w:bCs/>
                <w:sz w:val="26"/>
                <w:szCs w:val="26"/>
              </w:rPr>
            </w:pPr>
          </w:p>
        </w:tc>
        <w:tc>
          <w:tcPr>
            <w:tcW w:w="4678" w:type="dxa"/>
            <w:tcBorders>
              <w:top w:val="nil"/>
              <w:left w:val="nil"/>
              <w:bottom w:val="nil"/>
              <w:right w:val="nil"/>
            </w:tcBorders>
            <w:shd w:val="clear" w:color="auto" w:fill="auto"/>
            <w:vAlign w:val="center"/>
          </w:tcPr>
          <w:p w14:paraId="352EDFDF" w14:textId="77777777" w:rsidR="007E37EF" w:rsidRPr="007E72EC" w:rsidRDefault="007E37EF" w:rsidP="007E37EF">
            <w:pPr>
              <w:suppressLineNumbers/>
              <w:rPr>
                <w:b/>
                <w:bCs/>
              </w:rPr>
            </w:pPr>
            <w:r w:rsidRPr="007E72EC">
              <w:rPr>
                <w:rFonts w:ascii="Arial" w:hAnsi="Arial"/>
                <w:b/>
                <w:bCs/>
                <w:sz w:val="26"/>
                <w:szCs w:val="26"/>
                <w:rtl/>
              </w:rPr>
              <w:t>מדינת ישראל</w:t>
            </w:r>
            <w:r w:rsidRPr="007E72EC">
              <w:rPr>
                <w:rFonts w:ascii="Arial" w:hAnsi="Arial" w:hint="cs"/>
                <w:b/>
                <w:bCs/>
                <w:sz w:val="26"/>
                <w:szCs w:val="26"/>
                <w:rtl/>
              </w:rPr>
              <w:t>-פמ"ד</w:t>
            </w:r>
            <w:r w:rsidRPr="007E72EC">
              <w:rPr>
                <w:rFonts w:ascii="Arial" w:hAnsi="Arial"/>
                <w:b/>
                <w:bCs/>
                <w:sz w:val="26"/>
                <w:szCs w:val="26"/>
                <w:rtl/>
              </w:rPr>
              <w:br/>
              <w:t>ע"י ב"כ עו"ד</w:t>
            </w:r>
            <w:r w:rsidRPr="007E72EC">
              <w:rPr>
                <w:rFonts w:ascii="Arial" w:hAnsi="Arial" w:hint="cs"/>
                <w:b/>
                <w:bCs/>
                <w:sz w:val="26"/>
                <w:szCs w:val="26"/>
                <w:rtl/>
              </w:rPr>
              <w:t xml:space="preserve"> נתנאל סאלי אביטל</w:t>
            </w:r>
          </w:p>
        </w:tc>
      </w:tr>
      <w:bookmarkEnd w:id="1"/>
      <w:tr w:rsidR="007E37EF" w:rsidRPr="007E72EC" w14:paraId="3B493FC0" w14:textId="77777777" w:rsidTr="007E37EF">
        <w:trPr>
          <w:trHeight w:val="588"/>
          <w:jc w:val="center"/>
        </w:trPr>
        <w:tc>
          <w:tcPr>
            <w:tcW w:w="923" w:type="dxa"/>
            <w:tcBorders>
              <w:top w:val="nil"/>
              <w:left w:val="nil"/>
              <w:bottom w:val="nil"/>
              <w:right w:val="nil"/>
            </w:tcBorders>
            <w:shd w:val="clear" w:color="auto" w:fill="auto"/>
          </w:tcPr>
          <w:p w14:paraId="15E90EDB" w14:textId="77777777" w:rsidR="007E37EF" w:rsidRPr="007E72EC" w:rsidRDefault="007E37EF" w:rsidP="007E37E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8EB92F2" w14:textId="77777777" w:rsidR="007E37EF" w:rsidRPr="007E72EC" w:rsidRDefault="007E37EF" w:rsidP="007E37EF">
            <w:pPr>
              <w:jc w:val="center"/>
              <w:rPr>
                <w:rFonts w:ascii="David" w:hAnsi="David"/>
                <w:b/>
                <w:bCs/>
                <w:sz w:val="26"/>
                <w:szCs w:val="26"/>
                <w:rtl/>
              </w:rPr>
            </w:pPr>
          </w:p>
          <w:p w14:paraId="707107E8" w14:textId="77777777" w:rsidR="007E37EF" w:rsidRPr="007E72EC" w:rsidRDefault="007E37EF" w:rsidP="007E37EF">
            <w:pPr>
              <w:jc w:val="center"/>
              <w:rPr>
                <w:rFonts w:ascii="David" w:hAnsi="David"/>
                <w:b/>
                <w:bCs/>
                <w:sz w:val="26"/>
                <w:szCs w:val="26"/>
              </w:rPr>
            </w:pPr>
            <w:r w:rsidRPr="007E72EC">
              <w:rPr>
                <w:rFonts w:ascii="David" w:hAnsi="David"/>
                <w:b/>
                <w:bCs/>
                <w:sz w:val="26"/>
                <w:szCs w:val="26"/>
                <w:rtl/>
              </w:rPr>
              <w:t>נגד</w:t>
            </w:r>
          </w:p>
        </w:tc>
      </w:tr>
      <w:tr w:rsidR="007E37EF" w:rsidRPr="007E72EC" w14:paraId="3B9F8FD2" w14:textId="77777777" w:rsidTr="007E37EF">
        <w:trPr>
          <w:trHeight w:val="355"/>
          <w:jc w:val="center"/>
        </w:trPr>
        <w:tc>
          <w:tcPr>
            <w:tcW w:w="923" w:type="dxa"/>
            <w:tcBorders>
              <w:top w:val="nil"/>
              <w:left w:val="nil"/>
              <w:bottom w:val="nil"/>
              <w:right w:val="nil"/>
            </w:tcBorders>
            <w:shd w:val="clear" w:color="auto" w:fill="auto"/>
          </w:tcPr>
          <w:p w14:paraId="041F74F5" w14:textId="77777777" w:rsidR="007E37EF" w:rsidRPr="007E72EC" w:rsidRDefault="007E37EF" w:rsidP="00644C8D">
            <w:pPr>
              <w:rPr>
                <w:rFonts w:ascii="David" w:hAnsi="David"/>
                <w:b/>
                <w:bCs/>
                <w:sz w:val="26"/>
                <w:szCs w:val="26"/>
                <w:rtl/>
              </w:rPr>
            </w:pPr>
          </w:p>
        </w:tc>
        <w:tc>
          <w:tcPr>
            <w:tcW w:w="3219" w:type="dxa"/>
            <w:tcBorders>
              <w:top w:val="nil"/>
              <w:left w:val="nil"/>
              <w:bottom w:val="nil"/>
              <w:right w:val="nil"/>
            </w:tcBorders>
            <w:shd w:val="clear" w:color="auto" w:fill="auto"/>
          </w:tcPr>
          <w:p w14:paraId="45D68411" w14:textId="77777777" w:rsidR="007E37EF" w:rsidRPr="007E72EC" w:rsidRDefault="007E37EF" w:rsidP="00644C8D">
            <w:pPr>
              <w:rPr>
                <w:rFonts w:ascii="Arial" w:hAnsi="Arial"/>
                <w:b/>
                <w:bCs/>
                <w:sz w:val="26"/>
                <w:szCs w:val="26"/>
                <w:rtl/>
              </w:rPr>
            </w:pPr>
            <w:r w:rsidRPr="007E72E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1954855" w14:textId="77777777" w:rsidR="007E37EF" w:rsidRPr="007E72EC" w:rsidRDefault="007E37EF" w:rsidP="007E37EF">
            <w:pPr>
              <w:suppressLineNumbers/>
              <w:rPr>
                <w:rFonts w:ascii="Arial" w:hAnsi="Arial"/>
                <w:b/>
                <w:bCs/>
                <w:sz w:val="26"/>
                <w:szCs w:val="26"/>
                <w:rtl/>
              </w:rPr>
            </w:pPr>
            <w:r w:rsidRPr="007E72EC">
              <w:rPr>
                <w:rFonts w:ascii="Arial" w:hAnsi="Arial"/>
                <w:b/>
                <w:bCs/>
                <w:sz w:val="26"/>
                <w:szCs w:val="26"/>
                <w:rtl/>
              </w:rPr>
              <w:t>באסם אסמאעיל</w:t>
            </w:r>
            <w:r w:rsidRPr="007E72EC">
              <w:rPr>
                <w:rFonts w:ascii="Arial" w:hAnsi="Arial" w:hint="cs"/>
                <w:b/>
                <w:bCs/>
                <w:sz w:val="26"/>
                <w:szCs w:val="26"/>
                <w:rtl/>
              </w:rPr>
              <w:t xml:space="preserve">-בעצמו </w:t>
            </w:r>
          </w:p>
          <w:p w14:paraId="6704BBA5" w14:textId="77777777" w:rsidR="007E37EF" w:rsidRPr="007E72EC" w:rsidRDefault="007E37EF" w:rsidP="007E37EF">
            <w:pPr>
              <w:suppressLineNumbers/>
              <w:rPr>
                <w:b/>
                <w:bCs/>
              </w:rPr>
            </w:pPr>
            <w:r w:rsidRPr="007E72EC">
              <w:rPr>
                <w:rFonts w:ascii="Arial" w:hAnsi="Arial"/>
                <w:b/>
                <w:bCs/>
                <w:sz w:val="26"/>
                <w:szCs w:val="26"/>
                <w:rtl/>
              </w:rPr>
              <w:t>ע"י ב"כ עו"ד</w:t>
            </w:r>
            <w:r w:rsidRPr="007E72EC">
              <w:rPr>
                <w:rFonts w:hint="cs"/>
                <w:b/>
                <w:bCs/>
                <w:rtl/>
              </w:rPr>
              <w:t xml:space="preserve"> רן אבינועם</w:t>
            </w:r>
          </w:p>
        </w:tc>
      </w:tr>
    </w:tbl>
    <w:p w14:paraId="735D2DD3" w14:textId="77777777" w:rsidR="00FF4117" w:rsidRDefault="00FF4117" w:rsidP="007E37EF">
      <w:pPr>
        <w:rPr>
          <w:sz w:val="26"/>
          <w:szCs w:val="26"/>
          <w:rtl/>
        </w:rPr>
      </w:pPr>
    </w:p>
    <w:p w14:paraId="58B3DCE1" w14:textId="77777777" w:rsidR="00FF4117" w:rsidRPr="00FF4117" w:rsidRDefault="00FF4117" w:rsidP="00FF4117">
      <w:pPr>
        <w:spacing w:after="120" w:line="240" w:lineRule="exact"/>
        <w:ind w:left="283" w:hanging="283"/>
        <w:jc w:val="both"/>
        <w:rPr>
          <w:rFonts w:ascii="FrankRuehl" w:hAnsi="FrankRuehl" w:cs="FrankRuehl"/>
          <w:rtl/>
        </w:rPr>
      </w:pPr>
    </w:p>
    <w:p w14:paraId="072D8CDE" w14:textId="77777777" w:rsidR="0041502A" w:rsidRPr="0041502A" w:rsidRDefault="0041502A" w:rsidP="0041502A">
      <w:pPr>
        <w:spacing w:before="120" w:after="120" w:line="240" w:lineRule="exact"/>
        <w:ind w:left="283" w:hanging="283"/>
        <w:jc w:val="both"/>
        <w:rPr>
          <w:rFonts w:ascii="FrankRuehl" w:hAnsi="FrankRuehl" w:cs="FrankRuehl"/>
          <w:rtl/>
        </w:rPr>
      </w:pPr>
    </w:p>
    <w:p w14:paraId="7981CE0D" w14:textId="77777777" w:rsidR="0092339D" w:rsidRDefault="0092339D" w:rsidP="0092339D">
      <w:pPr>
        <w:spacing w:after="160" w:line="360" w:lineRule="auto"/>
        <w:jc w:val="both"/>
        <w:rPr>
          <w:rFonts w:ascii="David" w:hAnsi="David"/>
          <w:rtl/>
        </w:rPr>
      </w:pPr>
      <w:bookmarkStart w:id="3" w:name="LawTable"/>
      <w:bookmarkEnd w:id="3"/>
    </w:p>
    <w:p w14:paraId="03CACBC7" w14:textId="77777777" w:rsidR="0092339D" w:rsidRPr="0092339D" w:rsidRDefault="0092339D" w:rsidP="0092339D">
      <w:pPr>
        <w:spacing w:before="120" w:after="120" w:line="240" w:lineRule="exact"/>
        <w:ind w:left="283" w:hanging="283"/>
        <w:jc w:val="both"/>
        <w:rPr>
          <w:rFonts w:ascii="FrankRuehl" w:hAnsi="FrankRuehl" w:cs="FrankRuehl"/>
          <w:rtl/>
        </w:rPr>
      </w:pPr>
    </w:p>
    <w:p w14:paraId="15F838EF" w14:textId="77777777" w:rsidR="0092339D" w:rsidRPr="0092339D" w:rsidRDefault="0092339D" w:rsidP="0092339D">
      <w:pPr>
        <w:spacing w:before="120" w:after="120" w:line="240" w:lineRule="exact"/>
        <w:ind w:left="283" w:hanging="283"/>
        <w:jc w:val="both"/>
        <w:rPr>
          <w:rFonts w:ascii="FrankRuehl" w:hAnsi="FrankRuehl" w:cs="FrankRuehl"/>
          <w:rtl/>
        </w:rPr>
      </w:pPr>
    </w:p>
    <w:p w14:paraId="6EACDFAB" w14:textId="77777777" w:rsidR="0092339D" w:rsidRPr="0092339D" w:rsidRDefault="0092339D" w:rsidP="0092339D">
      <w:pPr>
        <w:spacing w:before="120" w:after="120" w:line="240" w:lineRule="exact"/>
        <w:ind w:left="283" w:hanging="283"/>
        <w:jc w:val="both"/>
        <w:rPr>
          <w:rFonts w:ascii="FrankRuehl" w:hAnsi="FrankRuehl" w:cs="FrankRuehl"/>
          <w:rtl/>
        </w:rPr>
      </w:pPr>
      <w:r w:rsidRPr="0092339D">
        <w:rPr>
          <w:rFonts w:ascii="FrankRuehl" w:hAnsi="FrankRuehl" w:cs="FrankRuehl"/>
          <w:rtl/>
        </w:rPr>
        <w:t xml:space="preserve">חקיקה שאוזכרה: </w:t>
      </w:r>
    </w:p>
    <w:p w14:paraId="790DA1D2" w14:textId="77777777" w:rsidR="0092339D" w:rsidRPr="0092339D" w:rsidRDefault="0092339D" w:rsidP="0092339D">
      <w:pPr>
        <w:spacing w:before="120" w:after="120" w:line="240" w:lineRule="exact"/>
        <w:ind w:left="283" w:hanging="283"/>
        <w:jc w:val="both"/>
        <w:rPr>
          <w:rFonts w:ascii="FrankRuehl" w:hAnsi="FrankRuehl" w:cs="FrankRuehl"/>
          <w:rtl/>
        </w:rPr>
      </w:pPr>
      <w:hyperlink r:id="rId7" w:history="1">
        <w:r w:rsidRPr="0092339D">
          <w:rPr>
            <w:rFonts w:ascii="FrankRuehl" w:hAnsi="FrankRuehl" w:cs="FrankRuehl"/>
            <w:color w:val="0000FF"/>
            <w:rtl/>
          </w:rPr>
          <w:t>פקודת הסמים המסוכנים [נוסח חדש], תשל"ג-1973</w:t>
        </w:r>
      </w:hyperlink>
      <w:r w:rsidRPr="0092339D">
        <w:rPr>
          <w:rFonts w:ascii="FrankRuehl" w:hAnsi="FrankRuehl" w:cs="FrankRuehl"/>
          <w:rtl/>
        </w:rPr>
        <w:t xml:space="preserve">: סע'  </w:t>
      </w:r>
      <w:hyperlink r:id="rId8" w:history="1">
        <w:r w:rsidRPr="0092339D">
          <w:rPr>
            <w:rFonts w:ascii="FrankRuehl" w:hAnsi="FrankRuehl" w:cs="FrankRuehl"/>
            <w:color w:val="0000FF"/>
            <w:rtl/>
          </w:rPr>
          <w:t>7(א)</w:t>
        </w:r>
      </w:hyperlink>
      <w:r w:rsidRPr="0092339D">
        <w:rPr>
          <w:rFonts w:ascii="FrankRuehl" w:hAnsi="FrankRuehl" w:cs="FrankRuehl"/>
          <w:rtl/>
        </w:rPr>
        <w:t xml:space="preserve">, </w:t>
      </w:r>
      <w:hyperlink r:id="rId9" w:history="1">
        <w:r w:rsidRPr="0092339D">
          <w:rPr>
            <w:rFonts w:ascii="FrankRuehl" w:hAnsi="FrankRuehl" w:cs="FrankRuehl"/>
            <w:color w:val="0000FF"/>
            <w:rtl/>
          </w:rPr>
          <w:t>7(ג)</w:t>
        </w:r>
      </w:hyperlink>
      <w:r w:rsidRPr="0092339D">
        <w:rPr>
          <w:rFonts w:ascii="FrankRuehl" w:hAnsi="FrankRuehl" w:cs="FrankRuehl"/>
          <w:rtl/>
        </w:rPr>
        <w:t xml:space="preserve">, </w:t>
      </w:r>
      <w:hyperlink r:id="rId10" w:history="1">
        <w:r w:rsidRPr="0092339D">
          <w:rPr>
            <w:rFonts w:ascii="FrankRuehl" w:hAnsi="FrankRuehl" w:cs="FrankRuehl"/>
            <w:color w:val="0000FF"/>
            <w:rtl/>
          </w:rPr>
          <w:t>10</w:t>
        </w:r>
      </w:hyperlink>
    </w:p>
    <w:p w14:paraId="1B05FB7D" w14:textId="77777777" w:rsidR="0092339D" w:rsidRPr="0092339D" w:rsidRDefault="0092339D" w:rsidP="0092339D">
      <w:pPr>
        <w:spacing w:before="120" w:after="120" w:line="240" w:lineRule="exact"/>
        <w:ind w:left="283" w:hanging="283"/>
        <w:jc w:val="both"/>
        <w:rPr>
          <w:rFonts w:ascii="FrankRuehl" w:hAnsi="FrankRuehl" w:cs="FrankRuehl"/>
          <w:rtl/>
        </w:rPr>
      </w:pPr>
      <w:hyperlink r:id="rId11" w:history="1">
        <w:r w:rsidRPr="0092339D">
          <w:rPr>
            <w:rFonts w:ascii="FrankRuehl" w:hAnsi="FrankRuehl" w:cs="FrankRuehl"/>
            <w:color w:val="0000FF"/>
            <w:rtl/>
          </w:rPr>
          <w:t>חוק העונשין, תשל"ז-1977</w:t>
        </w:r>
      </w:hyperlink>
      <w:r w:rsidRPr="0092339D">
        <w:rPr>
          <w:rFonts w:ascii="FrankRuehl" w:hAnsi="FrankRuehl" w:cs="FrankRuehl"/>
          <w:rtl/>
        </w:rPr>
        <w:t xml:space="preserve">: סע'  </w:t>
      </w:r>
      <w:hyperlink r:id="rId12" w:history="1">
        <w:r w:rsidRPr="0092339D">
          <w:rPr>
            <w:rFonts w:ascii="FrankRuehl" w:hAnsi="FrankRuehl" w:cs="FrankRuehl"/>
            <w:color w:val="0000FF"/>
            <w:rtl/>
          </w:rPr>
          <w:t>30</w:t>
        </w:r>
      </w:hyperlink>
      <w:r w:rsidRPr="0092339D">
        <w:rPr>
          <w:rFonts w:ascii="FrankRuehl" w:hAnsi="FrankRuehl" w:cs="FrankRuehl"/>
          <w:rtl/>
        </w:rPr>
        <w:t xml:space="preserve">, </w:t>
      </w:r>
      <w:hyperlink r:id="rId13" w:history="1">
        <w:r w:rsidRPr="0092339D">
          <w:rPr>
            <w:rFonts w:ascii="FrankRuehl" w:hAnsi="FrankRuehl" w:cs="FrankRuehl"/>
            <w:color w:val="0000FF"/>
            <w:rtl/>
          </w:rPr>
          <w:t>242</w:t>
        </w:r>
      </w:hyperlink>
    </w:p>
    <w:p w14:paraId="4F8DAA2C" w14:textId="77777777" w:rsidR="0092339D" w:rsidRPr="0092339D" w:rsidRDefault="0092339D" w:rsidP="0092339D">
      <w:pPr>
        <w:spacing w:after="160" w:line="360" w:lineRule="auto"/>
        <w:jc w:val="both"/>
        <w:rPr>
          <w:rFonts w:ascii="David" w:hAnsi="David"/>
          <w:rtl/>
        </w:rPr>
      </w:pPr>
      <w:bookmarkStart w:id="4" w:name="LawTable_End"/>
      <w:bookmarkEnd w:id="4"/>
    </w:p>
    <w:p w14:paraId="08C649EE" w14:textId="77777777" w:rsidR="007E37EF" w:rsidRPr="0041502A" w:rsidRDefault="007E37EF" w:rsidP="0041502A">
      <w:pPr>
        <w:spacing w:after="160"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37EF" w14:paraId="4262828A" w14:textId="77777777" w:rsidTr="007E37EF">
        <w:trPr>
          <w:trHeight w:val="355"/>
          <w:jc w:val="center"/>
        </w:trPr>
        <w:tc>
          <w:tcPr>
            <w:tcW w:w="8820" w:type="dxa"/>
            <w:tcBorders>
              <w:top w:val="nil"/>
              <w:left w:val="nil"/>
              <w:bottom w:val="nil"/>
              <w:right w:val="nil"/>
            </w:tcBorders>
            <w:shd w:val="clear" w:color="auto" w:fill="auto"/>
          </w:tcPr>
          <w:p w14:paraId="3A0EF12C" w14:textId="77777777" w:rsidR="007E72EC" w:rsidRPr="007E72EC" w:rsidRDefault="007E72EC" w:rsidP="007E72EC">
            <w:pPr>
              <w:jc w:val="center"/>
              <w:rPr>
                <w:rFonts w:ascii="David" w:hAnsi="David"/>
                <w:b/>
                <w:bCs/>
                <w:sz w:val="32"/>
                <w:szCs w:val="32"/>
                <w:u w:val="single"/>
                <w:rtl/>
              </w:rPr>
            </w:pPr>
            <w:bookmarkStart w:id="5" w:name="PsakDin" w:colFirst="0" w:colLast="0"/>
            <w:bookmarkEnd w:id="0"/>
            <w:r w:rsidRPr="007E72EC">
              <w:rPr>
                <w:rFonts w:ascii="David" w:hAnsi="David"/>
                <w:b/>
                <w:bCs/>
                <w:sz w:val="32"/>
                <w:szCs w:val="32"/>
                <w:u w:val="single"/>
                <w:rtl/>
              </w:rPr>
              <w:t>גזר דין</w:t>
            </w:r>
          </w:p>
          <w:p w14:paraId="6A470A49" w14:textId="77777777" w:rsidR="007E37EF" w:rsidRPr="007E72EC" w:rsidRDefault="007E37EF" w:rsidP="007E72EC">
            <w:pPr>
              <w:jc w:val="center"/>
              <w:rPr>
                <w:rFonts w:ascii="David" w:hAnsi="David"/>
                <w:bCs/>
                <w:sz w:val="32"/>
                <w:szCs w:val="32"/>
                <w:u w:val="single"/>
                <w:rtl/>
              </w:rPr>
            </w:pPr>
          </w:p>
        </w:tc>
      </w:tr>
    </w:tbl>
    <w:bookmarkEnd w:id="5"/>
    <w:p w14:paraId="5836B0D0" w14:textId="77777777" w:rsidR="007E37EF" w:rsidRPr="004F2465" w:rsidRDefault="007E37EF" w:rsidP="007E37EF">
      <w:pPr>
        <w:spacing w:after="160" w:line="360" w:lineRule="auto"/>
        <w:jc w:val="both"/>
        <w:rPr>
          <w:rFonts w:ascii="David" w:hAnsi="David"/>
          <w:b/>
          <w:bCs/>
          <w:u w:val="single"/>
          <w:rtl/>
        </w:rPr>
      </w:pPr>
      <w:r w:rsidRPr="004F2465">
        <w:rPr>
          <w:rFonts w:ascii="David" w:hAnsi="David"/>
          <w:b/>
          <w:bCs/>
          <w:u w:val="single"/>
          <w:rtl/>
        </w:rPr>
        <w:t>רקע:</w:t>
      </w:r>
    </w:p>
    <w:p w14:paraId="4529FCBF" w14:textId="77777777" w:rsidR="007E37EF" w:rsidRPr="004F2465" w:rsidRDefault="007E37EF" w:rsidP="007E37EF">
      <w:pPr>
        <w:numPr>
          <w:ilvl w:val="0"/>
          <w:numId w:val="1"/>
        </w:numPr>
        <w:spacing w:after="160" w:line="360" w:lineRule="auto"/>
        <w:contextualSpacing/>
        <w:jc w:val="both"/>
        <w:rPr>
          <w:rFonts w:ascii="David" w:hAnsi="David"/>
        </w:rPr>
      </w:pPr>
      <w:bookmarkStart w:id="6" w:name="ABSTRACT_START"/>
      <w:bookmarkEnd w:id="6"/>
      <w:r w:rsidRPr="004F2465">
        <w:rPr>
          <w:rFonts w:ascii="David" w:hAnsi="David"/>
          <w:rtl/>
        </w:rPr>
        <w:t xml:space="preserve">ביום 14.02.2022 הנאשם הורשע על-פי הודאתו בכתב האישום המתוקן במסגרת הסדר טיעון בעבירות של </w:t>
      </w:r>
      <w:r w:rsidRPr="004F2465">
        <w:rPr>
          <w:rFonts w:ascii="David" w:hAnsi="David"/>
          <w:b/>
          <w:bCs/>
          <w:rtl/>
        </w:rPr>
        <w:t>החזקת סם מסוכן שלא לצריכה עצמית</w:t>
      </w:r>
      <w:r w:rsidRPr="004F2465">
        <w:rPr>
          <w:rFonts w:ascii="David" w:hAnsi="David"/>
          <w:rtl/>
        </w:rPr>
        <w:t xml:space="preserve"> –לפי </w:t>
      </w:r>
      <w:hyperlink r:id="rId14" w:history="1">
        <w:r w:rsidR="00FF4117" w:rsidRPr="00FF4117">
          <w:rPr>
            <w:rStyle w:val="Hyperlink"/>
            <w:rFonts w:ascii="David" w:hAnsi="David"/>
            <w:rtl/>
          </w:rPr>
          <w:t>סעיף 7(א)</w:t>
        </w:r>
      </w:hyperlink>
      <w:r w:rsidRPr="004F2465">
        <w:rPr>
          <w:rFonts w:ascii="David" w:hAnsi="David"/>
          <w:rtl/>
        </w:rPr>
        <w:t xml:space="preserve"> + </w:t>
      </w:r>
      <w:hyperlink r:id="rId15" w:history="1">
        <w:r w:rsidR="00FF4117" w:rsidRPr="00FF4117">
          <w:rPr>
            <w:rStyle w:val="Hyperlink"/>
            <w:rFonts w:ascii="David" w:hAnsi="David"/>
            <w:rtl/>
          </w:rPr>
          <w:t>7(ג)</w:t>
        </w:r>
      </w:hyperlink>
      <w:r w:rsidRPr="004F2465">
        <w:rPr>
          <w:rFonts w:ascii="David" w:hAnsi="David"/>
          <w:rtl/>
        </w:rPr>
        <w:t xml:space="preserve"> רישא ל</w:t>
      </w:r>
      <w:hyperlink r:id="rId16" w:history="1">
        <w:r w:rsidR="007E72EC" w:rsidRPr="007E72EC">
          <w:rPr>
            <w:rFonts w:ascii="David" w:hAnsi="David"/>
            <w:color w:val="0000FF"/>
            <w:u w:val="single"/>
            <w:rtl/>
          </w:rPr>
          <w:t>פקודת הסמים המסוכנים</w:t>
        </w:r>
      </w:hyperlink>
      <w:r w:rsidRPr="004F2465">
        <w:rPr>
          <w:rFonts w:ascii="David" w:hAnsi="David"/>
          <w:rtl/>
        </w:rPr>
        <w:t xml:space="preserve"> [נוסח חדש], התשל"ג – 1973 (להלן: "הפקודה"), </w:t>
      </w:r>
      <w:r w:rsidRPr="004F2465">
        <w:rPr>
          <w:rFonts w:ascii="David" w:hAnsi="David"/>
          <w:b/>
          <w:bCs/>
          <w:rtl/>
        </w:rPr>
        <w:t>החזקת כלים</w:t>
      </w:r>
      <w:r w:rsidRPr="004F2465">
        <w:rPr>
          <w:rFonts w:ascii="David" w:hAnsi="David"/>
          <w:rtl/>
        </w:rPr>
        <w:t xml:space="preserve"> - לפי </w:t>
      </w:r>
      <w:hyperlink r:id="rId17" w:history="1">
        <w:r w:rsidR="00FF4117" w:rsidRPr="00FF4117">
          <w:rPr>
            <w:rStyle w:val="Hyperlink"/>
            <w:rFonts w:ascii="David" w:hAnsi="David"/>
            <w:rtl/>
          </w:rPr>
          <w:t>סעיף 10</w:t>
        </w:r>
      </w:hyperlink>
      <w:r w:rsidRPr="004F2465">
        <w:rPr>
          <w:rFonts w:ascii="David" w:hAnsi="David"/>
          <w:rtl/>
        </w:rPr>
        <w:t xml:space="preserve"> לפקודה, </w:t>
      </w:r>
      <w:r w:rsidRPr="004F2465">
        <w:rPr>
          <w:rFonts w:ascii="David" w:hAnsi="David"/>
          <w:b/>
          <w:bCs/>
          <w:rtl/>
        </w:rPr>
        <w:t>שידול להשמדת ראיה</w:t>
      </w:r>
      <w:r w:rsidRPr="004F2465">
        <w:rPr>
          <w:rFonts w:ascii="David" w:hAnsi="David"/>
          <w:rtl/>
        </w:rPr>
        <w:t xml:space="preserve"> –לפי </w:t>
      </w:r>
      <w:hyperlink r:id="rId18" w:history="1">
        <w:r w:rsidR="00FF4117" w:rsidRPr="00FF4117">
          <w:rPr>
            <w:rStyle w:val="Hyperlink"/>
            <w:rFonts w:ascii="David" w:hAnsi="David"/>
            <w:rtl/>
          </w:rPr>
          <w:t>סעיף 242</w:t>
        </w:r>
      </w:hyperlink>
      <w:r w:rsidRPr="004F2465">
        <w:rPr>
          <w:rFonts w:ascii="David" w:hAnsi="David"/>
          <w:rtl/>
        </w:rPr>
        <w:t xml:space="preserve"> + סעיף </w:t>
      </w:r>
      <w:hyperlink r:id="rId19" w:history="1">
        <w:r w:rsidR="00FF4117" w:rsidRPr="00FF4117">
          <w:rPr>
            <w:rStyle w:val="Hyperlink"/>
            <w:rFonts w:ascii="David" w:hAnsi="David"/>
            <w:rtl/>
          </w:rPr>
          <w:t>30</w:t>
        </w:r>
      </w:hyperlink>
      <w:r w:rsidRPr="004F2465">
        <w:rPr>
          <w:rFonts w:ascii="David" w:hAnsi="David"/>
          <w:rtl/>
        </w:rPr>
        <w:t xml:space="preserve"> ל</w:t>
      </w:r>
      <w:hyperlink r:id="rId20" w:history="1">
        <w:r w:rsidR="007E72EC" w:rsidRPr="007E72EC">
          <w:rPr>
            <w:rFonts w:ascii="David" w:hAnsi="David"/>
            <w:color w:val="0000FF"/>
            <w:u w:val="single"/>
            <w:rtl/>
          </w:rPr>
          <w:t>חוק העונשין</w:t>
        </w:r>
      </w:hyperlink>
      <w:r w:rsidRPr="004F2465">
        <w:rPr>
          <w:rFonts w:ascii="David" w:hAnsi="David"/>
          <w:rtl/>
        </w:rPr>
        <w:t xml:space="preserve">, התשל"ז-1977. </w:t>
      </w:r>
    </w:p>
    <w:p w14:paraId="76D1F56A" w14:textId="77777777" w:rsidR="007E37EF" w:rsidRPr="004F2465" w:rsidRDefault="007E37EF" w:rsidP="007E37EF">
      <w:pPr>
        <w:numPr>
          <w:ilvl w:val="0"/>
          <w:numId w:val="1"/>
        </w:numPr>
        <w:spacing w:after="160" w:line="360" w:lineRule="auto"/>
        <w:contextualSpacing/>
        <w:jc w:val="both"/>
        <w:rPr>
          <w:rFonts w:ascii="David" w:hAnsi="David"/>
        </w:rPr>
      </w:pPr>
      <w:bookmarkStart w:id="7" w:name="ABSTRACT_END"/>
      <w:bookmarkEnd w:id="7"/>
      <w:r w:rsidRPr="004F2465">
        <w:rPr>
          <w:rFonts w:ascii="David" w:hAnsi="David"/>
          <w:rtl/>
        </w:rPr>
        <w:t>על פי כתב האישום המתוקן, החל מתאריך שאינו ידוע במדויק למאשימה ועד לתאריך 15.12.20 בסמוך לשעה 20:00, החזיק הנאשם בדירה בה התגורר יחד עם מהראן כריים ברחוב לוס אנגל'ס 1107 דירה 24 באילת (להלן: "</w:t>
      </w:r>
      <w:r w:rsidRPr="004F2465">
        <w:rPr>
          <w:rFonts w:ascii="David" w:hAnsi="David"/>
          <w:b/>
          <w:bCs/>
          <w:rtl/>
        </w:rPr>
        <w:t>הדירה</w:t>
      </w:r>
      <w:r w:rsidRPr="004F2465">
        <w:rPr>
          <w:rFonts w:ascii="David" w:hAnsi="David"/>
          <w:rtl/>
        </w:rPr>
        <w:t>" ו"</w:t>
      </w:r>
      <w:r w:rsidRPr="004F2465">
        <w:rPr>
          <w:rFonts w:ascii="David" w:hAnsi="David"/>
          <w:b/>
          <w:bCs/>
          <w:rtl/>
        </w:rPr>
        <w:t>מהראן</w:t>
      </w:r>
      <w:r w:rsidRPr="004F2465">
        <w:rPr>
          <w:rFonts w:ascii="David" w:hAnsi="David"/>
          <w:rtl/>
        </w:rPr>
        <w:t xml:space="preserve">") שקית שהכילה סם מסוכן מסוג קוקאין במשקל 23.6202 גרם, 5 גרם מתוכם לשימושו העצמי והיתר שלא </w:t>
      </w:r>
      <w:r w:rsidRPr="004F2465">
        <w:rPr>
          <w:rFonts w:ascii="David" w:hAnsi="David"/>
          <w:rtl/>
        </w:rPr>
        <w:lastRenderedPageBreak/>
        <w:t xml:space="preserve">לשימוש עצמי וללא היתר כדין (להלן: "הסם"). בנוסף לכך, הנאשם החזיק בדירה משקל דיגיטלי. </w:t>
      </w:r>
    </w:p>
    <w:p w14:paraId="6FC0CF07" w14:textId="77777777" w:rsidR="007E37EF" w:rsidRPr="004F2465" w:rsidRDefault="007E37EF" w:rsidP="007E37EF">
      <w:pPr>
        <w:spacing w:after="160" w:line="360" w:lineRule="auto"/>
        <w:ind w:left="720"/>
        <w:contextualSpacing/>
        <w:jc w:val="both"/>
        <w:rPr>
          <w:rFonts w:ascii="David" w:hAnsi="David"/>
        </w:rPr>
      </w:pPr>
      <w:r w:rsidRPr="004F2465">
        <w:rPr>
          <w:rFonts w:ascii="David" w:hAnsi="David"/>
          <w:rtl/>
        </w:rPr>
        <w:t xml:space="preserve">במועד הנ"ל או בסמוך לכך, כאשר הנאשם שהה מחוץ לדירה, נודע לו כי בקרוב עלול להתבצע חיפוש משטרתי בדירה. בעקבות כך, הנאשם התקשר אל מהראן וביקש ממנו ליטול  את הסם והמשקל מחדרו של הנאשם, להוציאם מהדירה ולהעלימם מהשוטרים, וזאת כשהוא יודע שהם עשויים להיות דרושים בהליך שיפוטי לראיה וזאת כדי למנוע את השימוש בהם כראיה. </w:t>
      </w:r>
    </w:p>
    <w:p w14:paraId="52D3328F" w14:textId="77777777" w:rsidR="007E37EF" w:rsidRPr="004F2465" w:rsidRDefault="007E37EF" w:rsidP="007E37EF">
      <w:pPr>
        <w:spacing w:after="160" w:line="360" w:lineRule="auto"/>
        <w:ind w:left="720"/>
        <w:contextualSpacing/>
        <w:jc w:val="both"/>
        <w:rPr>
          <w:rFonts w:ascii="David" w:hAnsi="David"/>
          <w:rtl/>
        </w:rPr>
      </w:pPr>
      <w:r w:rsidRPr="004F2465">
        <w:rPr>
          <w:rFonts w:ascii="David" w:hAnsi="David"/>
          <w:rtl/>
        </w:rPr>
        <w:t>בעקבות בקשתו של הנאשם, נטל מהראן מחדרו של הנאשם בדירה את הסם ואת המשקל ויצא עמם מהדירה במטרה להעלימם, אך נעצר על-ידי השוטרים בטרם עלה הדבר בידו.</w:t>
      </w:r>
    </w:p>
    <w:p w14:paraId="0B476AE6" w14:textId="77777777" w:rsidR="007E37EF" w:rsidRPr="004F2465" w:rsidRDefault="007E37EF" w:rsidP="007E37EF">
      <w:pPr>
        <w:spacing w:after="160"/>
        <w:ind w:left="720"/>
        <w:contextualSpacing/>
        <w:jc w:val="both"/>
        <w:rPr>
          <w:rFonts w:ascii="David" w:hAnsi="David"/>
        </w:rPr>
      </w:pPr>
    </w:p>
    <w:p w14:paraId="4DDCAFF4" w14:textId="77777777" w:rsidR="007E37EF" w:rsidRPr="004F2465" w:rsidRDefault="007E37EF" w:rsidP="007E37EF">
      <w:pPr>
        <w:numPr>
          <w:ilvl w:val="0"/>
          <w:numId w:val="1"/>
        </w:numPr>
        <w:spacing w:after="160" w:line="360" w:lineRule="auto"/>
        <w:contextualSpacing/>
        <w:jc w:val="both"/>
        <w:rPr>
          <w:rFonts w:ascii="David" w:hAnsi="David"/>
          <w:rtl/>
        </w:rPr>
      </w:pPr>
      <w:r w:rsidRPr="004F2465">
        <w:rPr>
          <w:rFonts w:ascii="David" w:hAnsi="David"/>
          <w:rtl/>
        </w:rPr>
        <w:t xml:space="preserve">בהתאם להסכמה הדיונית שבין הצדדים, הנאשם הופנה לקבלת תסקיר שירות המבחן וסוכם כי לאחר קבלת התסקיר הצדדים יטענו לעונש באופן חופשי. </w:t>
      </w:r>
    </w:p>
    <w:p w14:paraId="2656F889" w14:textId="77777777" w:rsidR="007E37EF" w:rsidRPr="004F2465" w:rsidRDefault="007E37EF" w:rsidP="007E37EF">
      <w:pPr>
        <w:spacing w:after="160"/>
        <w:ind w:left="720" w:hanging="360"/>
        <w:jc w:val="both"/>
        <w:rPr>
          <w:rFonts w:ascii="David" w:hAnsi="David"/>
        </w:rPr>
      </w:pPr>
    </w:p>
    <w:p w14:paraId="718971E3" w14:textId="77777777" w:rsidR="007E37EF" w:rsidRPr="004F2465" w:rsidRDefault="007E37EF" w:rsidP="007E37EF">
      <w:pPr>
        <w:spacing w:after="160" w:line="360" w:lineRule="auto"/>
        <w:ind w:left="720"/>
        <w:contextualSpacing/>
        <w:jc w:val="both"/>
        <w:rPr>
          <w:rFonts w:ascii="David" w:hAnsi="David"/>
          <w:b/>
          <w:bCs/>
          <w:u w:val="single"/>
          <w:rtl/>
        </w:rPr>
      </w:pPr>
      <w:r w:rsidRPr="004F2465">
        <w:rPr>
          <w:rFonts w:ascii="David" w:hAnsi="David"/>
          <w:b/>
          <w:bCs/>
          <w:u w:val="single"/>
          <w:rtl/>
        </w:rPr>
        <w:t>תסקיר שירות המבחן:</w:t>
      </w:r>
    </w:p>
    <w:p w14:paraId="40E314AA" w14:textId="77777777" w:rsidR="007E37EF" w:rsidRPr="004F2465" w:rsidRDefault="007E37EF" w:rsidP="007E37EF">
      <w:pPr>
        <w:spacing w:after="160" w:line="360" w:lineRule="auto"/>
        <w:ind w:left="720" w:hanging="360"/>
        <w:jc w:val="both"/>
        <w:rPr>
          <w:rFonts w:ascii="David" w:hAnsi="David"/>
        </w:rPr>
      </w:pPr>
      <w:r w:rsidRPr="004F2465">
        <w:rPr>
          <w:rFonts w:ascii="David" w:hAnsi="David"/>
          <w:rtl/>
        </w:rPr>
        <w:t xml:space="preserve">4. </w:t>
      </w:r>
      <w:r w:rsidRPr="004F2465">
        <w:rPr>
          <w:rFonts w:ascii="David" w:hAnsi="David"/>
          <w:rtl/>
        </w:rPr>
        <w:tab/>
        <w:t>בתסקיר מיום 4.5.22, נסקרו קורותיו של הנאשם. הנאשם בן 48, פרוד ואב לשלושה ילדים בגילאים 18 – 23, מתגורר במג'ד אל כרום. הנאשם שוהה כיום במעצר בית לילי בבית אחותו שבחיפה ועובד החל מאוגוסט 2021 כנהג בעסק שבבעלות אחיו. נמסר, כי טרם מעצרו התגורר באילת ועבד כנהג בקו חלוקה. מסר כי נפרד מאשתו עקב קונפליקטים הקשורים לחוסר אמון. הוסיף כי במהלך נישואיו, אשתו הגישה נגדו תלונה במשטרה על התנהגות אלימה מצדו והוא הורחק ממנה למשך תקופה קבוצה. לדברי הנאשם, מעולם לא נהג כלפיה באלימות.  ביחס לעברו הפלילי, צוין כי הנאשם נעדר הרשעות קודמות.</w:t>
      </w:r>
    </w:p>
    <w:p w14:paraId="629C99B1" w14:textId="77777777" w:rsidR="007E37EF" w:rsidRPr="004F2465" w:rsidRDefault="007E37EF" w:rsidP="007E37EF">
      <w:pPr>
        <w:spacing w:after="160" w:line="360" w:lineRule="auto"/>
        <w:ind w:left="720"/>
        <w:contextualSpacing/>
        <w:jc w:val="both"/>
        <w:rPr>
          <w:rFonts w:ascii="David" w:hAnsi="David"/>
        </w:rPr>
      </w:pPr>
      <w:r w:rsidRPr="004F2465">
        <w:rPr>
          <w:rFonts w:ascii="David" w:hAnsi="David"/>
          <w:b/>
          <w:bCs/>
          <w:rtl/>
        </w:rPr>
        <w:t>בהתייחס לעבירה הנוכחית</w:t>
      </w:r>
      <w:r w:rsidRPr="004F2465">
        <w:rPr>
          <w:rFonts w:ascii="David" w:hAnsi="David"/>
          <w:rtl/>
        </w:rPr>
        <w:t xml:space="preserve">, הנאשם קיבל אחריות על ההחזקה העצמית של הסם. לדבריו, הסמים שנמצאו ברשותו היו לשימושו העצמי ולשימוש חבריו. כמו כן, הנאשם קיבל אחריות על עבירת השידול להשמדת ראיות, לדברי הנאשם ביצע זאת מתוך אימפולסיביות ומתוך חשש מההשלכות של מעשיו. </w:t>
      </w:r>
    </w:p>
    <w:p w14:paraId="2CC116A2" w14:textId="77777777" w:rsidR="007E37EF" w:rsidRPr="004F2465" w:rsidRDefault="007E37EF" w:rsidP="007E37EF">
      <w:pPr>
        <w:spacing w:after="160" w:line="360" w:lineRule="auto"/>
        <w:ind w:left="720"/>
        <w:contextualSpacing/>
        <w:jc w:val="both"/>
        <w:rPr>
          <w:rFonts w:ascii="David" w:hAnsi="David"/>
        </w:rPr>
      </w:pPr>
      <w:r w:rsidRPr="004F2465">
        <w:rPr>
          <w:rFonts w:ascii="David" w:hAnsi="David"/>
          <w:rtl/>
        </w:rPr>
        <w:t>הנאשם שלל כל כוונה לסחר בסמים. לדבריו, המשקל שנמצא בדירתו נועד לאימות משקל הסמים שרכש יחד עם חבריו.</w:t>
      </w:r>
    </w:p>
    <w:p w14:paraId="068E1DF2" w14:textId="77777777" w:rsidR="007E37EF" w:rsidRPr="004F2465" w:rsidRDefault="007E37EF" w:rsidP="007E37EF">
      <w:pPr>
        <w:spacing w:after="160" w:line="360" w:lineRule="auto"/>
        <w:ind w:left="720"/>
        <w:contextualSpacing/>
        <w:jc w:val="both"/>
        <w:rPr>
          <w:rFonts w:ascii="David" w:hAnsi="David"/>
          <w:b/>
          <w:bCs/>
          <w:rtl/>
        </w:rPr>
      </w:pPr>
      <w:r w:rsidRPr="004F2465">
        <w:rPr>
          <w:rFonts w:ascii="David" w:hAnsi="David"/>
          <w:rtl/>
        </w:rPr>
        <w:t>שירות המבחן התרשם, כי הנאשם מקבל אחריות על העבירות ומכיר בפסול בהתנהגותו, אך עם זאת מבטא עמדה קורבנית ביחס להתנהלות רשויות האכיפה</w:t>
      </w:r>
      <w:r w:rsidRPr="004F2465">
        <w:rPr>
          <w:rFonts w:ascii="David" w:hAnsi="David"/>
          <w:b/>
          <w:bCs/>
          <w:rtl/>
        </w:rPr>
        <w:t xml:space="preserve">. </w:t>
      </w:r>
    </w:p>
    <w:p w14:paraId="151F7F45" w14:textId="77777777" w:rsidR="007E37EF" w:rsidRPr="004F2465" w:rsidRDefault="007E37EF" w:rsidP="007E37EF">
      <w:pPr>
        <w:spacing w:after="160" w:line="360" w:lineRule="auto"/>
        <w:ind w:left="720"/>
        <w:contextualSpacing/>
        <w:jc w:val="both"/>
        <w:rPr>
          <w:rFonts w:ascii="David" w:hAnsi="David"/>
        </w:rPr>
      </w:pPr>
      <w:r w:rsidRPr="004F2465">
        <w:rPr>
          <w:rFonts w:ascii="David" w:hAnsi="David"/>
          <w:b/>
          <w:bCs/>
          <w:rtl/>
        </w:rPr>
        <w:t xml:space="preserve">בהתייחס לשימוש בחומרים ממכרים, </w:t>
      </w:r>
      <w:r w:rsidRPr="004F2465">
        <w:rPr>
          <w:rFonts w:ascii="David" w:hAnsi="David"/>
          <w:rtl/>
        </w:rPr>
        <w:t xml:space="preserve">הנאשם מסר כי החל להשתמש בסם מסוג קנאביס בגיל 18 והמשיך בשימוש קבוע לאורך השנים. כמו כן מסר, כי בעברו הרחוק התנסה שימוש מועט "סמי פיצוציות". הנאשם מסר כי שב להשתמש בסם מסוג קוקאין בסמוך לביצוע העבירה הנידונה, נוכח קשיים ביחסים עם פרודתו וסביב בעיות התנהגות מצד בנו. לדבריו, השתמש בסם מתוך צורך בהנאה ובהקלה רגשית. תדירות הצריכה הייתה פעם בשבוע יחד </w:t>
      </w:r>
      <w:r w:rsidRPr="004F2465">
        <w:rPr>
          <w:rFonts w:ascii="David" w:hAnsi="David"/>
          <w:rtl/>
        </w:rPr>
        <w:lastRenderedPageBreak/>
        <w:t xml:space="preserve">עם חבריו ולמשך שלושה שבועות עד שנעצר. כיום הנאשם שולל שימוש בחומרים ממכרים, ובבדיקות שתן נמצא נקי משרידי סם. </w:t>
      </w:r>
    </w:p>
    <w:p w14:paraId="74622FF0" w14:textId="77777777" w:rsidR="007E37EF" w:rsidRPr="004F2465" w:rsidRDefault="007E37EF" w:rsidP="007E37EF">
      <w:pPr>
        <w:spacing w:after="160" w:line="360" w:lineRule="auto"/>
        <w:ind w:left="720"/>
        <w:contextualSpacing/>
        <w:jc w:val="both"/>
        <w:rPr>
          <w:rFonts w:ascii="David" w:hAnsi="David"/>
          <w:rtl/>
        </w:rPr>
      </w:pPr>
      <w:r w:rsidRPr="004F2465">
        <w:rPr>
          <w:rFonts w:ascii="David" w:hAnsi="David"/>
          <w:rtl/>
        </w:rPr>
        <w:t xml:space="preserve">שירות המבחן מציין, כי עלה רושם ניכר כי המעצר הנוכחי והראשון של הנאשם, מהווה עבורו חוויה מרתיעה ומציבת גבול, וכי דפוסים עבריינים אינם מאפיינים את אורחות חייו של הנאשם בדרך כלל. כמו כן, שירות המבחן התרשם כי קיים צורך טיפולי, וזאת בעקבות אבחנת דפוסי התנהגות של נגררות וריצוי וקושי בניהול מערכות יחסים. </w:t>
      </w:r>
    </w:p>
    <w:p w14:paraId="75D5FB07" w14:textId="77777777" w:rsidR="007E37EF" w:rsidRPr="004F2465" w:rsidRDefault="007E37EF" w:rsidP="007E37EF">
      <w:pPr>
        <w:spacing w:after="160" w:line="360" w:lineRule="auto"/>
        <w:ind w:left="720"/>
        <w:contextualSpacing/>
        <w:jc w:val="both"/>
        <w:rPr>
          <w:rFonts w:ascii="David" w:hAnsi="David"/>
          <w:rtl/>
        </w:rPr>
      </w:pPr>
      <w:r w:rsidRPr="004F2465">
        <w:rPr>
          <w:rFonts w:ascii="David" w:hAnsi="David"/>
          <w:rtl/>
        </w:rPr>
        <w:t xml:space="preserve">נוכח האמור, שירות המבחן המליץ לשחרר את הנאשם ממעצר למעצר בית. במהלך צו פיקוח המעצרים, התקיימו פגישות פרטניות עם הנאשם, במהלכן הנאשם ביקש סיוע טיפולי. התקבל הרושם כי הנאשם מתפקד באופן אחראי ובוגר. </w:t>
      </w:r>
    </w:p>
    <w:p w14:paraId="2D0C2AAA" w14:textId="77777777" w:rsidR="007E37EF" w:rsidRPr="004F2465" w:rsidRDefault="007E37EF" w:rsidP="007E37EF">
      <w:pPr>
        <w:spacing w:after="160" w:line="360" w:lineRule="auto"/>
        <w:ind w:left="720"/>
        <w:contextualSpacing/>
        <w:jc w:val="both"/>
        <w:rPr>
          <w:rFonts w:ascii="David" w:hAnsi="David"/>
          <w:rtl/>
        </w:rPr>
      </w:pPr>
      <w:r w:rsidRPr="004F2465">
        <w:rPr>
          <w:rFonts w:ascii="David" w:hAnsi="David"/>
          <w:rtl/>
        </w:rPr>
        <w:t xml:space="preserve">עוד עולה הרושם, כי הנאשם לא מגלה תלות עמוקה בשימוש בסמים, בדיקות השתן האקראיות אליהן הופנה הנאשם הצביעו על ניקיון משרידי סם. </w:t>
      </w:r>
    </w:p>
    <w:p w14:paraId="46CD7D9F" w14:textId="77777777" w:rsidR="007E37EF" w:rsidRPr="004F2465" w:rsidRDefault="007E37EF" w:rsidP="007E37EF">
      <w:pPr>
        <w:spacing w:after="160" w:line="360" w:lineRule="auto"/>
        <w:ind w:left="720"/>
        <w:contextualSpacing/>
        <w:jc w:val="both"/>
        <w:rPr>
          <w:rFonts w:ascii="David" w:hAnsi="David"/>
        </w:rPr>
      </w:pPr>
      <w:r w:rsidRPr="007E37EF">
        <w:rPr>
          <w:rFonts w:ascii="Calibri" w:hAnsi="Calibri" w:hint="eastAsia"/>
          <w:b/>
          <w:bCs/>
          <w:rtl/>
        </w:rPr>
        <w:t>בבחינת</w:t>
      </w:r>
      <w:r w:rsidRPr="007E37EF">
        <w:rPr>
          <w:rFonts w:ascii="Calibri" w:hAnsi="Calibri"/>
          <w:b/>
          <w:bCs/>
          <w:rtl/>
        </w:rPr>
        <w:t xml:space="preserve"> </w:t>
      </w:r>
      <w:r w:rsidRPr="007E37EF">
        <w:rPr>
          <w:rFonts w:ascii="Calibri" w:hAnsi="Calibri" w:hint="eastAsia"/>
          <w:b/>
          <w:bCs/>
          <w:rtl/>
        </w:rPr>
        <w:t>הסיכוי</w:t>
      </w:r>
      <w:r w:rsidRPr="007E37EF">
        <w:rPr>
          <w:rFonts w:ascii="Calibri" w:hAnsi="Calibri"/>
          <w:b/>
          <w:bCs/>
          <w:rtl/>
        </w:rPr>
        <w:t xml:space="preserve"> </w:t>
      </w:r>
      <w:r w:rsidRPr="007E37EF">
        <w:rPr>
          <w:rFonts w:ascii="Calibri" w:hAnsi="Calibri" w:hint="eastAsia"/>
          <w:b/>
          <w:bCs/>
          <w:rtl/>
        </w:rPr>
        <w:t>לעבריינות</w:t>
      </w:r>
      <w:r w:rsidRPr="007E37EF">
        <w:rPr>
          <w:rFonts w:ascii="Calibri" w:hAnsi="Calibri"/>
          <w:b/>
          <w:bCs/>
          <w:rtl/>
        </w:rPr>
        <w:t xml:space="preserve"> </w:t>
      </w:r>
      <w:r w:rsidRPr="007E37EF">
        <w:rPr>
          <w:rFonts w:ascii="Calibri" w:hAnsi="Calibri" w:hint="eastAsia"/>
          <w:b/>
          <w:bCs/>
          <w:rtl/>
        </w:rPr>
        <w:t>וגורמי</w:t>
      </w:r>
      <w:r w:rsidRPr="007E37EF">
        <w:rPr>
          <w:rFonts w:ascii="Calibri" w:hAnsi="Calibri"/>
          <w:b/>
          <w:bCs/>
          <w:rtl/>
        </w:rPr>
        <w:t xml:space="preserve"> </w:t>
      </w:r>
      <w:r w:rsidRPr="007E37EF">
        <w:rPr>
          <w:rFonts w:ascii="Calibri" w:hAnsi="Calibri" w:hint="eastAsia"/>
          <w:b/>
          <w:bCs/>
          <w:rtl/>
        </w:rPr>
        <w:t>הסיכוי</w:t>
      </w:r>
      <w:r w:rsidRPr="007E37EF">
        <w:rPr>
          <w:rFonts w:ascii="Calibri" w:hAnsi="Calibri"/>
          <w:b/>
          <w:bCs/>
          <w:rtl/>
        </w:rPr>
        <w:t xml:space="preserve"> </w:t>
      </w:r>
      <w:r w:rsidRPr="007E37EF">
        <w:rPr>
          <w:rFonts w:ascii="Calibri" w:hAnsi="Calibri" w:hint="eastAsia"/>
          <w:b/>
          <w:bCs/>
          <w:rtl/>
        </w:rPr>
        <w:t>לשקמו</w:t>
      </w:r>
      <w:r w:rsidRPr="004F2465">
        <w:rPr>
          <w:rFonts w:ascii="David" w:hAnsi="David"/>
          <w:rtl/>
        </w:rPr>
        <w:t>, הנאשם ללא הרשעות קודמות, אשר התנהלותו בעבירה נשוא דיון זה אינה משקפת את התנהגותו הכללית. התקבל הרושם כי השימוש בסמים במקרה דנן התבצע על רקע נורמת התנהגות חברתית שאפיינה את מפגשי הנאשם עם חבריו, אשר ניתן לקשרה לדפוסים של נגררות חברתית המאפיינים אותו.</w:t>
      </w:r>
    </w:p>
    <w:p w14:paraId="545909A3" w14:textId="77777777" w:rsidR="007E37EF" w:rsidRPr="004F2465" w:rsidRDefault="007E37EF" w:rsidP="007E37EF">
      <w:pPr>
        <w:spacing w:after="160" w:line="360" w:lineRule="auto"/>
        <w:ind w:left="720"/>
        <w:contextualSpacing/>
        <w:jc w:val="both"/>
        <w:rPr>
          <w:rFonts w:ascii="David" w:hAnsi="David"/>
        </w:rPr>
      </w:pPr>
      <w:r w:rsidRPr="007E37EF">
        <w:rPr>
          <w:rFonts w:ascii="Calibri" w:hAnsi="Calibri" w:hint="eastAsia"/>
          <w:b/>
          <w:bCs/>
          <w:rtl/>
        </w:rPr>
        <w:t>בהערכת</w:t>
      </w:r>
      <w:r w:rsidRPr="007E37EF">
        <w:rPr>
          <w:rFonts w:ascii="Calibri" w:hAnsi="Calibri"/>
          <w:b/>
          <w:bCs/>
          <w:rtl/>
        </w:rPr>
        <w:t xml:space="preserve"> </w:t>
      </w:r>
      <w:r w:rsidRPr="007E37EF">
        <w:rPr>
          <w:rFonts w:ascii="Calibri" w:hAnsi="Calibri" w:hint="eastAsia"/>
          <w:b/>
          <w:bCs/>
          <w:rtl/>
        </w:rPr>
        <w:t>הסיכוי</w:t>
      </w:r>
      <w:r w:rsidRPr="007E37EF">
        <w:rPr>
          <w:rFonts w:ascii="Calibri" w:hAnsi="Calibri"/>
          <w:b/>
          <w:bCs/>
          <w:rtl/>
        </w:rPr>
        <w:t xml:space="preserve"> </w:t>
      </w:r>
      <w:r w:rsidRPr="007E37EF">
        <w:rPr>
          <w:rFonts w:ascii="Calibri" w:hAnsi="Calibri" w:hint="eastAsia"/>
          <w:b/>
          <w:bCs/>
          <w:rtl/>
        </w:rPr>
        <w:t>לשיקום</w:t>
      </w:r>
      <w:r w:rsidRPr="007E37EF">
        <w:rPr>
          <w:rFonts w:ascii="Calibri" w:hAnsi="Calibri"/>
          <w:rtl/>
        </w:rPr>
        <w:t xml:space="preserve">, </w:t>
      </w:r>
      <w:r w:rsidRPr="004F2465">
        <w:rPr>
          <w:rFonts w:ascii="David" w:hAnsi="David"/>
          <w:rtl/>
        </w:rPr>
        <w:t>שירות המבחן הביא בחשבון כי הנאשם הצליח לשמור על רצף תעסוקתי, בנוסף התקבל הרושם כי הנאשם מקבל אחריות על העבירות וכי שיתף פעולה באופן מוצלח בתוכנית השיקום שגובשה עבורו.</w:t>
      </w:r>
    </w:p>
    <w:p w14:paraId="76D399FD" w14:textId="77777777" w:rsidR="007E37EF" w:rsidRPr="004F2465" w:rsidRDefault="007E37EF" w:rsidP="007E37EF">
      <w:pPr>
        <w:spacing w:after="160" w:line="360" w:lineRule="auto"/>
        <w:ind w:left="720"/>
        <w:contextualSpacing/>
        <w:jc w:val="both"/>
        <w:rPr>
          <w:rFonts w:ascii="David" w:hAnsi="David"/>
        </w:rPr>
      </w:pPr>
      <w:r w:rsidRPr="007E37EF">
        <w:rPr>
          <w:rFonts w:ascii="Calibri" w:hAnsi="Calibri" w:hint="eastAsia"/>
          <w:b/>
          <w:bCs/>
          <w:rtl/>
        </w:rPr>
        <w:t>ביחס</w:t>
      </w:r>
      <w:r w:rsidRPr="007E37EF">
        <w:rPr>
          <w:rFonts w:ascii="Calibri" w:hAnsi="Calibri"/>
          <w:b/>
          <w:bCs/>
          <w:rtl/>
        </w:rPr>
        <w:t xml:space="preserve"> </w:t>
      </w:r>
      <w:r w:rsidRPr="007E37EF">
        <w:rPr>
          <w:rFonts w:ascii="Calibri" w:hAnsi="Calibri" w:hint="eastAsia"/>
          <w:b/>
          <w:bCs/>
          <w:rtl/>
        </w:rPr>
        <w:t>לגורמי</w:t>
      </w:r>
      <w:r w:rsidRPr="007E37EF">
        <w:rPr>
          <w:rFonts w:ascii="Calibri" w:hAnsi="Calibri"/>
          <w:b/>
          <w:bCs/>
          <w:rtl/>
        </w:rPr>
        <w:t xml:space="preserve"> </w:t>
      </w:r>
      <w:r w:rsidRPr="007E37EF">
        <w:rPr>
          <w:rFonts w:ascii="Calibri" w:hAnsi="Calibri" w:hint="eastAsia"/>
          <w:b/>
          <w:bCs/>
          <w:rtl/>
        </w:rPr>
        <w:t>הסיכון</w:t>
      </w:r>
      <w:r w:rsidRPr="007E37EF">
        <w:rPr>
          <w:rFonts w:ascii="Calibri" w:hAnsi="Calibri"/>
          <w:rtl/>
        </w:rPr>
        <w:t xml:space="preserve">, </w:t>
      </w:r>
      <w:r w:rsidRPr="004F2465">
        <w:rPr>
          <w:rFonts w:ascii="David" w:hAnsi="David"/>
          <w:rtl/>
        </w:rPr>
        <w:t>התקבל הרושם כי הנאשם מתקשה לווסת את דחפיו, קושי שבא לידי ביטוי בשימוש בחומרים ממכרים על-רקע קשייו הרגשיים של הנאשם, כמו כן ישנה התרשמות כי הנאשם מתקשה לקבל אחריות על תפקידו במשפחה הגרעינית, קושי אשר בא לידי ביטוי בריחוק פיזי ממשפחתו ובאי הסדרת תשלומי המזונות עבור ילדיו. עולה כי הנאשם נוטס לייחס לגורמים אחרים את ההשפעה על התנהלותו ומצבו האישי.</w:t>
      </w:r>
    </w:p>
    <w:p w14:paraId="2EC76EB4" w14:textId="77777777" w:rsidR="007E37EF" w:rsidRPr="004F2465" w:rsidRDefault="007E37EF" w:rsidP="007E37EF">
      <w:pPr>
        <w:spacing w:after="160" w:line="360" w:lineRule="auto"/>
        <w:ind w:left="720"/>
        <w:contextualSpacing/>
        <w:jc w:val="both"/>
        <w:rPr>
          <w:rFonts w:ascii="David" w:hAnsi="David"/>
        </w:rPr>
      </w:pPr>
      <w:r w:rsidRPr="007E37EF">
        <w:rPr>
          <w:rFonts w:ascii="Calibri" w:hAnsi="Calibri" w:hint="eastAsia"/>
          <w:b/>
          <w:bCs/>
          <w:rtl/>
        </w:rPr>
        <w:t>בשקלול</w:t>
      </w:r>
      <w:r w:rsidRPr="007E37EF">
        <w:rPr>
          <w:rFonts w:ascii="Calibri" w:hAnsi="Calibri"/>
          <w:b/>
          <w:bCs/>
          <w:rtl/>
        </w:rPr>
        <w:t xml:space="preserve"> </w:t>
      </w:r>
      <w:r w:rsidRPr="007E37EF">
        <w:rPr>
          <w:rFonts w:ascii="Calibri" w:hAnsi="Calibri" w:hint="eastAsia"/>
          <w:b/>
          <w:bCs/>
          <w:rtl/>
        </w:rPr>
        <w:t>כלל</w:t>
      </w:r>
      <w:r w:rsidRPr="007E37EF">
        <w:rPr>
          <w:rFonts w:ascii="Calibri" w:hAnsi="Calibri"/>
          <w:b/>
          <w:bCs/>
          <w:rtl/>
        </w:rPr>
        <w:t xml:space="preserve"> </w:t>
      </w:r>
      <w:r w:rsidRPr="007E37EF">
        <w:rPr>
          <w:rFonts w:ascii="Calibri" w:hAnsi="Calibri" w:hint="eastAsia"/>
          <w:b/>
          <w:bCs/>
          <w:rtl/>
        </w:rPr>
        <w:t>הגורמים</w:t>
      </w:r>
      <w:r w:rsidRPr="007E37EF">
        <w:rPr>
          <w:rFonts w:ascii="Calibri" w:hAnsi="Calibri"/>
          <w:rtl/>
        </w:rPr>
        <w:t xml:space="preserve"> </w:t>
      </w:r>
      <w:r w:rsidRPr="007E37EF">
        <w:rPr>
          <w:rFonts w:ascii="Calibri" w:hAnsi="Calibri" w:hint="eastAsia"/>
          <w:rtl/>
        </w:rPr>
        <w:t>שירות</w:t>
      </w:r>
      <w:r w:rsidRPr="007E37EF">
        <w:rPr>
          <w:rFonts w:ascii="Calibri" w:hAnsi="Calibri"/>
          <w:rtl/>
        </w:rPr>
        <w:t xml:space="preserve"> </w:t>
      </w:r>
      <w:r w:rsidRPr="007E37EF">
        <w:rPr>
          <w:rFonts w:ascii="Calibri" w:hAnsi="Calibri" w:hint="eastAsia"/>
          <w:rtl/>
        </w:rPr>
        <w:t>המבחן</w:t>
      </w:r>
      <w:r w:rsidRPr="007E37EF">
        <w:rPr>
          <w:rFonts w:ascii="Calibri" w:hAnsi="Calibri"/>
          <w:rtl/>
        </w:rPr>
        <w:t xml:space="preserve"> </w:t>
      </w:r>
      <w:r w:rsidRPr="007E37EF">
        <w:rPr>
          <w:rFonts w:ascii="Calibri" w:hAnsi="Calibri" w:hint="eastAsia"/>
          <w:rtl/>
        </w:rPr>
        <w:t>התרשם</w:t>
      </w:r>
      <w:r w:rsidRPr="007E37EF">
        <w:rPr>
          <w:rFonts w:ascii="Calibri" w:hAnsi="Calibri"/>
          <w:rtl/>
        </w:rPr>
        <w:t xml:space="preserve"> </w:t>
      </w:r>
      <w:r w:rsidRPr="007E37EF">
        <w:rPr>
          <w:rFonts w:ascii="Calibri" w:hAnsi="Calibri" w:hint="eastAsia"/>
          <w:rtl/>
        </w:rPr>
        <w:t>כי</w:t>
      </w:r>
      <w:r w:rsidRPr="007E37EF">
        <w:rPr>
          <w:rFonts w:ascii="Calibri" w:hAnsi="Calibri"/>
          <w:rtl/>
        </w:rPr>
        <w:t xml:space="preserve"> </w:t>
      </w:r>
      <w:r w:rsidRPr="007E37EF">
        <w:rPr>
          <w:rFonts w:ascii="Calibri" w:hAnsi="Calibri" w:hint="eastAsia"/>
          <w:rtl/>
        </w:rPr>
        <w:t>כיום</w:t>
      </w:r>
      <w:r w:rsidRPr="007E37EF">
        <w:rPr>
          <w:rFonts w:ascii="Calibri" w:hAnsi="Calibri"/>
          <w:rtl/>
        </w:rPr>
        <w:t xml:space="preserve"> </w:t>
      </w:r>
      <w:r w:rsidRPr="007E37EF">
        <w:rPr>
          <w:rFonts w:ascii="Calibri" w:hAnsi="Calibri" w:hint="eastAsia"/>
          <w:rtl/>
        </w:rPr>
        <w:t>פחת</w:t>
      </w:r>
      <w:r w:rsidRPr="007E37EF">
        <w:rPr>
          <w:rFonts w:ascii="Calibri" w:hAnsi="Calibri"/>
          <w:rtl/>
        </w:rPr>
        <w:t xml:space="preserve"> </w:t>
      </w:r>
      <w:r w:rsidRPr="007E37EF">
        <w:rPr>
          <w:rFonts w:ascii="Calibri" w:hAnsi="Calibri" w:hint="eastAsia"/>
          <w:rtl/>
        </w:rPr>
        <w:t>הסיכון</w:t>
      </w:r>
      <w:r w:rsidRPr="007E37EF">
        <w:rPr>
          <w:rFonts w:ascii="Calibri" w:hAnsi="Calibri"/>
          <w:rtl/>
        </w:rPr>
        <w:t xml:space="preserve"> </w:t>
      </w:r>
      <w:r w:rsidRPr="007E37EF">
        <w:rPr>
          <w:rFonts w:ascii="Calibri" w:hAnsi="Calibri" w:hint="eastAsia"/>
          <w:rtl/>
        </w:rPr>
        <w:t>להישנות</w:t>
      </w:r>
      <w:r w:rsidRPr="007E37EF">
        <w:rPr>
          <w:rFonts w:ascii="Calibri" w:hAnsi="Calibri"/>
          <w:rtl/>
        </w:rPr>
        <w:t xml:space="preserve"> </w:t>
      </w:r>
      <w:r w:rsidRPr="007E37EF">
        <w:rPr>
          <w:rFonts w:ascii="Calibri" w:hAnsi="Calibri" w:hint="eastAsia"/>
          <w:rtl/>
        </w:rPr>
        <w:t>עבירות</w:t>
      </w:r>
      <w:r w:rsidRPr="007E37EF">
        <w:rPr>
          <w:rFonts w:ascii="Calibri" w:hAnsi="Calibri"/>
          <w:rtl/>
        </w:rPr>
        <w:t xml:space="preserve"> </w:t>
      </w:r>
      <w:r w:rsidRPr="007E37EF">
        <w:rPr>
          <w:rFonts w:ascii="Calibri" w:hAnsi="Calibri" w:hint="eastAsia"/>
          <w:rtl/>
        </w:rPr>
        <w:t>דומות</w:t>
      </w:r>
      <w:r w:rsidRPr="007E37EF">
        <w:rPr>
          <w:rFonts w:ascii="Calibri" w:hAnsi="Calibri"/>
          <w:rtl/>
        </w:rPr>
        <w:t xml:space="preserve"> </w:t>
      </w:r>
      <w:r w:rsidRPr="007E37EF">
        <w:rPr>
          <w:rFonts w:ascii="Calibri" w:hAnsi="Calibri" w:hint="eastAsia"/>
          <w:rtl/>
        </w:rPr>
        <w:t>מצד</w:t>
      </w:r>
      <w:r w:rsidRPr="007E37EF">
        <w:rPr>
          <w:rFonts w:ascii="Calibri" w:hAnsi="Calibri"/>
          <w:rtl/>
        </w:rPr>
        <w:t xml:space="preserve"> </w:t>
      </w:r>
      <w:r w:rsidRPr="007E37EF">
        <w:rPr>
          <w:rFonts w:ascii="Calibri" w:hAnsi="Calibri" w:hint="eastAsia"/>
          <w:rtl/>
        </w:rPr>
        <w:t>הנאשם</w:t>
      </w:r>
      <w:r w:rsidRPr="007E37EF">
        <w:rPr>
          <w:rFonts w:ascii="Calibri" w:hAnsi="Calibri"/>
          <w:rtl/>
        </w:rPr>
        <w:t xml:space="preserve"> </w:t>
      </w:r>
      <w:r w:rsidRPr="007E37EF">
        <w:rPr>
          <w:rFonts w:ascii="Calibri" w:hAnsi="Calibri" w:hint="eastAsia"/>
          <w:rtl/>
        </w:rPr>
        <w:t>בעתיד</w:t>
      </w:r>
      <w:r w:rsidRPr="007E37EF">
        <w:rPr>
          <w:rFonts w:ascii="Calibri" w:hAnsi="Calibri"/>
          <w:rtl/>
        </w:rPr>
        <w:t xml:space="preserve">.  </w:t>
      </w:r>
    </w:p>
    <w:p w14:paraId="33EEC988" w14:textId="77777777" w:rsidR="007E37EF" w:rsidRPr="004F2465" w:rsidRDefault="007E37EF" w:rsidP="007E37EF">
      <w:pPr>
        <w:spacing w:after="160" w:line="360" w:lineRule="auto"/>
        <w:ind w:left="720"/>
        <w:contextualSpacing/>
        <w:jc w:val="both"/>
        <w:rPr>
          <w:rFonts w:ascii="David" w:hAnsi="David"/>
          <w:rtl/>
        </w:rPr>
      </w:pPr>
      <w:r w:rsidRPr="004F2465">
        <w:rPr>
          <w:rFonts w:ascii="David" w:hAnsi="David"/>
          <w:rtl/>
        </w:rPr>
        <w:t>לסיכום, המלצת שירות המבחן היא לענישה בדמות מאסר על תנאי, לצד הטלת צו של"צ, בהיקף 180 שעות.</w:t>
      </w:r>
    </w:p>
    <w:p w14:paraId="6AB62D96" w14:textId="77777777" w:rsidR="007E37EF" w:rsidRDefault="007E37EF" w:rsidP="007E37EF">
      <w:pPr>
        <w:spacing w:after="160" w:line="360" w:lineRule="auto"/>
        <w:jc w:val="both"/>
        <w:rPr>
          <w:rFonts w:ascii="David" w:hAnsi="David"/>
          <w:b/>
          <w:bCs/>
          <w:u w:val="single"/>
          <w:rtl/>
        </w:rPr>
      </w:pPr>
    </w:p>
    <w:p w14:paraId="69FFC2C2" w14:textId="77777777" w:rsidR="007E37EF" w:rsidRPr="004F2465" w:rsidRDefault="007E37EF" w:rsidP="007E37EF">
      <w:pPr>
        <w:spacing w:after="160" w:line="360" w:lineRule="auto"/>
        <w:jc w:val="both"/>
        <w:rPr>
          <w:rFonts w:ascii="David" w:hAnsi="David"/>
          <w:b/>
          <w:bCs/>
          <w:u w:val="single"/>
          <w:rtl/>
        </w:rPr>
      </w:pPr>
      <w:r w:rsidRPr="004F2465">
        <w:rPr>
          <w:rFonts w:ascii="David" w:hAnsi="David"/>
          <w:b/>
          <w:bCs/>
          <w:u w:val="single"/>
          <w:rtl/>
        </w:rPr>
        <w:t>טיעונים לעונש:</w:t>
      </w:r>
    </w:p>
    <w:p w14:paraId="13DF8291"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b/>
          <w:bCs/>
          <w:rtl/>
        </w:rPr>
        <w:t xml:space="preserve">6. </w:t>
      </w:r>
      <w:r w:rsidRPr="004F2465">
        <w:rPr>
          <w:rFonts w:ascii="David" w:hAnsi="David"/>
          <w:b/>
          <w:bCs/>
          <w:rtl/>
        </w:rPr>
        <w:tab/>
        <w:t>ב"כ המאשימה</w:t>
      </w:r>
      <w:r w:rsidRPr="004F2465">
        <w:rPr>
          <w:rFonts w:ascii="David" w:hAnsi="David"/>
          <w:rtl/>
        </w:rPr>
        <w:t xml:space="preserve"> בטיעוניה עמדה על הערכים המוגנים שנפגעו מהעבירה אותה ביצע הנאשם, בהם פגיעה בשלום הציבור ובטחונו, ופגיעה בצורך בשמירה על הציבור מפני פגיעתם הקשה של הסמים המסוכנים בגוף ובנפש, הפגיעה החמורה בצרכני הסמים עצמם שהשימוש בסם גורם – בהם נזקים נפשיים ופיזיים, וביצוע עבירות שונות על-מנת להשיג מימון לרכישת הסם. נטען, כי לא בכדי נקבעו על-ידי המחוקק עונשים מעבידים בצד עבירות אותן ביצע הנאשם. </w:t>
      </w:r>
    </w:p>
    <w:p w14:paraId="00A0B259"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נטען כי החזקת סמים שלא לשימוש עצמי נועדה להפקת רווחים כלכליים על חשבונם של מכורים ומתמכרים עתידיים לסם. נטען כי כמות וסוג הסם במקרה דנן מהווה אינדיקציה לכך שהמחזיק בהם הוא אדם במעגל הראשון בשרשרת הפצת הסם, אשר לו גישה אליהם בכמות בלתי-מבוטלת.</w:t>
      </w:r>
    </w:p>
    <w:p w14:paraId="2FE6A041"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 xml:space="preserve">בעניין עבירת השמדת הראיה, נטען כי שידול של אחר להשמדת ראיה פוגעת בסדרי השלטון והמשפט ומסכנת את גילוי כן, כמו כן נטען כי עבירה זו מהווה התנהגות אנטי-חברתית. </w:t>
      </w:r>
    </w:p>
    <w:p w14:paraId="3D9E9FA0"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ביחס למדיניות הענישה הנוהגת, הפנה ב"כ המאשימה למספר פסקי דין. באשר לעבירות הסמים:</w:t>
      </w:r>
    </w:p>
    <w:p w14:paraId="095EA371" w14:textId="77777777" w:rsidR="007E37EF" w:rsidRPr="004F2465" w:rsidRDefault="007E72EC" w:rsidP="007E37EF">
      <w:pPr>
        <w:spacing w:after="160" w:line="360" w:lineRule="auto"/>
        <w:ind w:left="720"/>
        <w:jc w:val="both"/>
        <w:rPr>
          <w:rFonts w:ascii="David" w:hAnsi="David"/>
          <w:rtl/>
        </w:rPr>
      </w:pPr>
      <w:hyperlink r:id="rId21" w:history="1">
        <w:r w:rsidRPr="007E72EC">
          <w:rPr>
            <w:rFonts w:ascii="David" w:hAnsi="David"/>
            <w:color w:val="0000FF"/>
            <w:u w:val="single"/>
            <w:rtl/>
          </w:rPr>
          <w:t>רע"פ 894/16</w:t>
        </w:r>
      </w:hyperlink>
      <w:r w:rsidR="007E37EF" w:rsidRPr="004F2465">
        <w:rPr>
          <w:rFonts w:ascii="David" w:hAnsi="David"/>
          <w:rtl/>
        </w:rPr>
        <w:t xml:space="preserve"> </w:t>
      </w:r>
      <w:r w:rsidR="007E37EF" w:rsidRPr="004F2465">
        <w:rPr>
          <w:rFonts w:ascii="David" w:hAnsi="David"/>
          <w:b/>
          <w:bCs/>
          <w:rtl/>
        </w:rPr>
        <w:t xml:space="preserve">פרץ נ' מדינת ישראל </w:t>
      </w:r>
      <w:r w:rsidR="007E37EF" w:rsidRPr="004F2465">
        <w:rPr>
          <w:rFonts w:ascii="David" w:hAnsi="David"/>
          <w:rtl/>
        </w:rPr>
        <w:t xml:space="preserve">– הנאשם נעדר עבר פלילי, החזיק בדירתו 31.05 גרם נטו של סם מסוג קוקאין. נקבע, כי מתחם הענישה נע בין 15 עד 36 חודשי מאסר בפועל, לצד ענישה נלווית. בשל הליך שיקומי, הסתפק בית המשפט בהטלת עונש בתחתית המתחם, קרי 15 חודשי מאסר בפועל ועונשים נלווים. גזר הדין אושר בשתי ערכאות הערעור. </w:t>
      </w:r>
    </w:p>
    <w:p w14:paraId="0EB0EDD6" w14:textId="77777777" w:rsidR="007E37EF" w:rsidRPr="004F2465" w:rsidRDefault="007E72EC" w:rsidP="007E37EF">
      <w:pPr>
        <w:spacing w:after="160" w:line="360" w:lineRule="auto"/>
        <w:ind w:left="720"/>
        <w:jc w:val="both"/>
        <w:rPr>
          <w:rFonts w:ascii="David" w:hAnsi="David"/>
          <w:rtl/>
        </w:rPr>
      </w:pPr>
      <w:hyperlink r:id="rId22" w:history="1">
        <w:r w:rsidRPr="007E72EC">
          <w:rPr>
            <w:rFonts w:ascii="David" w:hAnsi="David"/>
            <w:color w:val="0000FF"/>
            <w:u w:val="single"/>
            <w:rtl/>
          </w:rPr>
          <w:t>ע"פ 9910/17</w:t>
        </w:r>
      </w:hyperlink>
      <w:r w:rsidR="007E37EF" w:rsidRPr="004F2465">
        <w:rPr>
          <w:rFonts w:ascii="David" w:hAnsi="David"/>
          <w:rtl/>
        </w:rPr>
        <w:t xml:space="preserve"> </w:t>
      </w:r>
      <w:r w:rsidR="007E37EF" w:rsidRPr="004F2465">
        <w:rPr>
          <w:rFonts w:ascii="David" w:hAnsi="David"/>
          <w:b/>
          <w:bCs/>
          <w:rtl/>
        </w:rPr>
        <w:t>גריפולינה נ' מדינת ישראל</w:t>
      </w:r>
      <w:r w:rsidR="007E37EF" w:rsidRPr="004F2465">
        <w:rPr>
          <w:rFonts w:ascii="David" w:hAnsi="David"/>
          <w:rtl/>
        </w:rPr>
        <w:t xml:space="preserve"> – הנאשמת הורשעה בהחזקת הרואין במשקל 40 גרם וחשיש במשקל 55 גרם. בנוסף, בן זוגה של הנאשמת הורשע בהחזקת קוקאין במשקל 21 גרם וחשיש במשקל 3 גרם. נקבעו מתחמי ענישה של 24 עד 48 חודשי מאסר בעניינה של הנאשמת ו-15 עד 36 חודשי מאסר בעניינו של בן הזוג. על שניהם הוטלו 24 חודשי מאסר בפועל וענישה נלווית. הערעורים נדחו. </w:t>
      </w:r>
    </w:p>
    <w:p w14:paraId="34A0DEAB" w14:textId="77777777" w:rsidR="007E37EF" w:rsidRPr="004F2465" w:rsidRDefault="007E72EC" w:rsidP="007E37EF">
      <w:pPr>
        <w:spacing w:after="160" w:line="360" w:lineRule="auto"/>
        <w:ind w:left="720"/>
        <w:jc w:val="both"/>
        <w:rPr>
          <w:rFonts w:ascii="David" w:hAnsi="David"/>
          <w:rtl/>
        </w:rPr>
      </w:pPr>
      <w:hyperlink r:id="rId23" w:history="1">
        <w:r w:rsidRPr="007E72EC">
          <w:rPr>
            <w:rFonts w:ascii="David" w:hAnsi="David"/>
            <w:color w:val="0000FF"/>
            <w:u w:val="single"/>
            <w:rtl/>
          </w:rPr>
          <w:t>עפ"ג 65932-01-20</w:t>
        </w:r>
      </w:hyperlink>
      <w:r w:rsidR="007E37EF" w:rsidRPr="004F2465">
        <w:rPr>
          <w:rFonts w:ascii="David" w:hAnsi="David"/>
          <w:rtl/>
        </w:rPr>
        <w:t xml:space="preserve"> </w:t>
      </w:r>
      <w:r w:rsidR="007E37EF" w:rsidRPr="004F2465">
        <w:rPr>
          <w:rFonts w:ascii="David" w:hAnsi="David"/>
          <w:b/>
          <w:bCs/>
          <w:rtl/>
        </w:rPr>
        <w:t>מדינת ישראל נ' לולו</w:t>
      </w:r>
      <w:r w:rsidR="007E37EF" w:rsidRPr="004F2465">
        <w:rPr>
          <w:rFonts w:ascii="David" w:hAnsi="David"/>
          <w:rtl/>
        </w:rPr>
        <w:t xml:space="preserve"> – הנאשם, בעל עבר פלילי, הורשע בהחזקת קוקאין במשקל 15.8 גרם ומשקל דיגיטלי. נקבע כי מתחם העונש הוא 9 עד 18 חודשי מאסר לצד ענישה נלווית. בנוסף, הורשע בהחזקת 33.9 גרם קוקאין ו-4.7 גרם קנבוס ומשקל דיגיטלי. בתיק זה נקבע מתחם של 12 עד 30 חודשי מאסר בפועל לצד ענישה נלווית. על הנאשם הוטלו 26 חודשי מאסר בפועל במצטבר לעונש מאסר אותו ריצה באותה עת. במסגרת הערעור קבע בית המשפט המחוזי, כי העונש חורג משמעותית לקולא והוא הועמד על 32 חודשים.</w:t>
      </w:r>
    </w:p>
    <w:p w14:paraId="1A8B1B3E" w14:textId="77777777" w:rsidR="007E37EF" w:rsidRPr="004F2465" w:rsidRDefault="007E72EC" w:rsidP="007E37EF">
      <w:pPr>
        <w:spacing w:after="160" w:line="360" w:lineRule="auto"/>
        <w:ind w:left="720"/>
        <w:jc w:val="both"/>
        <w:rPr>
          <w:rFonts w:ascii="David" w:hAnsi="David"/>
          <w:rtl/>
        </w:rPr>
      </w:pPr>
      <w:hyperlink r:id="rId24" w:history="1">
        <w:r w:rsidRPr="007E72EC">
          <w:rPr>
            <w:rFonts w:ascii="David" w:hAnsi="David"/>
            <w:color w:val="0000FF"/>
            <w:u w:val="single"/>
            <w:rtl/>
          </w:rPr>
          <w:t>עפ"ג (מרכז)) 41795-11-18</w:t>
        </w:r>
      </w:hyperlink>
      <w:r w:rsidR="007E37EF" w:rsidRPr="004F2465">
        <w:rPr>
          <w:rFonts w:ascii="David" w:hAnsi="David"/>
          <w:rtl/>
        </w:rPr>
        <w:t xml:space="preserve"> </w:t>
      </w:r>
      <w:r w:rsidR="007E37EF" w:rsidRPr="004F2465">
        <w:rPr>
          <w:rFonts w:ascii="David" w:hAnsi="David"/>
          <w:b/>
          <w:bCs/>
          <w:rtl/>
        </w:rPr>
        <w:t>חזן נ' מדינת ישראל</w:t>
      </w:r>
      <w:r w:rsidR="007E37EF" w:rsidRPr="004F2465">
        <w:rPr>
          <w:rFonts w:ascii="David" w:hAnsi="David"/>
          <w:rtl/>
        </w:rPr>
        <w:t xml:space="preserve"> – נאשם בעל עבר פלילי, הורשע לאחר הליך שמיעת ראיות בהחזקת קוקאין במשקל כולל של 37.8942 גרם שלא לצריכה עצמית ובהחזקת משקל אלקטרוני. מתחם הענישה שנקבע נע בין 20 עד 40 חודשי מאסר לצד עונשים נלווים. ביהמ"ש גזר על הנאשם 32 חודשי מאסר הכוללים הפעלת מאסר מותנה בחופף ברובו לצד רכיבי ענישה נוספים. הערעור נדחה. </w:t>
      </w:r>
    </w:p>
    <w:p w14:paraId="65A0DA2F" w14:textId="77777777" w:rsidR="007E37EF" w:rsidRPr="004F2465" w:rsidRDefault="007E37EF" w:rsidP="007E37EF">
      <w:pPr>
        <w:spacing w:after="160" w:line="360" w:lineRule="auto"/>
        <w:ind w:firstLine="720"/>
        <w:jc w:val="both"/>
        <w:rPr>
          <w:rFonts w:ascii="David" w:hAnsi="David"/>
          <w:rtl/>
        </w:rPr>
      </w:pPr>
      <w:r w:rsidRPr="004F2465">
        <w:rPr>
          <w:rFonts w:ascii="David" w:hAnsi="David"/>
          <w:rtl/>
        </w:rPr>
        <w:t>באשר לעבירת השמדת ראיה:</w:t>
      </w:r>
    </w:p>
    <w:p w14:paraId="66DF33E9" w14:textId="77777777" w:rsidR="007E37EF" w:rsidRPr="004F2465" w:rsidRDefault="007E72EC" w:rsidP="007E37EF">
      <w:pPr>
        <w:spacing w:after="160" w:line="360" w:lineRule="auto"/>
        <w:ind w:left="720"/>
        <w:jc w:val="both"/>
        <w:rPr>
          <w:rFonts w:ascii="David" w:hAnsi="David"/>
          <w:rtl/>
        </w:rPr>
      </w:pPr>
      <w:hyperlink r:id="rId25" w:history="1">
        <w:r w:rsidRPr="007E72EC">
          <w:rPr>
            <w:rFonts w:ascii="David" w:hAnsi="David"/>
            <w:color w:val="0000FF"/>
            <w:u w:val="single"/>
            <w:rtl/>
          </w:rPr>
          <w:t>עפ"ג (מרכז) 29151-12-16</w:t>
        </w:r>
      </w:hyperlink>
      <w:r w:rsidR="007E37EF" w:rsidRPr="004F2465">
        <w:rPr>
          <w:rFonts w:ascii="David" w:hAnsi="David"/>
          <w:rtl/>
        </w:rPr>
        <w:t xml:space="preserve"> </w:t>
      </w:r>
      <w:r w:rsidR="007E37EF" w:rsidRPr="004F2465">
        <w:rPr>
          <w:rFonts w:ascii="David" w:hAnsi="David"/>
          <w:b/>
          <w:bCs/>
          <w:rtl/>
        </w:rPr>
        <w:t>טולמסוב נ' מדינת ישראל</w:t>
      </w:r>
      <w:r w:rsidR="007E37EF" w:rsidRPr="004F2465">
        <w:rPr>
          <w:rFonts w:ascii="David" w:hAnsi="David"/>
          <w:rtl/>
        </w:rPr>
        <w:t xml:space="preserve"> – הנאשם הורשע בכך שהשליך לפח תרמילי אקדח ששימשו לירי במועדון אותו ניהל וכן לבקשת היורה ניתק את מצלמות האבטחה והסתיר את מכשיר ההקלטה. נקבע מתחם ענישה של 10 עד 24 חודשי מאסר, הנאשם נדון לשנת מאסר. </w:t>
      </w:r>
    </w:p>
    <w:p w14:paraId="1BD74EA2" w14:textId="77777777" w:rsidR="007E37EF" w:rsidRPr="004F2465" w:rsidRDefault="007E72EC" w:rsidP="007E37EF">
      <w:pPr>
        <w:spacing w:after="160" w:line="360" w:lineRule="auto"/>
        <w:ind w:left="720"/>
        <w:jc w:val="both"/>
        <w:rPr>
          <w:rFonts w:ascii="David" w:hAnsi="David"/>
          <w:rtl/>
        </w:rPr>
      </w:pPr>
      <w:hyperlink r:id="rId26" w:history="1">
        <w:r w:rsidRPr="007E72EC">
          <w:rPr>
            <w:rFonts w:ascii="David" w:hAnsi="David"/>
            <w:color w:val="0000FF"/>
            <w:u w:val="single"/>
            <w:rtl/>
          </w:rPr>
          <w:t>ת"פ (ראשל"צ) 26374-11-09</w:t>
        </w:r>
      </w:hyperlink>
      <w:r w:rsidR="007E37EF" w:rsidRPr="004F2465">
        <w:rPr>
          <w:rFonts w:ascii="David" w:hAnsi="David"/>
          <w:rtl/>
        </w:rPr>
        <w:t xml:space="preserve"> </w:t>
      </w:r>
      <w:r w:rsidR="007E37EF" w:rsidRPr="004F2465">
        <w:rPr>
          <w:rFonts w:ascii="David" w:hAnsi="David"/>
          <w:b/>
          <w:bCs/>
          <w:rtl/>
        </w:rPr>
        <w:t>מדינת ישראל נ' קרליק</w:t>
      </w:r>
      <w:r w:rsidR="007E37EF" w:rsidRPr="004F2465">
        <w:rPr>
          <w:rFonts w:ascii="David" w:hAnsi="David"/>
          <w:rtl/>
        </w:rPr>
        <w:t xml:space="preserve"> – הנאשם העלים ראיות הקושרות את בסנו לעבירת רצח של שישה בני משפחה ונדון לשנתיים מאסר בפועל. במסגרת הערעור (</w:t>
      </w:r>
      <w:hyperlink r:id="rId27" w:history="1">
        <w:r w:rsidRPr="007E72EC">
          <w:rPr>
            <w:rFonts w:ascii="David" w:hAnsi="David"/>
            <w:color w:val="0000FF"/>
            <w:u w:val="single"/>
            <w:rtl/>
          </w:rPr>
          <w:t>עפ"ג 24080-02-12</w:t>
        </w:r>
      </w:hyperlink>
      <w:r w:rsidR="007E37EF" w:rsidRPr="004F2465">
        <w:rPr>
          <w:rFonts w:ascii="David" w:hAnsi="David"/>
          <w:rtl/>
        </w:rPr>
        <w:t xml:space="preserve">), נקבע כי הנאשם לא ידע על מעשי בנו והעונש הופחת ל-20 חודשי מאסר. </w:t>
      </w:r>
    </w:p>
    <w:p w14:paraId="2DF0604A" w14:textId="77777777" w:rsidR="007E37EF" w:rsidRPr="004F2465" w:rsidRDefault="007E72EC" w:rsidP="007E37EF">
      <w:pPr>
        <w:spacing w:after="160" w:line="360" w:lineRule="auto"/>
        <w:ind w:left="720"/>
        <w:jc w:val="both"/>
        <w:rPr>
          <w:rFonts w:ascii="David" w:hAnsi="David"/>
          <w:rtl/>
        </w:rPr>
      </w:pPr>
      <w:hyperlink r:id="rId28" w:history="1">
        <w:r w:rsidRPr="007E72EC">
          <w:rPr>
            <w:rFonts w:ascii="David" w:hAnsi="David"/>
            <w:color w:val="0000FF"/>
            <w:u w:val="single"/>
            <w:rtl/>
          </w:rPr>
          <w:t>ת"פ (כ"ס) 40507-01-11</w:t>
        </w:r>
      </w:hyperlink>
      <w:r w:rsidR="007E37EF" w:rsidRPr="004F2465">
        <w:rPr>
          <w:rFonts w:ascii="David" w:hAnsi="David"/>
          <w:rtl/>
        </w:rPr>
        <w:t xml:space="preserve"> </w:t>
      </w:r>
      <w:r w:rsidR="007E37EF" w:rsidRPr="004F2465">
        <w:rPr>
          <w:rFonts w:ascii="David" w:hAnsi="David"/>
          <w:b/>
          <w:bCs/>
          <w:rtl/>
        </w:rPr>
        <w:t>מדינת ישראל נ' ברעם</w:t>
      </w:r>
      <w:r w:rsidR="007E37EF" w:rsidRPr="004F2465">
        <w:rPr>
          <w:rFonts w:ascii="David" w:hAnsi="David"/>
          <w:rtl/>
        </w:rPr>
        <w:t xml:space="preserve"> – הנאשם פרסם סרטונים מסיתים ובהמשך החליף אותם בסרטון נגדי וכן החליף את מספר הטלפון שלו. בגין כך הורשע בהשמדת ראיה ושיבוש מהלכי משפט, נקבע מתחם של 5 עד 15 חודשי מאסר. </w:t>
      </w:r>
    </w:p>
    <w:p w14:paraId="79AABCA3" w14:textId="77777777" w:rsidR="007E37EF" w:rsidRPr="004F2465" w:rsidRDefault="007E72EC" w:rsidP="007E37EF">
      <w:pPr>
        <w:spacing w:after="160" w:line="360" w:lineRule="auto"/>
        <w:ind w:left="720"/>
        <w:jc w:val="both"/>
        <w:rPr>
          <w:rFonts w:ascii="David" w:hAnsi="David"/>
          <w:rtl/>
        </w:rPr>
      </w:pPr>
      <w:hyperlink r:id="rId29" w:history="1">
        <w:r w:rsidRPr="007E72EC">
          <w:rPr>
            <w:rFonts w:ascii="David" w:hAnsi="David"/>
            <w:color w:val="0000FF"/>
            <w:u w:val="single"/>
            <w:rtl/>
          </w:rPr>
          <w:t>ת"פ (נת') 6828-04-13</w:t>
        </w:r>
      </w:hyperlink>
      <w:r w:rsidR="007E37EF" w:rsidRPr="004F2465">
        <w:rPr>
          <w:rFonts w:ascii="David" w:hAnsi="David"/>
          <w:rtl/>
        </w:rPr>
        <w:t xml:space="preserve"> </w:t>
      </w:r>
      <w:r w:rsidR="007E37EF" w:rsidRPr="004F2465">
        <w:rPr>
          <w:rFonts w:ascii="David" w:hAnsi="David"/>
          <w:b/>
          <w:bCs/>
          <w:rtl/>
        </w:rPr>
        <w:t>מדינת ישראל נ' גלקיסמן</w:t>
      </w:r>
      <w:r w:rsidR="007E37EF" w:rsidRPr="004F2465">
        <w:rPr>
          <w:rFonts w:ascii="David" w:hAnsi="David"/>
          <w:rtl/>
        </w:rPr>
        <w:t xml:space="preserve"> – הנאשם הורשע בכך שמסר הודעה כוזבת למשטרה לפיה הוא נהג ברכב תחת אחר אשר גרם לתאונה קטלנית. הנאשם הורשע בשלוש עבירות של שיבוש מהלכי משפט ומסירת ידיעות כוזבות. נקבע מתחם ענישה שנע בין 5 ל-15 חודשי מאסר. בשל שיקולי שיקום, הנאשם נדון ל-6 חודשי מאסר בעבודות שירות. </w:t>
      </w:r>
    </w:p>
    <w:p w14:paraId="2613BD8A"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לעמדת המאשימה, בהתאם להלכת ג'אבר, יש לקבוע שני מתחמי עונש נפרדים לכל אחת מן העבירות.</w:t>
      </w:r>
    </w:p>
    <w:p w14:paraId="5E5B2894"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 xml:space="preserve">בבחינת נסיבות הקשורות בביצוע העבירה, נטען כי עניינו של הנאשם מציג נסיבות לחומרה במידת התכנון והתחכום של מעשיו, בהתחשב בסוג הסם ובכמות שלו ובשל שידול חברו להשמיד ראיה ולסבכו בפלילים שהביאו להרשעתו. </w:t>
      </w:r>
    </w:p>
    <w:p w14:paraId="6A30A09C"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בהתייחס למתחמי הענישה, המאשימה טענה למתחם של 20 עד 40 בגין עבירות הסמים ובנוגע לעבירה של השמדת ראיה, עתרה המאשימה למתחם של 6 עד 18 חודשי מאסר בפועל.</w:t>
      </w:r>
    </w:p>
    <w:p w14:paraId="668E819F"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בשיקולים בתוך המתחם, המאשימה הפנתה לתסקיר והדגישה כי עולם הסמים לא זר לנאשם, אשר החל שימוש בסם מסוג קנאביס עוד מגיל 17, והמשיך בשימוש קבוע, עד לשנת 1997.</w:t>
      </w:r>
    </w:p>
    <w:p w14:paraId="040FA1C2"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נטען, כי אין כל הצדקה לחרוג ממתחם הענישה לקולא, בשים לב לצורך לנקוט בענישה מחמירה בעבירות סמים ומכיוון שאין המלצה טיפולית בעניין הנאשם אשר יכולה לעמוד כשיקולי שיקום, עובדה שלדעת המאשימה מחייבת לתת משקל נוסף לשיקולי התרעת היחיד.</w:t>
      </w:r>
    </w:p>
    <w:p w14:paraId="66BD3FA7"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 xml:space="preserve">עוד נטען, כי אין לקבל את המלצת שירות המבחן שאינה תואמת את ההלכה ואת הנסיבות. המאשימה עתרה להטיל על הנאשם עונש שהוא בתחתית המתחמים בצד מאסר מותנה וקנס גבוה. </w:t>
      </w:r>
    </w:p>
    <w:p w14:paraId="053FE202"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 xml:space="preserve">בדיון הבהירה, כי מבקשת להטיל על הנאשם עונש כולל שלא יפחת מ-26 חודשי מאסר בפועל. </w:t>
      </w:r>
    </w:p>
    <w:p w14:paraId="7ECE0F42"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b/>
          <w:bCs/>
          <w:rtl/>
        </w:rPr>
        <w:t xml:space="preserve">7. </w:t>
      </w:r>
      <w:r w:rsidRPr="004F2465">
        <w:rPr>
          <w:rFonts w:ascii="David" w:hAnsi="David"/>
          <w:b/>
          <w:bCs/>
          <w:rtl/>
        </w:rPr>
        <w:tab/>
        <w:t>ההגנה</w:t>
      </w:r>
      <w:r w:rsidRPr="004F2465">
        <w:rPr>
          <w:rFonts w:ascii="David" w:hAnsi="David"/>
          <w:rtl/>
        </w:rPr>
        <w:t xml:space="preserve"> הסתייגה מהמתחמים להם טענה המאשימה. נטען, כי מדובר באירוע אחד שיש לקבוע בעניינו מתחם ענישה אחד. לדעת ההגנה, המתחם נע בין מאסר בעבודות שירות ועד 15 חודשי מאסר. לדעת ההגנה, יש לסטות מהמתחם משיקולי שיקום ולקבל את המלצת שירות המבחן. </w:t>
      </w:r>
    </w:p>
    <w:p w14:paraId="422C6172" w14:textId="77777777" w:rsidR="007E37EF" w:rsidRPr="004F2465" w:rsidRDefault="007E37EF" w:rsidP="007E37EF">
      <w:pPr>
        <w:spacing w:after="160" w:line="360" w:lineRule="auto"/>
        <w:ind w:firstLine="720"/>
        <w:jc w:val="both"/>
        <w:rPr>
          <w:rFonts w:ascii="David" w:hAnsi="David"/>
          <w:rtl/>
        </w:rPr>
      </w:pPr>
      <w:r w:rsidRPr="004F2465">
        <w:rPr>
          <w:rFonts w:ascii="David" w:hAnsi="David"/>
          <w:rtl/>
        </w:rPr>
        <w:t xml:space="preserve">ב"כ הנאשם הפנה למספר פסקי דין ביחס למתחם הענישה: </w:t>
      </w:r>
    </w:p>
    <w:p w14:paraId="3BA31FAA" w14:textId="77777777" w:rsidR="007E37EF" w:rsidRPr="004F2465" w:rsidRDefault="007E72EC" w:rsidP="007E37EF">
      <w:pPr>
        <w:spacing w:after="160" w:line="360" w:lineRule="auto"/>
        <w:ind w:left="720"/>
        <w:contextualSpacing/>
        <w:jc w:val="both"/>
        <w:rPr>
          <w:rFonts w:ascii="David" w:hAnsi="David"/>
          <w:rtl/>
        </w:rPr>
      </w:pPr>
      <w:hyperlink r:id="rId30" w:history="1">
        <w:r w:rsidRPr="007E72EC">
          <w:rPr>
            <w:rFonts w:ascii="David" w:hAnsi="David"/>
            <w:color w:val="0000FF"/>
            <w:u w:val="single"/>
            <w:rtl/>
          </w:rPr>
          <w:t>ת"פ (שלום ב"ש) 58472-02-20</w:t>
        </w:r>
      </w:hyperlink>
      <w:r w:rsidR="007E37EF" w:rsidRPr="004F2465">
        <w:rPr>
          <w:rFonts w:ascii="David" w:hAnsi="David"/>
          <w:rtl/>
        </w:rPr>
        <w:t xml:space="preserve"> </w:t>
      </w:r>
      <w:r w:rsidR="007E37EF" w:rsidRPr="004F2465">
        <w:rPr>
          <w:rFonts w:ascii="David" w:hAnsi="David"/>
          <w:b/>
          <w:bCs/>
          <w:rtl/>
        </w:rPr>
        <w:t>מדינת ישראל נ' אפרתי</w:t>
      </w:r>
      <w:r w:rsidR="007E37EF" w:rsidRPr="004F2465">
        <w:rPr>
          <w:rFonts w:ascii="David" w:hAnsi="David"/>
          <w:rtl/>
        </w:rPr>
        <w:t xml:space="preserve"> - הנאשם הורשע בהתאם להודאתו בהחזקת 40 גרם קוקאין. באותו מקרה הוגש תסקיר עם המלצה טיפולית והמאשימה הסכימה להסתפק ב-9 חודשי מאסר בעבודות שירות משיקולי שיקום. בית המשפט הטיל 5 חודשי מאסר בעבודות שירות משיקולי שיקום. לדעת ההגנה, אין מקום להבחנה בין המקרים. </w:t>
      </w:r>
    </w:p>
    <w:p w14:paraId="7C02A102" w14:textId="77777777" w:rsidR="007E37EF" w:rsidRPr="004F2465" w:rsidRDefault="007E37EF" w:rsidP="007E37EF">
      <w:pPr>
        <w:spacing w:after="160" w:line="360" w:lineRule="auto"/>
        <w:ind w:left="720"/>
        <w:contextualSpacing/>
        <w:jc w:val="both"/>
        <w:rPr>
          <w:rFonts w:ascii="David" w:hAnsi="David"/>
        </w:rPr>
      </w:pPr>
    </w:p>
    <w:p w14:paraId="0BE7CB48" w14:textId="77777777" w:rsidR="007E37EF" w:rsidRPr="004F2465" w:rsidRDefault="007E72EC" w:rsidP="007E37EF">
      <w:pPr>
        <w:spacing w:after="160" w:line="360" w:lineRule="auto"/>
        <w:ind w:left="720"/>
        <w:contextualSpacing/>
        <w:jc w:val="both"/>
        <w:rPr>
          <w:rFonts w:ascii="David" w:hAnsi="David"/>
          <w:rtl/>
        </w:rPr>
      </w:pPr>
      <w:hyperlink r:id="rId31" w:history="1">
        <w:r w:rsidRPr="007E72EC">
          <w:rPr>
            <w:rFonts w:ascii="David" w:hAnsi="David"/>
            <w:color w:val="0000FF"/>
            <w:u w:val="single"/>
            <w:rtl/>
          </w:rPr>
          <w:t>ת"פ 6788-06-16</w:t>
        </w:r>
      </w:hyperlink>
      <w:r w:rsidR="007E37EF" w:rsidRPr="004F2465">
        <w:rPr>
          <w:rFonts w:ascii="David" w:hAnsi="David"/>
          <w:rtl/>
        </w:rPr>
        <w:t xml:space="preserve"> (מחוזי מרכז-לוד) </w:t>
      </w:r>
      <w:r w:rsidR="007E37EF" w:rsidRPr="004F2465">
        <w:rPr>
          <w:rFonts w:ascii="David" w:hAnsi="David"/>
          <w:b/>
          <w:bCs/>
          <w:rtl/>
        </w:rPr>
        <w:t>מדינת ישראל נ' בנעטייה</w:t>
      </w:r>
      <w:r w:rsidR="007E37EF" w:rsidRPr="004F2465">
        <w:rPr>
          <w:rFonts w:ascii="David" w:hAnsi="David"/>
          <w:rtl/>
        </w:rPr>
        <w:t xml:space="preserve"> – הנאשמת ייבא במסגרת קשר פלילי 2.5 ק"ג קוקאין. הוטלו עליה 6 חודשי מאסר בעבודות שירות לאור ההליך הטיפולי. </w:t>
      </w:r>
    </w:p>
    <w:p w14:paraId="566E3EE1" w14:textId="77777777" w:rsidR="007E37EF" w:rsidRPr="004F2465" w:rsidRDefault="007E37EF" w:rsidP="007E37EF">
      <w:pPr>
        <w:spacing w:after="160" w:line="360" w:lineRule="auto"/>
        <w:ind w:left="720"/>
        <w:contextualSpacing/>
        <w:jc w:val="both"/>
        <w:rPr>
          <w:rFonts w:ascii="David" w:hAnsi="David"/>
          <w:rtl/>
        </w:rPr>
      </w:pPr>
    </w:p>
    <w:p w14:paraId="5E6F20A4" w14:textId="77777777" w:rsidR="007E37EF" w:rsidRPr="004F2465" w:rsidRDefault="007E72EC" w:rsidP="007E37EF">
      <w:pPr>
        <w:spacing w:after="160" w:line="360" w:lineRule="auto"/>
        <w:ind w:left="720"/>
        <w:contextualSpacing/>
        <w:jc w:val="both"/>
        <w:rPr>
          <w:rFonts w:ascii="David" w:hAnsi="David"/>
        </w:rPr>
      </w:pPr>
      <w:hyperlink r:id="rId32" w:history="1">
        <w:r w:rsidRPr="007E72EC">
          <w:rPr>
            <w:rFonts w:ascii="David" w:hAnsi="David"/>
            <w:color w:val="0000FF"/>
            <w:u w:val="single"/>
            <w:rtl/>
          </w:rPr>
          <w:t>ת"פ 58591-08-18</w:t>
        </w:r>
      </w:hyperlink>
      <w:r w:rsidR="007E37EF" w:rsidRPr="004F2465">
        <w:rPr>
          <w:rFonts w:ascii="David" w:hAnsi="David"/>
          <w:rtl/>
        </w:rPr>
        <w:t xml:space="preserve"> </w:t>
      </w:r>
      <w:r w:rsidR="007E37EF" w:rsidRPr="004F2465">
        <w:rPr>
          <w:rFonts w:ascii="David" w:hAnsi="David"/>
          <w:b/>
          <w:bCs/>
          <w:rtl/>
        </w:rPr>
        <w:t xml:space="preserve">מדינת ישראל נ' גרייף </w:t>
      </w:r>
      <w:r w:rsidR="007E37EF" w:rsidRPr="004F2465">
        <w:rPr>
          <w:rFonts w:ascii="David" w:hAnsi="David"/>
          <w:rtl/>
        </w:rPr>
        <w:t xml:space="preserve">– הנאשם הורשע על פי הודאתו בהחזקת למעלה מקילו של קוקאין נוזלי ויצר קשר עם מעורב נוסף במטרה לעבד את הקוקאין הנוזלי לאבקה. בהתאם להסדר הטיעון, המאשימה הגבילה את עצמה לעונש של 3 שנות מאסר. בית המשפט קבע, כי מתחם העונש ההולם הוא 3 עד 6 שנות מאסר והחליט משיקולי שיקום כבדי משקל להטיל על הנאשם 9 חודשי מאסר לריצוי בעבודות שירות ועונשים נלווים ובהם בין היתר קנס בסך 60,000 ₪. ברע"פ 6734/20 החליט בית המשפט העליון שלא להתערב בגזר הדין נוכח שיקולי השיקום, אף שהעונש נוטה עד מאוד לקולא, גם בהינתן ההיבט השיקומי. </w:t>
      </w:r>
    </w:p>
    <w:p w14:paraId="68442AC9" w14:textId="77777777" w:rsidR="007E37EF" w:rsidRPr="004F2465" w:rsidRDefault="007E37EF" w:rsidP="007E37EF">
      <w:pPr>
        <w:spacing w:after="160" w:line="360" w:lineRule="auto"/>
        <w:ind w:left="720"/>
        <w:contextualSpacing/>
        <w:jc w:val="both"/>
        <w:rPr>
          <w:rFonts w:ascii="David" w:hAnsi="David"/>
          <w:rtl/>
        </w:rPr>
      </w:pPr>
    </w:p>
    <w:p w14:paraId="1A2A60DA" w14:textId="77777777" w:rsidR="007E37EF" w:rsidRPr="004F2465" w:rsidRDefault="007E37EF" w:rsidP="007E37EF">
      <w:pPr>
        <w:spacing w:after="160" w:line="360" w:lineRule="auto"/>
        <w:ind w:left="720"/>
        <w:contextualSpacing/>
        <w:jc w:val="both"/>
        <w:rPr>
          <w:rFonts w:ascii="David" w:hAnsi="David"/>
          <w:rtl/>
        </w:rPr>
      </w:pPr>
      <w:r w:rsidRPr="004F2465">
        <w:rPr>
          <w:rFonts w:ascii="David" w:hAnsi="David"/>
          <w:rtl/>
        </w:rPr>
        <w:t xml:space="preserve">ב"כ הנאשם הפנה באריכות לעולה מן התסקיר ביחס לשיקומו של הנאשם. נטען, כי הליך השיקום מוצה במסגרת הליך המעצר, ולכן שירות המבחן לא ממליץ על טיפול נוסף. נטען, כי יש לאפשר לנאשם לחזור למסלול חייו הנורמטיבי. נטען, כי אין להחמיר עם הנאשם בשל שידול האחר להשמדת הראיה, שכן האחר יכול היה לסרב לבקשתו. </w:t>
      </w:r>
    </w:p>
    <w:p w14:paraId="66D23A06" w14:textId="77777777" w:rsidR="007E37EF" w:rsidRPr="004F2465" w:rsidRDefault="007E37EF" w:rsidP="007E37EF">
      <w:pPr>
        <w:spacing w:after="160"/>
        <w:ind w:left="720"/>
        <w:contextualSpacing/>
        <w:jc w:val="both"/>
        <w:rPr>
          <w:rFonts w:ascii="David" w:hAnsi="David"/>
        </w:rPr>
      </w:pPr>
    </w:p>
    <w:p w14:paraId="2A08E62D" w14:textId="77777777" w:rsidR="007E37EF" w:rsidRPr="004F2465" w:rsidRDefault="007E37EF" w:rsidP="007E37EF">
      <w:pPr>
        <w:spacing w:after="160" w:line="360" w:lineRule="auto"/>
        <w:ind w:left="720"/>
        <w:contextualSpacing/>
        <w:jc w:val="both"/>
        <w:rPr>
          <w:rFonts w:ascii="David" w:hAnsi="David"/>
        </w:rPr>
      </w:pPr>
      <w:r w:rsidRPr="004F2465">
        <w:rPr>
          <w:rFonts w:ascii="David" w:hAnsi="David"/>
          <w:rtl/>
        </w:rPr>
        <w:t>באשר לנסיבותיו האישיות של הנאשם, נטען כי מדובר בנאשם אשר לא היה לו רצון להשיג רווח כספי מהחזקת הסמים, כי הוא נעדר עבר פלילי ומעולם לא ריצה מאסר. כן ביקש הסניגור להביא בחשבון את תקופת מעצרו של הנאשם.</w:t>
      </w:r>
    </w:p>
    <w:p w14:paraId="327318B3"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b/>
          <w:bCs/>
          <w:rtl/>
        </w:rPr>
        <w:t xml:space="preserve">8. </w:t>
      </w:r>
      <w:r w:rsidRPr="004F2465">
        <w:rPr>
          <w:rFonts w:ascii="David" w:hAnsi="David"/>
          <w:b/>
          <w:bCs/>
          <w:rtl/>
        </w:rPr>
        <w:tab/>
        <w:t xml:space="preserve">הנאשם </w:t>
      </w:r>
      <w:r w:rsidRPr="004F2465">
        <w:rPr>
          <w:rFonts w:ascii="David" w:hAnsi="David"/>
          <w:rtl/>
        </w:rPr>
        <w:t xml:space="preserve">בדבריו לבית המשפט מסר, כי הוא מתחרט על המעשים שביצע. ציין כי ביקר אצל קצינת המבחן פעמים רבות, כי ביצע בדיקות שתן שיצאו נקיות וכיום הוא עובד בעבודה מסודרת. </w:t>
      </w:r>
    </w:p>
    <w:p w14:paraId="04876864" w14:textId="77777777" w:rsidR="007E37EF" w:rsidRPr="004F2465" w:rsidRDefault="007E37EF" w:rsidP="007E37EF">
      <w:pPr>
        <w:spacing w:after="160" w:line="360" w:lineRule="auto"/>
        <w:ind w:left="720" w:hanging="720"/>
        <w:jc w:val="both"/>
        <w:rPr>
          <w:rFonts w:ascii="David" w:hAnsi="David"/>
          <w:u w:val="single"/>
          <w:rtl/>
        </w:rPr>
      </w:pPr>
      <w:r w:rsidRPr="004F2465">
        <w:rPr>
          <w:rFonts w:ascii="David" w:hAnsi="David"/>
          <w:b/>
          <w:bCs/>
          <w:u w:val="single"/>
          <w:rtl/>
        </w:rPr>
        <w:t>דיון והכרעה:</w:t>
      </w:r>
    </w:p>
    <w:p w14:paraId="59BC843E" w14:textId="77777777" w:rsidR="007E37EF" w:rsidRDefault="007E37EF" w:rsidP="007E37EF">
      <w:pPr>
        <w:spacing w:after="160" w:line="360" w:lineRule="auto"/>
        <w:ind w:left="720" w:hanging="720"/>
        <w:jc w:val="both"/>
        <w:rPr>
          <w:rFonts w:ascii="David" w:hAnsi="David"/>
          <w:b/>
          <w:rtl/>
        </w:rPr>
      </w:pPr>
      <w:r w:rsidRPr="004F2465">
        <w:rPr>
          <w:rFonts w:ascii="David" w:hAnsi="David"/>
          <w:rtl/>
        </w:rPr>
        <w:t xml:space="preserve">9. </w:t>
      </w:r>
      <w:r w:rsidRPr="004F2465">
        <w:rPr>
          <w:rFonts w:ascii="David" w:hAnsi="David"/>
          <w:rtl/>
        </w:rPr>
        <w:tab/>
        <w:t xml:space="preserve">במחלוקת שבין הצדדים, מקובלת עליי עמדת ההגנה כי מדובר באירוע אחד בגינו יש לקבוע מתחם אחד. כלל המעשים בהם הורשע הנאשם התרחשו באותו זמן, באותו מקום ועל אותו הרקע. </w:t>
      </w:r>
    </w:p>
    <w:p w14:paraId="302A160A" w14:textId="77777777" w:rsidR="007E37EF" w:rsidRPr="004F2465" w:rsidRDefault="007E37EF" w:rsidP="007E37EF">
      <w:pPr>
        <w:spacing w:after="160" w:line="360" w:lineRule="auto"/>
        <w:jc w:val="both"/>
        <w:rPr>
          <w:rFonts w:ascii="David" w:hAnsi="David"/>
          <w:b/>
          <w:bCs/>
          <w:u w:val="single"/>
          <w:rtl/>
        </w:rPr>
      </w:pPr>
      <w:r w:rsidRPr="004F2465">
        <w:rPr>
          <w:rFonts w:ascii="David" w:hAnsi="David"/>
          <w:b/>
          <w:bCs/>
          <w:u w:val="single"/>
          <w:rtl/>
        </w:rPr>
        <w:t>קביעת מתחם העונש ההולם:</w:t>
      </w:r>
    </w:p>
    <w:p w14:paraId="599C5D77"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10. </w:t>
      </w:r>
      <w:r w:rsidRPr="004F2465">
        <w:rPr>
          <w:rFonts w:ascii="David" w:hAnsi="David"/>
          <w:rtl/>
        </w:rPr>
        <w:tab/>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5EBA8448"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11. </w:t>
      </w:r>
      <w:r w:rsidRPr="004F2465">
        <w:rPr>
          <w:rFonts w:ascii="David" w:hAnsi="David"/>
          <w:rtl/>
        </w:rPr>
        <w:tab/>
        <w:t xml:space="preserve">אין צורך להכביר במילים בדבר הערכים החברתיים שנפגעו במקרה זה מביצוע </w:t>
      </w:r>
      <w:r w:rsidRPr="004F2465">
        <w:rPr>
          <w:rFonts w:ascii="David" w:hAnsi="David"/>
          <w:b/>
          <w:bCs/>
          <w:rtl/>
        </w:rPr>
        <w:t>עבירות הסמים</w:t>
      </w:r>
      <w:r w:rsidRPr="004F2465">
        <w:rPr>
          <w:rFonts w:ascii="David" w:hAnsi="David"/>
          <w:rtl/>
        </w:rPr>
        <w:t>, והם הגנה על בריאות הציבור ועל שלומו הפיזי והנפשי מפני הנזקים הישירים והעקיפים הקשים הנגרמים עקב השימוש בסמים. חקיקת חוקי הסמים נועדה לעקור את נגע הסמים מהשורש. ייצור, הפצה, סחר וכן שימוש בסמים טומנים בחובם פוטנציאל לנזק רחב, לא רק למעורבים הישירים בביצוע העבירה, אלא לחברה כולה – צרכן הסמים ,משפחתו, והנפגעים העקיפים הפעילות העבריינית שפעמים רבות נלווית לעבירות הסמים.</w:t>
      </w:r>
    </w:p>
    <w:p w14:paraId="3471A722" w14:textId="77777777" w:rsidR="007E37EF" w:rsidRPr="004F2465" w:rsidRDefault="007E37EF" w:rsidP="007E37EF">
      <w:pPr>
        <w:spacing w:after="160" w:line="360" w:lineRule="auto"/>
        <w:ind w:left="720"/>
        <w:jc w:val="both"/>
        <w:rPr>
          <w:rFonts w:ascii="David" w:hAnsi="David"/>
          <w:rtl/>
        </w:rPr>
      </w:pPr>
      <w:r w:rsidRPr="004F2465">
        <w:rPr>
          <w:rFonts w:ascii="David" w:hAnsi="David"/>
          <w:b/>
          <w:bCs/>
          <w:rtl/>
        </w:rPr>
        <w:t>עבירות הסמים</w:t>
      </w:r>
      <w:r w:rsidRPr="004F2465">
        <w:rPr>
          <w:rFonts w:ascii="David" w:hAnsi="David"/>
          <w:rtl/>
        </w:rPr>
        <w:t xml:space="preserve"> פוגעות גם בערכים מוגנים נוספים, שהם שמירה על הביטחון הכללי של הציבור ועל רכושו, שכן הקשר בין שימוש בסמים לבין קשת רחבה של עבירות רכוש ואלימות הינו קשר ידוע וברור. </w:t>
      </w:r>
    </w:p>
    <w:p w14:paraId="07258930"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 xml:space="preserve">במסגרת הסדר הטיעון שבין הצדדים, הסכימה המאשימה כי 5 גרם מתוך הכמות הכוללת הוחזקו לשימושו העצמי של הנאשם והיתרה שלא לשימוש עצמי. טענת הנאשם בפני שירות המבחן, כי מדובר בקוקאין שרכש יחד עם חבריו ולשימושם המשותף, איננה חלק מהעובדות המוסכמות שבפניי. כידוע, על פי ההלכה, במסגרת פרשת העונש, בית המשפט לא יחרוג מן העובדות המוסכמות בהן הורשע הנאשם, אלא בעתירה משותפת של הצדדים. </w:t>
      </w:r>
    </w:p>
    <w:p w14:paraId="460CB501" w14:textId="77777777" w:rsidR="007E37EF" w:rsidRPr="004F2465" w:rsidRDefault="007E37EF" w:rsidP="007E37EF">
      <w:pPr>
        <w:spacing w:after="200" w:line="360" w:lineRule="auto"/>
        <w:ind w:left="720" w:hanging="720"/>
        <w:contextualSpacing/>
        <w:jc w:val="both"/>
        <w:rPr>
          <w:rFonts w:ascii="David" w:hAnsi="David"/>
          <w:rtl/>
        </w:rPr>
      </w:pPr>
      <w:r w:rsidRPr="004F2465">
        <w:rPr>
          <w:rFonts w:ascii="David" w:hAnsi="David"/>
          <w:rtl/>
        </w:rPr>
        <w:t xml:space="preserve">12. </w:t>
      </w:r>
      <w:r w:rsidRPr="004F2465">
        <w:rPr>
          <w:rFonts w:ascii="David" w:hAnsi="David"/>
          <w:rtl/>
        </w:rPr>
        <w:tab/>
        <w:t xml:space="preserve">בית המשפט העליון חוזר ומורה לערכאות הדיוניות להחמיר בעבירות שלא לצריכה עצמית, בפרט כאשר מדובר בסמים מסוכנים במיוחד. לעניין זה ראו </w:t>
      </w:r>
      <w:hyperlink r:id="rId33" w:history="1">
        <w:r w:rsidR="007E72EC" w:rsidRPr="007E72EC">
          <w:rPr>
            <w:rFonts w:ascii="David" w:hAnsi="David"/>
            <w:color w:val="0000FF"/>
            <w:u w:val="single"/>
            <w:rtl/>
          </w:rPr>
          <w:t>ע"פ 972/11</w:t>
        </w:r>
      </w:hyperlink>
      <w:r w:rsidRPr="004F2465">
        <w:rPr>
          <w:rFonts w:ascii="David" w:hAnsi="David"/>
          <w:rtl/>
        </w:rPr>
        <w:t xml:space="preserve"> </w:t>
      </w:r>
      <w:r w:rsidRPr="004F2465">
        <w:rPr>
          <w:rFonts w:ascii="David" w:hAnsi="David"/>
          <w:b/>
          <w:bCs/>
          <w:rtl/>
        </w:rPr>
        <w:t xml:space="preserve">מדינת ישראל נגד יניב יונה </w:t>
      </w:r>
      <w:r w:rsidRPr="004F2465">
        <w:rPr>
          <w:rFonts w:ascii="David" w:hAnsi="David"/>
          <w:color w:val="000000"/>
          <w:rtl/>
        </w:rPr>
        <w:t>בפסקה 4 לפסק דינו של כב' השופט הנדל</w:t>
      </w:r>
      <w:r w:rsidRPr="004F2465">
        <w:rPr>
          <w:rFonts w:ascii="David" w:hAnsi="David"/>
          <w:rtl/>
        </w:rPr>
        <w:t>:</w:t>
      </w:r>
    </w:p>
    <w:p w14:paraId="7088B489" w14:textId="77777777" w:rsidR="007E37EF" w:rsidRPr="004F2465" w:rsidRDefault="007E37EF" w:rsidP="007E37EF">
      <w:pPr>
        <w:spacing w:after="200" w:line="360" w:lineRule="auto"/>
        <w:ind w:left="1076" w:right="851"/>
        <w:jc w:val="both"/>
        <w:rPr>
          <w:rFonts w:ascii="FrankRuehl" w:hAnsi="FrankRuehl"/>
          <w:b/>
          <w:bCs/>
          <w:rtl/>
        </w:rPr>
      </w:pPr>
      <w:r w:rsidRPr="004F2465">
        <w:rPr>
          <w:rFonts w:ascii="FrankRuehl" w:hAnsi="FrankRuehl"/>
          <w:b/>
          <w:bCs/>
          <w:rtl/>
        </w:rPr>
        <w:t>"</w:t>
      </w:r>
      <w:r w:rsidRPr="004F2465">
        <w:rPr>
          <w:rFonts w:ascii="FrankRuehl" w:hAnsi="FrankRuehl" w:hint="eastAsia"/>
          <w:b/>
          <w:bCs/>
          <w:rtl/>
        </w:rPr>
        <w:t>הקוקאין</w:t>
      </w:r>
      <w:r w:rsidRPr="004F2465">
        <w:rPr>
          <w:rFonts w:ascii="FrankRuehl" w:hAnsi="FrankRuehl"/>
          <w:b/>
          <w:bCs/>
          <w:rtl/>
        </w:rPr>
        <w:t xml:space="preserve"> </w:t>
      </w:r>
      <w:r w:rsidRPr="004F2465">
        <w:rPr>
          <w:rFonts w:ascii="FrankRuehl" w:hAnsi="FrankRuehl" w:hint="eastAsia"/>
          <w:b/>
          <w:bCs/>
          <w:rtl/>
        </w:rPr>
        <w:t>נחשב</w:t>
      </w:r>
      <w:r w:rsidRPr="004F2465">
        <w:rPr>
          <w:rFonts w:ascii="FrankRuehl" w:hAnsi="FrankRuehl"/>
          <w:b/>
          <w:bCs/>
          <w:rtl/>
        </w:rPr>
        <w:t xml:space="preserve">, </w:t>
      </w:r>
      <w:r w:rsidRPr="004F2465">
        <w:rPr>
          <w:rFonts w:ascii="FrankRuehl" w:hAnsi="FrankRuehl" w:hint="eastAsia"/>
          <w:b/>
          <w:bCs/>
          <w:rtl/>
        </w:rPr>
        <w:t>ולא</w:t>
      </w:r>
      <w:r w:rsidRPr="004F2465">
        <w:rPr>
          <w:rFonts w:ascii="FrankRuehl" w:hAnsi="FrankRuehl"/>
          <w:b/>
          <w:bCs/>
          <w:rtl/>
        </w:rPr>
        <w:t xml:space="preserve"> </w:t>
      </w:r>
      <w:r w:rsidRPr="004F2465">
        <w:rPr>
          <w:rFonts w:ascii="FrankRuehl" w:hAnsi="FrankRuehl" w:hint="eastAsia"/>
          <w:b/>
          <w:bCs/>
          <w:rtl/>
        </w:rPr>
        <w:t>בכדי</w:t>
      </w:r>
      <w:r w:rsidRPr="004F2465">
        <w:rPr>
          <w:rFonts w:ascii="FrankRuehl" w:hAnsi="FrankRuehl"/>
          <w:b/>
          <w:bCs/>
          <w:rtl/>
        </w:rPr>
        <w:t xml:space="preserve">, </w:t>
      </w:r>
      <w:r w:rsidRPr="004F2465">
        <w:rPr>
          <w:rFonts w:ascii="FrankRuehl" w:hAnsi="FrankRuehl" w:hint="eastAsia"/>
          <w:b/>
          <w:bCs/>
          <w:rtl/>
        </w:rPr>
        <w:t>לסם</w:t>
      </w:r>
      <w:r w:rsidRPr="004F2465">
        <w:rPr>
          <w:rFonts w:ascii="FrankRuehl" w:hAnsi="FrankRuehl"/>
          <w:b/>
          <w:bCs/>
          <w:rtl/>
        </w:rPr>
        <w:t xml:space="preserve"> </w:t>
      </w:r>
      <w:r w:rsidRPr="004F2465">
        <w:rPr>
          <w:rFonts w:ascii="FrankRuehl" w:hAnsi="FrankRuehl" w:hint="eastAsia"/>
          <w:b/>
          <w:bCs/>
          <w:rtl/>
        </w:rPr>
        <w:t>קשה</w:t>
      </w:r>
      <w:r w:rsidRPr="004F2465">
        <w:rPr>
          <w:rFonts w:ascii="FrankRuehl" w:hAnsi="FrankRuehl"/>
          <w:b/>
          <w:bCs/>
          <w:rtl/>
        </w:rPr>
        <w:t xml:space="preserve">. </w:t>
      </w:r>
      <w:r w:rsidRPr="004F2465">
        <w:rPr>
          <w:rFonts w:ascii="FrankRuehl" w:hAnsi="FrankRuehl" w:hint="eastAsia"/>
          <w:b/>
          <w:bCs/>
          <w:rtl/>
        </w:rPr>
        <w:t>זאת</w:t>
      </w:r>
      <w:r w:rsidRPr="004F2465">
        <w:rPr>
          <w:rFonts w:ascii="FrankRuehl" w:hAnsi="FrankRuehl"/>
          <w:b/>
          <w:bCs/>
          <w:rtl/>
        </w:rPr>
        <w:t xml:space="preserve"> </w:t>
      </w:r>
      <w:r w:rsidRPr="004F2465">
        <w:rPr>
          <w:rFonts w:ascii="FrankRuehl" w:hAnsi="FrankRuehl" w:hint="eastAsia"/>
          <w:b/>
          <w:bCs/>
          <w:rtl/>
        </w:rPr>
        <w:t>הן</w:t>
      </w:r>
      <w:r w:rsidRPr="004F2465">
        <w:rPr>
          <w:rFonts w:ascii="FrankRuehl" w:hAnsi="FrankRuehl"/>
          <w:b/>
          <w:bCs/>
          <w:rtl/>
        </w:rPr>
        <w:t xml:space="preserve"> </w:t>
      </w:r>
      <w:r w:rsidRPr="004F2465">
        <w:rPr>
          <w:rFonts w:ascii="FrankRuehl" w:hAnsi="FrankRuehl" w:hint="eastAsia"/>
          <w:b/>
          <w:bCs/>
          <w:rtl/>
        </w:rPr>
        <w:t>בשל</w:t>
      </w:r>
      <w:r w:rsidRPr="004F2465">
        <w:rPr>
          <w:rFonts w:ascii="FrankRuehl" w:hAnsi="FrankRuehl"/>
          <w:b/>
          <w:bCs/>
          <w:rtl/>
        </w:rPr>
        <w:t xml:space="preserve"> </w:t>
      </w:r>
      <w:r w:rsidRPr="004F2465">
        <w:rPr>
          <w:rFonts w:ascii="FrankRuehl" w:hAnsi="FrankRuehl" w:hint="eastAsia"/>
          <w:b/>
          <w:bCs/>
          <w:rtl/>
        </w:rPr>
        <w:t>השפעותיו</w:t>
      </w:r>
      <w:r w:rsidRPr="004F2465">
        <w:rPr>
          <w:rFonts w:ascii="FrankRuehl" w:hAnsi="FrankRuehl"/>
          <w:b/>
          <w:bCs/>
          <w:rtl/>
        </w:rPr>
        <w:t xml:space="preserve"> </w:t>
      </w:r>
      <w:r w:rsidRPr="004F2465">
        <w:rPr>
          <w:rFonts w:ascii="FrankRuehl" w:hAnsi="FrankRuehl" w:hint="eastAsia"/>
          <w:b/>
          <w:bCs/>
          <w:rtl/>
        </w:rPr>
        <w:t>על</w:t>
      </w:r>
      <w:r w:rsidRPr="004F2465">
        <w:rPr>
          <w:rFonts w:ascii="FrankRuehl" w:hAnsi="FrankRuehl"/>
          <w:b/>
          <w:bCs/>
          <w:rtl/>
        </w:rPr>
        <w:t xml:space="preserve"> </w:t>
      </w:r>
      <w:r w:rsidRPr="004F2465">
        <w:rPr>
          <w:rFonts w:ascii="FrankRuehl" w:hAnsi="FrankRuehl" w:hint="eastAsia"/>
          <w:b/>
          <w:bCs/>
          <w:rtl/>
        </w:rPr>
        <w:t>גוף</w:t>
      </w:r>
      <w:r w:rsidRPr="004F2465">
        <w:rPr>
          <w:rFonts w:ascii="FrankRuehl" w:hAnsi="FrankRuehl"/>
          <w:b/>
          <w:bCs/>
          <w:rtl/>
        </w:rPr>
        <w:t xml:space="preserve"> </w:t>
      </w:r>
      <w:r w:rsidRPr="004F2465">
        <w:rPr>
          <w:rFonts w:ascii="FrankRuehl" w:hAnsi="FrankRuehl" w:hint="eastAsia"/>
          <w:b/>
          <w:bCs/>
          <w:rtl/>
        </w:rPr>
        <w:t>האדם</w:t>
      </w:r>
      <w:r w:rsidRPr="004F2465">
        <w:rPr>
          <w:rFonts w:ascii="FrankRuehl" w:hAnsi="FrankRuehl"/>
          <w:b/>
          <w:bCs/>
          <w:rtl/>
        </w:rPr>
        <w:t xml:space="preserve">, </w:t>
      </w:r>
      <w:r w:rsidRPr="004F2465">
        <w:rPr>
          <w:rFonts w:ascii="FrankRuehl" w:hAnsi="FrankRuehl" w:hint="eastAsia"/>
          <w:b/>
          <w:bCs/>
          <w:rtl/>
        </w:rPr>
        <w:t>והן</w:t>
      </w:r>
      <w:r w:rsidRPr="004F2465">
        <w:rPr>
          <w:rFonts w:ascii="FrankRuehl" w:hAnsi="FrankRuehl"/>
          <w:b/>
          <w:bCs/>
          <w:rtl/>
        </w:rPr>
        <w:t xml:space="preserve"> </w:t>
      </w:r>
      <w:r w:rsidRPr="004F2465">
        <w:rPr>
          <w:rFonts w:ascii="FrankRuehl" w:hAnsi="FrankRuehl" w:hint="eastAsia"/>
          <w:b/>
          <w:bCs/>
          <w:rtl/>
        </w:rPr>
        <w:t>בשל</w:t>
      </w:r>
      <w:r w:rsidRPr="004F2465">
        <w:rPr>
          <w:rFonts w:ascii="FrankRuehl" w:hAnsi="FrankRuehl"/>
          <w:b/>
          <w:bCs/>
          <w:rtl/>
        </w:rPr>
        <w:t xml:space="preserve"> </w:t>
      </w:r>
      <w:r w:rsidRPr="004F2465">
        <w:rPr>
          <w:rFonts w:ascii="FrankRuehl" w:hAnsi="FrankRuehl" w:hint="eastAsia"/>
          <w:b/>
          <w:bCs/>
          <w:rtl/>
        </w:rPr>
        <w:t>פוטנציאל</w:t>
      </w:r>
      <w:r w:rsidRPr="004F2465">
        <w:rPr>
          <w:rFonts w:ascii="FrankRuehl" w:hAnsi="FrankRuehl"/>
          <w:b/>
          <w:bCs/>
          <w:rtl/>
        </w:rPr>
        <w:t xml:space="preserve"> </w:t>
      </w:r>
      <w:r w:rsidRPr="004F2465">
        <w:rPr>
          <w:rFonts w:ascii="FrankRuehl" w:hAnsi="FrankRuehl" w:hint="eastAsia"/>
          <w:b/>
          <w:bCs/>
          <w:rtl/>
        </w:rPr>
        <w:t>ההתמכרות</w:t>
      </w:r>
      <w:r w:rsidRPr="004F2465">
        <w:rPr>
          <w:rFonts w:ascii="FrankRuehl" w:hAnsi="FrankRuehl"/>
          <w:b/>
          <w:bCs/>
          <w:rtl/>
        </w:rPr>
        <w:t xml:space="preserve"> </w:t>
      </w:r>
      <w:r w:rsidRPr="004F2465">
        <w:rPr>
          <w:rFonts w:ascii="FrankRuehl" w:hAnsi="FrankRuehl" w:hint="eastAsia"/>
          <w:b/>
          <w:bCs/>
          <w:rtl/>
        </w:rPr>
        <w:t>הגבוה</w:t>
      </w:r>
      <w:r w:rsidRPr="004F2465">
        <w:rPr>
          <w:rFonts w:ascii="FrankRuehl" w:hAnsi="FrankRuehl"/>
          <w:b/>
          <w:bCs/>
          <w:rtl/>
        </w:rPr>
        <w:t xml:space="preserve"> </w:t>
      </w:r>
      <w:r w:rsidRPr="004F2465">
        <w:rPr>
          <w:rFonts w:ascii="FrankRuehl" w:hAnsi="FrankRuehl" w:hint="eastAsia"/>
          <w:b/>
          <w:bCs/>
          <w:rtl/>
        </w:rPr>
        <w:t>שטמון</w:t>
      </w:r>
      <w:r w:rsidRPr="004F2465">
        <w:rPr>
          <w:rFonts w:ascii="FrankRuehl" w:hAnsi="FrankRuehl"/>
          <w:b/>
          <w:bCs/>
          <w:rtl/>
        </w:rPr>
        <w:t xml:space="preserve"> </w:t>
      </w:r>
      <w:r w:rsidRPr="004F2465">
        <w:rPr>
          <w:rFonts w:ascii="FrankRuehl" w:hAnsi="FrankRuehl" w:hint="eastAsia"/>
          <w:b/>
          <w:bCs/>
          <w:rtl/>
        </w:rPr>
        <w:t>בו</w:t>
      </w:r>
      <w:r w:rsidRPr="004F2465">
        <w:rPr>
          <w:rFonts w:ascii="FrankRuehl" w:hAnsi="FrankRuehl"/>
          <w:b/>
          <w:bCs/>
          <w:rtl/>
        </w:rPr>
        <w:t xml:space="preserve">... </w:t>
      </w:r>
      <w:r w:rsidRPr="004F2465">
        <w:rPr>
          <w:rFonts w:ascii="FrankRuehl" w:hAnsi="FrankRuehl" w:hint="eastAsia"/>
          <w:b/>
          <w:bCs/>
          <w:rtl/>
        </w:rPr>
        <w:t>הפגיעה</w:t>
      </w:r>
      <w:r w:rsidRPr="004F2465">
        <w:rPr>
          <w:rFonts w:ascii="FrankRuehl" w:hAnsi="FrankRuehl"/>
          <w:b/>
          <w:bCs/>
          <w:rtl/>
        </w:rPr>
        <w:t xml:space="preserve"> </w:t>
      </w:r>
      <w:r w:rsidRPr="004F2465">
        <w:rPr>
          <w:rFonts w:ascii="FrankRuehl" w:hAnsi="FrankRuehl" w:hint="eastAsia"/>
          <w:b/>
          <w:bCs/>
          <w:rtl/>
        </w:rPr>
        <w:t>ביחיד</w:t>
      </w:r>
      <w:r w:rsidRPr="004F2465">
        <w:rPr>
          <w:rFonts w:ascii="FrankRuehl" w:hAnsi="FrankRuehl"/>
          <w:b/>
          <w:bCs/>
          <w:rtl/>
        </w:rPr>
        <w:t xml:space="preserve"> </w:t>
      </w:r>
      <w:r w:rsidRPr="004F2465">
        <w:rPr>
          <w:rFonts w:ascii="FrankRuehl" w:hAnsi="FrankRuehl" w:hint="eastAsia"/>
          <w:b/>
          <w:bCs/>
          <w:rtl/>
        </w:rPr>
        <w:t>חוזרת</w:t>
      </w:r>
      <w:r w:rsidRPr="004F2465">
        <w:rPr>
          <w:rFonts w:ascii="FrankRuehl" w:hAnsi="FrankRuehl"/>
          <w:b/>
          <w:bCs/>
          <w:rtl/>
        </w:rPr>
        <w:t xml:space="preserve"> </w:t>
      </w:r>
      <w:r w:rsidRPr="004F2465">
        <w:rPr>
          <w:rFonts w:ascii="FrankRuehl" w:hAnsi="FrankRuehl" w:hint="eastAsia"/>
          <w:b/>
          <w:bCs/>
          <w:rtl/>
        </w:rPr>
        <w:t>חלילה</w:t>
      </w:r>
      <w:r w:rsidRPr="004F2465">
        <w:rPr>
          <w:rFonts w:ascii="FrankRuehl" w:hAnsi="FrankRuehl"/>
          <w:b/>
          <w:bCs/>
          <w:rtl/>
        </w:rPr>
        <w:t xml:space="preserve"> </w:t>
      </w:r>
      <w:r w:rsidRPr="004F2465">
        <w:rPr>
          <w:rFonts w:ascii="FrankRuehl" w:hAnsi="FrankRuehl" w:hint="eastAsia"/>
          <w:b/>
          <w:bCs/>
          <w:rtl/>
        </w:rPr>
        <w:t>לפגיעה</w:t>
      </w:r>
      <w:r w:rsidRPr="004F2465">
        <w:rPr>
          <w:rFonts w:ascii="FrankRuehl" w:hAnsi="FrankRuehl"/>
          <w:b/>
          <w:bCs/>
          <w:rtl/>
        </w:rPr>
        <w:t xml:space="preserve"> </w:t>
      </w:r>
      <w:r w:rsidRPr="004F2465">
        <w:rPr>
          <w:rFonts w:ascii="FrankRuehl" w:hAnsi="FrankRuehl" w:hint="eastAsia"/>
          <w:b/>
          <w:bCs/>
          <w:rtl/>
        </w:rPr>
        <w:t>בחברה</w:t>
      </w:r>
      <w:r w:rsidRPr="004F2465">
        <w:rPr>
          <w:rFonts w:ascii="FrankRuehl" w:hAnsi="FrankRuehl"/>
          <w:b/>
          <w:bCs/>
          <w:rtl/>
        </w:rPr>
        <w:t xml:space="preserve">. </w:t>
      </w:r>
      <w:r w:rsidRPr="004F2465">
        <w:rPr>
          <w:rFonts w:ascii="FrankRuehl" w:hAnsi="FrankRuehl" w:hint="eastAsia"/>
          <w:b/>
          <w:bCs/>
          <w:rtl/>
        </w:rPr>
        <w:t>השימוש</w:t>
      </w:r>
      <w:r w:rsidRPr="004F2465">
        <w:rPr>
          <w:rFonts w:ascii="FrankRuehl" w:hAnsi="FrankRuehl"/>
          <w:b/>
          <w:bCs/>
          <w:rtl/>
        </w:rPr>
        <w:t xml:space="preserve"> </w:t>
      </w:r>
      <w:r w:rsidRPr="004F2465">
        <w:rPr>
          <w:rFonts w:ascii="FrankRuehl" w:hAnsi="FrankRuehl" w:hint="eastAsia"/>
          <w:b/>
          <w:bCs/>
          <w:rtl/>
        </w:rPr>
        <w:t>בסם</w:t>
      </w:r>
      <w:r w:rsidRPr="004F2465">
        <w:rPr>
          <w:rFonts w:ascii="FrankRuehl" w:hAnsi="FrankRuehl"/>
          <w:b/>
          <w:bCs/>
          <w:rtl/>
        </w:rPr>
        <w:t xml:space="preserve"> </w:t>
      </w:r>
      <w:r w:rsidRPr="004F2465">
        <w:rPr>
          <w:rFonts w:ascii="FrankRuehl" w:hAnsi="FrankRuehl" w:hint="eastAsia"/>
          <w:b/>
          <w:bCs/>
          <w:rtl/>
        </w:rPr>
        <w:t>מסוג</w:t>
      </w:r>
      <w:r w:rsidRPr="004F2465">
        <w:rPr>
          <w:rFonts w:ascii="FrankRuehl" w:hAnsi="FrankRuehl"/>
          <w:b/>
          <w:bCs/>
          <w:rtl/>
        </w:rPr>
        <w:t xml:space="preserve"> </w:t>
      </w:r>
      <w:r w:rsidRPr="004F2465">
        <w:rPr>
          <w:rFonts w:ascii="FrankRuehl" w:hAnsi="FrankRuehl" w:hint="eastAsia"/>
          <w:b/>
          <w:bCs/>
          <w:rtl/>
        </w:rPr>
        <w:t>קוקאין</w:t>
      </w:r>
      <w:r w:rsidRPr="004F2465">
        <w:rPr>
          <w:rFonts w:ascii="FrankRuehl" w:hAnsi="FrankRuehl"/>
          <w:b/>
          <w:bCs/>
          <w:rtl/>
        </w:rPr>
        <w:t xml:space="preserve"> </w:t>
      </w:r>
      <w:r w:rsidRPr="004F2465">
        <w:rPr>
          <w:rFonts w:ascii="FrankRuehl" w:hAnsi="FrankRuehl" w:hint="eastAsia"/>
          <w:b/>
          <w:bCs/>
          <w:rtl/>
        </w:rPr>
        <w:t>יוצר</w:t>
      </w:r>
      <w:r w:rsidRPr="004F2465">
        <w:rPr>
          <w:rFonts w:ascii="FrankRuehl" w:hAnsi="FrankRuehl"/>
          <w:b/>
          <w:bCs/>
          <w:rtl/>
        </w:rPr>
        <w:t xml:space="preserve"> </w:t>
      </w:r>
      <w:r w:rsidRPr="004F2465">
        <w:rPr>
          <w:rFonts w:ascii="FrankRuehl" w:hAnsi="FrankRuehl" w:hint="eastAsia"/>
          <w:b/>
          <w:bCs/>
          <w:rtl/>
        </w:rPr>
        <w:t>צורך</w:t>
      </w:r>
      <w:r w:rsidRPr="004F2465">
        <w:rPr>
          <w:rFonts w:ascii="FrankRuehl" w:hAnsi="FrankRuehl"/>
          <w:b/>
          <w:bCs/>
          <w:rtl/>
        </w:rPr>
        <w:t xml:space="preserve"> </w:t>
      </w:r>
      <w:r w:rsidRPr="004F2465">
        <w:rPr>
          <w:rFonts w:ascii="FrankRuehl" w:hAnsi="FrankRuehl" w:hint="eastAsia"/>
          <w:b/>
          <w:bCs/>
          <w:rtl/>
        </w:rPr>
        <w:t>להמשיך</w:t>
      </w:r>
      <w:r w:rsidRPr="004F2465">
        <w:rPr>
          <w:rFonts w:ascii="FrankRuehl" w:hAnsi="FrankRuehl"/>
          <w:b/>
          <w:bCs/>
          <w:rtl/>
        </w:rPr>
        <w:t xml:space="preserve"> </w:t>
      </w:r>
      <w:r w:rsidRPr="004F2465">
        <w:rPr>
          <w:rFonts w:ascii="FrankRuehl" w:hAnsi="FrankRuehl" w:hint="eastAsia"/>
          <w:b/>
          <w:bCs/>
          <w:rtl/>
        </w:rPr>
        <w:t>ולהשתמש</w:t>
      </w:r>
      <w:r w:rsidRPr="004F2465">
        <w:rPr>
          <w:rFonts w:ascii="FrankRuehl" w:hAnsi="FrankRuehl"/>
          <w:b/>
          <w:bCs/>
          <w:rtl/>
        </w:rPr>
        <w:t xml:space="preserve">. </w:t>
      </w:r>
      <w:r w:rsidRPr="004F2465">
        <w:rPr>
          <w:rFonts w:ascii="FrankRuehl" w:hAnsi="FrankRuehl" w:hint="eastAsia"/>
          <w:b/>
          <w:bCs/>
          <w:rtl/>
        </w:rPr>
        <w:t>כתוצאה</w:t>
      </w:r>
      <w:r w:rsidRPr="004F2465">
        <w:rPr>
          <w:rFonts w:ascii="FrankRuehl" w:hAnsi="FrankRuehl"/>
          <w:b/>
          <w:bCs/>
          <w:rtl/>
        </w:rPr>
        <w:t xml:space="preserve"> </w:t>
      </w:r>
      <w:r w:rsidRPr="004F2465">
        <w:rPr>
          <w:rFonts w:ascii="FrankRuehl" w:hAnsi="FrankRuehl" w:hint="eastAsia"/>
          <w:b/>
          <w:bCs/>
          <w:rtl/>
        </w:rPr>
        <w:t>מכך</w:t>
      </w:r>
      <w:r w:rsidRPr="004F2465">
        <w:rPr>
          <w:rFonts w:ascii="FrankRuehl" w:hAnsi="FrankRuehl"/>
          <w:b/>
          <w:bCs/>
          <w:rtl/>
        </w:rPr>
        <w:t xml:space="preserve"> </w:t>
      </w:r>
      <w:r w:rsidRPr="004F2465">
        <w:rPr>
          <w:rFonts w:ascii="FrankRuehl" w:hAnsi="FrankRuehl" w:hint="eastAsia"/>
          <w:b/>
          <w:bCs/>
          <w:rtl/>
        </w:rPr>
        <w:t>עליו</w:t>
      </w:r>
      <w:r w:rsidRPr="004F2465">
        <w:rPr>
          <w:rFonts w:ascii="FrankRuehl" w:hAnsi="FrankRuehl"/>
          <w:b/>
          <w:bCs/>
          <w:rtl/>
        </w:rPr>
        <w:t xml:space="preserve"> </w:t>
      </w:r>
      <w:r w:rsidRPr="004F2465">
        <w:rPr>
          <w:rFonts w:ascii="FrankRuehl" w:hAnsi="FrankRuehl" w:hint="eastAsia"/>
          <w:b/>
          <w:bCs/>
          <w:rtl/>
        </w:rPr>
        <w:t>לחפש</w:t>
      </w:r>
      <w:r w:rsidRPr="004F2465">
        <w:rPr>
          <w:rFonts w:ascii="FrankRuehl" w:hAnsi="FrankRuehl"/>
          <w:b/>
          <w:bCs/>
          <w:rtl/>
        </w:rPr>
        <w:t xml:space="preserve"> </w:t>
      </w:r>
      <w:r w:rsidRPr="004F2465">
        <w:rPr>
          <w:rFonts w:ascii="FrankRuehl" w:hAnsi="FrankRuehl" w:hint="eastAsia"/>
          <w:b/>
          <w:bCs/>
          <w:rtl/>
        </w:rPr>
        <w:t>מקורות</w:t>
      </w:r>
      <w:r w:rsidRPr="004F2465">
        <w:rPr>
          <w:rFonts w:ascii="FrankRuehl" w:hAnsi="FrankRuehl"/>
          <w:b/>
          <w:bCs/>
          <w:rtl/>
        </w:rPr>
        <w:t xml:space="preserve"> </w:t>
      </w:r>
      <w:r w:rsidRPr="004F2465">
        <w:rPr>
          <w:rFonts w:ascii="FrankRuehl" w:hAnsi="FrankRuehl" w:hint="eastAsia"/>
          <w:b/>
          <w:bCs/>
          <w:rtl/>
        </w:rPr>
        <w:t>כספיים</w:t>
      </w:r>
      <w:r w:rsidRPr="004F2465">
        <w:rPr>
          <w:rFonts w:ascii="FrankRuehl" w:hAnsi="FrankRuehl"/>
          <w:b/>
          <w:bCs/>
          <w:rtl/>
        </w:rPr>
        <w:t xml:space="preserve"> </w:t>
      </w:r>
      <w:r w:rsidRPr="004F2465">
        <w:rPr>
          <w:rFonts w:ascii="FrankRuehl" w:hAnsi="FrankRuehl" w:hint="eastAsia"/>
          <w:b/>
          <w:bCs/>
          <w:rtl/>
        </w:rPr>
        <w:t>למימון</w:t>
      </w:r>
      <w:r w:rsidRPr="004F2465">
        <w:rPr>
          <w:rFonts w:ascii="FrankRuehl" w:hAnsi="FrankRuehl"/>
          <w:b/>
          <w:bCs/>
          <w:rtl/>
        </w:rPr>
        <w:t xml:space="preserve"> </w:t>
      </w:r>
      <w:r w:rsidRPr="004F2465">
        <w:rPr>
          <w:rFonts w:ascii="FrankRuehl" w:hAnsi="FrankRuehl" w:hint="eastAsia"/>
          <w:b/>
          <w:bCs/>
          <w:rtl/>
        </w:rPr>
        <w:t>רכישת</w:t>
      </w:r>
      <w:r w:rsidRPr="004F2465">
        <w:rPr>
          <w:rFonts w:ascii="FrankRuehl" w:hAnsi="FrankRuehl"/>
          <w:b/>
          <w:bCs/>
          <w:rtl/>
        </w:rPr>
        <w:t xml:space="preserve"> </w:t>
      </w:r>
      <w:r w:rsidRPr="004F2465">
        <w:rPr>
          <w:rFonts w:ascii="FrankRuehl" w:hAnsi="FrankRuehl" w:hint="eastAsia"/>
          <w:b/>
          <w:bCs/>
          <w:rtl/>
        </w:rPr>
        <w:t>הסם</w:t>
      </w:r>
      <w:r w:rsidRPr="004F2465">
        <w:rPr>
          <w:rFonts w:ascii="FrankRuehl" w:hAnsi="FrankRuehl"/>
          <w:b/>
          <w:bCs/>
          <w:rtl/>
        </w:rPr>
        <w:t xml:space="preserve">, </w:t>
      </w:r>
      <w:r w:rsidRPr="004F2465">
        <w:rPr>
          <w:rFonts w:ascii="FrankRuehl" w:hAnsi="FrankRuehl" w:hint="eastAsia"/>
          <w:b/>
          <w:bCs/>
          <w:rtl/>
        </w:rPr>
        <w:t>לאו</w:t>
      </w:r>
      <w:r w:rsidRPr="004F2465">
        <w:rPr>
          <w:rFonts w:ascii="FrankRuehl" w:hAnsi="FrankRuehl"/>
          <w:b/>
          <w:bCs/>
          <w:rtl/>
        </w:rPr>
        <w:t xml:space="preserve"> </w:t>
      </w:r>
      <w:r w:rsidRPr="004F2465">
        <w:rPr>
          <w:rFonts w:ascii="FrankRuehl" w:hAnsi="FrankRuehl" w:hint="eastAsia"/>
          <w:b/>
          <w:bCs/>
          <w:rtl/>
        </w:rPr>
        <w:t>דווקא</w:t>
      </w:r>
      <w:r w:rsidRPr="004F2465">
        <w:rPr>
          <w:rFonts w:ascii="FrankRuehl" w:hAnsi="FrankRuehl"/>
          <w:b/>
          <w:bCs/>
          <w:rtl/>
        </w:rPr>
        <w:t xml:space="preserve"> </w:t>
      </w:r>
      <w:r w:rsidRPr="004F2465">
        <w:rPr>
          <w:rFonts w:ascii="FrankRuehl" w:hAnsi="FrankRuehl" w:hint="eastAsia"/>
          <w:b/>
          <w:bCs/>
          <w:rtl/>
        </w:rPr>
        <w:t>בדרכים</w:t>
      </w:r>
      <w:r w:rsidRPr="004F2465">
        <w:rPr>
          <w:rFonts w:ascii="FrankRuehl" w:hAnsi="FrankRuehl"/>
          <w:b/>
          <w:bCs/>
          <w:rtl/>
        </w:rPr>
        <w:t xml:space="preserve"> </w:t>
      </w:r>
      <w:r w:rsidRPr="004F2465">
        <w:rPr>
          <w:rFonts w:ascii="FrankRuehl" w:hAnsi="FrankRuehl" w:hint="eastAsia"/>
          <w:b/>
          <w:bCs/>
          <w:rtl/>
        </w:rPr>
        <w:t>חוקיות</w:t>
      </w:r>
      <w:r w:rsidRPr="004F2465">
        <w:rPr>
          <w:rFonts w:ascii="FrankRuehl" w:hAnsi="FrankRuehl"/>
          <w:b/>
          <w:bCs/>
          <w:rtl/>
        </w:rPr>
        <w:t xml:space="preserve">, </w:t>
      </w:r>
      <w:r w:rsidRPr="004F2465">
        <w:rPr>
          <w:rFonts w:ascii="FrankRuehl" w:hAnsi="FrankRuehl" w:hint="eastAsia"/>
          <w:b/>
          <w:bCs/>
          <w:rtl/>
        </w:rPr>
        <w:t>תוך</w:t>
      </w:r>
      <w:r w:rsidRPr="004F2465">
        <w:rPr>
          <w:rFonts w:ascii="FrankRuehl" w:hAnsi="FrankRuehl"/>
          <w:b/>
          <w:bCs/>
          <w:rtl/>
        </w:rPr>
        <w:t xml:space="preserve"> </w:t>
      </w:r>
      <w:r w:rsidRPr="004F2465">
        <w:rPr>
          <w:rFonts w:ascii="FrankRuehl" w:hAnsi="FrankRuehl" w:hint="eastAsia"/>
          <w:b/>
          <w:bCs/>
          <w:rtl/>
        </w:rPr>
        <w:t>שהוא</w:t>
      </w:r>
      <w:r w:rsidRPr="004F2465">
        <w:rPr>
          <w:rFonts w:ascii="FrankRuehl" w:hAnsi="FrankRuehl"/>
          <w:b/>
          <w:bCs/>
          <w:rtl/>
        </w:rPr>
        <w:t xml:space="preserve"> </w:t>
      </w:r>
      <w:r w:rsidRPr="004F2465">
        <w:rPr>
          <w:rFonts w:ascii="FrankRuehl" w:hAnsi="FrankRuehl" w:hint="eastAsia"/>
          <w:b/>
          <w:bCs/>
          <w:rtl/>
        </w:rPr>
        <w:t>חווה</w:t>
      </w:r>
      <w:r w:rsidRPr="004F2465">
        <w:rPr>
          <w:rFonts w:ascii="FrankRuehl" w:hAnsi="FrankRuehl"/>
          <w:b/>
          <w:bCs/>
          <w:rtl/>
        </w:rPr>
        <w:t xml:space="preserve"> </w:t>
      </w:r>
      <w:r w:rsidRPr="004F2465">
        <w:rPr>
          <w:rFonts w:ascii="FrankRuehl" w:hAnsi="FrankRuehl" w:hint="eastAsia"/>
          <w:b/>
          <w:bCs/>
          <w:rtl/>
        </w:rPr>
        <w:t>הידרדרות</w:t>
      </w:r>
      <w:r w:rsidRPr="004F2465">
        <w:rPr>
          <w:rFonts w:ascii="FrankRuehl" w:hAnsi="FrankRuehl"/>
          <w:b/>
          <w:bCs/>
          <w:rtl/>
        </w:rPr>
        <w:t xml:space="preserve"> </w:t>
      </w:r>
      <w:r w:rsidRPr="004F2465">
        <w:rPr>
          <w:rFonts w:ascii="FrankRuehl" w:hAnsi="FrankRuehl" w:hint="eastAsia"/>
          <w:b/>
          <w:bCs/>
          <w:rtl/>
        </w:rPr>
        <w:t>מתמדת</w:t>
      </w:r>
      <w:r w:rsidRPr="004F2465">
        <w:rPr>
          <w:rFonts w:ascii="FrankRuehl" w:hAnsi="FrankRuehl"/>
          <w:b/>
          <w:bCs/>
          <w:rtl/>
        </w:rPr>
        <w:t xml:space="preserve"> </w:t>
      </w:r>
      <w:r w:rsidRPr="004F2465">
        <w:rPr>
          <w:rFonts w:ascii="FrankRuehl" w:hAnsi="FrankRuehl" w:hint="eastAsia"/>
          <w:b/>
          <w:bCs/>
          <w:rtl/>
        </w:rPr>
        <w:t>בתפקוד</w:t>
      </w:r>
      <w:r w:rsidRPr="004F2465">
        <w:rPr>
          <w:rFonts w:ascii="FrankRuehl" w:hAnsi="FrankRuehl"/>
          <w:b/>
          <w:bCs/>
          <w:rtl/>
        </w:rPr>
        <w:t xml:space="preserve"> </w:t>
      </w:r>
      <w:r w:rsidRPr="004F2465">
        <w:rPr>
          <w:rFonts w:ascii="FrankRuehl" w:hAnsi="FrankRuehl" w:hint="eastAsia"/>
          <w:b/>
          <w:bCs/>
          <w:rtl/>
        </w:rPr>
        <w:t>הפיזי</w:t>
      </w:r>
      <w:r w:rsidRPr="004F2465">
        <w:rPr>
          <w:rFonts w:ascii="FrankRuehl" w:hAnsi="FrankRuehl"/>
          <w:b/>
          <w:bCs/>
          <w:rtl/>
        </w:rPr>
        <w:t xml:space="preserve"> </w:t>
      </w:r>
      <w:r w:rsidRPr="004F2465">
        <w:rPr>
          <w:rFonts w:ascii="FrankRuehl" w:hAnsi="FrankRuehl" w:hint="eastAsia"/>
          <w:b/>
          <w:bCs/>
          <w:rtl/>
        </w:rPr>
        <w:t>והקוגניטיבי</w:t>
      </w:r>
      <w:r w:rsidRPr="004F2465">
        <w:rPr>
          <w:rFonts w:ascii="FrankRuehl" w:hAnsi="FrankRuehl"/>
          <w:b/>
          <w:bCs/>
          <w:rtl/>
        </w:rPr>
        <w:t xml:space="preserve"> </w:t>
      </w:r>
      <w:r w:rsidRPr="004F2465">
        <w:rPr>
          <w:rFonts w:ascii="FrankRuehl" w:hAnsi="FrankRuehl" w:hint="eastAsia"/>
          <w:b/>
          <w:bCs/>
          <w:rtl/>
        </w:rPr>
        <w:t>שלו</w:t>
      </w:r>
      <w:r w:rsidRPr="004F2465">
        <w:rPr>
          <w:rFonts w:ascii="FrankRuehl" w:hAnsi="FrankRuehl"/>
          <w:b/>
          <w:bCs/>
          <w:rtl/>
        </w:rPr>
        <w:t>".</w:t>
      </w:r>
    </w:p>
    <w:p w14:paraId="4782EF6B"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13. </w:t>
      </w:r>
      <w:r w:rsidRPr="004F2465">
        <w:rPr>
          <w:rFonts w:ascii="David" w:hAnsi="David"/>
          <w:rtl/>
        </w:rPr>
        <w:tab/>
        <w:t xml:space="preserve">לעניין הערכים חברתיים שנפגע מביצוע </w:t>
      </w:r>
      <w:r w:rsidRPr="004F2465">
        <w:rPr>
          <w:rFonts w:ascii="David" w:hAnsi="David"/>
          <w:b/>
          <w:bCs/>
          <w:rtl/>
        </w:rPr>
        <w:t>עבירת השמדת ראיה</w:t>
      </w:r>
      <w:r w:rsidRPr="004F2465">
        <w:rPr>
          <w:rFonts w:ascii="David" w:hAnsi="David"/>
          <w:rtl/>
        </w:rPr>
        <w:t xml:space="preserve"> הם הגנה על סדרי שלטון ומשפט. ביצוע עבירה זו נועד למנוע מרשויות החוק ובפרט רשויות החקירה להתחקות אחר המעשים של מפרי החוק, וגן פוגע בשלטון החוק וביכולת המשטרה ובתי המשפט להגיע לחקר האמת. במקרה זה, הנאשם החטיא במעשיו גם אדם נוסף, בכך ששידל אותו לבצע את השמדת הראיה. בסופו של דבר, הראיות לא הושמדו בפועל ולכן לא נגרם נזק בפועל לתקינות ההליך ולמאמצי האכיפה, אך לא ניתן להתעלם מפוטנציאל הנזק לו הושלמה העבירה.</w:t>
      </w:r>
    </w:p>
    <w:p w14:paraId="0527BB42"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14. </w:t>
      </w:r>
      <w:r w:rsidRPr="004F2465">
        <w:rPr>
          <w:rFonts w:ascii="David" w:hAnsi="David"/>
          <w:rtl/>
        </w:rPr>
        <w:tab/>
        <w:t xml:space="preserve">מידת </w:t>
      </w:r>
      <w:r w:rsidRPr="004F2465">
        <w:rPr>
          <w:rFonts w:ascii="David" w:hAnsi="David"/>
          <w:b/>
          <w:bCs/>
          <w:rtl/>
        </w:rPr>
        <w:t xml:space="preserve">הפגיעה בערכים המוגנים </w:t>
      </w:r>
      <w:r w:rsidRPr="004F2465">
        <w:rPr>
          <w:rFonts w:ascii="David" w:hAnsi="David"/>
          <w:rtl/>
        </w:rPr>
        <w:t xml:space="preserve">במקרה זה היא בינונית-גבוהה, והיא נובעת מסוג הסם במקרה דנן, ממשקלו ומידת אשמו של הנאשם בהחזקתו המכוונת והמודעת של הסם על-ידו. כמו כן העובדה כי עבירת השמדת הראיה אמנם לא הושלמה, אך כלל שעבירה זו נועדה למנוע העמדה לדין על ביצוע עבירה חמורה יותר, כך גם הפגיעה בערך המוגן גבוהה יותר. </w:t>
      </w:r>
    </w:p>
    <w:p w14:paraId="60478F38"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15. </w:t>
      </w:r>
      <w:r w:rsidRPr="004F2465">
        <w:rPr>
          <w:rFonts w:ascii="David" w:hAnsi="David"/>
          <w:rtl/>
        </w:rPr>
        <w:tab/>
      </w:r>
      <w:r w:rsidRPr="004F2465">
        <w:rPr>
          <w:rFonts w:ascii="David" w:hAnsi="David"/>
          <w:b/>
          <w:bCs/>
          <w:rtl/>
        </w:rPr>
        <w:t>בחינת מדיניות הענישה</w:t>
      </w:r>
      <w:r w:rsidRPr="004F2465">
        <w:rPr>
          <w:rFonts w:ascii="David" w:hAnsi="David"/>
          <w:rtl/>
        </w:rPr>
        <w:t xml:space="preserve"> הנוהגת מלמדת, כי במקרים דומים הוטלו על נאשמים עונשים במנעד הכולל עונשי מאסר בפועל וזאת הן לעבירה של החזקת סם מסוג קוקאין בכמויות דומות והן לעניין העבירה של השמדת ראיה. מעבר לאסמכתאות אליהן הפנו הצדדים, ראו להלן גם פסקי הדין הבאים:</w:t>
      </w:r>
    </w:p>
    <w:p w14:paraId="344E32AF" w14:textId="77777777" w:rsidR="007E37EF" w:rsidRPr="004F2465" w:rsidRDefault="007E72EC" w:rsidP="007E37EF">
      <w:pPr>
        <w:spacing w:before="100" w:beforeAutospacing="1" w:after="120" w:line="360" w:lineRule="auto"/>
        <w:ind w:left="720"/>
        <w:jc w:val="both"/>
        <w:rPr>
          <w:rFonts w:ascii="David" w:hAnsi="David"/>
        </w:rPr>
      </w:pPr>
      <w:hyperlink r:id="rId34" w:history="1">
        <w:r w:rsidRPr="007E72EC">
          <w:rPr>
            <w:rFonts w:ascii="David" w:hAnsi="David"/>
            <w:color w:val="0000FF"/>
            <w:u w:val="single"/>
            <w:rtl/>
          </w:rPr>
          <w:t>רע"פ 483/18</w:t>
        </w:r>
      </w:hyperlink>
      <w:r w:rsidR="007E37EF" w:rsidRPr="004F2465">
        <w:rPr>
          <w:rFonts w:ascii="David" w:hAnsi="David"/>
          <w:rtl/>
        </w:rPr>
        <w:t xml:space="preserve"> </w:t>
      </w:r>
      <w:r w:rsidR="007E37EF" w:rsidRPr="004F2465">
        <w:rPr>
          <w:rFonts w:ascii="David" w:hAnsi="David"/>
          <w:b/>
          <w:bCs/>
          <w:rtl/>
        </w:rPr>
        <w:t>ברוכיאן נ' מדינת ישראל</w:t>
      </w:r>
      <w:r w:rsidR="007E37EF" w:rsidRPr="004F2465">
        <w:rPr>
          <w:rFonts w:ascii="David" w:hAnsi="David"/>
          <w:rtl/>
        </w:rPr>
        <w:t xml:space="preserve"> (14.2.2018) – הנאשם הורשע בהחזקת הרואין במשקל של 29.967 גרם. נקבע, כי מתחם העונש ההולם נע בין 12 ל-30 חודשי מאסר וענישה נלווית. בית המשפט החליט שלא לקבל את המלצת שירות המבחן להטיל על הנאשם ענישה שיקומית בדמות צו של"צ והחליט, בהינתן שיקולי השיקום, להסתפק ב-10 חודשי מאסר בפועל והפעלת תנאי קודם לריצוי בחופף. </w:t>
      </w:r>
    </w:p>
    <w:p w14:paraId="36FB2729" w14:textId="77777777" w:rsidR="007E37EF" w:rsidRPr="004F2465" w:rsidRDefault="007E72EC" w:rsidP="007E37EF">
      <w:pPr>
        <w:spacing w:before="100" w:beforeAutospacing="1" w:after="120" w:line="360" w:lineRule="auto"/>
        <w:ind w:left="712"/>
        <w:jc w:val="both"/>
        <w:rPr>
          <w:rFonts w:ascii="David" w:hAnsi="David"/>
          <w:rtl/>
        </w:rPr>
      </w:pPr>
      <w:hyperlink r:id="rId35" w:history="1">
        <w:r w:rsidRPr="007E72EC">
          <w:rPr>
            <w:rFonts w:ascii="David" w:hAnsi="David"/>
            <w:color w:val="0000FF"/>
            <w:u w:val="single"/>
            <w:rtl/>
          </w:rPr>
          <w:t>עפ"ג 62489-07-17</w:t>
        </w:r>
      </w:hyperlink>
      <w:r w:rsidR="007E37EF" w:rsidRPr="004F2465">
        <w:rPr>
          <w:rFonts w:ascii="David" w:hAnsi="David"/>
          <w:rtl/>
        </w:rPr>
        <w:t xml:space="preserve"> </w:t>
      </w:r>
      <w:r w:rsidR="007E37EF" w:rsidRPr="004F2465">
        <w:rPr>
          <w:rFonts w:ascii="David" w:hAnsi="David"/>
          <w:b/>
          <w:bCs/>
          <w:rtl/>
        </w:rPr>
        <w:t>אבו דקה נ' מדינת ישראל</w:t>
      </w:r>
      <w:r w:rsidR="007E37EF" w:rsidRPr="004F2465">
        <w:rPr>
          <w:rFonts w:ascii="David" w:hAnsi="David"/>
          <w:rtl/>
        </w:rPr>
        <w:t xml:space="preserve"> (31.12.2017) – המערער הורשע על פי הודאתו בהחזקת קוקאין שלא לצריכה עצמית במשקל של 29.95 גרם. נקבע מתחם של  36 עד  15 בפועל. בית המשפט המחוזי אישר את המתחם וקבע כי הטלת העונש בתחתית המתחם ממצה את ההתחשבות בשיקולים האישיים שפורטו בתסקיר ובגילו הצעיר של הנאשם שלו עבר פלילי גם אם לא בעבירות סמים. בקשת הנאשם להגיש חוות דעת טיפולית סוציאלית בשלב בערעור נדחתה.</w:t>
      </w:r>
    </w:p>
    <w:p w14:paraId="5C1A2397" w14:textId="77777777" w:rsidR="007E37EF" w:rsidRPr="004F2465" w:rsidRDefault="007E37EF" w:rsidP="007E37EF">
      <w:pPr>
        <w:spacing w:after="160" w:line="360" w:lineRule="auto"/>
        <w:ind w:left="720"/>
        <w:jc w:val="both"/>
        <w:rPr>
          <w:rFonts w:ascii="David" w:hAnsi="David"/>
          <w:rtl/>
        </w:rPr>
      </w:pPr>
      <w:r w:rsidRPr="004F2465">
        <w:rPr>
          <w:rFonts w:ascii="David" w:hAnsi="David"/>
          <w:rtl/>
        </w:rPr>
        <w:t xml:space="preserve">בהינתן כל המפורט לעיל אני קובעת כי מתחם העונש ההולם במקרה זה נע בין 18 עד 33 חודשי מאסר בפועל ומתחם הקנס עומד על 4,000 ₪ עד 10,000 ₪. </w:t>
      </w:r>
    </w:p>
    <w:p w14:paraId="71D42D92" w14:textId="77777777" w:rsidR="007E37EF" w:rsidRDefault="007E37EF" w:rsidP="007E37EF">
      <w:pPr>
        <w:spacing w:after="160"/>
        <w:jc w:val="both"/>
        <w:rPr>
          <w:rFonts w:ascii="David" w:hAnsi="David"/>
          <w:b/>
          <w:bCs/>
          <w:u w:val="single"/>
          <w:rtl/>
        </w:rPr>
      </w:pPr>
    </w:p>
    <w:p w14:paraId="73E53272" w14:textId="77777777" w:rsidR="007E37EF" w:rsidRPr="004F2465" w:rsidRDefault="007E37EF" w:rsidP="007E37EF">
      <w:pPr>
        <w:spacing w:after="160" w:line="360" w:lineRule="auto"/>
        <w:jc w:val="both"/>
        <w:rPr>
          <w:rFonts w:ascii="David" w:hAnsi="David"/>
        </w:rPr>
      </w:pPr>
      <w:r w:rsidRPr="004F2465">
        <w:rPr>
          <w:rFonts w:ascii="David" w:hAnsi="David"/>
          <w:b/>
          <w:bCs/>
          <w:u w:val="single"/>
          <w:rtl/>
        </w:rPr>
        <w:t>סטייה ממתחם העונש ההולם משיקולי שיקום</w:t>
      </w:r>
      <w:r w:rsidRPr="004F2465">
        <w:rPr>
          <w:rFonts w:ascii="David" w:hAnsi="David"/>
          <w:b/>
          <w:bCs/>
          <w:u w:val="single"/>
        </w:rPr>
        <w:t>:</w:t>
      </w:r>
    </w:p>
    <w:p w14:paraId="3ACD3BB9"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17. </w:t>
      </w:r>
      <w:r w:rsidRPr="004F2465">
        <w:rPr>
          <w:rFonts w:ascii="David" w:hAnsi="David"/>
          <w:rtl/>
        </w:rPr>
        <w:tab/>
        <w:t xml:space="preserve">לאחר בחינת המפורט בתסקיר שירות המבחן, לא מצאתי כי קיימים במקרה זה שיקולי שיקום מובהקים המצדיקים סטייה ממתחם העונש ההולם במידה שהומלצה על ידי שירות המבחן. לא מדובר במי ששיקולי השיקום בעניינו מצדיקים למחוק לחלוטין שיקולי גמול והרתעה. עיון באסמכתאות שהובאו לעיל, מלמד כי גם במקרים בהם שיקולי השיקום מובהקים אף יותר, בית המשפט קבע כי אלה יכולים להביא להטלת עונש בתחתית מתחם הענישה או לסטייה קלה מתחתית מתחם הענישה, כך שיוטל בסופו של דבר עונש מאסר בפועל לתקופה קצרה יותר. </w:t>
      </w:r>
    </w:p>
    <w:p w14:paraId="6E78E8DE"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18.</w:t>
      </w:r>
      <w:r w:rsidRPr="004F2465">
        <w:rPr>
          <w:rFonts w:ascii="David" w:hAnsi="David"/>
          <w:rtl/>
        </w:rPr>
        <w:tab/>
        <w:t xml:space="preserve">ההגנה התמקדה בטיעוניה בפסק הדין של מותב זה בעניין </w:t>
      </w:r>
      <w:r w:rsidRPr="004F2465">
        <w:rPr>
          <w:rFonts w:ascii="David" w:hAnsi="David"/>
          <w:b/>
          <w:bCs/>
          <w:rtl/>
        </w:rPr>
        <w:t>אפרתי</w:t>
      </w:r>
      <w:r w:rsidRPr="004F2465">
        <w:rPr>
          <w:rFonts w:ascii="David" w:hAnsi="David"/>
          <w:rtl/>
        </w:rPr>
        <w:t xml:space="preserve"> הנ"ל וסברה כי יש לגזור גזירה שווה משני המקרים. בחינת התיקים מלמדת, כי רב השוני על הדמיון. באותו מקרה, הנאשם הורשע בסיוע להחזקת סם, כאשר לא הייתה מחלוקת שהסם שייך לאחר שנתפס עמו והסיוע התבטא בכך שהנאשם נהג ברכב. באותו מקרה האחר הוא גם זה שניסה להשליך את הסם מהמכונית. על הנאשם עצמו נתפס 0.3 גרם חשיש לצריכה עצמית. באותו מקרה גם המאשימה הסכימה  לקיומם של שיקולי שיקום משמעותיים והמחלוקת הייתה בין המלצת שירות המבחן להסתפק בשל"צ ובין עתירת המאשימה לעבודות שירות ברף העליון. </w:t>
      </w:r>
    </w:p>
    <w:p w14:paraId="2F8A837C"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19.</w:t>
      </w:r>
      <w:r w:rsidRPr="004F2465">
        <w:rPr>
          <w:rFonts w:ascii="David" w:hAnsi="David"/>
          <w:rtl/>
        </w:rPr>
        <w:tab/>
        <w:t xml:space="preserve">עיון במכלול האסמכתאות מלמד, כי ענייננו דומה יותר בכלל ההיבטים לעניין </w:t>
      </w:r>
      <w:r w:rsidRPr="004F2465">
        <w:rPr>
          <w:rFonts w:ascii="David" w:hAnsi="David"/>
          <w:b/>
          <w:bCs/>
          <w:rtl/>
        </w:rPr>
        <w:t>פרץ</w:t>
      </w:r>
      <w:r w:rsidRPr="004F2465">
        <w:rPr>
          <w:rFonts w:ascii="David" w:hAnsi="David"/>
          <w:rtl/>
        </w:rPr>
        <w:t xml:space="preserve"> הנ"ל. בסופו של יום, מכלול נסיבות העניין מצדיקות סטייה קלה ממתחם העונש ההולם.</w:t>
      </w:r>
    </w:p>
    <w:p w14:paraId="6FE3092E" w14:textId="77777777" w:rsidR="007E37EF" w:rsidRPr="004F2465" w:rsidRDefault="007E37EF" w:rsidP="007E37EF">
      <w:pPr>
        <w:spacing w:after="160" w:line="360" w:lineRule="auto"/>
        <w:jc w:val="both"/>
        <w:rPr>
          <w:rFonts w:ascii="David" w:hAnsi="David"/>
          <w:u w:val="single"/>
          <w:rtl/>
        </w:rPr>
      </w:pPr>
      <w:r w:rsidRPr="004F2465">
        <w:rPr>
          <w:rFonts w:ascii="David" w:hAnsi="David"/>
          <w:b/>
          <w:bCs/>
          <w:u w:val="single"/>
          <w:rtl/>
        </w:rPr>
        <w:t>קביעת העונש המתאים בגדרי המתחם</w:t>
      </w:r>
    </w:p>
    <w:p w14:paraId="73E42172"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 xml:space="preserve">20. </w:t>
      </w:r>
      <w:r w:rsidRPr="004F2465">
        <w:rPr>
          <w:rFonts w:ascii="David" w:hAnsi="David"/>
          <w:rtl/>
        </w:rPr>
        <w:tab/>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11E3F672" w14:textId="77777777" w:rsidR="007E37EF" w:rsidRPr="004F2465" w:rsidRDefault="007E37EF" w:rsidP="007E37EF">
      <w:pPr>
        <w:spacing w:line="360" w:lineRule="auto"/>
        <w:ind w:left="720"/>
        <w:contextualSpacing/>
        <w:jc w:val="both"/>
        <w:rPr>
          <w:rFonts w:ascii="David" w:hAnsi="David"/>
          <w:rtl/>
        </w:rPr>
      </w:pPr>
      <w:r w:rsidRPr="004F2465">
        <w:rPr>
          <w:rFonts w:ascii="David" w:hAnsi="David"/>
          <w:rtl/>
        </w:rPr>
        <w:t xml:space="preserve">הנאשם הודה במיוחס לו, נטל אחריות ובכך חסך זמן שיפוטי יקר. שירות המבחן התייחס לגרסת הנאשם כנטילת אחריות מלאה. בד בבד התרשם מעמדה קורבנית אל מול רשויות האכיפה. כפי שנאמר לעיל, קיים פער בין עמדת הנאשם בשירות המבחן ובין עובדות כתב האישום המוסכמות בהן הורשע. </w:t>
      </w:r>
    </w:p>
    <w:p w14:paraId="717239C5" w14:textId="77777777" w:rsidR="007E37EF" w:rsidRPr="004F2465" w:rsidRDefault="007E37EF" w:rsidP="007E37EF">
      <w:pPr>
        <w:spacing w:line="360" w:lineRule="auto"/>
        <w:ind w:left="720"/>
        <w:contextualSpacing/>
        <w:jc w:val="both"/>
        <w:rPr>
          <w:rFonts w:ascii="David" w:hAnsi="David"/>
          <w:rtl/>
        </w:rPr>
      </w:pPr>
      <w:r w:rsidRPr="004F2465">
        <w:rPr>
          <w:rFonts w:ascii="David" w:hAnsi="David"/>
          <w:rtl/>
        </w:rPr>
        <w:t>הבאתי בחשבון כי הנאשם בן 48, נעדר עבר פלילי.</w:t>
      </w:r>
    </w:p>
    <w:p w14:paraId="461F29E9" w14:textId="77777777" w:rsidR="007E37EF" w:rsidRPr="004F2465" w:rsidRDefault="007E37EF" w:rsidP="007E37EF">
      <w:pPr>
        <w:spacing w:line="360" w:lineRule="auto"/>
        <w:ind w:left="720"/>
        <w:contextualSpacing/>
        <w:jc w:val="both"/>
        <w:rPr>
          <w:rFonts w:ascii="David" w:hAnsi="David"/>
          <w:rtl/>
        </w:rPr>
      </w:pPr>
      <w:r w:rsidRPr="004F2465">
        <w:rPr>
          <w:rFonts w:ascii="David" w:hAnsi="David"/>
          <w:rtl/>
        </w:rPr>
        <w:t xml:space="preserve">הבאתי בחשבון כי לנאשם רקע קודם בצריכת סמים מסוגים שונים ולכן לא ניתן לבטל את הצורך בהרתעה אישית במקרה זה. </w:t>
      </w:r>
    </w:p>
    <w:p w14:paraId="3497A67D" w14:textId="77777777" w:rsidR="007E37EF" w:rsidRPr="004F2465" w:rsidRDefault="007E37EF" w:rsidP="007E37EF">
      <w:pPr>
        <w:spacing w:line="360" w:lineRule="auto"/>
        <w:ind w:left="720"/>
        <w:contextualSpacing/>
        <w:jc w:val="both"/>
        <w:rPr>
          <w:rFonts w:ascii="David" w:hAnsi="David"/>
          <w:rtl/>
        </w:rPr>
      </w:pPr>
      <w:r w:rsidRPr="004F2465">
        <w:rPr>
          <w:rFonts w:ascii="David" w:hAnsi="David"/>
          <w:rtl/>
        </w:rPr>
        <w:t xml:space="preserve">הבאתי בחשבון את הצורך בהרתעת הרבים בעבירות אלו שבהן התמריץ הכלכלי גבוה וסיכויי החשיפה נמוכים. </w:t>
      </w:r>
    </w:p>
    <w:p w14:paraId="38DAD0E4" w14:textId="77777777" w:rsidR="007E37EF" w:rsidRPr="004F2465" w:rsidRDefault="007E37EF" w:rsidP="007E37EF">
      <w:pPr>
        <w:spacing w:line="360" w:lineRule="auto"/>
        <w:ind w:left="720"/>
        <w:contextualSpacing/>
        <w:jc w:val="both"/>
        <w:rPr>
          <w:rFonts w:ascii="David" w:hAnsi="David"/>
          <w:rtl/>
        </w:rPr>
      </w:pPr>
      <w:r w:rsidRPr="004F2465">
        <w:rPr>
          <w:rFonts w:ascii="David" w:hAnsi="David"/>
          <w:rtl/>
        </w:rPr>
        <w:t xml:space="preserve">הבאתי בחשבון את תקופת מעצרו של הנאשם ואת הקשר הטיפולי עם שירות המבחן במסגרת צו פיקוח מעצרים. </w:t>
      </w:r>
    </w:p>
    <w:p w14:paraId="3D8C9F9B" w14:textId="77777777" w:rsidR="007E37EF" w:rsidRPr="004F2465" w:rsidRDefault="007E37EF" w:rsidP="007E37EF">
      <w:pPr>
        <w:spacing w:line="360" w:lineRule="auto"/>
        <w:ind w:left="720"/>
        <w:contextualSpacing/>
        <w:jc w:val="both"/>
        <w:rPr>
          <w:rFonts w:ascii="David" w:hAnsi="David"/>
          <w:rtl/>
        </w:rPr>
      </w:pPr>
      <w:r w:rsidRPr="004F2465">
        <w:rPr>
          <w:rFonts w:ascii="David" w:hAnsi="David"/>
          <w:rtl/>
        </w:rPr>
        <w:t xml:space="preserve">נוכח כל האמור לעיל ולאחר שניתן משקל רב לשיקולים האישיים, ניתן להסתפק בהטלת עונש מאסר בתחתית מתחם הענישה. </w:t>
      </w:r>
    </w:p>
    <w:p w14:paraId="56D3E2E9" w14:textId="77777777" w:rsidR="007E37EF" w:rsidRDefault="007E37EF" w:rsidP="007E37EF">
      <w:pPr>
        <w:spacing w:after="160" w:line="360" w:lineRule="auto"/>
        <w:jc w:val="both"/>
        <w:rPr>
          <w:rFonts w:ascii="David" w:hAnsi="David"/>
          <w:b/>
          <w:bCs/>
          <w:u w:val="single"/>
          <w:rtl/>
        </w:rPr>
      </w:pPr>
    </w:p>
    <w:p w14:paraId="19B4EA2D" w14:textId="77777777" w:rsidR="007E37EF" w:rsidRPr="004F2465" w:rsidRDefault="007E37EF" w:rsidP="007E37EF">
      <w:pPr>
        <w:spacing w:after="160" w:line="360" w:lineRule="auto"/>
        <w:jc w:val="both"/>
        <w:rPr>
          <w:rFonts w:ascii="David" w:hAnsi="David"/>
          <w:b/>
          <w:bCs/>
          <w:u w:val="single"/>
          <w:rtl/>
        </w:rPr>
      </w:pPr>
      <w:r w:rsidRPr="004F2465">
        <w:rPr>
          <w:rFonts w:ascii="David" w:hAnsi="David"/>
          <w:b/>
          <w:bCs/>
          <w:u w:val="single"/>
          <w:rtl/>
        </w:rPr>
        <w:t>סוף דבר:</w:t>
      </w:r>
    </w:p>
    <w:p w14:paraId="4C88788B" w14:textId="77777777" w:rsidR="007E37EF" w:rsidRPr="004F2465" w:rsidRDefault="007E37EF" w:rsidP="007E37EF">
      <w:pPr>
        <w:spacing w:after="160" w:line="360" w:lineRule="auto"/>
        <w:ind w:left="720" w:hanging="720"/>
        <w:jc w:val="both"/>
        <w:rPr>
          <w:rFonts w:ascii="David" w:hAnsi="David"/>
          <w:rtl/>
        </w:rPr>
      </w:pPr>
      <w:r w:rsidRPr="004F2465">
        <w:rPr>
          <w:rFonts w:ascii="David" w:hAnsi="David"/>
          <w:rtl/>
        </w:rPr>
        <w:t>21.</w:t>
      </w:r>
      <w:r w:rsidRPr="004F2465">
        <w:rPr>
          <w:rFonts w:ascii="David" w:hAnsi="David"/>
          <w:rtl/>
        </w:rPr>
        <w:tab/>
        <w:t>לאחר ששקלתי את מכלול השיקולים כמפורט לעיל, אני מטילה על הנאשם את העונשים הבאים:</w:t>
      </w:r>
    </w:p>
    <w:p w14:paraId="2A854F2E" w14:textId="77777777" w:rsidR="007E37EF" w:rsidRPr="004F2465" w:rsidRDefault="007E37EF" w:rsidP="007E37EF">
      <w:pPr>
        <w:numPr>
          <w:ilvl w:val="0"/>
          <w:numId w:val="2"/>
        </w:numPr>
        <w:spacing w:line="360" w:lineRule="auto"/>
        <w:contextualSpacing/>
        <w:jc w:val="both"/>
        <w:rPr>
          <w:rFonts w:ascii="Arial" w:hAnsi="Arial"/>
        </w:rPr>
      </w:pPr>
      <w:r w:rsidRPr="004F2465">
        <w:rPr>
          <w:rFonts w:ascii="Arial" w:hAnsi="Arial"/>
          <w:rtl/>
        </w:rPr>
        <w:t>15 חודשי</w:t>
      </w:r>
      <w:r w:rsidR="007E72EC">
        <w:rPr>
          <w:rFonts w:ascii="Arial" w:hAnsi="Arial"/>
          <w:rtl/>
        </w:rPr>
        <w:t xml:space="preserve"> </w:t>
      </w:r>
      <w:r w:rsidRPr="004F2465">
        <w:rPr>
          <w:rFonts w:ascii="Arial" w:hAnsi="Arial"/>
          <w:rtl/>
        </w:rPr>
        <w:t xml:space="preserve">מאסר בפועל בניכוי ימי מעצרו של הנאשם. </w:t>
      </w:r>
    </w:p>
    <w:p w14:paraId="573B53A7" w14:textId="77777777" w:rsidR="007E37EF" w:rsidRPr="004F2465" w:rsidRDefault="007E37EF" w:rsidP="007E37EF">
      <w:pPr>
        <w:ind w:left="720"/>
        <w:contextualSpacing/>
        <w:jc w:val="both"/>
        <w:rPr>
          <w:rFonts w:ascii="Arial" w:hAnsi="Arial"/>
          <w:rtl/>
        </w:rPr>
      </w:pPr>
    </w:p>
    <w:p w14:paraId="1A051380" w14:textId="77777777" w:rsidR="007E37EF" w:rsidRPr="004F2465" w:rsidRDefault="007E37EF" w:rsidP="007E37EF">
      <w:pPr>
        <w:numPr>
          <w:ilvl w:val="0"/>
          <w:numId w:val="2"/>
        </w:numPr>
        <w:spacing w:line="360" w:lineRule="auto"/>
        <w:contextualSpacing/>
        <w:jc w:val="both"/>
        <w:rPr>
          <w:rFonts w:ascii="Arial" w:hAnsi="Arial"/>
          <w:rtl/>
        </w:rPr>
      </w:pPr>
      <w:r w:rsidRPr="004F2465">
        <w:rPr>
          <w:rFonts w:ascii="Arial" w:hAnsi="Arial"/>
          <w:rtl/>
        </w:rPr>
        <w:t>מאסר על תנאי לתקופה של 6 חודשים.</w:t>
      </w:r>
    </w:p>
    <w:p w14:paraId="4FC9C335" w14:textId="77777777" w:rsidR="007E37EF" w:rsidRPr="004F2465" w:rsidRDefault="007E37EF" w:rsidP="007E37EF">
      <w:pPr>
        <w:spacing w:after="160" w:line="360" w:lineRule="auto"/>
        <w:ind w:left="702"/>
        <w:jc w:val="both"/>
        <w:rPr>
          <w:rFonts w:ascii="Arial" w:hAnsi="Arial"/>
        </w:rPr>
      </w:pPr>
      <w:r w:rsidRPr="004F2465">
        <w:rPr>
          <w:rFonts w:ascii="Arial" w:hAnsi="Arial"/>
          <w:rtl/>
        </w:rPr>
        <w:t xml:space="preserve">המאסר המותנה יופעל אם תוך תקופה של 3 שנים מיום שחרורו יעבור הנאשם עבירת סמים מסוג פשע. </w:t>
      </w:r>
    </w:p>
    <w:p w14:paraId="0A529A74" w14:textId="77777777" w:rsidR="007E37EF" w:rsidRPr="004F2465" w:rsidRDefault="007E37EF" w:rsidP="007E37EF">
      <w:pPr>
        <w:numPr>
          <w:ilvl w:val="0"/>
          <w:numId w:val="2"/>
        </w:numPr>
        <w:spacing w:line="360" w:lineRule="auto"/>
        <w:contextualSpacing/>
        <w:jc w:val="both"/>
        <w:rPr>
          <w:rFonts w:ascii="Arial" w:hAnsi="Arial"/>
          <w:rtl/>
        </w:rPr>
      </w:pPr>
      <w:r w:rsidRPr="004F2465">
        <w:rPr>
          <w:rFonts w:ascii="Arial" w:hAnsi="Arial"/>
          <w:rtl/>
        </w:rPr>
        <w:t>קנס בסך 5,000 ₪</w:t>
      </w:r>
      <w:r w:rsidR="007E72EC">
        <w:rPr>
          <w:rFonts w:ascii="Arial" w:hAnsi="Arial"/>
          <w:rtl/>
        </w:rPr>
        <w:t xml:space="preserve"> </w:t>
      </w:r>
      <w:r w:rsidRPr="004F2465">
        <w:rPr>
          <w:rFonts w:ascii="Arial" w:hAnsi="Arial"/>
          <w:rtl/>
        </w:rPr>
        <w:t xml:space="preserve"> או 25</w:t>
      </w:r>
      <w:r w:rsidR="007E72EC">
        <w:rPr>
          <w:rFonts w:ascii="Arial" w:hAnsi="Arial"/>
          <w:rtl/>
        </w:rPr>
        <w:t xml:space="preserve"> </w:t>
      </w:r>
      <w:r w:rsidRPr="004F2465">
        <w:rPr>
          <w:rFonts w:ascii="Arial" w:hAnsi="Arial"/>
          <w:rtl/>
        </w:rPr>
        <w:t xml:space="preserve"> ימי מאסר תמורתו. הקנס ישולם בתוך 90 יום.</w:t>
      </w:r>
    </w:p>
    <w:p w14:paraId="1DFC1196" w14:textId="77777777" w:rsidR="007E37EF" w:rsidRPr="004F2465" w:rsidRDefault="007E37EF" w:rsidP="007E37EF">
      <w:pPr>
        <w:spacing w:after="160" w:line="360" w:lineRule="auto"/>
        <w:ind w:firstLine="720"/>
        <w:jc w:val="both"/>
        <w:rPr>
          <w:rFonts w:ascii="David" w:hAnsi="David"/>
        </w:rPr>
      </w:pPr>
      <w:r w:rsidRPr="004F2465">
        <w:rPr>
          <w:rFonts w:ascii="David" w:hAnsi="David"/>
          <w:rtl/>
        </w:rPr>
        <w:t xml:space="preserve">את הקנס ניתן לשלם כעבור  3 ימים מהיום באחת מהדרכים הבאות: </w:t>
      </w:r>
    </w:p>
    <w:p w14:paraId="6A3B58DE" w14:textId="77777777" w:rsidR="007E37EF" w:rsidRPr="004F2465" w:rsidRDefault="007E37EF" w:rsidP="007E37EF">
      <w:pPr>
        <w:numPr>
          <w:ilvl w:val="0"/>
          <w:numId w:val="3"/>
        </w:numPr>
        <w:spacing w:line="360" w:lineRule="auto"/>
        <w:jc w:val="both"/>
        <w:rPr>
          <w:rFonts w:ascii="David" w:hAnsi="David"/>
        </w:rPr>
      </w:pPr>
      <w:r w:rsidRPr="004F2465">
        <w:rPr>
          <w:rFonts w:ascii="David" w:hAnsi="David"/>
          <w:rtl/>
        </w:rPr>
        <w:t xml:space="preserve">בכרטיס אשראי – באתר המקוון של רשות האכיפה והגבייה, </w:t>
      </w:r>
      <w:r w:rsidRPr="007E37EF">
        <w:rPr>
          <w:rFonts w:ascii="David" w:hAnsi="David"/>
          <w:color w:val="0563C1"/>
          <w:u w:val="single"/>
        </w:rPr>
        <w:t>www.eca.gov.il</w:t>
      </w:r>
      <w:r w:rsidRPr="004F2465">
        <w:rPr>
          <w:rFonts w:ascii="David" w:hAnsi="David"/>
        </w:rPr>
        <w:t xml:space="preserve"> </w:t>
      </w:r>
      <w:r w:rsidR="007E72EC">
        <w:rPr>
          <w:rFonts w:ascii="David" w:hAnsi="David"/>
          <w:rtl/>
        </w:rPr>
        <w:t xml:space="preserve"> </w:t>
      </w:r>
    </w:p>
    <w:p w14:paraId="01CD3164" w14:textId="77777777" w:rsidR="007E37EF" w:rsidRPr="004F2465" w:rsidRDefault="007E37EF" w:rsidP="007E37EF">
      <w:pPr>
        <w:numPr>
          <w:ilvl w:val="0"/>
          <w:numId w:val="3"/>
        </w:numPr>
        <w:spacing w:line="360" w:lineRule="auto"/>
        <w:jc w:val="both"/>
        <w:rPr>
          <w:rFonts w:ascii="David" w:hAnsi="David"/>
        </w:rPr>
      </w:pPr>
      <w:r w:rsidRPr="004F2465">
        <w:rPr>
          <w:rFonts w:ascii="David" w:hAnsi="David"/>
          <w:rtl/>
        </w:rPr>
        <w:t>מוקד שירות טלפוני בשרות עצמי (מרכז גבייה)</w:t>
      </w:r>
      <w:r w:rsidR="007E72EC">
        <w:rPr>
          <w:rFonts w:ascii="David" w:hAnsi="David"/>
          <w:rtl/>
        </w:rPr>
        <w:t xml:space="preserve"> </w:t>
      </w:r>
      <w:r w:rsidRPr="004F2465">
        <w:rPr>
          <w:rFonts w:ascii="David" w:hAnsi="David"/>
          <w:rtl/>
        </w:rPr>
        <w:t xml:space="preserve"> – בטלפון 35592* או בטלפון 073-2055000</w:t>
      </w:r>
    </w:p>
    <w:p w14:paraId="37EC7CA8" w14:textId="77777777" w:rsidR="007E37EF" w:rsidRPr="004F2465" w:rsidRDefault="007E37EF" w:rsidP="007E37EF">
      <w:pPr>
        <w:numPr>
          <w:ilvl w:val="0"/>
          <w:numId w:val="3"/>
        </w:numPr>
        <w:spacing w:line="360" w:lineRule="auto"/>
        <w:jc w:val="both"/>
        <w:rPr>
          <w:rFonts w:ascii="David" w:hAnsi="David"/>
        </w:rPr>
      </w:pPr>
      <w:r w:rsidRPr="004F2465">
        <w:rPr>
          <w:rFonts w:ascii="David" w:hAnsi="David"/>
          <w:rtl/>
        </w:rPr>
        <w:t>במזומן בכל סניף של בנק הדואר – בהצגת תעודת זהות בלבד (אין צורך בהצגת בשוברי תשלום).</w:t>
      </w:r>
    </w:p>
    <w:p w14:paraId="0676FCC6" w14:textId="77777777" w:rsidR="007E37EF" w:rsidRPr="004F2465" w:rsidRDefault="007E37EF" w:rsidP="007E37EF">
      <w:pPr>
        <w:ind w:left="1080"/>
        <w:jc w:val="both"/>
        <w:rPr>
          <w:rFonts w:ascii="David" w:hAnsi="David"/>
          <w:rtl/>
        </w:rPr>
      </w:pPr>
    </w:p>
    <w:p w14:paraId="1DCBE3D7" w14:textId="77777777" w:rsidR="007E37EF" w:rsidRPr="004F2465" w:rsidRDefault="007E37EF" w:rsidP="007E37EF">
      <w:pPr>
        <w:numPr>
          <w:ilvl w:val="0"/>
          <w:numId w:val="2"/>
        </w:numPr>
        <w:spacing w:line="360" w:lineRule="auto"/>
        <w:contextualSpacing/>
        <w:jc w:val="both"/>
        <w:rPr>
          <w:rtl/>
        </w:rPr>
      </w:pPr>
      <w:r w:rsidRPr="004F2465">
        <w:rPr>
          <w:rFonts w:ascii="Arial" w:hAnsi="Arial"/>
          <w:rtl/>
        </w:rPr>
        <w:t>פסילה מלקבל או להחזיק רישיון נהיגה על תנאי למשך 6 חודשים.</w:t>
      </w:r>
    </w:p>
    <w:p w14:paraId="31F07384" w14:textId="77777777" w:rsidR="007E37EF" w:rsidRPr="004F2465" w:rsidRDefault="007E37EF" w:rsidP="007E37EF">
      <w:pPr>
        <w:spacing w:after="160" w:line="360" w:lineRule="auto"/>
        <w:ind w:left="720"/>
        <w:contextualSpacing/>
        <w:jc w:val="both"/>
        <w:rPr>
          <w:rFonts w:ascii="Arial" w:hAnsi="Arial"/>
          <w:rtl/>
        </w:rPr>
      </w:pPr>
      <w:r w:rsidRPr="004F2465">
        <w:rPr>
          <w:rFonts w:ascii="Arial" w:hAnsi="Arial"/>
          <w:rtl/>
        </w:rPr>
        <w:t>הפסילה תופעל אם תוך תקופה של 3 מיום שחרורו, יעבור הנאשם עבירת סמים.</w:t>
      </w:r>
    </w:p>
    <w:p w14:paraId="708C6292" w14:textId="77777777" w:rsidR="007E37EF" w:rsidRPr="004F2465" w:rsidRDefault="007E37EF" w:rsidP="007E37EF">
      <w:pPr>
        <w:spacing w:after="160" w:line="360" w:lineRule="auto"/>
        <w:ind w:firstLine="720"/>
        <w:jc w:val="both"/>
        <w:rPr>
          <w:rtl/>
        </w:rPr>
      </w:pPr>
    </w:p>
    <w:p w14:paraId="54AE7027" w14:textId="77777777" w:rsidR="007E37EF" w:rsidRPr="004F2465" w:rsidRDefault="007E37EF" w:rsidP="007E37EF">
      <w:pPr>
        <w:spacing w:after="160" w:line="360" w:lineRule="auto"/>
        <w:jc w:val="both"/>
        <w:rPr>
          <w:rFonts w:ascii="Calibri" w:hAnsi="Calibri"/>
          <w:b/>
          <w:bCs/>
          <w:rtl/>
        </w:rPr>
      </w:pPr>
      <w:r w:rsidRPr="004F2465">
        <w:rPr>
          <w:rFonts w:ascii="Arial" w:hAnsi="Arial"/>
          <w:b/>
          <w:bCs/>
          <w:rtl/>
        </w:rPr>
        <w:t>ניתן בזאת צו להשמדת מוצג – סמים ומשקל דיגיטלי בכפוף לחלוף תקופת הערעור.</w:t>
      </w:r>
    </w:p>
    <w:p w14:paraId="43115E69" w14:textId="77777777" w:rsidR="007E37EF" w:rsidRPr="004F2465" w:rsidRDefault="007E72EC" w:rsidP="007E37EF">
      <w:pPr>
        <w:spacing w:after="160" w:line="360" w:lineRule="auto"/>
        <w:jc w:val="both"/>
        <w:rPr>
          <w:rFonts w:ascii="Arial" w:hAnsi="Arial"/>
          <w:b/>
          <w:bCs/>
          <w:u w:val="single"/>
          <w:rtl/>
        </w:rPr>
      </w:pPr>
      <w:r w:rsidRPr="007E72EC">
        <w:rPr>
          <w:rFonts w:ascii="Arial" w:hAnsi="Arial"/>
          <w:b/>
          <w:bCs/>
          <w:color w:val="FFFFFF"/>
          <w:sz w:val="2"/>
          <w:szCs w:val="2"/>
          <w:u w:val="single"/>
          <w:rtl/>
        </w:rPr>
        <w:t>5129371</w:t>
      </w:r>
      <w:r w:rsidR="007E37EF" w:rsidRPr="004F2465">
        <w:rPr>
          <w:rFonts w:ascii="Arial" w:hAnsi="Arial"/>
          <w:b/>
          <w:bCs/>
          <w:u w:val="single"/>
          <w:rtl/>
        </w:rPr>
        <w:t>המזכירות תעביר עותק מגזר הדין לשירות המבחן.</w:t>
      </w:r>
    </w:p>
    <w:p w14:paraId="0C5FBE9C" w14:textId="77777777" w:rsidR="007E37EF" w:rsidRPr="007E37EF" w:rsidRDefault="007E72EC" w:rsidP="007E37EF">
      <w:pPr>
        <w:spacing w:after="160" w:line="360" w:lineRule="auto"/>
        <w:jc w:val="both"/>
        <w:rPr>
          <w:rFonts w:ascii="Calibri" w:hAnsi="Calibri"/>
          <w:b/>
          <w:bCs/>
          <w:rtl/>
        </w:rPr>
      </w:pPr>
      <w:r w:rsidRPr="007E72EC">
        <w:rPr>
          <w:rFonts w:ascii="Calibri" w:hAnsi="Calibri"/>
          <w:b/>
          <w:bCs/>
          <w:color w:val="FFFFFF"/>
          <w:sz w:val="2"/>
          <w:szCs w:val="2"/>
          <w:rtl/>
        </w:rPr>
        <w:t>54678313</w:t>
      </w:r>
      <w:r w:rsidR="007E37EF" w:rsidRPr="007E37EF">
        <w:rPr>
          <w:rFonts w:ascii="Calibri" w:hAnsi="Calibri" w:hint="eastAsia"/>
          <w:b/>
          <w:bCs/>
          <w:rtl/>
        </w:rPr>
        <w:t>זכות</w:t>
      </w:r>
      <w:r w:rsidR="007E37EF" w:rsidRPr="007E37EF">
        <w:rPr>
          <w:rFonts w:ascii="Calibri" w:hAnsi="Calibri"/>
          <w:b/>
          <w:bCs/>
          <w:rtl/>
        </w:rPr>
        <w:t xml:space="preserve"> </w:t>
      </w:r>
      <w:r w:rsidR="007E37EF" w:rsidRPr="007E37EF">
        <w:rPr>
          <w:rFonts w:ascii="Calibri" w:hAnsi="Calibri" w:hint="eastAsia"/>
          <w:b/>
          <w:bCs/>
          <w:rtl/>
        </w:rPr>
        <w:t>ערעור</w:t>
      </w:r>
      <w:r w:rsidR="007E37EF" w:rsidRPr="007E37EF">
        <w:rPr>
          <w:rFonts w:ascii="Calibri" w:hAnsi="Calibri"/>
          <w:b/>
          <w:bCs/>
          <w:rtl/>
        </w:rPr>
        <w:t xml:space="preserve"> </w:t>
      </w:r>
      <w:r w:rsidR="007E37EF" w:rsidRPr="007E37EF">
        <w:rPr>
          <w:rFonts w:ascii="Calibri" w:hAnsi="Calibri" w:hint="eastAsia"/>
          <w:b/>
          <w:bCs/>
          <w:rtl/>
        </w:rPr>
        <w:t>כחוק</w:t>
      </w:r>
      <w:r w:rsidR="007E37EF" w:rsidRPr="007E37EF">
        <w:rPr>
          <w:rFonts w:ascii="Calibri" w:hAnsi="Calibri"/>
          <w:b/>
          <w:bCs/>
          <w:rtl/>
        </w:rPr>
        <w:t xml:space="preserve">. </w:t>
      </w:r>
    </w:p>
    <w:p w14:paraId="50201FB1" w14:textId="77777777" w:rsidR="007E37EF" w:rsidRPr="000F2247" w:rsidRDefault="007E37EF" w:rsidP="007E37EF">
      <w:pPr>
        <w:rPr>
          <w:rFonts w:ascii="Arial" w:hAnsi="Arial"/>
          <w:b/>
          <w:bCs/>
          <w:sz w:val="26"/>
          <w:szCs w:val="26"/>
          <w:rtl/>
        </w:rPr>
      </w:pPr>
    </w:p>
    <w:p w14:paraId="7B6CABE7" w14:textId="77777777" w:rsidR="007E37EF" w:rsidRPr="000F2247" w:rsidRDefault="007E72EC" w:rsidP="007E37EF">
      <w:pPr>
        <w:rPr>
          <w:rFonts w:ascii="Arial" w:hAnsi="Arial"/>
          <w:b/>
          <w:bCs/>
          <w:sz w:val="26"/>
          <w:szCs w:val="26"/>
          <w:rtl/>
        </w:rPr>
      </w:pPr>
      <w:bookmarkStart w:id="8" w:name="Nitan"/>
      <w:r>
        <w:rPr>
          <w:rFonts w:ascii="Arial" w:hAnsi="Arial"/>
          <w:b/>
          <w:bCs/>
          <w:sz w:val="26"/>
          <w:szCs w:val="26"/>
          <w:rtl/>
        </w:rPr>
        <w:t xml:space="preserve">ניתן היום,  ט"ו אלול תשפ"ב, 11 ספטמבר 2022, במעמד הצדדים. </w:t>
      </w:r>
      <w:bookmarkEnd w:id="8"/>
    </w:p>
    <w:p w14:paraId="130BBE9F" w14:textId="77777777" w:rsidR="007E37EF" w:rsidRPr="000F2247" w:rsidRDefault="007E37EF" w:rsidP="007E72E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9C9D6C" w14:textId="77777777" w:rsidR="007E72EC" w:rsidRDefault="00FF4117" w:rsidP="007E72EC">
      <w:r w:rsidRPr="00FF4117">
        <w:rPr>
          <w:rFonts w:ascii="Arial" w:hAnsi="Arial"/>
          <w:b/>
          <w:bCs/>
          <w:color w:val="FFFFFF"/>
          <w:sz w:val="2"/>
          <w:szCs w:val="2"/>
          <w:rtl/>
        </w:rPr>
        <w:t>5129371</w:t>
      </w:r>
    </w:p>
    <w:p w14:paraId="475012E6" w14:textId="77777777" w:rsidR="007E72EC" w:rsidRDefault="007E72EC" w:rsidP="007E72EC">
      <w:pPr>
        <w:rPr>
          <w:rtl/>
        </w:rPr>
      </w:pPr>
    </w:p>
    <w:p w14:paraId="65F1D326" w14:textId="77777777" w:rsidR="007E72EC" w:rsidRDefault="007E72EC" w:rsidP="007E72EC">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93E5198" w14:textId="77777777" w:rsidR="00FF4117" w:rsidRPr="00FF4117" w:rsidRDefault="00FF4117" w:rsidP="00FF4117">
      <w:pPr>
        <w:keepNext/>
        <w:rPr>
          <w:rFonts w:ascii="David" w:hAnsi="David"/>
          <w:color w:val="000000"/>
          <w:sz w:val="22"/>
          <w:szCs w:val="22"/>
          <w:rtl/>
        </w:rPr>
      </w:pPr>
    </w:p>
    <w:p w14:paraId="36CCE034" w14:textId="77777777" w:rsidR="00FF4117" w:rsidRPr="00FF4117" w:rsidRDefault="00FF4117" w:rsidP="00FF4117">
      <w:pPr>
        <w:keepNext/>
        <w:rPr>
          <w:rFonts w:ascii="David" w:hAnsi="David"/>
          <w:color w:val="000000"/>
          <w:sz w:val="22"/>
          <w:szCs w:val="22"/>
          <w:rtl/>
        </w:rPr>
      </w:pPr>
      <w:r w:rsidRPr="00FF4117">
        <w:rPr>
          <w:rFonts w:ascii="David" w:hAnsi="David"/>
          <w:color w:val="000000"/>
          <w:sz w:val="22"/>
          <w:szCs w:val="22"/>
          <w:rtl/>
        </w:rPr>
        <w:t>ענת חולתא 54678313-/</w:t>
      </w:r>
    </w:p>
    <w:p w14:paraId="6CC1F644" w14:textId="77777777" w:rsidR="007E72EC" w:rsidRPr="007E72EC" w:rsidRDefault="00FF4117" w:rsidP="00FF4117">
      <w:pPr>
        <w:rPr>
          <w:color w:val="0000FF"/>
          <w:u w:val="single"/>
        </w:rPr>
      </w:pPr>
      <w:r w:rsidRPr="00FF4117">
        <w:rPr>
          <w:color w:val="000000"/>
          <w:u w:val="single"/>
          <w:rtl/>
        </w:rPr>
        <w:t>נוסח מסמך זה כפוף לשינויי ניסוח ועריכה</w:t>
      </w:r>
    </w:p>
    <w:sectPr w:rsidR="007E72EC" w:rsidRPr="007E72EC" w:rsidSect="00FF4117">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2E05D" w14:textId="77777777" w:rsidR="00822FB2" w:rsidRDefault="00822FB2" w:rsidP="00221D58">
      <w:r>
        <w:separator/>
      </w:r>
    </w:p>
  </w:endnote>
  <w:endnote w:type="continuationSeparator" w:id="0">
    <w:p w14:paraId="63A03573" w14:textId="77777777" w:rsidR="00822FB2" w:rsidRDefault="00822FB2" w:rsidP="0022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C1031" w14:textId="77777777" w:rsidR="00FF4117" w:rsidRDefault="00FF4117" w:rsidP="00FF41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B5F19C" w14:textId="77777777" w:rsidR="00644C8D" w:rsidRPr="00FF4117" w:rsidRDefault="00FF4117" w:rsidP="00FF4117">
    <w:pPr>
      <w:pStyle w:val="a5"/>
      <w:pBdr>
        <w:top w:val="single" w:sz="4" w:space="1" w:color="auto"/>
        <w:between w:val="single" w:sz="4" w:space="0" w:color="auto"/>
      </w:pBdr>
      <w:spacing w:after="60"/>
      <w:jc w:val="center"/>
      <w:rPr>
        <w:rFonts w:ascii="FrankRuehl" w:hAnsi="FrankRuehl" w:cs="FrankRuehl"/>
        <w:color w:val="000000"/>
      </w:rPr>
    </w:pPr>
    <w:r w:rsidRPr="00FF41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1660A" w14:textId="77777777" w:rsidR="00FF4117" w:rsidRDefault="00FF4117" w:rsidP="00FF41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02EA">
      <w:rPr>
        <w:rFonts w:ascii="FrankRuehl" w:hAnsi="FrankRuehl" w:cs="FrankRuehl"/>
        <w:noProof/>
        <w:rtl/>
      </w:rPr>
      <w:t>1</w:t>
    </w:r>
    <w:r>
      <w:rPr>
        <w:rFonts w:ascii="FrankRuehl" w:hAnsi="FrankRuehl" w:cs="FrankRuehl"/>
        <w:rtl/>
      </w:rPr>
      <w:fldChar w:fldCharType="end"/>
    </w:r>
  </w:p>
  <w:p w14:paraId="5A645869" w14:textId="77777777" w:rsidR="00644C8D" w:rsidRPr="00FF4117" w:rsidRDefault="00FF4117" w:rsidP="00FF4117">
    <w:pPr>
      <w:pStyle w:val="a5"/>
      <w:pBdr>
        <w:top w:val="single" w:sz="4" w:space="1" w:color="auto"/>
        <w:between w:val="single" w:sz="4" w:space="0" w:color="auto"/>
      </w:pBdr>
      <w:spacing w:after="60"/>
      <w:jc w:val="center"/>
      <w:rPr>
        <w:rFonts w:ascii="FrankRuehl" w:hAnsi="FrankRuehl" w:cs="FrankRuehl"/>
        <w:color w:val="000000"/>
      </w:rPr>
    </w:pPr>
    <w:r w:rsidRPr="00FF4117">
      <w:rPr>
        <w:rFonts w:ascii="FrankRuehl" w:hAnsi="FrankRuehl" w:cs="FrankRuehl"/>
        <w:color w:val="000000"/>
      </w:rPr>
      <w:pict w14:anchorId="68C9D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77DE1" w14:textId="77777777" w:rsidR="00822FB2" w:rsidRDefault="00822FB2" w:rsidP="00221D58">
      <w:r>
        <w:separator/>
      </w:r>
    </w:p>
  </w:footnote>
  <w:footnote w:type="continuationSeparator" w:id="0">
    <w:p w14:paraId="6685740A" w14:textId="77777777" w:rsidR="00822FB2" w:rsidRDefault="00822FB2" w:rsidP="0022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5C46C" w14:textId="77777777" w:rsidR="007E72EC" w:rsidRPr="00FF4117" w:rsidRDefault="00FF4117" w:rsidP="00FF41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70876-12-20</w:t>
    </w:r>
    <w:r>
      <w:rPr>
        <w:rFonts w:ascii="David" w:hAnsi="David"/>
        <w:color w:val="000000"/>
        <w:sz w:val="22"/>
        <w:szCs w:val="22"/>
        <w:rtl/>
      </w:rPr>
      <w:tab/>
      <w:t xml:space="preserve"> מדינת ישראל נ' באסם אסמאעיל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09593" w14:textId="77777777" w:rsidR="007E72EC" w:rsidRPr="00FF4117" w:rsidRDefault="00FF4117" w:rsidP="00FF41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70876-12-20</w:t>
    </w:r>
    <w:r>
      <w:rPr>
        <w:rFonts w:ascii="David" w:hAnsi="David"/>
        <w:color w:val="000000"/>
        <w:sz w:val="22"/>
        <w:szCs w:val="22"/>
        <w:rtl/>
      </w:rPr>
      <w:tab/>
      <w:t xml:space="preserve"> מדינת ישראל נ' באסם אסמאעיל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3BA6"/>
    <w:multiLevelType w:val="hybridMultilevel"/>
    <w:tmpl w:val="0368EF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37D81929"/>
    <w:multiLevelType w:val="hybridMultilevel"/>
    <w:tmpl w:val="41AA65A2"/>
    <w:lvl w:ilvl="0" w:tplc="A4ACDB6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36887655">
    <w:abstractNumId w:val="0"/>
  </w:num>
  <w:num w:numId="2" w16cid:durableId="1565606586">
    <w:abstractNumId w:val="2"/>
  </w:num>
  <w:num w:numId="3" w16cid:durableId="19084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37EF"/>
    <w:rsid w:val="001960C4"/>
    <w:rsid w:val="001B5A3B"/>
    <w:rsid w:val="00221D58"/>
    <w:rsid w:val="002B28BF"/>
    <w:rsid w:val="0041502A"/>
    <w:rsid w:val="00484CAE"/>
    <w:rsid w:val="00607EA1"/>
    <w:rsid w:val="006355D8"/>
    <w:rsid w:val="00644C8D"/>
    <w:rsid w:val="007E37EF"/>
    <w:rsid w:val="007E72EC"/>
    <w:rsid w:val="00822FB2"/>
    <w:rsid w:val="0092339D"/>
    <w:rsid w:val="00C802EA"/>
    <w:rsid w:val="00E07FB9"/>
    <w:rsid w:val="00FF41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4013D3"/>
  <w15:chartTrackingRefBased/>
  <w15:docId w15:val="{4311CE00-9934-4B39-9507-8F1CBF13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37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37EF"/>
    <w:pPr>
      <w:tabs>
        <w:tab w:val="center" w:pos="4153"/>
        <w:tab w:val="right" w:pos="8306"/>
      </w:tabs>
    </w:pPr>
  </w:style>
  <w:style w:type="character" w:customStyle="1" w:styleId="a4">
    <w:name w:val="כותרת עליונה תו"/>
    <w:link w:val="a3"/>
    <w:rsid w:val="007E37EF"/>
    <w:rPr>
      <w:rFonts w:ascii="Times New Roman" w:eastAsia="Times New Roman" w:hAnsi="Times New Roman" w:cs="David"/>
      <w:sz w:val="24"/>
      <w:szCs w:val="24"/>
    </w:rPr>
  </w:style>
  <w:style w:type="paragraph" w:styleId="a5">
    <w:name w:val="footer"/>
    <w:basedOn w:val="a"/>
    <w:link w:val="a6"/>
    <w:rsid w:val="007E37EF"/>
    <w:pPr>
      <w:tabs>
        <w:tab w:val="center" w:pos="4153"/>
        <w:tab w:val="right" w:pos="8306"/>
      </w:tabs>
    </w:pPr>
  </w:style>
  <w:style w:type="character" w:customStyle="1" w:styleId="a6">
    <w:name w:val="כותרת תחתונה תו"/>
    <w:link w:val="a5"/>
    <w:rsid w:val="007E37EF"/>
    <w:rPr>
      <w:rFonts w:ascii="Times New Roman" w:eastAsia="Times New Roman" w:hAnsi="Times New Roman" w:cs="David"/>
      <w:sz w:val="24"/>
      <w:szCs w:val="24"/>
    </w:rPr>
  </w:style>
  <w:style w:type="table" w:styleId="a7">
    <w:name w:val="Table Grid"/>
    <w:basedOn w:val="a1"/>
    <w:rsid w:val="007E37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37EF"/>
  </w:style>
  <w:style w:type="character" w:styleId="Hyperlink">
    <w:name w:val="Hyperlink"/>
    <w:rsid w:val="007E7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2" TargetMode="External"/><Relationship Id="rId18" Type="http://schemas.openxmlformats.org/officeDocument/2006/relationships/hyperlink" Target="http://www.nevo.co.il/law/70301/242" TargetMode="External"/><Relationship Id="rId26" Type="http://schemas.openxmlformats.org/officeDocument/2006/relationships/hyperlink" Target="http://www.nevo.co.il/case/5329646" TargetMode="External"/><Relationship Id="rId39" Type="http://schemas.openxmlformats.org/officeDocument/2006/relationships/footer" Target="footer1.xml"/><Relationship Id="rId21" Type="http://schemas.openxmlformats.org/officeDocument/2006/relationships/hyperlink" Target="http://www.nevo.co.il/case/20956295" TargetMode="External"/><Relationship Id="rId34" Type="http://schemas.openxmlformats.org/officeDocument/2006/relationships/hyperlink" Target="http://www.nevo.co.il/case/23565443"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686735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156420" TargetMode="External"/><Relationship Id="rId32" Type="http://schemas.openxmlformats.org/officeDocument/2006/relationships/hyperlink" Target="http://www.nevo.co.il/case/2494720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6402047" TargetMode="External"/><Relationship Id="rId28" Type="http://schemas.openxmlformats.org/officeDocument/2006/relationships/hyperlink" Target="http://www.nevo.co.il/case/4991454"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70301/30" TargetMode="External"/><Relationship Id="rId31" Type="http://schemas.openxmlformats.org/officeDocument/2006/relationships/hyperlink" Target="http://www.nevo.co.il/case/2148028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3751286" TargetMode="External"/><Relationship Id="rId27" Type="http://schemas.openxmlformats.org/officeDocument/2006/relationships/hyperlink" Target="http://www.nevo.co.il/case/5312175" TargetMode="External"/><Relationship Id="rId30" Type="http://schemas.openxmlformats.org/officeDocument/2006/relationships/hyperlink" Target="http://www.nevo.co.il/case/26487010" TargetMode="External"/><Relationship Id="rId35" Type="http://schemas.openxmlformats.org/officeDocument/2006/relationships/hyperlink" Target="http://www.nevo.co.il/case/22864362"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30"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1767494" TargetMode="External"/><Relationship Id="rId33" Type="http://schemas.openxmlformats.org/officeDocument/2006/relationships/hyperlink" Target="http://www.nevo.co.il/case/573860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19974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3670131</vt:i4>
      </vt:variant>
      <vt:variant>
        <vt:i4>84</vt:i4>
      </vt:variant>
      <vt:variant>
        <vt:i4>0</vt:i4>
      </vt:variant>
      <vt:variant>
        <vt:i4>5</vt:i4>
      </vt:variant>
      <vt:variant>
        <vt:lpwstr>http://www.nevo.co.il/case/22864362</vt:lpwstr>
      </vt:variant>
      <vt:variant>
        <vt:lpwstr/>
      </vt:variant>
      <vt:variant>
        <vt:i4>3539061</vt:i4>
      </vt:variant>
      <vt:variant>
        <vt:i4>81</vt:i4>
      </vt:variant>
      <vt:variant>
        <vt:i4>0</vt:i4>
      </vt:variant>
      <vt:variant>
        <vt:i4>5</vt:i4>
      </vt:variant>
      <vt:variant>
        <vt:lpwstr>http://www.nevo.co.il/case/23565443</vt:lpwstr>
      </vt:variant>
      <vt:variant>
        <vt:lpwstr/>
      </vt:variant>
      <vt:variant>
        <vt:i4>3670139</vt:i4>
      </vt:variant>
      <vt:variant>
        <vt:i4>78</vt:i4>
      </vt:variant>
      <vt:variant>
        <vt:i4>0</vt:i4>
      </vt:variant>
      <vt:variant>
        <vt:i4>5</vt:i4>
      </vt:variant>
      <vt:variant>
        <vt:lpwstr>http://www.nevo.co.il/case/5738608</vt:lpwstr>
      </vt:variant>
      <vt:variant>
        <vt:lpwstr/>
      </vt:variant>
      <vt:variant>
        <vt:i4>3932278</vt:i4>
      </vt:variant>
      <vt:variant>
        <vt:i4>75</vt:i4>
      </vt:variant>
      <vt:variant>
        <vt:i4>0</vt:i4>
      </vt:variant>
      <vt:variant>
        <vt:i4>5</vt:i4>
      </vt:variant>
      <vt:variant>
        <vt:lpwstr>http://www.nevo.co.il/case/24947203</vt:lpwstr>
      </vt:variant>
      <vt:variant>
        <vt:lpwstr/>
      </vt:variant>
      <vt:variant>
        <vt:i4>4063359</vt:i4>
      </vt:variant>
      <vt:variant>
        <vt:i4>72</vt:i4>
      </vt:variant>
      <vt:variant>
        <vt:i4>0</vt:i4>
      </vt:variant>
      <vt:variant>
        <vt:i4>5</vt:i4>
      </vt:variant>
      <vt:variant>
        <vt:lpwstr>http://www.nevo.co.il/case/21480285</vt:lpwstr>
      </vt:variant>
      <vt:variant>
        <vt:lpwstr/>
      </vt:variant>
      <vt:variant>
        <vt:i4>3145850</vt:i4>
      </vt:variant>
      <vt:variant>
        <vt:i4>69</vt:i4>
      </vt:variant>
      <vt:variant>
        <vt:i4>0</vt:i4>
      </vt:variant>
      <vt:variant>
        <vt:i4>5</vt:i4>
      </vt:variant>
      <vt:variant>
        <vt:lpwstr>http://www.nevo.co.il/case/26487010</vt:lpwstr>
      </vt:variant>
      <vt:variant>
        <vt:lpwstr/>
      </vt:variant>
      <vt:variant>
        <vt:i4>3342462</vt:i4>
      </vt:variant>
      <vt:variant>
        <vt:i4>66</vt:i4>
      </vt:variant>
      <vt:variant>
        <vt:i4>0</vt:i4>
      </vt:variant>
      <vt:variant>
        <vt:i4>5</vt:i4>
      </vt:variant>
      <vt:variant>
        <vt:lpwstr>http://www.nevo.co.il/case/6867350</vt:lpwstr>
      </vt:variant>
      <vt:variant>
        <vt:lpwstr/>
      </vt:variant>
      <vt:variant>
        <vt:i4>3997817</vt:i4>
      </vt:variant>
      <vt:variant>
        <vt:i4>63</vt:i4>
      </vt:variant>
      <vt:variant>
        <vt:i4>0</vt:i4>
      </vt:variant>
      <vt:variant>
        <vt:i4>5</vt:i4>
      </vt:variant>
      <vt:variant>
        <vt:lpwstr>http://www.nevo.co.il/case/4991454</vt:lpwstr>
      </vt:variant>
      <vt:variant>
        <vt:lpwstr/>
      </vt:variant>
      <vt:variant>
        <vt:i4>3145842</vt:i4>
      </vt:variant>
      <vt:variant>
        <vt:i4>60</vt:i4>
      </vt:variant>
      <vt:variant>
        <vt:i4>0</vt:i4>
      </vt:variant>
      <vt:variant>
        <vt:i4>5</vt:i4>
      </vt:variant>
      <vt:variant>
        <vt:lpwstr>http://www.nevo.co.il/case/5312175</vt:lpwstr>
      </vt:variant>
      <vt:variant>
        <vt:lpwstr/>
      </vt:variant>
      <vt:variant>
        <vt:i4>3604602</vt:i4>
      </vt:variant>
      <vt:variant>
        <vt:i4>57</vt:i4>
      </vt:variant>
      <vt:variant>
        <vt:i4>0</vt:i4>
      </vt:variant>
      <vt:variant>
        <vt:i4>5</vt:i4>
      </vt:variant>
      <vt:variant>
        <vt:lpwstr>http://www.nevo.co.il/case/5329646</vt:lpwstr>
      </vt:variant>
      <vt:variant>
        <vt:lpwstr/>
      </vt:variant>
      <vt:variant>
        <vt:i4>3866743</vt:i4>
      </vt:variant>
      <vt:variant>
        <vt:i4>54</vt:i4>
      </vt:variant>
      <vt:variant>
        <vt:i4>0</vt:i4>
      </vt:variant>
      <vt:variant>
        <vt:i4>5</vt:i4>
      </vt:variant>
      <vt:variant>
        <vt:lpwstr>http://www.nevo.co.il/case/21767494</vt:lpwstr>
      </vt:variant>
      <vt:variant>
        <vt:lpwstr/>
      </vt:variant>
      <vt:variant>
        <vt:i4>3604592</vt:i4>
      </vt:variant>
      <vt:variant>
        <vt:i4>51</vt:i4>
      </vt:variant>
      <vt:variant>
        <vt:i4>0</vt:i4>
      </vt:variant>
      <vt:variant>
        <vt:i4>5</vt:i4>
      </vt:variant>
      <vt:variant>
        <vt:lpwstr>http://www.nevo.co.il/case/25156420</vt:lpwstr>
      </vt:variant>
      <vt:variant>
        <vt:lpwstr/>
      </vt:variant>
      <vt:variant>
        <vt:i4>3145842</vt:i4>
      </vt:variant>
      <vt:variant>
        <vt:i4>48</vt:i4>
      </vt:variant>
      <vt:variant>
        <vt:i4>0</vt:i4>
      </vt:variant>
      <vt:variant>
        <vt:i4>5</vt:i4>
      </vt:variant>
      <vt:variant>
        <vt:lpwstr>http://www.nevo.co.il/case/26402047</vt:lpwstr>
      </vt:variant>
      <vt:variant>
        <vt:lpwstr/>
      </vt:variant>
      <vt:variant>
        <vt:i4>3932272</vt:i4>
      </vt:variant>
      <vt:variant>
        <vt:i4>45</vt:i4>
      </vt:variant>
      <vt:variant>
        <vt:i4>0</vt:i4>
      </vt:variant>
      <vt:variant>
        <vt:i4>5</vt:i4>
      </vt:variant>
      <vt:variant>
        <vt:lpwstr>http://www.nevo.co.il/case/23751286</vt:lpwstr>
      </vt:variant>
      <vt:variant>
        <vt:lpwstr/>
      </vt:variant>
      <vt:variant>
        <vt:i4>3407987</vt:i4>
      </vt:variant>
      <vt:variant>
        <vt:i4>42</vt:i4>
      </vt:variant>
      <vt:variant>
        <vt:i4>0</vt:i4>
      </vt:variant>
      <vt:variant>
        <vt:i4>5</vt:i4>
      </vt:variant>
      <vt:variant>
        <vt:lpwstr>http://www.nevo.co.il/case/20956295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6619238</vt:i4>
      </vt:variant>
      <vt:variant>
        <vt:i4>36</vt:i4>
      </vt:variant>
      <vt:variant>
        <vt:i4>0</vt:i4>
      </vt:variant>
      <vt:variant>
        <vt:i4>5</vt:i4>
      </vt:variant>
      <vt:variant>
        <vt:lpwstr>http://www.nevo.co.il/law/70301/30</vt:lpwstr>
      </vt:variant>
      <vt:variant>
        <vt:lpwstr/>
      </vt:variant>
      <vt:variant>
        <vt:i4>6357095</vt:i4>
      </vt:variant>
      <vt:variant>
        <vt:i4>33</vt:i4>
      </vt:variant>
      <vt:variant>
        <vt:i4>0</vt:i4>
      </vt:variant>
      <vt:variant>
        <vt:i4>5</vt:i4>
      </vt:variant>
      <vt:variant>
        <vt:lpwstr>http://www.nevo.co.il/law/70301/242</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6357095</vt:i4>
      </vt:variant>
      <vt:variant>
        <vt:i4>18</vt:i4>
      </vt:variant>
      <vt:variant>
        <vt:i4>0</vt:i4>
      </vt:variant>
      <vt:variant>
        <vt:i4>5</vt:i4>
      </vt:variant>
      <vt:variant>
        <vt:lpwstr>http://www.nevo.co.il/law/70301/242</vt:lpwstr>
      </vt:variant>
      <vt:variant>
        <vt:lpwstr/>
      </vt:variant>
      <vt:variant>
        <vt:i4>6619238</vt:i4>
      </vt:variant>
      <vt:variant>
        <vt:i4>15</vt:i4>
      </vt:variant>
      <vt:variant>
        <vt:i4>0</vt:i4>
      </vt:variant>
      <vt:variant>
        <vt:i4>5</vt:i4>
      </vt:variant>
      <vt:variant>
        <vt:lpwstr>http://www.nevo.co.il/law/70301/30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70876</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באסם אסמאעיל</vt:lpwstr>
  </property>
  <property fmtid="{D5CDD505-2E9C-101B-9397-08002B2CF9AE}" pid="10" name="LAWYER">
    <vt:lpwstr>נתנאל סאלי אביטל;רן אבינועם</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20220911</vt:lpwstr>
  </property>
  <property fmtid="{D5CDD505-2E9C-101B-9397-08002B2CF9AE}" pid="14" name="TYPE_N_DATE">
    <vt:lpwstr>38020220911</vt:lpwstr>
  </property>
  <property fmtid="{D5CDD505-2E9C-101B-9397-08002B2CF9AE}" pid="15" name="WORDNUMPAGES">
    <vt:lpwstr>10</vt:lpwstr>
  </property>
  <property fmtid="{D5CDD505-2E9C-101B-9397-08002B2CF9AE}" pid="16" name="TYPE_ABS_DATE">
    <vt:lpwstr>380020220911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20956295;23751286;26402047;25156420;21767494;5329646;5312175;4991454;6867350;26487010;21480285;24947203;5738608;23565443;22864362</vt:lpwstr>
  </property>
  <property fmtid="{D5CDD505-2E9C-101B-9397-08002B2CF9AE}" pid="36" name="LAWLISTTMP1">
    <vt:lpwstr>4216/007.a;007.c;010</vt:lpwstr>
  </property>
  <property fmtid="{D5CDD505-2E9C-101B-9397-08002B2CF9AE}" pid="37" name="LAWLISTTMP2">
    <vt:lpwstr>70301/242;030</vt:lpwstr>
  </property>
</Properties>
</file>