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2"/>
        <w:gridCol w:w="3657"/>
        <w:gridCol w:w="99"/>
      </w:tblGrid>
      <w:tr w:rsidR="00982283" w:rsidRPr="00DC7114" w14:paraId="785C44B0" w14:textId="77777777" w:rsidTr="00B03688">
        <w:trPr>
          <w:gridAfter w:val="1"/>
          <w:wAfter w:w="99" w:type="dxa"/>
          <w:trHeight w:hRule="exact" w:val="418"/>
          <w:jc w:val="center"/>
        </w:trPr>
        <w:tc>
          <w:tcPr>
            <w:tcW w:w="8721" w:type="dxa"/>
            <w:gridSpan w:val="4"/>
          </w:tcPr>
          <w:p w14:paraId="3A15FB73" w14:textId="77777777" w:rsidR="00982283" w:rsidRPr="00DC7114" w:rsidRDefault="00982283" w:rsidP="00E94A3D">
            <w:pPr>
              <w:pStyle w:val="a3"/>
              <w:jc w:val="center"/>
              <w:rPr>
                <w:rFonts w:ascii="Tahoma" w:hAnsi="Tahoma" w:cs="Tahoma"/>
                <w:color w:val="000080"/>
                <w:rtl/>
              </w:rPr>
            </w:pPr>
            <w:bookmarkStart w:id="0" w:name="LastJudge"/>
            <w:r w:rsidRPr="00DC7114">
              <w:rPr>
                <w:rFonts w:ascii="Tahoma" w:hAnsi="Tahoma" w:cs="Tahoma"/>
                <w:b/>
                <w:bCs/>
                <w:color w:val="000080"/>
                <w:rtl/>
              </w:rPr>
              <w:t>בית משפט השלום בקריות</w:t>
            </w:r>
          </w:p>
        </w:tc>
      </w:tr>
      <w:tr w:rsidR="00982283" w:rsidRPr="00DC7114" w14:paraId="2AEB26F4" w14:textId="77777777" w:rsidTr="00B03688">
        <w:trPr>
          <w:gridAfter w:val="1"/>
          <w:wAfter w:w="99" w:type="dxa"/>
          <w:trHeight w:val="337"/>
          <w:jc w:val="center"/>
        </w:trPr>
        <w:tc>
          <w:tcPr>
            <w:tcW w:w="5064" w:type="dxa"/>
            <w:gridSpan w:val="3"/>
          </w:tcPr>
          <w:p w14:paraId="06C412F2" w14:textId="77777777" w:rsidR="00982283" w:rsidRPr="00DC7114" w:rsidRDefault="00982283" w:rsidP="00E94A3D">
            <w:pPr>
              <w:rPr>
                <w:rFonts w:cs="FrankRuehl"/>
                <w:sz w:val="28"/>
                <w:szCs w:val="28"/>
                <w:rtl/>
              </w:rPr>
            </w:pPr>
            <w:r w:rsidRPr="00DC7114">
              <w:rPr>
                <w:rFonts w:cs="FrankRuehl"/>
                <w:sz w:val="28"/>
                <w:szCs w:val="28"/>
                <w:rtl/>
              </w:rPr>
              <w:t>ת"פ</w:t>
            </w:r>
            <w:r w:rsidRPr="00DC7114">
              <w:rPr>
                <w:rFonts w:cs="FrankRuehl" w:hint="cs"/>
                <w:sz w:val="28"/>
                <w:szCs w:val="28"/>
                <w:rtl/>
              </w:rPr>
              <w:t xml:space="preserve"> </w:t>
            </w:r>
            <w:r w:rsidRPr="00DC7114">
              <w:rPr>
                <w:rFonts w:cs="FrankRuehl"/>
                <w:sz w:val="28"/>
                <w:szCs w:val="28"/>
                <w:rtl/>
              </w:rPr>
              <w:t>29520-01-21</w:t>
            </w:r>
            <w:r w:rsidRPr="00DC7114">
              <w:rPr>
                <w:rFonts w:cs="FrankRuehl" w:hint="cs"/>
                <w:sz w:val="28"/>
                <w:szCs w:val="28"/>
                <w:rtl/>
              </w:rPr>
              <w:t xml:space="preserve"> </w:t>
            </w:r>
            <w:r w:rsidRPr="00DC7114">
              <w:rPr>
                <w:rFonts w:cs="FrankRuehl"/>
                <w:sz w:val="28"/>
                <w:szCs w:val="28"/>
                <w:rtl/>
              </w:rPr>
              <w:t>מדינת ישראל נ' אלקיים(אחר/נוסף)</w:t>
            </w:r>
          </w:p>
          <w:p w14:paraId="2B177CE5" w14:textId="77777777" w:rsidR="00982283" w:rsidRPr="00DC7114" w:rsidRDefault="00982283" w:rsidP="00E94A3D">
            <w:pPr>
              <w:pStyle w:val="a3"/>
              <w:rPr>
                <w:rFonts w:cs="FrankRuehl"/>
                <w:sz w:val="28"/>
                <w:szCs w:val="28"/>
                <w:rtl/>
              </w:rPr>
            </w:pPr>
          </w:p>
        </w:tc>
        <w:tc>
          <w:tcPr>
            <w:tcW w:w="3657" w:type="dxa"/>
          </w:tcPr>
          <w:p w14:paraId="3F1F32C3" w14:textId="77777777" w:rsidR="00982283" w:rsidRPr="00DC7114" w:rsidRDefault="00982283" w:rsidP="00E94A3D">
            <w:pPr>
              <w:pStyle w:val="a3"/>
              <w:jc w:val="right"/>
              <w:rPr>
                <w:rFonts w:cs="FrankRuehl"/>
                <w:sz w:val="28"/>
                <w:szCs w:val="28"/>
                <w:rtl/>
              </w:rPr>
            </w:pPr>
          </w:p>
        </w:tc>
      </w:tr>
      <w:tr w:rsidR="00982283" w:rsidRPr="00DC7114" w14:paraId="4224DEF7" w14:textId="77777777" w:rsidTr="00B036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A421664" w14:textId="77777777" w:rsidR="00982283" w:rsidRPr="00DC7114" w:rsidRDefault="00982283" w:rsidP="00982283">
            <w:pPr>
              <w:jc w:val="both"/>
              <w:rPr>
                <w:rFonts w:ascii="David" w:hAnsi="David"/>
                <w:sz w:val="26"/>
                <w:szCs w:val="26"/>
              </w:rPr>
            </w:pPr>
            <w:r w:rsidRPr="00DC7114">
              <w:rPr>
                <w:rFonts w:hint="cs"/>
                <w:rtl/>
              </w:rPr>
              <w:t xml:space="preserve"> </w:t>
            </w:r>
            <w:r w:rsidRPr="00DC711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461B332" w14:textId="77777777" w:rsidR="00982283" w:rsidRPr="00DC7114" w:rsidRDefault="00982283" w:rsidP="00E94A3D">
            <w:pPr>
              <w:rPr>
                <w:rFonts w:ascii="David" w:hAnsi="David"/>
                <w:b/>
                <w:bCs/>
                <w:sz w:val="26"/>
                <w:szCs w:val="26"/>
                <w:rtl/>
              </w:rPr>
            </w:pPr>
            <w:r w:rsidRPr="00DC7114">
              <w:rPr>
                <w:rFonts w:ascii="David" w:hAnsi="David"/>
                <w:b/>
                <w:bCs/>
                <w:sz w:val="26"/>
                <w:szCs w:val="26"/>
                <w:rtl/>
              </w:rPr>
              <w:t>כבוד השופטת  סימי פלג קימלוב</w:t>
            </w:r>
          </w:p>
          <w:p w14:paraId="63248032" w14:textId="77777777" w:rsidR="00982283" w:rsidRPr="00DC7114" w:rsidRDefault="00982283" w:rsidP="00E94A3D">
            <w:pPr>
              <w:rPr>
                <w:rFonts w:ascii="David" w:hAnsi="David"/>
                <w:sz w:val="26"/>
                <w:szCs w:val="26"/>
                <w:rtl/>
              </w:rPr>
            </w:pPr>
          </w:p>
          <w:p w14:paraId="0A56E1E6" w14:textId="77777777" w:rsidR="00982283" w:rsidRPr="00DC7114" w:rsidRDefault="00982283" w:rsidP="00982283">
            <w:pPr>
              <w:jc w:val="both"/>
              <w:rPr>
                <w:rFonts w:ascii="David" w:hAnsi="David"/>
                <w:sz w:val="26"/>
                <w:szCs w:val="26"/>
              </w:rPr>
            </w:pPr>
          </w:p>
        </w:tc>
      </w:tr>
      <w:tr w:rsidR="00982283" w:rsidRPr="00DC7114" w14:paraId="5D4D5E56" w14:textId="77777777" w:rsidTr="00B036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8A7C3B" w14:textId="77777777" w:rsidR="00982283" w:rsidRPr="00DC7114" w:rsidRDefault="00982283" w:rsidP="00982283">
            <w:pPr>
              <w:jc w:val="both"/>
              <w:rPr>
                <w:rFonts w:ascii="David" w:hAnsi="David"/>
                <w:sz w:val="26"/>
                <w:szCs w:val="26"/>
              </w:rPr>
            </w:pPr>
            <w:bookmarkStart w:id="1" w:name="FirstAppellant"/>
            <w:r w:rsidRPr="00DC7114">
              <w:rPr>
                <w:rFonts w:ascii="David" w:hAnsi="David"/>
                <w:sz w:val="26"/>
                <w:szCs w:val="26"/>
                <w:rtl/>
              </w:rPr>
              <w:t>בעניין:</w:t>
            </w:r>
          </w:p>
        </w:tc>
        <w:tc>
          <w:tcPr>
            <w:tcW w:w="3219" w:type="dxa"/>
            <w:tcBorders>
              <w:top w:val="nil"/>
              <w:left w:val="nil"/>
              <w:bottom w:val="nil"/>
              <w:right w:val="nil"/>
            </w:tcBorders>
            <w:shd w:val="clear" w:color="auto" w:fill="auto"/>
          </w:tcPr>
          <w:p w14:paraId="2ACC9663" w14:textId="77777777" w:rsidR="00982283" w:rsidRPr="00DC7114" w:rsidRDefault="00982283" w:rsidP="00982283">
            <w:pPr>
              <w:suppressLineNumbers/>
            </w:pPr>
            <w:r w:rsidRPr="00DC7114">
              <w:rPr>
                <w:rFonts w:ascii="Arial" w:hAnsi="Arial" w:hint="cs"/>
                <w:b/>
                <w:bCs/>
                <w:sz w:val="26"/>
                <w:szCs w:val="26"/>
                <w:rtl/>
              </w:rPr>
              <w:t>ה</w:t>
            </w:r>
            <w:r w:rsidRPr="00DC7114">
              <w:rPr>
                <w:rFonts w:ascii="Arial" w:hAnsi="Arial"/>
                <w:b/>
                <w:bCs/>
                <w:sz w:val="26"/>
                <w:szCs w:val="26"/>
                <w:rtl/>
              </w:rPr>
              <w:t>מאשימה</w:t>
            </w:r>
          </w:p>
          <w:p w14:paraId="05B21B3A" w14:textId="77777777" w:rsidR="00982283" w:rsidRPr="00DC7114" w:rsidRDefault="00982283" w:rsidP="00E94A3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CCB2995" w14:textId="77777777" w:rsidR="00982283" w:rsidRPr="00DC7114" w:rsidRDefault="00982283" w:rsidP="00982283">
            <w:pPr>
              <w:suppressLineNumbers/>
            </w:pPr>
            <w:r w:rsidRPr="00DC7114">
              <w:rPr>
                <w:rFonts w:ascii="Arial" w:hAnsi="Arial"/>
                <w:b/>
                <w:bCs/>
                <w:sz w:val="26"/>
                <w:szCs w:val="26"/>
                <w:rtl/>
              </w:rPr>
              <w:t>מדינת ישראל</w:t>
            </w:r>
            <w:r w:rsidRPr="00DC7114">
              <w:rPr>
                <w:rFonts w:ascii="Arial" w:hAnsi="Arial" w:hint="cs"/>
                <w:b/>
                <w:bCs/>
                <w:sz w:val="26"/>
                <w:szCs w:val="26"/>
                <w:rtl/>
              </w:rPr>
              <w:t xml:space="preserve"> </w:t>
            </w:r>
          </w:p>
          <w:p w14:paraId="390704BB" w14:textId="77777777" w:rsidR="00982283" w:rsidRPr="00DC7114" w:rsidRDefault="00982283" w:rsidP="00E94A3D">
            <w:pPr>
              <w:rPr>
                <w:rFonts w:ascii="David" w:hAnsi="David"/>
                <w:sz w:val="26"/>
                <w:szCs w:val="26"/>
              </w:rPr>
            </w:pPr>
          </w:p>
        </w:tc>
      </w:tr>
      <w:bookmarkEnd w:id="1"/>
      <w:tr w:rsidR="00982283" w:rsidRPr="00DC7114" w14:paraId="7AEB98E5" w14:textId="77777777" w:rsidTr="00B036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28F25D" w14:textId="77777777" w:rsidR="00982283" w:rsidRPr="00DC7114" w:rsidRDefault="00982283" w:rsidP="0098228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9E6D3EB" w14:textId="77777777" w:rsidR="00982283" w:rsidRPr="00DC7114" w:rsidRDefault="00982283" w:rsidP="00982283">
            <w:pPr>
              <w:jc w:val="center"/>
              <w:rPr>
                <w:rFonts w:ascii="David" w:hAnsi="David"/>
                <w:b/>
                <w:bCs/>
                <w:sz w:val="26"/>
                <w:szCs w:val="26"/>
                <w:rtl/>
              </w:rPr>
            </w:pPr>
          </w:p>
          <w:p w14:paraId="375CBB35" w14:textId="77777777" w:rsidR="00982283" w:rsidRPr="00DC7114" w:rsidRDefault="00982283" w:rsidP="00982283">
            <w:pPr>
              <w:jc w:val="center"/>
              <w:rPr>
                <w:rFonts w:ascii="David" w:hAnsi="David"/>
                <w:b/>
                <w:bCs/>
                <w:sz w:val="26"/>
                <w:szCs w:val="26"/>
                <w:rtl/>
              </w:rPr>
            </w:pPr>
            <w:r w:rsidRPr="00DC7114">
              <w:rPr>
                <w:rFonts w:ascii="David" w:hAnsi="David"/>
                <w:b/>
                <w:bCs/>
                <w:sz w:val="26"/>
                <w:szCs w:val="26"/>
                <w:rtl/>
              </w:rPr>
              <w:t>נגד</w:t>
            </w:r>
          </w:p>
          <w:p w14:paraId="7B86BC1D" w14:textId="77777777" w:rsidR="00982283" w:rsidRPr="00DC7114" w:rsidRDefault="00982283" w:rsidP="00982283">
            <w:pPr>
              <w:jc w:val="both"/>
              <w:rPr>
                <w:rFonts w:ascii="David" w:hAnsi="David"/>
                <w:sz w:val="26"/>
                <w:szCs w:val="26"/>
              </w:rPr>
            </w:pPr>
          </w:p>
        </w:tc>
      </w:tr>
      <w:tr w:rsidR="00982283" w:rsidRPr="00DC7114" w14:paraId="06C42056" w14:textId="77777777" w:rsidTr="00B036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558CD7" w14:textId="77777777" w:rsidR="00982283" w:rsidRPr="00DC7114" w:rsidRDefault="00982283" w:rsidP="00E94A3D">
            <w:pPr>
              <w:rPr>
                <w:rFonts w:ascii="David" w:hAnsi="David"/>
                <w:sz w:val="26"/>
                <w:szCs w:val="26"/>
                <w:rtl/>
              </w:rPr>
            </w:pPr>
          </w:p>
        </w:tc>
        <w:tc>
          <w:tcPr>
            <w:tcW w:w="3219" w:type="dxa"/>
            <w:tcBorders>
              <w:top w:val="nil"/>
              <w:left w:val="nil"/>
              <w:bottom w:val="nil"/>
              <w:right w:val="nil"/>
            </w:tcBorders>
            <w:shd w:val="clear" w:color="auto" w:fill="auto"/>
          </w:tcPr>
          <w:p w14:paraId="5C08F37D" w14:textId="77777777" w:rsidR="00982283" w:rsidRPr="00DC7114" w:rsidRDefault="00982283" w:rsidP="00E94A3D">
            <w:pPr>
              <w:rPr>
                <w:rFonts w:ascii="Arial" w:hAnsi="Arial"/>
                <w:b/>
                <w:bCs/>
                <w:sz w:val="26"/>
                <w:szCs w:val="26"/>
                <w:rtl/>
              </w:rPr>
            </w:pPr>
            <w:r w:rsidRPr="00DC711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E71E504" w14:textId="77777777" w:rsidR="00982283" w:rsidRPr="00DC7114" w:rsidRDefault="00982283" w:rsidP="00982283">
            <w:pPr>
              <w:suppressLineNumbers/>
            </w:pPr>
            <w:r w:rsidRPr="00DC7114">
              <w:rPr>
                <w:rFonts w:ascii="Arial" w:hAnsi="Arial"/>
                <w:b/>
                <w:bCs/>
                <w:sz w:val="26"/>
                <w:szCs w:val="26"/>
                <w:rtl/>
              </w:rPr>
              <w:t xml:space="preserve">אבי אלקיים </w:t>
            </w:r>
          </w:p>
          <w:p w14:paraId="526BA5CA" w14:textId="77777777" w:rsidR="00982283" w:rsidRPr="00DC7114" w:rsidRDefault="00982283" w:rsidP="00E94A3D">
            <w:pPr>
              <w:rPr>
                <w:rFonts w:ascii="David" w:hAnsi="David"/>
                <w:sz w:val="26"/>
                <w:szCs w:val="26"/>
              </w:rPr>
            </w:pPr>
          </w:p>
        </w:tc>
      </w:tr>
    </w:tbl>
    <w:p w14:paraId="2D193093" w14:textId="77777777" w:rsidR="00B03688" w:rsidRDefault="00B03688" w:rsidP="00DC7114">
      <w:pPr>
        <w:rPr>
          <w:sz w:val="26"/>
          <w:szCs w:val="26"/>
          <w:rtl/>
        </w:rPr>
      </w:pPr>
    </w:p>
    <w:p w14:paraId="3A694D1F" w14:textId="77777777" w:rsidR="00B03688" w:rsidRPr="00B03688" w:rsidRDefault="00B03688" w:rsidP="00B03688">
      <w:pPr>
        <w:spacing w:after="120" w:line="240" w:lineRule="exact"/>
        <w:ind w:left="283" w:hanging="283"/>
        <w:jc w:val="both"/>
        <w:rPr>
          <w:rFonts w:ascii="FrankRuehl" w:hAnsi="FrankRuehl" w:cs="FrankRuehl"/>
          <w:rtl/>
        </w:rPr>
      </w:pPr>
    </w:p>
    <w:p w14:paraId="74C0704E" w14:textId="77777777" w:rsidR="00D609E6" w:rsidRPr="00D609E6" w:rsidRDefault="00D609E6" w:rsidP="00D609E6">
      <w:pPr>
        <w:spacing w:before="120" w:after="120" w:line="240" w:lineRule="exact"/>
        <w:ind w:left="283" w:hanging="283"/>
        <w:jc w:val="both"/>
        <w:rPr>
          <w:rFonts w:ascii="FrankRuehl" w:hAnsi="FrankRuehl" w:cs="FrankRuehl"/>
          <w:rtl/>
        </w:rPr>
      </w:pPr>
    </w:p>
    <w:p w14:paraId="15A15C92" w14:textId="77777777" w:rsidR="002F5D37" w:rsidRDefault="002F5D37" w:rsidP="002F5D37">
      <w:pPr>
        <w:rPr>
          <w:sz w:val="26"/>
          <w:szCs w:val="26"/>
          <w:rtl/>
        </w:rPr>
      </w:pPr>
      <w:bookmarkStart w:id="2" w:name="LawTable"/>
      <w:bookmarkEnd w:id="2"/>
    </w:p>
    <w:p w14:paraId="6A6906CE" w14:textId="77777777" w:rsidR="002F5D37" w:rsidRPr="002F5D37" w:rsidRDefault="002F5D37" w:rsidP="002F5D37">
      <w:pPr>
        <w:spacing w:before="120" w:after="120" w:line="240" w:lineRule="exact"/>
        <w:ind w:left="283" w:hanging="283"/>
        <w:jc w:val="both"/>
        <w:rPr>
          <w:rFonts w:ascii="FrankRuehl" w:hAnsi="FrankRuehl" w:cs="FrankRuehl"/>
          <w:rtl/>
        </w:rPr>
      </w:pPr>
    </w:p>
    <w:p w14:paraId="5A370EC3" w14:textId="77777777" w:rsidR="002F5D37" w:rsidRPr="002F5D37" w:rsidRDefault="002F5D37" w:rsidP="002F5D37">
      <w:pPr>
        <w:spacing w:before="120" w:after="120" w:line="240" w:lineRule="exact"/>
        <w:ind w:left="283" w:hanging="283"/>
        <w:jc w:val="both"/>
        <w:rPr>
          <w:rFonts w:ascii="FrankRuehl" w:hAnsi="FrankRuehl" w:cs="FrankRuehl"/>
          <w:rtl/>
        </w:rPr>
      </w:pPr>
    </w:p>
    <w:p w14:paraId="0D3E2755" w14:textId="77777777" w:rsidR="002F5D37" w:rsidRPr="002F5D37" w:rsidRDefault="002F5D37" w:rsidP="002F5D37">
      <w:pPr>
        <w:spacing w:before="120" w:after="120" w:line="240" w:lineRule="exact"/>
        <w:ind w:left="283" w:hanging="283"/>
        <w:jc w:val="both"/>
        <w:rPr>
          <w:rFonts w:ascii="FrankRuehl" w:hAnsi="FrankRuehl" w:cs="FrankRuehl"/>
          <w:rtl/>
        </w:rPr>
      </w:pPr>
      <w:r w:rsidRPr="002F5D37">
        <w:rPr>
          <w:rFonts w:ascii="FrankRuehl" w:hAnsi="FrankRuehl" w:cs="FrankRuehl"/>
          <w:rtl/>
        </w:rPr>
        <w:t xml:space="preserve">חקיקה שאוזכרה: </w:t>
      </w:r>
    </w:p>
    <w:p w14:paraId="2477AF36" w14:textId="77777777" w:rsidR="002F5D37" w:rsidRPr="002F5D37" w:rsidRDefault="002F5D37" w:rsidP="002F5D37">
      <w:pPr>
        <w:spacing w:before="120" w:after="120" w:line="240" w:lineRule="exact"/>
        <w:ind w:left="283" w:hanging="283"/>
        <w:jc w:val="both"/>
        <w:rPr>
          <w:rFonts w:ascii="FrankRuehl" w:hAnsi="FrankRuehl" w:cs="FrankRuehl"/>
          <w:rtl/>
        </w:rPr>
      </w:pPr>
      <w:hyperlink r:id="rId7" w:history="1">
        <w:r w:rsidRPr="002F5D37">
          <w:rPr>
            <w:rFonts w:ascii="FrankRuehl" w:hAnsi="FrankRuehl" w:cs="FrankRuehl"/>
            <w:color w:val="0000FF"/>
            <w:rtl/>
          </w:rPr>
          <w:t>פקודת הסמים המסוכנים [נוסח חדש], תשל"ג-1973</w:t>
        </w:r>
      </w:hyperlink>
      <w:r w:rsidRPr="002F5D37">
        <w:rPr>
          <w:rFonts w:ascii="FrankRuehl" w:hAnsi="FrankRuehl" w:cs="FrankRuehl"/>
          <w:rtl/>
        </w:rPr>
        <w:t xml:space="preserve">: סע'  </w:t>
      </w:r>
      <w:hyperlink r:id="rId8" w:history="1">
        <w:r w:rsidRPr="002F5D37">
          <w:rPr>
            <w:rFonts w:ascii="FrankRuehl" w:hAnsi="FrankRuehl" w:cs="FrankRuehl"/>
            <w:color w:val="0000FF"/>
            <w:rtl/>
          </w:rPr>
          <w:t>6</w:t>
        </w:r>
      </w:hyperlink>
      <w:r w:rsidRPr="002F5D37">
        <w:rPr>
          <w:rFonts w:ascii="FrankRuehl" w:hAnsi="FrankRuehl" w:cs="FrankRuehl"/>
          <w:rtl/>
        </w:rPr>
        <w:t xml:space="preserve">, </w:t>
      </w:r>
      <w:hyperlink r:id="rId9" w:history="1">
        <w:r w:rsidRPr="002F5D37">
          <w:rPr>
            <w:rFonts w:ascii="FrankRuehl" w:hAnsi="FrankRuehl" w:cs="FrankRuehl"/>
            <w:color w:val="0000FF"/>
            <w:rtl/>
          </w:rPr>
          <w:t>7.א.</w:t>
        </w:r>
      </w:hyperlink>
      <w:r w:rsidRPr="002F5D37">
        <w:rPr>
          <w:rFonts w:ascii="FrankRuehl" w:hAnsi="FrankRuehl" w:cs="FrankRuehl"/>
          <w:rtl/>
        </w:rPr>
        <w:t xml:space="preserve">, </w:t>
      </w:r>
      <w:hyperlink r:id="rId10" w:history="1">
        <w:r w:rsidRPr="002F5D37">
          <w:rPr>
            <w:rFonts w:ascii="FrankRuehl" w:hAnsi="FrankRuehl" w:cs="FrankRuehl"/>
            <w:color w:val="0000FF"/>
            <w:rtl/>
          </w:rPr>
          <w:t>7.ג</w:t>
        </w:r>
      </w:hyperlink>
      <w:r w:rsidRPr="002F5D37">
        <w:rPr>
          <w:rFonts w:ascii="FrankRuehl" w:hAnsi="FrankRuehl" w:cs="FrankRuehl"/>
          <w:rtl/>
        </w:rPr>
        <w:t xml:space="preserve">, </w:t>
      </w:r>
      <w:hyperlink r:id="rId11" w:history="1">
        <w:r w:rsidRPr="002F5D37">
          <w:rPr>
            <w:rFonts w:ascii="FrankRuehl" w:hAnsi="FrankRuehl" w:cs="FrankRuehl"/>
            <w:color w:val="0000FF"/>
            <w:rtl/>
          </w:rPr>
          <w:t>10</w:t>
        </w:r>
      </w:hyperlink>
      <w:r w:rsidRPr="002F5D37">
        <w:rPr>
          <w:rFonts w:ascii="FrankRuehl" w:hAnsi="FrankRuehl" w:cs="FrankRuehl"/>
          <w:rtl/>
        </w:rPr>
        <w:t xml:space="preserve">, </w:t>
      </w:r>
      <w:hyperlink r:id="rId12" w:history="1">
        <w:r w:rsidRPr="002F5D37">
          <w:rPr>
            <w:rFonts w:ascii="FrankRuehl" w:hAnsi="FrankRuehl" w:cs="FrankRuehl"/>
            <w:color w:val="0000FF"/>
            <w:rtl/>
          </w:rPr>
          <w:t>37</w:t>
        </w:r>
      </w:hyperlink>
    </w:p>
    <w:p w14:paraId="1E898176" w14:textId="77777777" w:rsidR="002F5D37" w:rsidRPr="002F5D37" w:rsidRDefault="002F5D37" w:rsidP="002F5D37">
      <w:pPr>
        <w:spacing w:before="120" w:after="120" w:line="240" w:lineRule="exact"/>
        <w:ind w:left="283" w:hanging="283"/>
        <w:jc w:val="both"/>
        <w:rPr>
          <w:rFonts w:ascii="FrankRuehl" w:hAnsi="FrankRuehl" w:cs="FrankRuehl"/>
          <w:rtl/>
        </w:rPr>
      </w:pPr>
      <w:hyperlink r:id="rId13" w:history="1">
        <w:r w:rsidRPr="002F5D37">
          <w:rPr>
            <w:rFonts w:ascii="FrankRuehl" w:hAnsi="FrankRuehl" w:cs="FrankRuehl"/>
            <w:color w:val="0000FF"/>
            <w:rtl/>
          </w:rPr>
          <w:t>חוק העונשין, תשל"ז-1977</w:t>
        </w:r>
      </w:hyperlink>
      <w:r w:rsidRPr="002F5D37">
        <w:rPr>
          <w:rFonts w:ascii="FrankRuehl" w:hAnsi="FrankRuehl" w:cs="FrankRuehl"/>
          <w:rtl/>
        </w:rPr>
        <w:t xml:space="preserve">: סע'  </w:t>
      </w:r>
      <w:hyperlink r:id="rId14" w:history="1">
        <w:r w:rsidRPr="002F5D37">
          <w:rPr>
            <w:rFonts w:ascii="FrankRuehl" w:hAnsi="FrankRuehl" w:cs="FrankRuehl"/>
            <w:color w:val="0000FF"/>
            <w:rtl/>
          </w:rPr>
          <w:t>400</w:t>
        </w:r>
      </w:hyperlink>
    </w:p>
    <w:p w14:paraId="1C38535A" w14:textId="77777777" w:rsidR="002F5D37" w:rsidRPr="002F5D37" w:rsidRDefault="002F5D37" w:rsidP="002F5D37">
      <w:pPr>
        <w:rPr>
          <w:sz w:val="26"/>
          <w:szCs w:val="26"/>
          <w:rtl/>
        </w:rPr>
      </w:pPr>
      <w:bookmarkStart w:id="3" w:name="LawTable_End"/>
      <w:bookmarkEnd w:id="3"/>
    </w:p>
    <w:p w14:paraId="37E2621D" w14:textId="77777777" w:rsidR="00982283" w:rsidRPr="00D609E6" w:rsidRDefault="00982283" w:rsidP="00D609E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2283" w14:paraId="0C7D0D12" w14:textId="77777777" w:rsidTr="00982283">
        <w:trPr>
          <w:trHeight w:val="355"/>
          <w:jc w:val="center"/>
        </w:trPr>
        <w:tc>
          <w:tcPr>
            <w:tcW w:w="8820" w:type="dxa"/>
            <w:tcBorders>
              <w:top w:val="nil"/>
              <w:left w:val="nil"/>
              <w:bottom w:val="nil"/>
              <w:right w:val="nil"/>
            </w:tcBorders>
            <w:shd w:val="clear" w:color="auto" w:fill="auto"/>
          </w:tcPr>
          <w:p w14:paraId="02DAB1C7" w14:textId="77777777" w:rsidR="00DC7114" w:rsidRPr="00DC7114" w:rsidRDefault="00DC7114" w:rsidP="00DC7114">
            <w:pPr>
              <w:jc w:val="center"/>
              <w:rPr>
                <w:rFonts w:ascii="David" w:hAnsi="David"/>
                <w:b/>
                <w:bCs/>
                <w:sz w:val="32"/>
                <w:szCs w:val="32"/>
                <w:u w:val="single"/>
                <w:rtl/>
              </w:rPr>
            </w:pPr>
            <w:bookmarkStart w:id="4" w:name="PsakDin" w:colFirst="0" w:colLast="0"/>
            <w:bookmarkEnd w:id="0"/>
            <w:r w:rsidRPr="00DC7114">
              <w:rPr>
                <w:rFonts w:ascii="David" w:hAnsi="David"/>
                <w:b/>
                <w:bCs/>
                <w:sz w:val="32"/>
                <w:szCs w:val="32"/>
                <w:u w:val="single"/>
                <w:rtl/>
              </w:rPr>
              <w:t>גזר דין</w:t>
            </w:r>
          </w:p>
          <w:p w14:paraId="1AE2DE76" w14:textId="77777777" w:rsidR="00982283" w:rsidRPr="00DC7114" w:rsidRDefault="00982283" w:rsidP="00DC7114">
            <w:pPr>
              <w:jc w:val="center"/>
              <w:rPr>
                <w:rFonts w:ascii="David" w:hAnsi="David"/>
                <w:bCs/>
                <w:sz w:val="32"/>
                <w:szCs w:val="32"/>
                <w:u w:val="single"/>
                <w:rtl/>
              </w:rPr>
            </w:pPr>
          </w:p>
        </w:tc>
      </w:tr>
    </w:tbl>
    <w:bookmarkEnd w:id="4"/>
    <w:p w14:paraId="346B187F" w14:textId="77777777" w:rsidR="00982283" w:rsidRDefault="00982283" w:rsidP="00982283">
      <w:pPr>
        <w:spacing w:line="360" w:lineRule="auto"/>
        <w:rPr>
          <w:rFonts w:ascii="Arial" w:hAnsi="Arial"/>
          <w:rtl/>
        </w:rPr>
      </w:pPr>
      <w:r>
        <w:rPr>
          <w:rFonts w:ascii="Arial" w:hAnsi="Arial"/>
          <w:b/>
          <w:bCs/>
          <w:sz w:val="26"/>
          <w:szCs w:val="26"/>
          <w:rtl/>
        </w:rPr>
        <w:tab/>
      </w:r>
      <w:r w:rsidRPr="004D1185">
        <w:rPr>
          <w:rFonts w:ascii="Arial" w:hAnsi="Arial" w:hint="cs"/>
          <w:b/>
          <w:bCs/>
          <w:u w:val="single"/>
          <w:rtl/>
        </w:rPr>
        <w:t xml:space="preserve">כתב האישום </w:t>
      </w:r>
    </w:p>
    <w:p w14:paraId="0B979961" w14:textId="77777777" w:rsidR="00982283" w:rsidRDefault="00982283" w:rsidP="00982283">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בעובדות כתב האישום בעבירות של ייצור הכנה והפקה </w:t>
      </w:r>
      <w:r>
        <w:rPr>
          <w:rFonts w:ascii="Arial" w:hAnsi="Arial"/>
          <w:rtl/>
        </w:rPr>
        <w:t>–</w:t>
      </w:r>
      <w:r>
        <w:rPr>
          <w:rFonts w:ascii="Arial" w:hAnsi="Arial" w:hint="cs"/>
          <w:rtl/>
        </w:rPr>
        <w:t xml:space="preserve"> עבירה לפי </w:t>
      </w:r>
      <w:hyperlink r:id="rId15" w:history="1">
        <w:r w:rsidR="00B03688" w:rsidRPr="00B03688">
          <w:rPr>
            <w:rStyle w:val="Hyperlink"/>
            <w:rFonts w:ascii="Arial" w:hAnsi="Arial" w:hint="eastAsia"/>
            <w:rtl/>
          </w:rPr>
          <w:t>סעיף</w:t>
        </w:r>
        <w:r w:rsidR="00B03688" w:rsidRPr="00B03688">
          <w:rPr>
            <w:rStyle w:val="Hyperlink"/>
            <w:rFonts w:ascii="Arial" w:hAnsi="Arial"/>
            <w:rtl/>
          </w:rPr>
          <w:t xml:space="preserve"> 6</w:t>
        </w:r>
      </w:hyperlink>
      <w:r>
        <w:rPr>
          <w:rFonts w:ascii="Arial" w:hAnsi="Arial" w:hint="cs"/>
          <w:rtl/>
        </w:rPr>
        <w:t xml:space="preserve"> ל</w:t>
      </w:r>
      <w:hyperlink r:id="rId16" w:history="1">
        <w:r w:rsidR="00DC7114" w:rsidRPr="00DC7114">
          <w:rPr>
            <w:rFonts w:ascii="Arial" w:hAnsi="Arial"/>
            <w:color w:val="0000FF"/>
            <w:u w:val="single"/>
            <w:rtl/>
          </w:rPr>
          <w:t>פקודת הסמים המסוכנים</w:t>
        </w:r>
      </w:hyperlink>
      <w:r>
        <w:rPr>
          <w:rFonts w:ascii="Arial" w:hAnsi="Arial" w:hint="cs"/>
          <w:rtl/>
        </w:rPr>
        <w:t xml:space="preserve"> [נוסח חדש], התשל"ג  - 1973 </w:t>
      </w:r>
      <w:r w:rsidRPr="00127628">
        <w:rPr>
          <w:rFonts w:ascii="Arial" w:hAnsi="Arial" w:hint="cs"/>
          <w:b/>
          <w:bCs/>
          <w:rtl/>
        </w:rPr>
        <w:t>(להלן: "פקודת</w:t>
      </w:r>
      <w:r>
        <w:rPr>
          <w:rFonts w:ascii="Arial" w:hAnsi="Arial" w:hint="cs"/>
          <w:rtl/>
        </w:rPr>
        <w:t xml:space="preserve"> </w:t>
      </w:r>
      <w:r w:rsidRPr="00127628">
        <w:rPr>
          <w:rFonts w:ascii="Arial" w:hAnsi="Arial" w:hint="cs"/>
          <w:b/>
          <w:bCs/>
          <w:rtl/>
        </w:rPr>
        <w:t>הסמים"),</w:t>
      </w:r>
      <w:r>
        <w:rPr>
          <w:rFonts w:ascii="Arial" w:hAnsi="Arial" w:hint="cs"/>
          <w:rtl/>
        </w:rPr>
        <w:t xml:space="preserve"> החזקת סם מסוכן שלא לצריכה עצמית </w:t>
      </w:r>
      <w:r>
        <w:rPr>
          <w:rFonts w:ascii="Arial" w:hAnsi="Arial"/>
          <w:rtl/>
        </w:rPr>
        <w:t>–</w:t>
      </w:r>
      <w:r>
        <w:rPr>
          <w:rFonts w:ascii="Arial" w:hAnsi="Arial" w:hint="cs"/>
          <w:rtl/>
        </w:rPr>
        <w:t xml:space="preserve"> עבירה לפי סעיף </w:t>
      </w:r>
      <w:hyperlink r:id="rId17" w:history="1">
        <w:r w:rsidR="00B03688" w:rsidRPr="00B03688">
          <w:rPr>
            <w:rStyle w:val="Hyperlink"/>
            <w:rFonts w:ascii="Arial" w:hAnsi="Arial"/>
            <w:rtl/>
          </w:rPr>
          <w:t>7(א) + (ג)</w:t>
        </w:r>
      </w:hyperlink>
      <w:r>
        <w:rPr>
          <w:rFonts w:ascii="Arial" w:hAnsi="Arial" w:hint="cs"/>
          <w:rtl/>
        </w:rPr>
        <w:t xml:space="preserve"> רישא לפקודת הסמים, כלים </w:t>
      </w:r>
      <w:r>
        <w:rPr>
          <w:rFonts w:ascii="Arial" w:hAnsi="Arial"/>
          <w:rtl/>
        </w:rPr>
        <w:t>–</w:t>
      </w:r>
      <w:r>
        <w:rPr>
          <w:rFonts w:ascii="Arial" w:hAnsi="Arial" w:hint="cs"/>
          <w:rtl/>
        </w:rPr>
        <w:t xml:space="preserve"> עבירה לפי </w:t>
      </w:r>
      <w:hyperlink r:id="rId18" w:history="1">
        <w:r w:rsidR="00B03688" w:rsidRPr="00B03688">
          <w:rPr>
            <w:rStyle w:val="Hyperlink"/>
            <w:rFonts w:ascii="Arial" w:hAnsi="Arial" w:hint="eastAsia"/>
            <w:rtl/>
          </w:rPr>
          <w:t>סעיף</w:t>
        </w:r>
        <w:r w:rsidR="00B03688" w:rsidRPr="00B03688">
          <w:rPr>
            <w:rStyle w:val="Hyperlink"/>
            <w:rFonts w:ascii="Arial" w:hAnsi="Arial"/>
            <w:rtl/>
          </w:rPr>
          <w:t xml:space="preserve"> 10</w:t>
        </w:r>
      </w:hyperlink>
      <w:r>
        <w:rPr>
          <w:rFonts w:ascii="Arial" w:hAnsi="Arial" w:hint="cs"/>
          <w:rtl/>
        </w:rPr>
        <w:t xml:space="preserve"> רישא לפרודת הסמים וכן עבירה של גניבת חשמל </w:t>
      </w:r>
      <w:r>
        <w:rPr>
          <w:rFonts w:ascii="Arial" w:hAnsi="Arial"/>
          <w:rtl/>
        </w:rPr>
        <w:t>–</w:t>
      </w:r>
      <w:r>
        <w:rPr>
          <w:rFonts w:ascii="Arial" w:hAnsi="Arial" w:hint="cs"/>
          <w:rtl/>
        </w:rPr>
        <w:t xml:space="preserve"> עבירה לפי </w:t>
      </w:r>
      <w:hyperlink r:id="rId19" w:history="1">
        <w:r w:rsidR="00B03688" w:rsidRPr="00B03688">
          <w:rPr>
            <w:rStyle w:val="Hyperlink"/>
            <w:rFonts w:ascii="Arial" w:hAnsi="Arial" w:hint="eastAsia"/>
            <w:rtl/>
          </w:rPr>
          <w:t>סעיף</w:t>
        </w:r>
        <w:r w:rsidR="00B03688" w:rsidRPr="00B03688">
          <w:rPr>
            <w:rStyle w:val="Hyperlink"/>
            <w:rFonts w:ascii="Arial" w:hAnsi="Arial"/>
            <w:rtl/>
          </w:rPr>
          <w:t xml:space="preserve"> 400</w:t>
        </w:r>
      </w:hyperlink>
      <w:r>
        <w:rPr>
          <w:rFonts w:ascii="Arial" w:hAnsi="Arial" w:hint="cs"/>
          <w:rtl/>
        </w:rPr>
        <w:t xml:space="preserve"> ל</w:t>
      </w:r>
      <w:hyperlink r:id="rId20" w:history="1">
        <w:r w:rsidR="00DC7114" w:rsidRPr="00DC7114">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127628">
        <w:rPr>
          <w:rFonts w:ascii="Arial" w:hAnsi="Arial" w:hint="cs"/>
          <w:b/>
          <w:bCs/>
          <w:rtl/>
        </w:rPr>
        <w:t>להלן: "חוק העונשין").</w:t>
      </w:r>
      <w:r>
        <w:rPr>
          <w:rFonts w:ascii="Arial" w:hAnsi="Arial" w:hint="cs"/>
          <w:rtl/>
        </w:rPr>
        <w:t xml:space="preserve"> </w:t>
      </w:r>
    </w:p>
    <w:p w14:paraId="51E3DE87" w14:textId="77777777" w:rsidR="00982283" w:rsidRDefault="00982283" w:rsidP="00982283">
      <w:pPr>
        <w:pStyle w:val="a9"/>
        <w:spacing w:line="360" w:lineRule="auto"/>
        <w:jc w:val="both"/>
        <w:rPr>
          <w:rFonts w:ascii="Arial" w:hAnsi="Arial"/>
        </w:rPr>
      </w:pPr>
    </w:p>
    <w:p w14:paraId="2DDCB50A" w14:textId="77777777" w:rsidR="00982283" w:rsidRDefault="00982283" w:rsidP="00982283">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עובדות כתב האישום ביום 1.9.19 שכר הנאשם דירה ברחוב העצמאות בקריית ביאליק </w:t>
      </w:r>
      <w:r w:rsidRPr="00127628">
        <w:rPr>
          <w:rFonts w:ascii="Arial" w:hAnsi="Arial" w:hint="cs"/>
          <w:b/>
          <w:bCs/>
          <w:rtl/>
        </w:rPr>
        <w:t>(להלן: "הדירה")</w:t>
      </w:r>
      <w:r>
        <w:rPr>
          <w:rFonts w:ascii="Arial" w:hAnsi="Arial" w:hint="cs"/>
          <w:rtl/>
        </w:rPr>
        <w:t xml:space="preserve"> כאשר מי שחתם על הסכם השכירות היה בנו בעוד שבפועל הנאשם היה המשתמש הבלעדי בדירה. הדירה צמודה לדירה אחרת בה התגורר הנאשם עם בת זוגו וילדיהם. הנאשם קיבל את החזקה בדירה ביום 1.9.19 והחזיק בה עד ליום מעצרו ביום 31.12.20. במועדים שאינם ידועים למאשימה עובר ליום 1.9.19 הקים הנאשם בדירה מעבדה לשם גידול סם מסוכן מסוג קנבוס ללא היתר. לשם כך צייד הנאשם את הדירה </w:t>
      </w:r>
      <w:r>
        <w:rPr>
          <w:rFonts w:ascii="Arial" w:hAnsi="Arial" w:hint="cs"/>
          <w:rtl/>
        </w:rPr>
        <w:lastRenderedPageBreak/>
        <w:t>בציוד ייעודי לרבות:   6 מזגנים, 54 מנורות, 48 שנאי חשמל, 6 מאווררים (וונטות), 220 אדניות, 4 פילטרי אוויר, 6 מפוחים, 6 שעוני חשמל, 23 מאווררים, 3 מדי טמפרטורה, מד לחות, 5 מסננים, 4 בלוני חמצן, מיכל ריסוס, 3 בקרי מחשב, סט שעוני מזגן (</w:t>
      </w:r>
      <w:r w:rsidRPr="00127628">
        <w:rPr>
          <w:rFonts w:ascii="Arial" w:hAnsi="Arial" w:hint="cs"/>
          <w:b/>
          <w:bCs/>
          <w:rtl/>
        </w:rPr>
        <w:t>להלן: "הכלים").</w:t>
      </w:r>
      <w:r>
        <w:rPr>
          <w:rFonts w:ascii="Arial" w:hAnsi="Arial" w:hint="cs"/>
          <w:rtl/>
        </w:rPr>
        <w:t xml:space="preserve"> </w:t>
      </w:r>
    </w:p>
    <w:p w14:paraId="071A0BDD" w14:textId="77777777" w:rsidR="00982283" w:rsidRPr="00127628" w:rsidRDefault="00982283" w:rsidP="00982283">
      <w:pPr>
        <w:pStyle w:val="a9"/>
        <w:rPr>
          <w:rFonts w:ascii="Arial" w:hAnsi="Arial"/>
          <w:rtl/>
        </w:rPr>
      </w:pPr>
    </w:p>
    <w:p w14:paraId="0D45DEDA"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במועד שאינו ידוע למאשימה ובמהלך התקופה הרלוונטית חיבר הנאשם את הדירה למתקני חשמל בחיבור ישיר ולא דרך מונה החשמל באופן שעקף את החיבור התקני של חברת החשמל במבנה ובכך גרם להטיית חשמל במרמה אל הדירה וצרך חשמל בשווי של 160,841 ₪ מבלי שהיה זכאי לכך ומבלי לשלם בעבור החשמל שצרך. בהמשך לאמור, במועדים שאינם ידועים למאשימה במהלך התקופה ועד ליום 31.12.20 גידל הנאשם בדירה סם מסוכן מסוג קנבוס והחזיק בסם ובכלים. בתאריך 31.12.20 מועד בו הגיעה המשטרה לדירה גידל ה הנאשם בדירה 440 שתילים של סם מסוכן מסוג קנבוס במשקל נטו של 43.94 ק"ג נטו והחזיק בהם. </w:t>
      </w:r>
    </w:p>
    <w:p w14:paraId="4C830233" w14:textId="77777777" w:rsidR="00982283" w:rsidRPr="00E05201" w:rsidRDefault="00982283" w:rsidP="00982283">
      <w:pPr>
        <w:pStyle w:val="a9"/>
        <w:rPr>
          <w:rFonts w:ascii="Arial" w:hAnsi="Arial"/>
          <w:rtl/>
        </w:rPr>
      </w:pPr>
    </w:p>
    <w:p w14:paraId="58F8306C"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לאחר הרשעתו הופנה הנאשם לקבלת תסקיר של שירות המבחן.</w:t>
      </w:r>
    </w:p>
    <w:p w14:paraId="44668D87" w14:textId="77777777" w:rsidR="00982283" w:rsidRPr="00E05201" w:rsidRDefault="00982283" w:rsidP="00982283">
      <w:pPr>
        <w:pStyle w:val="a9"/>
        <w:rPr>
          <w:rFonts w:ascii="Arial" w:hAnsi="Arial"/>
          <w:rtl/>
        </w:rPr>
      </w:pPr>
    </w:p>
    <w:p w14:paraId="2D505C45" w14:textId="77777777" w:rsidR="00982283" w:rsidRPr="000A64E3" w:rsidRDefault="00982283" w:rsidP="00982283">
      <w:pPr>
        <w:pStyle w:val="a9"/>
        <w:spacing w:line="360" w:lineRule="auto"/>
        <w:jc w:val="both"/>
        <w:rPr>
          <w:rFonts w:ascii="Arial" w:hAnsi="Arial"/>
          <w:b/>
          <w:bCs/>
          <w:u w:val="single"/>
        </w:rPr>
      </w:pPr>
      <w:r w:rsidRPr="000A64E3">
        <w:rPr>
          <w:rFonts w:ascii="Arial" w:hAnsi="Arial" w:hint="cs"/>
          <w:b/>
          <w:bCs/>
          <w:u w:val="single"/>
          <w:rtl/>
        </w:rPr>
        <w:t>תסקירי שירות המבחן</w:t>
      </w:r>
    </w:p>
    <w:p w14:paraId="7EF08FF0"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ביום 24.4.22 הוגש תסקיר ראשון של שירות המבחן. בתסקיר סקר שירות המבחן את הרקע האישי והמשפחתי של הנאשם, בן 48 נשוי בשנית ואב לשני ילדים. מתסקיר שירות המבחן עולה שהנאשם סגר בפשיטת רגל בשנת 2017 עסק אותו פתח ונקלע לחובות כספיים. עיון בגיליון הרשעותיו הקודמות של הנאשם מלמד שאין לחובתו הרשעות קודמות. הנאשם לוקח אחריות פורמלית בלבד על פי התסקיר ומתאר את תפקידו כפסיבי וכי הוא נתון תחת לחץ של גורמים מהם לווה כספים. מאז ההליכים המשפטיים, לטענת הנאשם אינו עושה שימוש בסמים. מבדיקות שתן שנערכו לנאשם עולה כי בחודשים ינואר 2021 ועד מאי 2022 התקשה הנאשם לשמור על רצף הגעה ועל רצף של ניקיון מסמים. במסגרת הליך המעצר הנאשם לא הביע כל נזקקות טיפולית, לא ביטא מוטיבציה לטיפול ובעיקר היה עסוק בהשלכתיות כלפי אחרים ללא יכולת התבוננות פנימית.  בהמשך התבקשה בחינה נוספת הופנה הנאשם להליך אבחון. מגורמי הטיפול נמסר  שהנאשם החל להשתלב בקבוצה טיפולית ונקבע כי הוא מתאים להמשך טיפול קבוצתי ופרטני. בהמשך הומלץ על שילובו של הנאשם במסגרת אינטנסיבית וסגורה בדמות אישפוזית וקהילה. הנאשם התקשה לקבל את החלטות הוועדה בעניינו והגיב באופן אימפולסיבי ותוקפני, כאשר הוא ואשתו הביעו חוסר הסכמה עם החלטת הוועדה. שירות המבחן התרשם מהיעדר מערכת תמיכה המעודדת הליך טיפולי אינטנסיבי לצד תובנה ביחס להתנהלותו העבריינית ולפיכך קיים להתרשמות שירות המבחן סיכון להישנות עבירות דומות מצדו. לפיכך, נמנע שירות המבחן מהמלצה טיפולית שיש בה כדי להפחית את הסיכון להישנות התנהגות עבריינית מצדו ושירות המבחן ממליץ בתסקיר זה להשית ענישה מרתיעה ומציבת גבול ברור להתנהגותו. </w:t>
      </w:r>
    </w:p>
    <w:p w14:paraId="6DCEF853" w14:textId="77777777" w:rsidR="00982283" w:rsidRDefault="00982283" w:rsidP="00982283">
      <w:pPr>
        <w:pStyle w:val="a9"/>
        <w:spacing w:line="360" w:lineRule="auto"/>
        <w:jc w:val="both"/>
        <w:rPr>
          <w:rFonts w:ascii="Arial" w:hAnsi="Arial"/>
        </w:rPr>
      </w:pPr>
    </w:p>
    <w:p w14:paraId="38197805"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ביום 29.8.22 הוגש תסקיר נוסף של שירות המבחן. בתסקיר ציין שירות המבחן כי בתקופת הדחיה פגשה קצינת המבחן את הנאשם אשר לדבריו קיבל רישיון לקנבוס רפואי אותו הציג לשירות המבחן. בדיקות שתן שביצע הנאשם העלו כי הנאשם נקי משימוש בסם כולל קנבוס. עוד מציין שירות המבחן בתסקיר שהנאשם ציין כי אינו זקוק להתערבות טיפולית בשלב זה של חייו וכי הוא עסוק בהחזרת חובותיו הכלכליים וטרוד מכך. שירות המבחן מציין בתסקיר כי התרשם שהנאשם לא לוקח אחריות על ביצוע העבירות וכי הסדרת רישיון לשימוש בקנבוס רפואי אין בה כדי להפחית את הסיכון להישנות עבירות דומות. מוסיף ומציין שירות המבחן כי לא נעשה בתקופת הדחיה כל שינוי ביכולתו של הנאשם להתבונן על התנהלותו באופן ביקורתי ועל כן שירות המבחן נמנע מלבוא בהמלצה טיפולית וממליץ להטיל על הנאשם ענישה מוחשית מרתיעה ומציבת גבול ברור להתנהגותו. </w:t>
      </w:r>
    </w:p>
    <w:p w14:paraId="441E3900" w14:textId="77777777" w:rsidR="00982283" w:rsidRDefault="00982283" w:rsidP="00982283">
      <w:pPr>
        <w:pStyle w:val="a9"/>
        <w:spacing w:line="360" w:lineRule="auto"/>
        <w:jc w:val="both"/>
        <w:rPr>
          <w:rFonts w:ascii="Arial" w:hAnsi="Arial"/>
        </w:rPr>
      </w:pPr>
    </w:p>
    <w:p w14:paraId="567D7F07"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הנאשם הופנה פעם נוספת ושלישית לקבלת תסקיר של שירות המבחן וביום 8.11.22 הוגש תסקיר נוסף של שירות המבחן. בתסקיר זה פעל שירות המבחן על מנת לזמן את הנאשם אך הנאשם ביטא כעס וטען כי להערכתו כולם סביבו יודעים מה טוב עבורו ומה צרכיו וכי הוא חש מתוסכל מהתמשכות ההליכים המשפטיים נגדו ורצונו להשתלב בהליך טיפולי בתחום הסמים. הנאשם אמר לשירות המבחן כי אינו מזהה נזקקות טיפולית נוספת מלבד בתחום הסמים. מהתסקיר עולה שלדעת שירות המבחן הנאשם מתמקם באופן קורבני ומבטא חוסר עניין בהליך טיפולי ללא פיקוח בשירות המבחן. בדיקת השתן שנערכה לנאשם העידה שהוא נקי משימוש בסמים. לדעת שירות המבחן הנאשם מתקשה ביצירת קשרי אמון עם מטפליו ובמהלך תקופת הדחיה לא נעשה כל שינוי ביכולתו של הנאשם להתבונן על הכשלים שבהתנהגותו. לפיכך, שירות המבחן שב על עמדתו ונמנע מהמלצה טיפולית וחזר על עמדתו כי יש להשית על הנאשם עונש מרתיע . </w:t>
      </w:r>
    </w:p>
    <w:p w14:paraId="277F1B11" w14:textId="77777777" w:rsidR="00982283" w:rsidRPr="001704FB" w:rsidRDefault="00982283" w:rsidP="00982283">
      <w:pPr>
        <w:pStyle w:val="a9"/>
        <w:rPr>
          <w:rFonts w:ascii="Arial" w:hAnsi="Arial"/>
          <w:rtl/>
        </w:rPr>
      </w:pPr>
    </w:p>
    <w:p w14:paraId="523E27C0"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לבקשת בית המשפט הוגש תסקיר נוסף לצורך בדיקה אם  ניתן לשלב את הנאשם בהליך טיפולי. שירות המבחן חזר שוב על עמדתו לפיה לא נוצר כל אפיק טיפולי מפחית סיכון לצורך שילובו של הנאשם. </w:t>
      </w:r>
    </w:p>
    <w:p w14:paraId="3587E304" w14:textId="77777777" w:rsidR="00982283" w:rsidRPr="004409F8" w:rsidRDefault="00982283" w:rsidP="00982283">
      <w:pPr>
        <w:pStyle w:val="a9"/>
        <w:rPr>
          <w:rFonts w:ascii="Arial" w:hAnsi="Arial"/>
          <w:rtl/>
        </w:rPr>
      </w:pPr>
    </w:p>
    <w:p w14:paraId="391CEA5E" w14:textId="77777777" w:rsidR="00982283" w:rsidRPr="004409F8" w:rsidRDefault="00982283" w:rsidP="00982283">
      <w:pPr>
        <w:pStyle w:val="a9"/>
        <w:spacing w:line="360" w:lineRule="auto"/>
        <w:jc w:val="both"/>
        <w:rPr>
          <w:rFonts w:ascii="Arial" w:hAnsi="Arial"/>
          <w:b/>
          <w:bCs/>
          <w:u w:val="single"/>
        </w:rPr>
      </w:pPr>
      <w:r w:rsidRPr="004409F8">
        <w:rPr>
          <w:rFonts w:ascii="Arial" w:hAnsi="Arial" w:hint="cs"/>
          <w:b/>
          <w:bCs/>
          <w:u w:val="single"/>
          <w:rtl/>
        </w:rPr>
        <w:t>תמצית טיעוני הצדדים לעונש</w:t>
      </w:r>
    </w:p>
    <w:p w14:paraId="2557F0CA"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ב"כ המאשימה הגיש במסגרת טיעוניו טיעונים לעונש בכתב </w:t>
      </w:r>
      <w:r w:rsidRPr="00617EDF">
        <w:rPr>
          <w:rFonts w:ascii="Arial" w:hAnsi="Arial" w:hint="cs"/>
          <w:b/>
          <w:bCs/>
          <w:rtl/>
        </w:rPr>
        <w:t>(ת/1),</w:t>
      </w:r>
      <w:r>
        <w:rPr>
          <w:rFonts w:ascii="Arial" w:hAnsi="Arial" w:hint="cs"/>
          <w:rtl/>
        </w:rPr>
        <w:t xml:space="preserve"> גיליון הרשעותיו של הנאשם בתעבורה </w:t>
      </w:r>
      <w:r w:rsidRPr="00617EDF">
        <w:rPr>
          <w:rFonts w:ascii="Arial" w:hAnsi="Arial" w:hint="cs"/>
          <w:b/>
          <w:bCs/>
          <w:rtl/>
        </w:rPr>
        <w:t>(ת/2)</w:t>
      </w:r>
      <w:r>
        <w:rPr>
          <w:rFonts w:ascii="Arial" w:hAnsi="Arial" w:hint="cs"/>
          <w:rtl/>
        </w:rPr>
        <w:t xml:space="preserve"> ופסיקה רלוונטית (</w:t>
      </w:r>
      <w:r w:rsidRPr="00617EDF">
        <w:rPr>
          <w:rFonts w:ascii="Arial" w:hAnsi="Arial" w:hint="cs"/>
          <w:b/>
          <w:bCs/>
          <w:rtl/>
        </w:rPr>
        <w:t>ת/3).</w:t>
      </w:r>
      <w:r>
        <w:rPr>
          <w:rFonts w:ascii="Arial" w:hAnsi="Arial" w:hint="cs"/>
          <w:rtl/>
        </w:rPr>
        <w:t xml:space="preserve"> ב"כ המאשימה הדגיש את הפגיעה בערכים חברתיים מוגנים והעובדה הנאשם גנב חשמל. מדובר בתכנון מוקדם שקדם לביצוע העבירות ובנוסף לכך יצר הנאשם מעקף לחיבור תקני של חברת החשמל במבנה וגרם להטיית חשמל במרמה אל הדירה וצרך חשמל מבלי שהיה זכאי לכך בשווי של למעלה מ </w:t>
      </w:r>
      <w:r>
        <w:rPr>
          <w:rFonts w:ascii="Arial" w:hAnsi="Arial"/>
          <w:rtl/>
        </w:rPr>
        <w:t>–</w:t>
      </w:r>
      <w:r>
        <w:rPr>
          <w:rFonts w:ascii="Arial" w:hAnsi="Arial" w:hint="cs"/>
          <w:rtl/>
        </w:rPr>
        <w:t xml:space="preserve"> 160 אלף ₪. המאשימה עתרה למתחם ענישה שבין עונש של 20 חודשי מאסר בפועל ברף התחתון לבין עונש של 40 חודשי מאסר ברף העליון בצירוף ענישה נלווית של מאסר על תנאי ממושך ומרתיע, קנס משמעותי, פיצוי לחברת החשמל שלא יפחת משווי הגניבה ופסילה מלקבל או להחזיק ברישיון נהיגה בפועל ועל תנאי. כמו כן עתרה המאשימה בהתאם להסכמות הצדדים לחילוט לטובת קרן חילוט סמים של כל הציוד שפורט בבקשת החילוט. באשר לעונשו של הנאשם בתוך מתחם העונש ההולם טען ב"כ המאשימה שהנאשם נעדר עבר פלילי, הודה בעובדות כתב אישום וחסך זמן שיפוטי. תסקיר שירות המבחן בעניינו של הנאשם שלילי ואף עולה מהתסקירים כי קיים סיכון להישנות עבירות דומות בעתיד. המאשימה עתרה כי יש לקבוע את עונשו של הנאשם ברף התחתון של מתחם העונש ההולם.</w:t>
      </w:r>
    </w:p>
    <w:p w14:paraId="39BD4AA7" w14:textId="77777777" w:rsidR="00982283" w:rsidRDefault="00982283" w:rsidP="00982283">
      <w:pPr>
        <w:pStyle w:val="a9"/>
        <w:spacing w:line="360" w:lineRule="auto"/>
        <w:jc w:val="both"/>
        <w:rPr>
          <w:rFonts w:ascii="Arial" w:hAnsi="Arial"/>
        </w:rPr>
      </w:pPr>
    </w:p>
    <w:p w14:paraId="2DE5B745"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 xml:space="preserve">ב"כ הנאשם הדגיש את נסיבותיו האישיות של הנאשם, העובדה כי הוא נעדר עבר פלילי ומי שנמצא בתנאים מגבילים תקופה ממושכת. הנאשם כך נטען עבד מביתו והיה נסער לאור הליך פשיטת רגל ולא יכול היה להיכנס למסגרת טיפולית סגורה לדבריו. הסנגור טען כי אין מקום לשלב את הנאשם בהליך טיפולי נוכח העובדה שלנאשם רישיון לקנבוס רפואי. בדיקות השתן אותן ביצע הנאשם נקיות מסמים ועל כן אין טעם להכניסו לקהילה סגורה. מטיעוני ההגנה עולה שהנאשם הסדיר את חובותיו והתנתק מחברה שולית. הנאשם לטענת הסנגור מעוניין בטיפול ותמהה לגבי התרשמות שירות המבחן.  כמו כן הפנה ב"כ הנאשם לפסיקה רלוונטית במקרים דומים לטענתו. אציין כי בתיק 65264-01-20 ציין בית המשפט כי בעניינה של הנאשמת ניתן תסקיר עם המלצות וכן צוינו נסיבותיה האישיות. על הנאשמת הושת עונש של 9 חודשי מאסר בדרך של עבודות שירות בשים לב לנסיבות שאינן קשורות לעבירה ולצד זאת צוין בתסקיר בעניינה שכליאתה תגרום לה ולמשפחתה נזק קשה. </w:t>
      </w:r>
    </w:p>
    <w:p w14:paraId="60B49A4C" w14:textId="77777777" w:rsidR="00982283" w:rsidRPr="00B5211F" w:rsidRDefault="00982283" w:rsidP="00982283">
      <w:pPr>
        <w:pStyle w:val="a9"/>
        <w:rPr>
          <w:rFonts w:ascii="Arial" w:hAnsi="Arial"/>
          <w:rtl/>
        </w:rPr>
      </w:pPr>
    </w:p>
    <w:p w14:paraId="0B903359" w14:textId="77777777" w:rsidR="00982283" w:rsidRDefault="00982283" w:rsidP="00982283">
      <w:pPr>
        <w:pStyle w:val="a9"/>
        <w:numPr>
          <w:ilvl w:val="0"/>
          <w:numId w:val="1"/>
        </w:numPr>
        <w:spacing w:line="360" w:lineRule="auto"/>
        <w:jc w:val="both"/>
        <w:rPr>
          <w:rFonts w:ascii="Arial" w:hAnsi="Arial"/>
        </w:rPr>
      </w:pPr>
      <w:r>
        <w:rPr>
          <w:rFonts w:ascii="Arial" w:hAnsi="Arial" w:hint="cs"/>
          <w:rtl/>
        </w:rPr>
        <w:t>הנאשם בדברו אמר שאין לו מושג למה מה שנאמר על ידו לקצינת המבחן נכתב אחרת וכי הוא מוכן ללכת לכל טיפול וכך אמר לקצינת המבחן.</w:t>
      </w:r>
    </w:p>
    <w:p w14:paraId="360E99BA" w14:textId="77777777" w:rsidR="00982283" w:rsidRPr="006D199A" w:rsidRDefault="00982283" w:rsidP="00982283">
      <w:pPr>
        <w:pStyle w:val="a9"/>
        <w:rPr>
          <w:rFonts w:ascii="Arial" w:hAnsi="Arial"/>
          <w:rtl/>
        </w:rPr>
      </w:pPr>
    </w:p>
    <w:p w14:paraId="692C377B" w14:textId="77777777" w:rsidR="00982283" w:rsidRDefault="00982283" w:rsidP="00982283">
      <w:pPr>
        <w:spacing w:line="360" w:lineRule="auto"/>
        <w:jc w:val="both"/>
        <w:rPr>
          <w:rFonts w:ascii="Arial" w:hAnsi="Arial"/>
          <w:rtl/>
        </w:rPr>
      </w:pPr>
    </w:p>
    <w:p w14:paraId="60594B63" w14:textId="77777777" w:rsidR="00982283" w:rsidRPr="00DE7450" w:rsidRDefault="00982283" w:rsidP="00982283">
      <w:pPr>
        <w:spacing w:line="360" w:lineRule="auto"/>
        <w:ind w:left="720"/>
        <w:jc w:val="both"/>
        <w:rPr>
          <w:rFonts w:ascii="Arial" w:hAnsi="Arial"/>
          <w:b/>
          <w:bCs/>
          <w:u w:val="single"/>
          <w:rtl/>
        </w:rPr>
      </w:pPr>
      <w:r w:rsidRPr="00DE7450">
        <w:rPr>
          <w:rFonts w:ascii="Arial" w:hAnsi="Arial" w:hint="cs"/>
          <w:b/>
          <w:bCs/>
          <w:u w:val="single"/>
          <w:rtl/>
        </w:rPr>
        <w:t>דיון והכרעה</w:t>
      </w:r>
    </w:p>
    <w:p w14:paraId="5CAE0FC5" w14:textId="77777777" w:rsidR="00982283" w:rsidRDefault="00982283" w:rsidP="00982283">
      <w:pPr>
        <w:pStyle w:val="1"/>
        <w:numPr>
          <w:ilvl w:val="0"/>
          <w:numId w:val="1"/>
        </w:numPr>
        <w:spacing w:line="360" w:lineRule="auto"/>
        <w:jc w:val="both"/>
        <w:rPr>
          <w:rFonts w:ascii="David" w:eastAsia="Calibri" w:hAnsi="David" w:cs="David"/>
        </w:rPr>
      </w:pPr>
      <w:r>
        <w:rPr>
          <w:rFonts w:ascii="David" w:eastAsia="Calibri" w:hAnsi="David" w:cs="David"/>
          <w:rtl/>
        </w:rPr>
        <w:t>על פי תיקון 113 ל</w:t>
      </w:r>
      <w:hyperlink r:id="rId21" w:history="1">
        <w:r w:rsidR="00DC7114" w:rsidRPr="00DC7114">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ברי כי בענייננו מדובר באירוע אחד ומשכך ייקבע מתחם אחד (</w:t>
      </w:r>
      <w:hyperlink r:id="rId22" w:history="1">
        <w:r w:rsidR="00DC7114" w:rsidRPr="00DC7114">
          <w:rPr>
            <w:rFonts w:ascii="David" w:eastAsia="Calibri" w:hAnsi="David" w:cs="David"/>
            <w:color w:val="0000FF"/>
            <w:u w:val="single"/>
            <w:rtl/>
          </w:rPr>
          <w:t>ע"פ 4910/13</w:t>
        </w:r>
      </w:hyperlink>
      <w:r>
        <w:rPr>
          <w:rFonts w:ascii="David" w:eastAsia="Calibri" w:hAnsi="David" w:cs="David"/>
          <w:rtl/>
        </w:rPr>
        <w:t xml:space="preserve"> </w:t>
      </w:r>
      <w:r>
        <w:rPr>
          <w:rFonts w:ascii="David" w:eastAsia="Calibri" w:hAnsi="David" w:cs="David" w:hint="cs"/>
          <w:b/>
          <w:bCs/>
          <w:rtl/>
        </w:rPr>
        <w:t>ג'אבר נ' מדינת ישראל</w:t>
      </w:r>
      <w:r>
        <w:rPr>
          <w:rFonts w:ascii="David" w:eastAsia="Calibri" w:hAnsi="David" w:cs="David" w:hint="cs"/>
          <w:rtl/>
        </w:rPr>
        <w:t xml:space="preserve"> </w:t>
      </w:r>
      <w:r>
        <w:rPr>
          <w:rFonts w:eastAsia="Calibri" w:cs="David"/>
          <w:sz w:val="22"/>
          <w:rtl/>
        </w:rPr>
        <w:t xml:space="preserve"> </w:t>
      </w:r>
      <w:r>
        <w:rPr>
          <w:rFonts w:ascii="David" w:eastAsia="Calibri" w:hAnsi="David" w:cs="David"/>
          <w:rtl/>
        </w:rPr>
        <w:t xml:space="preserve">(29.10.14)).  </w:t>
      </w:r>
    </w:p>
    <w:p w14:paraId="1C9FED9B" w14:textId="77777777" w:rsidR="00982283" w:rsidRDefault="00982283" w:rsidP="00982283">
      <w:pPr>
        <w:pStyle w:val="1"/>
        <w:spacing w:line="360" w:lineRule="auto"/>
        <w:jc w:val="both"/>
        <w:rPr>
          <w:rFonts w:ascii="David" w:eastAsia="Calibri" w:hAnsi="David" w:cs="David"/>
        </w:rPr>
      </w:pPr>
    </w:p>
    <w:p w14:paraId="3E6B2282" w14:textId="77777777" w:rsidR="00982283" w:rsidRDefault="00982283" w:rsidP="00982283">
      <w:pPr>
        <w:pStyle w:val="a9"/>
        <w:numPr>
          <w:ilvl w:val="0"/>
          <w:numId w:val="1"/>
        </w:numPr>
        <w:spacing w:before="120" w:after="120" w:line="360" w:lineRule="auto"/>
        <w:jc w:val="both"/>
      </w:pPr>
      <w:r>
        <w:rPr>
          <w:rtl/>
        </w:rPr>
        <w:t>בקביעת מתחם העונש ההולם את מעשי העבירות אותן ביצע הנאש</w:t>
      </w:r>
      <w:r>
        <w:rPr>
          <w:rFonts w:hint="cs"/>
          <w:rtl/>
        </w:rPr>
        <w:t>ם</w:t>
      </w:r>
      <w:r>
        <w:rPr>
          <w:rtl/>
        </w:rPr>
        <w:t xml:space="preserve"> יתחשב בית המשפט </w:t>
      </w:r>
      <w:r>
        <w:rPr>
          <w:b/>
          <w:bCs/>
          <w:rtl/>
        </w:rPr>
        <w:t>בערך החברתי</w:t>
      </w:r>
      <w:r>
        <w:rPr>
          <w:rtl/>
        </w:rPr>
        <w:t xml:space="preserve"> הנפגע מביצוע העבירות, </w:t>
      </w:r>
      <w:r>
        <w:rPr>
          <w:b/>
          <w:bCs/>
          <w:rtl/>
        </w:rPr>
        <w:t>במידת הפגיעה בו,</w:t>
      </w:r>
      <w:r>
        <w:rPr>
          <w:rtl/>
        </w:rPr>
        <w:t xml:space="preserve"> </w:t>
      </w:r>
      <w:r>
        <w:rPr>
          <w:b/>
          <w:bCs/>
          <w:rtl/>
        </w:rPr>
        <w:t>במדיניות הענישה</w:t>
      </w:r>
      <w:r>
        <w:rPr>
          <w:rtl/>
        </w:rPr>
        <w:t xml:space="preserve"> הנהוגה </w:t>
      </w:r>
      <w:r>
        <w:rPr>
          <w:b/>
          <w:bCs/>
          <w:rtl/>
        </w:rPr>
        <w:t>ובנסיבות הקשורות בביצוע העבירה</w:t>
      </w:r>
      <w:r>
        <w:rPr>
          <w:rtl/>
        </w:rPr>
        <w:t>.</w:t>
      </w:r>
    </w:p>
    <w:p w14:paraId="2F17AED8" w14:textId="77777777" w:rsidR="00982283" w:rsidRDefault="00982283" w:rsidP="00982283">
      <w:pPr>
        <w:pStyle w:val="a9"/>
      </w:pPr>
    </w:p>
    <w:p w14:paraId="3A9B513C" w14:textId="77777777" w:rsidR="00982283" w:rsidRDefault="00982283" w:rsidP="00982283">
      <w:pPr>
        <w:pStyle w:val="a9"/>
        <w:spacing w:before="120" w:after="120" w:line="360" w:lineRule="auto"/>
        <w:jc w:val="both"/>
        <w:rPr>
          <w:rtl/>
        </w:rPr>
      </w:pPr>
    </w:p>
    <w:p w14:paraId="7388508C" w14:textId="77777777" w:rsidR="00982283" w:rsidRDefault="00982283" w:rsidP="00982283">
      <w:pPr>
        <w:pStyle w:val="a9"/>
        <w:numPr>
          <w:ilvl w:val="0"/>
          <w:numId w:val="1"/>
        </w:numPr>
        <w:spacing w:before="120" w:after="120" w:line="360" w:lineRule="auto"/>
        <w:jc w:val="both"/>
      </w:pPr>
      <w:r>
        <w:rPr>
          <w:rtl/>
        </w:rPr>
        <w:t xml:space="preserve">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23" w:history="1">
        <w:r w:rsidR="00DC7114" w:rsidRPr="00DC7114">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24" w:history="1">
        <w:r w:rsidR="00DC7114" w:rsidRPr="00DC7114">
          <w:rPr>
            <w:color w:val="0000FF"/>
            <w:u w:val="single"/>
            <w:rtl/>
          </w:rPr>
          <w:t>ע"פ 6029/03</w:t>
        </w:r>
      </w:hyperlink>
      <w:r w:rsidRPr="00DC7114">
        <w:rPr>
          <w:color w:val="000000"/>
          <w:rtl/>
        </w:rPr>
        <w:t xml:space="preserve"> מדינת ישראל נ' שמאי, פ"ד נח</w:t>
      </w:r>
      <w:r>
        <w:rPr>
          <w:rtl/>
        </w:rPr>
        <w:t xml:space="preserve"> (2) 734 (9.2.04); </w:t>
      </w:r>
      <w:hyperlink r:id="rId25" w:history="1">
        <w:r w:rsidR="00DC7114" w:rsidRPr="00DC7114">
          <w:rPr>
            <w:color w:val="0000FF"/>
            <w:u w:val="single"/>
            <w:rtl/>
          </w:rPr>
          <w:t>ע"פ 6021/95</w:t>
        </w:r>
      </w:hyperlink>
      <w:r>
        <w:rPr>
          <w:rtl/>
        </w:rPr>
        <w:t xml:space="preserve">, </w:t>
      </w:r>
      <w:r w:rsidRPr="00DC7114">
        <w:rPr>
          <w:color w:val="000000"/>
          <w:rtl/>
        </w:rPr>
        <w:t>4998/95</w:t>
      </w:r>
      <w:r>
        <w:rPr>
          <w:rtl/>
        </w:rPr>
        <w:t xml:space="preserve">, 5267/95, 5313/95 </w:t>
      </w:r>
      <w:r>
        <w:rPr>
          <w:b/>
          <w:bCs/>
          <w:rtl/>
        </w:rPr>
        <w:t xml:space="preserve">מדינת ישראל נ' גומז </w:t>
      </w:r>
      <w:r>
        <w:rPr>
          <w:rtl/>
        </w:rPr>
        <w:t xml:space="preserve">(31.7.97); </w:t>
      </w:r>
      <w:hyperlink r:id="rId26" w:history="1">
        <w:r w:rsidR="00DC7114" w:rsidRPr="00DC7114">
          <w:rPr>
            <w:color w:val="0000FF"/>
            <w:u w:val="single"/>
            <w:rtl/>
          </w:rPr>
          <w:t>ע"פ 575/88</w:t>
        </w:r>
      </w:hyperlink>
      <w:r w:rsidRPr="00DC7114">
        <w:rPr>
          <w:color w:val="000000"/>
          <w:rtl/>
        </w:rPr>
        <w:t xml:space="preserve"> עודה נ' מדינת ישראל, פ"ד מב</w:t>
      </w:r>
      <w:r>
        <w:rPr>
          <w:rtl/>
        </w:rPr>
        <w:t xml:space="preserve"> (4) 242 (11.12.88)).</w:t>
      </w:r>
    </w:p>
    <w:p w14:paraId="4F86FE53" w14:textId="77777777" w:rsidR="00982283" w:rsidRDefault="00982283" w:rsidP="00982283">
      <w:pPr>
        <w:pStyle w:val="a9"/>
        <w:spacing w:line="360" w:lineRule="auto"/>
        <w:jc w:val="both"/>
        <w:rPr>
          <w:rFonts w:ascii="Arial" w:hAnsi="Arial"/>
          <w:rtl/>
        </w:rPr>
      </w:pPr>
    </w:p>
    <w:p w14:paraId="08D78C8C" w14:textId="77777777" w:rsidR="00982283" w:rsidRDefault="00982283" w:rsidP="00982283">
      <w:pPr>
        <w:pStyle w:val="a9"/>
        <w:spacing w:line="360" w:lineRule="auto"/>
        <w:jc w:val="both"/>
        <w:rPr>
          <w:rFonts w:ascii="Arial" w:hAnsi="Arial"/>
        </w:rPr>
      </w:pPr>
      <w:r>
        <w:rPr>
          <w:rFonts w:ascii="Arial" w:hAnsi="Arial" w:hint="cs"/>
          <w:rtl/>
        </w:rPr>
        <w:t xml:space="preserve">עבירה של גידול סמים מסוכנים, מהווה חלק משרשרת הפצת הסם, דבר המלמד על חומרתה היתרה של העבירה אשר הפכה לנפוצה וזכתה אף להגדרה של "מכת מדינה" בפסקי הדין שניתנו על ידי בתי המשפט. נאשמים מוצאים בגידול הסמים  דרך קלה ונוחה יחסית לעשיית רווחים כספיים שכן מדובר במעשים שמבוצעים בתוך חדרי חדרים וחשיפתם בדרך כלל קשה. העובדה שמדובר באדם ללא עבר פלילי המעורב בעבירות של גידול סמים, אינה דבר נדיר ולעיתים קרובות בית המשפט נדרש לדון בעניינם של נאשמים נעדרי עבר פלילי, המעורבים לראשונה בחייהם בעבירות סמים בכלל ועבירות גידול סמים בפרט. לעניין עבירת גידול הסמים ראו בעניין זה, </w:t>
      </w:r>
      <w:hyperlink r:id="rId27" w:history="1">
        <w:r w:rsidR="00D609E6" w:rsidRPr="00D609E6">
          <w:rPr>
            <w:rFonts w:ascii="Arial" w:hAnsi="Arial"/>
            <w:color w:val="0000FF"/>
            <w:u w:val="single"/>
            <w:rtl/>
          </w:rPr>
          <w:t xml:space="preserve">42358-10-14 </w:t>
        </w:r>
      </w:hyperlink>
      <w:r>
        <w:rPr>
          <w:rFonts w:ascii="Arial" w:hAnsi="Arial" w:hint="cs"/>
          <w:rtl/>
        </w:rPr>
        <w:t xml:space="preserve"> </w:t>
      </w:r>
      <w:r>
        <w:rPr>
          <w:rFonts w:ascii="Arial" w:hAnsi="Arial" w:hint="cs"/>
          <w:b/>
          <w:bCs/>
          <w:rtl/>
        </w:rPr>
        <w:t>אבי גיא נ' מדינת ישראל</w:t>
      </w:r>
      <w:r>
        <w:rPr>
          <w:rFonts w:ascii="Arial" w:hAnsi="Arial" w:hint="cs"/>
          <w:rtl/>
        </w:rPr>
        <w:t xml:space="preserve"> (18.2.15):</w:t>
      </w:r>
    </w:p>
    <w:p w14:paraId="50379AE5" w14:textId="77777777" w:rsidR="00982283" w:rsidRDefault="00982283" w:rsidP="00982283">
      <w:pPr>
        <w:spacing w:line="360" w:lineRule="auto"/>
        <w:ind w:left="720"/>
        <w:jc w:val="both"/>
        <w:rPr>
          <w:rFonts w:ascii="Arial" w:hAnsi="Arial"/>
          <w:rtl/>
        </w:rPr>
      </w:pPr>
    </w:p>
    <w:p w14:paraId="003E1A56" w14:textId="77777777" w:rsidR="00982283" w:rsidRDefault="00982283" w:rsidP="00982283">
      <w:pPr>
        <w:spacing w:line="360" w:lineRule="auto"/>
        <w:ind w:left="1440"/>
        <w:jc w:val="both"/>
        <w:rPr>
          <w:rFonts w:ascii="Miriam" w:hAnsi="Miriam" w:cs="Miriam"/>
          <w:rtl/>
        </w:rPr>
      </w:pPr>
      <w:r>
        <w:rPr>
          <w:rFonts w:ascii="Miriam" w:hAnsi="Miriam" w:cs="Miriam"/>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6985123B" w14:textId="77777777" w:rsidR="00982283" w:rsidRDefault="00982283" w:rsidP="00982283">
      <w:pPr>
        <w:spacing w:line="360" w:lineRule="auto"/>
        <w:jc w:val="both"/>
        <w:rPr>
          <w:rtl/>
        </w:rPr>
      </w:pPr>
      <w:r>
        <w:rPr>
          <w:rFonts w:ascii="Miriam" w:hAnsi="Miriam" w:cs="Miriam"/>
          <w:rtl/>
        </w:rPr>
        <w:tab/>
      </w:r>
      <w:r>
        <w:rPr>
          <w:rFonts w:hint="cs"/>
          <w:rtl/>
        </w:rPr>
        <w:t>כן ראו דברי בית המשפט המחוזי בחיפה לעניין עבירות של גידול סמים מסוכנים ב</w:t>
      </w:r>
      <w:hyperlink r:id="rId28" w:history="1">
        <w:r w:rsidR="00DC7114" w:rsidRPr="00DC7114">
          <w:rPr>
            <w:color w:val="0000FF"/>
            <w:u w:val="single"/>
            <w:rtl/>
          </w:rPr>
          <w:t xml:space="preserve">עפ"ג (חי) </w:t>
        </w:r>
        <w:r w:rsidR="00DC7114" w:rsidRPr="00DC7114">
          <w:rPr>
            <w:color w:val="0000FF"/>
            <w:u w:val="single"/>
            <w:rtl/>
          </w:rPr>
          <w:cr/>
        </w:r>
        <w:r w:rsidR="00DC7114" w:rsidRPr="00DC7114">
          <w:rPr>
            <w:color w:val="0000FF"/>
            <w:u w:val="single"/>
            <w:rtl/>
          </w:rPr>
          <w:tab/>
          <w:t xml:space="preserve"> 71508-12-19</w:t>
        </w:r>
      </w:hyperlink>
      <w:r>
        <w:rPr>
          <w:rFonts w:hint="cs"/>
          <w:rtl/>
        </w:rPr>
        <w:t xml:space="preserve">  </w:t>
      </w:r>
      <w:r>
        <w:rPr>
          <w:rFonts w:hint="cs"/>
          <w:b/>
          <w:bCs/>
          <w:rtl/>
        </w:rPr>
        <w:t>מדינת ישראל נ' יוסף חיים</w:t>
      </w:r>
      <w:r>
        <w:rPr>
          <w:rFonts w:hint="cs"/>
          <w:rtl/>
        </w:rPr>
        <w:t xml:space="preserve"> : </w:t>
      </w:r>
    </w:p>
    <w:p w14:paraId="31195C18" w14:textId="77777777" w:rsidR="00982283" w:rsidRDefault="00982283" w:rsidP="00982283">
      <w:pPr>
        <w:spacing w:line="360" w:lineRule="auto"/>
        <w:ind w:left="720" w:hanging="720"/>
        <w:jc w:val="both"/>
        <w:rPr>
          <w:rtl/>
        </w:rPr>
      </w:pPr>
      <w:r>
        <w:rPr>
          <w:rFonts w:hint="cs"/>
          <w:rtl/>
        </w:rPr>
        <w:tab/>
      </w:r>
      <w:r>
        <w:rPr>
          <w:rFonts w:hint="cs"/>
          <w:rtl/>
        </w:rPr>
        <w:tab/>
      </w:r>
    </w:p>
    <w:p w14:paraId="34EED3D8" w14:textId="77777777" w:rsidR="00982283" w:rsidRDefault="00982283" w:rsidP="00982283">
      <w:pPr>
        <w:spacing w:line="360" w:lineRule="auto"/>
        <w:ind w:left="1440"/>
        <w:jc w:val="both"/>
        <w:rPr>
          <w:rFonts w:ascii="Miriam" w:hAnsi="Miriam" w:cs="Miriam"/>
          <w:rtl/>
        </w:rPr>
      </w:pPr>
      <w:r>
        <w:rPr>
          <w:rFonts w:ascii="Miriam" w:hAnsi="Miriam" w:cs="Miriam"/>
          <w:rtl/>
        </w:rPr>
        <w:t xml:space="preserve">"...תופעת גידול הסם הפכה למכת מדינה, כאשר מדובר בתופעה נפוצה ושכיחה ביותר. על כן אין מנוס אלא להחמיר עם מי שחוטא בתחום זה – "המגדלים" על מנת לצקת תוכן לתכלית החקיקה שאינה מבחינה בין גידול לצריכה עצמית לגידול שאינו לצריכה עצמית". </w:t>
      </w:r>
    </w:p>
    <w:p w14:paraId="4941D81D" w14:textId="77777777" w:rsidR="00982283" w:rsidRDefault="00982283" w:rsidP="00982283">
      <w:pPr>
        <w:spacing w:line="360" w:lineRule="auto"/>
        <w:jc w:val="both"/>
        <w:rPr>
          <w:rFonts w:ascii="David" w:hAnsi="David"/>
          <w:rtl/>
        </w:rPr>
      </w:pPr>
    </w:p>
    <w:p w14:paraId="7E0CB7C8" w14:textId="77777777" w:rsidR="00982283" w:rsidRDefault="00982283" w:rsidP="00982283">
      <w:pPr>
        <w:pStyle w:val="a9"/>
        <w:numPr>
          <w:ilvl w:val="0"/>
          <w:numId w:val="1"/>
        </w:numPr>
        <w:spacing w:line="360" w:lineRule="auto"/>
        <w:jc w:val="both"/>
        <w:rPr>
          <w:rFonts w:ascii="Miriam" w:hAnsi="Miriam" w:cs="Miriam"/>
        </w:rPr>
      </w:pPr>
      <w:r>
        <w:rPr>
          <w:rFonts w:ascii="David" w:hAnsi="David"/>
          <w:rtl/>
        </w:rPr>
        <w:t xml:space="preserve">העובדה </w:t>
      </w:r>
      <w:r>
        <w:rPr>
          <w:rFonts w:ascii="David" w:hAnsi="David" w:hint="cs"/>
          <w:rtl/>
        </w:rPr>
        <w:t xml:space="preserve">שמדובר בגידול סמים מסוג קנבוס </w:t>
      </w:r>
      <w:r>
        <w:rPr>
          <w:rFonts w:ascii="David" w:hAnsi="David"/>
          <w:rtl/>
        </w:rPr>
        <w:t xml:space="preserve"> אשר נחשב "סם קל" אין בה להפחית מחומרת העבירות (לעניין זה ראה </w:t>
      </w:r>
      <w:hyperlink r:id="rId29" w:history="1">
        <w:r w:rsidR="00DC7114" w:rsidRPr="00DC7114">
          <w:rPr>
            <w:rFonts w:ascii="David" w:hAnsi="David"/>
            <w:color w:val="0000FF"/>
            <w:u w:val="single"/>
            <w:rtl/>
          </w:rPr>
          <w:t>ע"פ 170/07</w:t>
        </w:r>
      </w:hyperlink>
      <w:r>
        <w:rPr>
          <w:rFonts w:ascii="David" w:hAnsi="David"/>
          <w:rtl/>
        </w:rPr>
        <w:t xml:space="preserve"> </w:t>
      </w:r>
      <w:r>
        <w:rPr>
          <w:rFonts w:ascii="David" w:hAnsi="David"/>
          <w:b/>
          <w:bCs/>
          <w:rtl/>
        </w:rPr>
        <w:t>מטיס נ' מדינת ישראל</w:t>
      </w:r>
      <w:r>
        <w:rPr>
          <w:rFonts w:ascii="David" w:hAnsi="David"/>
          <w:rtl/>
        </w:rPr>
        <w:t xml:space="preserve"> (19.11.07) ו</w:t>
      </w:r>
      <w:hyperlink r:id="rId30" w:history="1">
        <w:r w:rsidR="00DC7114" w:rsidRPr="00DC7114">
          <w:rPr>
            <w:rFonts w:ascii="David" w:hAnsi="David"/>
            <w:color w:val="0000FF"/>
            <w:u w:val="single"/>
            <w:rtl/>
          </w:rPr>
          <w:t>ע"פ 2596/18</w:t>
        </w:r>
      </w:hyperlink>
      <w:r>
        <w:rPr>
          <w:rFonts w:ascii="David" w:hAnsi="David"/>
          <w:rtl/>
        </w:rPr>
        <w:t xml:space="preserve"> </w:t>
      </w:r>
      <w:r>
        <w:rPr>
          <w:rFonts w:ascii="David" w:hAnsi="David"/>
          <w:b/>
          <w:bCs/>
          <w:rtl/>
        </w:rPr>
        <w:t>כפיר זנזורי נגד מדינת ישראל</w:t>
      </w:r>
      <w:r>
        <w:rPr>
          <w:rFonts w:ascii="David" w:hAnsi="David"/>
          <w:rtl/>
        </w:rPr>
        <w:t xml:space="preserve"> (12.8.18),פסקה 8, וראה גם </w:t>
      </w:r>
      <w:hyperlink r:id="rId31" w:history="1">
        <w:r w:rsidR="00DC7114" w:rsidRPr="00DC7114">
          <w:rPr>
            <w:rFonts w:ascii="David" w:hAnsi="David"/>
            <w:color w:val="0000FF"/>
            <w:u w:val="single"/>
            <w:rtl/>
          </w:rPr>
          <w:t>רע"פ 8759/21</w:t>
        </w:r>
      </w:hyperlink>
      <w:r>
        <w:rPr>
          <w:rFonts w:ascii="David" w:hAnsi="David"/>
          <w:rtl/>
        </w:rPr>
        <w:t xml:space="preserve"> </w:t>
      </w:r>
      <w:r>
        <w:rPr>
          <w:rFonts w:ascii="David" w:hAnsi="David"/>
          <w:b/>
          <w:bCs/>
          <w:rtl/>
        </w:rPr>
        <w:t>קסלר נ' מדינת ישראל</w:t>
      </w:r>
      <w:r>
        <w:rPr>
          <w:rFonts w:ascii="David" w:hAnsi="David"/>
          <w:rtl/>
        </w:rPr>
        <w:t xml:space="preserve"> (23.12.21): </w:t>
      </w:r>
      <w:r>
        <w:rPr>
          <w:rFonts w:ascii="Miriam" w:hAnsi="Miriam" w:cs="Miriam"/>
          <w:rtl/>
        </w:rPr>
        <w:t>"סם הקנבוס הוא סם מסוכן, והוראת המחוקק לעניין זה היא הדין הנוהג והמחייב. כל עוד לא נקבע אחרת, התפיסה לפיה קנבוס הוא בגדר</w:t>
      </w:r>
      <w:r>
        <w:rPr>
          <w:rFonts w:ascii="Miriam" w:hAnsi="Miriam" w:cs="Miriam"/>
        </w:rPr>
        <w:t xml:space="preserve"> </w:t>
      </w:r>
      <w:r>
        <w:rPr>
          <w:rFonts w:ascii="Miriam" w:hAnsi="Miriam" w:cs="Miriam"/>
          <w:rtl/>
        </w:rPr>
        <w:t>"סם קל" ודינו שונה מדינם של סמים אחרים נעדרת אחיזה בדין...").</w:t>
      </w:r>
    </w:p>
    <w:p w14:paraId="48F37F66" w14:textId="77777777" w:rsidR="00982283" w:rsidRDefault="00982283" w:rsidP="00982283">
      <w:pPr>
        <w:pStyle w:val="a9"/>
        <w:spacing w:before="120" w:after="120" w:line="360" w:lineRule="auto"/>
        <w:jc w:val="both"/>
      </w:pPr>
    </w:p>
    <w:p w14:paraId="406B3CC1" w14:textId="77777777" w:rsidR="00982283" w:rsidRDefault="00982283" w:rsidP="00982283">
      <w:pPr>
        <w:pStyle w:val="1"/>
        <w:numPr>
          <w:ilvl w:val="0"/>
          <w:numId w:val="1"/>
        </w:numPr>
        <w:spacing w:line="360" w:lineRule="auto"/>
        <w:jc w:val="both"/>
        <w:rPr>
          <w:rFonts w:ascii="David" w:eastAsia="Calibri" w:hAnsi="David" w:cs="David"/>
        </w:rPr>
      </w:pPr>
      <w:r>
        <w:rPr>
          <w:rFonts w:ascii="David" w:hAnsi="David" w:cs="David"/>
          <w:rtl/>
        </w:rPr>
        <w:t>במעשי</w:t>
      </w:r>
      <w:r>
        <w:rPr>
          <w:rFonts w:ascii="David" w:hAnsi="David" w:cs="David" w:hint="cs"/>
          <w:rtl/>
        </w:rPr>
        <w:t xml:space="preserve">ו </w:t>
      </w:r>
      <w:r>
        <w:rPr>
          <w:rFonts w:ascii="David" w:hAnsi="David" w:cs="David"/>
          <w:rtl/>
        </w:rPr>
        <w:t xml:space="preserve"> פגע הנאש</w:t>
      </w:r>
      <w:r>
        <w:rPr>
          <w:rFonts w:ascii="David" w:hAnsi="David" w:cs="David" w:hint="cs"/>
          <w:rtl/>
        </w:rPr>
        <w:t>ם</w:t>
      </w:r>
      <w:r>
        <w:rPr>
          <w:rFonts w:ascii="David" w:hAnsi="David" w:cs="David"/>
          <w:rtl/>
        </w:rPr>
        <w:t xml:space="preserve"> בערכים של בטחון הציבור ושלומו במידה ממשית הבאה לידי ביטוי בכך ששכר דירה </w:t>
      </w:r>
      <w:r>
        <w:rPr>
          <w:rFonts w:ascii="David" w:hAnsi="David" w:cs="David" w:hint="cs"/>
          <w:rtl/>
        </w:rPr>
        <w:t xml:space="preserve">כאשר מי שחתם על הסכם השכירות היה בנו בעוד שבפועל הנאשם הוא זה שעשה שימוש בדירה. הנאשם ייעד את הדירה לצורך הקמת מעבדה לגידול סמים מסוכנים וצייד אותה בכלים ובנוסף חיבר את הדירה למתקני חברת החשמל בחיבור ישיר שלא דרך מונה החשמל וצרך חשמל בשווי של 160.841 ש"ח. הנאשם גידל בדירה 440 שתילים של סם מסוכן מסוג קנבוס במשקל נטו של 43.94 ק"ג. </w:t>
      </w:r>
      <w:r>
        <w:rPr>
          <w:rFonts w:ascii="David" w:hAnsi="David" w:cs="David"/>
          <w:rtl/>
        </w:rPr>
        <w:t xml:space="preserve"> </w:t>
      </w:r>
      <w:r>
        <w:rPr>
          <w:rFonts w:ascii="David" w:eastAsia="Calibri" w:hAnsi="David" w:cs="David" w:hint="cs"/>
          <w:rtl/>
        </w:rPr>
        <w:t xml:space="preserve">מספר השתילים והכמות מלמדים על פגיעה משמעותית בערכים חברתיים מוגנים, כל זאת בעבור בצע כסף. </w:t>
      </w:r>
    </w:p>
    <w:p w14:paraId="6D0683A3" w14:textId="77777777" w:rsidR="00982283" w:rsidRPr="00A26EB1" w:rsidRDefault="00982283" w:rsidP="00982283">
      <w:pPr>
        <w:pStyle w:val="a9"/>
        <w:rPr>
          <w:rFonts w:ascii="David" w:eastAsia="Calibri" w:hAnsi="David"/>
        </w:rPr>
      </w:pPr>
    </w:p>
    <w:p w14:paraId="2DF50804" w14:textId="77777777" w:rsidR="00982283" w:rsidRDefault="00982283" w:rsidP="00982283">
      <w:pPr>
        <w:pStyle w:val="a9"/>
        <w:spacing w:line="360" w:lineRule="auto"/>
        <w:jc w:val="both"/>
        <w:rPr>
          <w:rFonts w:ascii="Arial" w:hAnsi="Arial"/>
        </w:rPr>
      </w:pPr>
      <w:r>
        <w:rPr>
          <w:rtl/>
        </w:rPr>
        <w:t xml:space="preserve">מנסיבות העבירות והעובדות עולה </w:t>
      </w:r>
      <w:r>
        <w:rPr>
          <w:rFonts w:hint="cs"/>
          <w:rtl/>
        </w:rPr>
        <w:t xml:space="preserve">שהנאשם </w:t>
      </w:r>
      <w:r>
        <w:rPr>
          <w:rtl/>
        </w:rPr>
        <w:t>תכנ</w:t>
      </w:r>
      <w:r>
        <w:rPr>
          <w:rFonts w:hint="cs"/>
          <w:rtl/>
        </w:rPr>
        <w:t>ן</w:t>
      </w:r>
      <w:r>
        <w:rPr>
          <w:rtl/>
        </w:rPr>
        <w:t xml:space="preserve"> בקפידה את ביצוע העבירות והכי</w:t>
      </w:r>
      <w:r>
        <w:rPr>
          <w:rFonts w:hint="cs"/>
          <w:rtl/>
        </w:rPr>
        <w:t>ן</w:t>
      </w:r>
      <w:r>
        <w:rPr>
          <w:rtl/>
        </w:rPr>
        <w:t xml:space="preserve"> תשתית לצורך כך כעולה מעובדות כתב האישום. </w:t>
      </w:r>
    </w:p>
    <w:p w14:paraId="2C414869" w14:textId="77777777" w:rsidR="00982283" w:rsidRDefault="00982283" w:rsidP="00982283">
      <w:pPr>
        <w:pStyle w:val="a9"/>
        <w:spacing w:line="360" w:lineRule="auto"/>
        <w:jc w:val="both"/>
        <w:rPr>
          <w:rFonts w:ascii="Arial" w:hAnsi="Arial"/>
        </w:rPr>
      </w:pPr>
    </w:p>
    <w:p w14:paraId="5F83BE82" w14:textId="77777777" w:rsidR="00982283" w:rsidRDefault="00982283" w:rsidP="00982283">
      <w:pPr>
        <w:pStyle w:val="a9"/>
        <w:numPr>
          <w:ilvl w:val="0"/>
          <w:numId w:val="1"/>
        </w:numPr>
        <w:spacing w:after="120" w:line="360" w:lineRule="auto"/>
        <w:jc w:val="both"/>
      </w:pPr>
      <w:r>
        <w:rPr>
          <w:rtl/>
        </w:rPr>
        <w:t xml:space="preserve">באשר למדיניות הענישה במקרים דומים ניתן ללמוד מפסקי הדין הבאים: </w:t>
      </w:r>
    </w:p>
    <w:p w14:paraId="5C305D50" w14:textId="77777777" w:rsidR="00982283" w:rsidRDefault="00982283" w:rsidP="00982283">
      <w:pPr>
        <w:pStyle w:val="a9"/>
      </w:pPr>
    </w:p>
    <w:p w14:paraId="4678A8F8" w14:textId="77777777" w:rsidR="00982283" w:rsidRDefault="00982283" w:rsidP="00982283">
      <w:pPr>
        <w:spacing w:after="160" w:line="360" w:lineRule="auto"/>
        <w:ind w:left="720"/>
        <w:jc w:val="both"/>
        <w:rPr>
          <w:rFonts w:ascii="Calibri" w:hAnsi="Calibri"/>
        </w:rPr>
      </w:pPr>
      <w:r>
        <w:rPr>
          <w:rFonts w:ascii="Calibri" w:hAnsi="Calibri"/>
          <w:rtl/>
        </w:rPr>
        <w:t>ב</w:t>
      </w:r>
      <w:hyperlink r:id="rId32" w:history="1">
        <w:r w:rsidR="00DC7114" w:rsidRPr="00DC7114">
          <w:rPr>
            <w:rFonts w:ascii="Calibri" w:hAnsi="Calibri" w:hint="eastAsia"/>
            <w:color w:val="0000FF"/>
            <w:u w:val="single"/>
            <w:rtl/>
          </w:rPr>
          <w:t>ע</w:t>
        </w:r>
        <w:r w:rsidR="00DC7114" w:rsidRPr="00DC7114">
          <w:rPr>
            <w:rFonts w:ascii="Calibri" w:hAnsi="Calibri"/>
            <w:color w:val="0000FF"/>
            <w:u w:val="single"/>
            <w:rtl/>
          </w:rPr>
          <w:t>"</w:t>
        </w:r>
        <w:r w:rsidR="00DC7114" w:rsidRPr="00DC7114">
          <w:rPr>
            <w:rFonts w:ascii="Calibri" w:hAnsi="Calibri" w:hint="eastAsia"/>
            <w:color w:val="0000FF"/>
            <w:u w:val="single"/>
            <w:rtl/>
          </w:rPr>
          <w:t>פ</w:t>
        </w:r>
        <w:r w:rsidR="00DC7114" w:rsidRPr="00DC7114">
          <w:rPr>
            <w:rFonts w:ascii="Calibri" w:hAnsi="Calibri"/>
            <w:color w:val="0000FF"/>
            <w:u w:val="single"/>
            <w:rtl/>
          </w:rPr>
          <w:t xml:space="preserve"> 856/02</w:t>
        </w:r>
      </w:hyperlink>
      <w:r>
        <w:rPr>
          <w:rFonts w:ascii="Calibri" w:hAnsi="Calibri"/>
          <w:color w:val="000000"/>
          <w:rtl/>
        </w:rPr>
        <w:t xml:space="preserve"> </w:t>
      </w:r>
      <w:r>
        <w:rPr>
          <w:rFonts w:ascii="Calibri" w:hAnsi="Calibri"/>
          <w:b/>
          <w:bCs/>
          <w:color w:val="000000"/>
          <w:rtl/>
        </w:rPr>
        <w:t>מדינת ישראל</w:t>
      </w:r>
      <w:r>
        <w:rPr>
          <w:rFonts w:ascii="Calibri" w:hAnsi="Calibri"/>
          <w:color w:val="000000"/>
          <w:rtl/>
        </w:rPr>
        <w:t xml:space="preserve"> נ' </w:t>
      </w:r>
      <w:r>
        <w:rPr>
          <w:rFonts w:ascii="Calibri" w:hAnsi="Calibri"/>
          <w:b/>
          <w:bCs/>
          <w:color w:val="000000"/>
          <w:rtl/>
        </w:rPr>
        <w:t>אילן בן אליהו שמואל</w:t>
      </w:r>
      <w:r>
        <w:rPr>
          <w:rFonts w:ascii="Calibri" w:hAnsi="Calibri"/>
          <w:color w:val="000000"/>
          <w:rtl/>
        </w:rPr>
        <w:t xml:space="preserve"> (פורסם בנבו, 11.03.02)</w:t>
      </w:r>
      <w:r>
        <w:rPr>
          <w:rFonts w:ascii="Calibri" w:hAnsi="Calibri"/>
          <w:rtl/>
        </w:rPr>
        <w:t xml:space="preserve"> דובר במשיב שגידל במשק משפחתי שתילי סם מסוכן מסוג קנאביס. בחממה ובשטח החקלאי נתפסו 240 שתילי קנאביס במשקל כולל של </w:t>
      </w:r>
      <w:r>
        <w:rPr>
          <w:rFonts w:ascii="Calibri" w:hAnsi="Calibri"/>
          <w:b/>
          <w:bCs/>
          <w:rtl/>
        </w:rPr>
        <w:t>45,8 ק"ג ברוטו</w:t>
      </w:r>
      <w:r>
        <w:rPr>
          <w:rFonts w:ascii="Calibri" w:hAnsi="Calibri"/>
          <w:rtl/>
        </w:rPr>
        <w:t xml:space="preserve">. בית המשפט המחוזי התחשב בנסיבותיו האישיות וגזר עליו 6 חודשי מאסר לריצוי בעבודות שירות. </w:t>
      </w:r>
    </w:p>
    <w:p w14:paraId="1DF702F2" w14:textId="77777777" w:rsidR="00982283" w:rsidRDefault="00982283" w:rsidP="00982283">
      <w:pPr>
        <w:spacing w:after="160" w:line="360" w:lineRule="auto"/>
        <w:ind w:left="720"/>
        <w:rPr>
          <w:rFonts w:ascii="Calibri" w:hAnsi="Calibri"/>
          <w:rtl/>
        </w:rPr>
      </w:pPr>
      <w:r>
        <w:rPr>
          <w:rFonts w:ascii="Calibri" w:hAnsi="Calibri"/>
          <w:rtl/>
        </w:rPr>
        <w:t>בית המשפט העליון קיבל את ערעור המדינה וקבע-</w:t>
      </w:r>
    </w:p>
    <w:p w14:paraId="2838B104" w14:textId="77777777" w:rsidR="00982283" w:rsidRPr="00B3578E" w:rsidRDefault="00982283" w:rsidP="00982283">
      <w:pPr>
        <w:spacing w:after="160" w:line="360" w:lineRule="auto"/>
        <w:ind w:left="1440"/>
        <w:jc w:val="both"/>
        <w:rPr>
          <w:rFonts w:ascii="Miriam" w:hAnsi="Miriam" w:cs="Miriam"/>
          <w:rtl/>
        </w:rPr>
      </w:pPr>
      <w:r w:rsidRPr="00B3578E">
        <w:rPr>
          <w:rFonts w:ascii="Miriam" w:hAnsi="Miriam" w:cs="Miriam"/>
          <w:rtl/>
        </w:rPr>
        <w:t xml:space="preserve">"נתקשינו לקשר בין הטראומות שעברו על המשיב לבין העבירה הקשה שהורשע בה. מה בין טראומה אישית קשה שעובר אדם לבין הרצון לבצע כסף על דרך סחר בסם מסוכן? שתילי קנבוס מגדלים אותם כדי לשווק אותם לצרכנים, ומודעת היא לכל כי הסוחרים בסם מסוכן ראויים על דרך הכלל כי יישלחו למאסר. לא מצאנו בעניינו של המשיב כל נקודת זכות ראויה שתפטור אותו מעונש מאסר ממש... אנו מחליטים לקבל את הערעור ולהחמיר בעונשו של המשיב. </w:t>
      </w:r>
      <w:r w:rsidRPr="00B3578E">
        <w:rPr>
          <w:rFonts w:ascii="Miriam" w:hAnsi="Miriam" w:cs="Miriam"/>
          <w:b/>
          <w:bCs/>
          <w:rtl/>
        </w:rPr>
        <w:t>נאמנים לדרכנו שלא למצות את הדין</w:t>
      </w:r>
      <w:r w:rsidRPr="00B3578E">
        <w:rPr>
          <w:rFonts w:ascii="Miriam" w:hAnsi="Miriam" w:cs="Miriam"/>
          <w:rtl/>
        </w:rPr>
        <w:t xml:space="preserve"> עם נאשם בערעורה של המדינה, ולא בלי היסוסים, אנו </w:t>
      </w:r>
      <w:r w:rsidRPr="00B3578E">
        <w:rPr>
          <w:rFonts w:ascii="Miriam" w:hAnsi="Miriam" w:cs="Miriam"/>
          <w:b/>
          <w:bCs/>
          <w:rtl/>
        </w:rPr>
        <w:t>מחליטים להטיל על המשיב עונש מאסר של שמונה-עשר חודשים בפועל</w:t>
      </w:r>
      <w:r w:rsidRPr="00B3578E">
        <w:rPr>
          <w:rFonts w:ascii="Miriam" w:hAnsi="Miriam" w:cs="Miriam"/>
          <w:rtl/>
        </w:rPr>
        <w:t xml:space="preserve"> תחת עונש המאסר של שישה חודשי מאסר שהוטלו עליו בבית-משפטקמא"</w:t>
      </w:r>
      <w:r w:rsidRPr="00B3578E">
        <w:rPr>
          <w:rFonts w:ascii="Miriam" w:hAnsi="Miriam" w:cs="Miriam"/>
          <w:rtl/>
        </w:rPr>
        <w:br/>
      </w:r>
    </w:p>
    <w:p w14:paraId="21EBBBA6" w14:textId="77777777" w:rsidR="00982283" w:rsidRDefault="00982283" w:rsidP="00982283">
      <w:pPr>
        <w:pStyle w:val="a9"/>
        <w:spacing w:after="120" w:line="360" w:lineRule="auto"/>
        <w:jc w:val="both"/>
        <w:rPr>
          <w:rtl/>
        </w:rPr>
      </w:pPr>
      <w:r>
        <w:rPr>
          <w:rtl/>
        </w:rPr>
        <w:t>ב</w:t>
      </w:r>
      <w:hyperlink r:id="rId33" w:history="1">
        <w:r w:rsidR="00DC7114" w:rsidRPr="00DC7114">
          <w:rPr>
            <w:color w:val="0000FF"/>
            <w:u w:val="single"/>
            <w:rtl/>
          </w:rPr>
          <w:t>רע"פ 6987/13</w:t>
        </w:r>
      </w:hyperlink>
      <w:r>
        <w:rPr>
          <w:rtl/>
        </w:rPr>
        <w:t xml:space="preserve"> </w:t>
      </w:r>
      <w:r>
        <w:rPr>
          <w:rFonts w:hint="cs"/>
          <w:b/>
          <w:bCs/>
          <w:rtl/>
        </w:rPr>
        <w:t>אברמוב נ' מדינת ישראל</w:t>
      </w:r>
      <w:r>
        <w:rPr>
          <w:rFonts w:hint="cs"/>
          <w:rtl/>
        </w:rPr>
        <w:t xml:space="preserve"> </w:t>
      </w:r>
      <w:r>
        <w:rPr>
          <w:sz w:val="22"/>
          <w:rtl/>
        </w:rPr>
        <w:t xml:space="preserve"> </w:t>
      </w:r>
      <w:r>
        <w:rPr>
          <w:rtl/>
        </w:rPr>
        <w:t xml:space="preserve">(21.10.13)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הרשעות קודמות. נקבע מתחם של 6 עד 24 חודשי מאסר בפועל. על הנאשם הוטל עונש של 12 חודשי מאסר בפועל, קנס של 7,500 ₪ ועונשים נלווים. </w:t>
      </w:r>
    </w:p>
    <w:p w14:paraId="6B8A96EF" w14:textId="77777777" w:rsidR="00982283" w:rsidRDefault="00982283" w:rsidP="00982283">
      <w:pPr>
        <w:pStyle w:val="a9"/>
        <w:spacing w:after="120" w:line="360" w:lineRule="auto"/>
        <w:jc w:val="both"/>
        <w:rPr>
          <w:rtl/>
        </w:rPr>
      </w:pPr>
    </w:p>
    <w:p w14:paraId="3ECD418A" w14:textId="77777777" w:rsidR="00982283" w:rsidRDefault="00982283" w:rsidP="00982283">
      <w:pPr>
        <w:spacing w:line="360" w:lineRule="auto"/>
        <w:ind w:left="720"/>
        <w:rPr>
          <w:rFonts w:ascii="Calibri" w:hAnsi="Calibri"/>
        </w:rPr>
      </w:pPr>
      <w:r>
        <w:rPr>
          <w:rFonts w:ascii="Palatino Linotype" w:hAnsi="Palatino Linotype"/>
          <w:rtl/>
        </w:rPr>
        <w:t>ב</w:t>
      </w:r>
      <w:hyperlink r:id="rId34" w:history="1">
        <w:r w:rsidR="00DC7114" w:rsidRPr="00DC7114">
          <w:rPr>
            <w:rFonts w:ascii="Palatino Linotype" w:hAnsi="Palatino Linotype" w:hint="eastAsia"/>
            <w:color w:val="0000FF"/>
            <w:u w:val="single"/>
            <w:rtl/>
          </w:rPr>
          <w:t>ת</w:t>
        </w:r>
        <w:r w:rsidR="00DC7114" w:rsidRPr="00DC7114">
          <w:rPr>
            <w:rFonts w:ascii="Palatino Linotype" w:hAnsi="Palatino Linotype"/>
            <w:color w:val="0000FF"/>
            <w:u w:val="single"/>
            <w:rtl/>
          </w:rPr>
          <w:t>"</w:t>
        </w:r>
        <w:r w:rsidR="00DC7114" w:rsidRPr="00DC7114">
          <w:rPr>
            <w:rFonts w:ascii="Palatino Linotype" w:hAnsi="Palatino Linotype" w:hint="eastAsia"/>
            <w:color w:val="0000FF"/>
            <w:u w:val="single"/>
            <w:rtl/>
          </w:rPr>
          <w:t>פ</w:t>
        </w:r>
        <w:r w:rsidR="00DC7114" w:rsidRPr="00DC7114">
          <w:rPr>
            <w:rFonts w:ascii="Palatino Linotype" w:hAnsi="Palatino Linotype"/>
            <w:color w:val="0000FF"/>
            <w:u w:val="single"/>
            <w:rtl/>
          </w:rPr>
          <w:t xml:space="preserve"> (</w:t>
        </w:r>
        <w:r w:rsidR="00DC7114" w:rsidRPr="00DC7114">
          <w:rPr>
            <w:rFonts w:ascii="Palatino Linotype" w:hAnsi="Palatino Linotype" w:hint="eastAsia"/>
            <w:color w:val="0000FF"/>
            <w:u w:val="single"/>
            <w:rtl/>
          </w:rPr>
          <w:t>מחוזי</w:t>
        </w:r>
        <w:r w:rsidR="00DC7114" w:rsidRPr="00DC7114">
          <w:rPr>
            <w:rFonts w:ascii="Palatino Linotype" w:hAnsi="Palatino Linotype"/>
            <w:color w:val="0000FF"/>
            <w:u w:val="single"/>
            <w:rtl/>
          </w:rPr>
          <w:t xml:space="preserve"> </w:t>
        </w:r>
        <w:r w:rsidR="00DC7114" w:rsidRPr="00DC7114">
          <w:rPr>
            <w:rFonts w:ascii="Palatino Linotype" w:hAnsi="Palatino Linotype" w:hint="eastAsia"/>
            <w:color w:val="0000FF"/>
            <w:u w:val="single"/>
            <w:rtl/>
          </w:rPr>
          <w:t>חיפה</w:t>
        </w:r>
        <w:r w:rsidR="00DC7114" w:rsidRPr="00DC7114">
          <w:rPr>
            <w:rFonts w:ascii="Palatino Linotype" w:hAnsi="Palatino Linotype"/>
            <w:color w:val="0000FF"/>
            <w:u w:val="single"/>
            <w:rtl/>
          </w:rPr>
          <w:t>) 59971-01-17</w:t>
        </w:r>
      </w:hyperlink>
      <w:r>
        <w:rPr>
          <w:rFonts w:ascii="Palatino Linotype" w:hAnsi="Palatino Linotype"/>
          <w:rtl/>
        </w:rPr>
        <w:t xml:space="preserve"> </w:t>
      </w:r>
      <w:r>
        <w:rPr>
          <w:rFonts w:ascii="Palatino Linotype" w:hAnsi="Palatino Linotype"/>
          <w:b/>
          <w:bCs/>
          <w:rtl/>
        </w:rPr>
        <w:t xml:space="preserve">מדינת ישראל </w:t>
      </w:r>
      <w:r>
        <w:rPr>
          <w:rFonts w:ascii="Palatino Linotype" w:hAnsi="Palatino Linotype"/>
          <w:rtl/>
        </w:rPr>
        <w:t>נ'</w:t>
      </w:r>
      <w:r>
        <w:rPr>
          <w:rFonts w:ascii="Palatino Linotype" w:hAnsi="Palatino Linotype"/>
          <w:b/>
          <w:bCs/>
          <w:rtl/>
        </w:rPr>
        <w:t xml:space="preserve"> פרץ</w:t>
      </w:r>
      <w:r>
        <w:rPr>
          <w:rFonts w:ascii="Palatino Linotype" w:hAnsi="Palatino Linotype"/>
          <w:rtl/>
        </w:rPr>
        <w:t xml:space="preserve"> (פורסם בנבו, 12.09.17), הנאשם הורשע בעבירות סמים, שבמסגרתן ייצר וגידל במעבדה סם מסוכן מסוג קנבוס, במשקל </w:t>
      </w:r>
      <w:r>
        <w:rPr>
          <w:rFonts w:ascii="Palatino Linotype" w:hAnsi="Palatino Linotype"/>
          <w:b/>
          <w:bCs/>
          <w:rtl/>
        </w:rPr>
        <w:t>170 ק"ג</w:t>
      </w:r>
      <w:r>
        <w:rPr>
          <w:rFonts w:ascii="Palatino Linotype" w:hAnsi="Palatino Linotype"/>
          <w:rtl/>
        </w:rPr>
        <w:t>. בית המשפט קבע</w:t>
      </w:r>
      <w:r>
        <w:rPr>
          <w:rFonts w:ascii="Palatino Linotype" w:hAnsi="Palatino Linotype"/>
          <w:b/>
          <w:bCs/>
          <w:rtl/>
        </w:rPr>
        <w:t xml:space="preserve"> מתחם עונש הולם שנע בין 30 ל- 48 חודשי מאסר בפועל</w:t>
      </w:r>
      <w:r>
        <w:rPr>
          <w:rFonts w:ascii="Palatino Linotype" w:hAnsi="Palatino Linotype"/>
          <w:rtl/>
        </w:rPr>
        <w:t>, וגזר על הנאשם</w:t>
      </w:r>
      <w:r>
        <w:rPr>
          <w:rFonts w:ascii="Palatino Linotype" w:hAnsi="Palatino Linotype"/>
          <w:b/>
          <w:bCs/>
          <w:rtl/>
        </w:rPr>
        <w:t xml:space="preserve"> 36 חודשי מאסר בפועל</w:t>
      </w:r>
      <w:r>
        <w:rPr>
          <w:rFonts w:ascii="Palatino Linotype" w:hAnsi="Palatino Linotype"/>
          <w:rtl/>
        </w:rPr>
        <w:t xml:space="preserve">. </w:t>
      </w:r>
    </w:p>
    <w:p w14:paraId="63582891" w14:textId="77777777" w:rsidR="00982283" w:rsidRPr="00DC7D5D" w:rsidRDefault="00982283" w:rsidP="00982283">
      <w:pPr>
        <w:pStyle w:val="a9"/>
        <w:spacing w:after="120" w:line="360" w:lineRule="auto"/>
        <w:jc w:val="both"/>
        <w:rPr>
          <w:rtl/>
        </w:rPr>
      </w:pPr>
    </w:p>
    <w:p w14:paraId="48192FEC" w14:textId="77777777" w:rsidR="00982283" w:rsidRDefault="00982283" w:rsidP="00982283">
      <w:pPr>
        <w:spacing w:after="160" w:line="360" w:lineRule="auto"/>
        <w:ind w:left="720"/>
        <w:rPr>
          <w:rFonts w:ascii="Calibri" w:hAnsi="Calibri"/>
        </w:rPr>
      </w:pPr>
      <w:r>
        <w:rPr>
          <w:rFonts w:ascii="Calibri" w:hAnsi="Calibri" w:cs="Arial"/>
          <w:sz w:val="22"/>
          <w:szCs w:val="22"/>
          <w:rtl/>
        </w:rPr>
        <w:t>ב</w:t>
      </w:r>
      <w:hyperlink r:id="rId35" w:history="1">
        <w:r w:rsidR="00DC7114" w:rsidRPr="00DC7114">
          <w:rPr>
            <w:rFonts w:ascii="Calibri" w:hAnsi="Calibri" w:hint="eastAsia"/>
            <w:color w:val="0000FF"/>
            <w:u w:val="single"/>
            <w:rtl/>
          </w:rPr>
          <w:t>ע</w:t>
        </w:r>
        <w:r w:rsidR="00DC7114" w:rsidRPr="00DC7114">
          <w:rPr>
            <w:rFonts w:ascii="Calibri" w:hAnsi="Calibri"/>
            <w:color w:val="0000FF"/>
            <w:u w:val="single"/>
            <w:rtl/>
          </w:rPr>
          <w:t>"</w:t>
        </w:r>
        <w:r w:rsidR="00DC7114" w:rsidRPr="00DC7114">
          <w:rPr>
            <w:rFonts w:ascii="Calibri" w:hAnsi="Calibri" w:hint="eastAsia"/>
            <w:color w:val="0000FF"/>
            <w:u w:val="single"/>
            <w:rtl/>
          </w:rPr>
          <w:t>פ</w:t>
        </w:r>
        <w:r w:rsidR="00DC7114" w:rsidRPr="00DC7114">
          <w:rPr>
            <w:rFonts w:ascii="Calibri" w:hAnsi="Calibri"/>
            <w:color w:val="0000FF"/>
            <w:u w:val="single"/>
            <w:rtl/>
          </w:rPr>
          <w:t xml:space="preserve"> 2194/14</w:t>
        </w:r>
      </w:hyperlink>
      <w:r>
        <w:rPr>
          <w:rFonts w:ascii="Calibri" w:hAnsi="Calibri"/>
          <w:color w:val="000000"/>
          <w:rtl/>
        </w:rPr>
        <w:t xml:space="preserve"> </w:t>
      </w:r>
      <w:r>
        <w:rPr>
          <w:rFonts w:ascii="Calibri" w:hAnsi="Calibri"/>
          <w:b/>
          <w:bCs/>
          <w:color w:val="000000"/>
          <w:rtl/>
        </w:rPr>
        <w:t>אליהו בן שמעון</w:t>
      </w:r>
      <w:r>
        <w:rPr>
          <w:rFonts w:ascii="Calibri" w:hAnsi="Calibri"/>
          <w:color w:val="000000"/>
          <w:rtl/>
        </w:rPr>
        <w:t xml:space="preserve"> נ' </w:t>
      </w:r>
      <w:r>
        <w:rPr>
          <w:rFonts w:ascii="Calibri" w:hAnsi="Calibri"/>
          <w:b/>
          <w:bCs/>
          <w:color w:val="000000"/>
          <w:rtl/>
        </w:rPr>
        <w:t>מדינת ישראל</w:t>
      </w:r>
      <w:r>
        <w:rPr>
          <w:rFonts w:ascii="Calibri" w:hAnsi="Calibri"/>
          <w:color w:val="000000"/>
          <w:rtl/>
        </w:rPr>
        <w:t xml:space="preserve"> (פורסם בנבו, 10.09.2014)</w:t>
      </w:r>
      <w:r>
        <w:rPr>
          <w:rFonts w:ascii="Calibri" w:hAnsi="Calibri"/>
          <w:rtl/>
        </w:rPr>
        <w:t xml:space="preserve"> המערער הורשע בעבירות של גידול סם מסוכן, החזקת סם מסוכן שלא לצריכה עצמית, והחזקת כלים המשמשים להכנת סם מסוכן. הוא גידל בדירה ששכר סם מסוכן מסוג קנאביס והחזיק בדירה קנאביס במשקל כולל של </w:t>
      </w:r>
      <w:r>
        <w:rPr>
          <w:rFonts w:ascii="Calibri" w:hAnsi="Calibri"/>
          <w:b/>
          <w:bCs/>
          <w:rtl/>
        </w:rPr>
        <w:t>33.5 ק"ג</w:t>
      </w:r>
      <w:r>
        <w:rPr>
          <w:rFonts w:ascii="Calibri" w:hAnsi="Calibri"/>
          <w:rtl/>
        </w:rPr>
        <w:t xml:space="preserve"> וכן כלים אסורים המשמשים להכנת הסם: משקל אלקטרוני לשקילת מנות סם, מאוורר, מנורות חימום, תרמוסטט, מד חמצון ומד מליחות. </w:t>
      </w:r>
    </w:p>
    <w:p w14:paraId="09504422" w14:textId="77777777" w:rsidR="00982283" w:rsidRDefault="00982283" w:rsidP="00982283">
      <w:pPr>
        <w:spacing w:after="160" w:line="360" w:lineRule="auto"/>
        <w:ind w:left="720"/>
        <w:rPr>
          <w:rFonts w:ascii="Calibri" w:hAnsi="Calibri"/>
          <w:rtl/>
        </w:rPr>
      </w:pPr>
      <w:r>
        <w:rPr>
          <w:rFonts w:ascii="Calibri" w:hAnsi="Calibri"/>
          <w:rtl/>
        </w:rPr>
        <w:t xml:space="preserve">בית המשפט המחוזי קבע כי </w:t>
      </w:r>
      <w:r>
        <w:rPr>
          <w:rFonts w:ascii="Calibri" w:hAnsi="Calibri"/>
          <w:b/>
          <w:bCs/>
          <w:rtl/>
        </w:rPr>
        <w:t>מתחם העונש הראוי</w:t>
      </w:r>
      <w:r>
        <w:rPr>
          <w:rFonts w:ascii="Calibri" w:hAnsi="Calibri"/>
          <w:rtl/>
        </w:rPr>
        <w:t xml:space="preserve"> נע בין</w:t>
      </w:r>
      <w:r>
        <w:rPr>
          <w:rFonts w:ascii="Calibri" w:hAnsi="Calibri"/>
          <w:b/>
          <w:bCs/>
          <w:rtl/>
        </w:rPr>
        <w:t xml:space="preserve"> 18 ל – 30 חודשי מאסר בפועל</w:t>
      </w:r>
      <w:r>
        <w:rPr>
          <w:rFonts w:ascii="Calibri" w:hAnsi="Calibri"/>
          <w:rtl/>
        </w:rPr>
        <w:t xml:space="preserve"> וקנס כספי, וגזר על המערער </w:t>
      </w:r>
      <w:r>
        <w:rPr>
          <w:rFonts w:ascii="Calibri" w:hAnsi="Calibri"/>
          <w:b/>
          <w:bCs/>
          <w:rtl/>
        </w:rPr>
        <w:t>23 חודשי מאסר בפועל</w:t>
      </w:r>
      <w:r>
        <w:rPr>
          <w:rFonts w:ascii="Calibri" w:hAnsi="Calibri"/>
          <w:rtl/>
        </w:rPr>
        <w:t>.</w:t>
      </w:r>
    </w:p>
    <w:p w14:paraId="67528632" w14:textId="77777777" w:rsidR="00982283" w:rsidRDefault="00982283" w:rsidP="00982283">
      <w:pPr>
        <w:spacing w:after="160" w:line="360" w:lineRule="auto"/>
        <w:ind w:left="720"/>
        <w:rPr>
          <w:rFonts w:ascii="Calibri" w:hAnsi="Calibri"/>
          <w:rtl/>
        </w:rPr>
      </w:pPr>
      <w:r>
        <w:rPr>
          <w:rFonts w:ascii="Calibri" w:hAnsi="Calibri"/>
          <w:rtl/>
        </w:rPr>
        <w:t xml:space="preserve">בית המשפט העליון קיבל את הערעור וקיצר את עונש המאסר של המערער בשלושה חודשים, בשל שיקולי שיקום משמעותיים. </w:t>
      </w:r>
    </w:p>
    <w:p w14:paraId="63F30EB1" w14:textId="77777777" w:rsidR="00982283" w:rsidRDefault="00982283" w:rsidP="00982283">
      <w:pPr>
        <w:pStyle w:val="a9"/>
        <w:spacing w:after="120" w:line="360" w:lineRule="auto"/>
        <w:jc w:val="both"/>
      </w:pPr>
      <w:r>
        <w:rPr>
          <w:rtl/>
        </w:rPr>
        <w:t>ב</w:t>
      </w:r>
      <w:hyperlink r:id="rId36" w:history="1">
        <w:r w:rsidR="00DC7114" w:rsidRPr="00DC7114">
          <w:rPr>
            <w:color w:val="0000FF"/>
            <w:u w:val="single"/>
            <w:rtl/>
          </w:rPr>
          <w:t>עפ"ג (מח' ת"א) 17155-07-10</w:t>
        </w:r>
      </w:hyperlink>
      <w:r>
        <w:rPr>
          <w:rtl/>
        </w:rPr>
        <w:t xml:space="preserve"> </w:t>
      </w:r>
      <w:r>
        <w:rPr>
          <w:rFonts w:hint="cs"/>
          <w:b/>
          <w:bCs/>
          <w:rtl/>
        </w:rPr>
        <w:t>מדינת ישראל נ' נסים</w:t>
      </w:r>
      <w:r>
        <w:rPr>
          <w:rFonts w:hint="cs"/>
          <w:rtl/>
        </w:rPr>
        <w:t xml:space="preserve"> </w:t>
      </w:r>
      <w:r>
        <w:rPr>
          <w:sz w:val="22"/>
          <w:rtl/>
        </w:rPr>
        <w:t xml:space="preserve"> </w:t>
      </w:r>
      <w:r>
        <w:rPr>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 </w:t>
      </w:r>
    </w:p>
    <w:p w14:paraId="7E879708" w14:textId="77777777" w:rsidR="00982283" w:rsidRDefault="00982283" w:rsidP="00982283">
      <w:pPr>
        <w:pStyle w:val="a9"/>
        <w:spacing w:after="120" w:line="360" w:lineRule="auto"/>
        <w:jc w:val="both"/>
        <w:rPr>
          <w:rtl/>
        </w:rPr>
      </w:pPr>
    </w:p>
    <w:p w14:paraId="32B9FBFA" w14:textId="77777777" w:rsidR="00982283" w:rsidRDefault="00982283" w:rsidP="00982283">
      <w:pPr>
        <w:pStyle w:val="a9"/>
        <w:spacing w:after="160" w:line="360" w:lineRule="auto"/>
        <w:jc w:val="both"/>
        <w:rPr>
          <w:rtl/>
        </w:rPr>
      </w:pPr>
      <w:r>
        <w:rPr>
          <w:rFonts w:hint="cs"/>
          <w:rtl/>
        </w:rPr>
        <w:t xml:space="preserve">עפ"ג (חי') מדינת ישראל נ' אליהו ירושלמי ( 10.10.19 ) </w:t>
      </w:r>
      <w:r>
        <w:rPr>
          <w:rtl/>
        </w:rPr>
        <w:t>–</w:t>
      </w:r>
      <w:r>
        <w:rPr>
          <w:rFonts w:hint="cs"/>
          <w:rtl/>
        </w:rPr>
        <w:t xml:space="preserve"> נאשם ללא עבר פלילי הורשע בעבירות סמים בכך שגידל 900 שתילי קנבוס ובמשקל של 23.25 ק"ג. בית המשפט השלום השית על הנאשם 9 חודשי מאסר בדרך של עבודות שירות לאחר קבלת תסקיר. בית המשפט המחוזי החמיר בעונשו של הנאשם והשית עליו 12 חודשי מאסר בפועל. </w:t>
      </w:r>
    </w:p>
    <w:p w14:paraId="24047938" w14:textId="77777777" w:rsidR="00982283" w:rsidRDefault="00982283" w:rsidP="00982283">
      <w:pPr>
        <w:pStyle w:val="a9"/>
        <w:spacing w:after="160" w:line="360" w:lineRule="auto"/>
        <w:jc w:val="both"/>
      </w:pPr>
    </w:p>
    <w:p w14:paraId="5AAB1330" w14:textId="77777777" w:rsidR="00982283" w:rsidRDefault="00DC7114" w:rsidP="00982283">
      <w:pPr>
        <w:pStyle w:val="a9"/>
        <w:spacing w:after="160" w:line="360" w:lineRule="auto"/>
        <w:jc w:val="both"/>
        <w:rPr>
          <w:rtl/>
        </w:rPr>
      </w:pPr>
      <w:hyperlink r:id="rId37" w:history="1">
        <w:r w:rsidRPr="00DC7114">
          <w:rPr>
            <w:color w:val="0000FF"/>
            <w:u w:val="single"/>
            <w:rtl/>
          </w:rPr>
          <w:t>עפ"ג 22919-03-18</w:t>
        </w:r>
      </w:hyperlink>
      <w:r w:rsidR="00982283">
        <w:rPr>
          <w:rtl/>
        </w:rPr>
        <w:t xml:space="preserve"> </w:t>
      </w:r>
      <w:r w:rsidR="00982283">
        <w:rPr>
          <w:rFonts w:hint="cs"/>
          <w:b/>
          <w:bCs/>
          <w:rtl/>
        </w:rPr>
        <w:t>מדינת ישראל נ' חכים</w:t>
      </w:r>
      <w:r w:rsidR="00982283">
        <w:rPr>
          <w:rFonts w:hint="cs"/>
          <w:rtl/>
        </w:rPr>
        <w:t xml:space="preserve"> (29.5.18) – בית משפט השלום הרשיע את הנאשם, לפי הודאתו, בעבירה של גידול סמים. הנאשם הקים מעבדה לייצור סמים בה נתפס סם מסוג קנבוס במשקל של 33 קילוגרם. בית המשפט קבע כי מתחם העונש ההולם כולל מאסר לתקופה הנעה בין 12 – 36 חודשים, אולם בחריגה ממתחם העונש ההולם, ומטעמי שיקום, הטיל עליו מאסר לתקופה של 6 חודשים בדרך של עבודות שירות, לצד ענישה נלווית. בית המשפט המחוזי דחה את ערעור התביעה, בשל הליך השיקום.</w:t>
      </w:r>
    </w:p>
    <w:p w14:paraId="700BFAF7" w14:textId="77777777" w:rsidR="00982283" w:rsidRDefault="00982283" w:rsidP="00982283">
      <w:pPr>
        <w:pStyle w:val="a9"/>
        <w:spacing w:after="160" w:line="360" w:lineRule="auto"/>
        <w:jc w:val="both"/>
        <w:rPr>
          <w:rtl/>
        </w:rPr>
      </w:pPr>
    </w:p>
    <w:p w14:paraId="16A7D077" w14:textId="77777777" w:rsidR="00982283" w:rsidRDefault="00DC7114" w:rsidP="00982283">
      <w:pPr>
        <w:pStyle w:val="a9"/>
        <w:spacing w:after="160" w:line="360" w:lineRule="auto"/>
        <w:jc w:val="both"/>
        <w:rPr>
          <w:rtl/>
        </w:rPr>
      </w:pPr>
      <w:hyperlink r:id="rId38" w:history="1">
        <w:r w:rsidRPr="00DC7114">
          <w:rPr>
            <w:color w:val="0000FF"/>
            <w:u w:val="single"/>
            <w:rtl/>
          </w:rPr>
          <w:t>עפ"ג (מרכז) 34383-10-16</w:t>
        </w:r>
      </w:hyperlink>
      <w:r w:rsidR="00982283">
        <w:rPr>
          <w:rtl/>
        </w:rPr>
        <w:t xml:space="preserve"> </w:t>
      </w:r>
      <w:r w:rsidR="00982283">
        <w:rPr>
          <w:rFonts w:hint="cs"/>
          <w:b/>
          <w:bCs/>
          <w:rtl/>
        </w:rPr>
        <w:t>מדינת ישראל נ' קדר</w:t>
      </w:r>
      <w:r w:rsidR="00982283">
        <w:rPr>
          <w:rFonts w:hint="cs"/>
          <w:rtl/>
        </w:rPr>
        <w:t xml:space="preserve"> (12.2.17) – בית משפט השלום הרשיע את הנאשם, לפי הודאתו, בעבירות של גידול סמים, החזקת כלים להכנת סם והחזקת סם מסוכן שלא לצריכה עצמית. הנאשם גידל שתילי קנבוס במשקל של 25 קילוגרם. בית המשפט השלום גזר על הנאשם מאסר בפועל לתקופה של 6 חודשים בדרך של עבודות שירות, בחריגה מהמתחם מטעמי שיקום, מאסר על תנאי וקנס בסכום של 7,000 ₪. בית המשפט המחוזי קבע כי מתחם העונש ההולם כולל מאסר לתקופה הנעה בין 10 – 26 חודשים וגזר על הנאשם עונש של מאסר לתקופה של 8 חודשים בשל הליך השיקום.</w:t>
      </w:r>
    </w:p>
    <w:p w14:paraId="3EF52D16" w14:textId="77777777" w:rsidR="00982283" w:rsidRDefault="00982283" w:rsidP="00982283">
      <w:pPr>
        <w:spacing w:after="160" w:line="360" w:lineRule="auto"/>
        <w:jc w:val="both"/>
        <w:rPr>
          <w:rtl/>
        </w:rPr>
      </w:pPr>
    </w:p>
    <w:p w14:paraId="5ECF863F" w14:textId="77777777" w:rsidR="00982283" w:rsidRDefault="00DC7114" w:rsidP="00982283">
      <w:pPr>
        <w:pStyle w:val="a9"/>
        <w:spacing w:after="160" w:line="360" w:lineRule="auto"/>
        <w:jc w:val="both"/>
      </w:pPr>
      <w:hyperlink r:id="rId39" w:history="1">
        <w:r w:rsidRPr="00DC7114">
          <w:rPr>
            <w:color w:val="0000FF"/>
            <w:u w:val="single"/>
            <w:rtl/>
          </w:rPr>
          <w:t>רע"פ 6869/17</w:t>
        </w:r>
      </w:hyperlink>
      <w:r w:rsidR="00982283">
        <w:rPr>
          <w:rtl/>
        </w:rPr>
        <w:t xml:space="preserve"> </w:t>
      </w:r>
      <w:r w:rsidR="00982283">
        <w:rPr>
          <w:rFonts w:hint="cs"/>
          <w:b/>
          <w:bCs/>
          <w:rtl/>
        </w:rPr>
        <w:t>פילברג נ' מדינת ישראל</w:t>
      </w:r>
      <w:r w:rsidR="00982283">
        <w:rPr>
          <w:rFonts w:hint="cs"/>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5A5E163F" w14:textId="77777777" w:rsidR="00982283" w:rsidRDefault="00982283" w:rsidP="00982283">
      <w:pPr>
        <w:spacing w:after="160" w:line="360" w:lineRule="auto"/>
        <w:jc w:val="both"/>
        <w:rPr>
          <w:rtl/>
        </w:rPr>
      </w:pPr>
    </w:p>
    <w:p w14:paraId="66885649" w14:textId="77777777" w:rsidR="00982283" w:rsidRDefault="00DC7114" w:rsidP="00982283">
      <w:pPr>
        <w:spacing w:after="160" w:line="360" w:lineRule="auto"/>
        <w:ind w:left="720"/>
        <w:jc w:val="both"/>
      </w:pPr>
      <w:hyperlink r:id="rId40" w:history="1">
        <w:r w:rsidRPr="00DC7114">
          <w:rPr>
            <w:color w:val="0000FF"/>
            <w:u w:val="single"/>
            <w:rtl/>
          </w:rPr>
          <w:t>עפ"ג (מרכז) 34467-04-17</w:t>
        </w:r>
      </w:hyperlink>
      <w:r w:rsidR="00982283">
        <w:rPr>
          <w:rtl/>
        </w:rPr>
        <w:t xml:space="preserve">, 25930-04-17 </w:t>
      </w:r>
      <w:r w:rsidR="00982283">
        <w:rPr>
          <w:b/>
          <w:bCs/>
          <w:rtl/>
        </w:rPr>
        <w:t>נעמן נ' מדינת ישראל</w:t>
      </w:r>
      <w:r w:rsidR="00982283">
        <w:rPr>
          <w:rtl/>
        </w:rPr>
        <w:t xml:space="preserve">, וערעור שכנגד </w:t>
      </w:r>
      <w:r w:rsidR="00982283">
        <w:rPr>
          <w:b/>
          <w:bCs/>
          <w:rtl/>
        </w:rPr>
        <w:t xml:space="preserve"> </w:t>
      </w:r>
      <w:r w:rsidR="00982283">
        <w:rPr>
          <w:rtl/>
        </w:rPr>
        <w:t>(18.7.17) – בית משפט השלום הרשיע את הנאשם, לפי הודאתו, בעבירות של גידול סמים והחזקת סמים שלא לצריכה עצמית. הנאשם גידל 77 שתילי קנבוס במשקל של 17.6 קילוגרם. בית המשפט קבע כי מתחם העונש ההולם עומד על מאסר לתקופה הנעה בין 12 – 36 חודשים, אולם סטה ממתחם העונש ההולם והטיל על הנאשם מאסר לתקופה של 8 חודשים, מאסר על תנאי, פסילה בפועל ועל תנאי. בית המשפט המחוזי קיבל את ערעור התביעה והטיל על הנאשם מאסר לתקופה של 12 חודשים וקנס בסכום של 3,000 ₪.</w:t>
      </w:r>
    </w:p>
    <w:p w14:paraId="176321D6" w14:textId="77777777" w:rsidR="00982283" w:rsidRDefault="00DC7114" w:rsidP="00982283">
      <w:pPr>
        <w:spacing w:after="160" w:line="360" w:lineRule="auto"/>
        <w:ind w:left="720"/>
        <w:jc w:val="both"/>
        <w:rPr>
          <w:rtl/>
        </w:rPr>
      </w:pPr>
      <w:hyperlink r:id="rId41" w:history="1">
        <w:r w:rsidRPr="00DC7114">
          <w:rPr>
            <w:color w:val="0000FF"/>
            <w:u w:val="single"/>
            <w:rtl/>
          </w:rPr>
          <w:t>רע"פ 6869/17</w:t>
        </w:r>
      </w:hyperlink>
      <w:r w:rsidR="00982283">
        <w:rPr>
          <w:rtl/>
        </w:rPr>
        <w:t xml:space="preserve"> </w:t>
      </w:r>
      <w:r w:rsidR="00982283">
        <w:rPr>
          <w:rFonts w:hint="cs"/>
          <w:b/>
          <w:bCs/>
          <w:rtl/>
        </w:rPr>
        <w:t>פילברג נ' מדינת ישראל</w:t>
      </w:r>
      <w:r w:rsidR="00982283">
        <w:rPr>
          <w:rFonts w:hint="cs"/>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5115D71F" w14:textId="77777777" w:rsidR="00982283" w:rsidRDefault="00DC7114" w:rsidP="00982283">
      <w:pPr>
        <w:pStyle w:val="1"/>
        <w:spacing w:line="360" w:lineRule="auto"/>
        <w:jc w:val="both"/>
        <w:rPr>
          <w:rFonts w:ascii="David" w:eastAsia="Calibri" w:hAnsi="David" w:cs="David"/>
          <w:rtl/>
        </w:rPr>
      </w:pPr>
      <w:hyperlink r:id="rId42" w:history="1">
        <w:r w:rsidRPr="00DC7114">
          <w:rPr>
            <w:rFonts w:ascii="David" w:eastAsia="Calibri" w:hAnsi="David"/>
            <w:color w:val="0000FF"/>
            <w:u w:val="single"/>
            <w:rtl/>
          </w:rPr>
          <w:t>רע"פ 1787/15</w:t>
        </w:r>
      </w:hyperlink>
      <w:r w:rsidR="00982283">
        <w:rPr>
          <w:rFonts w:ascii="David" w:eastAsia="Calibri" w:hAnsi="David" w:cs="David"/>
          <w:rtl/>
        </w:rPr>
        <w:t xml:space="preserve"> </w:t>
      </w:r>
      <w:r w:rsidR="00982283">
        <w:rPr>
          <w:rFonts w:ascii="David" w:eastAsia="Calibri" w:hAnsi="David" w:cs="David" w:hint="cs"/>
          <w:b/>
          <w:bCs/>
          <w:rtl/>
        </w:rPr>
        <w:t>עמר נ' מדינת ישראל</w:t>
      </w:r>
      <w:r w:rsidR="00982283">
        <w:rPr>
          <w:rFonts w:ascii="David" w:eastAsia="Calibri" w:hAnsi="David" w:cs="David" w:hint="cs"/>
          <w:rtl/>
        </w:rPr>
        <w:t xml:space="preserve"> </w:t>
      </w:r>
      <w:r w:rsidR="00982283">
        <w:rPr>
          <w:rFonts w:eastAsia="Calibri" w:cs="David"/>
          <w:sz w:val="22"/>
          <w:rtl/>
        </w:rPr>
        <w:t xml:space="preserve"> </w:t>
      </w:r>
      <w:r w:rsidR="00982283">
        <w:rPr>
          <w:rFonts w:ascii="David" w:eastAsia="Calibri" w:hAnsi="David" w:cs="David"/>
          <w:rtl/>
        </w:rPr>
        <w:t xml:space="preserve">(24.3.15),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4DEAABEF" w14:textId="77777777" w:rsidR="00982283" w:rsidRDefault="00982283" w:rsidP="00982283">
      <w:pPr>
        <w:spacing w:after="160" w:line="360" w:lineRule="auto"/>
        <w:jc w:val="both"/>
        <w:rPr>
          <w:rtl/>
        </w:rPr>
      </w:pPr>
      <w:r>
        <w:rPr>
          <w:rtl/>
        </w:rPr>
        <w:tab/>
      </w:r>
    </w:p>
    <w:p w14:paraId="3ED2CA57" w14:textId="77777777" w:rsidR="00982283" w:rsidRDefault="00DC7114" w:rsidP="00982283">
      <w:pPr>
        <w:pStyle w:val="1"/>
        <w:spacing w:line="360" w:lineRule="auto"/>
        <w:jc w:val="both"/>
        <w:rPr>
          <w:rFonts w:ascii="David" w:eastAsia="Calibri" w:hAnsi="David" w:cs="David"/>
          <w:rtl/>
        </w:rPr>
      </w:pPr>
      <w:hyperlink r:id="rId43" w:history="1">
        <w:r w:rsidRPr="00DC7114">
          <w:rPr>
            <w:rFonts w:ascii="David" w:eastAsia="Calibri" w:hAnsi="David"/>
            <w:color w:val="0000FF"/>
            <w:u w:val="single"/>
            <w:rtl/>
          </w:rPr>
          <w:t>עפ"ג 42358-10-14</w:t>
        </w:r>
      </w:hyperlink>
      <w:r w:rsidR="00982283">
        <w:rPr>
          <w:rFonts w:ascii="David" w:eastAsia="Calibri" w:hAnsi="David" w:cs="David"/>
          <w:rtl/>
        </w:rPr>
        <w:t xml:space="preserve"> </w:t>
      </w:r>
      <w:r w:rsidR="00982283">
        <w:rPr>
          <w:rFonts w:ascii="David" w:eastAsia="Calibri" w:hAnsi="David" w:cs="David" w:hint="cs"/>
          <w:b/>
          <w:bCs/>
          <w:rtl/>
        </w:rPr>
        <w:t>גיא נ' מדינת ישראל</w:t>
      </w:r>
      <w:r w:rsidR="00982283">
        <w:rPr>
          <w:rFonts w:ascii="David" w:eastAsia="Calibri" w:hAnsi="David" w:cs="David" w:hint="cs"/>
          <w:rtl/>
        </w:rPr>
        <w:t xml:space="preserve"> </w:t>
      </w:r>
      <w:r w:rsidR="00982283">
        <w:rPr>
          <w:rFonts w:eastAsia="Calibri" w:cs="David"/>
          <w:sz w:val="22"/>
          <w:rtl/>
        </w:rPr>
        <w:t xml:space="preserve"> </w:t>
      </w:r>
      <w:r w:rsidR="00982283">
        <w:rPr>
          <w:rFonts w:ascii="David" w:eastAsia="Calibri" w:hAnsi="David" w:cs="David"/>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העונש שנקבע   (7-20 חודשי מאסר) הוא ראוי. </w:t>
      </w:r>
    </w:p>
    <w:p w14:paraId="37A92F44" w14:textId="77777777" w:rsidR="00982283" w:rsidRDefault="00982283" w:rsidP="00982283">
      <w:pPr>
        <w:spacing w:after="160" w:line="360" w:lineRule="auto"/>
        <w:jc w:val="both"/>
      </w:pPr>
      <w:r>
        <w:rPr>
          <w:rtl/>
        </w:rPr>
        <w:tab/>
      </w:r>
    </w:p>
    <w:p w14:paraId="70871E5D" w14:textId="77777777" w:rsidR="00982283" w:rsidRDefault="00DC7114" w:rsidP="00982283">
      <w:pPr>
        <w:spacing w:line="360" w:lineRule="auto"/>
        <w:ind w:left="720"/>
        <w:jc w:val="both"/>
        <w:rPr>
          <w:rFonts w:ascii="David" w:eastAsia="David" w:hAnsi="David"/>
          <w:rtl/>
        </w:rPr>
      </w:pPr>
      <w:hyperlink r:id="rId44" w:history="1">
        <w:r w:rsidRPr="00DC7114">
          <w:rPr>
            <w:color w:val="0000FF"/>
            <w:u w:val="single"/>
            <w:rtl/>
          </w:rPr>
          <w:t>עפ"ג (מח' מרכז-לוד) 8650-04-15</w:t>
        </w:r>
      </w:hyperlink>
      <w:r w:rsidR="00982283">
        <w:rPr>
          <w:rtl/>
        </w:rPr>
        <w:t xml:space="preserve"> </w:t>
      </w:r>
      <w:r w:rsidR="00982283">
        <w:rPr>
          <w:rFonts w:hint="cs"/>
          <w:b/>
          <w:bCs/>
          <w:rtl/>
        </w:rPr>
        <w:t>שורץ נ' מדינת ישראל</w:t>
      </w:r>
      <w:r w:rsidR="00982283">
        <w:rPr>
          <w:rFonts w:hint="cs"/>
          <w:rtl/>
        </w:rPr>
        <w:t xml:space="preserve">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0AA4CDC0" w14:textId="77777777" w:rsidR="00982283" w:rsidRDefault="00982283" w:rsidP="00982283">
      <w:pPr>
        <w:pStyle w:val="1"/>
        <w:spacing w:line="360" w:lineRule="auto"/>
        <w:jc w:val="both"/>
        <w:rPr>
          <w:rFonts w:ascii="David" w:eastAsia="Calibri" w:hAnsi="David" w:cs="David"/>
        </w:rPr>
      </w:pPr>
    </w:p>
    <w:p w14:paraId="6F75EAE1" w14:textId="77777777" w:rsidR="00982283" w:rsidRDefault="00DC7114" w:rsidP="00982283">
      <w:pPr>
        <w:pStyle w:val="1"/>
        <w:spacing w:line="360" w:lineRule="auto"/>
        <w:jc w:val="both"/>
        <w:rPr>
          <w:rFonts w:ascii="David" w:eastAsia="Calibri" w:hAnsi="David" w:cs="David"/>
          <w:rtl/>
        </w:rPr>
      </w:pPr>
      <w:hyperlink r:id="rId45" w:history="1">
        <w:r w:rsidRPr="00DC7114">
          <w:rPr>
            <w:rFonts w:ascii="David" w:eastAsia="Calibri" w:hAnsi="David"/>
            <w:color w:val="0000FF"/>
            <w:u w:val="single"/>
            <w:rtl/>
          </w:rPr>
          <w:t>ת"פ (מחוזי מרכז) 2456-07-10</w:t>
        </w:r>
      </w:hyperlink>
      <w:r w:rsidR="00982283">
        <w:rPr>
          <w:rFonts w:ascii="David" w:eastAsia="Calibri" w:hAnsi="David" w:cs="David"/>
          <w:rtl/>
        </w:rPr>
        <w:t xml:space="preserve"> </w:t>
      </w:r>
      <w:r w:rsidR="00982283">
        <w:rPr>
          <w:rFonts w:ascii="David" w:eastAsia="Calibri" w:hAnsi="David" w:cs="David" w:hint="cs"/>
          <w:b/>
          <w:bCs/>
          <w:rtl/>
        </w:rPr>
        <w:t>מדינת ישראל נ' תבל</w:t>
      </w:r>
      <w:r w:rsidR="00982283">
        <w:rPr>
          <w:rFonts w:ascii="David" w:eastAsia="Calibri" w:hAnsi="David" w:cs="David" w:hint="cs"/>
          <w:rtl/>
        </w:rPr>
        <w:t xml:space="preserve"> </w:t>
      </w:r>
      <w:r w:rsidR="00982283">
        <w:rPr>
          <w:rFonts w:eastAsia="Calibri" w:cs="David"/>
          <w:sz w:val="22"/>
          <w:rtl/>
        </w:rPr>
        <w:t xml:space="preserve"> </w:t>
      </w:r>
      <w:r w:rsidR="00982283">
        <w:rPr>
          <w:rFonts w:ascii="David" w:eastAsia="Calibri" w:hAnsi="David" w:cs="David"/>
          <w:rtl/>
        </w:rPr>
        <w:t xml:space="preserve">(8.5.11), בו הוטל על נאשם עונש מאסר בן 8 חודשים בשל גידול סם מסוג קנבוס בכמות של כ- 8.9 ק"ג. </w:t>
      </w:r>
    </w:p>
    <w:p w14:paraId="19C0B96B" w14:textId="77777777" w:rsidR="00982283" w:rsidRDefault="00982283" w:rsidP="00982283">
      <w:pPr>
        <w:spacing w:after="160" w:line="360" w:lineRule="auto"/>
        <w:jc w:val="both"/>
      </w:pPr>
    </w:p>
    <w:p w14:paraId="11960522" w14:textId="77777777" w:rsidR="00982283" w:rsidRDefault="00982283" w:rsidP="00982283">
      <w:pPr>
        <w:pStyle w:val="a9"/>
        <w:numPr>
          <w:ilvl w:val="0"/>
          <w:numId w:val="1"/>
        </w:numPr>
        <w:spacing w:after="160" w:line="360" w:lineRule="auto"/>
        <w:jc w:val="both"/>
        <w:rPr>
          <w:b/>
          <w:bCs/>
          <w:rtl/>
        </w:rPr>
      </w:pPr>
      <w:r>
        <w:rPr>
          <w:b/>
          <w:bCs/>
          <w:rtl/>
        </w:rPr>
        <w:t>אני סבורה שבנסיבות העבירות בתיק זה מתחם העונש ההולם נע בין עונש של</w:t>
      </w:r>
      <w:r>
        <w:rPr>
          <w:rFonts w:hint="cs"/>
          <w:b/>
          <w:bCs/>
          <w:rtl/>
        </w:rPr>
        <w:t xml:space="preserve"> 9 </w:t>
      </w:r>
      <w:r>
        <w:rPr>
          <w:b/>
          <w:bCs/>
          <w:rtl/>
        </w:rPr>
        <w:t xml:space="preserve">  חודשי מאסר   ועד לעונש </w:t>
      </w:r>
      <w:r>
        <w:rPr>
          <w:rFonts w:hint="cs"/>
          <w:b/>
          <w:bCs/>
          <w:rtl/>
        </w:rPr>
        <w:t xml:space="preserve">של 30  </w:t>
      </w:r>
      <w:r>
        <w:rPr>
          <w:b/>
          <w:bCs/>
          <w:rtl/>
        </w:rPr>
        <w:t xml:space="preserve">   חודשי מאסר בפועל בנוסף לעונשים נלווים.  </w:t>
      </w:r>
    </w:p>
    <w:p w14:paraId="434F92DD" w14:textId="77777777" w:rsidR="00982283" w:rsidRDefault="00982283" w:rsidP="00982283">
      <w:pPr>
        <w:pStyle w:val="a9"/>
        <w:spacing w:after="160" w:line="360" w:lineRule="auto"/>
        <w:jc w:val="both"/>
        <w:rPr>
          <w:rtl/>
        </w:rPr>
      </w:pPr>
    </w:p>
    <w:p w14:paraId="5EC1F3E3" w14:textId="77777777" w:rsidR="00982283" w:rsidRDefault="00982283" w:rsidP="00982283">
      <w:pPr>
        <w:pStyle w:val="a9"/>
        <w:numPr>
          <w:ilvl w:val="0"/>
          <w:numId w:val="2"/>
        </w:numPr>
        <w:spacing w:line="360" w:lineRule="auto"/>
        <w:jc w:val="both"/>
        <w:rPr>
          <w:rFonts w:ascii="Arial" w:hAnsi="Arial"/>
        </w:rPr>
      </w:pPr>
      <w:r>
        <w:rPr>
          <w:rFonts w:ascii="Arial" w:hAnsi="Arial" w:hint="cs"/>
          <w:rtl/>
        </w:rPr>
        <w:t xml:space="preserve">בעניינו של הנאשם לא מצאתי לנכון לחרוג ממתחם העונש ההולם. </w:t>
      </w:r>
    </w:p>
    <w:p w14:paraId="51B62FDE" w14:textId="77777777" w:rsidR="00982283" w:rsidRDefault="00982283" w:rsidP="00982283">
      <w:pPr>
        <w:pStyle w:val="a9"/>
        <w:spacing w:line="360" w:lineRule="auto"/>
        <w:jc w:val="both"/>
        <w:rPr>
          <w:rFonts w:ascii="Arial" w:hAnsi="Arial"/>
        </w:rPr>
      </w:pPr>
    </w:p>
    <w:p w14:paraId="555740C6" w14:textId="77777777" w:rsidR="00982283" w:rsidRDefault="00982283" w:rsidP="00982283">
      <w:pPr>
        <w:pStyle w:val="a9"/>
        <w:numPr>
          <w:ilvl w:val="0"/>
          <w:numId w:val="2"/>
        </w:numPr>
        <w:spacing w:line="360" w:lineRule="auto"/>
        <w:jc w:val="both"/>
        <w:rPr>
          <w:rFonts w:ascii="Arial" w:hAnsi="Arial"/>
        </w:rPr>
      </w:pPr>
      <w:r>
        <w:rPr>
          <w:rFonts w:ascii="Arial" w:hAnsi="Arial" w:hint="cs"/>
          <w:rtl/>
        </w:rPr>
        <w:t xml:space="preserve">הנאשם הופנה לקבלת תסקיר של שירות המבחן ואולם לא שיתף פעולה. מתסקירי שירות המבחן עולה שאין סיכויי שיקום בעניינו של הנאשם בעיקר נוכח עמדותיו כמפורט בתסקיר.  אמנם סירובו זה של הנאשם להליך טיפולי על אף הצהרותיו  אינו נזקף לחובתו ואולם בהיעדר אופק שיקומי כלשהו הרי שאין מקום לחריגה ממתחם הענישה ואף אציין כי יש ליתן משקל לשיקולי הרתעה בתוך מתחם הענישה בשים לב לעובדה כי הנאשם נעדר עבר פלילי.   עונש של מאסר בדרך של עבודות שירות חורג ממדיניות הענישה ואין בו כדי להרתיע מלבצע עבירות שלכאורה קל לבצען והרווח בצד עבירות מסוג זה  גבוה  מיידי ומפתה. מעשיו של הנאשם לא נועדו לספק לעצמו סמים לשימוש עצמי אלא לשם הפקת רווח כספי ועל כן מדובר בסמים שעתידים היו להיות מופצים. </w:t>
      </w:r>
    </w:p>
    <w:p w14:paraId="0F5CBFB4" w14:textId="77777777" w:rsidR="00982283" w:rsidRDefault="00982283" w:rsidP="00982283">
      <w:pPr>
        <w:pStyle w:val="a9"/>
        <w:spacing w:line="360" w:lineRule="auto"/>
        <w:jc w:val="both"/>
        <w:rPr>
          <w:rFonts w:ascii="Arial" w:hAnsi="Arial"/>
        </w:rPr>
      </w:pPr>
    </w:p>
    <w:p w14:paraId="743312B6" w14:textId="77777777" w:rsidR="00982283" w:rsidRDefault="00982283" w:rsidP="00982283">
      <w:pPr>
        <w:pStyle w:val="a9"/>
        <w:numPr>
          <w:ilvl w:val="0"/>
          <w:numId w:val="3"/>
        </w:numPr>
        <w:spacing w:line="360" w:lineRule="auto"/>
        <w:jc w:val="both"/>
        <w:rPr>
          <w:rFonts w:ascii="Arial" w:hAnsi="Arial"/>
        </w:rPr>
      </w:pPr>
      <w:r>
        <w:rPr>
          <w:rFonts w:ascii="Arial" w:hAnsi="Arial" w:hint="cs"/>
          <w:rtl/>
        </w:rPr>
        <w:t xml:space="preserve">לזכותו של הנאשם שקלתי את העובדה שהנאשם הודה בהזדמנות הראשונה ונטל אחריות על מעשיו וחסך עדותם של עדים. עוד זקפתי לזכותו של הנאשם  את העובדה  שמדובר בנאשם נעדר עבר פלילי עד להסתבכותו זו והעובדה ששהה בתנאים מגבילים תקופה ממושכת ולכך יינתן משקל במסגרת שיקולי ענישה בתוך מתחם העונש ההולם וקביעת עונשו של הנאשם.  כמו כן יש ליתן משקל לעובדה שהנאשם נושא רישיון לקנביס רפואי. לטענת הסנגור אין עוד מקום להליך טיפולי נוכח עובדה זו ואולם חוות הדעת המקצועית של שירות המבחן מדברת בעד עצמה.  לחומרא שקלתי שיקולי הרתעה בתוך מתחם הענישה וזאת בהיעדר כל אופק שיקומי או מסוכנות פחותה להישנות עבירות דומות בעתיד ואת המסוכנות הנשקפת מהנאשם לביצוע עבירות דומות בעתיד בהיעדר הליך טיפולי כלשהו. הסיבות לביצוע העבירות לפיהן מצבו הכלכלי של הנאשם, יחד עם חשש מגורמים להם חב חובות כספיים, אין בהן כדי להמעיט מחומרת העבירות. וכאמור משיקולי הלימה הרי שיש מקום לתת משקל של ממש בתוך מתחם העונש ההולם גם לשיקולי הרתעה. </w:t>
      </w:r>
    </w:p>
    <w:p w14:paraId="6661C467" w14:textId="77777777" w:rsidR="00982283" w:rsidRDefault="00982283" w:rsidP="00982283">
      <w:pPr>
        <w:spacing w:line="360" w:lineRule="auto"/>
        <w:jc w:val="both"/>
        <w:rPr>
          <w:rFonts w:ascii="Arial" w:hAnsi="Arial"/>
        </w:rPr>
      </w:pPr>
    </w:p>
    <w:p w14:paraId="4FB8A006" w14:textId="77777777" w:rsidR="00982283" w:rsidRDefault="00982283" w:rsidP="00982283">
      <w:pPr>
        <w:pStyle w:val="a9"/>
        <w:numPr>
          <w:ilvl w:val="0"/>
          <w:numId w:val="4"/>
        </w:numPr>
        <w:spacing w:line="360" w:lineRule="auto"/>
        <w:jc w:val="both"/>
        <w:rPr>
          <w:rFonts w:ascii="Arial" w:hAnsi="Arial"/>
          <w:b/>
          <w:bCs/>
          <w:rtl/>
        </w:rPr>
      </w:pPr>
      <w:r>
        <w:rPr>
          <w:rFonts w:ascii="Arial" w:hAnsi="Arial" w:hint="cs"/>
          <w:b/>
          <w:bCs/>
          <w:rtl/>
        </w:rPr>
        <w:t xml:space="preserve">במכלול השיקולים לקולא ולחומרא אני גוזרת על הנאשם את העונשים הבאים: </w:t>
      </w:r>
    </w:p>
    <w:p w14:paraId="78DFE2A3" w14:textId="77777777" w:rsidR="00982283" w:rsidRDefault="00982283" w:rsidP="00982283">
      <w:pPr>
        <w:pStyle w:val="a9"/>
        <w:spacing w:line="360" w:lineRule="auto"/>
        <w:jc w:val="both"/>
        <w:rPr>
          <w:rFonts w:ascii="Arial" w:hAnsi="Arial"/>
          <w:b/>
          <w:bCs/>
          <w:rtl/>
        </w:rPr>
      </w:pPr>
    </w:p>
    <w:p w14:paraId="40068CF6" w14:textId="77777777" w:rsidR="00982283" w:rsidRDefault="00982283" w:rsidP="00982283">
      <w:pPr>
        <w:pStyle w:val="a9"/>
        <w:spacing w:line="360" w:lineRule="auto"/>
        <w:jc w:val="both"/>
        <w:rPr>
          <w:rFonts w:ascii="Arial" w:hAnsi="Arial"/>
          <w:b/>
          <w:bCs/>
        </w:rPr>
      </w:pPr>
      <w:r>
        <w:rPr>
          <w:rFonts w:ascii="Arial" w:hAnsi="Arial" w:hint="cs"/>
          <w:b/>
          <w:bCs/>
          <w:rtl/>
        </w:rPr>
        <w:t xml:space="preserve">10 חודשי מאסר בפועל בניכוי ימי מעצרו של הנאשם מיום  31.12.20 ועד 8.1.21  </w:t>
      </w:r>
    </w:p>
    <w:p w14:paraId="565A9C0C" w14:textId="77777777" w:rsidR="00982283" w:rsidRDefault="00982283" w:rsidP="00982283">
      <w:pPr>
        <w:pStyle w:val="a9"/>
        <w:spacing w:line="360" w:lineRule="auto"/>
        <w:jc w:val="both"/>
        <w:rPr>
          <w:rFonts w:ascii="Arial" w:hAnsi="Arial"/>
          <w:b/>
          <w:bCs/>
        </w:rPr>
      </w:pPr>
    </w:p>
    <w:p w14:paraId="6D215AAA" w14:textId="77777777" w:rsidR="00982283" w:rsidRDefault="00982283" w:rsidP="00982283">
      <w:pPr>
        <w:spacing w:after="120" w:line="360" w:lineRule="auto"/>
        <w:ind w:left="720"/>
        <w:jc w:val="both"/>
        <w:rPr>
          <w:b/>
          <w:bCs/>
          <w:rtl/>
        </w:rPr>
      </w:pPr>
      <w:r>
        <w:rPr>
          <w:rFonts w:hint="cs"/>
          <w:b/>
          <w:bCs/>
          <w:rtl/>
        </w:rPr>
        <w:t>5 חודשי מאסר על תנאי, לבל יעבור הנאשם במשך שלוש שנים מיום שחרורו מן המאסר על עבירה מסוג פשע לפי פקודת הסמים.</w:t>
      </w:r>
    </w:p>
    <w:p w14:paraId="33A01196" w14:textId="77777777" w:rsidR="00982283" w:rsidRDefault="00982283" w:rsidP="00982283">
      <w:pPr>
        <w:spacing w:after="120" w:line="360" w:lineRule="auto"/>
        <w:ind w:left="720"/>
        <w:jc w:val="both"/>
        <w:rPr>
          <w:b/>
          <w:bCs/>
          <w:rtl/>
        </w:rPr>
      </w:pPr>
    </w:p>
    <w:p w14:paraId="1ECF7BA4" w14:textId="77777777" w:rsidR="00982283" w:rsidRDefault="00982283" w:rsidP="00982283">
      <w:pPr>
        <w:spacing w:after="120" w:line="360" w:lineRule="auto"/>
        <w:ind w:left="720"/>
        <w:jc w:val="both"/>
        <w:rPr>
          <w:rFonts w:ascii="David" w:hAnsi="David"/>
          <w:b/>
          <w:bCs/>
          <w:rtl/>
        </w:rPr>
      </w:pPr>
      <w:r>
        <w:rPr>
          <w:rFonts w:ascii="David" w:hAnsi="David" w:hint="cs"/>
          <w:b/>
          <w:bCs/>
          <w:rtl/>
        </w:rPr>
        <w:t>בהתאם להסכמות הצדדים אני מורה על חילוט סכום של 4,000 ₪ התפוס ביתרת הפק"מ בחשבון בנק דיסקונט הרשום על שם שביט אלקיים לטובת קרן לחילוט סמים. לאחר  חילוט הכספים  תושב יתרת הפיקדון לנאשם.</w:t>
      </w:r>
    </w:p>
    <w:p w14:paraId="18C6F562" w14:textId="77777777" w:rsidR="00982283" w:rsidRDefault="00982283" w:rsidP="00982283">
      <w:pPr>
        <w:spacing w:after="120" w:line="360" w:lineRule="auto"/>
        <w:ind w:left="720"/>
        <w:jc w:val="both"/>
        <w:rPr>
          <w:b/>
          <w:bCs/>
          <w:rtl/>
        </w:rPr>
      </w:pPr>
    </w:p>
    <w:p w14:paraId="23C069EC" w14:textId="77777777" w:rsidR="00982283" w:rsidRDefault="00982283" w:rsidP="00982283">
      <w:pPr>
        <w:spacing w:after="120" w:line="360" w:lineRule="auto"/>
        <w:ind w:left="720"/>
        <w:jc w:val="both"/>
        <w:rPr>
          <w:b/>
          <w:bCs/>
          <w:rtl/>
          <w:lang w:eastAsia="he-IL"/>
        </w:rPr>
      </w:pPr>
      <w:r>
        <w:rPr>
          <w:rFonts w:hint="cs"/>
          <w:b/>
          <w:bCs/>
          <w:rtl/>
        </w:rPr>
        <w:t>בהתחשב בעובדה שחולט סכום כסף אתחשב בגובה הקנס שיושת על הנאשם. אני מחייבת את הנאשם בקנס כספי בסך של 2,500 ₪ או 30 ימי מאסר תמורתו. הקנס ישולם ב –2  תשלומים חודשיים שווים</w:t>
      </w:r>
      <w:r>
        <w:rPr>
          <w:rFonts w:hint="cs"/>
          <w:b/>
          <w:bCs/>
          <w:rtl/>
          <w:lang w:eastAsia="he-IL"/>
        </w:rPr>
        <w:t xml:space="preserve"> ורצופים, שהראשון שבהם ביום 28.4.23   ובכל חודש שלאחר מכן.  לא ישולם תשלום כלשהו במועדו, תעמוד היתרה לפירעון מיידי.</w:t>
      </w:r>
    </w:p>
    <w:p w14:paraId="27AC5ADA" w14:textId="77777777" w:rsidR="00982283" w:rsidRDefault="00982283" w:rsidP="00982283">
      <w:pPr>
        <w:spacing w:after="120" w:line="360" w:lineRule="auto"/>
        <w:ind w:left="720"/>
        <w:jc w:val="both"/>
        <w:rPr>
          <w:b/>
          <w:bCs/>
          <w:lang w:eastAsia="he-IL"/>
        </w:rPr>
      </w:pPr>
    </w:p>
    <w:p w14:paraId="1A26280D" w14:textId="77777777" w:rsidR="00982283" w:rsidRDefault="00982283" w:rsidP="00982283">
      <w:pPr>
        <w:spacing w:line="360" w:lineRule="auto"/>
        <w:ind w:left="720"/>
        <w:jc w:val="both"/>
        <w:rPr>
          <w:b/>
          <w:bCs/>
          <w:rtl/>
        </w:rPr>
      </w:pPr>
      <w:r>
        <w:rPr>
          <w:rFonts w:hint="cs"/>
          <w:b/>
          <w:bCs/>
          <w:rtl/>
        </w:rPr>
        <w:t xml:space="preserve">מכוח </w:t>
      </w:r>
      <w:hyperlink r:id="rId46" w:history="1">
        <w:r w:rsidR="00B03688" w:rsidRPr="00B03688">
          <w:rPr>
            <w:rStyle w:val="Hyperlink"/>
            <w:rFonts w:hint="eastAsia"/>
            <w:b/>
            <w:bCs/>
            <w:rtl/>
          </w:rPr>
          <w:t>סעיף</w:t>
        </w:r>
        <w:r w:rsidR="00B03688" w:rsidRPr="00B03688">
          <w:rPr>
            <w:rStyle w:val="Hyperlink"/>
            <w:b/>
            <w:bCs/>
            <w:rtl/>
          </w:rPr>
          <w:t xml:space="preserve"> 37</w:t>
        </w:r>
      </w:hyperlink>
      <w:r>
        <w:rPr>
          <w:rFonts w:hint="cs"/>
          <w:b/>
          <w:bCs/>
          <w:rtl/>
        </w:rPr>
        <w:t xml:space="preserve"> א לפקודת הסמים, אני פוסלת את הנאשם מלקבל או מלהחזיק רישיון נהיגה לתקופה של 2    חודשים. הפסילה תימנה מיום שחרורו של הנאשם ועל הנאשם להמציא למזכירות ביהמ"ש אישור על שחרורו מהכלא והפקדת הרישיון. </w:t>
      </w:r>
    </w:p>
    <w:p w14:paraId="44DB3FCE" w14:textId="77777777" w:rsidR="00982283" w:rsidRDefault="00982283" w:rsidP="00982283">
      <w:pPr>
        <w:pStyle w:val="a9"/>
        <w:spacing w:line="360" w:lineRule="auto"/>
        <w:jc w:val="both"/>
        <w:rPr>
          <w:rFonts w:ascii="Arial" w:hAnsi="Arial"/>
          <w:b/>
          <w:bCs/>
        </w:rPr>
      </w:pPr>
    </w:p>
    <w:p w14:paraId="2A2BADCF" w14:textId="77777777" w:rsidR="00982283" w:rsidRDefault="00982283" w:rsidP="00982283">
      <w:pPr>
        <w:spacing w:line="360" w:lineRule="auto"/>
        <w:ind w:left="720"/>
        <w:jc w:val="both"/>
        <w:rPr>
          <w:rFonts w:ascii="Calibri" w:hAnsi="Calibri"/>
          <w:b/>
          <w:bCs/>
          <w:rtl/>
        </w:rPr>
      </w:pPr>
      <w:r>
        <w:rPr>
          <w:rFonts w:hint="cs"/>
          <w:b/>
          <w:bCs/>
          <w:rtl/>
        </w:rPr>
        <w:t xml:space="preserve">פסילה על תנאי לקבל או להחזיק רישיון נהיגה לתקופה של 4  חודשים </w:t>
      </w:r>
      <w:r>
        <w:rPr>
          <w:b/>
          <w:bCs/>
          <w:rtl/>
        </w:rPr>
        <w:t>הפסילה על תנאי תופעל אם תוך תקופה של 2 שנים מיום שחרורו יעבור הנאשם עבירת סמים מסוג פשע</w:t>
      </w:r>
      <w:r>
        <w:rPr>
          <w:rFonts w:hint="cs"/>
          <w:b/>
          <w:bCs/>
          <w:rtl/>
        </w:rPr>
        <w:t xml:space="preserve"> ויורשע בה</w:t>
      </w:r>
      <w:r>
        <w:rPr>
          <w:b/>
          <w:bCs/>
          <w:rtl/>
        </w:rPr>
        <w:t xml:space="preserve">. </w:t>
      </w:r>
    </w:p>
    <w:p w14:paraId="68B7AE38" w14:textId="77777777" w:rsidR="00982283" w:rsidRDefault="00982283" w:rsidP="00982283">
      <w:pPr>
        <w:spacing w:line="360" w:lineRule="auto"/>
        <w:ind w:left="720"/>
        <w:jc w:val="both"/>
        <w:rPr>
          <w:rFonts w:ascii="Calibri" w:hAnsi="Calibri"/>
          <w:b/>
          <w:bCs/>
          <w:rtl/>
        </w:rPr>
      </w:pPr>
    </w:p>
    <w:p w14:paraId="69A39A3E" w14:textId="77777777" w:rsidR="00982283" w:rsidRDefault="00982283" w:rsidP="00982283">
      <w:pPr>
        <w:spacing w:line="360" w:lineRule="auto"/>
        <w:ind w:left="720"/>
        <w:jc w:val="both"/>
        <w:rPr>
          <w:rFonts w:ascii="Calibri" w:hAnsi="Calibri"/>
          <w:b/>
          <w:bCs/>
          <w:rtl/>
        </w:rPr>
      </w:pPr>
      <w:r>
        <w:rPr>
          <w:rFonts w:ascii="Calibri" w:hAnsi="Calibri" w:hint="cs"/>
          <w:b/>
          <w:bCs/>
          <w:rtl/>
        </w:rPr>
        <w:t xml:space="preserve">ככל שיש פיקדון כספי בתיק המ"ת הוא יושב לנאשם באמצעות ב"כ ככל שאין כל מניעה אחרת על פי דין לאחר תום עיכוב ביצוע ריצוי העונש והפיקדון ישמש לצורך התייצבותו של הנאשם למאסר. </w:t>
      </w:r>
    </w:p>
    <w:p w14:paraId="44613F0C" w14:textId="77777777" w:rsidR="00982283" w:rsidRDefault="00982283" w:rsidP="00982283">
      <w:pPr>
        <w:pStyle w:val="a9"/>
        <w:spacing w:line="360" w:lineRule="auto"/>
        <w:jc w:val="both"/>
        <w:rPr>
          <w:rFonts w:ascii="Arial" w:hAnsi="Arial"/>
          <w:b/>
          <w:bCs/>
        </w:rPr>
      </w:pPr>
    </w:p>
    <w:p w14:paraId="61BC993B" w14:textId="77777777" w:rsidR="00982283" w:rsidRDefault="00982283" w:rsidP="00982283">
      <w:pPr>
        <w:pStyle w:val="a9"/>
        <w:spacing w:line="360" w:lineRule="auto"/>
        <w:jc w:val="both"/>
        <w:rPr>
          <w:rFonts w:ascii="Arial" w:hAnsi="Arial"/>
          <w:b/>
          <w:bCs/>
          <w:rtl/>
        </w:rPr>
      </w:pPr>
      <w:r>
        <w:rPr>
          <w:rFonts w:ascii="Arial" w:hAnsi="Arial" w:hint="cs"/>
          <w:b/>
          <w:bCs/>
          <w:rtl/>
        </w:rPr>
        <w:t xml:space="preserve">בחלוף תקופת הערעור, יושמדו הסמים ויחולט  והציוד הנלווה. </w:t>
      </w:r>
    </w:p>
    <w:p w14:paraId="1B4F5F87" w14:textId="77777777" w:rsidR="00982283" w:rsidRDefault="00982283" w:rsidP="00982283">
      <w:pPr>
        <w:pStyle w:val="a9"/>
        <w:spacing w:line="360" w:lineRule="auto"/>
        <w:jc w:val="both"/>
        <w:rPr>
          <w:rFonts w:ascii="Arial" w:hAnsi="Arial"/>
          <w:b/>
          <w:bCs/>
          <w:rtl/>
        </w:rPr>
      </w:pPr>
    </w:p>
    <w:p w14:paraId="4F107185" w14:textId="77777777" w:rsidR="00982283" w:rsidRDefault="00982283" w:rsidP="00982283">
      <w:pPr>
        <w:pStyle w:val="a9"/>
        <w:spacing w:line="360" w:lineRule="auto"/>
        <w:jc w:val="both"/>
        <w:rPr>
          <w:rFonts w:ascii="Arial" w:hAnsi="Arial"/>
          <w:b/>
          <w:bCs/>
          <w:u w:val="single"/>
        </w:rPr>
      </w:pPr>
      <w:r>
        <w:rPr>
          <w:rFonts w:ascii="Arial" w:hAnsi="Arial" w:hint="cs"/>
          <w:b/>
          <w:bCs/>
          <w:u w:val="single"/>
          <w:rtl/>
        </w:rPr>
        <w:t xml:space="preserve">זכות ערעור בתוך 45 יום לבית המשפט המחוזי. </w:t>
      </w:r>
    </w:p>
    <w:p w14:paraId="44DFCCFD" w14:textId="77777777" w:rsidR="00982283" w:rsidRDefault="00DC7114" w:rsidP="00982283">
      <w:pPr>
        <w:pStyle w:val="David"/>
        <w:rPr>
          <w:sz w:val="6"/>
          <w:szCs w:val="6"/>
          <w:rtl/>
        </w:rPr>
      </w:pPr>
      <w:r w:rsidRPr="00DC7114">
        <w:rPr>
          <w:color w:val="FFFFFF"/>
          <w:sz w:val="2"/>
          <w:szCs w:val="2"/>
          <w:rtl/>
        </w:rPr>
        <w:t>5129371</w:t>
      </w:r>
      <w:r w:rsidR="00982283">
        <w:rPr>
          <w:sz w:val="6"/>
          <w:szCs w:val="6"/>
          <w:rtl/>
        </w:rPr>
        <w:t>&lt;#4#&gt;</w:t>
      </w:r>
    </w:p>
    <w:p w14:paraId="58C7DF4C" w14:textId="77777777" w:rsidR="00982283" w:rsidRPr="00DC1B65" w:rsidRDefault="00DC7114" w:rsidP="00982283">
      <w:pPr>
        <w:rPr>
          <w:b/>
          <w:bCs/>
          <w:rtl/>
        </w:rPr>
      </w:pPr>
      <w:r w:rsidRPr="00DC7114">
        <w:rPr>
          <w:color w:val="FFFFFF"/>
          <w:sz w:val="2"/>
          <w:szCs w:val="2"/>
          <w:rtl/>
        </w:rPr>
        <w:t>54678313</w:t>
      </w:r>
      <w:r w:rsidR="00982283">
        <w:rPr>
          <w:rtl/>
        </w:rPr>
        <w:tab/>
      </w:r>
      <w:r w:rsidR="00982283" w:rsidRPr="00DC1B65">
        <w:rPr>
          <w:rFonts w:hint="cs"/>
          <w:b/>
          <w:bCs/>
          <w:rtl/>
        </w:rPr>
        <w:t xml:space="preserve">מזכירות בית המשפט תמציא למשרד הרישוי ולשירות המבחן. </w:t>
      </w:r>
    </w:p>
    <w:p w14:paraId="06CE5B34" w14:textId="77777777" w:rsidR="00982283" w:rsidRPr="00DC1B65" w:rsidRDefault="00982283" w:rsidP="00982283">
      <w:pPr>
        <w:spacing w:line="360" w:lineRule="auto"/>
        <w:ind w:left="720"/>
        <w:jc w:val="both"/>
        <w:rPr>
          <w:rFonts w:ascii="Arial" w:hAnsi="Arial"/>
          <w:b/>
          <w:bCs/>
          <w:rtl/>
        </w:rPr>
      </w:pPr>
    </w:p>
    <w:p w14:paraId="358D7F48" w14:textId="77777777" w:rsidR="00982283" w:rsidRPr="000F2247" w:rsidRDefault="00DC7114" w:rsidP="00982283">
      <w:pPr>
        <w:rPr>
          <w:rFonts w:ascii="Arial" w:hAnsi="Arial"/>
          <w:b/>
          <w:bCs/>
          <w:sz w:val="26"/>
          <w:szCs w:val="26"/>
          <w:rtl/>
        </w:rPr>
      </w:pPr>
      <w:bookmarkStart w:id="7" w:name="Nitan"/>
      <w:r>
        <w:rPr>
          <w:rFonts w:ascii="Arial" w:hAnsi="Arial"/>
          <w:b/>
          <w:bCs/>
          <w:sz w:val="26"/>
          <w:szCs w:val="26"/>
          <w:rtl/>
        </w:rPr>
        <w:t xml:space="preserve">ניתן היום,  ז' אדר תשפ"ג, 28 פברואר 2023, בנוכחות הצדדים. </w:t>
      </w:r>
      <w:bookmarkEnd w:id="7"/>
    </w:p>
    <w:p w14:paraId="1058B923" w14:textId="77777777" w:rsidR="00982283" w:rsidRPr="000F2247" w:rsidRDefault="00982283" w:rsidP="00DC711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C32E3C" w14:textId="77777777" w:rsidR="00982283" w:rsidRPr="000F2247" w:rsidRDefault="00982283" w:rsidP="00982283">
      <w:pPr>
        <w:jc w:val="center"/>
        <w:rPr>
          <w:rFonts w:ascii="Arial" w:hAnsi="Arial"/>
          <w:b/>
          <w:bCs/>
          <w:sz w:val="26"/>
          <w:szCs w:val="26"/>
          <w:rtl/>
        </w:rPr>
      </w:pPr>
    </w:p>
    <w:p w14:paraId="78D18850" w14:textId="77777777" w:rsidR="00546AC1" w:rsidRPr="00DC7114" w:rsidRDefault="00546AC1" w:rsidP="00DC7114">
      <w:pPr>
        <w:keepNext/>
        <w:rPr>
          <w:rFonts w:ascii="David" w:hAnsi="David"/>
          <w:color w:val="000000"/>
          <w:sz w:val="22"/>
          <w:szCs w:val="22"/>
          <w:rtl/>
        </w:rPr>
      </w:pPr>
    </w:p>
    <w:p w14:paraId="19676112" w14:textId="77777777" w:rsidR="00DC7114" w:rsidRPr="00DC7114" w:rsidRDefault="00DC7114" w:rsidP="00DC7114">
      <w:pPr>
        <w:keepNext/>
        <w:rPr>
          <w:rFonts w:ascii="David" w:hAnsi="David"/>
          <w:color w:val="000000"/>
          <w:sz w:val="22"/>
          <w:szCs w:val="22"/>
          <w:rtl/>
        </w:rPr>
      </w:pPr>
      <w:r w:rsidRPr="00DC7114">
        <w:rPr>
          <w:rFonts w:ascii="David" w:hAnsi="David"/>
          <w:color w:val="000000"/>
          <w:sz w:val="22"/>
          <w:szCs w:val="22"/>
          <w:rtl/>
        </w:rPr>
        <w:t>סימי פלג קימלוב 54678313</w:t>
      </w:r>
    </w:p>
    <w:p w14:paraId="2E03BAB2" w14:textId="77777777" w:rsidR="00DC7114" w:rsidRDefault="00DC7114" w:rsidP="00DC7114">
      <w:r w:rsidRPr="00DC7114">
        <w:rPr>
          <w:color w:val="000000"/>
          <w:rtl/>
        </w:rPr>
        <w:t>נוסח מסמך זה כפוף לשינויי ניסוח ועריכה</w:t>
      </w:r>
    </w:p>
    <w:p w14:paraId="601DF942" w14:textId="77777777" w:rsidR="00DC7114" w:rsidRDefault="00DC7114" w:rsidP="00DC7114">
      <w:pPr>
        <w:rPr>
          <w:rtl/>
        </w:rPr>
      </w:pPr>
    </w:p>
    <w:p w14:paraId="78F03476" w14:textId="77777777" w:rsidR="00DC7114" w:rsidRDefault="00DC7114" w:rsidP="00DC7114">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2198AC1" w14:textId="77777777" w:rsidR="00DC7114" w:rsidRPr="00DC7114" w:rsidRDefault="00DC7114" w:rsidP="00DC7114">
      <w:pPr>
        <w:jc w:val="center"/>
        <w:rPr>
          <w:color w:val="0000FF"/>
          <w:u w:val="single"/>
        </w:rPr>
      </w:pPr>
    </w:p>
    <w:sectPr w:rsidR="00DC7114" w:rsidRPr="00DC7114" w:rsidSect="00DC7114">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BB3DC" w14:textId="77777777" w:rsidR="004005ED" w:rsidRDefault="004005ED" w:rsidP="00EE589D">
      <w:r>
        <w:separator/>
      </w:r>
    </w:p>
  </w:endnote>
  <w:endnote w:type="continuationSeparator" w:id="0">
    <w:p w14:paraId="4331CF30" w14:textId="77777777" w:rsidR="004005ED" w:rsidRDefault="004005ED" w:rsidP="00EE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0EFF0" w14:textId="77777777" w:rsidR="00DC7114" w:rsidRDefault="00DC7114" w:rsidP="00DC71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B1A6E0" w14:textId="77777777" w:rsidR="00E94A3D" w:rsidRPr="00DC7114" w:rsidRDefault="00DC7114" w:rsidP="00DC71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43937" w14:textId="77777777" w:rsidR="00DC7114" w:rsidRDefault="00DC7114" w:rsidP="00DC71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572D">
      <w:rPr>
        <w:rFonts w:ascii="FrankRuehl" w:hAnsi="FrankRuehl" w:cs="FrankRuehl"/>
        <w:noProof/>
        <w:rtl/>
      </w:rPr>
      <w:t>1</w:t>
    </w:r>
    <w:r>
      <w:rPr>
        <w:rFonts w:ascii="FrankRuehl" w:hAnsi="FrankRuehl" w:cs="FrankRuehl"/>
        <w:rtl/>
      </w:rPr>
      <w:fldChar w:fldCharType="end"/>
    </w:r>
  </w:p>
  <w:p w14:paraId="0FE3CF72" w14:textId="77777777" w:rsidR="00E94A3D" w:rsidRPr="00DC7114" w:rsidRDefault="00DC7114" w:rsidP="00DC71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294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36624" w14:textId="77777777" w:rsidR="004005ED" w:rsidRDefault="004005ED" w:rsidP="00EE589D">
      <w:r>
        <w:separator/>
      </w:r>
    </w:p>
  </w:footnote>
  <w:footnote w:type="continuationSeparator" w:id="0">
    <w:p w14:paraId="0CE43C70" w14:textId="77777777" w:rsidR="004005ED" w:rsidRDefault="004005ED" w:rsidP="00EE5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71B89" w14:textId="77777777" w:rsidR="00DC7114" w:rsidRPr="00DC7114" w:rsidRDefault="00DC7114" w:rsidP="00DC71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29520-01-21</w:t>
    </w:r>
    <w:r>
      <w:rPr>
        <w:rFonts w:ascii="David" w:hAnsi="David"/>
        <w:color w:val="000000"/>
        <w:sz w:val="22"/>
        <w:szCs w:val="22"/>
        <w:rtl/>
      </w:rPr>
      <w:tab/>
      <w:t xml:space="preserve"> מדינת ישראל נ' אבי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38B4" w14:textId="77777777" w:rsidR="00DC7114" w:rsidRPr="00DC7114" w:rsidRDefault="00DC7114" w:rsidP="00DC71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29520-01-21</w:t>
    </w:r>
    <w:r>
      <w:rPr>
        <w:rFonts w:ascii="David" w:hAnsi="David"/>
        <w:color w:val="000000"/>
        <w:sz w:val="22"/>
        <w:szCs w:val="22"/>
        <w:rtl/>
      </w:rPr>
      <w:tab/>
      <w:t xml:space="preserve"> מדינת ישראל נ' אבי אלקיים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32B8E"/>
    <w:multiLevelType w:val="hybridMultilevel"/>
    <w:tmpl w:val="694AC546"/>
    <w:lvl w:ilvl="0" w:tplc="E52A2ED6">
      <w:start w:val="2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1565C3"/>
    <w:multiLevelType w:val="hybridMultilevel"/>
    <w:tmpl w:val="68FC25A4"/>
    <w:lvl w:ilvl="0" w:tplc="9754160E">
      <w:start w:val="18"/>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3D4D46"/>
    <w:multiLevelType w:val="hybridMultilevel"/>
    <w:tmpl w:val="767C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7F57"/>
    <w:multiLevelType w:val="hybridMultilevel"/>
    <w:tmpl w:val="73526E26"/>
    <w:lvl w:ilvl="0" w:tplc="4D006E28">
      <w:start w:val="1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3376810">
    <w:abstractNumId w:val="2"/>
  </w:num>
  <w:num w:numId="2" w16cid:durableId="32923379">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8716019">
    <w:abstractNumId w:val="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613720">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2283"/>
    <w:rsid w:val="000D51BA"/>
    <w:rsid w:val="001B5A3B"/>
    <w:rsid w:val="002A1174"/>
    <w:rsid w:val="002F5D37"/>
    <w:rsid w:val="004005ED"/>
    <w:rsid w:val="00546AC1"/>
    <w:rsid w:val="00557D5E"/>
    <w:rsid w:val="00615DD7"/>
    <w:rsid w:val="00982283"/>
    <w:rsid w:val="00AD572D"/>
    <w:rsid w:val="00B03688"/>
    <w:rsid w:val="00D609E6"/>
    <w:rsid w:val="00DC7114"/>
    <w:rsid w:val="00E94A3D"/>
    <w:rsid w:val="00EE589D"/>
    <w:rsid w:val="00F305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64D104"/>
  <w15:chartTrackingRefBased/>
  <w15:docId w15:val="{EF26B385-4733-4AF0-BA26-08C43B2F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22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2283"/>
    <w:pPr>
      <w:tabs>
        <w:tab w:val="center" w:pos="4153"/>
        <w:tab w:val="right" w:pos="8306"/>
      </w:tabs>
    </w:pPr>
  </w:style>
  <w:style w:type="character" w:customStyle="1" w:styleId="a4">
    <w:name w:val="כותרת עליונה תו"/>
    <w:link w:val="a3"/>
    <w:rsid w:val="00982283"/>
    <w:rPr>
      <w:rFonts w:ascii="Times New Roman" w:eastAsia="Times New Roman" w:hAnsi="Times New Roman" w:cs="David"/>
      <w:sz w:val="24"/>
      <w:szCs w:val="24"/>
    </w:rPr>
  </w:style>
  <w:style w:type="paragraph" w:styleId="a5">
    <w:name w:val="footer"/>
    <w:basedOn w:val="a"/>
    <w:link w:val="a6"/>
    <w:rsid w:val="00982283"/>
    <w:pPr>
      <w:tabs>
        <w:tab w:val="center" w:pos="4153"/>
        <w:tab w:val="right" w:pos="8306"/>
      </w:tabs>
    </w:pPr>
  </w:style>
  <w:style w:type="character" w:customStyle="1" w:styleId="a6">
    <w:name w:val="כותרת תחתונה תו"/>
    <w:link w:val="a5"/>
    <w:rsid w:val="00982283"/>
    <w:rPr>
      <w:rFonts w:ascii="Times New Roman" w:eastAsia="Times New Roman" w:hAnsi="Times New Roman" w:cs="David"/>
      <w:sz w:val="24"/>
      <w:szCs w:val="24"/>
    </w:rPr>
  </w:style>
  <w:style w:type="table" w:styleId="a7">
    <w:name w:val="Table Grid"/>
    <w:basedOn w:val="a1"/>
    <w:rsid w:val="009822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2283"/>
  </w:style>
  <w:style w:type="paragraph" w:styleId="a9">
    <w:name w:val="List Paragraph"/>
    <w:basedOn w:val="a"/>
    <w:link w:val="aa"/>
    <w:qFormat/>
    <w:rsid w:val="00982283"/>
    <w:pPr>
      <w:ind w:left="720"/>
      <w:contextualSpacing/>
    </w:pPr>
  </w:style>
  <w:style w:type="character" w:styleId="Hyperlink">
    <w:name w:val="Hyperlink"/>
    <w:rsid w:val="00982283"/>
    <w:rPr>
      <w:color w:val="0000FF"/>
      <w:u w:val="single"/>
    </w:rPr>
  </w:style>
  <w:style w:type="character" w:customStyle="1" w:styleId="aa">
    <w:name w:val="פיסקת רשימה תו"/>
    <w:link w:val="a9"/>
    <w:locked/>
    <w:rsid w:val="00982283"/>
    <w:rPr>
      <w:rFonts w:ascii="Times New Roman" w:eastAsia="Times New Roman" w:hAnsi="Times New Roman" w:cs="David"/>
      <w:sz w:val="24"/>
      <w:szCs w:val="24"/>
    </w:rPr>
  </w:style>
  <w:style w:type="paragraph" w:customStyle="1" w:styleId="1">
    <w:name w:val="פיסקת רשימה1"/>
    <w:basedOn w:val="a"/>
    <w:rsid w:val="00982283"/>
    <w:pPr>
      <w:ind w:left="720"/>
      <w:contextualSpacing/>
    </w:pPr>
    <w:rPr>
      <w:rFonts w:cs="Times New Roman"/>
    </w:rPr>
  </w:style>
  <w:style w:type="paragraph" w:customStyle="1" w:styleId="David">
    <w:name w:val="סגנון (עברית ושפות אחרות) David מיושר לשני הצדדים מרווח בין שורות..."/>
    <w:basedOn w:val="a"/>
    <w:rsid w:val="00982283"/>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17939812" TargetMode="External"/><Relationship Id="rId39" Type="http://schemas.openxmlformats.org/officeDocument/2006/relationships/hyperlink" Target="http://www.nevo.co.il/case/2296187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199206" TargetMode="External"/><Relationship Id="rId42" Type="http://schemas.openxmlformats.org/officeDocument/2006/relationships/hyperlink" Target="http://www.nevo.co.il/case/20111708"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681787"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5786821" TargetMode="External"/><Relationship Id="rId32" Type="http://schemas.openxmlformats.org/officeDocument/2006/relationships/hyperlink" Target="http://www.nevo.co.il/case/5731123" TargetMode="External"/><Relationship Id="rId37" Type="http://schemas.openxmlformats.org/officeDocument/2006/relationships/hyperlink" Target="http://www.nevo.co.il/case/23778567" TargetMode="External"/><Relationship Id="rId40" Type="http://schemas.openxmlformats.org/officeDocument/2006/relationships/hyperlink" Target="http://www.nevo.co.il/case/22684144" TargetMode="External"/><Relationship Id="rId45" Type="http://schemas.openxmlformats.org/officeDocument/2006/relationships/hyperlink" Target="http://www.nevo.co.il/case/485572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70301/400" TargetMode="External"/><Relationship Id="rId31" Type="http://schemas.openxmlformats.org/officeDocument/2006/relationships/hyperlink" Target="http://www.nevo.co.il/case/28190928" TargetMode="External"/><Relationship Id="rId44" Type="http://schemas.openxmlformats.org/officeDocument/2006/relationships/hyperlink" Target="http://www.nevo.co.il/case/2015909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18119161"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13070717" TargetMode="External"/><Relationship Id="rId43" Type="http://schemas.openxmlformats.org/officeDocument/2006/relationships/hyperlink" Target="http://www.nevo.co.il/case/18119161"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37"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6045416" TargetMode="External"/><Relationship Id="rId33" Type="http://schemas.openxmlformats.org/officeDocument/2006/relationships/hyperlink" Target="http://www.nevo.co.il/case/8291661" TargetMode="External"/><Relationship Id="rId38" Type="http://schemas.openxmlformats.org/officeDocument/2006/relationships/hyperlink" Target="http://www.nevo.co.il/case/22087107" TargetMode="External"/><Relationship Id="rId46" Type="http://schemas.openxmlformats.org/officeDocument/2006/relationships/hyperlink" Target="http://www.nevo.co.il/law/4216/3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296187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6316101" TargetMode="External"/><Relationship Id="rId36" Type="http://schemas.openxmlformats.org/officeDocument/2006/relationships/hyperlink" Target="http://www.nevo.co.il/case/477318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3729</Words>
  <Characters>18646</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22331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5046346</vt:i4>
      </vt:variant>
      <vt:variant>
        <vt:i4>117</vt:i4>
      </vt:variant>
      <vt:variant>
        <vt:i4>0</vt:i4>
      </vt:variant>
      <vt:variant>
        <vt:i4>5</vt:i4>
      </vt:variant>
      <vt:variant>
        <vt:lpwstr>http://www.nevo.co.il/law/4216/37</vt:lpwstr>
      </vt:variant>
      <vt:variant>
        <vt:lpwstr/>
      </vt:variant>
      <vt:variant>
        <vt:i4>3604603</vt:i4>
      </vt:variant>
      <vt:variant>
        <vt:i4>114</vt:i4>
      </vt:variant>
      <vt:variant>
        <vt:i4>0</vt:i4>
      </vt:variant>
      <vt:variant>
        <vt:i4>5</vt:i4>
      </vt:variant>
      <vt:variant>
        <vt:lpwstr>http://www.nevo.co.il/case/4855721</vt:lpwstr>
      </vt:variant>
      <vt:variant>
        <vt:lpwstr/>
      </vt:variant>
      <vt:variant>
        <vt:i4>3342449</vt:i4>
      </vt:variant>
      <vt:variant>
        <vt:i4>111</vt:i4>
      </vt:variant>
      <vt:variant>
        <vt:i4>0</vt:i4>
      </vt:variant>
      <vt:variant>
        <vt:i4>5</vt:i4>
      </vt:variant>
      <vt:variant>
        <vt:lpwstr>http://www.nevo.co.il/case/20159091</vt:lpwstr>
      </vt:variant>
      <vt:variant>
        <vt:lpwstr/>
      </vt:variant>
      <vt:variant>
        <vt:i4>4128892</vt:i4>
      </vt:variant>
      <vt:variant>
        <vt:i4>108</vt:i4>
      </vt:variant>
      <vt:variant>
        <vt:i4>0</vt:i4>
      </vt:variant>
      <vt:variant>
        <vt:i4>5</vt:i4>
      </vt:variant>
      <vt:variant>
        <vt:lpwstr>http://www.nevo.co.il/case/18119161</vt:lpwstr>
      </vt:variant>
      <vt:variant>
        <vt:lpwstr/>
      </vt:variant>
      <vt:variant>
        <vt:i4>3276914</vt:i4>
      </vt:variant>
      <vt:variant>
        <vt:i4>105</vt:i4>
      </vt:variant>
      <vt:variant>
        <vt:i4>0</vt:i4>
      </vt:variant>
      <vt:variant>
        <vt:i4>5</vt:i4>
      </vt:variant>
      <vt:variant>
        <vt:lpwstr>http://www.nevo.co.il/case/20111708</vt:lpwstr>
      </vt:variant>
      <vt:variant>
        <vt:lpwstr/>
      </vt:variant>
      <vt:variant>
        <vt:i4>3997816</vt:i4>
      </vt:variant>
      <vt:variant>
        <vt:i4>102</vt:i4>
      </vt:variant>
      <vt:variant>
        <vt:i4>0</vt:i4>
      </vt:variant>
      <vt:variant>
        <vt:i4>5</vt:i4>
      </vt:variant>
      <vt:variant>
        <vt:lpwstr>http://www.nevo.co.il/case/22961877</vt:lpwstr>
      </vt:variant>
      <vt:variant>
        <vt:lpwstr/>
      </vt:variant>
      <vt:variant>
        <vt:i4>3407999</vt:i4>
      </vt:variant>
      <vt:variant>
        <vt:i4>99</vt:i4>
      </vt:variant>
      <vt:variant>
        <vt:i4>0</vt:i4>
      </vt:variant>
      <vt:variant>
        <vt:i4>5</vt:i4>
      </vt:variant>
      <vt:variant>
        <vt:lpwstr>http://www.nevo.co.il/case/22684144</vt:lpwstr>
      </vt:variant>
      <vt:variant>
        <vt:lpwstr/>
      </vt:variant>
      <vt:variant>
        <vt:i4>3997816</vt:i4>
      </vt:variant>
      <vt:variant>
        <vt:i4>96</vt:i4>
      </vt:variant>
      <vt:variant>
        <vt:i4>0</vt:i4>
      </vt:variant>
      <vt:variant>
        <vt:i4>5</vt:i4>
      </vt:variant>
      <vt:variant>
        <vt:lpwstr>http://www.nevo.co.il/case/22961877</vt:lpwstr>
      </vt:variant>
      <vt:variant>
        <vt:lpwstr/>
      </vt:variant>
      <vt:variant>
        <vt:i4>3473535</vt:i4>
      </vt:variant>
      <vt:variant>
        <vt:i4>93</vt:i4>
      </vt:variant>
      <vt:variant>
        <vt:i4>0</vt:i4>
      </vt:variant>
      <vt:variant>
        <vt:i4>5</vt:i4>
      </vt:variant>
      <vt:variant>
        <vt:lpwstr>http://www.nevo.co.il/case/22087107</vt:lpwstr>
      </vt:variant>
      <vt:variant>
        <vt:lpwstr/>
      </vt:variant>
      <vt:variant>
        <vt:i4>3866741</vt:i4>
      </vt:variant>
      <vt:variant>
        <vt:i4>90</vt:i4>
      </vt:variant>
      <vt:variant>
        <vt:i4>0</vt:i4>
      </vt:variant>
      <vt:variant>
        <vt:i4>5</vt:i4>
      </vt:variant>
      <vt:variant>
        <vt:lpwstr>http://www.nevo.co.il/case/23778567</vt:lpwstr>
      </vt:variant>
      <vt:variant>
        <vt:lpwstr/>
      </vt:variant>
      <vt:variant>
        <vt:i4>3866744</vt:i4>
      </vt:variant>
      <vt:variant>
        <vt:i4>87</vt:i4>
      </vt:variant>
      <vt:variant>
        <vt:i4>0</vt:i4>
      </vt:variant>
      <vt:variant>
        <vt:i4>5</vt:i4>
      </vt:variant>
      <vt:variant>
        <vt:lpwstr>http://www.nevo.co.il/case/4773189</vt:lpwstr>
      </vt:variant>
      <vt:variant>
        <vt:lpwstr/>
      </vt:variant>
      <vt:variant>
        <vt:i4>3145847</vt:i4>
      </vt:variant>
      <vt:variant>
        <vt:i4>84</vt:i4>
      </vt:variant>
      <vt:variant>
        <vt:i4>0</vt:i4>
      </vt:variant>
      <vt:variant>
        <vt:i4>5</vt:i4>
      </vt:variant>
      <vt:variant>
        <vt:lpwstr>http://www.nevo.co.il/case/13070717</vt:lpwstr>
      </vt:variant>
      <vt:variant>
        <vt:lpwstr/>
      </vt:variant>
      <vt:variant>
        <vt:i4>3801213</vt:i4>
      </vt:variant>
      <vt:variant>
        <vt:i4>81</vt:i4>
      </vt:variant>
      <vt:variant>
        <vt:i4>0</vt:i4>
      </vt:variant>
      <vt:variant>
        <vt:i4>5</vt:i4>
      </vt:variant>
      <vt:variant>
        <vt:lpwstr>http://www.nevo.co.il/case/22199206</vt:lpwstr>
      </vt:variant>
      <vt:variant>
        <vt:lpwstr/>
      </vt:variant>
      <vt:variant>
        <vt:i4>3539057</vt:i4>
      </vt:variant>
      <vt:variant>
        <vt:i4>78</vt:i4>
      </vt:variant>
      <vt:variant>
        <vt:i4>0</vt:i4>
      </vt:variant>
      <vt:variant>
        <vt:i4>5</vt:i4>
      </vt:variant>
      <vt:variant>
        <vt:lpwstr>http://www.nevo.co.il/case/8291661</vt:lpwstr>
      </vt:variant>
      <vt:variant>
        <vt:lpwstr/>
      </vt:variant>
      <vt:variant>
        <vt:i4>3407984</vt:i4>
      </vt:variant>
      <vt:variant>
        <vt:i4>75</vt:i4>
      </vt:variant>
      <vt:variant>
        <vt:i4>0</vt:i4>
      </vt:variant>
      <vt:variant>
        <vt:i4>5</vt:i4>
      </vt:variant>
      <vt:variant>
        <vt:lpwstr>http://www.nevo.co.il/case/5731123</vt:lpwstr>
      </vt:variant>
      <vt:variant>
        <vt:lpwstr/>
      </vt:variant>
      <vt:variant>
        <vt:i4>3211388</vt:i4>
      </vt:variant>
      <vt:variant>
        <vt:i4>72</vt:i4>
      </vt:variant>
      <vt:variant>
        <vt:i4>0</vt:i4>
      </vt:variant>
      <vt:variant>
        <vt:i4>5</vt:i4>
      </vt:variant>
      <vt:variant>
        <vt:lpwstr>http://www.nevo.co.il/case/28190928</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3997819</vt:i4>
      </vt:variant>
      <vt:variant>
        <vt:i4>66</vt:i4>
      </vt:variant>
      <vt:variant>
        <vt:i4>0</vt:i4>
      </vt:variant>
      <vt:variant>
        <vt:i4>5</vt:i4>
      </vt:variant>
      <vt:variant>
        <vt:lpwstr>http://www.nevo.co.il/case/5681787</vt:lpwstr>
      </vt:variant>
      <vt:variant>
        <vt:lpwstr/>
      </vt:variant>
      <vt:variant>
        <vt:i4>3604594</vt:i4>
      </vt:variant>
      <vt:variant>
        <vt:i4>63</vt:i4>
      </vt:variant>
      <vt:variant>
        <vt:i4>0</vt:i4>
      </vt:variant>
      <vt:variant>
        <vt:i4>5</vt:i4>
      </vt:variant>
      <vt:variant>
        <vt:lpwstr>http://www.nevo.co.il/case/26316101</vt:lpwstr>
      </vt:variant>
      <vt:variant>
        <vt:lpwstr/>
      </vt:variant>
      <vt:variant>
        <vt:i4>4128892</vt:i4>
      </vt:variant>
      <vt:variant>
        <vt:i4>60</vt:i4>
      </vt:variant>
      <vt:variant>
        <vt:i4>0</vt:i4>
      </vt:variant>
      <vt:variant>
        <vt:i4>5</vt:i4>
      </vt:variant>
      <vt:variant>
        <vt:lpwstr>http://www.nevo.co.il/case/18119161</vt:lpwstr>
      </vt:variant>
      <vt:variant>
        <vt:lpwstr/>
      </vt:variant>
      <vt:variant>
        <vt:i4>3145848</vt:i4>
      </vt:variant>
      <vt:variant>
        <vt:i4>57</vt:i4>
      </vt:variant>
      <vt:variant>
        <vt:i4>0</vt:i4>
      </vt:variant>
      <vt:variant>
        <vt:i4>5</vt:i4>
      </vt:variant>
      <vt:variant>
        <vt:lpwstr>http://www.nevo.co.il/case/17939812</vt:lpwstr>
      </vt:variant>
      <vt:variant>
        <vt:lpwstr/>
      </vt:variant>
      <vt:variant>
        <vt:i4>3145840</vt:i4>
      </vt:variant>
      <vt:variant>
        <vt:i4>54</vt:i4>
      </vt:variant>
      <vt:variant>
        <vt:i4>0</vt:i4>
      </vt:variant>
      <vt:variant>
        <vt:i4>5</vt:i4>
      </vt:variant>
      <vt:variant>
        <vt:lpwstr>http://www.nevo.co.il/case/6045416</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5046346</vt:i4>
      </vt:variant>
      <vt:variant>
        <vt:i4>15</vt:i4>
      </vt:variant>
      <vt:variant>
        <vt:i4>0</vt:i4>
      </vt:variant>
      <vt:variant>
        <vt:i4>5</vt:i4>
      </vt:variant>
      <vt:variant>
        <vt:lpwstr>http://www.nevo.co.il/law/4216/37</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29520</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אבי אלקיים</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20230228</vt:lpwstr>
  </property>
  <property fmtid="{D5CDD505-2E9C-101B-9397-08002B2CF9AE}" pid="13" name="TYPE_N_DATE">
    <vt:lpwstr>38020230228</vt:lpwstr>
  </property>
  <property fmtid="{D5CDD505-2E9C-101B-9397-08002B2CF9AE}" pid="14" name="WORDNUMPAGES">
    <vt:lpwstr>11</vt:lpwstr>
  </property>
  <property fmtid="{D5CDD505-2E9C-101B-9397-08002B2CF9AE}" pid="15" name="TYPE_ABS_DATE">
    <vt:lpwstr>380020230228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13093721;5738608;5786821;6045416;17939812;18119161:2;26316101;5681787;23827604;28190928;5731123;8291661;22199206;13070717;4773189;23778567;22087107;22961877:2;22684144;20111708;20159091;4855721</vt:lpwstr>
  </property>
  <property fmtid="{D5CDD505-2E9C-101B-9397-08002B2CF9AE}" pid="36" name="LAWLISTTMP1">
    <vt:lpwstr>4216/006;007.a;007.c;010;037</vt:lpwstr>
  </property>
  <property fmtid="{D5CDD505-2E9C-101B-9397-08002B2CF9AE}" pid="37" name="LAWLISTTMP2">
    <vt:lpwstr>70301/400</vt:lpwstr>
  </property>
</Properties>
</file>