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6F4AF8" w:rsidRPr="00537B7F" w14:paraId="121FCD16" w14:textId="77777777" w:rsidTr="00537B7F">
        <w:trPr>
          <w:trHeight w:hRule="exact" w:val="418"/>
          <w:jc w:val="center"/>
        </w:trPr>
        <w:tc>
          <w:tcPr>
            <w:tcW w:w="8721" w:type="dxa"/>
            <w:gridSpan w:val="2"/>
          </w:tcPr>
          <w:p w14:paraId="453EB7D9" w14:textId="77777777" w:rsidR="006F4AF8" w:rsidRPr="00537B7F" w:rsidRDefault="006F4AF8" w:rsidP="000D3E9F">
            <w:pPr>
              <w:pStyle w:val="a3"/>
              <w:jc w:val="center"/>
              <w:rPr>
                <w:rFonts w:ascii="Tahoma" w:hAnsi="Tahoma"/>
                <w:color w:val="000080"/>
                <w:rtl/>
              </w:rPr>
            </w:pPr>
            <w:r w:rsidRPr="00537B7F">
              <w:rPr>
                <w:rFonts w:ascii="Tahoma" w:hAnsi="Tahoma"/>
                <w:b/>
                <w:bCs/>
                <w:color w:val="000080"/>
                <w:rtl/>
              </w:rPr>
              <w:t>בית משפט השלום בבאר שבע</w:t>
            </w:r>
          </w:p>
        </w:tc>
      </w:tr>
      <w:tr w:rsidR="006F4AF8" w:rsidRPr="00537B7F" w14:paraId="618A39E5" w14:textId="77777777" w:rsidTr="00537B7F">
        <w:trPr>
          <w:trHeight w:val="337"/>
          <w:jc w:val="center"/>
        </w:trPr>
        <w:tc>
          <w:tcPr>
            <w:tcW w:w="5060" w:type="dxa"/>
          </w:tcPr>
          <w:p w14:paraId="690B82E1" w14:textId="77777777" w:rsidR="006F4AF8" w:rsidRPr="00537B7F" w:rsidRDefault="006F4AF8" w:rsidP="000D3E9F">
            <w:pPr>
              <w:rPr>
                <w:rFonts w:ascii="David" w:hAnsi="David"/>
                <w:b/>
                <w:bCs/>
                <w:sz w:val="26"/>
                <w:szCs w:val="26"/>
                <w:rtl/>
              </w:rPr>
            </w:pPr>
            <w:r w:rsidRPr="00537B7F">
              <w:rPr>
                <w:rFonts w:ascii="David" w:hAnsi="David"/>
                <w:b/>
                <w:bCs/>
                <w:sz w:val="26"/>
                <w:szCs w:val="26"/>
                <w:rtl/>
              </w:rPr>
              <w:t xml:space="preserve">ת"פ </w:t>
            </w:r>
            <w:hyperlink r:id="rId7" w:history="1">
              <w:r w:rsidR="00DB6A0A" w:rsidRPr="00DB6A0A">
                <w:rPr>
                  <w:rFonts w:ascii="David" w:hAnsi="David"/>
                  <w:b/>
                  <w:bCs/>
                  <w:color w:val="0000FF"/>
                  <w:sz w:val="26"/>
                  <w:szCs w:val="26"/>
                  <w:u w:val="single"/>
                  <w:rtl/>
                </w:rPr>
                <w:t xml:space="preserve">32494-01-21 </w:t>
              </w:r>
            </w:hyperlink>
            <w:r w:rsidRPr="00537B7F">
              <w:rPr>
                <w:rFonts w:ascii="David" w:hAnsi="David"/>
                <w:b/>
                <w:bCs/>
                <w:sz w:val="26"/>
                <w:szCs w:val="26"/>
                <w:rtl/>
              </w:rPr>
              <w:t xml:space="preserve"> מדינת ישראל נ' עדיסאן(עציר)</w:t>
            </w:r>
          </w:p>
        </w:tc>
        <w:tc>
          <w:tcPr>
            <w:tcW w:w="3661" w:type="dxa"/>
          </w:tcPr>
          <w:p w14:paraId="79A8F349" w14:textId="77777777" w:rsidR="006F4AF8" w:rsidRPr="00537B7F" w:rsidRDefault="006F4AF8" w:rsidP="000D3E9F">
            <w:pPr>
              <w:pStyle w:val="a3"/>
              <w:jc w:val="right"/>
              <w:rPr>
                <w:sz w:val="28"/>
                <w:szCs w:val="28"/>
                <w:rtl/>
              </w:rPr>
            </w:pPr>
          </w:p>
        </w:tc>
      </w:tr>
    </w:tbl>
    <w:p w14:paraId="0EDBE222" w14:textId="77777777" w:rsidR="006F4AF8" w:rsidRPr="00537B7F" w:rsidRDefault="006F4AF8" w:rsidP="006F4AF8">
      <w:pPr>
        <w:pStyle w:val="a3"/>
        <w:rPr>
          <w:rtl/>
        </w:rPr>
      </w:pPr>
      <w:r w:rsidRPr="00537B7F">
        <w:rPr>
          <w:rFonts w:hint="cs"/>
          <w:rtl/>
        </w:rPr>
        <w:t xml:space="preserve"> </w:t>
      </w:r>
    </w:p>
    <w:p w14:paraId="247EE0F5" w14:textId="77777777" w:rsidR="006F4AF8" w:rsidRPr="00537B7F" w:rsidRDefault="006F4AF8" w:rsidP="006F4AF8">
      <w:pPr>
        <w:rPr>
          <w:sz w:val="26"/>
          <w:szCs w:val="26"/>
          <w:rtl/>
        </w:rPr>
      </w:pPr>
    </w:p>
    <w:p w14:paraId="3288F018" w14:textId="77777777" w:rsidR="006F4AF8" w:rsidRPr="00537B7F" w:rsidRDefault="006F4AF8" w:rsidP="006F4AF8">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F4AF8" w:rsidRPr="00537B7F" w14:paraId="6DD2EFE8" w14:textId="77777777" w:rsidTr="006F4AF8">
        <w:trPr>
          <w:trHeight w:val="295"/>
          <w:jc w:val="center"/>
        </w:trPr>
        <w:tc>
          <w:tcPr>
            <w:tcW w:w="923" w:type="dxa"/>
            <w:tcBorders>
              <w:top w:val="nil"/>
              <w:left w:val="nil"/>
              <w:bottom w:val="nil"/>
              <w:right w:val="nil"/>
            </w:tcBorders>
            <w:shd w:val="clear" w:color="auto" w:fill="auto"/>
          </w:tcPr>
          <w:p w14:paraId="4A6FA16F" w14:textId="77777777" w:rsidR="006F4AF8" w:rsidRPr="00537B7F" w:rsidRDefault="006F4AF8" w:rsidP="006F4AF8">
            <w:pPr>
              <w:jc w:val="both"/>
              <w:rPr>
                <w:rFonts w:ascii="David" w:hAnsi="David"/>
                <w:b/>
                <w:bCs/>
                <w:sz w:val="26"/>
                <w:szCs w:val="26"/>
              </w:rPr>
            </w:pPr>
            <w:r w:rsidRPr="00537B7F">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790FB90" w14:textId="77777777" w:rsidR="006F4AF8" w:rsidRPr="00537B7F" w:rsidRDefault="006F4AF8" w:rsidP="000D3E9F">
            <w:pPr>
              <w:rPr>
                <w:rFonts w:ascii="David" w:hAnsi="David"/>
                <w:b/>
                <w:bCs/>
                <w:sz w:val="26"/>
                <w:szCs w:val="26"/>
                <w:rtl/>
              </w:rPr>
            </w:pPr>
            <w:r w:rsidRPr="00537B7F">
              <w:rPr>
                <w:rFonts w:ascii="David" w:hAnsi="David"/>
                <w:b/>
                <w:bCs/>
                <w:sz w:val="26"/>
                <w:szCs w:val="26"/>
                <w:rtl/>
              </w:rPr>
              <w:t>כבוד השופטת, סגנית הנשיא  ענת חולתא</w:t>
            </w:r>
          </w:p>
          <w:p w14:paraId="500F8DCA" w14:textId="77777777" w:rsidR="006F4AF8" w:rsidRPr="00537B7F" w:rsidRDefault="006F4AF8" w:rsidP="000D3E9F">
            <w:pPr>
              <w:rPr>
                <w:rFonts w:ascii="David" w:hAnsi="David"/>
                <w:b/>
                <w:bCs/>
                <w:sz w:val="26"/>
                <w:szCs w:val="26"/>
                <w:rtl/>
              </w:rPr>
            </w:pPr>
          </w:p>
          <w:p w14:paraId="7FBF6D59" w14:textId="77777777" w:rsidR="006F4AF8" w:rsidRPr="00537B7F" w:rsidRDefault="006F4AF8" w:rsidP="006F4AF8">
            <w:pPr>
              <w:jc w:val="both"/>
              <w:rPr>
                <w:rFonts w:ascii="David" w:hAnsi="David"/>
                <w:b/>
                <w:bCs/>
                <w:sz w:val="26"/>
                <w:szCs w:val="26"/>
              </w:rPr>
            </w:pPr>
          </w:p>
        </w:tc>
      </w:tr>
      <w:tr w:rsidR="006F4AF8" w:rsidRPr="00537B7F" w14:paraId="44F49B48" w14:textId="77777777" w:rsidTr="006F4AF8">
        <w:trPr>
          <w:trHeight w:val="355"/>
          <w:jc w:val="center"/>
        </w:trPr>
        <w:tc>
          <w:tcPr>
            <w:tcW w:w="923" w:type="dxa"/>
            <w:tcBorders>
              <w:top w:val="nil"/>
              <w:left w:val="nil"/>
              <w:bottom w:val="nil"/>
              <w:right w:val="nil"/>
            </w:tcBorders>
            <w:shd w:val="clear" w:color="auto" w:fill="auto"/>
          </w:tcPr>
          <w:p w14:paraId="504A8BCB" w14:textId="77777777" w:rsidR="006F4AF8" w:rsidRPr="00537B7F" w:rsidRDefault="006F4AF8" w:rsidP="006F4AF8">
            <w:pPr>
              <w:jc w:val="both"/>
              <w:rPr>
                <w:rFonts w:ascii="David" w:hAnsi="David"/>
                <w:b/>
                <w:bCs/>
                <w:sz w:val="26"/>
                <w:szCs w:val="26"/>
              </w:rPr>
            </w:pPr>
            <w:bookmarkStart w:id="0" w:name="FirstAppellant"/>
            <w:bookmarkStart w:id="1" w:name="LastJudge"/>
            <w:bookmarkEnd w:id="1"/>
            <w:r w:rsidRPr="00537B7F">
              <w:rPr>
                <w:rFonts w:ascii="David" w:hAnsi="David"/>
                <w:b/>
                <w:bCs/>
                <w:sz w:val="26"/>
                <w:szCs w:val="26"/>
                <w:rtl/>
              </w:rPr>
              <w:t>בעניין:</w:t>
            </w:r>
          </w:p>
        </w:tc>
        <w:tc>
          <w:tcPr>
            <w:tcW w:w="4126" w:type="dxa"/>
            <w:tcBorders>
              <w:top w:val="nil"/>
              <w:left w:val="nil"/>
              <w:bottom w:val="nil"/>
              <w:right w:val="nil"/>
            </w:tcBorders>
            <w:shd w:val="clear" w:color="auto" w:fill="auto"/>
          </w:tcPr>
          <w:p w14:paraId="56E1D5F8" w14:textId="77777777" w:rsidR="006F4AF8" w:rsidRPr="00537B7F" w:rsidRDefault="006F4AF8" w:rsidP="000D3E9F">
            <w:pPr>
              <w:rPr>
                <w:rFonts w:ascii="David" w:hAnsi="David"/>
                <w:b/>
                <w:bCs/>
                <w:sz w:val="26"/>
                <w:szCs w:val="26"/>
              </w:rPr>
            </w:pPr>
            <w:r w:rsidRPr="00537B7F">
              <w:rPr>
                <w:rFonts w:ascii="David" w:hAnsi="David"/>
                <w:b/>
                <w:bCs/>
                <w:sz w:val="26"/>
                <w:szCs w:val="26"/>
                <w:rtl/>
              </w:rPr>
              <w:t>מדינת ישראל</w:t>
            </w:r>
            <w:r w:rsidRPr="00537B7F">
              <w:rPr>
                <w:rFonts w:ascii="David" w:hAnsi="David" w:hint="cs"/>
                <w:b/>
                <w:bCs/>
                <w:sz w:val="26"/>
                <w:szCs w:val="26"/>
                <w:rtl/>
              </w:rPr>
              <w:t>-תביעות נגב</w:t>
            </w:r>
          </w:p>
        </w:tc>
        <w:tc>
          <w:tcPr>
            <w:tcW w:w="3771" w:type="dxa"/>
            <w:tcBorders>
              <w:top w:val="nil"/>
              <w:left w:val="nil"/>
              <w:bottom w:val="nil"/>
              <w:right w:val="nil"/>
            </w:tcBorders>
            <w:shd w:val="clear" w:color="auto" w:fill="auto"/>
          </w:tcPr>
          <w:p w14:paraId="30DA6229" w14:textId="77777777" w:rsidR="006F4AF8" w:rsidRPr="00537B7F" w:rsidRDefault="006F4AF8" w:rsidP="006F4AF8">
            <w:pPr>
              <w:jc w:val="both"/>
              <w:rPr>
                <w:rFonts w:ascii="David" w:hAnsi="David"/>
                <w:b/>
                <w:bCs/>
                <w:sz w:val="26"/>
                <w:szCs w:val="26"/>
              </w:rPr>
            </w:pPr>
          </w:p>
        </w:tc>
      </w:tr>
      <w:tr w:rsidR="006F4AF8" w:rsidRPr="00537B7F" w14:paraId="4C581E99" w14:textId="77777777" w:rsidTr="006F4AF8">
        <w:trPr>
          <w:trHeight w:val="355"/>
          <w:jc w:val="center"/>
        </w:trPr>
        <w:tc>
          <w:tcPr>
            <w:tcW w:w="923" w:type="dxa"/>
            <w:tcBorders>
              <w:top w:val="nil"/>
              <w:left w:val="nil"/>
              <w:bottom w:val="nil"/>
              <w:right w:val="nil"/>
            </w:tcBorders>
            <w:shd w:val="clear" w:color="auto" w:fill="auto"/>
          </w:tcPr>
          <w:p w14:paraId="76F5F192" w14:textId="77777777" w:rsidR="006F4AF8" w:rsidRPr="00537B7F" w:rsidRDefault="006F4AF8" w:rsidP="006F4AF8">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544154C4" w14:textId="77777777" w:rsidR="006F4AF8" w:rsidRPr="00537B7F" w:rsidRDefault="006F4AF8" w:rsidP="006F4AF8">
            <w:pPr>
              <w:jc w:val="both"/>
              <w:rPr>
                <w:rFonts w:ascii="David" w:hAnsi="David"/>
                <w:b/>
                <w:bCs/>
                <w:sz w:val="26"/>
                <w:szCs w:val="26"/>
                <w:rtl/>
              </w:rPr>
            </w:pPr>
            <w:r w:rsidRPr="00537B7F">
              <w:rPr>
                <w:rFonts w:ascii="David" w:hAnsi="David" w:hint="cs"/>
                <w:b/>
                <w:bCs/>
                <w:sz w:val="26"/>
                <w:szCs w:val="26"/>
                <w:rtl/>
              </w:rPr>
              <w:t>ע"י ב"כ עו"ד שגיא אבנעים</w:t>
            </w:r>
          </w:p>
        </w:tc>
        <w:tc>
          <w:tcPr>
            <w:tcW w:w="3771" w:type="dxa"/>
            <w:tcBorders>
              <w:top w:val="nil"/>
              <w:left w:val="nil"/>
              <w:bottom w:val="nil"/>
              <w:right w:val="nil"/>
            </w:tcBorders>
            <w:shd w:val="clear" w:color="auto" w:fill="auto"/>
          </w:tcPr>
          <w:p w14:paraId="695DBE3D" w14:textId="77777777" w:rsidR="006F4AF8" w:rsidRPr="00537B7F" w:rsidRDefault="006F4AF8" w:rsidP="006F4AF8">
            <w:pPr>
              <w:jc w:val="right"/>
              <w:rPr>
                <w:rFonts w:ascii="David" w:hAnsi="David"/>
                <w:b/>
                <w:bCs/>
                <w:sz w:val="26"/>
                <w:szCs w:val="26"/>
                <w:rtl/>
              </w:rPr>
            </w:pPr>
            <w:r w:rsidRPr="00537B7F">
              <w:rPr>
                <w:rFonts w:ascii="David" w:hAnsi="David"/>
                <w:b/>
                <w:bCs/>
                <w:sz w:val="26"/>
                <w:szCs w:val="26"/>
                <w:rtl/>
              </w:rPr>
              <w:t>המאשימה</w:t>
            </w:r>
          </w:p>
        </w:tc>
      </w:tr>
      <w:bookmarkEnd w:id="2"/>
      <w:tr w:rsidR="006F4AF8" w:rsidRPr="00537B7F" w14:paraId="4B9670F1" w14:textId="77777777" w:rsidTr="006F4AF8">
        <w:trPr>
          <w:trHeight w:val="355"/>
          <w:jc w:val="center"/>
        </w:trPr>
        <w:tc>
          <w:tcPr>
            <w:tcW w:w="923" w:type="dxa"/>
            <w:tcBorders>
              <w:top w:val="nil"/>
              <w:left w:val="nil"/>
              <w:bottom w:val="nil"/>
              <w:right w:val="nil"/>
            </w:tcBorders>
            <w:shd w:val="clear" w:color="auto" w:fill="auto"/>
          </w:tcPr>
          <w:p w14:paraId="6B9AB7C2" w14:textId="77777777" w:rsidR="006F4AF8" w:rsidRPr="00537B7F" w:rsidRDefault="006F4AF8" w:rsidP="006F4AF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9888810" w14:textId="77777777" w:rsidR="006F4AF8" w:rsidRPr="00537B7F" w:rsidRDefault="006F4AF8" w:rsidP="006F4AF8">
            <w:pPr>
              <w:jc w:val="center"/>
              <w:rPr>
                <w:rFonts w:ascii="David" w:hAnsi="David"/>
                <w:b/>
                <w:bCs/>
                <w:sz w:val="26"/>
                <w:szCs w:val="26"/>
                <w:rtl/>
              </w:rPr>
            </w:pPr>
          </w:p>
          <w:p w14:paraId="75D88794" w14:textId="77777777" w:rsidR="006F4AF8" w:rsidRPr="00537B7F" w:rsidRDefault="006F4AF8" w:rsidP="006F4AF8">
            <w:pPr>
              <w:jc w:val="center"/>
              <w:rPr>
                <w:rFonts w:ascii="David" w:hAnsi="David"/>
                <w:b/>
                <w:bCs/>
                <w:sz w:val="26"/>
                <w:szCs w:val="26"/>
                <w:rtl/>
              </w:rPr>
            </w:pPr>
            <w:r w:rsidRPr="00537B7F">
              <w:rPr>
                <w:rFonts w:ascii="David" w:hAnsi="David"/>
                <w:b/>
                <w:bCs/>
                <w:sz w:val="26"/>
                <w:szCs w:val="26"/>
                <w:rtl/>
              </w:rPr>
              <w:t>נגד</w:t>
            </w:r>
          </w:p>
          <w:p w14:paraId="0ED63AB2" w14:textId="77777777" w:rsidR="006F4AF8" w:rsidRPr="00537B7F" w:rsidRDefault="006F4AF8" w:rsidP="006F4AF8">
            <w:pPr>
              <w:jc w:val="both"/>
              <w:rPr>
                <w:rFonts w:ascii="David" w:hAnsi="David"/>
                <w:b/>
                <w:bCs/>
                <w:sz w:val="26"/>
                <w:szCs w:val="26"/>
              </w:rPr>
            </w:pPr>
          </w:p>
        </w:tc>
      </w:tr>
      <w:tr w:rsidR="006F4AF8" w:rsidRPr="00537B7F" w14:paraId="2A868430" w14:textId="77777777" w:rsidTr="006F4AF8">
        <w:trPr>
          <w:trHeight w:val="355"/>
          <w:jc w:val="center"/>
        </w:trPr>
        <w:tc>
          <w:tcPr>
            <w:tcW w:w="923" w:type="dxa"/>
            <w:tcBorders>
              <w:top w:val="nil"/>
              <w:left w:val="nil"/>
              <w:bottom w:val="nil"/>
              <w:right w:val="nil"/>
            </w:tcBorders>
            <w:shd w:val="clear" w:color="auto" w:fill="auto"/>
          </w:tcPr>
          <w:p w14:paraId="6577A2D1" w14:textId="77777777" w:rsidR="006F4AF8" w:rsidRPr="00537B7F" w:rsidRDefault="006F4AF8" w:rsidP="000D3E9F">
            <w:pPr>
              <w:rPr>
                <w:rFonts w:ascii="David" w:hAnsi="David"/>
                <w:b/>
                <w:bCs/>
                <w:sz w:val="26"/>
                <w:szCs w:val="26"/>
                <w:rtl/>
              </w:rPr>
            </w:pPr>
          </w:p>
        </w:tc>
        <w:tc>
          <w:tcPr>
            <w:tcW w:w="4126" w:type="dxa"/>
            <w:tcBorders>
              <w:top w:val="nil"/>
              <w:left w:val="nil"/>
              <w:bottom w:val="nil"/>
              <w:right w:val="nil"/>
            </w:tcBorders>
            <w:shd w:val="clear" w:color="auto" w:fill="auto"/>
          </w:tcPr>
          <w:p w14:paraId="39AE20E4" w14:textId="77777777" w:rsidR="006F4AF8" w:rsidRPr="00537B7F" w:rsidRDefault="006F4AF8" w:rsidP="000D3E9F">
            <w:pPr>
              <w:rPr>
                <w:rFonts w:ascii="David" w:hAnsi="David"/>
                <w:b/>
                <w:bCs/>
                <w:sz w:val="26"/>
                <w:szCs w:val="26"/>
                <w:rtl/>
              </w:rPr>
            </w:pPr>
            <w:r w:rsidRPr="00537B7F">
              <w:rPr>
                <w:rFonts w:ascii="David" w:hAnsi="David"/>
                <w:b/>
                <w:bCs/>
                <w:sz w:val="26"/>
                <w:szCs w:val="26"/>
                <w:rtl/>
              </w:rPr>
              <w:t>יוסף עדיסאן (עציר)</w:t>
            </w:r>
            <w:r w:rsidRPr="00537B7F">
              <w:rPr>
                <w:rFonts w:ascii="David" w:hAnsi="David" w:hint="cs"/>
                <w:b/>
                <w:bCs/>
                <w:sz w:val="26"/>
                <w:szCs w:val="26"/>
                <w:rtl/>
              </w:rPr>
              <w:t>-ויעוד חזותי</w:t>
            </w:r>
          </w:p>
        </w:tc>
        <w:tc>
          <w:tcPr>
            <w:tcW w:w="3771" w:type="dxa"/>
            <w:tcBorders>
              <w:top w:val="nil"/>
              <w:left w:val="nil"/>
              <w:bottom w:val="nil"/>
              <w:right w:val="nil"/>
            </w:tcBorders>
            <w:shd w:val="clear" w:color="auto" w:fill="auto"/>
          </w:tcPr>
          <w:p w14:paraId="6830930F" w14:textId="77777777" w:rsidR="006F4AF8" w:rsidRPr="00537B7F" w:rsidRDefault="006F4AF8" w:rsidP="006F4AF8">
            <w:pPr>
              <w:jc w:val="right"/>
              <w:rPr>
                <w:rFonts w:ascii="David" w:hAnsi="David"/>
                <w:b/>
                <w:bCs/>
                <w:sz w:val="26"/>
                <w:szCs w:val="26"/>
              </w:rPr>
            </w:pPr>
          </w:p>
        </w:tc>
      </w:tr>
      <w:tr w:rsidR="006F4AF8" w:rsidRPr="00537B7F" w14:paraId="6CAC904C" w14:textId="77777777" w:rsidTr="006F4AF8">
        <w:trPr>
          <w:trHeight w:val="355"/>
          <w:jc w:val="center"/>
        </w:trPr>
        <w:tc>
          <w:tcPr>
            <w:tcW w:w="923" w:type="dxa"/>
            <w:tcBorders>
              <w:top w:val="nil"/>
              <w:left w:val="nil"/>
              <w:bottom w:val="nil"/>
              <w:right w:val="nil"/>
            </w:tcBorders>
            <w:shd w:val="clear" w:color="auto" w:fill="auto"/>
          </w:tcPr>
          <w:p w14:paraId="0589E1D5" w14:textId="77777777" w:rsidR="006F4AF8" w:rsidRPr="00537B7F" w:rsidRDefault="006F4AF8" w:rsidP="006F4AF8">
            <w:pPr>
              <w:jc w:val="both"/>
              <w:rPr>
                <w:rFonts w:ascii="David" w:hAnsi="David"/>
                <w:b/>
                <w:bCs/>
                <w:sz w:val="26"/>
                <w:szCs w:val="26"/>
                <w:rtl/>
              </w:rPr>
            </w:pPr>
          </w:p>
        </w:tc>
        <w:tc>
          <w:tcPr>
            <w:tcW w:w="4126" w:type="dxa"/>
            <w:tcBorders>
              <w:top w:val="nil"/>
              <w:left w:val="nil"/>
              <w:bottom w:val="nil"/>
              <w:right w:val="nil"/>
            </w:tcBorders>
            <w:shd w:val="clear" w:color="auto" w:fill="auto"/>
          </w:tcPr>
          <w:p w14:paraId="15A96B4B" w14:textId="77777777" w:rsidR="006F4AF8" w:rsidRPr="00537B7F" w:rsidRDefault="006F4AF8" w:rsidP="006F4AF8">
            <w:pPr>
              <w:jc w:val="both"/>
              <w:rPr>
                <w:rFonts w:ascii="David" w:hAnsi="David"/>
                <w:b/>
                <w:bCs/>
                <w:sz w:val="26"/>
                <w:szCs w:val="26"/>
                <w:rtl/>
              </w:rPr>
            </w:pPr>
            <w:r w:rsidRPr="00537B7F">
              <w:rPr>
                <w:rFonts w:ascii="David" w:hAnsi="David" w:hint="cs"/>
                <w:b/>
                <w:bCs/>
                <w:sz w:val="26"/>
                <w:szCs w:val="26"/>
                <w:rtl/>
              </w:rPr>
              <w:t>ע"י ב"כ עו"ד נס בן נתן</w:t>
            </w:r>
          </w:p>
        </w:tc>
        <w:tc>
          <w:tcPr>
            <w:tcW w:w="3771" w:type="dxa"/>
            <w:tcBorders>
              <w:top w:val="nil"/>
              <w:left w:val="nil"/>
              <w:bottom w:val="nil"/>
              <w:right w:val="nil"/>
            </w:tcBorders>
            <w:shd w:val="clear" w:color="auto" w:fill="auto"/>
          </w:tcPr>
          <w:p w14:paraId="1F85D797" w14:textId="77777777" w:rsidR="006F4AF8" w:rsidRPr="00537B7F" w:rsidRDefault="006F4AF8" w:rsidP="006F4AF8">
            <w:pPr>
              <w:jc w:val="right"/>
              <w:rPr>
                <w:rFonts w:ascii="David" w:hAnsi="David"/>
                <w:b/>
                <w:bCs/>
                <w:sz w:val="26"/>
                <w:szCs w:val="26"/>
              </w:rPr>
            </w:pPr>
            <w:r w:rsidRPr="00537B7F">
              <w:rPr>
                <w:rFonts w:ascii="David" w:hAnsi="David"/>
                <w:b/>
                <w:bCs/>
                <w:sz w:val="26"/>
                <w:szCs w:val="26"/>
                <w:rtl/>
              </w:rPr>
              <w:t>הנאשם</w:t>
            </w:r>
          </w:p>
        </w:tc>
      </w:tr>
    </w:tbl>
    <w:p w14:paraId="3328A8A6" w14:textId="77777777" w:rsidR="00537B7F" w:rsidRDefault="00537B7F" w:rsidP="006F4AF8">
      <w:pPr>
        <w:rPr>
          <w:sz w:val="26"/>
          <w:szCs w:val="26"/>
          <w:rtl/>
        </w:rPr>
      </w:pPr>
    </w:p>
    <w:p w14:paraId="39DAB7A8" w14:textId="77777777" w:rsidR="00537B7F" w:rsidRPr="00537B7F" w:rsidRDefault="00537B7F" w:rsidP="00537B7F">
      <w:pPr>
        <w:spacing w:after="120" w:line="240" w:lineRule="exact"/>
        <w:ind w:left="283" w:hanging="283"/>
        <w:jc w:val="both"/>
        <w:rPr>
          <w:rFonts w:ascii="FrankRuehl" w:hAnsi="FrankRuehl" w:cs="FrankRuehl"/>
          <w:rtl/>
        </w:rPr>
      </w:pPr>
    </w:p>
    <w:p w14:paraId="16C46939" w14:textId="77777777" w:rsidR="00DB6A0A" w:rsidRPr="00DB6A0A" w:rsidRDefault="00DB6A0A" w:rsidP="00DB6A0A">
      <w:pPr>
        <w:spacing w:before="120" w:after="120" w:line="240" w:lineRule="exact"/>
        <w:ind w:left="283" w:hanging="283"/>
        <w:jc w:val="both"/>
        <w:rPr>
          <w:rFonts w:ascii="FrankRuehl" w:hAnsi="FrankRuehl" w:cs="FrankRuehl"/>
          <w:rtl/>
        </w:rPr>
      </w:pPr>
    </w:p>
    <w:p w14:paraId="0805643C" w14:textId="77777777" w:rsidR="00430757" w:rsidRDefault="00430757" w:rsidP="00430757">
      <w:pPr>
        <w:rPr>
          <w:rFonts w:ascii="David" w:hAnsi="David"/>
          <w:sz w:val="26"/>
          <w:szCs w:val="26"/>
          <w:rtl/>
        </w:rPr>
      </w:pPr>
      <w:bookmarkStart w:id="3" w:name="LawTable"/>
      <w:bookmarkEnd w:id="3"/>
    </w:p>
    <w:p w14:paraId="51E311EF" w14:textId="77777777" w:rsidR="00430757" w:rsidRPr="00430757" w:rsidRDefault="00430757" w:rsidP="00430757">
      <w:pPr>
        <w:spacing w:before="120" w:after="120" w:line="240" w:lineRule="exact"/>
        <w:ind w:left="283" w:hanging="283"/>
        <w:jc w:val="both"/>
        <w:rPr>
          <w:rFonts w:ascii="FrankRuehl" w:hAnsi="FrankRuehl" w:cs="FrankRuehl"/>
          <w:rtl/>
        </w:rPr>
      </w:pPr>
    </w:p>
    <w:p w14:paraId="0F33EA40" w14:textId="77777777" w:rsidR="00430757" w:rsidRPr="00430757" w:rsidRDefault="00430757" w:rsidP="00430757">
      <w:pPr>
        <w:spacing w:before="120" w:after="120" w:line="240" w:lineRule="exact"/>
        <w:ind w:left="283" w:hanging="283"/>
        <w:jc w:val="both"/>
        <w:rPr>
          <w:rFonts w:ascii="FrankRuehl" w:hAnsi="FrankRuehl" w:cs="FrankRuehl"/>
          <w:rtl/>
        </w:rPr>
      </w:pPr>
    </w:p>
    <w:p w14:paraId="55AE465B" w14:textId="77777777" w:rsidR="00430757" w:rsidRPr="00430757" w:rsidRDefault="00430757" w:rsidP="00430757">
      <w:pPr>
        <w:spacing w:before="120" w:after="120" w:line="240" w:lineRule="exact"/>
        <w:ind w:left="283" w:hanging="283"/>
        <w:jc w:val="both"/>
        <w:rPr>
          <w:rFonts w:ascii="FrankRuehl" w:hAnsi="FrankRuehl" w:cs="FrankRuehl"/>
          <w:rtl/>
        </w:rPr>
      </w:pPr>
      <w:r w:rsidRPr="00430757">
        <w:rPr>
          <w:rFonts w:ascii="FrankRuehl" w:hAnsi="FrankRuehl" w:cs="FrankRuehl"/>
          <w:rtl/>
        </w:rPr>
        <w:t xml:space="preserve">חקיקה שאוזכרה: </w:t>
      </w:r>
    </w:p>
    <w:p w14:paraId="19CDF83D" w14:textId="77777777" w:rsidR="00430757" w:rsidRPr="00430757" w:rsidRDefault="00430757" w:rsidP="00430757">
      <w:pPr>
        <w:spacing w:before="120" w:after="120" w:line="240" w:lineRule="exact"/>
        <w:ind w:left="283" w:hanging="283"/>
        <w:jc w:val="both"/>
        <w:rPr>
          <w:rFonts w:ascii="FrankRuehl" w:hAnsi="FrankRuehl" w:cs="FrankRuehl"/>
          <w:rtl/>
        </w:rPr>
      </w:pPr>
      <w:hyperlink r:id="rId8" w:history="1">
        <w:r w:rsidRPr="00430757">
          <w:rPr>
            <w:rFonts w:ascii="FrankRuehl" w:hAnsi="FrankRuehl" w:cs="FrankRuehl"/>
            <w:color w:val="0000FF"/>
            <w:rtl/>
          </w:rPr>
          <w:t>פקודת הסמים המסוכנים [נוסח חדש], תשל"ג-1973</w:t>
        </w:r>
      </w:hyperlink>
      <w:r w:rsidRPr="00430757">
        <w:rPr>
          <w:rFonts w:ascii="FrankRuehl" w:hAnsi="FrankRuehl" w:cs="FrankRuehl"/>
          <w:rtl/>
        </w:rPr>
        <w:t xml:space="preserve">: סע'  </w:t>
      </w:r>
      <w:hyperlink r:id="rId9" w:history="1">
        <w:r w:rsidRPr="00430757">
          <w:rPr>
            <w:rFonts w:ascii="FrankRuehl" w:hAnsi="FrankRuehl" w:cs="FrankRuehl"/>
            <w:color w:val="0000FF"/>
            <w:rtl/>
          </w:rPr>
          <w:t>7.א.</w:t>
        </w:r>
      </w:hyperlink>
      <w:r w:rsidRPr="00430757">
        <w:rPr>
          <w:rFonts w:ascii="FrankRuehl" w:hAnsi="FrankRuehl" w:cs="FrankRuehl"/>
          <w:rtl/>
        </w:rPr>
        <w:t xml:space="preserve">, </w:t>
      </w:r>
      <w:hyperlink r:id="rId10" w:history="1">
        <w:r w:rsidRPr="00430757">
          <w:rPr>
            <w:rFonts w:ascii="FrankRuehl" w:hAnsi="FrankRuehl" w:cs="FrankRuehl"/>
            <w:color w:val="0000FF"/>
            <w:rtl/>
          </w:rPr>
          <w:t>7.ג</w:t>
        </w:r>
      </w:hyperlink>
    </w:p>
    <w:p w14:paraId="0DB8F436" w14:textId="77777777" w:rsidR="00430757" w:rsidRPr="00430757" w:rsidRDefault="00430757" w:rsidP="00430757">
      <w:pPr>
        <w:spacing w:before="120" w:after="120" w:line="240" w:lineRule="exact"/>
        <w:ind w:left="283" w:hanging="283"/>
        <w:jc w:val="both"/>
        <w:rPr>
          <w:rFonts w:ascii="FrankRuehl" w:hAnsi="FrankRuehl" w:cs="FrankRuehl"/>
          <w:rtl/>
        </w:rPr>
      </w:pPr>
      <w:hyperlink r:id="rId11" w:history="1">
        <w:r w:rsidRPr="00430757">
          <w:rPr>
            <w:rFonts w:ascii="FrankRuehl" w:hAnsi="FrankRuehl" w:cs="FrankRuehl"/>
            <w:color w:val="0000FF"/>
            <w:rtl/>
          </w:rPr>
          <w:t>פקודת התעבורה [נוסח חדש]</w:t>
        </w:r>
      </w:hyperlink>
      <w:r w:rsidRPr="00430757">
        <w:rPr>
          <w:rFonts w:ascii="FrankRuehl" w:hAnsi="FrankRuehl" w:cs="FrankRuehl"/>
          <w:rtl/>
        </w:rPr>
        <w:t xml:space="preserve">: סע'  </w:t>
      </w:r>
      <w:hyperlink r:id="rId12" w:history="1">
        <w:r w:rsidRPr="00430757">
          <w:rPr>
            <w:rFonts w:ascii="FrankRuehl" w:hAnsi="FrankRuehl" w:cs="FrankRuehl"/>
            <w:color w:val="0000FF"/>
            <w:rtl/>
          </w:rPr>
          <w:t>67</w:t>
        </w:r>
      </w:hyperlink>
    </w:p>
    <w:p w14:paraId="0B7D6A00" w14:textId="77777777" w:rsidR="00430757" w:rsidRPr="00430757" w:rsidRDefault="00430757" w:rsidP="00430757">
      <w:pPr>
        <w:spacing w:before="120" w:after="120" w:line="240" w:lineRule="exact"/>
        <w:ind w:left="283" w:hanging="283"/>
        <w:jc w:val="both"/>
        <w:rPr>
          <w:rFonts w:ascii="FrankRuehl" w:hAnsi="FrankRuehl" w:cs="FrankRuehl"/>
          <w:rtl/>
        </w:rPr>
      </w:pPr>
      <w:hyperlink r:id="rId13" w:history="1">
        <w:r w:rsidRPr="00430757">
          <w:rPr>
            <w:rFonts w:ascii="FrankRuehl" w:hAnsi="FrankRuehl" w:cs="FrankRuehl"/>
            <w:color w:val="0000FF"/>
            <w:rtl/>
          </w:rPr>
          <w:t>פקודת ביטוח רכב מנועי [נוסח חדש], תש"ל-1970</w:t>
        </w:r>
      </w:hyperlink>
      <w:r w:rsidRPr="00430757">
        <w:rPr>
          <w:rFonts w:ascii="FrankRuehl" w:hAnsi="FrankRuehl" w:cs="FrankRuehl"/>
          <w:rtl/>
        </w:rPr>
        <w:t xml:space="preserve">: סע'  </w:t>
      </w:r>
      <w:hyperlink r:id="rId14" w:history="1">
        <w:r w:rsidRPr="00430757">
          <w:rPr>
            <w:rFonts w:ascii="FrankRuehl" w:hAnsi="FrankRuehl" w:cs="FrankRuehl"/>
            <w:color w:val="0000FF"/>
            <w:rtl/>
          </w:rPr>
          <w:t>2א</w:t>
        </w:r>
      </w:hyperlink>
    </w:p>
    <w:p w14:paraId="6558462F" w14:textId="77777777" w:rsidR="00430757" w:rsidRPr="00430757" w:rsidRDefault="00430757" w:rsidP="00430757">
      <w:pPr>
        <w:spacing w:before="120" w:after="120" w:line="240" w:lineRule="exact"/>
        <w:ind w:left="283" w:hanging="283"/>
        <w:jc w:val="both"/>
        <w:rPr>
          <w:rFonts w:ascii="FrankRuehl" w:hAnsi="FrankRuehl" w:cs="FrankRuehl"/>
          <w:rtl/>
        </w:rPr>
      </w:pPr>
      <w:hyperlink r:id="rId15" w:history="1">
        <w:r w:rsidRPr="00430757">
          <w:rPr>
            <w:rFonts w:ascii="FrankRuehl" w:hAnsi="FrankRuehl" w:cs="FrankRuehl"/>
            <w:color w:val="0000FF"/>
            <w:rtl/>
          </w:rPr>
          <w:t>חוק העונשין, תשל"ז-1977</w:t>
        </w:r>
      </w:hyperlink>
    </w:p>
    <w:p w14:paraId="06895E28" w14:textId="77777777" w:rsidR="00430757" w:rsidRPr="00430757" w:rsidRDefault="00430757" w:rsidP="00430757">
      <w:pPr>
        <w:rPr>
          <w:rFonts w:ascii="David" w:hAnsi="David"/>
          <w:sz w:val="26"/>
          <w:szCs w:val="26"/>
          <w:rtl/>
        </w:rPr>
      </w:pPr>
      <w:bookmarkStart w:id="4" w:name="LawTable_End"/>
      <w:bookmarkEnd w:id="4"/>
    </w:p>
    <w:p w14:paraId="5EEDD947" w14:textId="77777777" w:rsidR="006F4AF8" w:rsidRPr="00DB6A0A" w:rsidRDefault="006F4AF8" w:rsidP="00DB6A0A">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4AF8" w:rsidRPr="00537B7F" w14:paraId="5B4B5716" w14:textId="77777777" w:rsidTr="006F4AF8">
        <w:trPr>
          <w:trHeight w:val="355"/>
          <w:jc w:val="center"/>
        </w:trPr>
        <w:tc>
          <w:tcPr>
            <w:tcW w:w="8820" w:type="dxa"/>
            <w:tcBorders>
              <w:top w:val="nil"/>
              <w:left w:val="nil"/>
              <w:bottom w:val="nil"/>
              <w:right w:val="nil"/>
            </w:tcBorders>
            <w:shd w:val="clear" w:color="auto" w:fill="auto"/>
          </w:tcPr>
          <w:p w14:paraId="65B57433" w14:textId="77777777" w:rsidR="00037DDD" w:rsidRPr="00537B7F" w:rsidRDefault="00037DDD" w:rsidP="00037DDD">
            <w:pPr>
              <w:jc w:val="center"/>
              <w:rPr>
                <w:rFonts w:ascii="David" w:hAnsi="David"/>
                <w:b/>
                <w:bCs/>
                <w:sz w:val="32"/>
                <w:szCs w:val="32"/>
                <w:u w:val="single"/>
                <w:rtl/>
              </w:rPr>
            </w:pPr>
            <w:bookmarkStart w:id="5" w:name="PsakDin" w:colFirst="0" w:colLast="0"/>
            <w:r w:rsidRPr="00537B7F">
              <w:rPr>
                <w:rFonts w:ascii="David" w:hAnsi="David"/>
                <w:b/>
                <w:bCs/>
                <w:sz w:val="32"/>
                <w:szCs w:val="32"/>
                <w:u w:val="single"/>
                <w:rtl/>
              </w:rPr>
              <w:t>גזר דין</w:t>
            </w:r>
          </w:p>
          <w:p w14:paraId="7D37A895" w14:textId="77777777" w:rsidR="006F4AF8" w:rsidRPr="00537B7F" w:rsidRDefault="006F4AF8" w:rsidP="00037DDD">
            <w:pPr>
              <w:jc w:val="center"/>
              <w:rPr>
                <w:rFonts w:ascii="David" w:hAnsi="David"/>
                <w:bCs/>
                <w:sz w:val="32"/>
                <w:szCs w:val="32"/>
                <w:u w:val="single"/>
                <w:rtl/>
              </w:rPr>
            </w:pPr>
          </w:p>
        </w:tc>
      </w:tr>
      <w:bookmarkEnd w:id="5"/>
    </w:tbl>
    <w:p w14:paraId="7458C3AD" w14:textId="77777777" w:rsidR="006F4AF8" w:rsidRPr="00537B7F" w:rsidRDefault="006F4AF8" w:rsidP="006F4AF8">
      <w:pPr>
        <w:rPr>
          <w:rFonts w:ascii="David" w:hAnsi="David"/>
          <w:sz w:val="26"/>
          <w:szCs w:val="26"/>
          <w:rtl/>
        </w:rPr>
      </w:pPr>
    </w:p>
    <w:p w14:paraId="0C57B824" w14:textId="77777777" w:rsidR="006F4AF8" w:rsidRPr="00537B7F" w:rsidRDefault="006F4AF8" w:rsidP="006F4AF8">
      <w:pPr>
        <w:rPr>
          <w:rFonts w:ascii="David" w:hAnsi="David"/>
          <w:sz w:val="26"/>
          <w:szCs w:val="26"/>
          <w:rtl/>
        </w:rPr>
      </w:pPr>
    </w:p>
    <w:p w14:paraId="1C3FECF6" w14:textId="77777777" w:rsidR="006F4AF8" w:rsidRPr="00537B7F" w:rsidRDefault="006F4AF8" w:rsidP="006F4AF8">
      <w:pPr>
        <w:spacing w:after="160" w:line="360" w:lineRule="auto"/>
        <w:jc w:val="both"/>
        <w:rPr>
          <w:rFonts w:ascii="David" w:hAnsi="David"/>
          <w:b/>
          <w:bCs/>
          <w:u w:val="single"/>
          <w:rtl/>
        </w:rPr>
      </w:pPr>
      <w:r w:rsidRPr="00537B7F">
        <w:rPr>
          <w:rFonts w:ascii="David" w:hAnsi="David"/>
          <w:b/>
          <w:bCs/>
          <w:u w:val="single"/>
          <w:rtl/>
        </w:rPr>
        <w:t>רקע</w:t>
      </w:r>
    </w:p>
    <w:p w14:paraId="5B724F77" w14:textId="77777777" w:rsidR="006F4AF8" w:rsidRPr="00537B7F" w:rsidRDefault="006F4AF8" w:rsidP="006F4AF8">
      <w:pPr>
        <w:spacing w:after="160" w:line="360" w:lineRule="auto"/>
        <w:jc w:val="both"/>
        <w:rPr>
          <w:rFonts w:ascii="David" w:hAnsi="David"/>
          <w:rtl/>
        </w:rPr>
      </w:pPr>
      <w:bookmarkStart w:id="6" w:name="ABSTRACT_START"/>
      <w:bookmarkEnd w:id="6"/>
      <w:r w:rsidRPr="00537B7F">
        <w:rPr>
          <w:rFonts w:ascii="David" w:hAnsi="David"/>
          <w:rtl/>
        </w:rPr>
        <w:t>הנאשם הורשע בהכרעת דין מיום 6.5.21, בהתאם להודאתו במסגרת הסדר טיעון בעובדות כתב האישום, בעבירות כדלקמן:</w:t>
      </w:r>
    </w:p>
    <w:p w14:paraId="4B5F679D" w14:textId="77777777" w:rsidR="006F4AF8" w:rsidRPr="00537B7F" w:rsidRDefault="006F4AF8" w:rsidP="006F4AF8">
      <w:pPr>
        <w:spacing w:after="160" w:line="360" w:lineRule="auto"/>
        <w:jc w:val="both"/>
        <w:rPr>
          <w:rFonts w:ascii="David" w:hAnsi="David"/>
          <w:rtl/>
        </w:rPr>
      </w:pPr>
    </w:p>
    <w:p w14:paraId="2616D4A5" w14:textId="77777777" w:rsidR="006F4AF8" w:rsidRPr="00537B7F" w:rsidRDefault="006F4AF8" w:rsidP="006F4AF8">
      <w:pPr>
        <w:spacing w:after="160" w:line="360" w:lineRule="auto"/>
        <w:jc w:val="both"/>
        <w:rPr>
          <w:rFonts w:ascii="David" w:hAnsi="David"/>
          <w:rtl/>
        </w:rPr>
      </w:pPr>
      <w:r w:rsidRPr="00537B7F">
        <w:rPr>
          <w:rFonts w:ascii="David" w:hAnsi="David"/>
          <w:b/>
          <w:bCs/>
          <w:rtl/>
        </w:rPr>
        <w:t xml:space="preserve">החזקת סם שלא לצריכה עצמית </w:t>
      </w:r>
      <w:r w:rsidRPr="00537B7F">
        <w:rPr>
          <w:rFonts w:ascii="David" w:hAnsi="David"/>
          <w:rtl/>
        </w:rPr>
        <w:t xml:space="preserve">לפי </w:t>
      </w:r>
      <w:hyperlink r:id="rId16" w:history="1">
        <w:r w:rsidR="00537B7F" w:rsidRPr="00537B7F">
          <w:rPr>
            <w:rStyle w:val="Hyperlink"/>
            <w:rFonts w:ascii="David" w:hAnsi="David"/>
            <w:rtl/>
          </w:rPr>
          <w:t>סעיף 7(א)+(ג)</w:t>
        </w:r>
      </w:hyperlink>
      <w:r w:rsidRPr="00537B7F">
        <w:rPr>
          <w:rFonts w:ascii="David" w:hAnsi="David"/>
          <w:rtl/>
        </w:rPr>
        <w:t xml:space="preserve"> רישא ב</w:t>
      </w:r>
      <w:hyperlink r:id="rId17" w:history="1">
        <w:r w:rsidR="00037DDD" w:rsidRPr="00537B7F">
          <w:rPr>
            <w:rFonts w:ascii="David" w:hAnsi="David"/>
            <w:color w:val="0000FF"/>
            <w:u w:val="single"/>
            <w:rtl/>
          </w:rPr>
          <w:t>פקודת הסמים המסוכנים</w:t>
        </w:r>
      </w:hyperlink>
      <w:r w:rsidRPr="00537B7F">
        <w:rPr>
          <w:rFonts w:ascii="David" w:hAnsi="David"/>
          <w:rtl/>
        </w:rPr>
        <w:t xml:space="preserve"> [נוסח חדש] תשל"ג-1973.</w:t>
      </w:r>
    </w:p>
    <w:p w14:paraId="54E872EA" w14:textId="77777777" w:rsidR="006F4AF8" w:rsidRPr="00537B7F" w:rsidRDefault="006F4AF8" w:rsidP="006F4AF8">
      <w:pPr>
        <w:spacing w:after="160" w:line="360" w:lineRule="auto"/>
        <w:jc w:val="both"/>
        <w:rPr>
          <w:rFonts w:ascii="David" w:hAnsi="David"/>
          <w:rtl/>
        </w:rPr>
      </w:pPr>
      <w:r w:rsidRPr="00537B7F">
        <w:rPr>
          <w:rFonts w:ascii="David" w:hAnsi="David"/>
          <w:b/>
          <w:bCs/>
          <w:rtl/>
        </w:rPr>
        <w:lastRenderedPageBreak/>
        <w:t xml:space="preserve">נהיגה בזמן פסילה (בימ"ש) </w:t>
      </w:r>
      <w:r w:rsidRPr="00537B7F">
        <w:rPr>
          <w:rFonts w:ascii="David" w:hAnsi="David"/>
          <w:rtl/>
        </w:rPr>
        <w:t xml:space="preserve">לפי </w:t>
      </w:r>
      <w:hyperlink r:id="rId18" w:history="1">
        <w:r w:rsidR="00537B7F" w:rsidRPr="00537B7F">
          <w:rPr>
            <w:rStyle w:val="Hyperlink"/>
            <w:rFonts w:ascii="David" w:hAnsi="David"/>
            <w:rtl/>
          </w:rPr>
          <w:t>סעיף 67</w:t>
        </w:r>
      </w:hyperlink>
      <w:r w:rsidRPr="00537B7F">
        <w:rPr>
          <w:rFonts w:ascii="David" w:hAnsi="David"/>
          <w:rtl/>
        </w:rPr>
        <w:t xml:space="preserve"> ב</w:t>
      </w:r>
      <w:hyperlink r:id="rId19" w:history="1">
        <w:r w:rsidR="00037DDD" w:rsidRPr="00537B7F">
          <w:rPr>
            <w:rFonts w:ascii="David" w:hAnsi="David"/>
            <w:color w:val="0000FF"/>
            <w:u w:val="single"/>
            <w:rtl/>
          </w:rPr>
          <w:t>פקודת התעבורה</w:t>
        </w:r>
      </w:hyperlink>
      <w:r w:rsidRPr="00537B7F">
        <w:rPr>
          <w:rFonts w:ascii="David" w:hAnsi="David"/>
          <w:rtl/>
        </w:rPr>
        <w:t xml:space="preserve"> [נוסח חדש] תשכ"א-1961.</w:t>
      </w:r>
    </w:p>
    <w:p w14:paraId="748D64F4" w14:textId="77777777" w:rsidR="006F4AF8" w:rsidRPr="00537B7F" w:rsidRDefault="006F4AF8" w:rsidP="006F4AF8">
      <w:pPr>
        <w:spacing w:after="160" w:line="360" w:lineRule="auto"/>
        <w:jc w:val="both"/>
        <w:rPr>
          <w:rFonts w:ascii="David" w:hAnsi="David"/>
          <w:rtl/>
        </w:rPr>
      </w:pPr>
      <w:bookmarkStart w:id="7" w:name="ABSTRACT_END"/>
      <w:bookmarkEnd w:id="7"/>
      <w:r w:rsidRPr="00537B7F">
        <w:rPr>
          <w:rFonts w:ascii="David" w:hAnsi="David"/>
          <w:b/>
          <w:bCs/>
          <w:rtl/>
        </w:rPr>
        <w:t xml:space="preserve">נהיגה ברכב ללא ביטוח </w:t>
      </w:r>
      <w:r w:rsidRPr="00537B7F">
        <w:rPr>
          <w:rFonts w:ascii="David" w:hAnsi="David"/>
          <w:rtl/>
        </w:rPr>
        <w:t xml:space="preserve">לפי </w:t>
      </w:r>
      <w:hyperlink r:id="rId20" w:history="1">
        <w:r w:rsidR="00537B7F" w:rsidRPr="00537B7F">
          <w:rPr>
            <w:rStyle w:val="Hyperlink"/>
            <w:rFonts w:ascii="David" w:hAnsi="David"/>
            <w:rtl/>
          </w:rPr>
          <w:t>סעיף 2א</w:t>
        </w:r>
      </w:hyperlink>
      <w:r w:rsidRPr="00537B7F">
        <w:rPr>
          <w:rFonts w:ascii="David" w:hAnsi="David"/>
          <w:rtl/>
        </w:rPr>
        <w:t xml:space="preserve"> ב</w:t>
      </w:r>
      <w:hyperlink r:id="rId21" w:history="1">
        <w:r w:rsidR="00037DDD" w:rsidRPr="00537B7F">
          <w:rPr>
            <w:rFonts w:ascii="David" w:hAnsi="David"/>
            <w:color w:val="0000FF"/>
            <w:u w:val="single"/>
            <w:rtl/>
          </w:rPr>
          <w:t>פקודת ביטוח רכב מנועי</w:t>
        </w:r>
      </w:hyperlink>
      <w:r w:rsidRPr="00537B7F">
        <w:rPr>
          <w:rFonts w:ascii="David" w:hAnsi="David"/>
          <w:rtl/>
        </w:rPr>
        <w:t xml:space="preserve"> [נוסח חדש] תש"ל-1970.</w:t>
      </w:r>
    </w:p>
    <w:p w14:paraId="6F66DEB2" w14:textId="77777777" w:rsidR="006F4AF8" w:rsidRPr="00537B7F" w:rsidRDefault="006F4AF8" w:rsidP="006F4AF8">
      <w:pPr>
        <w:spacing w:after="160" w:line="360" w:lineRule="auto"/>
        <w:jc w:val="both"/>
        <w:rPr>
          <w:rFonts w:ascii="David" w:hAnsi="David"/>
          <w:rtl/>
        </w:rPr>
      </w:pPr>
      <w:r w:rsidRPr="00537B7F">
        <w:rPr>
          <w:rFonts w:ascii="David" w:hAnsi="David"/>
          <w:rtl/>
        </w:rPr>
        <w:t>על עובדות כתב האישום המתוקן, ביום 6.1.21 נהג הנאשם ברכב והחזיק מתחת למושב הנהג חשיש במשקל 2,906.38 גרם נטו. בזמן זה, היה הנאשם מצוי בפסילת רישיון עליה הורה בית משפט השלום לתעבורה בחדרה בשני תיקים נפרדים: האחד, מיום 23.4.18 והשני, מיום 2.12.18.</w:t>
      </w:r>
    </w:p>
    <w:p w14:paraId="587A4ED2" w14:textId="77777777" w:rsidR="006F4AF8" w:rsidRPr="00537B7F" w:rsidRDefault="006F4AF8" w:rsidP="006F4AF8">
      <w:pPr>
        <w:spacing w:after="160"/>
        <w:jc w:val="both"/>
        <w:rPr>
          <w:rFonts w:ascii="David" w:hAnsi="David"/>
          <w:rtl/>
        </w:rPr>
      </w:pPr>
    </w:p>
    <w:p w14:paraId="672EA760" w14:textId="77777777" w:rsidR="006F4AF8" w:rsidRPr="00537B7F" w:rsidRDefault="006F4AF8" w:rsidP="006F4AF8">
      <w:pPr>
        <w:spacing w:after="160" w:line="360" w:lineRule="auto"/>
        <w:jc w:val="both"/>
        <w:rPr>
          <w:rFonts w:ascii="David" w:hAnsi="David"/>
          <w:rtl/>
        </w:rPr>
      </w:pPr>
      <w:r w:rsidRPr="00537B7F">
        <w:rPr>
          <w:rFonts w:ascii="David" w:hAnsi="David"/>
          <w:rtl/>
        </w:rPr>
        <w:t>הצדדים הגיעו להסכמה ולפיה יעתרו במשותף להטיל על הנאשם קנס בסך 10,000 ₪, וכן סך נוסף של 10,000 ₪ לטובת קרן החילוט וזאת תחת בקשת החילוט שבכתב האישום. בנוסף, תוטל פסילת רישיון של 6 חודשים. ביחס ליתר הרכיבים הצדדים יטענו באופן חופשי.</w:t>
      </w:r>
    </w:p>
    <w:p w14:paraId="03D80CF5" w14:textId="77777777" w:rsidR="006F4AF8" w:rsidRPr="00537B7F" w:rsidRDefault="006F4AF8" w:rsidP="006F4AF8">
      <w:pPr>
        <w:spacing w:after="160" w:line="360" w:lineRule="auto"/>
        <w:jc w:val="both"/>
        <w:rPr>
          <w:rFonts w:ascii="David" w:hAnsi="David"/>
          <w:b/>
          <w:bCs/>
          <w:u w:val="single"/>
          <w:rtl/>
        </w:rPr>
      </w:pPr>
    </w:p>
    <w:p w14:paraId="1275C8E1" w14:textId="77777777" w:rsidR="006F4AF8" w:rsidRPr="00537B7F" w:rsidRDefault="006F4AF8" w:rsidP="006F4AF8">
      <w:pPr>
        <w:spacing w:after="160" w:line="360" w:lineRule="auto"/>
        <w:jc w:val="both"/>
        <w:rPr>
          <w:rFonts w:ascii="David" w:hAnsi="David"/>
          <w:b/>
          <w:bCs/>
          <w:u w:val="single"/>
          <w:rtl/>
        </w:rPr>
      </w:pPr>
      <w:r w:rsidRPr="00537B7F">
        <w:rPr>
          <w:rFonts w:ascii="David" w:hAnsi="David"/>
          <w:b/>
          <w:bCs/>
          <w:u w:val="single"/>
          <w:rtl/>
        </w:rPr>
        <w:t>טענות הצדדים</w:t>
      </w:r>
    </w:p>
    <w:p w14:paraId="4BA82A37" w14:textId="77777777" w:rsidR="006F4AF8" w:rsidRPr="00537B7F" w:rsidRDefault="006F4AF8" w:rsidP="006F4AF8">
      <w:pPr>
        <w:spacing w:after="160" w:line="360" w:lineRule="auto"/>
        <w:jc w:val="both"/>
        <w:rPr>
          <w:rFonts w:ascii="David" w:hAnsi="David"/>
          <w:rtl/>
        </w:rPr>
      </w:pPr>
      <w:r w:rsidRPr="00537B7F">
        <w:rPr>
          <w:rFonts w:ascii="David" w:hAnsi="David"/>
          <w:b/>
          <w:bCs/>
          <w:rtl/>
        </w:rPr>
        <w:t xml:space="preserve">ב"כ המאשימה </w:t>
      </w:r>
      <w:r w:rsidRPr="00537B7F">
        <w:rPr>
          <w:rFonts w:ascii="David" w:hAnsi="David"/>
          <w:rtl/>
        </w:rPr>
        <w:t xml:space="preserve">הגישה טיעוניה בכתב </w:t>
      </w:r>
      <w:r w:rsidRPr="00537B7F">
        <w:rPr>
          <w:rFonts w:ascii="David" w:hAnsi="David"/>
          <w:b/>
          <w:bCs/>
          <w:rtl/>
        </w:rPr>
        <w:t xml:space="preserve">במ/1 </w:t>
      </w:r>
      <w:r w:rsidRPr="00537B7F">
        <w:rPr>
          <w:rFonts w:ascii="David" w:hAnsi="David"/>
          <w:rtl/>
        </w:rPr>
        <w:t xml:space="preserve">וכן הגישה גיליון רישום פלילי </w:t>
      </w:r>
      <w:r w:rsidRPr="00537B7F">
        <w:rPr>
          <w:rFonts w:ascii="David" w:hAnsi="David"/>
          <w:b/>
          <w:bCs/>
          <w:rtl/>
        </w:rPr>
        <w:t xml:space="preserve">ת/1 </w:t>
      </w:r>
      <w:r w:rsidRPr="00537B7F">
        <w:rPr>
          <w:rFonts w:ascii="David" w:hAnsi="David"/>
          <w:rtl/>
        </w:rPr>
        <w:t xml:space="preserve">ותעבורתי </w:t>
      </w:r>
      <w:r w:rsidRPr="00537B7F">
        <w:rPr>
          <w:rFonts w:ascii="David" w:hAnsi="David"/>
          <w:b/>
          <w:bCs/>
          <w:rtl/>
        </w:rPr>
        <w:t>ת/2</w:t>
      </w:r>
      <w:r w:rsidRPr="00537B7F">
        <w:rPr>
          <w:rFonts w:ascii="David" w:hAnsi="David"/>
          <w:rtl/>
        </w:rPr>
        <w:t>.</w:t>
      </w:r>
    </w:p>
    <w:p w14:paraId="0D686EF4" w14:textId="77777777" w:rsidR="006F4AF8" w:rsidRPr="00537B7F" w:rsidRDefault="006F4AF8" w:rsidP="006F4AF8">
      <w:pPr>
        <w:spacing w:after="160" w:line="360" w:lineRule="auto"/>
        <w:jc w:val="both"/>
        <w:rPr>
          <w:rFonts w:ascii="David" w:hAnsi="David"/>
          <w:rtl/>
        </w:rPr>
      </w:pPr>
      <w:r w:rsidRPr="00537B7F">
        <w:rPr>
          <w:rFonts w:ascii="David" w:hAnsi="David"/>
          <w:rtl/>
        </w:rPr>
        <w:t>המאשימה עמדה בטיעוניה על הערכים המוגנים שנפגעו במקרה זה הן כתוצאה מעבירות הסמים והן מעבירות התעבורה. נטען, כי מידת הפגיעה בערכים המוגנים היא גבוהה ביותר, לאור כמות הסם שהוחזקה, לנסיבות החזקת הסם ברכב ובעודו מפר שתי החלטות שיפוטיות שונות בדבר פסילת רישיון. נטען, כי קיים אף צורך בהרתעת היחיד.</w:t>
      </w:r>
    </w:p>
    <w:p w14:paraId="7A753A7D" w14:textId="77777777" w:rsidR="006F4AF8" w:rsidRPr="00537B7F" w:rsidRDefault="006F4AF8" w:rsidP="006F4AF8">
      <w:pPr>
        <w:spacing w:after="160" w:line="360" w:lineRule="auto"/>
        <w:jc w:val="both"/>
        <w:rPr>
          <w:rFonts w:ascii="David" w:hAnsi="David"/>
          <w:rtl/>
        </w:rPr>
      </w:pPr>
      <w:r w:rsidRPr="00537B7F">
        <w:rPr>
          <w:rFonts w:ascii="David" w:hAnsi="David"/>
          <w:rtl/>
        </w:rPr>
        <w:t>המאשימה הפנתה לפסיקת בית המשפט העליון בדבר הצורך בהחמרה בענישה בעבירות סמים וכן הפנתה לפסיקה בעניין מדיניות הענישה הנוהגת בעבירות השונות.</w:t>
      </w:r>
    </w:p>
    <w:p w14:paraId="7E51C1EC" w14:textId="77777777" w:rsidR="006F4AF8" w:rsidRPr="00537B7F" w:rsidRDefault="006F4AF8" w:rsidP="006F4AF8">
      <w:pPr>
        <w:spacing w:after="160" w:line="360" w:lineRule="auto"/>
        <w:jc w:val="both"/>
        <w:rPr>
          <w:rFonts w:ascii="David" w:hAnsi="David"/>
          <w:rtl/>
        </w:rPr>
      </w:pPr>
      <w:r w:rsidRPr="00537B7F">
        <w:rPr>
          <w:rFonts w:ascii="David" w:hAnsi="David"/>
          <w:rtl/>
        </w:rPr>
        <w:t>עמדת המאשימה היא כי יש לקבוע מתחם ענישה של 10-20 חודשי מאסר בפועל.</w:t>
      </w:r>
    </w:p>
    <w:p w14:paraId="218965F5" w14:textId="77777777" w:rsidR="006F4AF8" w:rsidRPr="00537B7F" w:rsidRDefault="006F4AF8" w:rsidP="006F4AF8">
      <w:pPr>
        <w:spacing w:after="160" w:line="360" w:lineRule="auto"/>
        <w:jc w:val="both"/>
        <w:rPr>
          <w:rFonts w:ascii="David" w:hAnsi="David"/>
          <w:rtl/>
        </w:rPr>
      </w:pPr>
      <w:r w:rsidRPr="00537B7F">
        <w:rPr>
          <w:rFonts w:ascii="David" w:hAnsi="David"/>
          <w:rtl/>
        </w:rPr>
        <w:t>בשים לב לעברו הפלילי של הנאשם, לעובדה ששוחרר ממאסר קודם כארבעה חודשים בלבד בטרם ביצוע העבירות בתיק זה, וכן בשים לב לעברו התעבורתי ממנו נלמד כי הנאשם הוא רצידיוויסט, יש להטיל על הנאשם עונש בחלקו האמצעי-גבוה של המתחם, זאת בנוסף לרכיבים המוסכמים ולעונשים צופי פני עתיד.</w:t>
      </w:r>
    </w:p>
    <w:p w14:paraId="2F193F26" w14:textId="77777777" w:rsidR="006F4AF8" w:rsidRPr="00537B7F" w:rsidRDefault="006F4AF8" w:rsidP="006F4AF8">
      <w:pPr>
        <w:spacing w:after="160" w:line="360" w:lineRule="auto"/>
        <w:jc w:val="both"/>
        <w:rPr>
          <w:rFonts w:ascii="David" w:hAnsi="David"/>
          <w:rtl/>
        </w:rPr>
      </w:pPr>
    </w:p>
    <w:p w14:paraId="769851CB" w14:textId="77777777" w:rsidR="006F4AF8" w:rsidRPr="00537B7F" w:rsidRDefault="006F4AF8" w:rsidP="006F4AF8">
      <w:pPr>
        <w:spacing w:after="160" w:line="360" w:lineRule="auto"/>
        <w:jc w:val="both"/>
        <w:rPr>
          <w:rFonts w:ascii="David" w:hAnsi="David"/>
          <w:rtl/>
        </w:rPr>
      </w:pPr>
      <w:r w:rsidRPr="00537B7F">
        <w:rPr>
          <w:rFonts w:ascii="David" w:hAnsi="David"/>
          <w:b/>
          <w:bCs/>
          <w:rtl/>
        </w:rPr>
        <w:t xml:space="preserve">ב"כ הנאשם </w:t>
      </w:r>
      <w:r w:rsidRPr="00537B7F">
        <w:rPr>
          <w:rFonts w:ascii="David" w:hAnsi="David"/>
          <w:rtl/>
        </w:rPr>
        <w:t xml:space="preserve"> חלק על טיעוני המאשימה הן בקביעת המתחם והן בהערכת נתוניו הפרטניים של הנאשם.</w:t>
      </w:r>
    </w:p>
    <w:p w14:paraId="4C86D367" w14:textId="77777777" w:rsidR="006F4AF8" w:rsidRPr="00537B7F" w:rsidRDefault="006F4AF8" w:rsidP="006F4AF8">
      <w:pPr>
        <w:spacing w:after="160" w:line="360" w:lineRule="auto"/>
        <w:jc w:val="both"/>
        <w:rPr>
          <w:rFonts w:ascii="David" w:hAnsi="David"/>
          <w:rtl/>
        </w:rPr>
      </w:pPr>
      <w:r w:rsidRPr="00537B7F">
        <w:rPr>
          <w:rFonts w:ascii="David" w:hAnsi="David"/>
          <w:rtl/>
        </w:rPr>
        <w:t>ב"כ הנאשם הפנה לכך, כי הנאשם כיום בן 24 מתגורר עם אמו וסועד אותה. עברו הפלילי לא כולל הרשעות בעבירות סמים.  מלבד אירוע זה, פרט לכך נדון בעבר פעם אחת בלבד בגין עבירה של נהיגה בזמן פסילה.</w:t>
      </w:r>
    </w:p>
    <w:p w14:paraId="6B68FD98" w14:textId="77777777" w:rsidR="006F4AF8" w:rsidRPr="00537B7F" w:rsidRDefault="006F4AF8" w:rsidP="006F4AF8">
      <w:pPr>
        <w:spacing w:after="160" w:line="360" w:lineRule="auto"/>
        <w:jc w:val="both"/>
        <w:rPr>
          <w:rFonts w:ascii="David" w:hAnsi="David"/>
          <w:rtl/>
        </w:rPr>
      </w:pPr>
      <w:r w:rsidRPr="00537B7F">
        <w:rPr>
          <w:rFonts w:ascii="David" w:hAnsi="David"/>
          <w:rtl/>
        </w:rPr>
        <w:lastRenderedPageBreak/>
        <w:t>הנאשם אכן נהג בפסילה אך מדובר במי שלא היה מודע לחובתו להפקיד את רשיונו, ולכן לא היה מודע לכך שהפסילה לא נספרת בעת שהוא במאסר. משכך, אף שקיימת עבירה ואי-ידיעת החוק אינה פוטרת את הנאשם יש לכך השלכה בקביעת מידת החומרה.</w:t>
      </w:r>
    </w:p>
    <w:p w14:paraId="35D58EA1" w14:textId="77777777" w:rsidR="006F4AF8" w:rsidRPr="00537B7F" w:rsidRDefault="006F4AF8" w:rsidP="006F4AF8">
      <w:pPr>
        <w:spacing w:after="160" w:line="360" w:lineRule="auto"/>
        <w:jc w:val="both"/>
        <w:rPr>
          <w:rFonts w:ascii="David" w:hAnsi="David"/>
          <w:rtl/>
        </w:rPr>
      </w:pPr>
      <w:r w:rsidRPr="00537B7F">
        <w:rPr>
          <w:rFonts w:ascii="David" w:hAnsi="David"/>
          <w:rtl/>
        </w:rPr>
        <w:t>נטען, כי הסכים לחילוט 10,000 ₪ שהופקדו חלף הרכב שנתפס ושוחרר. בנוסף, מרכיב הקנס המשמעותי מכביד מאד על המשפחה ועל כן יש להקל ברכיבים האחרים.</w:t>
      </w:r>
    </w:p>
    <w:p w14:paraId="5CCD8B3B" w14:textId="77777777" w:rsidR="006F4AF8" w:rsidRPr="00537B7F" w:rsidRDefault="006F4AF8" w:rsidP="006F4AF8">
      <w:pPr>
        <w:spacing w:after="160" w:line="360" w:lineRule="auto"/>
        <w:jc w:val="both"/>
        <w:rPr>
          <w:rFonts w:ascii="David" w:hAnsi="David"/>
          <w:rtl/>
        </w:rPr>
      </w:pPr>
      <w:r w:rsidRPr="00537B7F">
        <w:rPr>
          <w:rFonts w:ascii="David" w:hAnsi="David"/>
          <w:rtl/>
        </w:rPr>
        <w:t xml:space="preserve">ב"כ הנאשם סבור, כי המתחם לו טוענת המאשימה חמור מדי ואינו נתמך בפסיקה הנוהגת ביחס לכמות הסמים שנתפסה. ב"כ הנאשם הפנה לאסמכתאות מטעמו. ביחס לעבירות הפסילה נטען, כי לא מקובל להטיל עונשי מאסר בגין עבירה זו אלא כאשר מדובר בעבריינות חוזרת, ולא רק בפעם הראשונה או השניה. </w:t>
      </w:r>
    </w:p>
    <w:p w14:paraId="546340FB" w14:textId="77777777" w:rsidR="006F4AF8" w:rsidRPr="00537B7F" w:rsidRDefault="006F4AF8" w:rsidP="006F4AF8">
      <w:pPr>
        <w:spacing w:after="160" w:line="360" w:lineRule="auto"/>
        <w:jc w:val="both"/>
        <w:rPr>
          <w:rFonts w:ascii="David" w:hAnsi="David"/>
          <w:rtl/>
        </w:rPr>
      </w:pPr>
      <w:r w:rsidRPr="00537B7F">
        <w:rPr>
          <w:rFonts w:ascii="David" w:hAnsi="David"/>
          <w:rtl/>
        </w:rPr>
        <w:t>משכך נטען, כי מתחם העונש ההולם הוא בטווח המאסר אותו ניתן לרצות בעבודות שירות (עד 9 חודשים). לאור הודאת הנאשם, נסיבותיו האישיות, ההודאה והחיסכון בזמן השיפוטי יש להטיל עליו עונש שהוא בשליש התחתון של המתחם.</w:t>
      </w:r>
    </w:p>
    <w:p w14:paraId="7EC0C242" w14:textId="77777777" w:rsidR="006F4AF8" w:rsidRPr="00537B7F" w:rsidRDefault="006F4AF8" w:rsidP="006F4AF8">
      <w:pPr>
        <w:spacing w:after="160" w:line="360" w:lineRule="auto"/>
        <w:jc w:val="both"/>
        <w:rPr>
          <w:rFonts w:ascii="David" w:hAnsi="David"/>
          <w:rtl/>
        </w:rPr>
      </w:pPr>
    </w:p>
    <w:p w14:paraId="43E95F74" w14:textId="77777777" w:rsidR="006F4AF8" w:rsidRPr="00537B7F" w:rsidRDefault="006F4AF8" w:rsidP="006F4AF8">
      <w:pPr>
        <w:spacing w:after="160" w:line="360" w:lineRule="auto"/>
        <w:jc w:val="both"/>
        <w:rPr>
          <w:rFonts w:ascii="David" w:hAnsi="David"/>
          <w:b/>
          <w:bCs/>
          <w:u w:val="single"/>
          <w:rtl/>
        </w:rPr>
      </w:pPr>
      <w:r w:rsidRPr="00537B7F">
        <w:rPr>
          <w:rFonts w:ascii="David" w:hAnsi="David"/>
          <w:b/>
          <w:bCs/>
          <w:u w:val="single"/>
          <w:rtl/>
        </w:rPr>
        <w:t>קביעת מתחם העונש ההולם:</w:t>
      </w:r>
    </w:p>
    <w:p w14:paraId="6AFFBA2F" w14:textId="77777777" w:rsidR="006F4AF8" w:rsidRPr="00537B7F" w:rsidRDefault="006F4AF8" w:rsidP="006F4AF8">
      <w:pPr>
        <w:spacing w:after="160" w:line="360" w:lineRule="auto"/>
        <w:jc w:val="both"/>
        <w:rPr>
          <w:rFonts w:ascii="David" w:hAnsi="David"/>
          <w:rtl/>
        </w:rPr>
      </w:pPr>
      <w:r w:rsidRPr="00537B7F">
        <w:rPr>
          <w:rFonts w:ascii="David" w:hAnsi="David"/>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6F967D21" w14:textId="77777777" w:rsidR="006F4AF8" w:rsidRPr="00537B7F" w:rsidRDefault="006F4AF8" w:rsidP="006F4AF8">
      <w:pPr>
        <w:snapToGrid w:val="0"/>
        <w:spacing w:after="200" w:line="360" w:lineRule="auto"/>
        <w:jc w:val="both"/>
        <w:rPr>
          <w:rFonts w:ascii="David" w:hAnsi="David"/>
          <w:rtl/>
        </w:rPr>
      </w:pPr>
      <w:r w:rsidRPr="00537B7F">
        <w:rPr>
          <w:rFonts w:ascii="David" w:hAnsi="David"/>
          <w:rtl/>
        </w:rPr>
        <w:t>בבסיס העבירות שבפקודת הסמים מצויים הערכים של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7B4B5618" w14:textId="77777777" w:rsidR="006F4AF8" w:rsidRPr="00537B7F" w:rsidRDefault="006F4AF8" w:rsidP="006F4AF8">
      <w:pPr>
        <w:spacing w:after="200" w:line="360" w:lineRule="auto"/>
        <w:contextualSpacing/>
        <w:jc w:val="both"/>
        <w:rPr>
          <w:rFonts w:ascii="David" w:hAnsi="David"/>
          <w:rtl/>
        </w:rPr>
      </w:pPr>
      <w:r w:rsidRPr="00537B7F">
        <w:rPr>
          <w:rFonts w:ascii="David" w:hAnsi="David"/>
          <w:rtl/>
        </w:rPr>
        <w:t>בנוסף, עבירות הסמים פוגעות גם בביטחון הכללי של הציבור ובשלמות רכושו, בשל הקשר הידוע שבין השימוש בסמים והפצת הסמים ובין קשת רחבה של עבירות רכוש ואלימות.</w:t>
      </w:r>
    </w:p>
    <w:p w14:paraId="1432C158" w14:textId="77777777" w:rsidR="006F4AF8" w:rsidRPr="00537B7F" w:rsidRDefault="006F4AF8" w:rsidP="006F4AF8">
      <w:pPr>
        <w:spacing w:after="200" w:line="360" w:lineRule="auto"/>
        <w:contextualSpacing/>
        <w:jc w:val="both"/>
        <w:rPr>
          <w:rFonts w:ascii="David" w:hAnsi="David"/>
          <w:rtl/>
        </w:rPr>
      </w:pPr>
    </w:p>
    <w:p w14:paraId="7A3012B9" w14:textId="77777777" w:rsidR="006F4AF8" w:rsidRPr="00537B7F" w:rsidRDefault="006F4AF8" w:rsidP="006F4AF8">
      <w:pPr>
        <w:spacing w:after="200" w:line="360" w:lineRule="auto"/>
        <w:jc w:val="both"/>
        <w:rPr>
          <w:rFonts w:ascii="FrankRuehl" w:hAnsi="FrankRuehl"/>
          <w:rtl/>
        </w:rPr>
      </w:pPr>
      <w:r w:rsidRPr="00537B7F">
        <w:rPr>
          <w:rFonts w:ascii="David" w:hAnsi="David"/>
          <w:rtl/>
        </w:rPr>
        <w:t xml:space="preserve">לעניין זה ראו, למשל,  </w:t>
      </w:r>
      <w:hyperlink r:id="rId22" w:history="1">
        <w:r w:rsidR="00037DDD" w:rsidRPr="00537B7F">
          <w:rPr>
            <w:rFonts w:ascii="David" w:hAnsi="David"/>
            <w:color w:val="0000FF"/>
            <w:u w:val="single"/>
            <w:rtl/>
          </w:rPr>
          <w:t>ע"פ 972/11</w:t>
        </w:r>
      </w:hyperlink>
      <w:r w:rsidRPr="00537B7F">
        <w:rPr>
          <w:rFonts w:ascii="David" w:hAnsi="David"/>
          <w:rtl/>
        </w:rPr>
        <w:t xml:space="preserve"> </w:t>
      </w:r>
      <w:r w:rsidRPr="00537B7F">
        <w:rPr>
          <w:rFonts w:ascii="David" w:hAnsi="David"/>
          <w:b/>
          <w:bCs/>
          <w:rtl/>
        </w:rPr>
        <w:t xml:space="preserve">מדינת ישראל נגד יניב יונה </w:t>
      </w:r>
      <w:r w:rsidRPr="00537B7F">
        <w:rPr>
          <w:rFonts w:ascii="David" w:hAnsi="David"/>
          <w:rtl/>
        </w:rPr>
        <w:t>[פורסם במאגרים] (4.7.12):</w:t>
      </w:r>
    </w:p>
    <w:p w14:paraId="214B4788" w14:textId="77777777" w:rsidR="006F4AF8" w:rsidRPr="00537B7F" w:rsidRDefault="006F4AF8" w:rsidP="006F4AF8">
      <w:pPr>
        <w:ind w:left="1440" w:right="851"/>
        <w:jc w:val="both"/>
        <w:rPr>
          <w:rFonts w:ascii="FrankRuehl" w:hAnsi="FrankRuehl"/>
          <w:b/>
          <w:bCs/>
          <w:rtl/>
        </w:rPr>
      </w:pPr>
      <w:r w:rsidRPr="00537B7F">
        <w:rPr>
          <w:rFonts w:ascii="FrankRuehl" w:hAnsi="FrankRuehl"/>
          <w:b/>
          <w:bCs/>
          <w:rtl/>
        </w:rPr>
        <w:t>"</w:t>
      </w:r>
      <w:r w:rsidRPr="00537B7F">
        <w:rPr>
          <w:rFonts w:ascii="FrankRuehl" w:hAnsi="FrankRuehl" w:hint="eastAsia"/>
          <w:b/>
          <w:bCs/>
          <w:rtl/>
        </w:rPr>
        <w:t>את</w:t>
      </w:r>
      <w:r w:rsidRPr="00537B7F">
        <w:rPr>
          <w:rFonts w:ascii="FrankRuehl" w:hAnsi="FrankRuehl"/>
          <w:b/>
          <w:bCs/>
          <w:rtl/>
        </w:rPr>
        <w:t xml:space="preserve"> </w:t>
      </w:r>
      <w:r w:rsidRPr="00537B7F">
        <w:rPr>
          <w:rFonts w:ascii="FrankRuehl" w:hAnsi="FrankRuehl" w:hint="eastAsia"/>
          <w:b/>
          <w:bCs/>
          <w:rtl/>
        </w:rPr>
        <w:t>נגע</w:t>
      </w:r>
      <w:r w:rsidRPr="00537B7F">
        <w:rPr>
          <w:rFonts w:ascii="FrankRuehl" w:hAnsi="FrankRuehl"/>
          <w:b/>
          <w:bCs/>
          <w:rtl/>
        </w:rPr>
        <w:t xml:space="preserve"> </w:t>
      </w:r>
      <w:r w:rsidRPr="00537B7F">
        <w:rPr>
          <w:rFonts w:ascii="FrankRuehl" w:hAnsi="FrankRuehl" w:hint="eastAsia"/>
          <w:b/>
          <w:bCs/>
          <w:rtl/>
        </w:rPr>
        <w:t>הסמים</w:t>
      </w:r>
      <w:r w:rsidRPr="00537B7F">
        <w:rPr>
          <w:rFonts w:ascii="FrankRuehl" w:hAnsi="FrankRuehl"/>
          <w:b/>
          <w:bCs/>
          <w:rtl/>
        </w:rPr>
        <w:t xml:space="preserve"> </w:t>
      </w:r>
      <w:r w:rsidRPr="00537B7F">
        <w:rPr>
          <w:rFonts w:ascii="FrankRuehl" w:hAnsi="FrankRuehl" w:hint="eastAsia"/>
          <w:b/>
          <w:bCs/>
          <w:rtl/>
        </w:rPr>
        <w:t>יש</w:t>
      </w:r>
      <w:r w:rsidRPr="00537B7F">
        <w:rPr>
          <w:rFonts w:ascii="FrankRuehl" w:hAnsi="FrankRuehl"/>
          <w:b/>
          <w:bCs/>
          <w:rtl/>
        </w:rPr>
        <w:t xml:space="preserve"> </w:t>
      </w:r>
      <w:r w:rsidRPr="00537B7F">
        <w:rPr>
          <w:rFonts w:ascii="FrankRuehl" w:hAnsi="FrankRuehl" w:hint="eastAsia"/>
          <w:b/>
          <w:bCs/>
          <w:rtl/>
        </w:rPr>
        <w:t>לעקור</w:t>
      </w:r>
      <w:r w:rsidRPr="00537B7F">
        <w:rPr>
          <w:rFonts w:ascii="FrankRuehl" w:hAnsi="FrankRuehl"/>
          <w:b/>
          <w:bCs/>
          <w:rtl/>
        </w:rPr>
        <w:t xml:space="preserve"> </w:t>
      </w:r>
      <w:r w:rsidRPr="00537B7F">
        <w:rPr>
          <w:rFonts w:ascii="FrankRuehl" w:hAnsi="FrankRuehl" w:hint="eastAsia"/>
          <w:b/>
          <w:bCs/>
          <w:rtl/>
        </w:rPr>
        <w:t>מן</w:t>
      </w:r>
      <w:r w:rsidRPr="00537B7F">
        <w:rPr>
          <w:rFonts w:ascii="FrankRuehl" w:hAnsi="FrankRuehl"/>
          <w:b/>
          <w:bCs/>
          <w:rtl/>
        </w:rPr>
        <w:t xml:space="preserve"> </w:t>
      </w:r>
      <w:r w:rsidRPr="00537B7F">
        <w:rPr>
          <w:rFonts w:ascii="FrankRuehl" w:hAnsi="FrankRuehl" w:hint="eastAsia"/>
          <w:b/>
          <w:bCs/>
          <w:rtl/>
        </w:rPr>
        <w:t>השורש</w:t>
      </w:r>
      <w:r w:rsidRPr="00537B7F">
        <w:rPr>
          <w:rFonts w:ascii="FrankRuehl" w:hAnsi="FrankRuehl"/>
          <w:b/>
          <w:bCs/>
          <w:rtl/>
        </w:rPr>
        <w:t xml:space="preserve">. </w:t>
      </w:r>
      <w:r w:rsidRPr="00537B7F">
        <w:rPr>
          <w:rFonts w:ascii="FrankRuehl" w:hAnsi="FrankRuehl" w:hint="eastAsia"/>
          <w:b/>
          <w:bCs/>
          <w:rtl/>
        </w:rPr>
        <w:t>ייצור</w:t>
      </w:r>
      <w:r w:rsidRPr="00537B7F">
        <w:rPr>
          <w:rFonts w:ascii="FrankRuehl" w:hAnsi="FrankRuehl"/>
          <w:b/>
          <w:bCs/>
          <w:rtl/>
        </w:rPr>
        <w:t xml:space="preserve">, </w:t>
      </w:r>
      <w:r w:rsidRPr="00537B7F">
        <w:rPr>
          <w:rFonts w:ascii="FrankRuehl" w:hAnsi="FrankRuehl" w:hint="eastAsia"/>
          <w:b/>
          <w:bCs/>
          <w:rtl/>
        </w:rPr>
        <w:t>הפצה</w:t>
      </w:r>
      <w:r w:rsidRPr="00537B7F">
        <w:rPr>
          <w:rFonts w:ascii="FrankRuehl" w:hAnsi="FrankRuehl"/>
          <w:b/>
          <w:bCs/>
          <w:rtl/>
        </w:rPr>
        <w:t xml:space="preserve">, </w:t>
      </w:r>
      <w:r w:rsidRPr="00537B7F">
        <w:rPr>
          <w:rFonts w:ascii="FrankRuehl" w:hAnsi="FrankRuehl" w:hint="eastAsia"/>
          <w:b/>
          <w:bCs/>
          <w:rtl/>
        </w:rPr>
        <w:t>סחר</w:t>
      </w:r>
      <w:r w:rsidRPr="00537B7F">
        <w:rPr>
          <w:rFonts w:ascii="FrankRuehl" w:hAnsi="FrankRuehl"/>
          <w:b/>
          <w:bCs/>
          <w:rtl/>
        </w:rPr>
        <w:t xml:space="preserve"> </w:t>
      </w:r>
      <w:r w:rsidRPr="00537B7F">
        <w:rPr>
          <w:rFonts w:ascii="FrankRuehl" w:hAnsi="FrankRuehl" w:hint="eastAsia"/>
          <w:b/>
          <w:bCs/>
          <w:rtl/>
        </w:rPr>
        <w:t>וכמובן</w:t>
      </w:r>
      <w:r w:rsidRPr="00537B7F">
        <w:rPr>
          <w:rFonts w:ascii="FrankRuehl" w:hAnsi="FrankRuehl"/>
          <w:b/>
          <w:bCs/>
          <w:rtl/>
        </w:rPr>
        <w:t xml:space="preserve"> </w:t>
      </w:r>
      <w:r w:rsidRPr="00537B7F">
        <w:rPr>
          <w:rFonts w:ascii="FrankRuehl" w:hAnsi="FrankRuehl" w:hint="eastAsia"/>
          <w:b/>
          <w:bCs/>
          <w:rtl/>
        </w:rPr>
        <w:t>גם</w:t>
      </w:r>
      <w:r w:rsidRPr="00537B7F">
        <w:rPr>
          <w:rFonts w:ascii="FrankRuehl" w:hAnsi="FrankRuehl"/>
          <w:b/>
          <w:bCs/>
          <w:rtl/>
        </w:rPr>
        <w:t xml:space="preserve"> </w:t>
      </w:r>
      <w:r w:rsidRPr="00537B7F">
        <w:rPr>
          <w:rFonts w:ascii="FrankRuehl" w:hAnsi="FrankRuehl" w:hint="eastAsia"/>
          <w:b/>
          <w:bCs/>
          <w:rtl/>
        </w:rPr>
        <w:t>שימוש</w:t>
      </w:r>
      <w:r w:rsidRPr="00537B7F">
        <w:rPr>
          <w:rFonts w:ascii="FrankRuehl" w:hAnsi="FrankRuehl"/>
          <w:b/>
          <w:bCs/>
          <w:rtl/>
        </w:rPr>
        <w:t xml:space="preserve"> </w:t>
      </w:r>
      <w:r w:rsidRPr="00537B7F">
        <w:rPr>
          <w:rFonts w:ascii="FrankRuehl" w:hAnsi="FrankRuehl" w:hint="eastAsia"/>
          <w:b/>
          <w:bCs/>
          <w:rtl/>
        </w:rPr>
        <w:t>בסמים</w:t>
      </w:r>
      <w:r w:rsidRPr="00537B7F">
        <w:rPr>
          <w:rFonts w:ascii="FrankRuehl" w:hAnsi="FrankRuehl"/>
          <w:b/>
          <w:bCs/>
          <w:rtl/>
        </w:rPr>
        <w:t xml:space="preserve"> - </w:t>
      </w:r>
      <w:r w:rsidRPr="00537B7F">
        <w:rPr>
          <w:rFonts w:ascii="FrankRuehl" w:hAnsi="FrankRuehl" w:hint="eastAsia"/>
          <w:b/>
          <w:bCs/>
          <w:rtl/>
        </w:rPr>
        <w:t>כל</w:t>
      </w:r>
      <w:r w:rsidRPr="00537B7F">
        <w:rPr>
          <w:rFonts w:ascii="FrankRuehl" w:hAnsi="FrankRuehl"/>
          <w:b/>
          <w:bCs/>
          <w:rtl/>
        </w:rPr>
        <w:t xml:space="preserve"> </w:t>
      </w:r>
      <w:r w:rsidRPr="00537B7F">
        <w:rPr>
          <w:rFonts w:ascii="FrankRuehl" w:hAnsi="FrankRuehl" w:hint="eastAsia"/>
          <w:b/>
          <w:bCs/>
          <w:rtl/>
        </w:rPr>
        <w:t>אלו</w:t>
      </w:r>
      <w:r w:rsidRPr="00537B7F">
        <w:rPr>
          <w:rFonts w:ascii="FrankRuehl" w:hAnsi="FrankRuehl"/>
          <w:b/>
          <w:bCs/>
          <w:rtl/>
        </w:rPr>
        <w:t xml:space="preserve"> </w:t>
      </w:r>
      <w:r w:rsidRPr="00537B7F">
        <w:rPr>
          <w:rFonts w:ascii="FrankRuehl" w:hAnsi="FrankRuehl" w:hint="eastAsia"/>
          <w:b/>
          <w:bCs/>
          <w:rtl/>
        </w:rPr>
        <w:t>מסבים</w:t>
      </w:r>
      <w:r w:rsidRPr="00537B7F">
        <w:rPr>
          <w:rFonts w:ascii="FrankRuehl" w:hAnsi="FrankRuehl"/>
          <w:b/>
          <w:bCs/>
          <w:rtl/>
        </w:rPr>
        <w:t xml:space="preserve"> </w:t>
      </w:r>
      <w:r w:rsidRPr="00537B7F">
        <w:rPr>
          <w:rFonts w:ascii="FrankRuehl" w:hAnsi="FrankRuehl" w:hint="eastAsia"/>
          <w:b/>
          <w:bCs/>
          <w:rtl/>
        </w:rPr>
        <w:t>נזק</w:t>
      </w:r>
      <w:r w:rsidRPr="00537B7F">
        <w:rPr>
          <w:rFonts w:ascii="FrankRuehl" w:hAnsi="FrankRuehl"/>
          <w:b/>
          <w:bCs/>
          <w:rtl/>
        </w:rPr>
        <w:t xml:space="preserve"> </w:t>
      </w:r>
      <w:r w:rsidRPr="00537B7F">
        <w:rPr>
          <w:rFonts w:ascii="FrankRuehl" w:hAnsi="FrankRuehl" w:hint="eastAsia"/>
          <w:b/>
          <w:bCs/>
          <w:rtl/>
        </w:rPr>
        <w:t>עצום</w:t>
      </w:r>
      <w:r w:rsidRPr="00537B7F">
        <w:rPr>
          <w:rFonts w:ascii="FrankRuehl" w:hAnsi="FrankRuehl"/>
          <w:b/>
          <w:bCs/>
          <w:rtl/>
        </w:rPr>
        <w:t xml:space="preserve">. </w:t>
      </w:r>
      <w:r w:rsidRPr="00537B7F">
        <w:rPr>
          <w:rFonts w:ascii="FrankRuehl" w:hAnsi="FrankRuehl" w:hint="eastAsia"/>
          <w:b/>
          <w:bCs/>
          <w:rtl/>
        </w:rPr>
        <w:t>הנזק</w:t>
      </w:r>
      <w:r w:rsidRPr="00537B7F">
        <w:rPr>
          <w:rFonts w:ascii="FrankRuehl" w:hAnsi="FrankRuehl"/>
          <w:b/>
          <w:bCs/>
          <w:rtl/>
        </w:rPr>
        <w:t xml:space="preserve"> </w:t>
      </w:r>
      <w:r w:rsidRPr="00537B7F">
        <w:rPr>
          <w:rFonts w:ascii="FrankRuehl" w:hAnsi="FrankRuehl" w:hint="eastAsia"/>
          <w:b/>
          <w:bCs/>
          <w:rtl/>
        </w:rPr>
        <w:t>נגרם</w:t>
      </w:r>
      <w:r w:rsidRPr="00537B7F">
        <w:rPr>
          <w:rFonts w:ascii="FrankRuehl" w:hAnsi="FrankRuehl"/>
          <w:b/>
          <w:bCs/>
          <w:rtl/>
        </w:rPr>
        <w:t xml:space="preserve"> </w:t>
      </w:r>
      <w:r w:rsidRPr="00537B7F">
        <w:rPr>
          <w:rFonts w:ascii="FrankRuehl" w:hAnsi="FrankRuehl" w:hint="eastAsia"/>
          <w:b/>
          <w:bCs/>
          <w:rtl/>
        </w:rPr>
        <w:t>לא</w:t>
      </w:r>
      <w:r w:rsidRPr="00537B7F">
        <w:rPr>
          <w:rFonts w:ascii="FrankRuehl" w:hAnsi="FrankRuehl"/>
          <w:b/>
          <w:bCs/>
          <w:rtl/>
        </w:rPr>
        <w:t xml:space="preserve"> </w:t>
      </w:r>
      <w:r w:rsidRPr="00537B7F">
        <w:rPr>
          <w:rFonts w:ascii="FrankRuehl" w:hAnsi="FrankRuehl" w:hint="eastAsia"/>
          <w:b/>
          <w:bCs/>
          <w:rtl/>
        </w:rPr>
        <w:t>רק</w:t>
      </w:r>
      <w:r w:rsidRPr="00537B7F">
        <w:rPr>
          <w:rFonts w:ascii="FrankRuehl" w:hAnsi="FrankRuehl"/>
          <w:b/>
          <w:bCs/>
          <w:rtl/>
        </w:rPr>
        <w:t xml:space="preserve"> </w:t>
      </w:r>
      <w:r w:rsidRPr="00537B7F">
        <w:rPr>
          <w:rFonts w:ascii="FrankRuehl" w:hAnsi="FrankRuehl" w:hint="eastAsia"/>
          <w:b/>
          <w:bCs/>
          <w:rtl/>
        </w:rPr>
        <w:t>למעגל</w:t>
      </w:r>
      <w:r w:rsidRPr="00537B7F">
        <w:rPr>
          <w:rFonts w:ascii="FrankRuehl" w:hAnsi="FrankRuehl"/>
          <w:b/>
          <w:bCs/>
          <w:rtl/>
        </w:rPr>
        <w:t xml:space="preserve"> </w:t>
      </w:r>
      <w:r w:rsidRPr="00537B7F">
        <w:rPr>
          <w:rFonts w:ascii="FrankRuehl" w:hAnsi="FrankRuehl" w:hint="eastAsia"/>
          <w:b/>
          <w:bCs/>
          <w:rtl/>
        </w:rPr>
        <w:t>הסגור</w:t>
      </w:r>
      <w:r w:rsidRPr="00537B7F">
        <w:rPr>
          <w:rFonts w:ascii="FrankRuehl" w:hAnsi="FrankRuehl"/>
          <w:b/>
          <w:bCs/>
          <w:rtl/>
        </w:rPr>
        <w:t xml:space="preserve"> </w:t>
      </w:r>
      <w:r w:rsidRPr="00537B7F">
        <w:rPr>
          <w:rFonts w:ascii="FrankRuehl" w:hAnsi="FrankRuehl" w:hint="eastAsia"/>
          <w:b/>
          <w:bCs/>
          <w:rtl/>
        </w:rPr>
        <w:t>של</w:t>
      </w:r>
      <w:r w:rsidRPr="00537B7F">
        <w:rPr>
          <w:rFonts w:ascii="FrankRuehl" w:hAnsi="FrankRuehl"/>
          <w:b/>
          <w:bCs/>
          <w:rtl/>
        </w:rPr>
        <w:t xml:space="preserve"> </w:t>
      </w:r>
      <w:r w:rsidRPr="00537B7F">
        <w:rPr>
          <w:rFonts w:ascii="FrankRuehl" w:hAnsi="FrankRuehl" w:hint="eastAsia"/>
          <w:b/>
          <w:bCs/>
          <w:rtl/>
        </w:rPr>
        <w:t>המעורבים</w:t>
      </w:r>
      <w:r w:rsidRPr="00537B7F">
        <w:rPr>
          <w:rFonts w:ascii="FrankRuehl" w:hAnsi="FrankRuehl"/>
          <w:b/>
          <w:bCs/>
          <w:rtl/>
        </w:rPr>
        <w:t xml:space="preserve"> </w:t>
      </w:r>
      <w:r w:rsidRPr="00537B7F">
        <w:rPr>
          <w:rFonts w:ascii="FrankRuehl" w:hAnsi="FrankRuehl" w:hint="eastAsia"/>
          <w:b/>
          <w:bCs/>
          <w:rtl/>
        </w:rPr>
        <w:t>הישירים</w:t>
      </w:r>
      <w:r w:rsidRPr="00537B7F">
        <w:rPr>
          <w:rFonts w:ascii="FrankRuehl" w:hAnsi="FrankRuehl"/>
          <w:b/>
          <w:bCs/>
          <w:rtl/>
        </w:rPr>
        <w:t xml:space="preserve"> </w:t>
      </w:r>
      <w:r w:rsidRPr="00537B7F">
        <w:rPr>
          <w:rFonts w:ascii="FrankRuehl" w:hAnsi="FrankRuehl" w:hint="eastAsia"/>
          <w:b/>
          <w:bCs/>
          <w:rtl/>
        </w:rPr>
        <w:t>בביצוע</w:t>
      </w:r>
      <w:r w:rsidRPr="00537B7F">
        <w:rPr>
          <w:rFonts w:ascii="FrankRuehl" w:hAnsi="FrankRuehl"/>
          <w:b/>
          <w:bCs/>
          <w:rtl/>
        </w:rPr>
        <w:t xml:space="preserve"> </w:t>
      </w:r>
      <w:r w:rsidRPr="00537B7F">
        <w:rPr>
          <w:rFonts w:ascii="FrankRuehl" w:hAnsi="FrankRuehl" w:hint="eastAsia"/>
          <w:b/>
          <w:bCs/>
          <w:rtl/>
        </w:rPr>
        <w:t>העבירות</w:t>
      </w:r>
      <w:r w:rsidRPr="00537B7F">
        <w:rPr>
          <w:rFonts w:ascii="FrankRuehl" w:hAnsi="FrankRuehl"/>
          <w:b/>
          <w:bCs/>
          <w:rtl/>
        </w:rPr>
        <w:t xml:space="preserve">, </w:t>
      </w:r>
      <w:r w:rsidRPr="00537B7F">
        <w:rPr>
          <w:rFonts w:ascii="FrankRuehl" w:hAnsi="FrankRuehl" w:hint="eastAsia"/>
          <w:b/>
          <w:bCs/>
          <w:rtl/>
        </w:rPr>
        <w:t>אלא</w:t>
      </w:r>
      <w:r w:rsidRPr="00537B7F">
        <w:rPr>
          <w:rFonts w:ascii="FrankRuehl" w:hAnsi="FrankRuehl"/>
          <w:b/>
          <w:bCs/>
          <w:rtl/>
        </w:rPr>
        <w:t xml:space="preserve"> </w:t>
      </w:r>
      <w:r w:rsidRPr="00537B7F">
        <w:rPr>
          <w:rFonts w:ascii="FrankRuehl" w:hAnsi="FrankRuehl" w:hint="eastAsia"/>
          <w:b/>
          <w:bCs/>
          <w:rtl/>
        </w:rPr>
        <w:t>גם</w:t>
      </w:r>
      <w:r w:rsidRPr="00537B7F">
        <w:rPr>
          <w:rFonts w:ascii="FrankRuehl" w:hAnsi="FrankRuehl"/>
          <w:b/>
          <w:bCs/>
          <w:rtl/>
        </w:rPr>
        <w:t xml:space="preserve"> </w:t>
      </w:r>
      <w:r w:rsidRPr="00537B7F">
        <w:rPr>
          <w:rFonts w:ascii="FrankRuehl" w:hAnsi="FrankRuehl" w:hint="eastAsia"/>
          <w:b/>
          <w:bCs/>
          <w:rtl/>
        </w:rPr>
        <w:t>לחברה</w:t>
      </w:r>
      <w:r w:rsidRPr="00537B7F">
        <w:rPr>
          <w:rFonts w:ascii="FrankRuehl" w:hAnsi="FrankRuehl"/>
          <w:b/>
          <w:bCs/>
          <w:rtl/>
        </w:rPr>
        <w:t xml:space="preserve"> </w:t>
      </w:r>
      <w:r w:rsidRPr="00537B7F">
        <w:rPr>
          <w:rFonts w:ascii="FrankRuehl" w:hAnsi="FrankRuehl" w:hint="eastAsia"/>
          <w:b/>
          <w:bCs/>
          <w:rtl/>
        </w:rPr>
        <w:t>בכללותה</w:t>
      </w:r>
      <w:r w:rsidRPr="00537B7F">
        <w:rPr>
          <w:rFonts w:ascii="FrankRuehl" w:hAnsi="FrankRuehl"/>
          <w:b/>
          <w:bCs/>
          <w:rtl/>
        </w:rPr>
        <w:t xml:space="preserve">.." </w:t>
      </w:r>
    </w:p>
    <w:p w14:paraId="6003FDDA" w14:textId="77777777" w:rsidR="006F4AF8" w:rsidRPr="00537B7F" w:rsidRDefault="006F4AF8" w:rsidP="006F4AF8">
      <w:pPr>
        <w:spacing w:after="200" w:line="360" w:lineRule="auto"/>
        <w:ind w:left="720"/>
        <w:jc w:val="both"/>
        <w:rPr>
          <w:rFonts w:ascii="David" w:hAnsi="David"/>
          <w:rtl/>
        </w:rPr>
      </w:pPr>
    </w:p>
    <w:p w14:paraId="142E7F0C" w14:textId="77777777" w:rsidR="006F4AF8" w:rsidRPr="00537B7F" w:rsidRDefault="006F4AF8" w:rsidP="006F4AF8">
      <w:pPr>
        <w:spacing w:after="200" w:line="360" w:lineRule="auto"/>
        <w:jc w:val="both"/>
        <w:rPr>
          <w:rFonts w:ascii="David" w:hAnsi="David"/>
          <w:rtl/>
        </w:rPr>
      </w:pPr>
      <w:r w:rsidRPr="00537B7F">
        <w:rPr>
          <w:rFonts w:ascii="David" w:hAnsi="David"/>
          <w:rtl/>
        </w:rPr>
        <w:t xml:space="preserve">ראו גם </w:t>
      </w:r>
      <w:hyperlink r:id="rId23" w:history="1">
        <w:r w:rsidR="00037DDD" w:rsidRPr="00537B7F">
          <w:rPr>
            <w:rFonts w:ascii="David" w:hAnsi="David"/>
            <w:color w:val="0000FF"/>
            <w:u w:val="single"/>
            <w:rtl/>
          </w:rPr>
          <w:t>רע"פ 2557/12</w:t>
        </w:r>
      </w:hyperlink>
      <w:r w:rsidRPr="00537B7F">
        <w:rPr>
          <w:rFonts w:ascii="David" w:hAnsi="David"/>
          <w:rtl/>
        </w:rPr>
        <w:t xml:space="preserve"> </w:t>
      </w:r>
      <w:r w:rsidRPr="00537B7F">
        <w:rPr>
          <w:rFonts w:ascii="David" w:hAnsi="David"/>
          <w:b/>
          <w:bCs/>
          <w:rtl/>
        </w:rPr>
        <w:t>תמם פרדי נגד מדינת ישראל</w:t>
      </w:r>
      <w:r w:rsidRPr="00537B7F">
        <w:rPr>
          <w:rFonts w:ascii="David" w:hAnsi="David"/>
          <w:rtl/>
        </w:rPr>
        <w:t xml:space="preserve"> [פורסם במאגרים] (5.4.12): </w:t>
      </w:r>
    </w:p>
    <w:p w14:paraId="56CCA395" w14:textId="77777777" w:rsidR="006F4AF8" w:rsidRPr="00537B7F" w:rsidRDefault="006F4AF8" w:rsidP="006F4AF8">
      <w:pPr>
        <w:ind w:left="1440" w:right="851"/>
        <w:jc w:val="both"/>
        <w:rPr>
          <w:rFonts w:ascii="FrankRuehl" w:hAnsi="FrankRuehl"/>
          <w:b/>
          <w:bCs/>
          <w:rtl/>
        </w:rPr>
      </w:pPr>
      <w:r w:rsidRPr="00537B7F">
        <w:rPr>
          <w:rFonts w:ascii="FrankRuehl" w:hAnsi="FrankRuehl"/>
          <w:b/>
          <w:bCs/>
          <w:rtl/>
        </w:rPr>
        <w:t>"</w:t>
      </w:r>
      <w:r w:rsidRPr="00537B7F">
        <w:rPr>
          <w:rFonts w:ascii="FrankRuehl" w:hAnsi="FrankRuehl" w:hint="eastAsia"/>
          <w:b/>
          <w:bCs/>
          <w:rtl/>
        </w:rPr>
        <w:t>עמדנו</w:t>
      </w:r>
      <w:r w:rsidRPr="00537B7F">
        <w:rPr>
          <w:rFonts w:ascii="FrankRuehl" w:hAnsi="FrankRuehl"/>
          <w:b/>
          <w:bCs/>
          <w:rtl/>
        </w:rPr>
        <w:t xml:space="preserve"> </w:t>
      </w:r>
      <w:r w:rsidRPr="00537B7F">
        <w:rPr>
          <w:rFonts w:ascii="FrankRuehl" w:hAnsi="FrankRuehl" w:hint="eastAsia"/>
          <w:b/>
          <w:bCs/>
          <w:rtl/>
        </w:rPr>
        <w:t>לא</w:t>
      </w:r>
      <w:r w:rsidRPr="00537B7F">
        <w:rPr>
          <w:rFonts w:ascii="FrankRuehl" w:hAnsi="FrankRuehl"/>
          <w:b/>
          <w:bCs/>
          <w:rtl/>
        </w:rPr>
        <w:t xml:space="preserve"> </w:t>
      </w:r>
      <w:r w:rsidRPr="00537B7F">
        <w:rPr>
          <w:rFonts w:ascii="FrankRuehl" w:hAnsi="FrankRuehl" w:hint="eastAsia"/>
          <w:b/>
          <w:bCs/>
          <w:rtl/>
        </w:rPr>
        <w:t>אחת</w:t>
      </w:r>
      <w:r w:rsidRPr="00537B7F">
        <w:rPr>
          <w:rFonts w:ascii="FrankRuehl" w:hAnsi="FrankRuehl"/>
          <w:b/>
          <w:bCs/>
          <w:rtl/>
        </w:rPr>
        <w:t xml:space="preserve"> </w:t>
      </w:r>
      <w:r w:rsidRPr="00537B7F">
        <w:rPr>
          <w:rFonts w:ascii="FrankRuehl" w:hAnsi="FrankRuehl" w:hint="eastAsia"/>
          <w:b/>
          <w:bCs/>
          <w:rtl/>
        </w:rPr>
        <w:t>על</w:t>
      </w:r>
      <w:r w:rsidRPr="00537B7F">
        <w:rPr>
          <w:rFonts w:ascii="FrankRuehl" w:hAnsi="FrankRuehl"/>
          <w:b/>
          <w:bCs/>
          <w:rtl/>
        </w:rPr>
        <w:t xml:space="preserve"> </w:t>
      </w:r>
      <w:r w:rsidRPr="00537B7F">
        <w:rPr>
          <w:rFonts w:ascii="FrankRuehl" w:hAnsi="FrankRuehl" w:hint="eastAsia"/>
          <w:b/>
          <w:bCs/>
          <w:rtl/>
        </w:rPr>
        <w:t>חומרתן</w:t>
      </w:r>
      <w:r w:rsidRPr="00537B7F">
        <w:rPr>
          <w:rFonts w:ascii="FrankRuehl" w:hAnsi="FrankRuehl"/>
          <w:b/>
          <w:bCs/>
          <w:rtl/>
        </w:rPr>
        <w:t xml:space="preserve"> </w:t>
      </w:r>
      <w:r w:rsidRPr="00537B7F">
        <w:rPr>
          <w:rFonts w:ascii="FrankRuehl" w:hAnsi="FrankRuehl" w:hint="eastAsia"/>
          <w:b/>
          <w:bCs/>
          <w:rtl/>
        </w:rPr>
        <w:t>של</w:t>
      </w:r>
      <w:r w:rsidRPr="00537B7F">
        <w:rPr>
          <w:rFonts w:ascii="FrankRuehl" w:hAnsi="FrankRuehl"/>
          <w:b/>
          <w:bCs/>
          <w:rtl/>
        </w:rPr>
        <w:t xml:space="preserve"> </w:t>
      </w:r>
      <w:r w:rsidRPr="00537B7F">
        <w:rPr>
          <w:rFonts w:ascii="FrankRuehl" w:hAnsi="FrankRuehl" w:hint="eastAsia"/>
          <w:b/>
          <w:bCs/>
          <w:rtl/>
        </w:rPr>
        <w:t>עבירות</w:t>
      </w:r>
      <w:r w:rsidRPr="00537B7F">
        <w:rPr>
          <w:rFonts w:ascii="FrankRuehl" w:hAnsi="FrankRuehl"/>
          <w:b/>
          <w:bCs/>
          <w:rtl/>
        </w:rPr>
        <w:t xml:space="preserve"> </w:t>
      </w:r>
      <w:r w:rsidRPr="00537B7F">
        <w:rPr>
          <w:rFonts w:ascii="FrankRuehl" w:hAnsi="FrankRuehl" w:hint="eastAsia"/>
          <w:b/>
          <w:bCs/>
          <w:rtl/>
        </w:rPr>
        <w:t>הפצת</w:t>
      </w:r>
      <w:r w:rsidRPr="00537B7F">
        <w:rPr>
          <w:rFonts w:ascii="FrankRuehl" w:hAnsi="FrankRuehl"/>
          <w:b/>
          <w:bCs/>
          <w:rtl/>
        </w:rPr>
        <w:t xml:space="preserve"> </w:t>
      </w:r>
      <w:r w:rsidRPr="00537B7F">
        <w:rPr>
          <w:rFonts w:ascii="FrankRuehl" w:hAnsi="FrankRuehl" w:hint="eastAsia"/>
          <w:b/>
          <w:bCs/>
          <w:rtl/>
        </w:rPr>
        <w:t>סמים</w:t>
      </w:r>
      <w:r w:rsidRPr="00537B7F">
        <w:rPr>
          <w:rFonts w:ascii="FrankRuehl" w:hAnsi="FrankRuehl"/>
          <w:b/>
          <w:bCs/>
          <w:rtl/>
        </w:rPr>
        <w:t xml:space="preserve"> </w:t>
      </w:r>
      <w:r w:rsidRPr="00537B7F">
        <w:rPr>
          <w:rFonts w:ascii="FrankRuehl" w:hAnsi="FrankRuehl" w:hint="eastAsia"/>
          <w:b/>
          <w:bCs/>
          <w:rtl/>
        </w:rPr>
        <w:t>והחשיבות</w:t>
      </w:r>
      <w:r w:rsidRPr="00537B7F">
        <w:rPr>
          <w:rFonts w:ascii="FrankRuehl" w:hAnsi="FrankRuehl"/>
          <w:b/>
          <w:bCs/>
          <w:rtl/>
        </w:rPr>
        <w:t xml:space="preserve"> </w:t>
      </w:r>
      <w:r w:rsidRPr="00537B7F">
        <w:rPr>
          <w:rFonts w:ascii="FrankRuehl" w:hAnsi="FrankRuehl" w:hint="eastAsia"/>
          <w:b/>
          <w:bCs/>
          <w:rtl/>
        </w:rPr>
        <w:t>בהרתעה</w:t>
      </w:r>
      <w:r w:rsidRPr="00537B7F">
        <w:rPr>
          <w:rFonts w:ascii="FrankRuehl" w:hAnsi="FrankRuehl"/>
          <w:b/>
          <w:bCs/>
          <w:rtl/>
        </w:rPr>
        <w:t xml:space="preserve"> </w:t>
      </w:r>
      <w:r w:rsidRPr="00537B7F">
        <w:rPr>
          <w:rFonts w:ascii="FrankRuehl" w:hAnsi="FrankRuehl" w:hint="eastAsia"/>
          <w:b/>
          <w:bCs/>
          <w:rtl/>
        </w:rPr>
        <w:t>אפקטיבית</w:t>
      </w:r>
      <w:r w:rsidRPr="00537B7F">
        <w:rPr>
          <w:rFonts w:ascii="FrankRuehl" w:hAnsi="FrankRuehl"/>
          <w:b/>
          <w:bCs/>
          <w:rtl/>
        </w:rPr>
        <w:t xml:space="preserve">: </w:t>
      </w:r>
    </w:p>
    <w:p w14:paraId="03AC7C20" w14:textId="77777777" w:rsidR="006F4AF8" w:rsidRPr="00537B7F" w:rsidRDefault="006F4AF8" w:rsidP="006F4AF8">
      <w:pPr>
        <w:ind w:left="1643" w:right="851"/>
        <w:jc w:val="both"/>
        <w:rPr>
          <w:rFonts w:ascii="FrankRuehl" w:hAnsi="FrankRuehl"/>
          <w:b/>
          <w:bCs/>
          <w:rtl/>
        </w:rPr>
      </w:pPr>
      <w:r w:rsidRPr="00537B7F">
        <w:rPr>
          <w:rFonts w:ascii="FrankRuehl" w:hAnsi="FrankRuehl"/>
          <w:b/>
          <w:bCs/>
          <w:rtl/>
        </w:rPr>
        <w:t>"</w:t>
      </w:r>
      <w:r w:rsidRPr="00537B7F">
        <w:rPr>
          <w:rFonts w:ascii="FrankRuehl" w:hAnsi="FrankRuehl" w:hint="eastAsia"/>
          <w:b/>
          <w:bCs/>
          <w:rtl/>
        </w:rPr>
        <w:t>חשיבות</w:t>
      </w:r>
      <w:r w:rsidRPr="00537B7F">
        <w:rPr>
          <w:rFonts w:ascii="FrankRuehl" w:hAnsi="FrankRuehl"/>
          <w:b/>
          <w:bCs/>
          <w:rtl/>
        </w:rPr>
        <w:t xml:space="preserve"> </w:t>
      </w:r>
      <w:r w:rsidRPr="00537B7F">
        <w:rPr>
          <w:rFonts w:ascii="FrankRuehl" w:hAnsi="FrankRuehl" w:hint="eastAsia"/>
          <w:b/>
          <w:bCs/>
          <w:rtl/>
        </w:rPr>
        <w:t>המלחמה</w:t>
      </w:r>
      <w:r w:rsidRPr="00537B7F">
        <w:rPr>
          <w:rFonts w:ascii="FrankRuehl" w:hAnsi="FrankRuehl"/>
          <w:b/>
          <w:bCs/>
          <w:rtl/>
        </w:rPr>
        <w:t xml:space="preserve"> </w:t>
      </w:r>
      <w:r w:rsidRPr="00537B7F">
        <w:rPr>
          <w:rFonts w:ascii="FrankRuehl" w:hAnsi="FrankRuehl" w:hint="eastAsia"/>
          <w:b/>
          <w:bCs/>
          <w:rtl/>
        </w:rPr>
        <w:t>בנגע</w:t>
      </w:r>
      <w:r w:rsidRPr="00537B7F">
        <w:rPr>
          <w:rFonts w:ascii="FrankRuehl" w:hAnsi="FrankRuehl"/>
          <w:b/>
          <w:bCs/>
          <w:rtl/>
        </w:rPr>
        <w:t xml:space="preserve"> </w:t>
      </w:r>
      <w:r w:rsidRPr="00537B7F">
        <w:rPr>
          <w:rFonts w:ascii="FrankRuehl" w:hAnsi="FrankRuehl" w:hint="eastAsia"/>
          <w:b/>
          <w:bCs/>
          <w:rtl/>
        </w:rPr>
        <w:t>הסמים</w:t>
      </w:r>
      <w:r w:rsidRPr="00537B7F">
        <w:rPr>
          <w:rFonts w:ascii="FrankRuehl" w:hAnsi="FrankRuehl"/>
          <w:b/>
          <w:bCs/>
          <w:rtl/>
        </w:rPr>
        <w:t xml:space="preserve"> </w:t>
      </w:r>
      <w:r w:rsidRPr="00537B7F">
        <w:rPr>
          <w:rFonts w:ascii="FrankRuehl" w:hAnsi="FrankRuehl" w:hint="eastAsia"/>
          <w:b/>
          <w:bCs/>
          <w:rtl/>
        </w:rPr>
        <w:t>ידועה</w:t>
      </w:r>
      <w:r w:rsidRPr="00537B7F">
        <w:rPr>
          <w:rFonts w:ascii="FrankRuehl" w:hAnsi="FrankRuehl"/>
          <w:b/>
          <w:bCs/>
          <w:rtl/>
        </w:rPr>
        <w:t xml:space="preserve"> </w:t>
      </w:r>
      <w:r w:rsidRPr="00537B7F">
        <w:rPr>
          <w:rFonts w:ascii="FrankRuehl" w:hAnsi="FrankRuehl" w:hint="eastAsia"/>
          <w:b/>
          <w:bCs/>
          <w:rtl/>
        </w:rPr>
        <w:t>לכל</w:t>
      </w:r>
      <w:r w:rsidRPr="00537B7F">
        <w:rPr>
          <w:rFonts w:ascii="FrankRuehl" w:hAnsi="FrankRuehl"/>
          <w:b/>
          <w:bCs/>
          <w:rtl/>
        </w:rPr>
        <w:t xml:space="preserve">, </w:t>
      </w:r>
      <w:r w:rsidRPr="00537B7F">
        <w:rPr>
          <w:rFonts w:ascii="FrankRuehl" w:hAnsi="FrankRuehl" w:hint="eastAsia"/>
          <w:b/>
          <w:bCs/>
          <w:rtl/>
        </w:rPr>
        <w:t>והעוסקים</w:t>
      </w:r>
      <w:r w:rsidRPr="00537B7F">
        <w:rPr>
          <w:rFonts w:ascii="FrankRuehl" w:hAnsi="FrankRuehl"/>
          <w:b/>
          <w:bCs/>
          <w:rtl/>
        </w:rPr>
        <w:t xml:space="preserve"> </w:t>
      </w:r>
      <w:r w:rsidRPr="00537B7F">
        <w:rPr>
          <w:rFonts w:ascii="FrankRuehl" w:hAnsi="FrankRuehl" w:hint="eastAsia"/>
          <w:b/>
          <w:bCs/>
          <w:rtl/>
        </w:rPr>
        <w:t>בסחר</w:t>
      </w:r>
      <w:r w:rsidRPr="00537B7F">
        <w:rPr>
          <w:rFonts w:ascii="FrankRuehl" w:hAnsi="FrankRuehl"/>
          <w:b/>
          <w:bCs/>
          <w:rtl/>
        </w:rPr>
        <w:t xml:space="preserve"> </w:t>
      </w:r>
      <w:r w:rsidRPr="00537B7F">
        <w:rPr>
          <w:rFonts w:ascii="FrankRuehl" w:hAnsi="FrankRuehl" w:hint="eastAsia"/>
          <w:b/>
          <w:bCs/>
          <w:rtl/>
        </w:rPr>
        <w:t>ובתיווך</w:t>
      </w:r>
      <w:r w:rsidRPr="00537B7F">
        <w:rPr>
          <w:rFonts w:ascii="FrankRuehl" w:hAnsi="FrankRuehl"/>
          <w:b/>
          <w:bCs/>
          <w:rtl/>
        </w:rPr>
        <w:t xml:space="preserve"> </w:t>
      </w:r>
      <w:r w:rsidRPr="00537B7F">
        <w:rPr>
          <w:rFonts w:ascii="FrankRuehl" w:hAnsi="FrankRuehl" w:hint="eastAsia"/>
          <w:b/>
          <w:bCs/>
          <w:rtl/>
        </w:rPr>
        <w:t>בסם</w:t>
      </w:r>
      <w:r w:rsidRPr="00537B7F">
        <w:rPr>
          <w:rFonts w:ascii="FrankRuehl" w:hAnsi="FrankRuehl"/>
          <w:b/>
          <w:bCs/>
          <w:rtl/>
        </w:rPr>
        <w:t xml:space="preserve"> </w:t>
      </w:r>
      <w:r w:rsidRPr="00537B7F">
        <w:rPr>
          <w:rFonts w:ascii="FrankRuehl" w:hAnsi="FrankRuehl" w:hint="eastAsia"/>
          <w:b/>
          <w:bCs/>
          <w:rtl/>
        </w:rPr>
        <w:t>יידעו</w:t>
      </w:r>
      <w:r w:rsidRPr="00537B7F">
        <w:rPr>
          <w:rFonts w:ascii="FrankRuehl" w:hAnsi="FrankRuehl"/>
          <w:b/>
          <w:bCs/>
          <w:rtl/>
        </w:rPr>
        <w:t xml:space="preserve"> </w:t>
      </w:r>
      <w:r w:rsidRPr="00537B7F">
        <w:rPr>
          <w:rFonts w:ascii="FrankRuehl" w:hAnsi="FrankRuehl" w:hint="eastAsia"/>
          <w:b/>
          <w:bCs/>
          <w:rtl/>
        </w:rPr>
        <w:t>כי</w:t>
      </w:r>
      <w:r w:rsidRPr="00537B7F">
        <w:rPr>
          <w:rFonts w:ascii="FrankRuehl" w:hAnsi="FrankRuehl"/>
          <w:b/>
          <w:bCs/>
          <w:rtl/>
        </w:rPr>
        <w:t xml:space="preserve"> '</w:t>
      </w:r>
      <w:r w:rsidRPr="00537B7F">
        <w:rPr>
          <w:rFonts w:ascii="FrankRuehl" w:hAnsi="FrankRuehl" w:hint="eastAsia"/>
          <w:b/>
          <w:bCs/>
          <w:rtl/>
        </w:rPr>
        <w:t>מלחמת</w:t>
      </w:r>
      <w:r w:rsidRPr="00537B7F">
        <w:rPr>
          <w:rFonts w:ascii="FrankRuehl" w:hAnsi="FrankRuehl"/>
          <w:b/>
          <w:bCs/>
          <w:rtl/>
        </w:rPr>
        <w:t xml:space="preserve"> </w:t>
      </w:r>
      <w:r w:rsidRPr="00537B7F">
        <w:rPr>
          <w:rFonts w:ascii="FrankRuehl" w:hAnsi="FrankRuehl" w:hint="eastAsia"/>
          <w:b/>
          <w:bCs/>
          <w:rtl/>
        </w:rPr>
        <w:t>החורמה</w:t>
      </w:r>
      <w:r w:rsidRPr="00537B7F">
        <w:rPr>
          <w:rFonts w:ascii="FrankRuehl" w:hAnsi="FrankRuehl"/>
          <w:b/>
          <w:bCs/>
          <w:rtl/>
        </w:rPr>
        <w:t xml:space="preserve"> </w:t>
      </w:r>
      <w:r w:rsidRPr="00537B7F">
        <w:rPr>
          <w:rFonts w:ascii="FrankRuehl" w:hAnsi="FrankRuehl" w:hint="eastAsia"/>
          <w:b/>
          <w:bCs/>
          <w:rtl/>
        </w:rPr>
        <w:t>בעברייני</w:t>
      </w:r>
      <w:r w:rsidRPr="00537B7F">
        <w:rPr>
          <w:rFonts w:ascii="FrankRuehl" w:hAnsi="FrankRuehl"/>
          <w:b/>
          <w:bCs/>
          <w:rtl/>
        </w:rPr>
        <w:t xml:space="preserve"> </w:t>
      </w:r>
      <w:r w:rsidRPr="00537B7F">
        <w:rPr>
          <w:rFonts w:ascii="FrankRuehl" w:hAnsi="FrankRuehl" w:hint="eastAsia"/>
          <w:b/>
          <w:bCs/>
          <w:rtl/>
        </w:rPr>
        <w:t>סמים</w:t>
      </w:r>
      <w:r w:rsidRPr="00537B7F">
        <w:rPr>
          <w:rFonts w:ascii="FrankRuehl" w:hAnsi="FrankRuehl"/>
          <w:b/>
          <w:bCs/>
          <w:rtl/>
        </w:rPr>
        <w:t xml:space="preserve"> </w:t>
      </w:r>
      <w:r w:rsidRPr="00537B7F">
        <w:rPr>
          <w:rFonts w:ascii="FrankRuehl" w:hAnsi="FrankRuehl" w:hint="eastAsia"/>
          <w:b/>
          <w:bCs/>
          <w:rtl/>
        </w:rPr>
        <w:t>נמשכת</w:t>
      </w:r>
      <w:r w:rsidRPr="00537B7F">
        <w:rPr>
          <w:rFonts w:ascii="FrankRuehl" w:hAnsi="FrankRuehl"/>
          <w:b/>
          <w:bCs/>
          <w:rtl/>
        </w:rPr>
        <w:t xml:space="preserve"> </w:t>
      </w:r>
      <w:r w:rsidRPr="00537B7F">
        <w:rPr>
          <w:rFonts w:ascii="FrankRuehl" w:hAnsi="FrankRuehl" w:hint="eastAsia"/>
          <w:b/>
          <w:bCs/>
          <w:rtl/>
        </w:rPr>
        <w:t>והולכת</w:t>
      </w:r>
      <w:r w:rsidRPr="00537B7F">
        <w:rPr>
          <w:rFonts w:ascii="FrankRuehl" w:hAnsi="FrankRuehl"/>
          <w:b/>
          <w:bCs/>
          <w:rtl/>
        </w:rPr>
        <w:t xml:space="preserve">. </w:t>
      </w:r>
      <w:r w:rsidRPr="00537B7F">
        <w:rPr>
          <w:rFonts w:ascii="FrankRuehl" w:hAnsi="FrankRuehl" w:hint="eastAsia"/>
          <w:b/>
          <w:bCs/>
          <w:rtl/>
        </w:rPr>
        <w:t>מלחמה</w:t>
      </w:r>
      <w:r w:rsidRPr="00537B7F">
        <w:rPr>
          <w:rFonts w:ascii="FrankRuehl" w:hAnsi="FrankRuehl"/>
          <w:b/>
          <w:bCs/>
          <w:rtl/>
        </w:rPr>
        <w:t xml:space="preserve"> </w:t>
      </w:r>
      <w:r w:rsidRPr="00537B7F">
        <w:rPr>
          <w:rFonts w:ascii="FrankRuehl" w:hAnsi="FrankRuehl" w:hint="eastAsia"/>
          <w:b/>
          <w:bCs/>
          <w:rtl/>
        </w:rPr>
        <w:t>קשה</w:t>
      </w:r>
      <w:r w:rsidRPr="00537B7F">
        <w:rPr>
          <w:rFonts w:ascii="FrankRuehl" w:hAnsi="FrankRuehl"/>
          <w:b/>
          <w:bCs/>
          <w:rtl/>
        </w:rPr>
        <w:t xml:space="preserve"> </w:t>
      </w:r>
      <w:r w:rsidRPr="00537B7F">
        <w:rPr>
          <w:rFonts w:ascii="FrankRuehl" w:hAnsi="FrankRuehl" w:hint="eastAsia"/>
          <w:b/>
          <w:bCs/>
          <w:rtl/>
        </w:rPr>
        <w:t>היא</w:t>
      </w:r>
      <w:r w:rsidRPr="00537B7F">
        <w:rPr>
          <w:rFonts w:ascii="FrankRuehl" w:hAnsi="FrankRuehl"/>
          <w:b/>
          <w:bCs/>
          <w:rtl/>
        </w:rPr>
        <w:t xml:space="preserve">, </w:t>
      </w:r>
      <w:r w:rsidRPr="00537B7F">
        <w:rPr>
          <w:rFonts w:ascii="FrankRuehl" w:hAnsi="FrankRuehl" w:hint="eastAsia"/>
          <w:b/>
          <w:bCs/>
          <w:rtl/>
        </w:rPr>
        <w:t>מלחמה</w:t>
      </w:r>
      <w:r w:rsidRPr="00537B7F">
        <w:rPr>
          <w:rFonts w:ascii="FrankRuehl" w:hAnsi="FrankRuehl"/>
          <w:b/>
          <w:bCs/>
          <w:rtl/>
        </w:rPr>
        <w:t xml:space="preserve"> </w:t>
      </w:r>
      <w:r w:rsidRPr="00537B7F">
        <w:rPr>
          <w:rFonts w:ascii="FrankRuehl" w:hAnsi="FrankRuehl" w:hint="eastAsia"/>
          <w:b/>
          <w:bCs/>
          <w:rtl/>
        </w:rPr>
        <w:t>ארוכה</w:t>
      </w:r>
      <w:r w:rsidRPr="00537B7F">
        <w:rPr>
          <w:rFonts w:ascii="FrankRuehl" w:hAnsi="FrankRuehl"/>
          <w:b/>
          <w:bCs/>
          <w:rtl/>
        </w:rPr>
        <w:t xml:space="preserve">, </w:t>
      </w:r>
      <w:r w:rsidRPr="00537B7F">
        <w:rPr>
          <w:rFonts w:ascii="FrankRuehl" w:hAnsi="FrankRuehl" w:hint="eastAsia"/>
          <w:b/>
          <w:bCs/>
          <w:rtl/>
        </w:rPr>
        <w:t>והיא</w:t>
      </w:r>
      <w:r w:rsidRPr="00537B7F">
        <w:rPr>
          <w:rFonts w:ascii="FrankRuehl" w:hAnsi="FrankRuehl"/>
          <w:b/>
          <w:bCs/>
          <w:rtl/>
        </w:rPr>
        <w:t xml:space="preserve"> </w:t>
      </w:r>
      <w:r w:rsidRPr="00537B7F">
        <w:rPr>
          <w:rFonts w:ascii="FrankRuehl" w:hAnsi="FrankRuehl" w:hint="eastAsia"/>
          <w:b/>
          <w:bCs/>
          <w:rtl/>
        </w:rPr>
        <w:t>כמלחמת</w:t>
      </w:r>
      <w:r w:rsidRPr="00537B7F">
        <w:rPr>
          <w:rFonts w:ascii="FrankRuehl" w:hAnsi="FrankRuehl"/>
          <w:b/>
          <w:bCs/>
          <w:rtl/>
        </w:rPr>
        <w:t xml:space="preserve"> </w:t>
      </w:r>
      <w:r w:rsidRPr="00537B7F">
        <w:rPr>
          <w:rFonts w:ascii="FrankRuehl" w:hAnsi="FrankRuehl" w:hint="eastAsia"/>
          <w:b/>
          <w:bCs/>
          <w:rtl/>
        </w:rPr>
        <w:t>ישראל</w:t>
      </w:r>
      <w:r w:rsidRPr="00537B7F">
        <w:rPr>
          <w:rFonts w:ascii="FrankRuehl" w:hAnsi="FrankRuehl"/>
          <w:b/>
          <w:bCs/>
          <w:rtl/>
        </w:rPr>
        <w:t xml:space="preserve"> </w:t>
      </w:r>
      <w:r w:rsidRPr="00537B7F">
        <w:rPr>
          <w:rFonts w:ascii="FrankRuehl" w:hAnsi="FrankRuehl" w:hint="eastAsia"/>
          <w:b/>
          <w:bCs/>
          <w:rtl/>
        </w:rPr>
        <w:t>בעמלק</w:t>
      </w:r>
      <w:r w:rsidRPr="00537B7F">
        <w:rPr>
          <w:rFonts w:ascii="FrankRuehl" w:hAnsi="FrankRuehl"/>
          <w:b/>
          <w:bCs/>
          <w:rtl/>
        </w:rPr>
        <w:t>" (</w:t>
      </w:r>
      <w:hyperlink r:id="rId24" w:history="1">
        <w:r w:rsidR="00037DDD" w:rsidRPr="00537B7F">
          <w:rPr>
            <w:rFonts w:ascii="FrankRuehl" w:hAnsi="FrankRuehl"/>
            <w:b/>
            <w:bCs/>
            <w:color w:val="0000FF"/>
            <w:u w:val="single"/>
            <w:rtl/>
          </w:rPr>
          <w:t>ע"פ 4998/95</w:t>
        </w:r>
      </w:hyperlink>
      <w:r w:rsidRPr="00537B7F">
        <w:rPr>
          <w:rFonts w:ascii="FrankRuehl" w:hAnsi="FrankRuehl"/>
          <w:b/>
          <w:bCs/>
          <w:rtl/>
        </w:rPr>
        <w:t xml:space="preserve"> </w:t>
      </w:r>
      <w:r w:rsidRPr="00537B7F">
        <w:rPr>
          <w:rFonts w:ascii="FrankRuehl" w:hAnsi="FrankRuehl" w:hint="eastAsia"/>
          <w:b/>
          <w:bCs/>
          <w:rtl/>
        </w:rPr>
        <w:t>מדינת</w:t>
      </w:r>
      <w:r w:rsidRPr="00537B7F">
        <w:rPr>
          <w:rFonts w:ascii="FrankRuehl" w:hAnsi="FrankRuehl"/>
          <w:b/>
          <w:bCs/>
          <w:rtl/>
        </w:rPr>
        <w:t xml:space="preserve"> </w:t>
      </w:r>
      <w:r w:rsidRPr="00537B7F">
        <w:rPr>
          <w:rFonts w:ascii="FrankRuehl" w:hAnsi="FrankRuehl" w:hint="eastAsia"/>
          <w:b/>
          <w:bCs/>
          <w:rtl/>
        </w:rPr>
        <w:t>ישראל</w:t>
      </w:r>
      <w:r w:rsidRPr="00537B7F">
        <w:rPr>
          <w:rFonts w:ascii="FrankRuehl" w:hAnsi="FrankRuehl"/>
          <w:b/>
          <w:bCs/>
          <w:rtl/>
        </w:rPr>
        <w:t xml:space="preserve"> </w:t>
      </w:r>
      <w:r w:rsidRPr="00537B7F">
        <w:rPr>
          <w:rFonts w:ascii="FrankRuehl" w:hAnsi="FrankRuehl" w:hint="eastAsia"/>
          <w:b/>
          <w:bCs/>
          <w:rtl/>
        </w:rPr>
        <w:t>נ</w:t>
      </w:r>
      <w:r w:rsidRPr="00537B7F">
        <w:rPr>
          <w:rFonts w:ascii="FrankRuehl" w:hAnsi="FrankRuehl"/>
          <w:b/>
          <w:bCs/>
          <w:rtl/>
        </w:rPr>
        <w:t xml:space="preserve">' </w:t>
      </w:r>
      <w:r w:rsidRPr="00537B7F">
        <w:rPr>
          <w:rFonts w:ascii="FrankRuehl" w:hAnsi="FrankRuehl" w:hint="eastAsia"/>
          <w:b/>
          <w:bCs/>
          <w:rtl/>
        </w:rPr>
        <w:t>אוקטביו</w:t>
      </w:r>
      <w:r w:rsidRPr="00537B7F">
        <w:rPr>
          <w:rFonts w:ascii="FrankRuehl" w:hAnsi="FrankRuehl"/>
          <w:b/>
          <w:bCs/>
          <w:rtl/>
        </w:rPr>
        <w:t xml:space="preserve">, </w:t>
      </w:r>
      <w:r w:rsidRPr="00537B7F">
        <w:rPr>
          <w:rFonts w:ascii="FrankRuehl" w:hAnsi="FrankRuehl" w:hint="eastAsia"/>
          <w:b/>
          <w:bCs/>
          <w:rtl/>
        </w:rPr>
        <w:t>פ</w:t>
      </w:r>
      <w:r w:rsidRPr="00537B7F">
        <w:rPr>
          <w:rFonts w:ascii="FrankRuehl" w:hAnsi="FrankRuehl"/>
          <w:b/>
          <w:bCs/>
          <w:rtl/>
        </w:rPr>
        <w:t>"</w:t>
      </w:r>
      <w:r w:rsidRPr="00537B7F">
        <w:rPr>
          <w:rFonts w:ascii="FrankRuehl" w:hAnsi="FrankRuehl" w:hint="eastAsia"/>
          <w:b/>
          <w:bCs/>
          <w:rtl/>
        </w:rPr>
        <w:t>ד</w:t>
      </w:r>
      <w:r w:rsidRPr="00537B7F">
        <w:rPr>
          <w:rFonts w:ascii="FrankRuehl" w:hAnsi="FrankRuehl"/>
          <w:b/>
          <w:bCs/>
          <w:rtl/>
        </w:rPr>
        <w:t xml:space="preserve"> </w:t>
      </w:r>
      <w:r w:rsidRPr="00537B7F">
        <w:rPr>
          <w:rFonts w:ascii="FrankRuehl" w:hAnsi="FrankRuehl" w:hint="eastAsia"/>
          <w:b/>
          <w:bCs/>
          <w:rtl/>
        </w:rPr>
        <w:t>נא</w:t>
      </w:r>
      <w:r w:rsidRPr="00537B7F">
        <w:rPr>
          <w:rFonts w:ascii="FrankRuehl" w:hAnsi="FrankRuehl"/>
          <w:b/>
          <w:bCs/>
          <w:rtl/>
        </w:rPr>
        <w:t xml:space="preserve">(3) 769, 787 </w:t>
      </w:r>
      <w:r w:rsidRPr="00537B7F">
        <w:rPr>
          <w:rFonts w:ascii="FrankRuehl" w:hAnsi="FrankRuehl" w:hint="eastAsia"/>
          <w:b/>
          <w:bCs/>
          <w:rtl/>
        </w:rPr>
        <w:t>השופט</w:t>
      </w:r>
      <w:r w:rsidRPr="00537B7F">
        <w:rPr>
          <w:rFonts w:ascii="FrankRuehl" w:hAnsi="FrankRuehl"/>
          <w:b/>
          <w:bCs/>
          <w:rtl/>
        </w:rPr>
        <w:t xml:space="preserve"> </w:t>
      </w:r>
      <w:r w:rsidRPr="00537B7F">
        <w:rPr>
          <w:rFonts w:ascii="FrankRuehl" w:hAnsi="FrankRuehl" w:hint="eastAsia"/>
          <w:b/>
          <w:bCs/>
          <w:rtl/>
        </w:rPr>
        <w:t>כתארו</w:t>
      </w:r>
      <w:r w:rsidRPr="00537B7F">
        <w:rPr>
          <w:rFonts w:ascii="FrankRuehl" w:hAnsi="FrankRuehl"/>
          <w:b/>
          <w:bCs/>
          <w:rtl/>
        </w:rPr>
        <w:t xml:space="preserve"> </w:t>
      </w:r>
      <w:r w:rsidRPr="00537B7F">
        <w:rPr>
          <w:rFonts w:ascii="FrankRuehl" w:hAnsi="FrankRuehl" w:hint="eastAsia"/>
          <w:b/>
          <w:bCs/>
          <w:rtl/>
        </w:rPr>
        <w:t>אז</w:t>
      </w:r>
      <w:r w:rsidRPr="00537B7F">
        <w:rPr>
          <w:rFonts w:ascii="FrankRuehl" w:hAnsi="FrankRuehl"/>
          <w:b/>
          <w:bCs/>
          <w:rtl/>
        </w:rPr>
        <w:t xml:space="preserve"> - </w:t>
      </w:r>
      <w:r w:rsidRPr="00537B7F">
        <w:rPr>
          <w:rFonts w:ascii="FrankRuehl" w:hAnsi="FrankRuehl" w:hint="eastAsia"/>
          <w:b/>
          <w:bCs/>
          <w:rtl/>
        </w:rPr>
        <w:t>מ</w:t>
      </w:r>
      <w:r w:rsidRPr="00537B7F">
        <w:rPr>
          <w:rFonts w:ascii="FrankRuehl" w:hAnsi="FrankRuehl"/>
          <w:b/>
          <w:bCs/>
          <w:rtl/>
        </w:rPr>
        <w:t xml:space="preserve">' </w:t>
      </w:r>
      <w:r w:rsidRPr="00537B7F">
        <w:rPr>
          <w:rFonts w:ascii="FrankRuehl" w:hAnsi="FrankRuehl" w:hint="eastAsia"/>
          <w:b/>
          <w:bCs/>
          <w:rtl/>
        </w:rPr>
        <w:t>חשין</w:t>
      </w:r>
      <w:r w:rsidRPr="00537B7F">
        <w:rPr>
          <w:rFonts w:ascii="FrankRuehl" w:hAnsi="FrankRuehl"/>
          <w:b/>
          <w:bCs/>
          <w:rtl/>
        </w:rPr>
        <w:t>)" (</w:t>
      </w:r>
      <w:hyperlink r:id="rId25" w:history="1">
        <w:r w:rsidR="00037DDD" w:rsidRPr="00537B7F">
          <w:rPr>
            <w:rFonts w:ascii="FrankRuehl" w:hAnsi="FrankRuehl"/>
            <w:b/>
            <w:bCs/>
            <w:color w:val="0000FF"/>
            <w:u w:val="single"/>
            <w:rtl/>
          </w:rPr>
          <w:t>רע"פ 1720/11</w:t>
        </w:r>
      </w:hyperlink>
      <w:r w:rsidRPr="00537B7F">
        <w:rPr>
          <w:rFonts w:ascii="FrankRuehl" w:hAnsi="FrankRuehl"/>
          <w:b/>
          <w:bCs/>
          <w:rtl/>
        </w:rPr>
        <w:t xml:space="preserve">  </w:t>
      </w:r>
      <w:r w:rsidRPr="00537B7F">
        <w:rPr>
          <w:rFonts w:ascii="FrankRuehl" w:hAnsi="FrankRuehl" w:hint="eastAsia"/>
          <w:b/>
          <w:bCs/>
          <w:rtl/>
        </w:rPr>
        <w:t>גליק</w:t>
      </w:r>
      <w:r w:rsidRPr="00537B7F">
        <w:rPr>
          <w:rFonts w:ascii="FrankRuehl" w:hAnsi="FrankRuehl"/>
          <w:b/>
          <w:bCs/>
          <w:rtl/>
        </w:rPr>
        <w:t xml:space="preserve"> </w:t>
      </w:r>
      <w:r w:rsidRPr="00537B7F">
        <w:rPr>
          <w:rFonts w:ascii="FrankRuehl" w:hAnsi="FrankRuehl" w:hint="eastAsia"/>
          <w:b/>
          <w:bCs/>
          <w:rtl/>
        </w:rPr>
        <w:t>נ</w:t>
      </w:r>
      <w:r w:rsidRPr="00537B7F">
        <w:rPr>
          <w:rFonts w:ascii="FrankRuehl" w:hAnsi="FrankRuehl"/>
          <w:b/>
          <w:bCs/>
          <w:rtl/>
        </w:rPr>
        <w:t xml:space="preserve">' </w:t>
      </w:r>
      <w:r w:rsidRPr="00537B7F">
        <w:rPr>
          <w:rFonts w:ascii="FrankRuehl" w:hAnsi="FrankRuehl" w:hint="eastAsia"/>
          <w:b/>
          <w:bCs/>
          <w:rtl/>
        </w:rPr>
        <w:t>מדינת</w:t>
      </w:r>
      <w:r w:rsidRPr="00537B7F">
        <w:rPr>
          <w:rFonts w:ascii="FrankRuehl" w:hAnsi="FrankRuehl"/>
          <w:b/>
          <w:bCs/>
          <w:rtl/>
        </w:rPr>
        <w:t xml:space="preserve"> </w:t>
      </w:r>
      <w:r w:rsidRPr="00537B7F">
        <w:rPr>
          <w:rFonts w:ascii="FrankRuehl" w:hAnsi="FrankRuehl" w:hint="eastAsia"/>
          <w:b/>
          <w:bCs/>
          <w:rtl/>
        </w:rPr>
        <w:t>ישראל</w:t>
      </w:r>
      <w:r w:rsidRPr="00537B7F">
        <w:rPr>
          <w:rFonts w:ascii="FrankRuehl" w:hAnsi="FrankRuehl"/>
          <w:b/>
          <w:bCs/>
          <w:rtl/>
        </w:rPr>
        <w:t xml:space="preserve"> (</w:t>
      </w:r>
      <w:r w:rsidRPr="00537B7F">
        <w:rPr>
          <w:rFonts w:ascii="FrankRuehl" w:hAnsi="FrankRuehl" w:hint="eastAsia"/>
          <w:b/>
          <w:bCs/>
          <w:rtl/>
        </w:rPr>
        <w:t>לא</w:t>
      </w:r>
      <w:r w:rsidRPr="00537B7F">
        <w:rPr>
          <w:rFonts w:ascii="FrankRuehl" w:hAnsi="FrankRuehl"/>
          <w:b/>
          <w:bCs/>
          <w:rtl/>
        </w:rPr>
        <w:t xml:space="preserve"> </w:t>
      </w:r>
      <w:r w:rsidRPr="00537B7F">
        <w:rPr>
          <w:rFonts w:ascii="FrankRuehl" w:hAnsi="FrankRuehl" w:hint="eastAsia"/>
          <w:b/>
          <w:bCs/>
          <w:rtl/>
        </w:rPr>
        <w:t>פורסם</w:t>
      </w:r>
      <w:r w:rsidRPr="00537B7F">
        <w:rPr>
          <w:rFonts w:ascii="FrankRuehl" w:hAnsi="FrankRuehl"/>
          <w:b/>
          <w:bCs/>
          <w:rtl/>
        </w:rPr>
        <w:t>) [</w:t>
      </w:r>
      <w:r w:rsidRPr="00537B7F">
        <w:rPr>
          <w:rFonts w:ascii="FrankRuehl" w:hAnsi="FrankRuehl" w:hint="eastAsia"/>
          <w:b/>
          <w:bCs/>
          <w:rtl/>
        </w:rPr>
        <w:t>פורסם</w:t>
      </w:r>
      <w:r w:rsidRPr="00537B7F">
        <w:rPr>
          <w:rFonts w:ascii="FrankRuehl" w:hAnsi="FrankRuehl"/>
          <w:b/>
          <w:bCs/>
          <w:rtl/>
        </w:rPr>
        <w:t xml:space="preserve"> </w:t>
      </w:r>
      <w:r w:rsidRPr="00537B7F">
        <w:rPr>
          <w:rFonts w:ascii="FrankRuehl" w:hAnsi="FrankRuehl" w:hint="eastAsia"/>
          <w:b/>
          <w:bCs/>
          <w:rtl/>
        </w:rPr>
        <w:t>במאגרים</w:t>
      </w:r>
      <w:r w:rsidRPr="00537B7F">
        <w:rPr>
          <w:rFonts w:ascii="FrankRuehl" w:hAnsi="FrankRuehl"/>
          <w:b/>
          <w:bCs/>
          <w:rtl/>
        </w:rPr>
        <w:t xml:space="preserve">] </w:t>
      </w:r>
      <w:r w:rsidRPr="00537B7F">
        <w:rPr>
          <w:rFonts w:ascii="FrankRuehl" w:hAnsi="FrankRuehl" w:hint="eastAsia"/>
          <w:b/>
          <w:bCs/>
          <w:rtl/>
        </w:rPr>
        <w:t>פסקה</w:t>
      </w:r>
      <w:r w:rsidRPr="00537B7F">
        <w:rPr>
          <w:rFonts w:ascii="FrankRuehl" w:hAnsi="FrankRuehl"/>
          <w:b/>
          <w:bCs/>
          <w:rtl/>
        </w:rPr>
        <w:t xml:space="preserve"> </w:t>
      </w:r>
      <w:r w:rsidRPr="00537B7F">
        <w:rPr>
          <w:rFonts w:ascii="FrankRuehl" w:hAnsi="FrankRuehl" w:hint="eastAsia"/>
          <w:b/>
          <w:bCs/>
          <w:rtl/>
        </w:rPr>
        <w:t>ז</w:t>
      </w:r>
      <w:r w:rsidRPr="00537B7F">
        <w:rPr>
          <w:rFonts w:ascii="FrankRuehl" w:hAnsi="FrankRuehl"/>
          <w:b/>
          <w:bCs/>
          <w:rtl/>
        </w:rPr>
        <w:t>')."</w:t>
      </w:r>
    </w:p>
    <w:p w14:paraId="0B2287CF" w14:textId="77777777" w:rsidR="006F4AF8" w:rsidRPr="00537B7F" w:rsidRDefault="006F4AF8" w:rsidP="006F4AF8">
      <w:pPr>
        <w:spacing w:after="200" w:line="360" w:lineRule="auto"/>
        <w:contextualSpacing/>
        <w:jc w:val="both"/>
        <w:rPr>
          <w:rFonts w:ascii="David" w:hAnsi="David"/>
          <w:szCs w:val="22"/>
        </w:rPr>
      </w:pPr>
      <w:r w:rsidRPr="00537B7F">
        <w:rPr>
          <w:rFonts w:ascii="David" w:hAnsi="David"/>
          <w:b/>
          <w:bCs/>
          <w:rtl/>
        </w:rPr>
        <w:tab/>
      </w:r>
      <w:r w:rsidRPr="00537B7F">
        <w:rPr>
          <w:rFonts w:ascii="David" w:hAnsi="David"/>
          <w:szCs w:val="22"/>
          <w:rtl/>
        </w:rPr>
        <w:t xml:space="preserve"> </w:t>
      </w:r>
    </w:p>
    <w:p w14:paraId="46C0BBCF" w14:textId="77777777" w:rsidR="006F4AF8" w:rsidRPr="00537B7F" w:rsidRDefault="006F4AF8" w:rsidP="006F4AF8">
      <w:pPr>
        <w:snapToGrid w:val="0"/>
        <w:spacing w:after="200" w:line="360" w:lineRule="auto"/>
        <w:jc w:val="both"/>
        <w:rPr>
          <w:rFonts w:ascii="David" w:hAnsi="David"/>
          <w:rtl/>
        </w:rPr>
      </w:pPr>
      <w:r w:rsidRPr="00537B7F">
        <w:rPr>
          <w:rFonts w:ascii="David" w:hAnsi="David"/>
          <w:rtl/>
        </w:rPr>
        <w:t>בעבירות הפצת הסם שלא לצריכה עצמית, טמון פוטנציאל לנזק רב ורחב, לא רק למעורבים הישירים בביצוע העבירות ואף לא רק לצרכנים המיועדים, אלא לציבור כולו: לבני המשפחה, לבעלי העסקים והציבור הנפגע מעבירות הרכוש הנלוות לעיתים קרובות לתלות בסם, לציבור המצוי במרחבים הציבוריים שהאווירה ואיכות החיים בהם נפגמת כתוצאה מהתופעה הנרחבת של הפצת הסם. כך, במקומות הבילוי, בכבישי הארץ, בגנים ובפארקים הציבוריים. הדברים נכונים ביחס לכל סוגי הסמים, ולרבות אותם סמים הנתפסים לעיתים בציבור באופן שקרי ומטעה כסמים "קלים".</w:t>
      </w:r>
    </w:p>
    <w:p w14:paraId="6AF1C319" w14:textId="77777777" w:rsidR="006F4AF8" w:rsidRPr="00537B7F" w:rsidRDefault="006F4AF8" w:rsidP="006F4AF8">
      <w:pPr>
        <w:snapToGrid w:val="0"/>
        <w:spacing w:after="200" w:line="360" w:lineRule="auto"/>
        <w:jc w:val="both"/>
        <w:rPr>
          <w:rFonts w:ascii="David" w:hAnsi="David"/>
          <w:rtl/>
        </w:rPr>
      </w:pPr>
      <w:r w:rsidRPr="00537B7F">
        <w:rPr>
          <w:rFonts w:ascii="David" w:hAnsi="David"/>
          <w:szCs w:val="22"/>
          <w:rtl/>
        </w:rPr>
        <w:t xml:space="preserve">כפי שכבר נכתב על ידי מותב זה בעבר (ראו </w:t>
      </w:r>
      <w:hyperlink r:id="rId26" w:history="1">
        <w:r w:rsidR="00037DDD" w:rsidRPr="00537B7F">
          <w:rPr>
            <w:rFonts w:ascii="David" w:hAnsi="David"/>
            <w:color w:val="0000FF"/>
            <w:szCs w:val="22"/>
            <w:u w:val="single"/>
            <w:rtl/>
          </w:rPr>
          <w:t>ת"פ 38680-05-20</w:t>
        </w:r>
      </w:hyperlink>
      <w:r w:rsidRPr="00537B7F">
        <w:rPr>
          <w:rFonts w:ascii="David" w:hAnsi="David"/>
          <w:szCs w:val="22"/>
          <w:rtl/>
        </w:rPr>
        <w:t xml:space="preserve"> </w:t>
      </w:r>
      <w:r w:rsidRPr="00537B7F">
        <w:rPr>
          <w:rFonts w:ascii="David" w:hAnsi="David"/>
          <w:b/>
          <w:bCs/>
          <w:szCs w:val="22"/>
          <w:rtl/>
        </w:rPr>
        <w:t>מדינת ישראל נ' גבאי</w:t>
      </w:r>
      <w:r w:rsidRPr="00537B7F">
        <w:rPr>
          <w:rFonts w:ascii="David" w:hAnsi="David"/>
          <w:rtl/>
        </w:rPr>
        <w:t xml:space="preserve">):  </w:t>
      </w:r>
    </w:p>
    <w:p w14:paraId="57D67A2F" w14:textId="77777777" w:rsidR="006F4AF8" w:rsidRPr="00537B7F" w:rsidRDefault="006F4AF8" w:rsidP="006F4AF8">
      <w:pPr>
        <w:snapToGrid w:val="0"/>
        <w:spacing w:after="200" w:line="360" w:lineRule="auto"/>
        <w:jc w:val="both"/>
        <w:rPr>
          <w:rFonts w:ascii="David" w:hAnsi="David"/>
        </w:rPr>
      </w:pPr>
      <w:r w:rsidRPr="00537B7F">
        <w:rPr>
          <w:rFonts w:ascii="David" w:hAnsi="David"/>
          <w:rtl/>
        </w:rPr>
        <w:t>"הציבור בישראל – על רבדיו ומעגליו השונים – הוא המשלם את המחירים שוב ושוב ושוב – פעם כמכור לסמים, פעם כמשפחתו של המכור, פעם כמי שסובל מתופעות פשיעה הנלוות להתנהגותו של המכור, פעם כמי שסובל מניוונו ומקשיי תפקודו של המכור כאזרח פעיל ויצרני, פעם כמי שמממן את רשויות האכיפה, פעם כמי שמממן את גורמי הגמילה והטיפול. הציבור הוא גם זה שמשלם את המחירים בגין התעשרותם ושגשוגם של מחוללי הפשיעה האמיתיים – אלה שברגיל אינם מובאים בפועל לבתי המשפט בגין חלקם בתעשיית הסמים המרעילה, אלא הם נהנים מפירות העבירות, ובד בבד מנהלים ברחבי ארצנו, וברחובות עירנו מלחמות כנופיות עקובות מדם".</w:t>
      </w:r>
    </w:p>
    <w:p w14:paraId="5A1A50B0" w14:textId="77777777" w:rsidR="006F4AF8" w:rsidRPr="00537B7F" w:rsidRDefault="006F4AF8" w:rsidP="006F4AF8">
      <w:pPr>
        <w:snapToGrid w:val="0"/>
        <w:spacing w:after="200" w:line="360" w:lineRule="auto"/>
        <w:jc w:val="both"/>
        <w:rPr>
          <w:rFonts w:ascii="David" w:hAnsi="David"/>
          <w:rtl/>
        </w:rPr>
      </w:pPr>
      <w:r w:rsidRPr="00537B7F">
        <w:rPr>
          <w:rFonts w:ascii="David" w:hAnsi="David"/>
          <w:rtl/>
        </w:rPr>
        <w:t>במקרה זה, החזיק הנאשם ברכב כמות מסחרית של חשיש, בנסיבות המלמדות באופן ברור על מטרה של הפצת הסם.  אשמתו מלאה. בשים לב לקשת הרחבה מבחינת חומרת עבירות הפצת הסם, בשים לב לעונש המקסימאלי שקבע המחוקק בגין עבירה זו, ובשים לב גם לכמות הסם, סוג הסם ונסיבות ההחזקה, יש לקבוע כי מידת הפגיעה בערכים המוגנים במקרה זה היא ברף הבינוני.</w:t>
      </w:r>
    </w:p>
    <w:p w14:paraId="3E965431" w14:textId="77777777" w:rsidR="006F4AF8" w:rsidRPr="00537B7F" w:rsidRDefault="006F4AF8" w:rsidP="006F4AF8">
      <w:pPr>
        <w:spacing w:after="200" w:line="360" w:lineRule="auto"/>
        <w:jc w:val="both"/>
        <w:rPr>
          <w:rFonts w:ascii="David" w:hAnsi="David"/>
          <w:b/>
          <w:bCs/>
          <w:u w:val="single"/>
          <w:rtl/>
        </w:rPr>
      </w:pPr>
      <w:r w:rsidRPr="00537B7F">
        <w:rPr>
          <w:rFonts w:ascii="David" w:hAnsi="David"/>
          <w:b/>
          <w:bCs/>
          <w:u w:val="single"/>
          <w:rtl/>
        </w:rPr>
        <w:t>מדיניות הענישה הנוהגת:</w:t>
      </w:r>
    </w:p>
    <w:p w14:paraId="2828B6FE" w14:textId="77777777" w:rsidR="006F4AF8" w:rsidRPr="00537B7F" w:rsidRDefault="006F4AF8" w:rsidP="006F4AF8">
      <w:pPr>
        <w:snapToGrid w:val="0"/>
        <w:spacing w:after="200" w:line="360" w:lineRule="auto"/>
        <w:jc w:val="both"/>
        <w:rPr>
          <w:rFonts w:ascii="David" w:hAnsi="David"/>
          <w:rtl/>
        </w:rPr>
      </w:pPr>
      <w:r w:rsidRPr="00537B7F">
        <w:rPr>
          <w:rFonts w:ascii="David" w:hAnsi="David"/>
          <w:rtl/>
        </w:rPr>
        <w:t>פסיקת בתי המשפט מלמדת, כי במקרים שונים נקבעו מתחמי ענישה במנעד מסוים, שאינו מושפע אך ורק ממשקל הסמים, אלא גם מהנסיבות שברקע להחזקה. הדברים עולים גם מהאסמכתאות אליהן הפנו הצדדים. כך, למשל:</w:t>
      </w:r>
    </w:p>
    <w:p w14:paraId="3D00E3EC" w14:textId="77777777" w:rsidR="006F4AF8" w:rsidRPr="00537B7F" w:rsidRDefault="006F4AF8" w:rsidP="006F4AF8">
      <w:pPr>
        <w:numPr>
          <w:ilvl w:val="0"/>
          <w:numId w:val="2"/>
        </w:numPr>
        <w:spacing w:after="160" w:line="360" w:lineRule="auto"/>
        <w:contextualSpacing/>
        <w:jc w:val="both"/>
        <w:rPr>
          <w:rFonts w:ascii="David" w:hAnsi="David"/>
        </w:rPr>
      </w:pPr>
      <w:r w:rsidRPr="00537B7F">
        <w:rPr>
          <w:rFonts w:ascii="David" w:hAnsi="David"/>
          <w:b/>
          <w:bCs/>
          <w:rtl/>
        </w:rPr>
        <w:t>ב</w:t>
      </w:r>
      <w:hyperlink r:id="rId27" w:history="1">
        <w:r w:rsidR="00037DDD" w:rsidRPr="00537B7F">
          <w:rPr>
            <w:rFonts w:ascii="David" w:hAnsi="David"/>
            <w:b/>
            <w:bCs/>
            <w:color w:val="0000FF"/>
            <w:u w:val="single"/>
            <w:rtl/>
          </w:rPr>
          <w:t>רע"פ 1830/16</w:t>
        </w:r>
      </w:hyperlink>
      <w:r w:rsidRPr="00537B7F">
        <w:rPr>
          <w:rFonts w:ascii="David" w:hAnsi="David"/>
          <w:b/>
          <w:bCs/>
          <w:rtl/>
        </w:rPr>
        <w:t xml:space="preserve"> רקיבי נגד מדינת ישראל</w:t>
      </w:r>
      <w:r w:rsidRPr="00537B7F">
        <w:rPr>
          <w:rFonts w:ascii="David" w:hAnsi="David"/>
          <w:rtl/>
        </w:rPr>
        <w:t xml:space="preserve"> (11.4.16): אושר מתחם של 6-15 חודשי מאסר ונגזרו על נאשם אשר החזיק חשיש ברכבו, מחולק לאריזות רבות במשקל כולל של כ - 2,300 גרם. על הנאשם, ללא עבר פלילי ולאחר שהתקבל בעניינו תסקיר חיובי, הוטלו  8 חודשי מאסר בפועל.</w:t>
      </w:r>
    </w:p>
    <w:p w14:paraId="6634B0AB" w14:textId="77777777" w:rsidR="006F4AF8" w:rsidRPr="00537B7F" w:rsidRDefault="006F4AF8" w:rsidP="006F4AF8">
      <w:pPr>
        <w:spacing w:after="160" w:line="360" w:lineRule="auto"/>
        <w:ind w:left="1080"/>
        <w:contextualSpacing/>
        <w:jc w:val="both"/>
        <w:rPr>
          <w:rFonts w:ascii="David" w:hAnsi="David"/>
          <w:b/>
          <w:bCs/>
        </w:rPr>
      </w:pPr>
    </w:p>
    <w:p w14:paraId="0E6A8B75" w14:textId="77777777" w:rsidR="006F4AF8" w:rsidRPr="00537B7F" w:rsidRDefault="006F4AF8" w:rsidP="006F4AF8">
      <w:pPr>
        <w:numPr>
          <w:ilvl w:val="0"/>
          <w:numId w:val="2"/>
        </w:numPr>
        <w:spacing w:after="160" w:line="360" w:lineRule="auto"/>
        <w:contextualSpacing/>
        <w:jc w:val="both"/>
        <w:rPr>
          <w:rFonts w:ascii="David" w:hAnsi="David"/>
        </w:rPr>
      </w:pPr>
      <w:r w:rsidRPr="00537B7F">
        <w:rPr>
          <w:rFonts w:ascii="Calibri" w:hAnsi="Calibri" w:hint="eastAsia"/>
          <w:b/>
          <w:bCs/>
          <w:rtl/>
        </w:rPr>
        <w:t>ב</w:t>
      </w:r>
      <w:hyperlink r:id="rId28" w:history="1">
        <w:r w:rsidR="00037DDD" w:rsidRPr="00537B7F">
          <w:rPr>
            <w:rFonts w:ascii="Calibri" w:hAnsi="Calibri" w:hint="eastAsia"/>
            <w:b/>
            <w:bCs/>
            <w:color w:val="0000FF"/>
            <w:u w:val="single"/>
            <w:rtl/>
          </w:rPr>
          <w:t>רע</w:t>
        </w:r>
        <w:r w:rsidR="00037DDD" w:rsidRPr="00537B7F">
          <w:rPr>
            <w:rFonts w:ascii="Calibri" w:hAnsi="Calibri"/>
            <w:b/>
            <w:bCs/>
            <w:color w:val="0000FF"/>
            <w:u w:val="single"/>
            <w:rtl/>
          </w:rPr>
          <w:t>"</w:t>
        </w:r>
        <w:r w:rsidR="00037DDD" w:rsidRPr="00537B7F">
          <w:rPr>
            <w:rFonts w:ascii="Calibri" w:hAnsi="Calibri" w:hint="eastAsia"/>
            <w:b/>
            <w:bCs/>
            <w:color w:val="0000FF"/>
            <w:u w:val="single"/>
            <w:rtl/>
          </w:rPr>
          <w:t>פ</w:t>
        </w:r>
        <w:r w:rsidR="00037DDD" w:rsidRPr="00537B7F">
          <w:rPr>
            <w:rFonts w:ascii="Calibri" w:hAnsi="Calibri"/>
            <w:b/>
            <w:bCs/>
            <w:color w:val="0000FF"/>
            <w:u w:val="single"/>
            <w:rtl/>
          </w:rPr>
          <w:t xml:space="preserve"> 322/15</w:t>
        </w:r>
      </w:hyperlink>
      <w:r w:rsidRPr="00537B7F">
        <w:rPr>
          <w:rFonts w:ascii="Calibri" w:hAnsi="Calibri"/>
          <w:b/>
          <w:bCs/>
          <w:rtl/>
        </w:rPr>
        <w:t xml:space="preserve"> </w:t>
      </w:r>
      <w:r w:rsidRPr="00537B7F">
        <w:rPr>
          <w:rFonts w:ascii="Calibri" w:hAnsi="Calibri" w:hint="eastAsia"/>
          <w:b/>
          <w:bCs/>
          <w:rtl/>
        </w:rPr>
        <w:t>ג</w:t>
      </w:r>
      <w:r w:rsidRPr="00537B7F">
        <w:rPr>
          <w:rFonts w:ascii="Calibri" w:hAnsi="Calibri"/>
          <w:b/>
          <w:bCs/>
          <w:rtl/>
        </w:rPr>
        <w:t>'</w:t>
      </w:r>
      <w:r w:rsidRPr="00537B7F">
        <w:rPr>
          <w:rFonts w:ascii="Calibri" w:hAnsi="Calibri" w:hint="eastAsia"/>
          <w:b/>
          <w:bCs/>
          <w:rtl/>
        </w:rPr>
        <w:t>אנח</w:t>
      </w:r>
      <w:r w:rsidRPr="00537B7F">
        <w:rPr>
          <w:rFonts w:ascii="Calibri" w:hAnsi="Calibri"/>
          <w:b/>
          <w:bCs/>
          <w:rtl/>
        </w:rPr>
        <w:t xml:space="preserve"> </w:t>
      </w:r>
      <w:r w:rsidRPr="00537B7F">
        <w:rPr>
          <w:rFonts w:ascii="Calibri" w:hAnsi="Calibri" w:hint="eastAsia"/>
          <w:b/>
          <w:bCs/>
          <w:rtl/>
        </w:rPr>
        <w:t>נ</w:t>
      </w:r>
      <w:r w:rsidRPr="00537B7F">
        <w:rPr>
          <w:rFonts w:ascii="Calibri" w:hAnsi="Calibri"/>
          <w:b/>
          <w:bCs/>
          <w:rtl/>
        </w:rPr>
        <w:t xml:space="preserve">' </w:t>
      </w:r>
      <w:r w:rsidRPr="00537B7F">
        <w:rPr>
          <w:rFonts w:ascii="Calibri" w:hAnsi="Calibri" w:hint="eastAsia"/>
          <w:b/>
          <w:bCs/>
          <w:rtl/>
        </w:rPr>
        <w:t>מדינת</w:t>
      </w:r>
      <w:r w:rsidRPr="00537B7F">
        <w:rPr>
          <w:rFonts w:ascii="Calibri" w:hAnsi="Calibri"/>
          <w:b/>
          <w:bCs/>
          <w:rtl/>
        </w:rPr>
        <w:t xml:space="preserve"> </w:t>
      </w:r>
      <w:r w:rsidRPr="00537B7F">
        <w:rPr>
          <w:rFonts w:ascii="Calibri" w:hAnsi="Calibri" w:hint="eastAsia"/>
          <w:b/>
          <w:bCs/>
          <w:rtl/>
        </w:rPr>
        <w:t>ישראל</w:t>
      </w:r>
      <w:r w:rsidRPr="00537B7F">
        <w:rPr>
          <w:rFonts w:ascii="Calibri" w:hAnsi="Calibri"/>
          <w:b/>
          <w:bCs/>
          <w:rtl/>
        </w:rPr>
        <w:t xml:space="preserve"> </w:t>
      </w:r>
      <w:r w:rsidRPr="00537B7F">
        <w:rPr>
          <w:rFonts w:ascii="Calibri" w:hAnsi="Calibri"/>
          <w:rtl/>
        </w:rPr>
        <w:t xml:space="preserve">(22.1.15): </w:t>
      </w:r>
      <w:r w:rsidRPr="00537B7F">
        <w:rPr>
          <w:rFonts w:ascii="Calibri" w:hAnsi="Calibri" w:hint="eastAsia"/>
          <w:rtl/>
        </w:rPr>
        <w:t>אישר</w:t>
      </w:r>
      <w:r w:rsidRPr="00537B7F">
        <w:rPr>
          <w:rFonts w:ascii="Calibri" w:hAnsi="Calibri"/>
          <w:rtl/>
        </w:rPr>
        <w:t xml:space="preserve"> </w:t>
      </w:r>
      <w:r w:rsidRPr="00537B7F">
        <w:rPr>
          <w:rFonts w:ascii="Calibri" w:hAnsi="Calibri" w:hint="eastAsia"/>
          <w:rtl/>
        </w:rPr>
        <w:t>בית</w:t>
      </w:r>
      <w:r w:rsidRPr="00537B7F">
        <w:rPr>
          <w:rFonts w:ascii="Calibri" w:hAnsi="Calibri"/>
          <w:rtl/>
        </w:rPr>
        <w:t xml:space="preserve"> </w:t>
      </w:r>
      <w:r w:rsidRPr="00537B7F">
        <w:rPr>
          <w:rFonts w:ascii="Calibri" w:hAnsi="Calibri" w:hint="eastAsia"/>
          <w:rtl/>
        </w:rPr>
        <w:t>המשפט</w:t>
      </w:r>
      <w:r w:rsidRPr="00537B7F">
        <w:rPr>
          <w:rFonts w:ascii="Calibri" w:hAnsi="Calibri"/>
          <w:rtl/>
        </w:rPr>
        <w:t xml:space="preserve"> </w:t>
      </w:r>
      <w:r w:rsidRPr="00537B7F">
        <w:rPr>
          <w:rFonts w:ascii="Calibri" w:hAnsi="Calibri" w:hint="eastAsia"/>
          <w:rtl/>
        </w:rPr>
        <w:t>העליון</w:t>
      </w:r>
      <w:r w:rsidRPr="00537B7F">
        <w:rPr>
          <w:rFonts w:ascii="Calibri" w:hAnsi="Calibri"/>
          <w:rtl/>
        </w:rPr>
        <w:t xml:space="preserve"> </w:t>
      </w:r>
      <w:r w:rsidRPr="00537B7F">
        <w:rPr>
          <w:rFonts w:ascii="Calibri" w:hAnsi="Calibri" w:hint="eastAsia"/>
          <w:rtl/>
        </w:rPr>
        <w:t>מתחם</w:t>
      </w:r>
      <w:r w:rsidRPr="00537B7F">
        <w:rPr>
          <w:rFonts w:ascii="Calibri" w:hAnsi="Calibri"/>
          <w:rtl/>
        </w:rPr>
        <w:t xml:space="preserve"> </w:t>
      </w:r>
      <w:r w:rsidRPr="00537B7F">
        <w:rPr>
          <w:rFonts w:ascii="Calibri" w:hAnsi="Calibri" w:hint="eastAsia"/>
          <w:rtl/>
        </w:rPr>
        <w:t>עונש</w:t>
      </w:r>
      <w:r w:rsidRPr="00537B7F">
        <w:rPr>
          <w:rFonts w:ascii="Calibri" w:hAnsi="Calibri"/>
          <w:rtl/>
        </w:rPr>
        <w:t xml:space="preserve"> </w:t>
      </w:r>
      <w:r w:rsidRPr="00537B7F">
        <w:rPr>
          <w:rFonts w:ascii="Calibri" w:hAnsi="Calibri" w:hint="eastAsia"/>
          <w:rtl/>
        </w:rPr>
        <w:t>הנע</w:t>
      </w:r>
      <w:r w:rsidRPr="00537B7F">
        <w:rPr>
          <w:rFonts w:ascii="Calibri" w:hAnsi="Calibri"/>
          <w:rtl/>
        </w:rPr>
        <w:t xml:space="preserve"> </w:t>
      </w:r>
      <w:r w:rsidRPr="00537B7F">
        <w:rPr>
          <w:rFonts w:ascii="Calibri" w:hAnsi="Calibri" w:hint="eastAsia"/>
          <w:rtl/>
        </w:rPr>
        <w:t>בין</w:t>
      </w:r>
      <w:r w:rsidRPr="00537B7F">
        <w:rPr>
          <w:rFonts w:ascii="Calibri" w:hAnsi="Calibri"/>
          <w:rtl/>
        </w:rPr>
        <w:t xml:space="preserve"> 7 </w:t>
      </w:r>
      <w:r w:rsidRPr="00537B7F">
        <w:rPr>
          <w:rFonts w:ascii="Calibri" w:hAnsi="Calibri" w:hint="eastAsia"/>
          <w:rtl/>
        </w:rPr>
        <w:t>חודשי</w:t>
      </w:r>
      <w:r w:rsidRPr="00537B7F">
        <w:rPr>
          <w:rFonts w:ascii="Calibri" w:hAnsi="Calibri"/>
          <w:rtl/>
        </w:rPr>
        <w:t xml:space="preserve"> </w:t>
      </w:r>
      <w:r w:rsidRPr="00537B7F">
        <w:rPr>
          <w:rFonts w:ascii="Calibri" w:hAnsi="Calibri" w:hint="eastAsia"/>
          <w:rtl/>
        </w:rPr>
        <w:t>מאסר</w:t>
      </w:r>
      <w:r w:rsidRPr="00537B7F">
        <w:rPr>
          <w:rFonts w:ascii="Calibri" w:hAnsi="Calibri"/>
          <w:rtl/>
        </w:rPr>
        <w:t xml:space="preserve"> </w:t>
      </w:r>
      <w:r w:rsidRPr="00537B7F">
        <w:rPr>
          <w:rFonts w:ascii="Calibri" w:hAnsi="Calibri" w:hint="eastAsia"/>
          <w:rtl/>
        </w:rPr>
        <w:t>בפועל</w:t>
      </w:r>
      <w:r w:rsidRPr="00537B7F">
        <w:rPr>
          <w:rFonts w:ascii="Calibri" w:hAnsi="Calibri"/>
          <w:rtl/>
        </w:rPr>
        <w:t xml:space="preserve"> </w:t>
      </w:r>
      <w:r w:rsidRPr="00537B7F">
        <w:rPr>
          <w:rFonts w:ascii="Calibri" w:hAnsi="Calibri" w:hint="eastAsia"/>
          <w:rtl/>
        </w:rPr>
        <w:t>לבין</w:t>
      </w:r>
      <w:r w:rsidRPr="00537B7F">
        <w:rPr>
          <w:rFonts w:ascii="Calibri" w:hAnsi="Calibri"/>
          <w:rtl/>
        </w:rPr>
        <w:t xml:space="preserve"> 18 </w:t>
      </w:r>
      <w:r w:rsidRPr="00537B7F">
        <w:rPr>
          <w:rFonts w:ascii="Calibri" w:hAnsi="Calibri" w:hint="eastAsia"/>
          <w:rtl/>
        </w:rPr>
        <w:t>חודשי</w:t>
      </w:r>
      <w:r w:rsidRPr="00537B7F">
        <w:rPr>
          <w:rFonts w:ascii="Calibri" w:hAnsi="Calibri"/>
          <w:rtl/>
        </w:rPr>
        <w:t xml:space="preserve"> </w:t>
      </w:r>
      <w:r w:rsidRPr="00537B7F">
        <w:rPr>
          <w:rFonts w:ascii="Calibri" w:hAnsi="Calibri" w:hint="eastAsia"/>
          <w:rtl/>
        </w:rPr>
        <w:t>מאסר</w:t>
      </w:r>
      <w:r w:rsidRPr="00537B7F">
        <w:rPr>
          <w:rFonts w:ascii="Calibri" w:hAnsi="Calibri"/>
          <w:rtl/>
        </w:rPr>
        <w:t xml:space="preserve"> </w:t>
      </w:r>
      <w:r w:rsidRPr="00537B7F">
        <w:rPr>
          <w:rFonts w:ascii="Calibri" w:hAnsi="Calibri" w:hint="eastAsia"/>
          <w:rtl/>
        </w:rPr>
        <w:t>בפועל</w:t>
      </w:r>
      <w:r w:rsidRPr="00537B7F">
        <w:rPr>
          <w:rFonts w:ascii="Calibri" w:hAnsi="Calibri"/>
          <w:rtl/>
        </w:rPr>
        <w:t xml:space="preserve"> </w:t>
      </w:r>
      <w:r w:rsidRPr="00537B7F">
        <w:rPr>
          <w:rFonts w:ascii="Calibri" w:hAnsi="Calibri" w:hint="eastAsia"/>
          <w:rtl/>
        </w:rPr>
        <w:t>ביחס</w:t>
      </w:r>
      <w:r w:rsidRPr="00537B7F">
        <w:rPr>
          <w:rFonts w:ascii="Calibri" w:hAnsi="Calibri"/>
          <w:rtl/>
        </w:rPr>
        <w:t xml:space="preserve"> </w:t>
      </w:r>
      <w:r w:rsidRPr="00537B7F">
        <w:rPr>
          <w:rFonts w:ascii="Calibri" w:hAnsi="Calibri" w:hint="eastAsia"/>
          <w:rtl/>
        </w:rPr>
        <w:t>לעבירה</w:t>
      </w:r>
      <w:r w:rsidRPr="00537B7F">
        <w:rPr>
          <w:rFonts w:ascii="Calibri" w:hAnsi="Calibri"/>
          <w:rtl/>
        </w:rPr>
        <w:t xml:space="preserve"> </w:t>
      </w:r>
      <w:r w:rsidRPr="00537B7F">
        <w:rPr>
          <w:rFonts w:ascii="Calibri" w:hAnsi="Calibri" w:hint="eastAsia"/>
          <w:rtl/>
        </w:rPr>
        <w:t>של</w:t>
      </w:r>
      <w:r w:rsidRPr="00537B7F">
        <w:rPr>
          <w:rFonts w:ascii="Calibri" w:hAnsi="Calibri"/>
          <w:rtl/>
        </w:rPr>
        <w:t xml:space="preserve"> </w:t>
      </w:r>
      <w:r w:rsidRPr="00537B7F">
        <w:rPr>
          <w:rFonts w:ascii="Calibri" w:hAnsi="Calibri" w:hint="eastAsia"/>
          <w:rtl/>
        </w:rPr>
        <w:t>החזקת</w:t>
      </w:r>
      <w:r w:rsidRPr="00537B7F">
        <w:rPr>
          <w:rFonts w:ascii="Calibri" w:hAnsi="Calibri"/>
          <w:rtl/>
        </w:rPr>
        <w:t xml:space="preserve"> </w:t>
      </w:r>
      <w:r w:rsidRPr="00537B7F">
        <w:rPr>
          <w:rFonts w:ascii="Calibri" w:hAnsi="Calibri" w:hint="eastAsia"/>
          <w:rtl/>
        </w:rPr>
        <w:t>סם</w:t>
      </w:r>
      <w:r w:rsidRPr="00537B7F">
        <w:rPr>
          <w:rFonts w:ascii="Calibri" w:hAnsi="Calibri"/>
          <w:rtl/>
        </w:rPr>
        <w:t xml:space="preserve"> </w:t>
      </w:r>
      <w:r w:rsidRPr="00537B7F">
        <w:rPr>
          <w:rFonts w:ascii="Calibri" w:hAnsi="Calibri" w:hint="eastAsia"/>
          <w:rtl/>
        </w:rPr>
        <w:t>מסוכן</w:t>
      </w:r>
      <w:r w:rsidRPr="00537B7F">
        <w:rPr>
          <w:rFonts w:ascii="Calibri" w:hAnsi="Calibri"/>
          <w:rtl/>
        </w:rPr>
        <w:t xml:space="preserve"> </w:t>
      </w:r>
      <w:r w:rsidRPr="00537B7F">
        <w:rPr>
          <w:rFonts w:ascii="Calibri" w:hAnsi="Calibri" w:hint="eastAsia"/>
          <w:rtl/>
        </w:rPr>
        <w:t>שלא</w:t>
      </w:r>
      <w:r w:rsidRPr="00537B7F">
        <w:rPr>
          <w:rFonts w:ascii="Calibri" w:hAnsi="Calibri"/>
          <w:rtl/>
        </w:rPr>
        <w:t xml:space="preserve"> </w:t>
      </w:r>
      <w:r w:rsidRPr="00537B7F">
        <w:rPr>
          <w:rFonts w:ascii="Calibri" w:hAnsi="Calibri" w:hint="eastAsia"/>
          <w:rtl/>
        </w:rPr>
        <w:t>לצריכה</w:t>
      </w:r>
      <w:r w:rsidRPr="00537B7F">
        <w:rPr>
          <w:rFonts w:ascii="Calibri" w:hAnsi="Calibri"/>
          <w:rtl/>
        </w:rPr>
        <w:t xml:space="preserve"> </w:t>
      </w:r>
      <w:r w:rsidRPr="00537B7F">
        <w:rPr>
          <w:rFonts w:ascii="Calibri" w:hAnsi="Calibri" w:hint="eastAsia"/>
          <w:rtl/>
        </w:rPr>
        <w:t>עצמית</w:t>
      </w:r>
      <w:r w:rsidRPr="00537B7F">
        <w:rPr>
          <w:rFonts w:ascii="Calibri" w:hAnsi="Calibri"/>
          <w:rtl/>
        </w:rPr>
        <w:t xml:space="preserve"> </w:t>
      </w:r>
      <w:r w:rsidRPr="00537B7F">
        <w:rPr>
          <w:rFonts w:ascii="Calibri" w:hAnsi="Calibri" w:hint="eastAsia"/>
          <w:rtl/>
        </w:rPr>
        <w:t>שעניינה</w:t>
      </w:r>
      <w:r w:rsidRPr="00537B7F">
        <w:rPr>
          <w:rFonts w:ascii="Calibri" w:hAnsi="Calibri"/>
          <w:rtl/>
        </w:rPr>
        <w:t xml:space="preserve"> </w:t>
      </w:r>
      <w:r w:rsidRPr="00537B7F">
        <w:rPr>
          <w:rFonts w:ascii="Calibri" w:hAnsi="Calibri" w:hint="eastAsia"/>
          <w:rtl/>
        </w:rPr>
        <w:t>החזקת</w:t>
      </w:r>
      <w:r w:rsidRPr="00537B7F">
        <w:rPr>
          <w:rFonts w:ascii="Calibri" w:hAnsi="Calibri"/>
          <w:rtl/>
        </w:rPr>
        <w:t xml:space="preserve"> </w:t>
      </w:r>
      <w:r w:rsidRPr="00537B7F">
        <w:rPr>
          <w:rFonts w:ascii="Calibri" w:hAnsi="Calibri" w:hint="eastAsia"/>
          <w:rtl/>
        </w:rPr>
        <w:t>חשיש</w:t>
      </w:r>
      <w:r w:rsidRPr="00537B7F">
        <w:rPr>
          <w:rFonts w:ascii="Calibri" w:hAnsi="Calibri"/>
          <w:rtl/>
        </w:rPr>
        <w:t xml:space="preserve"> </w:t>
      </w:r>
      <w:r w:rsidRPr="00537B7F">
        <w:rPr>
          <w:rFonts w:ascii="Calibri" w:hAnsi="Calibri" w:hint="eastAsia"/>
          <w:rtl/>
        </w:rPr>
        <w:t>במשקל</w:t>
      </w:r>
      <w:r w:rsidRPr="00537B7F">
        <w:rPr>
          <w:rFonts w:ascii="Calibri" w:hAnsi="Calibri"/>
          <w:rtl/>
        </w:rPr>
        <w:t xml:space="preserve"> </w:t>
      </w:r>
      <w:r w:rsidRPr="00537B7F">
        <w:rPr>
          <w:rFonts w:ascii="Calibri" w:hAnsi="Calibri" w:hint="eastAsia"/>
          <w:rtl/>
        </w:rPr>
        <w:t>כולל</w:t>
      </w:r>
      <w:r w:rsidRPr="00537B7F">
        <w:rPr>
          <w:rFonts w:ascii="Calibri" w:hAnsi="Calibri"/>
          <w:rtl/>
        </w:rPr>
        <w:t xml:space="preserve"> </w:t>
      </w:r>
      <w:r w:rsidRPr="00537B7F">
        <w:rPr>
          <w:rFonts w:ascii="Calibri" w:hAnsi="Calibri" w:hint="eastAsia"/>
          <w:rtl/>
        </w:rPr>
        <w:t>של</w:t>
      </w:r>
      <w:r w:rsidRPr="00537B7F">
        <w:rPr>
          <w:rFonts w:ascii="Calibri" w:hAnsi="Calibri"/>
          <w:rtl/>
        </w:rPr>
        <w:t xml:space="preserve"> </w:t>
      </w:r>
      <w:r w:rsidRPr="00537B7F">
        <w:rPr>
          <w:rFonts w:ascii="Calibri" w:hAnsi="Calibri" w:hint="eastAsia"/>
          <w:rtl/>
        </w:rPr>
        <w:t>כ</w:t>
      </w:r>
      <w:r w:rsidRPr="00537B7F">
        <w:rPr>
          <w:rFonts w:ascii="Calibri" w:hAnsi="Calibri"/>
          <w:rtl/>
        </w:rPr>
        <w:t xml:space="preserve"> - 400 </w:t>
      </w:r>
      <w:r w:rsidRPr="00537B7F">
        <w:rPr>
          <w:rFonts w:ascii="Calibri" w:hAnsi="Calibri" w:hint="eastAsia"/>
          <w:rtl/>
        </w:rPr>
        <w:t>גרם</w:t>
      </w:r>
      <w:r w:rsidRPr="00537B7F">
        <w:rPr>
          <w:rFonts w:ascii="Calibri" w:hAnsi="Calibri"/>
          <w:rtl/>
        </w:rPr>
        <w:t xml:space="preserve"> </w:t>
      </w:r>
      <w:r w:rsidRPr="00537B7F">
        <w:rPr>
          <w:rFonts w:ascii="Calibri" w:hAnsi="Calibri" w:hint="eastAsia"/>
          <w:rtl/>
        </w:rPr>
        <w:t>בבית</w:t>
      </w:r>
      <w:r w:rsidRPr="00537B7F">
        <w:rPr>
          <w:rFonts w:ascii="Calibri" w:hAnsi="Calibri"/>
          <w:rtl/>
        </w:rPr>
        <w:t xml:space="preserve"> </w:t>
      </w:r>
      <w:r w:rsidRPr="00537B7F">
        <w:rPr>
          <w:rFonts w:ascii="Calibri" w:hAnsi="Calibri" w:hint="eastAsia"/>
          <w:rtl/>
        </w:rPr>
        <w:t>מגוריו</w:t>
      </w:r>
      <w:r w:rsidRPr="00537B7F">
        <w:rPr>
          <w:rFonts w:ascii="Calibri" w:hAnsi="Calibri"/>
          <w:rtl/>
        </w:rPr>
        <w:t xml:space="preserve"> </w:t>
      </w:r>
      <w:r w:rsidRPr="00537B7F">
        <w:rPr>
          <w:rFonts w:ascii="Calibri" w:hAnsi="Calibri" w:hint="eastAsia"/>
          <w:rtl/>
        </w:rPr>
        <w:t>של</w:t>
      </w:r>
      <w:r w:rsidRPr="00537B7F">
        <w:rPr>
          <w:rFonts w:ascii="Calibri" w:hAnsi="Calibri"/>
          <w:rtl/>
        </w:rPr>
        <w:t xml:space="preserve"> </w:t>
      </w:r>
      <w:r w:rsidRPr="00537B7F">
        <w:rPr>
          <w:rFonts w:ascii="Calibri" w:hAnsi="Calibri" w:hint="eastAsia"/>
          <w:rtl/>
        </w:rPr>
        <w:t>המערער</w:t>
      </w:r>
      <w:r w:rsidRPr="00537B7F">
        <w:rPr>
          <w:rFonts w:ascii="David" w:hAnsi="David"/>
          <w:rtl/>
        </w:rPr>
        <w:t>.</w:t>
      </w:r>
    </w:p>
    <w:p w14:paraId="2874BA3B" w14:textId="77777777" w:rsidR="006F4AF8" w:rsidRPr="00537B7F" w:rsidRDefault="006F4AF8" w:rsidP="006F4AF8">
      <w:pPr>
        <w:spacing w:after="160" w:line="360" w:lineRule="auto"/>
        <w:contextualSpacing/>
        <w:jc w:val="both"/>
        <w:rPr>
          <w:rFonts w:ascii="David" w:hAnsi="David"/>
        </w:rPr>
      </w:pPr>
    </w:p>
    <w:p w14:paraId="21194227" w14:textId="77777777" w:rsidR="006F4AF8" w:rsidRPr="00537B7F" w:rsidRDefault="006F4AF8" w:rsidP="006F4AF8">
      <w:pPr>
        <w:numPr>
          <w:ilvl w:val="0"/>
          <w:numId w:val="2"/>
        </w:numPr>
        <w:spacing w:after="160" w:line="360" w:lineRule="auto"/>
        <w:contextualSpacing/>
        <w:jc w:val="both"/>
        <w:rPr>
          <w:rFonts w:ascii="David" w:hAnsi="David"/>
        </w:rPr>
      </w:pPr>
      <w:r w:rsidRPr="00537B7F">
        <w:rPr>
          <w:rFonts w:ascii="David" w:hAnsi="David"/>
          <w:b/>
          <w:bCs/>
          <w:rtl/>
        </w:rPr>
        <w:t>ב</w:t>
      </w:r>
      <w:hyperlink r:id="rId29" w:history="1">
        <w:r w:rsidR="00037DDD" w:rsidRPr="00537B7F">
          <w:rPr>
            <w:rFonts w:ascii="David" w:hAnsi="David"/>
            <w:b/>
            <w:bCs/>
            <w:color w:val="0000FF"/>
            <w:u w:val="single"/>
            <w:rtl/>
          </w:rPr>
          <w:t>עפ"ג (ב"ש) 24043-04-17</w:t>
        </w:r>
      </w:hyperlink>
      <w:r w:rsidRPr="00537B7F">
        <w:rPr>
          <w:rFonts w:ascii="David" w:hAnsi="David"/>
          <w:b/>
          <w:bCs/>
          <w:rtl/>
        </w:rPr>
        <w:t xml:space="preserve"> אל קשכר נגד מדינת ישראל </w:t>
      </w:r>
      <w:r w:rsidRPr="00537B7F">
        <w:rPr>
          <w:rFonts w:ascii="David" w:hAnsi="David"/>
          <w:rtl/>
        </w:rPr>
        <w:t xml:space="preserve">(4.6.17): בית-משפט השלום הרשיע את הנאשם, לפי הודאתו, בעבירה של החזקת סם שלא לצריכה עצמית, בכך שהחזיק סם מסוג קנבוס במשקל כולל של 922.40 גרם נטו. </w:t>
      </w:r>
      <w:r w:rsidRPr="00537B7F">
        <w:rPr>
          <w:rFonts w:ascii="David" w:hAnsi="David"/>
          <w:b/>
          <w:bCs/>
          <w:rtl/>
        </w:rPr>
        <w:t>בית-המשפט הטיל על הנאשם מאסר לתקופה של 7 חודשים,</w:t>
      </w:r>
      <w:r w:rsidRPr="00537B7F">
        <w:rPr>
          <w:rFonts w:ascii="David" w:hAnsi="David"/>
          <w:rtl/>
        </w:rPr>
        <w:t xml:space="preserve"> </w:t>
      </w:r>
      <w:r w:rsidRPr="00537B7F">
        <w:rPr>
          <w:rFonts w:ascii="David" w:hAnsi="David"/>
          <w:b/>
          <w:bCs/>
          <w:rtl/>
        </w:rPr>
        <w:t>לצד ענישה נלווית</w:t>
      </w:r>
      <w:r w:rsidRPr="00537B7F">
        <w:rPr>
          <w:rFonts w:ascii="David" w:hAnsi="David"/>
          <w:rtl/>
        </w:rPr>
        <w:t>. בית-המשפט המחוזי דחה ערעור הנאשם.</w:t>
      </w:r>
    </w:p>
    <w:p w14:paraId="610B880A" w14:textId="77777777" w:rsidR="006F4AF8" w:rsidRPr="00537B7F" w:rsidRDefault="006F4AF8" w:rsidP="006F4AF8">
      <w:pPr>
        <w:spacing w:after="160" w:line="360" w:lineRule="auto"/>
        <w:contextualSpacing/>
        <w:jc w:val="both"/>
        <w:rPr>
          <w:rFonts w:ascii="David" w:hAnsi="David"/>
        </w:rPr>
      </w:pPr>
    </w:p>
    <w:p w14:paraId="126ED87A" w14:textId="77777777" w:rsidR="006F4AF8" w:rsidRPr="00537B7F" w:rsidRDefault="006F4AF8" w:rsidP="006F4AF8">
      <w:pPr>
        <w:numPr>
          <w:ilvl w:val="0"/>
          <w:numId w:val="2"/>
        </w:numPr>
        <w:spacing w:after="160" w:line="360" w:lineRule="auto"/>
        <w:contextualSpacing/>
        <w:jc w:val="both"/>
        <w:rPr>
          <w:rFonts w:ascii="David" w:hAnsi="David"/>
          <w:rtl/>
        </w:rPr>
      </w:pPr>
      <w:r w:rsidRPr="00537B7F">
        <w:rPr>
          <w:rFonts w:ascii="Arial" w:hAnsi="Arial"/>
          <w:b/>
          <w:bCs/>
          <w:rtl/>
        </w:rPr>
        <w:t>ב</w:t>
      </w:r>
      <w:hyperlink r:id="rId30" w:history="1">
        <w:r w:rsidR="00037DDD" w:rsidRPr="00537B7F">
          <w:rPr>
            <w:rFonts w:ascii="Arial" w:hAnsi="Arial"/>
            <w:b/>
            <w:bCs/>
            <w:color w:val="0000FF"/>
            <w:u w:val="single"/>
            <w:rtl/>
          </w:rPr>
          <w:t>עפ"ג 38161-12-16</w:t>
        </w:r>
      </w:hyperlink>
      <w:r w:rsidRPr="00537B7F">
        <w:rPr>
          <w:rFonts w:ascii="Arial" w:hAnsi="Arial"/>
          <w:rtl/>
        </w:rPr>
        <w:t xml:space="preserve"> </w:t>
      </w:r>
      <w:r w:rsidRPr="00537B7F">
        <w:rPr>
          <w:rFonts w:ascii="Arial" w:hAnsi="Arial"/>
          <w:b/>
          <w:bCs/>
          <w:rtl/>
        </w:rPr>
        <w:t>אלעול נ' מדינת ישראל</w:t>
      </w:r>
      <w:r w:rsidRPr="00537B7F">
        <w:rPr>
          <w:rFonts w:ascii="Arial" w:hAnsi="Arial"/>
          <w:rtl/>
        </w:rPr>
        <w:t xml:space="preserve"> (18.1.17): נמחק ערעור על עונש מאסר בן 14 חודשים שהושת על נאשם שהורשע בהחזקת סם מסוג קנביס, במשקל של 6 ק"ג. </w:t>
      </w:r>
    </w:p>
    <w:p w14:paraId="417388ED" w14:textId="77777777" w:rsidR="006F4AF8" w:rsidRPr="00537B7F" w:rsidRDefault="006F4AF8" w:rsidP="006F4AF8">
      <w:pPr>
        <w:spacing w:after="160" w:line="259" w:lineRule="auto"/>
        <w:rPr>
          <w:rFonts w:ascii="David" w:hAnsi="David"/>
          <w:b/>
          <w:bCs/>
          <w:szCs w:val="22"/>
          <w:rtl/>
        </w:rPr>
      </w:pPr>
    </w:p>
    <w:p w14:paraId="0858C651" w14:textId="77777777" w:rsidR="006F4AF8" w:rsidRPr="00537B7F" w:rsidRDefault="006F4AF8" w:rsidP="006F4AF8">
      <w:pPr>
        <w:numPr>
          <w:ilvl w:val="0"/>
          <w:numId w:val="2"/>
        </w:numPr>
        <w:spacing w:after="160" w:line="360" w:lineRule="auto"/>
        <w:contextualSpacing/>
        <w:jc w:val="both"/>
        <w:rPr>
          <w:rFonts w:ascii="David" w:hAnsi="David"/>
          <w:b/>
          <w:bCs/>
          <w:szCs w:val="22"/>
        </w:rPr>
      </w:pPr>
      <w:r w:rsidRPr="00537B7F">
        <w:rPr>
          <w:rFonts w:ascii="David" w:hAnsi="David"/>
          <w:b/>
          <w:bCs/>
          <w:rtl/>
        </w:rPr>
        <w:t>ב</w:t>
      </w:r>
      <w:hyperlink r:id="rId31" w:history="1">
        <w:r w:rsidR="00037DDD" w:rsidRPr="00537B7F">
          <w:rPr>
            <w:rFonts w:ascii="David" w:hAnsi="David"/>
            <w:b/>
            <w:bCs/>
            <w:color w:val="0000FF"/>
            <w:u w:val="single"/>
            <w:rtl/>
          </w:rPr>
          <w:t>ת"פ 19923-05-19</w:t>
        </w:r>
      </w:hyperlink>
      <w:r w:rsidRPr="00537B7F">
        <w:rPr>
          <w:rFonts w:ascii="David" w:hAnsi="David"/>
          <w:b/>
          <w:bCs/>
          <w:rtl/>
        </w:rPr>
        <w:t xml:space="preserve"> (ב"ש) מדינת ישראל נ' אלאפשק </w:t>
      </w:r>
      <w:r w:rsidRPr="00537B7F">
        <w:rPr>
          <w:rFonts w:ascii="David" w:hAnsi="David"/>
          <w:rtl/>
        </w:rPr>
        <w:t>(5.1.21):</w:t>
      </w:r>
      <w:r w:rsidRPr="00537B7F">
        <w:rPr>
          <w:rFonts w:ascii="David" w:hAnsi="David"/>
          <w:b/>
          <w:bCs/>
          <w:rtl/>
        </w:rPr>
        <w:t xml:space="preserve"> </w:t>
      </w:r>
      <w:r w:rsidRPr="00537B7F">
        <w:rPr>
          <w:rFonts w:ascii="David" w:hAnsi="David"/>
          <w:rtl/>
        </w:rPr>
        <w:t xml:space="preserve">הורשע הנאשם בהחזקת קנבוס במשקל של 1.7 ק"ג. על הנאשם, שהיה בעל הרשעות קודמות והוגש בעניינו תסקיר חיובי, הוטלו </w:t>
      </w:r>
      <w:r w:rsidRPr="00537B7F">
        <w:rPr>
          <w:rFonts w:ascii="David" w:hAnsi="David"/>
          <w:b/>
          <w:bCs/>
          <w:rtl/>
        </w:rPr>
        <w:t>6 חודשי מאסר בדרך של עבודות שירות.</w:t>
      </w:r>
      <w:r w:rsidRPr="00537B7F">
        <w:rPr>
          <w:rFonts w:ascii="David" w:hAnsi="David"/>
          <w:rtl/>
        </w:rPr>
        <w:t xml:space="preserve"> </w:t>
      </w:r>
    </w:p>
    <w:p w14:paraId="50BCB936" w14:textId="77777777" w:rsidR="006F4AF8" w:rsidRPr="00537B7F" w:rsidRDefault="006F4AF8" w:rsidP="006F4AF8">
      <w:pPr>
        <w:spacing w:after="160" w:line="360" w:lineRule="auto"/>
        <w:contextualSpacing/>
        <w:jc w:val="both"/>
        <w:rPr>
          <w:rFonts w:ascii="David" w:hAnsi="David"/>
          <w:b/>
          <w:bCs/>
          <w:szCs w:val="22"/>
          <w:rtl/>
        </w:rPr>
      </w:pPr>
    </w:p>
    <w:p w14:paraId="731A37C3" w14:textId="77777777" w:rsidR="006F4AF8" w:rsidRPr="00537B7F" w:rsidRDefault="006F4AF8" w:rsidP="006F4AF8">
      <w:pPr>
        <w:numPr>
          <w:ilvl w:val="0"/>
          <w:numId w:val="2"/>
        </w:numPr>
        <w:spacing w:after="160" w:line="360" w:lineRule="auto"/>
        <w:contextualSpacing/>
        <w:jc w:val="both"/>
        <w:rPr>
          <w:rFonts w:ascii="David" w:hAnsi="David"/>
          <w:b/>
          <w:bCs/>
        </w:rPr>
      </w:pPr>
      <w:r w:rsidRPr="00537B7F">
        <w:rPr>
          <w:rFonts w:ascii="David" w:hAnsi="David"/>
          <w:b/>
          <w:bCs/>
          <w:rtl/>
        </w:rPr>
        <w:t>ב</w:t>
      </w:r>
      <w:hyperlink r:id="rId32" w:history="1">
        <w:r w:rsidR="00037DDD" w:rsidRPr="00537B7F">
          <w:rPr>
            <w:rFonts w:ascii="David" w:hAnsi="David"/>
            <w:b/>
            <w:bCs/>
            <w:color w:val="0000FF"/>
            <w:u w:val="single"/>
            <w:rtl/>
          </w:rPr>
          <w:t>ת"פ 14782-06-18</w:t>
        </w:r>
      </w:hyperlink>
      <w:r w:rsidRPr="00537B7F">
        <w:rPr>
          <w:rFonts w:ascii="David" w:hAnsi="David"/>
          <w:b/>
          <w:bCs/>
          <w:rtl/>
        </w:rPr>
        <w:t xml:space="preserve"> (ב"ש) מדינת ישראל נ' אלעול </w:t>
      </w:r>
      <w:r w:rsidRPr="00537B7F">
        <w:rPr>
          <w:rFonts w:ascii="David" w:hAnsi="David"/>
          <w:rtl/>
        </w:rPr>
        <w:t>(7.1.20):</w:t>
      </w:r>
      <w:r w:rsidRPr="00537B7F">
        <w:rPr>
          <w:rFonts w:ascii="David" w:hAnsi="David"/>
          <w:b/>
          <w:bCs/>
          <w:rtl/>
        </w:rPr>
        <w:t xml:space="preserve"> </w:t>
      </w:r>
      <w:r w:rsidRPr="00537B7F">
        <w:rPr>
          <w:rFonts w:ascii="David" w:hAnsi="David"/>
          <w:rtl/>
        </w:rPr>
        <w:t xml:space="preserve">הורשע הנאשם בהחזקת סם מסוכן מסוג קנבוס במשקל של 3.8 ק"ג שלא לצריכה עצמית. על הנאשם, צעיר בן 23 ללא הרשעות קודמות ותסקיר שהוגש בעניינו הוטלו </w:t>
      </w:r>
      <w:r w:rsidRPr="00537B7F">
        <w:rPr>
          <w:rFonts w:ascii="David" w:hAnsi="David"/>
          <w:b/>
          <w:bCs/>
          <w:rtl/>
        </w:rPr>
        <w:t>9 חודשי מאסר בפועל שירוצו בעבודות שירות, ורכיבי ענישה נוספים.</w:t>
      </w:r>
    </w:p>
    <w:p w14:paraId="4FDA2A4D" w14:textId="77777777" w:rsidR="006F4AF8" w:rsidRPr="00537B7F" w:rsidRDefault="006F4AF8" w:rsidP="006F4AF8">
      <w:pPr>
        <w:spacing w:after="160" w:line="259" w:lineRule="auto"/>
        <w:ind w:left="720"/>
        <w:contextualSpacing/>
        <w:rPr>
          <w:rFonts w:ascii="David" w:hAnsi="David"/>
          <w:b/>
          <w:bCs/>
          <w:rtl/>
        </w:rPr>
      </w:pPr>
    </w:p>
    <w:p w14:paraId="7F95AC8D" w14:textId="77777777" w:rsidR="006F4AF8" w:rsidRPr="00537B7F" w:rsidRDefault="006F4AF8" w:rsidP="006F4AF8">
      <w:pPr>
        <w:numPr>
          <w:ilvl w:val="0"/>
          <w:numId w:val="2"/>
        </w:numPr>
        <w:spacing w:after="160" w:line="360" w:lineRule="auto"/>
        <w:contextualSpacing/>
        <w:jc w:val="both"/>
        <w:rPr>
          <w:rFonts w:ascii="David" w:hAnsi="David"/>
          <w:b/>
          <w:bCs/>
        </w:rPr>
      </w:pPr>
      <w:r w:rsidRPr="00537B7F">
        <w:rPr>
          <w:rFonts w:ascii="David" w:hAnsi="David"/>
          <w:b/>
          <w:bCs/>
          <w:rtl/>
        </w:rPr>
        <w:t>ב</w:t>
      </w:r>
      <w:hyperlink r:id="rId33" w:history="1">
        <w:r w:rsidR="00037DDD" w:rsidRPr="00537B7F">
          <w:rPr>
            <w:rFonts w:ascii="David" w:hAnsi="David"/>
            <w:b/>
            <w:bCs/>
            <w:color w:val="0000FF"/>
            <w:u w:val="single"/>
            <w:rtl/>
          </w:rPr>
          <w:t>ת"פ 17157-08-20</w:t>
        </w:r>
      </w:hyperlink>
      <w:r w:rsidRPr="00537B7F">
        <w:rPr>
          <w:rFonts w:ascii="David" w:hAnsi="David"/>
          <w:b/>
          <w:bCs/>
          <w:rtl/>
        </w:rPr>
        <w:t xml:space="preserve"> (ב"ש) מדינת ישראל נ' אבו ארסיס </w:t>
      </w:r>
      <w:r w:rsidRPr="00537B7F">
        <w:rPr>
          <w:rFonts w:ascii="David" w:hAnsi="David"/>
          <w:rtl/>
        </w:rPr>
        <w:t>(1.3.21) הורשע הנאשם בכך שהחזיק ברכבו חשיש במשקל 9 ק"ג, מחולק ל 118 אריזות. נקבע, כי מתחם העונש ההולם הוא 11-22 חודשי מאסר בפועל. על הנאשם, צעיר בן 20 רווק ללא רישום פלילי הוטלו 11 חודשי מאסר בפועל, קנס בסך 20,000 ₪, פסילת רישיון ועונשים צופי פני עתיד.</w:t>
      </w:r>
    </w:p>
    <w:p w14:paraId="2C09A299" w14:textId="77777777" w:rsidR="006F4AF8" w:rsidRPr="00537B7F" w:rsidRDefault="006F4AF8" w:rsidP="006F4AF8">
      <w:pPr>
        <w:spacing w:after="160" w:line="259" w:lineRule="auto"/>
        <w:ind w:left="720"/>
        <w:contextualSpacing/>
        <w:rPr>
          <w:rFonts w:ascii="David" w:hAnsi="David"/>
          <w:b/>
          <w:bCs/>
          <w:rtl/>
        </w:rPr>
      </w:pPr>
    </w:p>
    <w:p w14:paraId="08AF875A" w14:textId="77777777" w:rsidR="006F4AF8" w:rsidRPr="00537B7F" w:rsidRDefault="006F4AF8" w:rsidP="006F4AF8">
      <w:pPr>
        <w:numPr>
          <w:ilvl w:val="0"/>
          <w:numId w:val="2"/>
        </w:numPr>
        <w:spacing w:after="160" w:line="360" w:lineRule="auto"/>
        <w:contextualSpacing/>
        <w:jc w:val="both"/>
        <w:rPr>
          <w:rFonts w:ascii="David" w:hAnsi="David"/>
          <w:b/>
          <w:bCs/>
        </w:rPr>
      </w:pPr>
      <w:r w:rsidRPr="00537B7F">
        <w:rPr>
          <w:rFonts w:ascii="David" w:hAnsi="David"/>
          <w:b/>
          <w:bCs/>
          <w:rtl/>
        </w:rPr>
        <w:t>ב</w:t>
      </w:r>
      <w:hyperlink r:id="rId34" w:history="1">
        <w:r w:rsidR="00037DDD" w:rsidRPr="00537B7F">
          <w:rPr>
            <w:rFonts w:ascii="David" w:hAnsi="David"/>
            <w:b/>
            <w:bCs/>
            <w:color w:val="0000FF"/>
            <w:u w:val="single"/>
            <w:rtl/>
          </w:rPr>
          <w:t>ת"פ 63029-12-20</w:t>
        </w:r>
      </w:hyperlink>
      <w:r w:rsidRPr="00537B7F">
        <w:rPr>
          <w:rFonts w:ascii="David" w:hAnsi="David"/>
          <w:b/>
          <w:bCs/>
          <w:rtl/>
        </w:rPr>
        <w:t xml:space="preserve"> (ב"ש) מדינת ישראל נ' שליף </w:t>
      </w:r>
      <w:r w:rsidRPr="00537B7F">
        <w:rPr>
          <w:rFonts w:ascii="David" w:hAnsi="David"/>
          <w:rtl/>
        </w:rPr>
        <w:t>(8.4.21) הורשע הנאשם בכך שהחזיק ברכבו 1,033 גרם קנבוס ו-1,125 גרם חשיש. נקבע על ידי מותב זה כי מתחם העונש ההולם נע בין 6 ל-18 חודשי מאסר בפועל. על הנאשם הוטלו 9 חודשי מאסר בפעול, בשים לב להרשעותיו הקודמות, הודאתו במסגרת כתב האישום המתוקן והבעת החרטה.</w:t>
      </w:r>
    </w:p>
    <w:p w14:paraId="50E82AE9" w14:textId="77777777" w:rsidR="006F4AF8" w:rsidRPr="00537B7F" w:rsidRDefault="006F4AF8" w:rsidP="006F4AF8">
      <w:pPr>
        <w:spacing w:after="160" w:line="360" w:lineRule="auto"/>
        <w:contextualSpacing/>
        <w:jc w:val="both"/>
        <w:rPr>
          <w:rFonts w:ascii="David" w:hAnsi="David"/>
          <w:b/>
          <w:bCs/>
          <w:rtl/>
        </w:rPr>
      </w:pPr>
    </w:p>
    <w:p w14:paraId="75C314B8" w14:textId="77777777" w:rsidR="006F4AF8" w:rsidRPr="00537B7F" w:rsidRDefault="006F4AF8" w:rsidP="006F4AF8">
      <w:pPr>
        <w:spacing w:after="160" w:line="360" w:lineRule="auto"/>
        <w:contextualSpacing/>
        <w:jc w:val="both"/>
        <w:rPr>
          <w:rFonts w:ascii="David" w:hAnsi="David"/>
          <w:rtl/>
        </w:rPr>
      </w:pPr>
      <w:r w:rsidRPr="00537B7F">
        <w:rPr>
          <w:rFonts w:ascii="David" w:hAnsi="David"/>
          <w:rtl/>
        </w:rPr>
        <w:t xml:space="preserve">גם בעניין הערכים המוגנים שבבסיס העבירה של נהיגה בזמן פסילה כבר נכתב רבות. מי שנוהג בזמן פסילה שהוטלה עליו על ידי בית המשפט מלמד על עצמו שאינו נרתע מהליכים משפטיים שמתנהלים בעניינו ובהתנהגותו מביע זלזול כלפי בית המשפט, משכך החמרה בענישה בגין עבירה זו נועדה בין היתר להעביר מסר ברור בדבר חשיבות שלטון החוק והציות להחלטות שיפוטיות. בנוסף לכך מי שבית המשפט מצא אותו פסול מלנהוג בגין הליך קודם, משמעות הדבר היא כי כבר נקבע שבנהיגה על ידו טמון סיכון לעצמו ולזולת. הפרת עונש פסילה היא בעלת פוטנציאל פגיעה משמעותית בנסיבות אלה בשלום הציבור ובביטחון כלל המשתמשים בדרך – נהגים והולכי רגל כאחד (ראו והשוו </w:t>
      </w:r>
      <w:hyperlink r:id="rId35" w:history="1">
        <w:r w:rsidR="00037DDD" w:rsidRPr="00537B7F">
          <w:rPr>
            <w:rFonts w:ascii="David" w:hAnsi="David"/>
            <w:color w:val="0000FF"/>
            <w:u w:val="single"/>
            <w:rtl/>
          </w:rPr>
          <w:t>רע"פ 1211/12</w:t>
        </w:r>
      </w:hyperlink>
      <w:r w:rsidRPr="00537B7F">
        <w:rPr>
          <w:rFonts w:ascii="David" w:hAnsi="David"/>
          <w:rtl/>
        </w:rPr>
        <w:t xml:space="preserve"> </w:t>
      </w:r>
      <w:r w:rsidRPr="00537B7F">
        <w:rPr>
          <w:rFonts w:ascii="David" w:hAnsi="David"/>
          <w:b/>
          <w:bCs/>
          <w:rtl/>
        </w:rPr>
        <w:t>ישראלי נ'</w:t>
      </w:r>
      <w:r w:rsidRPr="00537B7F">
        <w:rPr>
          <w:rFonts w:ascii="David" w:hAnsi="David"/>
          <w:rtl/>
        </w:rPr>
        <w:t xml:space="preserve"> </w:t>
      </w:r>
      <w:r w:rsidRPr="00537B7F">
        <w:rPr>
          <w:rFonts w:ascii="David" w:hAnsi="David"/>
          <w:b/>
          <w:bCs/>
          <w:rtl/>
        </w:rPr>
        <w:t xml:space="preserve">מדינת ישראל </w:t>
      </w:r>
      <w:r w:rsidRPr="00537B7F">
        <w:rPr>
          <w:rFonts w:ascii="David" w:hAnsi="David"/>
          <w:rtl/>
        </w:rPr>
        <w:t xml:space="preserve">(פורסם במאגרים 15.2.2012; </w:t>
      </w:r>
      <w:hyperlink r:id="rId36" w:history="1">
        <w:r w:rsidR="00037DDD" w:rsidRPr="00537B7F">
          <w:rPr>
            <w:rFonts w:ascii="David" w:hAnsi="David"/>
            <w:color w:val="0000FF"/>
            <w:u w:val="single"/>
            <w:rtl/>
          </w:rPr>
          <w:t>רע"פ 1883/19</w:t>
        </w:r>
      </w:hyperlink>
      <w:r w:rsidRPr="00537B7F">
        <w:rPr>
          <w:rFonts w:ascii="David" w:hAnsi="David"/>
          <w:rtl/>
        </w:rPr>
        <w:t xml:space="preserve"> </w:t>
      </w:r>
      <w:r w:rsidRPr="00537B7F">
        <w:rPr>
          <w:rFonts w:ascii="David" w:hAnsi="David"/>
          <w:b/>
          <w:bCs/>
          <w:rtl/>
        </w:rPr>
        <w:t>ביטון נ' מדינת ישראל</w:t>
      </w:r>
      <w:r w:rsidRPr="00537B7F">
        <w:rPr>
          <w:rFonts w:ascii="David" w:hAnsi="David"/>
          <w:rtl/>
        </w:rPr>
        <w:t xml:space="preserve"> (פורסם במאגרים 28.3.2019)).</w:t>
      </w:r>
    </w:p>
    <w:p w14:paraId="57FEBC25" w14:textId="77777777" w:rsidR="006F4AF8" w:rsidRPr="00537B7F" w:rsidRDefault="006F4AF8" w:rsidP="006F4AF8">
      <w:pPr>
        <w:spacing w:after="160" w:line="360" w:lineRule="auto"/>
        <w:contextualSpacing/>
        <w:jc w:val="both"/>
        <w:rPr>
          <w:rFonts w:ascii="David" w:hAnsi="David"/>
          <w:rtl/>
        </w:rPr>
      </w:pPr>
    </w:p>
    <w:p w14:paraId="6284C775" w14:textId="77777777" w:rsidR="006F4AF8" w:rsidRPr="00537B7F" w:rsidRDefault="006F4AF8" w:rsidP="006F4AF8">
      <w:pPr>
        <w:spacing w:after="160" w:line="360" w:lineRule="auto"/>
        <w:contextualSpacing/>
        <w:jc w:val="both"/>
        <w:rPr>
          <w:rFonts w:ascii="David" w:hAnsi="David"/>
          <w:rtl/>
        </w:rPr>
      </w:pPr>
      <w:r w:rsidRPr="00537B7F">
        <w:rPr>
          <w:rFonts w:ascii="David" w:hAnsi="David"/>
          <w:rtl/>
        </w:rPr>
        <w:t xml:space="preserve">במקרה זה, הנאשם נהג בזמן פסילה שהוטלה עליו על ידי בתי המשפט וזאת בשני הליכים נפרדים ושונים. ב"כ הנאשם טען לזכות הנאשם כי מידת אשמו פחותה, שכן הנאשם סבר בתום לב שמניין הפסילה מתחיל ביום הטלתה ולא היה מודע לצורך בהפקדת רישיון הנהיגה עם שחרורו ממאסר. מעבר לכך שטענה זו בדבר נסיבות הקשורות בביצוע עבירה טעונה הוכחה בראיות בטרם מתן הכרעת הדין, וזאת בהתאם להוראות </w:t>
      </w:r>
      <w:hyperlink r:id="rId37" w:history="1">
        <w:r w:rsidR="00037DDD" w:rsidRPr="00537B7F">
          <w:rPr>
            <w:rFonts w:ascii="David" w:hAnsi="David"/>
            <w:color w:val="0000FF"/>
            <w:u w:val="single"/>
            <w:rtl/>
          </w:rPr>
          <w:t>חוק העונשין</w:t>
        </w:r>
      </w:hyperlink>
      <w:r w:rsidRPr="00537B7F">
        <w:rPr>
          <w:rFonts w:ascii="David" w:hAnsi="David"/>
          <w:rtl/>
        </w:rPr>
        <w:t xml:space="preserve">, הרי שקשה לקבל את הטענה ולהניח אותה לזכות הנאשם, גם בשים לב לעברו התעבורתי: הנאשם הורשע כבר בעבר בעבירות של נהיגה חרף רישיון שפקע וזאת מספר פעמים (ראו הרשעה מס' 4,5,13,15,18,19,23,25). זאת בנוסף לכך שכבר הורשע בעבר בעבירות של נהיגה בזמן פסילה (ראו שתי עבירות בהרשעה מס' 13). נוסיף על כך, כי גם לאחרונה ממש ביום 27.4.2021 הורשע הנאשם בעבירה נוספת של נהיגה בחלוף למעלה משנתיים מעת פקיעת רישיון הנהיגה. </w:t>
      </w:r>
    </w:p>
    <w:p w14:paraId="1AE4C28D" w14:textId="77777777" w:rsidR="006F4AF8" w:rsidRPr="00537B7F" w:rsidRDefault="006F4AF8" w:rsidP="006F4AF8">
      <w:pPr>
        <w:spacing w:after="160" w:line="360" w:lineRule="auto"/>
        <w:contextualSpacing/>
        <w:jc w:val="both"/>
        <w:rPr>
          <w:rFonts w:ascii="David" w:hAnsi="David"/>
          <w:b/>
          <w:bCs/>
          <w:rtl/>
        </w:rPr>
      </w:pPr>
      <w:r w:rsidRPr="00537B7F">
        <w:rPr>
          <w:rFonts w:ascii="David" w:hAnsi="David"/>
          <w:b/>
          <w:bCs/>
          <w:rtl/>
        </w:rPr>
        <w:t xml:space="preserve">לאור זאת נראה כי מידת הפגיעה בערכים המוגנים במקרה זה היא גבוהה. </w:t>
      </w:r>
    </w:p>
    <w:p w14:paraId="5508560A" w14:textId="77777777" w:rsidR="006F4AF8" w:rsidRPr="00537B7F" w:rsidRDefault="006F4AF8" w:rsidP="006F4AF8">
      <w:pPr>
        <w:spacing w:after="160" w:line="360" w:lineRule="auto"/>
        <w:contextualSpacing/>
        <w:jc w:val="both"/>
        <w:rPr>
          <w:rFonts w:ascii="David" w:hAnsi="David"/>
          <w:rtl/>
        </w:rPr>
      </w:pPr>
    </w:p>
    <w:p w14:paraId="3BD9AE07" w14:textId="77777777" w:rsidR="006F4AF8" w:rsidRPr="00537B7F" w:rsidRDefault="006F4AF8" w:rsidP="006F4AF8">
      <w:pPr>
        <w:spacing w:after="160" w:line="360" w:lineRule="auto"/>
        <w:contextualSpacing/>
        <w:jc w:val="both"/>
        <w:rPr>
          <w:rFonts w:ascii="David" w:hAnsi="David"/>
          <w:rtl/>
        </w:rPr>
      </w:pPr>
      <w:r w:rsidRPr="00537B7F">
        <w:rPr>
          <w:rFonts w:ascii="David" w:hAnsi="David"/>
          <w:rtl/>
        </w:rPr>
        <w:t>עיון בפסקי הדין מלמד על מדיניות הענישה הנהוגה בעבירות אלה וראו למשל:</w:t>
      </w:r>
    </w:p>
    <w:p w14:paraId="28F607B4" w14:textId="77777777" w:rsidR="006F4AF8" w:rsidRPr="00537B7F" w:rsidRDefault="006F4AF8" w:rsidP="006F4AF8">
      <w:pPr>
        <w:numPr>
          <w:ilvl w:val="0"/>
          <w:numId w:val="3"/>
        </w:numPr>
        <w:spacing w:after="160" w:line="360" w:lineRule="auto"/>
        <w:contextualSpacing/>
        <w:jc w:val="both"/>
        <w:rPr>
          <w:rFonts w:ascii="David" w:hAnsi="David"/>
        </w:rPr>
      </w:pPr>
      <w:r w:rsidRPr="00537B7F">
        <w:rPr>
          <w:rFonts w:ascii="David" w:hAnsi="David"/>
          <w:rtl/>
        </w:rPr>
        <w:t xml:space="preserve">בעניין </w:t>
      </w:r>
      <w:r w:rsidRPr="00537B7F">
        <w:rPr>
          <w:rFonts w:ascii="David" w:hAnsi="David"/>
          <w:b/>
          <w:bCs/>
          <w:rtl/>
        </w:rPr>
        <w:t>ביטון</w:t>
      </w:r>
      <w:r w:rsidRPr="00537B7F">
        <w:rPr>
          <w:rFonts w:ascii="David" w:hAnsi="David"/>
          <w:rtl/>
        </w:rPr>
        <w:t xml:space="preserve"> הנ"ל, הורשע הנאשם בנהיגה בזמן פסילה ללא ביטוח וללא רישיון רכב בתוקף והוטל עליו קנס וכן הוארך מאסר על תנאי מתיק קודם, בנוסף לעונשי פסילה בפועל ועל תנאי. במסגרת ערעור המאשימה לבית המשפט המחוזי, הוטלו עליו 18 חודשי מאסר בפועל וכן הופעל מאסר מותנה קודם במצטבר, כך שירצה בסך הכל 20 חודשי מאסר בפועל. בית המשפט העליון דחה את הבקשה לרשות ערעור תוך שנקבע כי המבקש הראה בהתנהגותו כי אינו נרתע מהליכים קודמים ועל כן נכון להחמיר בעונשו של מי שמסכן חיי אדם ומזלזל בחוק ובצווי בית המשפט. </w:t>
      </w:r>
    </w:p>
    <w:p w14:paraId="019250F9" w14:textId="77777777" w:rsidR="006F4AF8" w:rsidRPr="00537B7F" w:rsidRDefault="006F4AF8" w:rsidP="006F4AF8">
      <w:pPr>
        <w:numPr>
          <w:ilvl w:val="0"/>
          <w:numId w:val="3"/>
        </w:numPr>
        <w:spacing w:after="160" w:line="360" w:lineRule="auto"/>
        <w:contextualSpacing/>
        <w:jc w:val="both"/>
        <w:rPr>
          <w:rFonts w:ascii="David" w:hAnsi="David"/>
        </w:rPr>
      </w:pPr>
      <w:r w:rsidRPr="00537B7F">
        <w:rPr>
          <w:rFonts w:ascii="David" w:hAnsi="David"/>
          <w:rtl/>
        </w:rPr>
        <w:t xml:space="preserve">בעניין </w:t>
      </w:r>
      <w:r w:rsidRPr="00537B7F">
        <w:rPr>
          <w:rFonts w:ascii="David" w:hAnsi="David"/>
          <w:b/>
          <w:bCs/>
          <w:rtl/>
        </w:rPr>
        <w:t>ישראלי</w:t>
      </w:r>
      <w:r w:rsidRPr="00537B7F">
        <w:rPr>
          <w:rFonts w:ascii="David" w:hAnsi="David"/>
          <w:rtl/>
        </w:rPr>
        <w:t xml:space="preserve"> הנ"ל, הורשע בעבירות של נהיגה בזמן פסילה ללא רישיון בתוקף וללא ביטוח. מדובר במי שלחובתו הרשעות תעבורה רבות, נסיבותיו המשפחתיות כפי שעלה מתסקיר שירות המבחן אינן קלות. העונש שהוטל עליו בדמות 8 חודשים מאסר בפועל אושר. יצוין כי גם שם קבע בית המשפט כי אין להידרש לטענה בדבר אי הבנה בנוגע למועד הכניסה לתוקף של עונש הפסילה.</w:t>
      </w:r>
    </w:p>
    <w:p w14:paraId="653905FF" w14:textId="77777777" w:rsidR="006F4AF8" w:rsidRPr="00537B7F" w:rsidRDefault="006F4AF8" w:rsidP="006F4AF8">
      <w:pPr>
        <w:numPr>
          <w:ilvl w:val="0"/>
          <w:numId w:val="3"/>
        </w:numPr>
        <w:spacing w:after="160" w:line="360" w:lineRule="auto"/>
        <w:contextualSpacing/>
        <w:jc w:val="both"/>
        <w:rPr>
          <w:rFonts w:ascii="David" w:hAnsi="David"/>
        </w:rPr>
      </w:pPr>
      <w:r w:rsidRPr="00537B7F">
        <w:rPr>
          <w:rFonts w:ascii="David" w:hAnsi="David"/>
          <w:rtl/>
        </w:rPr>
        <w:t>ב</w:t>
      </w:r>
      <w:hyperlink r:id="rId38" w:history="1">
        <w:r w:rsidR="00037DDD" w:rsidRPr="00537B7F">
          <w:rPr>
            <w:rFonts w:ascii="David" w:hAnsi="David"/>
            <w:color w:val="0000FF"/>
            <w:u w:val="single"/>
            <w:rtl/>
          </w:rPr>
          <w:t>רע"פ 1076/16</w:t>
        </w:r>
      </w:hyperlink>
      <w:r w:rsidRPr="00537B7F">
        <w:rPr>
          <w:rFonts w:ascii="David" w:hAnsi="David"/>
          <w:rtl/>
        </w:rPr>
        <w:t xml:space="preserve"> </w:t>
      </w:r>
      <w:r w:rsidRPr="00537B7F">
        <w:rPr>
          <w:rFonts w:ascii="David" w:hAnsi="David"/>
          <w:b/>
          <w:bCs/>
          <w:rtl/>
        </w:rPr>
        <w:t>כהן נ' מדינת ישראל</w:t>
      </w:r>
      <w:r w:rsidRPr="00537B7F">
        <w:rPr>
          <w:rFonts w:ascii="David" w:hAnsi="David"/>
          <w:rtl/>
        </w:rPr>
        <w:t xml:space="preserve"> (פורסם במאגרים 11.2.2016) הורשע הנאשם בנהיגה בזמן פסילה ללא רישיון נהיגה תקף וללא ביטוח. בית המשפט לקח בחשבון את נסיבותיו האישיות וכן את מצבו הרפואי החריג ובנוסף את הרשעותיו הקודמות הרבות בתחום התעבורה וכן נלקח בחשבון כי העבירה בוצעה בעת שהנאשם ממתין לתחילת ריצוי עבודות שירות שהוטלו עליו בגין עבירה דומה קודמת. בית המשפט קבע כי מתחם העונש ההולם נע בין מס' חודשי מאסר ל-20 חודשי מאסר בפועל ובגין שנתיים ל-5 שנות פסילת רישיון והטיל על הנאשם 15 חודשי מאסר בפועל והפעלה של מאסר מותנה בחפיפה חלקית. </w:t>
      </w:r>
    </w:p>
    <w:p w14:paraId="57A7E18D" w14:textId="77777777" w:rsidR="006F4AF8" w:rsidRPr="00537B7F" w:rsidRDefault="006F4AF8" w:rsidP="006F4AF8">
      <w:pPr>
        <w:numPr>
          <w:ilvl w:val="0"/>
          <w:numId w:val="3"/>
        </w:numPr>
        <w:spacing w:after="160" w:line="360" w:lineRule="auto"/>
        <w:contextualSpacing/>
        <w:jc w:val="both"/>
        <w:rPr>
          <w:rFonts w:ascii="David" w:hAnsi="David"/>
        </w:rPr>
      </w:pPr>
      <w:r w:rsidRPr="00537B7F">
        <w:rPr>
          <w:rFonts w:ascii="David" w:hAnsi="David"/>
          <w:rtl/>
        </w:rPr>
        <w:t>ב</w:t>
      </w:r>
      <w:hyperlink r:id="rId39" w:history="1">
        <w:r w:rsidR="00037DDD" w:rsidRPr="00537B7F">
          <w:rPr>
            <w:rFonts w:ascii="David" w:hAnsi="David"/>
            <w:color w:val="0000FF"/>
            <w:u w:val="single"/>
            <w:rtl/>
          </w:rPr>
          <w:t>רע"פ 5431/17</w:t>
        </w:r>
      </w:hyperlink>
      <w:r w:rsidRPr="00537B7F">
        <w:rPr>
          <w:rFonts w:ascii="David" w:hAnsi="David"/>
          <w:rtl/>
        </w:rPr>
        <w:t xml:space="preserve"> </w:t>
      </w:r>
      <w:r w:rsidRPr="00537B7F">
        <w:rPr>
          <w:rFonts w:ascii="David" w:hAnsi="David"/>
          <w:b/>
          <w:bCs/>
          <w:rtl/>
        </w:rPr>
        <w:t>זאדה נ' מדינת ישראל</w:t>
      </w:r>
      <w:r w:rsidRPr="00537B7F">
        <w:rPr>
          <w:rFonts w:ascii="David" w:hAnsi="David"/>
          <w:rtl/>
        </w:rPr>
        <w:t xml:space="preserve"> (פורסם במאגרים 5.9.2017) הורשע הנאשם בנהיגה בזמן פסילה ונהיגה ללא רישיון בתוקף וללא ביטוח, בנוסף הורשע באי ציות לשוטר ונהיגה בקלות ראש. בית המשפט קבע מתחמים נפרדים לעבירות השונות. ביחס לעבירה של נהיגה בזמן פסילה, נקבע כי העונש הראוי הוא ככלל מאסר לריצוי בפועל לצד פסילה לתקופה ממושכת. נקבע כי מתחם העונש ההולם נע בין 7 ל-20 חודשי מאסר. </w:t>
      </w:r>
    </w:p>
    <w:p w14:paraId="5E84C253" w14:textId="77777777" w:rsidR="006F4AF8" w:rsidRPr="00537B7F" w:rsidRDefault="006F4AF8" w:rsidP="006F4AF8">
      <w:pPr>
        <w:numPr>
          <w:ilvl w:val="0"/>
          <w:numId w:val="3"/>
        </w:numPr>
        <w:spacing w:after="160" w:line="360" w:lineRule="auto"/>
        <w:contextualSpacing/>
        <w:jc w:val="both"/>
        <w:rPr>
          <w:rFonts w:ascii="David" w:hAnsi="David"/>
        </w:rPr>
      </w:pPr>
      <w:r w:rsidRPr="00537B7F">
        <w:rPr>
          <w:rFonts w:ascii="David" w:hAnsi="David"/>
          <w:rtl/>
        </w:rPr>
        <w:t>ב</w:t>
      </w:r>
      <w:hyperlink r:id="rId40" w:history="1">
        <w:r w:rsidR="00037DDD" w:rsidRPr="00537B7F">
          <w:rPr>
            <w:rFonts w:ascii="David" w:hAnsi="David"/>
            <w:color w:val="0000FF"/>
            <w:u w:val="single"/>
            <w:rtl/>
          </w:rPr>
          <w:t>רע"פ 5244/17</w:t>
        </w:r>
      </w:hyperlink>
      <w:r w:rsidRPr="00537B7F">
        <w:rPr>
          <w:rFonts w:ascii="David" w:hAnsi="David"/>
          <w:rtl/>
        </w:rPr>
        <w:t xml:space="preserve"> </w:t>
      </w:r>
      <w:r w:rsidRPr="00537B7F">
        <w:rPr>
          <w:rFonts w:ascii="David" w:hAnsi="David"/>
          <w:b/>
          <w:bCs/>
          <w:rtl/>
        </w:rPr>
        <w:t>תורג'מן נ' מדינת ישראל</w:t>
      </w:r>
      <w:r w:rsidRPr="00537B7F">
        <w:rPr>
          <w:rFonts w:ascii="David" w:hAnsi="David"/>
          <w:rtl/>
        </w:rPr>
        <w:t xml:space="preserve"> (פורסם במאגרים 12.9.2017) הנאשם הורשע בעבירה של נהיגה בפסילה, אותה ביצע עת הוא פסול מלהחזיק ברישיון נהיגה במסגרת שלושה הליכים נפרדים וכן נהיגה ללא רישיון שפקע וללא ביטוח. במסגרת הערעור בבית המשפט המחוזי נקבע כי המתחם נע בין 6 ל-20 חודשי מאסר ובשים לב למכלול הנסיבות האישיות, עברו הפלילי, התעבורתי וכן מצבו הבריאותי המעורער, הוחלט להטיל על הנאשם 10 חודשי מאסר לריצוי בפועל ולאחר הפעלת עונשים מותנים קודמים, ירצה בסך הכל 20 חודשי מאסר. בית המשפט העליון קבע כי העונש שהושת על המבקש ראוי ומאוזן.</w:t>
      </w:r>
    </w:p>
    <w:p w14:paraId="261FDDC5" w14:textId="77777777" w:rsidR="006F4AF8" w:rsidRPr="00537B7F" w:rsidRDefault="006F4AF8" w:rsidP="006F4AF8">
      <w:pPr>
        <w:numPr>
          <w:ilvl w:val="0"/>
          <w:numId w:val="3"/>
        </w:numPr>
        <w:spacing w:after="160" w:line="360" w:lineRule="auto"/>
        <w:contextualSpacing/>
        <w:jc w:val="both"/>
        <w:rPr>
          <w:rFonts w:ascii="David" w:hAnsi="David"/>
          <w:rtl/>
        </w:rPr>
      </w:pPr>
      <w:r w:rsidRPr="00537B7F">
        <w:rPr>
          <w:rFonts w:ascii="David" w:hAnsi="David"/>
          <w:rtl/>
        </w:rPr>
        <w:t>ב"כ הנאשם הפנה ל</w:t>
      </w:r>
      <w:hyperlink r:id="rId41" w:history="1">
        <w:r w:rsidR="00037DDD" w:rsidRPr="00537B7F">
          <w:rPr>
            <w:rFonts w:ascii="David" w:hAnsi="David"/>
            <w:color w:val="0000FF"/>
            <w:u w:val="single"/>
            <w:rtl/>
          </w:rPr>
          <w:t>פל"א 4334-05-19</w:t>
        </w:r>
      </w:hyperlink>
      <w:r w:rsidRPr="00537B7F">
        <w:rPr>
          <w:rFonts w:ascii="David" w:hAnsi="David"/>
          <w:rtl/>
        </w:rPr>
        <w:t xml:space="preserve"> </w:t>
      </w:r>
      <w:r w:rsidRPr="00537B7F">
        <w:rPr>
          <w:rFonts w:ascii="David" w:hAnsi="David"/>
          <w:b/>
          <w:bCs/>
          <w:rtl/>
        </w:rPr>
        <w:t>מדינת ישראל נ' וינשטיין</w:t>
      </w:r>
      <w:r w:rsidRPr="00537B7F">
        <w:rPr>
          <w:rFonts w:ascii="David" w:hAnsi="David"/>
          <w:rtl/>
        </w:rPr>
        <w:t xml:space="preserve"> של בית משפט השלום לתעבורה בתל אביב מיום 13.5.2019, שם נקבע מתחם ענישה הנע בין מאסר על תנאי ל-6 חודשי מאסר והוטלו עליו קנס ועונש מותנה בלבד. בשים לב לפסיקתו המנחה של בית המשפט העליון כפי שצוטטה לעיל, סבורני, בכל הכבוד, כי ערכו המנחה של גזר דין זה של הערכאה הדיונית, מוגבל. </w:t>
      </w:r>
    </w:p>
    <w:p w14:paraId="2F8B8C75" w14:textId="77777777" w:rsidR="006F4AF8" w:rsidRPr="00537B7F" w:rsidRDefault="006F4AF8" w:rsidP="006F4AF8">
      <w:pPr>
        <w:spacing w:after="160" w:line="360" w:lineRule="auto"/>
        <w:contextualSpacing/>
        <w:jc w:val="both"/>
        <w:rPr>
          <w:rFonts w:ascii="David" w:hAnsi="David"/>
          <w:b/>
          <w:bCs/>
          <w:rtl/>
        </w:rPr>
      </w:pPr>
    </w:p>
    <w:p w14:paraId="17983FB2" w14:textId="77777777" w:rsidR="006F4AF8" w:rsidRPr="00537B7F" w:rsidRDefault="006F4AF8" w:rsidP="006F4AF8">
      <w:pPr>
        <w:spacing w:after="160" w:line="360" w:lineRule="auto"/>
        <w:contextualSpacing/>
        <w:jc w:val="both"/>
        <w:rPr>
          <w:rFonts w:ascii="David" w:hAnsi="David"/>
          <w:b/>
          <w:bCs/>
          <w:rtl/>
        </w:rPr>
      </w:pPr>
      <w:r w:rsidRPr="00537B7F">
        <w:rPr>
          <w:rFonts w:ascii="David" w:hAnsi="David"/>
          <w:b/>
          <w:bCs/>
          <w:rtl/>
        </w:rPr>
        <w:t xml:space="preserve">מכל האמור, אני קובעת כי מתחם העונש ההולם בגין ככלל העבירות בהן הורשע הנאשם באירוע זה נע בין 9 ל-20 חודשי מאסר בפועל, בצירוף עונשים נלווים. מתחם הפסילה נע בין שנתיים ל-5 שנים. </w:t>
      </w:r>
    </w:p>
    <w:p w14:paraId="46D04550" w14:textId="77777777" w:rsidR="006F4AF8" w:rsidRPr="00537B7F" w:rsidRDefault="006F4AF8" w:rsidP="006F4AF8">
      <w:pPr>
        <w:spacing w:after="160" w:line="360" w:lineRule="auto"/>
        <w:jc w:val="both"/>
        <w:rPr>
          <w:rFonts w:ascii="David" w:hAnsi="David"/>
          <w:rtl/>
        </w:rPr>
      </w:pPr>
    </w:p>
    <w:p w14:paraId="3EFFEA00" w14:textId="77777777" w:rsidR="006F4AF8" w:rsidRPr="00537B7F" w:rsidRDefault="006F4AF8" w:rsidP="006F4AF8">
      <w:pPr>
        <w:spacing w:after="160" w:line="360" w:lineRule="auto"/>
        <w:jc w:val="both"/>
        <w:rPr>
          <w:rFonts w:ascii="David" w:hAnsi="David"/>
          <w:u w:val="single"/>
          <w:rtl/>
        </w:rPr>
      </w:pPr>
      <w:r w:rsidRPr="00537B7F">
        <w:rPr>
          <w:rFonts w:ascii="David" w:hAnsi="David"/>
          <w:b/>
          <w:bCs/>
          <w:u w:val="single"/>
          <w:rtl/>
        </w:rPr>
        <w:t>קביעת העונש המתאים בגדרי המתחם</w:t>
      </w:r>
    </w:p>
    <w:p w14:paraId="7AC0D6F7" w14:textId="77777777" w:rsidR="006F4AF8" w:rsidRPr="00537B7F" w:rsidRDefault="006F4AF8" w:rsidP="006F4AF8">
      <w:pPr>
        <w:spacing w:after="160" w:line="360" w:lineRule="auto"/>
        <w:jc w:val="both"/>
        <w:rPr>
          <w:rFonts w:ascii="David" w:hAnsi="David"/>
          <w:rtl/>
        </w:rPr>
      </w:pPr>
      <w:r w:rsidRPr="00537B7F">
        <w:rPr>
          <w:rFonts w:ascii="David" w:hAnsi="David"/>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5303C12F" w14:textId="77777777" w:rsidR="006F4AF8" w:rsidRPr="00537B7F" w:rsidRDefault="006F4AF8" w:rsidP="006F4AF8">
      <w:pPr>
        <w:spacing w:after="160" w:line="360" w:lineRule="auto"/>
        <w:jc w:val="both"/>
        <w:rPr>
          <w:rFonts w:ascii="David" w:hAnsi="David"/>
          <w:rtl/>
        </w:rPr>
      </w:pPr>
      <w:r w:rsidRPr="00537B7F">
        <w:rPr>
          <w:rFonts w:ascii="David" w:hAnsi="David"/>
          <w:rtl/>
        </w:rPr>
        <w:t xml:space="preserve">לקחתי בחשבון את הודאת הנאשם במיוחס לו ואת נטילת האחריות בנוסף לחיסכון במשאבי הציבור. </w:t>
      </w:r>
    </w:p>
    <w:p w14:paraId="521700DD" w14:textId="77777777" w:rsidR="006F4AF8" w:rsidRPr="00537B7F" w:rsidRDefault="006F4AF8" w:rsidP="006F4AF8">
      <w:pPr>
        <w:spacing w:after="160" w:line="360" w:lineRule="auto"/>
        <w:jc w:val="both"/>
        <w:rPr>
          <w:rFonts w:ascii="David" w:hAnsi="David"/>
          <w:rtl/>
        </w:rPr>
      </w:pPr>
      <w:r w:rsidRPr="00537B7F">
        <w:rPr>
          <w:rFonts w:ascii="David" w:hAnsi="David"/>
          <w:rtl/>
        </w:rPr>
        <w:t xml:space="preserve">בבחינת עברו  הפלילי של הנאשם, לא ניתן לזקוף לזכותו העדר הרשעות קודמות, הן בתחום הפלילי והן בתחום התעבורתי. בתחום הפלילי, לחובת הנאשם הרשעה קודמת מיום 3.1.2019 בגין עבירת נשק, בגינה ריצה 24 חודשי מאסר. בתחום התעבורתי, לחובת הנאשם 32 רישומים קודמים אותם צבר בתוך 5 שנים משנת 2016 ועד היום וזאת אף שמדובר באדם צעיר יליד 1997 בלבד. בין העבירות ניתן למנות גם עבירות חמורות במיוחד של נהיגה בזמן פסילה, נהיגה בחוסר זהירות באופן הגורם נזק, חריגה של למעלה מ-40 קמ"ש במהירות הנהיגה ועוד. בהרשעתו (מס' 13) מיום 18.2.2018 הוטלו על הנאשם 6 חודשי מאסר בצירוף עונשים נוספים וזאת בגין הרשעתו בעבירות דומות – שתי עבירות של נהיגה בזמן פסילה, נהיגה בקלות ראש ונהיגה ללא רישיון שפקע. בנסיבות אלה, צודקת המאשימה כי מדובר בעבריין תעבורה סדרתי המפגין פעם אחר פעם זלזול בהוראות החוק. </w:t>
      </w:r>
    </w:p>
    <w:p w14:paraId="5789017D" w14:textId="77777777" w:rsidR="006F4AF8" w:rsidRPr="00537B7F" w:rsidRDefault="006F4AF8" w:rsidP="006F4AF8">
      <w:pPr>
        <w:spacing w:after="160" w:line="360" w:lineRule="auto"/>
        <w:jc w:val="both"/>
        <w:rPr>
          <w:rFonts w:ascii="David" w:hAnsi="David"/>
          <w:rtl/>
        </w:rPr>
      </w:pPr>
      <w:r w:rsidRPr="00537B7F">
        <w:rPr>
          <w:rFonts w:ascii="David" w:hAnsi="David"/>
          <w:rtl/>
        </w:rPr>
        <w:t xml:space="preserve">לקחתי בחשבון כי במסגרת ההסכמות שבין הצדדים יחולטו לנאשם סך של 10,000 ₪ וכן יוטל עליו קנס מוסכם של 10,000 ₪. </w:t>
      </w:r>
    </w:p>
    <w:p w14:paraId="3E0B0522" w14:textId="77777777" w:rsidR="006F4AF8" w:rsidRPr="00537B7F" w:rsidRDefault="006F4AF8" w:rsidP="006F4AF8">
      <w:pPr>
        <w:spacing w:after="160" w:line="360" w:lineRule="auto"/>
        <w:jc w:val="both"/>
        <w:rPr>
          <w:rFonts w:ascii="David" w:hAnsi="David"/>
          <w:b/>
          <w:bCs/>
          <w:u w:val="single"/>
          <w:rtl/>
        </w:rPr>
      </w:pPr>
      <w:r w:rsidRPr="00537B7F">
        <w:rPr>
          <w:rFonts w:ascii="David" w:hAnsi="David"/>
          <w:b/>
          <w:bCs/>
          <w:u w:val="single"/>
          <w:rtl/>
        </w:rPr>
        <w:t>סוף דבר:</w:t>
      </w:r>
    </w:p>
    <w:p w14:paraId="47D0B255" w14:textId="77777777" w:rsidR="006F4AF8" w:rsidRPr="00537B7F" w:rsidRDefault="006F4AF8" w:rsidP="006F4AF8">
      <w:pPr>
        <w:spacing w:after="160" w:line="360" w:lineRule="auto"/>
        <w:jc w:val="both"/>
        <w:rPr>
          <w:rFonts w:ascii="David" w:hAnsi="David"/>
          <w:rtl/>
        </w:rPr>
      </w:pPr>
      <w:r w:rsidRPr="00537B7F">
        <w:rPr>
          <w:rFonts w:ascii="David" w:hAnsi="David"/>
          <w:rtl/>
        </w:rPr>
        <w:t>לאחר ששקלתי את מכלול השיקולים כמפורט לעיל אני מטילה על הנאשם את העונשים הבאים:</w:t>
      </w:r>
    </w:p>
    <w:p w14:paraId="2C563D93" w14:textId="77777777" w:rsidR="006F4AF8" w:rsidRPr="00537B7F" w:rsidRDefault="006F4AF8" w:rsidP="006F4AF8">
      <w:pPr>
        <w:numPr>
          <w:ilvl w:val="0"/>
          <w:numId w:val="1"/>
        </w:numPr>
        <w:spacing w:after="160" w:line="360" w:lineRule="auto"/>
        <w:contextualSpacing/>
        <w:jc w:val="both"/>
        <w:rPr>
          <w:rFonts w:ascii="Arial" w:hAnsi="Arial"/>
        </w:rPr>
      </w:pPr>
      <w:r w:rsidRPr="00537B7F">
        <w:rPr>
          <w:rFonts w:ascii="Arial" w:hAnsi="Arial"/>
          <w:rtl/>
        </w:rPr>
        <w:t xml:space="preserve">12 חודשי מאסר בפועל, בניכוי ימי מעצרו בהתאם לרישומי שב"ס. </w:t>
      </w:r>
    </w:p>
    <w:p w14:paraId="0384E9F4" w14:textId="77777777" w:rsidR="006F4AF8" w:rsidRPr="00537B7F" w:rsidRDefault="006F4AF8" w:rsidP="006F4AF8">
      <w:pPr>
        <w:spacing w:after="160"/>
        <w:ind w:left="720"/>
        <w:contextualSpacing/>
        <w:jc w:val="both"/>
        <w:rPr>
          <w:rFonts w:ascii="Arial" w:hAnsi="Arial"/>
        </w:rPr>
      </w:pPr>
    </w:p>
    <w:p w14:paraId="1D0FD5F0" w14:textId="77777777" w:rsidR="006F4AF8" w:rsidRPr="00537B7F" w:rsidRDefault="006F4AF8" w:rsidP="006F4AF8">
      <w:pPr>
        <w:numPr>
          <w:ilvl w:val="0"/>
          <w:numId w:val="1"/>
        </w:numPr>
        <w:spacing w:after="160" w:line="360" w:lineRule="auto"/>
        <w:contextualSpacing/>
        <w:jc w:val="both"/>
        <w:rPr>
          <w:rFonts w:ascii="Arial" w:hAnsi="Arial"/>
          <w:rtl/>
        </w:rPr>
      </w:pPr>
      <w:r w:rsidRPr="00537B7F">
        <w:rPr>
          <w:rFonts w:ascii="Arial" w:hAnsi="Arial"/>
          <w:rtl/>
        </w:rPr>
        <w:t>מאסר על תנאי לתקופה של 3 חודשים.</w:t>
      </w:r>
    </w:p>
    <w:p w14:paraId="038F16AF" w14:textId="77777777" w:rsidR="006F4AF8" w:rsidRPr="00537B7F" w:rsidRDefault="006F4AF8" w:rsidP="006F4AF8">
      <w:pPr>
        <w:spacing w:after="160" w:line="360" w:lineRule="auto"/>
        <w:ind w:left="702"/>
        <w:jc w:val="both"/>
        <w:rPr>
          <w:rFonts w:ascii="Arial" w:hAnsi="Arial"/>
          <w:rtl/>
        </w:rPr>
      </w:pPr>
      <w:r w:rsidRPr="00537B7F">
        <w:rPr>
          <w:rFonts w:ascii="Arial" w:hAnsi="Arial"/>
          <w:rtl/>
        </w:rPr>
        <w:t xml:space="preserve">המאסר המותנה יופעל אם תוך תקופה של 3 שנים מיום שחרורו, יעבור הנאשם  עבירת סמים מסוג עוון ועבירה של נהיגה ללא רישיון או בזמן פסילה או ללא ביטוח. </w:t>
      </w:r>
    </w:p>
    <w:p w14:paraId="2365D76C" w14:textId="77777777" w:rsidR="006F4AF8" w:rsidRPr="00537B7F" w:rsidRDefault="006F4AF8" w:rsidP="006F4AF8">
      <w:pPr>
        <w:numPr>
          <w:ilvl w:val="0"/>
          <w:numId w:val="1"/>
        </w:numPr>
        <w:spacing w:after="160" w:line="360" w:lineRule="auto"/>
        <w:contextualSpacing/>
        <w:jc w:val="both"/>
        <w:rPr>
          <w:rFonts w:ascii="Arial" w:hAnsi="Arial"/>
          <w:rtl/>
        </w:rPr>
      </w:pPr>
      <w:r w:rsidRPr="00537B7F">
        <w:rPr>
          <w:rFonts w:ascii="Arial" w:hAnsi="Arial"/>
          <w:rtl/>
        </w:rPr>
        <w:t>מאסר על תנאי לתקופה של 6 חודשים.</w:t>
      </w:r>
    </w:p>
    <w:p w14:paraId="15060548" w14:textId="77777777" w:rsidR="006F4AF8" w:rsidRPr="00537B7F" w:rsidRDefault="006F4AF8" w:rsidP="006F4AF8">
      <w:pPr>
        <w:spacing w:after="160" w:line="360" w:lineRule="auto"/>
        <w:ind w:left="720"/>
        <w:jc w:val="both"/>
        <w:rPr>
          <w:rFonts w:ascii="Arial" w:hAnsi="Arial"/>
        </w:rPr>
      </w:pPr>
      <w:r w:rsidRPr="00537B7F">
        <w:rPr>
          <w:rFonts w:ascii="Arial" w:hAnsi="Arial"/>
          <w:rtl/>
        </w:rPr>
        <w:t>המאסר המותנה יופעל אם תוך תקופה של 3 שנים מיום שחרורו, יעבור הנאשם עבירת סמים מסוג פשע.</w:t>
      </w:r>
    </w:p>
    <w:p w14:paraId="230553BB" w14:textId="77777777" w:rsidR="006F4AF8" w:rsidRPr="00537B7F" w:rsidRDefault="006F4AF8" w:rsidP="006F4AF8">
      <w:pPr>
        <w:numPr>
          <w:ilvl w:val="0"/>
          <w:numId w:val="1"/>
        </w:numPr>
        <w:spacing w:after="160" w:line="360" w:lineRule="auto"/>
        <w:contextualSpacing/>
        <w:jc w:val="both"/>
        <w:rPr>
          <w:rFonts w:ascii="Arial" w:hAnsi="Arial"/>
          <w:rtl/>
        </w:rPr>
      </w:pPr>
      <w:r w:rsidRPr="00537B7F">
        <w:rPr>
          <w:rFonts w:ascii="Arial" w:hAnsi="Arial"/>
          <w:rtl/>
        </w:rPr>
        <w:t>קנס בסך 10,000 ₪</w:t>
      </w:r>
      <w:r w:rsidR="00037DDD" w:rsidRPr="00537B7F">
        <w:rPr>
          <w:rFonts w:ascii="Arial" w:hAnsi="Arial"/>
          <w:rtl/>
        </w:rPr>
        <w:t xml:space="preserve"> </w:t>
      </w:r>
      <w:r w:rsidRPr="00537B7F">
        <w:rPr>
          <w:rFonts w:ascii="Arial" w:hAnsi="Arial"/>
          <w:rtl/>
        </w:rPr>
        <w:t xml:space="preserve"> או 50 ימי מאסר תמורתו. </w:t>
      </w:r>
    </w:p>
    <w:p w14:paraId="1E69E5BB" w14:textId="77777777" w:rsidR="006F4AF8" w:rsidRPr="00537B7F" w:rsidRDefault="006F4AF8" w:rsidP="006F4AF8">
      <w:pPr>
        <w:spacing w:after="160" w:line="360" w:lineRule="auto"/>
        <w:ind w:left="702" w:firstLine="18"/>
        <w:jc w:val="both"/>
        <w:rPr>
          <w:rFonts w:ascii="Arial" w:hAnsi="Arial"/>
          <w:rtl/>
        </w:rPr>
      </w:pPr>
      <w:r w:rsidRPr="00537B7F">
        <w:rPr>
          <w:rFonts w:ascii="Arial" w:hAnsi="Arial"/>
          <w:rtl/>
        </w:rPr>
        <w:t>הקנס ישולם ב-</w:t>
      </w:r>
      <w:r w:rsidR="00037DDD" w:rsidRPr="00537B7F">
        <w:rPr>
          <w:rFonts w:ascii="Arial" w:hAnsi="Arial"/>
          <w:rtl/>
        </w:rPr>
        <w:t xml:space="preserve"> </w:t>
      </w:r>
      <w:r w:rsidRPr="00537B7F">
        <w:rPr>
          <w:rFonts w:ascii="Arial" w:hAnsi="Arial" w:hint="cs"/>
          <w:rtl/>
        </w:rPr>
        <w:t xml:space="preserve">5 </w:t>
      </w:r>
      <w:r w:rsidRPr="00537B7F">
        <w:rPr>
          <w:rFonts w:ascii="Arial" w:hAnsi="Arial"/>
          <w:rtl/>
        </w:rPr>
        <w:t xml:space="preserve">תשלומים חודשיים שווים ורצופים, החל מיום </w:t>
      </w:r>
      <w:r w:rsidRPr="00537B7F">
        <w:rPr>
          <w:rFonts w:ascii="Arial" w:hAnsi="Arial" w:hint="cs"/>
          <w:rtl/>
        </w:rPr>
        <w:t>1.12.2021</w:t>
      </w:r>
      <w:r w:rsidRPr="00537B7F">
        <w:rPr>
          <w:rFonts w:ascii="Arial" w:hAnsi="Arial"/>
          <w:rtl/>
        </w:rPr>
        <w:t>.</w:t>
      </w:r>
      <w:r w:rsidR="00037DDD" w:rsidRPr="00537B7F">
        <w:rPr>
          <w:rFonts w:ascii="Arial" w:hAnsi="Arial"/>
          <w:rtl/>
        </w:rPr>
        <w:t xml:space="preserve"> </w:t>
      </w:r>
      <w:r w:rsidRPr="00537B7F">
        <w:rPr>
          <w:rFonts w:ascii="Arial" w:hAnsi="Arial"/>
          <w:rtl/>
        </w:rPr>
        <w:t xml:space="preserve">תשומת לב הנאשם, כי אי עמידה בתשלום תביא להעמדת הסכום כולו לפירעון. </w:t>
      </w:r>
    </w:p>
    <w:p w14:paraId="5F9F04A2" w14:textId="77777777" w:rsidR="006F4AF8" w:rsidRPr="00537B7F" w:rsidRDefault="006F4AF8" w:rsidP="006F4AF8">
      <w:pPr>
        <w:numPr>
          <w:ilvl w:val="0"/>
          <w:numId w:val="1"/>
        </w:numPr>
        <w:spacing w:after="160" w:line="360" w:lineRule="auto"/>
        <w:contextualSpacing/>
        <w:jc w:val="both"/>
        <w:rPr>
          <w:rFonts w:ascii="Arial" w:hAnsi="Arial"/>
        </w:rPr>
      </w:pPr>
      <w:r w:rsidRPr="00537B7F">
        <w:rPr>
          <w:rFonts w:ascii="Arial" w:hAnsi="Arial"/>
          <w:rtl/>
        </w:rPr>
        <w:t xml:space="preserve">הנאשם פסול מלקבל או מלהחזיק רישיון נהיגה, וזאת למשך </w:t>
      </w:r>
      <w:r w:rsidRPr="00537B7F">
        <w:rPr>
          <w:rFonts w:ascii="Arial" w:hAnsi="Arial" w:hint="cs"/>
          <w:rtl/>
        </w:rPr>
        <w:t xml:space="preserve">6 חודשים </w:t>
      </w:r>
      <w:r w:rsidRPr="00537B7F">
        <w:rPr>
          <w:rFonts w:ascii="Arial" w:hAnsi="Arial"/>
          <w:rtl/>
        </w:rPr>
        <w:t xml:space="preserve">מיום שחרורו. </w:t>
      </w:r>
      <w:r w:rsidRPr="00537B7F">
        <w:rPr>
          <w:rFonts w:ascii="Arial" w:hAnsi="Arial" w:hint="cs"/>
          <w:rtl/>
        </w:rPr>
        <w:t>אין ל</w:t>
      </w:r>
      <w:r w:rsidRPr="00537B7F">
        <w:rPr>
          <w:rFonts w:ascii="Arial" w:hAnsi="Arial"/>
          <w:rtl/>
        </w:rPr>
        <w:t xml:space="preserve">נאשם </w:t>
      </w:r>
      <w:r w:rsidRPr="00537B7F">
        <w:rPr>
          <w:rFonts w:ascii="Arial" w:hAnsi="Arial" w:hint="cs"/>
          <w:rtl/>
        </w:rPr>
        <w:t>רישיון בתוקף</w:t>
      </w:r>
      <w:r w:rsidRPr="00537B7F">
        <w:rPr>
          <w:rFonts w:ascii="Arial" w:hAnsi="Arial"/>
          <w:rtl/>
        </w:rPr>
        <w:t xml:space="preserve">.  </w:t>
      </w:r>
    </w:p>
    <w:p w14:paraId="7281A28D" w14:textId="77777777" w:rsidR="006F4AF8" w:rsidRPr="00537B7F" w:rsidRDefault="006F4AF8" w:rsidP="006F4AF8">
      <w:pPr>
        <w:spacing w:after="160" w:line="360" w:lineRule="auto"/>
        <w:ind w:left="720"/>
        <w:contextualSpacing/>
        <w:jc w:val="both"/>
        <w:rPr>
          <w:rFonts w:ascii="Arial" w:hAnsi="Arial"/>
          <w:rtl/>
        </w:rPr>
      </w:pPr>
    </w:p>
    <w:p w14:paraId="7245E40B" w14:textId="77777777" w:rsidR="006F4AF8" w:rsidRPr="00537B7F" w:rsidRDefault="006F4AF8" w:rsidP="006F4AF8">
      <w:pPr>
        <w:numPr>
          <w:ilvl w:val="0"/>
          <w:numId w:val="1"/>
        </w:numPr>
        <w:spacing w:after="160" w:line="360" w:lineRule="auto"/>
        <w:contextualSpacing/>
        <w:jc w:val="both"/>
      </w:pPr>
      <w:r w:rsidRPr="00537B7F">
        <w:rPr>
          <w:rFonts w:ascii="Arial" w:hAnsi="Arial"/>
          <w:rtl/>
        </w:rPr>
        <w:t>פסילה מלקבל או להחזיק רישיון נהיגה על תנאי למשך 6 חודשים.</w:t>
      </w:r>
    </w:p>
    <w:p w14:paraId="7E4A7EB1" w14:textId="77777777" w:rsidR="006F4AF8" w:rsidRPr="00537B7F" w:rsidRDefault="006F4AF8" w:rsidP="006F4AF8">
      <w:pPr>
        <w:spacing w:after="160" w:line="360" w:lineRule="auto"/>
        <w:ind w:left="720"/>
        <w:contextualSpacing/>
        <w:jc w:val="both"/>
        <w:rPr>
          <w:rFonts w:ascii="Arial" w:hAnsi="Arial"/>
          <w:rtl/>
        </w:rPr>
      </w:pPr>
      <w:r w:rsidRPr="00537B7F">
        <w:rPr>
          <w:rFonts w:ascii="Arial" w:hAnsi="Arial"/>
          <w:rtl/>
        </w:rPr>
        <w:t>הפסילה תופעל אם תוך תקופה של 3 שנים מיום שחרורו, יעבור הנאשם עבירה בה הורשע.</w:t>
      </w:r>
    </w:p>
    <w:p w14:paraId="0AEB4085" w14:textId="77777777" w:rsidR="006F4AF8" w:rsidRPr="00537B7F" w:rsidRDefault="006F4AF8" w:rsidP="006F4AF8">
      <w:pPr>
        <w:spacing w:after="160" w:line="360" w:lineRule="auto"/>
        <w:ind w:left="720"/>
        <w:contextualSpacing/>
        <w:jc w:val="both"/>
        <w:rPr>
          <w:rFonts w:ascii="Arial" w:hAnsi="Arial"/>
          <w:rtl/>
        </w:rPr>
      </w:pPr>
    </w:p>
    <w:p w14:paraId="7E16D74C" w14:textId="77777777" w:rsidR="006F4AF8" w:rsidRPr="00537B7F" w:rsidRDefault="006F4AF8" w:rsidP="006F4AF8">
      <w:pPr>
        <w:numPr>
          <w:ilvl w:val="0"/>
          <w:numId w:val="1"/>
        </w:numPr>
        <w:spacing w:after="160" w:line="360" w:lineRule="auto"/>
        <w:contextualSpacing/>
        <w:jc w:val="both"/>
        <w:rPr>
          <w:rFonts w:ascii="Arial" w:hAnsi="Arial"/>
          <w:rtl/>
        </w:rPr>
      </w:pPr>
      <w:r w:rsidRPr="00537B7F">
        <w:rPr>
          <w:rFonts w:ascii="Arial" w:hAnsi="Arial" w:hint="cs"/>
          <w:rtl/>
        </w:rPr>
        <w:t xml:space="preserve">הנאשם או מי מטעמו יפקידו סך של </w:t>
      </w:r>
      <w:r w:rsidRPr="00537B7F">
        <w:rPr>
          <w:rFonts w:ascii="Arial" w:hAnsi="Arial"/>
          <w:rtl/>
        </w:rPr>
        <w:t xml:space="preserve">10,000 ₪ </w:t>
      </w:r>
      <w:r w:rsidRPr="00537B7F">
        <w:rPr>
          <w:rFonts w:ascii="Arial" w:hAnsi="Arial" w:hint="cs"/>
          <w:rtl/>
        </w:rPr>
        <w:t xml:space="preserve">אשר יחולטו </w:t>
      </w:r>
      <w:r w:rsidRPr="00537B7F">
        <w:rPr>
          <w:rFonts w:ascii="Arial" w:hAnsi="Arial"/>
          <w:rtl/>
        </w:rPr>
        <w:t>לטובת קרן החילוט</w:t>
      </w:r>
      <w:r w:rsidRPr="00537B7F">
        <w:rPr>
          <w:rFonts w:ascii="Arial" w:hAnsi="Arial" w:hint="cs"/>
          <w:rtl/>
        </w:rPr>
        <w:t xml:space="preserve"> וזאת בתוך 21 יום. עם ביצוע ההפקדה, ישוחרר הרכב התפוס מסוג יונדאי מ.ר. 6122339 התפוס במשטרה וזאת לידי מר גבארין עדיסאן ת.ז. </w:t>
      </w:r>
      <w:r w:rsidR="00037DDD" w:rsidRPr="00537B7F">
        <w:rPr>
          <w:rFonts w:ascii="Arial" w:hAnsi="Arial"/>
        </w:rPr>
        <w:t>xxxxxxxxx</w:t>
      </w:r>
      <w:r w:rsidRPr="00537B7F">
        <w:rPr>
          <w:rFonts w:ascii="Arial" w:hAnsi="Arial" w:hint="cs"/>
          <w:rtl/>
        </w:rPr>
        <w:t xml:space="preserve">. </w:t>
      </w:r>
    </w:p>
    <w:p w14:paraId="4D4E8C86" w14:textId="77777777" w:rsidR="006F4AF8" w:rsidRPr="00537B7F" w:rsidRDefault="006F4AF8" w:rsidP="006F4AF8">
      <w:pPr>
        <w:spacing w:after="160" w:line="360" w:lineRule="auto"/>
        <w:ind w:firstLine="720"/>
        <w:jc w:val="both"/>
        <w:rPr>
          <w:rtl/>
        </w:rPr>
      </w:pPr>
    </w:p>
    <w:p w14:paraId="5971CBB7" w14:textId="77777777" w:rsidR="006F4AF8" w:rsidRPr="00537B7F" w:rsidRDefault="00037DDD" w:rsidP="006F4AF8">
      <w:pPr>
        <w:spacing w:after="160" w:line="360" w:lineRule="auto"/>
        <w:jc w:val="both"/>
        <w:rPr>
          <w:rFonts w:ascii="Calibri" w:hAnsi="Calibri"/>
          <w:b/>
          <w:bCs/>
          <w:rtl/>
        </w:rPr>
      </w:pPr>
      <w:r w:rsidRPr="00537B7F">
        <w:rPr>
          <w:rFonts w:ascii="Arial" w:hAnsi="Arial"/>
          <w:b/>
          <w:bCs/>
          <w:color w:val="FFFFFF"/>
          <w:sz w:val="2"/>
          <w:szCs w:val="2"/>
          <w:rtl/>
        </w:rPr>
        <w:t>5129371</w:t>
      </w:r>
      <w:r w:rsidR="006F4AF8" w:rsidRPr="00537B7F">
        <w:rPr>
          <w:rFonts w:ascii="Arial" w:hAnsi="Arial"/>
          <w:b/>
          <w:bCs/>
          <w:rtl/>
        </w:rPr>
        <w:t>ניתן בזאת צו להשמדת מוצג - סמים בכפוף לחלוף תקופת הערעור.</w:t>
      </w:r>
    </w:p>
    <w:p w14:paraId="7DA11FEA" w14:textId="77777777" w:rsidR="006F4AF8" w:rsidRPr="00537B7F" w:rsidRDefault="00037DDD" w:rsidP="006F4AF8">
      <w:pPr>
        <w:spacing w:line="360" w:lineRule="auto"/>
        <w:jc w:val="both"/>
        <w:rPr>
          <w:rFonts w:ascii="Calibri" w:hAnsi="Calibri"/>
          <w:b/>
          <w:bCs/>
          <w:u w:val="single"/>
          <w:rtl/>
        </w:rPr>
      </w:pPr>
      <w:r w:rsidRPr="00537B7F">
        <w:rPr>
          <w:rFonts w:ascii="Calibri" w:hAnsi="Calibri"/>
          <w:b/>
          <w:bCs/>
          <w:color w:val="FFFFFF"/>
          <w:sz w:val="2"/>
          <w:szCs w:val="2"/>
          <w:u w:val="single"/>
          <w:rtl/>
        </w:rPr>
        <w:t>54678313</w:t>
      </w:r>
      <w:r w:rsidR="006F4AF8" w:rsidRPr="00537B7F">
        <w:rPr>
          <w:rFonts w:ascii="Calibri" w:hAnsi="Calibri" w:hint="eastAsia"/>
          <w:b/>
          <w:bCs/>
          <w:u w:val="single"/>
          <w:rtl/>
        </w:rPr>
        <w:t>זכות</w:t>
      </w:r>
      <w:r w:rsidR="006F4AF8" w:rsidRPr="00537B7F">
        <w:rPr>
          <w:rFonts w:ascii="Calibri" w:hAnsi="Calibri"/>
          <w:b/>
          <w:bCs/>
          <w:u w:val="single"/>
          <w:rtl/>
        </w:rPr>
        <w:t xml:space="preserve"> </w:t>
      </w:r>
      <w:r w:rsidR="006F4AF8" w:rsidRPr="00537B7F">
        <w:rPr>
          <w:rFonts w:ascii="Calibri" w:hAnsi="Calibri" w:hint="eastAsia"/>
          <w:b/>
          <w:bCs/>
          <w:u w:val="single"/>
          <w:rtl/>
        </w:rPr>
        <w:t>ערעור</w:t>
      </w:r>
      <w:r w:rsidR="006F4AF8" w:rsidRPr="00537B7F">
        <w:rPr>
          <w:rFonts w:ascii="Calibri" w:hAnsi="Calibri"/>
          <w:b/>
          <w:bCs/>
          <w:u w:val="single"/>
          <w:rtl/>
        </w:rPr>
        <w:t xml:space="preserve"> </w:t>
      </w:r>
      <w:r w:rsidR="006F4AF8" w:rsidRPr="00537B7F">
        <w:rPr>
          <w:rFonts w:ascii="Calibri" w:hAnsi="Calibri" w:hint="eastAsia"/>
          <w:b/>
          <w:bCs/>
          <w:u w:val="single"/>
          <w:rtl/>
        </w:rPr>
        <w:t>כחוק</w:t>
      </w:r>
      <w:r w:rsidR="006F4AF8" w:rsidRPr="00537B7F">
        <w:rPr>
          <w:rFonts w:ascii="Calibri" w:hAnsi="Calibri"/>
          <w:b/>
          <w:bCs/>
          <w:u w:val="single"/>
          <w:rtl/>
        </w:rPr>
        <w:t xml:space="preserve">. </w:t>
      </w:r>
    </w:p>
    <w:p w14:paraId="29525E8D" w14:textId="77777777" w:rsidR="006F4AF8" w:rsidRPr="00537B7F" w:rsidRDefault="006F4AF8" w:rsidP="006F4AF8">
      <w:pPr>
        <w:rPr>
          <w:rFonts w:ascii="David" w:hAnsi="David"/>
          <w:sz w:val="26"/>
          <w:szCs w:val="26"/>
          <w:rtl/>
        </w:rPr>
      </w:pPr>
    </w:p>
    <w:p w14:paraId="58021B84" w14:textId="77777777" w:rsidR="006F4AF8" w:rsidRPr="00537B7F" w:rsidRDefault="00037DDD" w:rsidP="006F4AF8">
      <w:pPr>
        <w:rPr>
          <w:rFonts w:ascii="David" w:hAnsi="David"/>
          <w:b/>
          <w:bCs/>
          <w:sz w:val="26"/>
          <w:szCs w:val="26"/>
          <w:rtl/>
        </w:rPr>
      </w:pPr>
      <w:bookmarkStart w:id="8" w:name="Nitan"/>
      <w:r w:rsidRPr="00537B7F">
        <w:rPr>
          <w:rFonts w:ascii="David" w:hAnsi="David"/>
          <w:b/>
          <w:bCs/>
          <w:sz w:val="26"/>
          <w:szCs w:val="26"/>
          <w:rtl/>
        </w:rPr>
        <w:t xml:space="preserve">ניתן היום,  ז' סיוון תשפ"א, 18 מאי 2021, במעמד הצדדים. </w:t>
      </w:r>
      <w:bookmarkEnd w:id="8"/>
    </w:p>
    <w:p w14:paraId="63E67E0D" w14:textId="77777777" w:rsidR="006F4AF8" w:rsidRPr="00537B7F" w:rsidRDefault="006F4AF8" w:rsidP="00037DDD">
      <w:pPr>
        <w:jc w:val="center"/>
      </w:pPr>
      <w:r w:rsidRPr="00537B7F">
        <w:rPr>
          <w:rFonts w:ascii="David" w:hAnsi="David"/>
          <w:b/>
          <w:bCs/>
          <w:sz w:val="26"/>
          <w:szCs w:val="26"/>
          <w:rtl/>
        </w:rPr>
        <w:t xml:space="preserve">   </w:t>
      </w:r>
      <w:r w:rsidRPr="00537B7F">
        <w:rPr>
          <w:rFonts w:ascii="David" w:hAnsi="David"/>
          <w:b/>
          <w:bCs/>
          <w:sz w:val="26"/>
          <w:szCs w:val="26"/>
          <w:rtl/>
        </w:rPr>
        <w:tab/>
      </w:r>
      <w:r w:rsidRPr="00537B7F">
        <w:rPr>
          <w:rFonts w:ascii="David" w:hAnsi="David"/>
          <w:b/>
          <w:bCs/>
          <w:sz w:val="26"/>
          <w:szCs w:val="26"/>
          <w:rtl/>
        </w:rPr>
        <w:tab/>
      </w:r>
      <w:r w:rsidRPr="00537B7F">
        <w:rPr>
          <w:rFonts w:ascii="David" w:hAnsi="David"/>
          <w:b/>
          <w:bCs/>
          <w:sz w:val="26"/>
          <w:szCs w:val="26"/>
          <w:rtl/>
        </w:rPr>
        <w:tab/>
      </w:r>
      <w:r w:rsidRPr="00537B7F">
        <w:rPr>
          <w:rFonts w:ascii="David" w:hAnsi="David"/>
          <w:b/>
          <w:bCs/>
          <w:sz w:val="26"/>
          <w:szCs w:val="26"/>
          <w:rtl/>
        </w:rPr>
        <w:tab/>
      </w:r>
      <w:r w:rsidRPr="00537B7F">
        <w:rPr>
          <w:rFonts w:ascii="David" w:hAnsi="David"/>
          <w:b/>
          <w:bCs/>
          <w:sz w:val="26"/>
          <w:szCs w:val="26"/>
          <w:rtl/>
        </w:rPr>
        <w:tab/>
      </w:r>
    </w:p>
    <w:p w14:paraId="1C7EB688" w14:textId="77777777" w:rsidR="006F4AF8" w:rsidRPr="00537B7F" w:rsidRDefault="006F4AF8" w:rsidP="006F4AF8">
      <w:pPr>
        <w:jc w:val="center"/>
        <w:rPr>
          <w:rFonts w:ascii="David" w:hAnsi="David"/>
          <w:b/>
          <w:bCs/>
          <w:sz w:val="26"/>
          <w:szCs w:val="26"/>
          <w:rtl/>
        </w:rPr>
      </w:pPr>
    </w:p>
    <w:p w14:paraId="442D31E8" w14:textId="77777777" w:rsidR="00C93C01" w:rsidRPr="00537B7F" w:rsidRDefault="00C93C01" w:rsidP="00037DDD">
      <w:pPr>
        <w:keepNext/>
        <w:rPr>
          <w:rFonts w:ascii="David" w:hAnsi="David"/>
          <w:color w:val="000000"/>
          <w:sz w:val="22"/>
          <w:szCs w:val="22"/>
          <w:rtl/>
        </w:rPr>
      </w:pPr>
    </w:p>
    <w:p w14:paraId="14E07B75" w14:textId="77777777" w:rsidR="00037DDD" w:rsidRPr="00537B7F" w:rsidRDefault="00037DDD" w:rsidP="00037DDD">
      <w:pPr>
        <w:keepNext/>
        <w:rPr>
          <w:rFonts w:ascii="David" w:hAnsi="David"/>
          <w:color w:val="000000"/>
          <w:sz w:val="22"/>
          <w:szCs w:val="22"/>
          <w:rtl/>
        </w:rPr>
      </w:pPr>
      <w:r w:rsidRPr="00537B7F">
        <w:rPr>
          <w:rFonts w:ascii="David" w:hAnsi="David"/>
          <w:color w:val="000000"/>
          <w:sz w:val="22"/>
          <w:szCs w:val="22"/>
          <w:rtl/>
        </w:rPr>
        <w:t>ענת חולתא 54678313</w:t>
      </w:r>
    </w:p>
    <w:p w14:paraId="02ECF9BF" w14:textId="77777777" w:rsidR="00037DDD" w:rsidRPr="00537B7F" w:rsidRDefault="00037DDD" w:rsidP="00037DDD">
      <w:r w:rsidRPr="00537B7F">
        <w:rPr>
          <w:color w:val="000000"/>
          <w:rtl/>
        </w:rPr>
        <w:t>נוסח מסמך זה כפוף לשינויי ניסוח ועריכה</w:t>
      </w:r>
    </w:p>
    <w:p w14:paraId="5835B761" w14:textId="77777777" w:rsidR="00037DDD" w:rsidRPr="00537B7F" w:rsidRDefault="00037DDD" w:rsidP="00037DDD">
      <w:pPr>
        <w:rPr>
          <w:rtl/>
        </w:rPr>
      </w:pPr>
    </w:p>
    <w:p w14:paraId="1FC8D76A" w14:textId="77777777" w:rsidR="00037DDD" w:rsidRPr="00537B7F" w:rsidRDefault="00037DDD" w:rsidP="00037DDD">
      <w:pPr>
        <w:jc w:val="center"/>
        <w:rPr>
          <w:color w:val="0000FF"/>
          <w:u w:val="single"/>
        </w:rPr>
      </w:pPr>
      <w:hyperlink r:id="rId42" w:history="1">
        <w:r w:rsidRPr="00537B7F">
          <w:rPr>
            <w:color w:val="0000FF"/>
            <w:u w:val="single"/>
            <w:rtl/>
          </w:rPr>
          <w:t>בעניין עריכה ושינויים במסמכי פסיקה, חקיקה ועוד באתר נבו – הקש כאן</w:t>
        </w:r>
      </w:hyperlink>
    </w:p>
    <w:p w14:paraId="76FCB973" w14:textId="77777777" w:rsidR="00037DDD" w:rsidRPr="00537B7F" w:rsidRDefault="00037DDD" w:rsidP="00037DDD">
      <w:pPr>
        <w:jc w:val="center"/>
        <w:rPr>
          <w:color w:val="0000FF"/>
          <w:u w:val="single"/>
        </w:rPr>
      </w:pPr>
    </w:p>
    <w:sectPr w:rsidR="00037DDD" w:rsidRPr="00537B7F" w:rsidSect="00037DDD">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F8D76" w14:textId="77777777" w:rsidR="00563C24" w:rsidRDefault="00563C24" w:rsidP="00F26FC9">
      <w:r>
        <w:separator/>
      </w:r>
    </w:p>
  </w:endnote>
  <w:endnote w:type="continuationSeparator" w:id="0">
    <w:p w14:paraId="4D3E90F5" w14:textId="77777777" w:rsidR="00563C24" w:rsidRDefault="00563C24" w:rsidP="00F2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3E1FD" w14:textId="77777777" w:rsidR="00037DDD" w:rsidRDefault="00037DDD" w:rsidP="00037D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117AC1" w14:textId="77777777" w:rsidR="000D3E9F" w:rsidRPr="00037DDD" w:rsidRDefault="00037DDD" w:rsidP="00037D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F4C5F" w14:textId="77777777" w:rsidR="00037DDD" w:rsidRDefault="00037DDD" w:rsidP="00037D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3F92">
      <w:rPr>
        <w:rFonts w:ascii="FrankRuehl" w:hAnsi="FrankRuehl" w:cs="FrankRuehl"/>
        <w:noProof/>
        <w:rtl/>
      </w:rPr>
      <w:t>1</w:t>
    </w:r>
    <w:r>
      <w:rPr>
        <w:rFonts w:ascii="FrankRuehl" w:hAnsi="FrankRuehl" w:cs="FrankRuehl"/>
        <w:rtl/>
      </w:rPr>
      <w:fldChar w:fldCharType="end"/>
    </w:r>
  </w:p>
  <w:p w14:paraId="0D81AF22" w14:textId="77777777" w:rsidR="000D3E9F" w:rsidRPr="00037DDD" w:rsidRDefault="00037DDD" w:rsidP="00037D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688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E4C73" w14:textId="77777777" w:rsidR="00563C24" w:rsidRDefault="00563C24" w:rsidP="00F26FC9">
      <w:r>
        <w:separator/>
      </w:r>
    </w:p>
  </w:footnote>
  <w:footnote w:type="continuationSeparator" w:id="0">
    <w:p w14:paraId="089BAB2C" w14:textId="77777777" w:rsidR="00563C24" w:rsidRDefault="00563C24" w:rsidP="00F26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7C600" w14:textId="77777777" w:rsidR="00037DDD" w:rsidRPr="00037DDD" w:rsidRDefault="00037DDD" w:rsidP="00037D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32494-01-21</w:t>
    </w:r>
    <w:r>
      <w:rPr>
        <w:rFonts w:ascii="David" w:hAnsi="David"/>
        <w:color w:val="000000"/>
        <w:sz w:val="22"/>
        <w:szCs w:val="22"/>
        <w:rtl/>
      </w:rPr>
      <w:tab/>
      <w:t xml:space="preserve"> מדינת ישראל-תביעות נגב נ' יוסף עדיסאן -ויעוד חזותי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B4D6D" w14:textId="77777777" w:rsidR="00037DDD" w:rsidRPr="00037DDD" w:rsidRDefault="00037DDD" w:rsidP="00037D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32494-01-21</w:t>
    </w:r>
    <w:r>
      <w:rPr>
        <w:rFonts w:ascii="David" w:hAnsi="David"/>
        <w:color w:val="000000"/>
        <w:sz w:val="22"/>
        <w:szCs w:val="22"/>
        <w:rtl/>
      </w:rPr>
      <w:tab/>
      <w:t xml:space="preserve"> מדינת ישראל-תביעות נגב נ' יוסף עדיסאן -ויעוד חזותי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81929"/>
    <w:multiLevelType w:val="hybridMultilevel"/>
    <w:tmpl w:val="41AA65A2"/>
    <w:lvl w:ilvl="0" w:tplc="A4ACDB6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87C2DE2"/>
    <w:multiLevelType w:val="hybridMultilevel"/>
    <w:tmpl w:val="D1227B5E"/>
    <w:lvl w:ilvl="0" w:tplc="E8326DB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7DD3BD9"/>
    <w:multiLevelType w:val="hybridMultilevel"/>
    <w:tmpl w:val="8A2EAF68"/>
    <w:lvl w:ilvl="0" w:tplc="946EC376">
      <w:start w:val="1"/>
      <w:numFmt w:val="hebrew1"/>
      <w:lvlText w:val="%1."/>
      <w:lvlJc w:val="left"/>
      <w:pPr>
        <w:ind w:left="1080" w:hanging="360"/>
      </w:pPr>
      <w:rPr>
        <w:rFonts w:cs="David" w:hint="default"/>
        <w:b/>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776407596">
    <w:abstractNumId w:val="0"/>
  </w:num>
  <w:num w:numId="2" w16cid:durableId="1705010465">
    <w:abstractNumId w:val="2"/>
  </w:num>
  <w:num w:numId="3" w16cid:durableId="1631663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4AF8"/>
    <w:rsid w:val="000222FD"/>
    <w:rsid w:val="00037DDD"/>
    <w:rsid w:val="000D3E9F"/>
    <w:rsid w:val="00137C79"/>
    <w:rsid w:val="001B5A3B"/>
    <w:rsid w:val="00430757"/>
    <w:rsid w:val="00537B7F"/>
    <w:rsid w:val="00563C24"/>
    <w:rsid w:val="005B6C07"/>
    <w:rsid w:val="006F4AF8"/>
    <w:rsid w:val="00C93C01"/>
    <w:rsid w:val="00DB6A0A"/>
    <w:rsid w:val="00F26FC9"/>
    <w:rsid w:val="00FA35E5"/>
    <w:rsid w:val="00FC3F92"/>
    <w:rsid w:val="00FC64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69CD39"/>
  <w15:chartTrackingRefBased/>
  <w15:docId w15:val="{1DFC5AF7-7AC4-457A-BA1F-8DB7DFB7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4A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4AF8"/>
    <w:pPr>
      <w:tabs>
        <w:tab w:val="center" w:pos="4153"/>
        <w:tab w:val="right" w:pos="8306"/>
      </w:tabs>
    </w:pPr>
  </w:style>
  <w:style w:type="character" w:customStyle="1" w:styleId="a4">
    <w:name w:val="כותרת עליונה תו"/>
    <w:link w:val="a3"/>
    <w:rsid w:val="006F4AF8"/>
    <w:rPr>
      <w:rFonts w:ascii="Times New Roman" w:eastAsia="Times New Roman" w:hAnsi="Times New Roman" w:cs="David"/>
      <w:sz w:val="24"/>
      <w:szCs w:val="24"/>
    </w:rPr>
  </w:style>
  <w:style w:type="paragraph" w:styleId="a5">
    <w:name w:val="footer"/>
    <w:basedOn w:val="a"/>
    <w:link w:val="a6"/>
    <w:rsid w:val="006F4AF8"/>
    <w:pPr>
      <w:tabs>
        <w:tab w:val="center" w:pos="4153"/>
        <w:tab w:val="right" w:pos="8306"/>
      </w:tabs>
    </w:pPr>
  </w:style>
  <w:style w:type="character" w:customStyle="1" w:styleId="a6">
    <w:name w:val="כותרת תחתונה תו"/>
    <w:link w:val="a5"/>
    <w:rsid w:val="006F4AF8"/>
    <w:rPr>
      <w:rFonts w:ascii="Times New Roman" w:eastAsia="Times New Roman" w:hAnsi="Times New Roman" w:cs="David"/>
      <w:sz w:val="24"/>
      <w:szCs w:val="24"/>
    </w:rPr>
  </w:style>
  <w:style w:type="table" w:styleId="a7">
    <w:name w:val="Table Grid"/>
    <w:basedOn w:val="a1"/>
    <w:rsid w:val="006F4A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4AF8"/>
  </w:style>
  <w:style w:type="character" w:styleId="Hyperlink">
    <w:name w:val="Hyperlink"/>
    <w:rsid w:val="00037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5227/67" TargetMode="External"/><Relationship Id="rId26" Type="http://schemas.openxmlformats.org/officeDocument/2006/relationships/hyperlink" Target="http://www.nevo.co.il/case/26678297" TargetMode="External"/><Relationship Id="rId39" Type="http://schemas.openxmlformats.org/officeDocument/2006/relationships/hyperlink" Target="http://www.nevo.co.il/case/22812256" TargetMode="External"/><Relationship Id="rId21" Type="http://schemas.openxmlformats.org/officeDocument/2006/relationships/hyperlink" Target="http://www.nevo.co.il/law/74501" TargetMode="External"/><Relationship Id="rId34" Type="http://schemas.openxmlformats.org/officeDocument/2006/relationships/hyperlink" Target="http://www.nevo.co.il/case/2727474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case/27332107"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25351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5988308" TargetMode="External"/><Relationship Id="rId32" Type="http://schemas.openxmlformats.org/officeDocument/2006/relationships/hyperlink" Target="http://www.nevo.co.il/case/24282715"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279392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580841" TargetMode="External"/><Relationship Id="rId28" Type="http://schemas.openxmlformats.org/officeDocument/2006/relationships/hyperlink" Target="http://www.nevo.co.il/case/19999565" TargetMode="External"/><Relationship Id="rId36" Type="http://schemas.openxmlformats.org/officeDocument/2006/relationships/hyperlink" Target="http://www.nevo.co.il/case/25535278"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5227" TargetMode="External"/><Relationship Id="rId31" Type="http://schemas.openxmlformats.org/officeDocument/2006/relationships/hyperlink" Target="http://www.nevo.co.il/case/25678016"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4501/2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1017469" TargetMode="External"/><Relationship Id="rId30" Type="http://schemas.openxmlformats.org/officeDocument/2006/relationships/hyperlink" Target="http://www.nevo.co.il/case/21799035" TargetMode="External"/><Relationship Id="rId35" Type="http://schemas.openxmlformats.org/officeDocument/2006/relationships/hyperlink" Target="http://www.nevo.co.il/case/557563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5227/67"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87128" TargetMode="External"/><Relationship Id="rId33" Type="http://schemas.openxmlformats.org/officeDocument/2006/relationships/hyperlink" Target="http://www.nevo.co.il/case/26908354" TargetMode="External"/><Relationship Id="rId38" Type="http://schemas.openxmlformats.org/officeDocument/2006/relationships/hyperlink" Target="http://www.nevo.co.il/case/20956329" TargetMode="External"/><Relationship Id="rId46" Type="http://schemas.openxmlformats.org/officeDocument/2006/relationships/footer" Target="footer2.xml"/><Relationship Id="rId20" Type="http://schemas.openxmlformats.org/officeDocument/2006/relationships/hyperlink" Target="http://www.nevo.co.il/law/74501/2a" TargetMode="External"/><Relationship Id="rId41" Type="http://schemas.openxmlformats.org/officeDocument/2006/relationships/hyperlink" Target="http://www.nevo.co.il/case/2568538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2892</Words>
  <Characters>14464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17322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3735674</vt:i4>
      </vt:variant>
      <vt:variant>
        <vt:i4>102</vt:i4>
      </vt:variant>
      <vt:variant>
        <vt:i4>0</vt:i4>
      </vt:variant>
      <vt:variant>
        <vt:i4>5</vt:i4>
      </vt:variant>
      <vt:variant>
        <vt:lpwstr>http://www.nevo.co.il/case/25685381</vt:lpwstr>
      </vt:variant>
      <vt:variant>
        <vt:lpwstr/>
      </vt:variant>
      <vt:variant>
        <vt:i4>3407990</vt:i4>
      </vt:variant>
      <vt:variant>
        <vt:i4>99</vt:i4>
      </vt:variant>
      <vt:variant>
        <vt:i4>0</vt:i4>
      </vt:variant>
      <vt:variant>
        <vt:i4>5</vt:i4>
      </vt:variant>
      <vt:variant>
        <vt:lpwstr>http://www.nevo.co.il/case/22793926</vt:lpwstr>
      </vt:variant>
      <vt:variant>
        <vt:lpwstr/>
      </vt:variant>
      <vt:variant>
        <vt:i4>3997813</vt:i4>
      </vt:variant>
      <vt:variant>
        <vt:i4>96</vt:i4>
      </vt:variant>
      <vt:variant>
        <vt:i4>0</vt:i4>
      </vt:variant>
      <vt:variant>
        <vt:i4>5</vt:i4>
      </vt:variant>
      <vt:variant>
        <vt:lpwstr>http://www.nevo.co.il/case/22812256</vt:lpwstr>
      </vt:variant>
      <vt:variant>
        <vt:lpwstr/>
      </vt:variant>
      <vt:variant>
        <vt:i4>4128882</vt:i4>
      </vt:variant>
      <vt:variant>
        <vt:i4>93</vt:i4>
      </vt:variant>
      <vt:variant>
        <vt:i4>0</vt:i4>
      </vt:variant>
      <vt:variant>
        <vt:i4>5</vt:i4>
      </vt:variant>
      <vt:variant>
        <vt:lpwstr>http://www.nevo.co.il/case/20956329</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3473520</vt:i4>
      </vt:variant>
      <vt:variant>
        <vt:i4>87</vt:i4>
      </vt:variant>
      <vt:variant>
        <vt:i4>0</vt:i4>
      </vt:variant>
      <vt:variant>
        <vt:i4>5</vt:i4>
      </vt:variant>
      <vt:variant>
        <vt:lpwstr>http://www.nevo.co.il/case/25535278</vt:lpwstr>
      </vt:variant>
      <vt:variant>
        <vt:lpwstr/>
      </vt:variant>
      <vt:variant>
        <vt:i4>3211383</vt:i4>
      </vt:variant>
      <vt:variant>
        <vt:i4>84</vt:i4>
      </vt:variant>
      <vt:variant>
        <vt:i4>0</vt:i4>
      </vt:variant>
      <vt:variant>
        <vt:i4>5</vt:i4>
      </vt:variant>
      <vt:variant>
        <vt:lpwstr>http://www.nevo.co.il/case/5575635</vt:lpwstr>
      </vt:variant>
      <vt:variant>
        <vt:lpwstr/>
      </vt:variant>
      <vt:variant>
        <vt:i4>3145843</vt:i4>
      </vt:variant>
      <vt:variant>
        <vt:i4>81</vt:i4>
      </vt:variant>
      <vt:variant>
        <vt:i4>0</vt:i4>
      </vt:variant>
      <vt:variant>
        <vt:i4>5</vt:i4>
      </vt:variant>
      <vt:variant>
        <vt:lpwstr>http://www.nevo.co.il/case/27274743</vt:lpwstr>
      </vt:variant>
      <vt:variant>
        <vt:lpwstr/>
      </vt:variant>
      <vt:variant>
        <vt:i4>3539057</vt:i4>
      </vt:variant>
      <vt:variant>
        <vt:i4>78</vt:i4>
      </vt:variant>
      <vt:variant>
        <vt:i4>0</vt:i4>
      </vt:variant>
      <vt:variant>
        <vt:i4>5</vt:i4>
      </vt:variant>
      <vt:variant>
        <vt:lpwstr>http://www.nevo.co.il/case/26908354</vt:lpwstr>
      </vt:variant>
      <vt:variant>
        <vt:lpwstr/>
      </vt:variant>
      <vt:variant>
        <vt:i4>3342463</vt:i4>
      </vt:variant>
      <vt:variant>
        <vt:i4>75</vt:i4>
      </vt:variant>
      <vt:variant>
        <vt:i4>0</vt:i4>
      </vt:variant>
      <vt:variant>
        <vt:i4>5</vt:i4>
      </vt:variant>
      <vt:variant>
        <vt:lpwstr>http://www.nevo.co.il/case/24282715</vt:lpwstr>
      </vt:variant>
      <vt:variant>
        <vt:lpwstr/>
      </vt:variant>
      <vt:variant>
        <vt:i4>3997814</vt:i4>
      </vt:variant>
      <vt:variant>
        <vt:i4>72</vt:i4>
      </vt:variant>
      <vt:variant>
        <vt:i4>0</vt:i4>
      </vt:variant>
      <vt:variant>
        <vt:i4>5</vt:i4>
      </vt:variant>
      <vt:variant>
        <vt:lpwstr>http://www.nevo.co.il/case/25678016</vt:lpwstr>
      </vt:variant>
      <vt:variant>
        <vt:lpwstr/>
      </vt:variant>
      <vt:variant>
        <vt:i4>4128892</vt:i4>
      </vt:variant>
      <vt:variant>
        <vt:i4>69</vt:i4>
      </vt:variant>
      <vt:variant>
        <vt:i4>0</vt:i4>
      </vt:variant>
      <vt:variant>
        <vt:i4>5</vt:i4>
      </vt:variant>
      <vt:variant>
        <vt:lpwstr>http://www.nevo.co.il/case/21799035</vt:lpwstr>
      </vt:variant>
      <vt:variant>
        <vt:lpwstr/>
      </vt:variant>
      <vt:variant>
        <vt:i4>3604596</vt:i4>
      </vt:variant>
      <vt:variant>
        <vt:i4>66</vt:i4>
      </vt:variant>
      <vt:variant>
        <vt:i4>0</vt:i4>
      </vt:variant>
      <vt:variant>
        <vt:i4>5</vt:i4>
      </vt:variant>
      <vt:variant>
        <vt:lpwstr>http://www.nevo.co.il/case/22535152</vt:lpwstr>
      </vt:variant>
      <vt:variant>
        <vt:lpwstr/>
      </vt:variant>
      <vt:variant>
        <vt:i4>3604593</vt:i4>
      </vt:variant>
      <vt:variant>
        <vt:i4>63</vt:i4>
      </vt:variant>
      <vt:variant>
        <vt:i4>0</vt:i4>
      </vt:variant>
      <vt:variant>
        <vt:i4>5</vt:i4>
      </vt:variant>
      <vt:variant>
        <vt:lpwstr>http://www.nevo.co.il/case/19999565</vt:lpwstr>
      </vt:variant>
      <vt:variant>
        <vt:lpwstr/>
      </vt:variant>
      <vt:variant>
        <vt:i4>3342448</vt:i4>
      </vt:variant>
      <vt:variant>
        <vt:i4>60</vt:i4>
      </vt:variant>
      <vt:variant>
        <vt:i4>0</vt:i4>
      </vt:variant>
      <vt:variant>
        <vt:i4>5</vt:i4>
      </vt:variant>
      <vt:variant>
        <vt:lpwstr>http://www.nevo.co.il/case/21017469</vt:lpwstr>
      </vt:variant>
      <vt:variant>
        <vt:lpwstr/>
      </vt:variant>
      <vt:variant>
        <vt:i4>3473527</vt:i4>
      </vt:variant>
      <vt:variant>
        <vt:i4>57</vt:i4>
      </vt:variant>
      <vt:variant>
        <vt:i4>0</vt:i4>
      </vt:variant>
      <vt:variant>
        <vt:i4>5</vt:i4>
      </vt:variant>
      <vt:variant>
        <vt:lpwstr>http://www.nevo.co.il/case/26678297</vt:lpwstr>
      </vt:variant>
      <vt:variant>
        <vt:lpwstr/>
      </vt:variant>
      <vt:variant>
        <vt:i4>3407990</vt:i4>
      </vt:variant>
      <vt:variant>
        <vt:i4>54</vt:i4>
      </vt:variant>
      <vt:variant>
        <vt:i4>0</vt:i4>
      </vt:variant>
      <vt:variant>
        <vt:i4>5</vt:i4>
      </vt:variant>
      <vt:variant>
        <vt:lpwstr>http://www.nevo.co.il/case/5787128</vt:lpwstr>
      </vt:variant>
      <vt:variant>
        <vt:lpwstr/>
      </vt:variant>
      <vt:variant>
        <vt:i4>3539061</vt:i4>
      </vt:variant>
      <vt:variant>
        <vt:i4>51</vt:i4>
      </vt:variant>
      <vt:variant>
        <vt:i4>0</vt:i4>
      </vt:variant>
      <vt:variant>
        <vt:i4>5</vt:i4>
      </vt:variant>
      <vt:variant>
        <vt:lpwstr>http://www.nevo.co.il/case/5988308</vt:lpwstr>
      </vt:variant>
      <vt:variant>
        <vt:lpwstr/>
      </vt:variant>
      <vt:variant>
        <vt:i4>3407989</vt:i4>
      </vt:variant>
      <vt:variant>
        <vt:i4>48</vt:i4>
      </vt:variant>
      <vt:variant>
        <vt:i4>0</vt:i4>
      </vt:variant>
      <vt:variant>
        <vt:i4>5</vt:i4>
      </vt:variant>
      <vt:variant>
        <vt:lpwstr>http://www.nevo.co.il/case/5580841</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8257634</vt:i4>
      </vt:variant>
      <vt:variant>
        <vt:i4>42</vt:i4>
      </vt:variant>
      <vt:variant>
        <vt:i4>0</vt:i4>
      </vt:variant>
      <vt:variant>
        <vt:i4>5</vt:i4>
      </vt:variant>
      <vt:variant>
        <vt:lpwstr>http://www.nevo.co.il/law/74501</vt:lpwstr>
      </vt:variant>
      <vt:variant>
        <vt:lpwstr/>
      </vt:variant>
      <vt:variant>
        <vt:i4>3145825</vt:i4>
      </vt:variant>
      <vt:variant>
        <vt:i4>39</vt:i4>
      </vt:variant>
      <vt:variant>
        <vt:i4>0</vt:i4>
      </vt:variant>
      <vt:variant>
        <vt:i4>5</vt:i4>
      </vt:variant>
      <vt:variant>
        <vt:lpwstr>http://www.nevo.co.il/law/74501/2a</vt:lpwstr>
      </vt:variant>
      <vt:variant>
        <vt:lpwstr/>
      </vt:variant>
      <vt:variant>
        <vt:i4>8323175</vt:i4>
      </vt:variant>
      <vt:variant>
        <vt:i4>36</vt:i4>
      </vt:variant>
      <vt:variant>
        <vt:i4>0</vt:i4>
      </vt:variant>
      <vt:variant>
        <vt:i4>5</vt:i4>
      </vt:variant>
      <vt:variant>
        <vt:lpwstr>http://www.nevo.co.il/law/5227</vt:lpwstr>
      </vt:variant>
      <vt:variant>
        <vt:lpwstr/>
      </vt:variant>
      <vt:variant>
        <vt:i4>4784200</vt:i4>
      </vt:variant>
      <vt:variant>
        <vt:i4>33</vt:i4>
      </vt:variant>
      <vt:variant>
        <vt:i4>0</vt:i4>
      </vt:variant>
      <vt:variant>
        <vt:i4>5</vt:i4>
      </vt:variant>
      <vt:variant>
        <vt:lpwstr>http://www.nevo.co.il/law/5227/67</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3145825</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4784200</vt:i4>
      </vt:variant>
      <vt:variant>
        <vt:i4>15</vt:i4>
      </vt:variant>
      <vt:variant>
        <vt:i4>0</vt:i4>
      </vt:variant>
      <vt:variant>
        <vt:i4>5</vt:i4>
      </vt:variant>
      <vt:variant>
        <vt:lpwstr>http://www.nevo.co.il/law/5227/67</vt:lpwstr>
      </vt:variant>
      <vt:variant>
        <vt:lpwstr/>
      </vt:variant>
      <vt:variant>
        <vt:i4>8323175</vt:i4>
      </vt:variant>
      <vt:variant>
        <vt:i4>12</vt:i4>
      </vt:variant>
      <vt:variant>
        <vt:i4>0</vt:i4>
      </vt:variant>
      <vt:variant>
        <vt:i4>5</vt:i4>
      </vt:variant>
      <vt:variant>
        <vt:lpwstr>http://www.nevo.co.il/law/5227</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3342449</vt:i4>
      </vt:variant>
      <vt:variant>
        <vt:i4>0</vt:i4>
      </vt:variant>
      <vt:variant>
        <vt:i4>0</vt:i4>
      </vt:variant>
      <vt:variant>
        <vt:i4>5</vt:i4>
      </vt:variant>
      <vt:variant>
        <vt:lpwstr>http://www.nevo.co.il/case/27332107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32494</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ישראל-תביעות נגב</vt:lpwstr>
  </property>
  <property fmtid="{D5CDD505-2E9C-101B-9397-08002B2CF9AE}" pid="9" name="APPELLEE">
    <vt:lpwstr>יוסף עדיסאן -ויעוד חזותי</vt:lpwstr>
  </property>
  <property fmtid="{D5CDD505-2E9C-101B-9397-08002B2CF9AE}" pid="10" name="LAWYER">
    <vt:lpwstr>שגיא אבנעים;נס בן נתן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20210518</vt:lpwstr>
  </property>
  <property fmtid="{D5CDD505-2E9C-101B-9397-08002B2CF9AE}" pid="14" name="TYPE_N_DATE">
    <vt:lpwstr>38020210518</vt:lpwstr>
  </property>
  <property fmtid="{D5CDD505-2E9C-101B-9397-08002B2CF9AE}" pid="15" name="WORDNUMPAGES">
    <vt:lpwstr>9</vt:lpwstr>
  </property>
  <property fmtid="{D5CDD505-2E9C-101B-9397-08002B2CF9AE}" pid="16" name="TYPE_ABS_DATE">
    <vt:lpwstr>380020210518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27332107;5738608;5580841;5988308;5787128;26678297;21017469;19999565;22535152;21799035;25678016;24282715;26908354;27274743;5575635;25535278;20956329;22812256;22793926;25685381</vt:lpwstr>
  </property>
  <property fmtid="{D5CDD505-2E9C-101B-9397-08002B2CF9AE}" pid="36" name="LAWLISTTMP1">
    <vt:lpwstr>4216/007.a;007.c</vt:lpwstr>
  </property>
  <property fmtid="{D5CDD505-2E9C-101B-9397-08002B2CF9AE}" pid="37" name="LAWLISTTMP2">
    <vt:lpwstr>5227/067</vt:lpwstr>
  </property>
  <property fmtid="{D5CDD505-2E9C-101B-9397-08002B2CF9AE}" pid="38" name="LAWLISTTMP3">
    <vt:lpwstr>74501/002a</vt:lpwstr>
  </property>
  <property fmtid="{D5CDD505-2E9C-101B-9397-08002B2CF9AE}" pid="39" name="LAWLISTTMP4">
    <vt:lpwstr>70301</vt:lpwstr>
  </property>
</Properties>
</file>