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45"/>
        <w:gridCol w:w="3211"/>
        <w:gridCol w:w="899"/>
        <w:gridCol w:w="3666"/>
        <w:gridCol w:w="99"/>
      </w:tblGrid>
      <w:tr w:rsidR="00CC4DDE" w:rsidRPr="00F35837" w14:paraId="24DCF130" w14:textId="77777777" w:rsidTr="00745C25">
        <w:trPr>
          <w:gridAfter w:val="1"/>
          <w:wAfter w:w="99" w:type="dxa"/>
          <w:trHeight w:hRule="exact" w:val="418"/>
          <w:jc w:val="center"/>
        </w:trPr>
        <w:tc>
          <w:tcPr>
            <w:tcW w:w="8721" w:type="dxa"/>
            <w:gridSpan w:val="4"/>
          </w:tcPr>
          <w:p w14:paraId="3A27D32B" w14:textId="77777777" w:rsidR="00CC4DDE" w:rsidRPr="00F35837" w:rsidRDefault="00CC4DDE" w:rsidP="0026600A">
            <w:pPr>
              <w:pStyle w:val="a3"/>
              <w:jc w:val="center"/>
              <w:rPr>
                <w:rFonts w:ascii="David" w:hAnsi="David"/>
                <w:b/>
                <w:bCs/>
                <w:color w:val="000080"/>
                <w:rtl/>
              </w:rPr>
            </w:pPr>
            <w:bookmarkStart w:id="0" w:name="FirstLawyer"/>
            <w:bookmarkStart w:id="1" w:name="LastJudge"/>
            <w:r w:rsidRPr="00F35837">
              <w:rPr>
                <w:rFonts w:ascii="David" w:hAnsi="David"/>
                <w:b/>
                <w:bCs/>
                <w:color w:val="000080"/>
                <w:sz w:val="28"/>
                <w:szCs w:val="28"/>
                <w:rtl/>
              </w:rPr>
              <w:t>בית משפט השלום בירושלים</w:t>
            </w:r>
          </w:p>
        </w:tc>
      </w:tr>
      <w:tr w:rsidR="00CC4DDE" w:rsidRPr="00F35837" w14:paraId="47556DC3" w14:textId="77777777" w:rsidTr="00745C25">
        <w:trPr>
          <w:gridAfter w:val="1"/>
          <w:wAfter w:w="99" w:type="dxa"/>
          <w:trHeight w:val="337"/>
          <w:jc w:val="center"/>
        </w:trPr>
        <w:tc>
          <w:tcPr>
            <w:tcW w:w="5055" w:type="dxa"/>
            <w:gridSpan w:val="3"/>
          </w:tcPr>
          <w:p w14:paraId="4B1D8CBD" w14:textId="77777777" w:rsidR="00CC4DDE" w:rsidRPr="00F35837" w:rsidRDefault="00CC4DDE" w:rsidP="0026600A">
            <w:pPr>
              <w:rPr>
                <w:rFonts w:ascii="David" w:hAnsi="David"/>
                <w:b/>
                <w:bCs/>
                <w:sz w:val="28"/>
                <w:szCs w:val="28"/>
                <w:rtl/>
              </w:rPr>
            </w:pPr>
            <w:r w:rsidRPr="00F35837">
              <w:rPr>
                <w:rFonts w:ascii="David" w:hAnsi="David"/>
                <w:b/>
                <w:bCs/>
                <w:sz w:val="28"/>
                <w:szCs w:val="28"/>
                <w:rtl/>
              </w:rPr>
              <w:t>ת"פ 32541-01-21 מדינת ישראל נ' קופלה</w:t>
            </w:r>
          </w:p>
          <w:p w14:paraId="47AD0161" w14:textId="77777777" w:rsidR="00CC4DDE" w:rsidRPr="00F35837" w:rsidRDefault="00CC4DDE" w:rsidP="0026600A">
            <w:pPr>
              <w:pStyle w:val="a3"/>
              <w:rPr>
                <w:rFonts w:ascii="David" w:hAnsi="David"/>
                <w:b/>
                <w:bCs/>
                <w:sz w:val="28"/>
                <w:szCs w:val="28"/>
                <w:rtl/>
              </w:rPr>
            </w:pPr>
          </w:p>
        </w:tc>
        <w:tc>
          <w:tcPr>
            <w:tcW w:w="3666" w:type="dxa"/>
          </w:tcPr>
          <w:p w14:paraId="531AD475" w14:textId="77777777" w:rsidR="00CC4DDE" w:rsidRPr="00F35837" w:rsidRDefault="00CC4DDE" w:rsidP="0026600A">
            <w:pPr>
              <w:pStyle w:val="a3"/>
              <w:jc w:val="right"/>
              <w:rPr>
                <w:rFonts w:cs="FrankRuehl"/>
                <w:sz w:val="28"/>
                <w:szCs w:val="28"/>
                <w:rtl/>
              </w:rPr>
            </w:pPr>
          </w:p>
        </w:tc>
      </w:tr>
      <w:tr w:rsidR="00CC4DDE" w:rsidRPr="00F35837" w14:paraId="05F03437" w14:textId="77777777" w:rsidTr="00745C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45" w:type="dxa"/>
            <w:tcBorders>
              <w:top w:val="nil"/>
              <w:left w:val="nil"/>
              <w:bottom w:val="nil"/>
              <w:right w:val="nil"/>
            </w:tcBorders>
            <w:shd w:val="clear" w:color="auto" w:fill="auto"/>
          </w:tcPr>
          <w:p w14:paraId="3360A2D7" w14:textId="77777777" w:rsidR="00CC4DDE" w:rsidRPr="00F35837" w:rsidRDefault="00CC4DDE" w:rsidP="00CC4DDE">
            <w:pPr>
              <w:jc w:val="both"/>
              <w:rPr>
                <w:rFonts w:ascii="David" w:hAnsi="David"/>
                <w:b/>
                <w:bCs/>
                <w:sz w:val="28"/>
                <w:szCs w:val="28"/>
              </w:rPr>
            </w:pPr>
            <w:r w:rsidRPr="00F35837">
              <w:rPr>
                <w:rFonts w:hint="cs"/>
                <w:rtl/>
              </w:rPr>
              <w:t xml:space="preserve"> </w:t>
            </w:r>
            <w:r w:rsidRPr="00F35837">
              <w:rPr>
                <w:rFonts w:ascii="David" w:hAnsi="David"/>
                <w:b/>
                <w:bCs/>
                <w:sz w:val="28"/>
                <w:szCs w:val="28"/>
                <w:rtl/>
              </w:rPr>
              <w:t xml:space="preserve">בפני </w:t>
            </w:r>
          </w:p>
        </w:tc>
        <w:tc>
          <w:tcPr>
            <w:tcW w:w="7875" w:type="dxa"/>
            <w:gridSpan w:val="4"/>
            <w:tcBorders>
              <w:top w:val="nil"/>
              <w:left w:val="nil"/>
              <w:bottom w:val="nil"/>
              <w:right w:val="nil"/>
            </w:tcBorders>
            <w:shd w:val="clear" w:color="auto" w:fill="auto"/>
          </w:tcPr>
          <w:p w14:paraId="1D53D325" w14:textId="77777777" w:rsidR="00CC4DDE" w:rsidRPr="00F35837" w:rsidRDefault="00CC4DDE" w:rsidP="0026600A">
            <w:pPr>
              <w:rPr>
                <w:rFonts w:ascii="David" w:hAnsi="David"/>
                <w:b/>
                <w:bCs/>
                <w:sz w:val="28"/>
                <w:szCs w:val="28"/>
                <w:rtl/>
              </w:rPr>
            </w:pPr>
            <w:r w:rsidRPr="00F35837">
              <w:rPr>
                <w:rFonts w:ascii="David" w:hAnsi="David"/>
                <w:b/>
                <w:bCs/>
                <w:sz w:val="28"/>
                <w:szCs w:val="28"/>
                <w:rtl/>
              </w:rPr>
              <w:t>כבוד השופט  דוד שאול גבאי ריכטר</w:t>
            </w:r>
          </w:p>
          <w:p w14:paraId="33D7FF65" w14:textId="77777777" w:rsidR="00CC4DDE" w:rsidRPr="00F35837" w:rsidRDefault="00CC4DDE" w:rsidP="0026600A">
            <w:pPr>
              <w:rPr>
                <w:rFonts w:ascii="David" w:hAnsi="David"/>
                <w:b/>
                <w:bCs/>
                <w:sz w:val="28"/>
                <w:szCs w:val="28"/>
                <w:rtl/>
              </w:rPr>
            </w:pPr>
          </w:p>
          <w:p w14:paraId="006D8E14" w14:textId="77777777" w:rsidR="00CC4DDE" w:rsidRPr="00F35837" w:rsidRDefault="00CC4DDE" w:rsidP="00CC4DDE">
            <w:pPr>
              <w:jc w:val="both"/>
              <w:rPr>
                <w:rFonts w:ascii="David" w:hAnsi="David"/>
                <w:b/>
                <w:bCs/>
                <w:sz w:val="28"/>
                <w:szCs w:val="28"/>
              </w:rPr>
            </w:pPr>
          </w:p>
        </w:tc>
      </w:tr>
      <w:tr w:rsidR="00CC4DDE" w:rsidRPr="00F35837" w14:paraId="47401780" w14:textId="77777777" w:rsidTr="00745C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45" w:type="dxa"/>
            <w:tcBorders>
              <w:top w:val="nil"/>
              <w:left w:val="nil"/>
              <w:bottom w:val="nil"/>
              <w:right w:val="nil"/>
            </w:tcBorders>
            <w:shd w:val="clear" w:color="auto" w:fill="auto"/>
          </w:tcPr>
          <w:p w14:paraId="6B0FD621" w14:textId="77777777" w:rsidR="00CC4DDE" w:rsidRPr="00F35837" w:rsidRDefault="00CC4DDE" w:rsidP="00CC4DDE">
            <w:pPr>
              <w:jc w:val="both"/>
              <w:rPr>
                <w:rFonts w:ascii="David" w:hAnsi="David"/>
                <w:b/>
                <w:bCs/>
                <w:sz w:val="28"/>
                <w:szCs w:val="28"/>
              </w:rPr>
            </w:pPr>
            <w:bookmarkStart w:id="2" w:name="FirstAppellant"/>
            <w:r w:rsidRPr="00F35837">
              <w:rPr>
                <w:rFonts w:ascii="David" w:hAnsi="David"/>
                <w:b/>
                <w:bCs/>
                <w:sz w:val="28"/>
                <w:szCs w:val="28"/>
                <w:rtl/>
              </w:rPr>
              <w:t>בעניין:</w:t>
            </w:r>
          </w:p>
        </w:tc>
        <w:tc>
          <w:tcPr>
            <w:tcW w:w="3211" w:type="dxa"/>
            <w:tcBorders>
              <w:top w:val="nil"/>
              <w:left w:val="nil"/>
              <w:bottom w:val="nil"/>
              <w:right w:val="nil"/>
            </w:tcBorders>
            <w:shd w:val="clear" w:color="auto" w:fill="auto"/>
          </w:tcPr>
          <w:p w14:paraId="5996A582" w14:textId="77777777" w:rsidR="00CC4DDE" w:rsidRPr="00F35837" w:rsidRDefault="00CC4DDE" w:rsidP="00CC4DDE">
            <w:pPr>
              <w:suppressLineNumbers/>
              <w:rPr>
                <w:rFonts w:ascii="David" w:hAnsi="David"/>
                <w:b/>
                <w:bCs/>
                <w:sz w:val="28"/>
                <w:szCs w:val="28"/>
              </w:rPr>
            </w:pPr>
            <w:r w:rsidRPr="00F35837">
              <w:rPr>
                <w:rFonts w:ascii="David" w:hAnsi="David"/>
                <w:b/>
                <w:bCs/>
                <w:sz w:val="28"/>
                <w:szCs w:val="28"/>
                <w:rtl/>
              </w:rPr>
              <w:t>המאשימה</w:t>
            </w:r>
          </w:p>
          <w:p w14:paraId="03584E03" w14:textId="77777777" w:rsidR="00CC4DDE" w:rsidRPr="00F35837" w:rsidRDefault="00CC4DDE" w:rsidP="0026600A">
            <w:pPr>
              <w:rPr>
                <w:rFonts w:ascii="David" w:hAnsi="David"/>
                <w:b/>
                <w:bCs/>
                <w:sz w:val="28"/>
                <w:szCs w:val="28"/>
              </w:rPr>
            </w:pPr>
          </w:p>
        </w:tc>
        <w:tc>
          <w:tcPr>
            <w:tcW w:w="4664" w:type="dxa"/>
            <w:gridSpan w:val="3"/>
            <w:tcBorders>
              <w:top w:val="nil"/>
              <w:left w:val="nil"/>
              <w:bottom w:val="nil"/>
              <w:right w:val="nil"/>
            </w:tcBorders>
            <w:shd w:val="clear" w:color="auto" w:fill="auto"/>
            <w:vAlign w:val="center"/>
          </w:tcPr>
          <w:p w14:paraId="6DB57E23" w14:textId="77777777" w:rsidR="00CC4DDE" w:rsidRPr="00F35837" w:rsidRDefault="00CC4DDE" w:rsidP="00CC4DDE">
            <w:pPr>
              <w:suppressLineNumbers/>
              <w:rPr>
                <w:rFonts w:ascii="David" w:hAnsi="David"/>
                <w:b/>
                <w:bCs/>
                <w:sz w:val="28"/>
                <w:szCs w:val="28"/>
              </w:rPr>
            </w:pPr>
            <w:r w:rsidRPr="00F35837">
              <w:rPr>
                <w:rFonts w:ascii="David" w:hAnsi="David"/>
                <w:b/>
                <w:bCs/>
                <w:sz w:val="28"/>
                <w:szCs w:val="28"/>
                <w:rtl/>
              </w:rPr>
              <w:t>מדינת ישראל</w:t>
            </w:r>
            <w:r w:rsidRPr="00F35837">
              <w:rPr>
                <w:rFonts w:ascii="David" w:hAnsi="David"/>
                <w:b/>
                <w:bCs/>
                <w:sz w:val="28"/>
                <w:szCs w:val="28"/>
                <w:rtl/>
              </w:rPr>
              <w:br/>
              <w:t xml:space="preserve">ע"י </w:t>
            </w:r>
            <w:r w:rsidRPr="00F35837">
              <w:rPr>
                <w:rFonts w:ascii="David" w:hAnsi="David" w:hint="cs"/>
                <w:b/>
                <w:bCs/>
                <w:sz w:val="28"/>
                <w:szCs w:val="28"/>
                <w:rtl/>
              </w:rPr>
              <w:t>ב"כ עו"ד רונית ישי מ</w:t>
            </w:r>
            <w:r w:rsidRPr="00F35837">
              <w:rPr>
                <w:rFonts w:ascii="David" w:hAnsi="David"/>
                <w:b/>
                <w:bCs/>
                <w:sz w:val="28"/>
                <w:szCs w:val="28"/>
                <w:rtl/>
              </w:rPr>
              <w:t>תביעות ירושלים</w:t>
            </w:r>
          </w:p>
          <w:p w14:paraId="66B4F5A1" w14:textId="77777777" w:rsidR="00CC4DDE" w:rsidRPr="00F35837" w:rsidRDefault="00CC4DDE" w:rsidP="0026600A">
            <w:pPr>
              <w:rPr>
                <w:rFonts w:ascii="David" w:hAnsi="David"/>
                <w:b/>
                <w:bCs/>
                <w:sz w:val="28"/>
                <w:szCs w:val="28"/>
              </w:rPr>
            </w:pPr>
          </w:p>
        </w:tc>
      </w:tr>
      <w:bookmarkEnd w:id="2"/>
      <w:tr w:rsidR="00CC4DDE" w:rsidRPr="00F35837" w14:paraId="4F2CD2BD" w14:textId="77777777" w:rsidTr="00745C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45" w:type="dxa"/>
            <w:tcBorders>
              <w:top w:val="nil"/>
              <w:left w:val="nil"/>
              <w:bottom w:val="nil"/>
              <w:right w:val="nil"/>
            </w:tcBorders>
            <w:shd w:val="clear" w:color="auto" w:fill="auto"/>
          </w:tcPr>
          <w:p w14:paraId="00D26691" w14:textId="77777777" w:rsidR="00CC4DDE" w:rsidRPr="00F35837" w:rsidRDefault="00CC4DDE" w:rsidP="00CC4DDE">
            <w:pPr>
              <w:jc w:val="both"/>
              <w:rPr>
                <w:rFonts w:ascii="David" w:hAnsi="David"/>
                <w:b/>
                <w:bCs/>
                <w:sz w:val="28"/>
                <w:szCs w:val="28"/>
                <w:rtl/>
              </w:rPr>
            </w:pPr>
          </w:p>
        </w:tc>
        <w:tc>
          <w:tcPr>
            <w:tcW w:w="7875" w:type="dxa"/>
            <w:gridSpan w:val="4"/>
            <w:tcBorders>
              <w:top w:val="nil"/>
              <w:left w:val="nil"/>
              <w:bottom w:val="nil"/>
              <w:right w:val="nil"/>
            </w:tcBorders>
            <w:shd w:val="clear" w:color="auto" w:fill="auto"/>
          </w:tcPr>
          <w:p w14:paraId="22B56CB8" w14:textId="77777777" w:rsidR="00CC4DDE" w:rsidRPr="00F35837" w:rsidRDefault="00CC4DDE" w:rsidP="00CC4DDE">
            <w:pPr>
              <w:jc w:val="center"/>
              <w:rPr>
                <w:rFonts w:ascii="David" w:hAnsi="David"/>
                <w:b/>
                <w:bCs/>
                <w:sz w:val="28"/>
                <w:szCs w:val="28"/>
                <w:rtl/>
              </w:rPr>
            </w:pPr>
          </w:p>
          <w:p w14:paraId="2518907C" w14:textId="77777777" w:rsidR="00CC4DDE" w:rsidRPr="00F35837" w:rsidRDefault="00CC4DDE" w:rsidP="00CC4DDE">
            <w:pPr>
              <w:jc w:val="center"/>
              <w:rPr>
                <w:rFonts w:ascii="David" w:hAnsi="David"/>
                <w:b/>
                <w:bCs/>
                <w:sz w:val="28"/>
                <w:szCs w:val="28"/>
                <w:rtl/>
              </w:rPr>
            </w:pPr>
            <w:r w:rsidRPr="00F35837">
              <w:rPr>
                <w:rFonts w:ascii="David" w:hAnsi="David"/>
                <w:b/>
                <w:bCs/>
                <w:sz w:val="28"/>
                <w:szCs w:val="28"/>
                <w:rtl/>
              </w:rPr>
              <w:t>נגד</w:t>
            </w:r>
          </w:p>
          <w:p w14:paraId="3A6BA885" w14:textId="77777777" w:rsidR="00CC4DDE" w:rsidRPr="00F35837" w:rsidRDefault="00CC4DDE" w:rsidP="00CC4DDE">
            <w:pPr>
              <w:jc w:val="both"/>
              <w:rPr>
                <w:rFonts w:ascii="David" w:hAnsi="David"/>
                <w:b/>
                <w:bCs/>
                <w:sz w:val="28"/>
                <w:szCs w:val="28"/>
              </w:rPr>
            </w:pPr>
          </w:p>
        </w:tc>
      </w:tr>
      <w:tr w:rsidR="00CC4DDE" w:rsidRPr="00F35837" w14:paraId="745DA29F" w14:textId="77777777" w:rsidTr="00745C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45" w:type="dxa"/>
            <w:tcBorders>
              <w:top w:val="nil"/>
              <w:left w:val="nil"/>
              <w:bottom w:val="nil"/>
              <w:right w:val="nil"/>
            </w:tcBorders>
            <w:shd w:val="clear" w:color="auto" w:fill="auto"/>
          </w:tcPr>
          <w:p w14:paraId="059D8BB5" w14:textId="77777777" w:rsidR="00CC4DDE" w:rsidRPr="00F35837" w:rsidRDefault="00CC4DDE" w:rsidP="0026600A">
            <w:pPr>
              <w:rPr>
                <w:rFonts w:ascii="David" w:hAnsi="David"/>
                <w:b/>
                <w:bCs/>
                <w:sz w:val="28"/>
                <w:szCs w:val="28"/>
                <w:rtl/>
              </w:rPr>
            </w:pPr>
          </w:p>
        </w:tc>
        <w:tc>
          <w:tcPr>
            <w:tcW w:w="3211" w:type="dxa"/>
            <w:tcBorders>
              <w:top w:val="nil"/>
              <w:left w:val="nil"/>
              <w:bottom w:val="nil"/>
              <w:right w:val="nil"/>
            </w:tcBorders>
            <w:shd w:val="clear" w:color="auto" w:fill="auto"/>
          </w:tcPr>
          <w:p w14:paraId="08055994" w14:textId="77777777" w:rsidR="00CC4DDE" w:rsidRPr="00F35837" w:rsidRDefault="00CC4DDE" w:rsidP="0026600A">
            <w:pPr>
              <w:rPr>
                <w:rFonts w:ascii="David" w:hAnsi="David"/>
                <w:b/>
                <w:bCs/>
                <w:sz w:val="28"/>
                <w:szCs w:val="28"/>
                <w:rtl/>
              </w:rPr>
            </w:pPr>
            <w:r w:rsidRPr="00F35837">
              <w:rPr>
                <w:rFonts w:ascii="David" w:hAnsi="David"/>
                <w:b/>
                <w:bCs/>
                <w:sz w:val="28"/>
                <w:szCs w:val="28"/>
                <w:rtl/>
              </w:rPr>
              <w:t>הנאשם</w:t>
            </w:r>
          </w:p>
        </w:tc>
        <w:tc>
          <w:tcPr>
            <w:tcW w:w="4664" w:type="dxa"/>
            <w:gridSpan w:val="3"/>
            <w:tcBorders>
              <w:top w:val="nil"/>
              <w:left w:val="nil"/>
              <w:bottom w:val="nil"/>
              <w:right w:val="nil"/>
            </w:tcBorders>
            <w:shd w:val="clear" w:color="auto" w:fill="auto"/>
            <w:vAlign w:val="center"/>
          </w:tcPr>
          <w:p w14:paraId="504A266E" w14:textId="77777777" w:rsidR="00CC4DDE" w:rsidRPr="00F35837" w:rsidRDefault="00CC4DDE" w:rsidP="00CC4DDE">
            <w:pPr>
              <w:suppressLineNumbers/>
              <w:rPr>
                <w:rFonts w:ascii="David" w:hAnsi="David"/>
                <w:b/>
                <w:bCs/>
                <w:sz w:val="28"/>
                <w:szCs w:val="28"/>
              </w:rPr>
            </w:pPr>
            <w:r w:rsidRPr="00F35837">
              <w:rPr>
                <w:rFonts w:ascii="David" w:hAnsi="David"/>
                <w:b/>
                <w:bCs/>
                <w:sz w:val="28"/>
                <w:szCs w:val="28"/>
                <w:rtl/>
              </w:rPr>
              <w:t>יניב קופלה</w:t>
            </w:r>
          </w:p>
          <w:p w14:paraId="47B1357C" w14:textId="77777777" w:rsidR="00CC4DDE" w:rsidRPr="00F35837" w:rsidRDefault="00CC4DDE" w:rsidP="0026600A">
            <w:pPr>
              <w:rPr>
                <w:rFonts w:ascii="David" w:hAnsi="David"/>
                <w:b/>
                <w:bCs/>
                <w:sz w:val="28"/>
                <w:szCs w:val="28"/>
              </w:rPr>
            </w:pPr>
            <w:r w:rsidRPr="00F35837">
              <w:rPr>
                <w:rFonts w:ascii="David" w:hAnsi="David"/>
                <w:b/>
                <w:bCs/>
                <w:sz w:val="28"/>
                <w:szCs w:val="28"/>
                <w:rtl/>
              </w:rPr>
              <w:t>ע"י ב"כ עוה"ד ליאור כהנא</w:t>
            </w:r>
          </w:p>
        </w:tc>
      </w:tr>
    </w:tbl>
    <w:p w14:paraId="4734A007" w14:textId="77777777" w:rsidR="00745C25" w:rsidRDefault="00745C25" w:rsidP="00F35837">
      <w:pPr>
        <w:rPr>
          <w:rFonts w:ascii="FrankRuehl" w:hAnsi="FrankRuehl" w:cs="FrankRuehl"/>
          <w:sz w:val="28"/>
          <w:szCs w:val="28"/>
          <w:rtl/>
        </w:rPr>
      </w:pPr>
    </w:p>
    <w:p w14:paraId="48EC0688" w14:textId="77777777" w:rsidR="00745C25" w:rsidRPr="00745C25" w:rsidRDefault="00745C25" w:rsidP="00745C25">
      <w:pPr>
        <w:spacing w:after="120" w:line="240" w:lineRule="exact"/>
        <w:ind w:left="283" w:hanging="283"/>
        <w:jc w:val="both"/>
        <w:rPr>
          <w:rFonts w:ascii="FrankRuehl" w:hAnsi="FrankRuehl" w:cs="FrankRuehl"/>
          <w:rtl/>
        </w:rPr>
      </w:pPr>
    </w:p>
    <w:p w14:paraId="21C36F04" w14:textId="77777777" w:rsidR="00093283" w:rsidRPr="00093283" w:rsidRDefault="00093283" w:rsidP="00093283">
      <w:pPr>
        <w:spacing w:before="120" w:after="120" w:line="240" w:lineRule="exact"/>
        <w:ind w:left="283" w:hanging="283"/>
        <w:jc w:val="both"/>
        <w:rPr>
          <w:rFonts w:ascii="FrankRuehl" w:hAnsi="FrankRuehl" w:cs="FrankRuehl"/>
          <w:rtl/>
        </w:rPr>
      </w:pPr>
    </w:p>
    <w:p w14:paraId="6186BD99" w14:textId="77777777" w:rsidR="00660AAD" w:rsidRDefault="00660AAD" w:rsidP="00660AAD">
      <w:pPr>
        <w:rPr>
          <w:rFonts w:ascii="FrankRuehl" w:hAnsi="FrankRuehl" w:cs="FrankRuehl"/>
          <w:sz w:val="28"/>
          <w:szCs w:val="28"/>
          <w:rtl/>
        </w:rPr>
      </w:pPr>
      <w:bookmarkStart w:id="3" w:name="LawTable"/>
      <w:bookmarkEnd w:id="3"/>
    </w:p>
    <w:p w14:paraId="09248BEC" w14:textId="77777777" w:rsidR="00660AAD" w:rsidRPr="00660AAD" w:rsidRDefault="00660AAD" w:rsidP="00660AAD">
      <w:pPr>
        <w:spacing w:before="120" w:after="120" w:line="240" w:lineRule="exact"/>
        <w:ind w:left="283" w:hanging="283"/>
        <w:jc w:val="both"/>
        <w:rPr>
          <w:rFonts w:ascii="FrankRuehl" w:hAnsi="FrankRuehl" w:cs="FrankRuehl"/>
          <w:rtl/>
        </w:rPr>
      </w:pPr>
    </w:p>
    <w:p w14:paraId="5A18A171" w14:textId="77777777" w:rsidR="00660AAD" w:rsidRPr="00660AAD" w:rsidRDefault="00660AAD" w:rsidP="00660AAD">
      <w:pPr>
        <w:spacing w:before="120" w:after="120" w:line="240" w:lineRule="exact"/>
        <w:ind w:left="283" w:hanging="283"/>
        <w:jc w:val="both"/>
        <w:rPr>
          <w:rFonts w:ascii="FrankRuehl" w:hAnsi="FrankRuehl" w:cs="FrankRuehl"/>
          <w:rtl/>
        </w:rPr>
      </w:pPr>
    </w:p>
    <w:p w14:paraId="7DF65B8A" w14:textId="77777777" w:rsidR="00660AAD" w:rsidRPr="00660AAD" w:rsidRDefault="00660AAD" w:rsidP="00660AAD">
      <w:pPr>
        <w:spacing w:before="120" w:after="120" w:line="240" w:lineRule="exact"/>
        <w:ind w:left="283" w:hanging="283"/>
        <w:jc w:val="both"/>
        <w:rPr>
          <w:rFonts w:ascii="FrankRuehl" w:hAnsi="FrankRuehl" w:cs="FrankRuehl"/>
          <w:rtl/>
        </w:rPr>
      </w:pPr>
      <w:r w:rsidRPr="00660AAD">
        <w:rPr>
          <w:rFonts w:ascii="FrankRuehl" w:hAnsi="FrankRuehl" w:cs="FrankRuehl"/>
          <w:rtl/>
        </w:rPr>
        <w:t xml:space="preserve">חקיקה שאוזכרה: </w:t>
      </w:r>
    </w:p>
    <w:p w14:paraId="6F22C81F" w14:textId="77777777" w:rsidR="00660AAD" w:rsidRPr="00660AAD" w:rsidRDefault="00660AAD" w:rsidP="00660AAD">
      <w:pPr>
        <w:spacing w:before="120" w:after="120" w:line="240" w:lineRule="exact"/>
        <w:ind w:left="283" w:hanging="283"/>
        <w:jc w:val="both"/>
        <w:rPr>
          <w:rFonts w:ascii="FrankRuehl" w:hAnsi="FrankRuehl" w:cs="FrankRuehl"/>
          <w:rtl/>
        </w:rPr>
      </w:pPr>
      <w:hyperlink r:id="rId7" w:history="1">
        <w:r w:rsidRPr="00660AAD">
          <w:rPr>
            <w:rFonts w:ascii="FrankRuehl" w:hAnsi="FrankRuehl" w:cs="FrankRuehl"/>
            <w:color w:val="0000FF"/>
            <w:rtl/>
          </w:rPr>
          <w:t>פקודת הסמים המסוכנים [נוסח חדש], תשל"ג-1973</w:t>
        </w:r>
      </w:hyperlink>
      <w:r w:rsidRPr="00660AAD">
        <w:rPr>
          <w:rFonts w:ascii="FrankRuehl" w:hAnsi="FrankRuehl" w:cs="FrankRuehl"/>
          <w:rtl/>
        </w:rPr>
        <w:t xml:space="preserve">: סע'  </w:t>
      </w:r>
      <w:hyperlink r:id="rId8" w:history="1">
        <w:r w:rsidRPr="00660AAD">
          <w:rPr>
            <w:rFonts w:ascii="FrankRuehl" w:hAnsi="FrankRuehl" w:cs="FrankRuehl"/>
            <w:color w:val="0000FF"/>
            <w:rtl/>
          </w:rPr>
          <w:t>13</w:t>
        </w:r>
      </w:hyperlink>
      <w:r w:rsidRPr="00660AAD">
        <w:rPr>
          <w:rFonts w:ascii="FrankRuehl" w:hAnsi="FrankRuehl" w:cs="FrankRuehl"/>
          <w:rtl/>
        </w:rPr>
        <w:t xml:space="preserve">, </w:t>
      </w:r>
      <w:hyperlink r:id="rId9" w:history="1">
        <w:r w:rsidRPr="00660AAD">
          <w:rPr>
            <w:rFonts w:ascii="FrankRuehl" w:hAnsi="FrankRuehl" w:cs="FrankRuehl"/>
            <w:color w:val="0000FF"/>
            <w:rtl/>
          </w:rPr>
          <w:t>19.א</w:t>
        </w:r>
      </w:hyperlink>
    </w:p>
    <w:p w14:paraId="24644B5E" w14:textId="77777777" w:rsidR="00660AAD" w:rsidRPr="00660AAD" w:rsidRDefault="00660AAD" w:rsidP="00660AAD">
      <w:pPr>
        <w:spacing w:before="120" w:after="120" w:line="240" w:lineRule="exact"/>
        <w:ind w:left="283" w:hanging="283"/>
        <w:jc w:val="both"/>
        <w:rPr>
          <w:rFonts w:ascii="FrankRuehl" w:hAnsi="FrankRuehl" w:cs="FrankRuehl"/>
          <w:rtl/>
        </w:rPr>
      </w:pPr>
      <w:hyperlink r:id="rId10" w:history="1">
        <w:r w:rsidRPr="00660AAD">
          <w:rPr>
            <w:rFonts w:ascii="FrankRuehl" w:hAnsi="FrankRuehl" w:cs="FrankRuehl"/>
            <w:color w:val="0000FF"/>
            <w:rtl/>
          </w:rPr>
          <w:t>חוק העונשין, תשל"ז-1977</w:t>
        </w:r>
      </w:hyperlink>
      <w:r w:rsidRPr="00660AAD">
        <w:rPr>
          <w:rFonts w:ascii="FrankRuehl" w:hAnsi="FrankRuehl" w:cs="FrankRuehl"/>
          <w:rtl/>
        </w:rPr>
        <w:t xml:space="preserve">: סע'  </w:t>
      </w:r>
      <w:hyperlink r:id="rId11" w:history="1">
        <w:r w:rsidRPr="00660AAD">
          <w:rPr>
            <w:rFonts w:ascii="FrankRuehl" w:hAnsi="FrankRuehl" w:cs="FrankRuehl"/>
            <w:color w:val="0000FF"/>
            <w:rtl/>
          </w:rPr>
          <w:t>40ט'</w:t>
        </w:r>
      </w:hyperlink>
      <w:r w:rsidRPr="00660AAD">
        <w:rPr>
          <w:rFonts w:ascii="FrankRuehl" w:hAnsi="FrankRuehl" w:cs="FrankRuehl"/>
          <w:rtl/>
        </w:rPr>
        <w:t xml:space="preserve">, </w:t>
      </w:r>
      <w:hyperlink r:id="rId12" w:history="1">
        <w:r w:rsidRPr="00660AAD">
          <w:rPr>
            <w:rFonts w:ascii="FrankRuehl" w:hAnsi="FrankRuehl" w:cs="FrankRuehl"/>
            <w:color w:val="0000FF"/>
            <w:rtl/>
          </w:rPr>
          <w:t>40יא</w:t>
        </w:r>
      </w:hyperlink>
    </w:p>
    <w:p w14:paraId="36AC2399" w14:textId="77777777" w:rsidR="00660AAD" w:rsidRPr="00660AAD" w:rsidRDefault="00660AAD" w:rsidP="00660AAD">
      <w:pPr>
        <w:rPr>
          <w:rFonts w:ascii="FrankRuehl" w:hAnsi="FrankRuehl" w:cs="FrankRuehl"/>
          <w:sz w:val="28"/>
          <w:szCs w:val="28"/>
          <w:rtl/>
        </w:rPr>
      </w:pPr>
      <w:bookmarkStart w:id="4" w:name="LawTable_End"/>
      <w:bookmarkEnd w:id="4"/>
    </w:p>
    <w:p w14:paraId="04DE853E" w14:textId="77777777" w:rsidR="00CC4DDE" w:rsidRPr="00093283" w:rsidRDefault="00CC4DDE" w:rsidP="00093283">
      <w:pPr>
        <w:rPr>
          <w:rFonts w:ascii="FrankRuehl" w:hAnsi="FrankRuehl" w:cs="FrankRuehl"/>
          <w:sz w:val="28"/>
          <w:szCs w:val="28"/>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C4DDE" w14:paraId="306E962A" w14:textId="77777777" w:rsidTr="00CC4DDE">
        <w:trPr>
          <w:trHeight w:val="80"/>
          <w:jc w:val="center"/>
        </w:trPr>
        <w:tc>
          <w:tcPr>
            <w:tcW w:w="8820" w:type="dxa"/>
            <w:tcBorders>
              <w:top w:val="nil"/>
              <w:left w:val="nil"/>
              <w:bottom w:val="nil"/>
              <w:right w:val="nil"/>
            </w:tcBorders>
            <w:shd w:val="clear" w:color="auto" w:fill="auto"/>
          </w:tcPr>
          <w:p w14:paraId="67AA5B23" w14:textId="77777777" w:rsidR="00F35837" w:rsidRPr="00F35837" w:rsidRDefault="00F35837" w:rsidP="00F35837">
            <w:pPr>
              <w:jc w:val="center"/>
              <w:rPr>
                <w:rFonts w:ascii="David" w:hAnsi="David"/>
                <w:b/>
                <w:bCs/>
                <w:sz w:val="28"/>
                <w:szCs w:val="28"/>
                <w:u w:val="single"/>
                <w:rtl/>
              </w:rPr>
            </w:pPr>
            <w:bookmarkStart w:id="5" w:name="PsakDin" w:colFirst="0" w:colLast="0"/>
            <w:bookmarkEnd w:id="0"/>
            <w:bookmarkEnd w:id="1"/>
            <w:r w:rsidRPr="00F35837">
              <w:rPr>
                <w:rFonts w:ascii="David" w:hAnsi="David"/>
                <w:b/>
                <w:bCs/>
                <w:sz w:val="28"/>
                <w:szCs w:val="28"/>
                <w:u w:val="single"/>
                <w:rtl/>
              </w:rPr>
              <w:t>גזר דין</w:t>
            </w:r>
          </w:p>
          <w:p w14:paraId="0D772FB9" w14:textId="77777777" w:rsidR="00CC4DDE" w:rsidRPr="00F35837" w:rsidRDefault="00CC4DDE" w:rsidP="00F35837">
            <w:pPr>
              <w:jc w:val="center"/>
              <w:rPr>
                <w:rFonts w:ascii="David" w:hAnsi="David"/>
                <w:b/>
                <w:bCs/>
                <w:sz w:val="28"/>
                <w:szCs w:val="28"/>
                <w:u w:val="single"/>
              </w:rPr>
            </w:pPr>
          </w:p>
        </w:tc>
      </w:tr>
      <w:bookmarkEnd w:id="5"/>
    </w:tbl>
    <w:p w14:paraId="1D838773" w14:textId="77777777" w:rsidR="00CC4DDE" w:rsidRDefault="00CC4DDE" w:rsidP="00CC4DDE">
      <w:pPr>
        <w:rPr>
          <w:rFonts w:ascii="David" w:hAnsi="David"/>
          <w:rtl/>
        </w:rPr>
      </w:pPr>
    </w:p>
    <w:p w14:paraId="59F01779" w14:textId="77777777" w:rsidR="00CC4DDE" w:rsidRDefault="00CC4DDE" w:rsidP="00CC4DDE">
      <w:pPr>
        <w:rPr>
          <w:rFonts w:ascii="David" w:hAnsi="David"/>
          <w:sz w:val="28"/>
          <w:szCs w:val="28"/>
          <w:rtl/>
        </w:rPr>
      </w:pPr>
    </w:p>
    <w:p w14:paraId="6AC16ED9" w14:textId="77777777" w:rsidR="00CC4DDE" w:rsidRDefault="00CC4DDE" w:rsidP="00CC4DDE">
      <w:pPr>
        <w:spacing w:line="360" w:lineRule="auto"/>
        <w:rPr>
          <w:rFonts w:ascii="David" w:hAnsi="David"/>
          <w:b/>
          <w:bCs/>
          <w:sz w:val="26"/>
          <w:szCs w:val="26"/>
          <w:u w:val="single"/>
          <w:rtl/>
        </w:rPr>
      </w:pPr>
      <w:r>
        <w:rPr>
          <w:rFonts w:ascii="David" w:hAnsi="David"/>
          <w:b/>
          <w:bCs/>
          <w:sz w:val="26"/>
          <w:szCs w:val="26"/>
          <w:u w:val="single"/>
          <w:rtl/>
        </w:rPr>
        <w:t>כתב האישום</w:t>
      </w:r>
    </w:p>
    <w:p w14:paraId="19C65845" w14:textId="77777777" w:rsidR="00CC4DDE" w:rsidRDefault="00CC4DDE" w:rsidP="00CC4DDE">
      <w:pPr>
        <w:spacing w:after="160" w:line="360" w:lineRule="auto"/>
        <w:jc w:val="both"/>
        <w:rPr>
          <w:rFonts w:ascii="David" w:hAnsi="David"/>
          <w:sz w:val="26"/>
          <w:szCs w:val="26"/>
        </w:rPr>
      </w:pPr>
      <w:bookmarkStart w:id="6" w:name="ABSTRACT_START"/>
      <w:bookmarkEnd w:id="6"/>
      <w:r>
        <w:rPr>
          <w:rFonts w:ascii="David" w:hAnsi="David"/>
          <w:sz w:val="26"/>
          <w:szCs w:val="26"/>
          <w:rtl/>
        </w:rPr>
        <w:t>נגד הנאשם הוגש כתב אישום המייחס לו עבירות סמים.</w:t>
      </w:r>
    </w:p>
    <w:p w14:paraId="693515F2" w14:textId="77777777" w:rsidR="00CC4DDE" w:rsidRDefault="00CC4DDE" w:rsidP="00CC4DDE">
      <w:pPr>
        <w:spacing w:after="160" w:line="360" w:lineRule="auto"/>
        <w:jc w:val="both"/>
        <w:rPr>
          <w:rFonts w:ascii="David" w:hAnsi="David"/>
          <w:sz w:val="26"/>
          <w:szCs w:val="26"/>
        </w:rPr>
      </w:pPr>
      <w:r>
        <w:rPr>
          <w:rFonts w:ascii="David" w:hAnsi="David"/>
          <w:sz w:val="26"/>
          <w:szCs w:val="26"/>
          <w:rtl/>
        </w:rPr>
        <w:t xml:space="preserve">מעובדות כתב האישום עולה כי במועדים המפורטים, החזיק הנאשם רישיון נהיגה לרכב ציבורי כנהג מונית. במועד שאינו ידוע במדויק חבר הנאשם לאחר, שזהותו אינה ידועה, ובמסגרת זו, קיבל האחר פניות באמצעות יישומון הטלגרם מצד אנשים שונים לרכישת קנבוס. בנסיבות המתוארות בכתב האישום, העביר הנאשם לאחר את פרטי עסקאות הסמים והנאשם יצר קשר עם דורשי הסם, הגיע אליהם באמצעות המונית ומסר להם את הסם תמורת תשלום. בין התאריכים 16.9.2020 – 31.12.2020 מכר הנאשם בתשע הזדמנויות שונות לאנשים שאינם מוכרים לו, גרמים בודדים של קנבוס תמורת כמה מאות שקלים בכל </w:t>
      </w:r>
      <w:r>
        <w:rPr>
          <w:rFonts w:ascii="David" w:hAnsi="David"/>
          <w:sz w:val="26"/>
          <w:szCs w:val="26"/>
          <w:rtl/>
        </w:rPr>
        <w:lastRenderedPageBreak/>
        <w:t xml:space="preserve">פעם ובסכום מצטבר של כ-3,000 ₪. בגין כך, הודה והורשע הנאשם ב – </w:t>
      </w:r>
      <w:r>
        <w:rPr>
          <w:rFonts w:ascii="David" w:hAnsi="David"/>
          <w:b/>
          <w:bCs/>
          <w:sz w:val="26"/>
          <w:szCs w:val="26"/>
          <w:rtl/>
        </w:rPr>
        <w:t>9 עבירות של</w:t>
      </w:r>
      <w:r>
        <w:rPr>
          <w:rFonts w:ascii="David" w:hAnsi="David"/>
          <w:sz w:val="26"/>
          <w:szCs w:val="26"/>
          <w:rtl/>
        </w:rPr>
        <w:t xml:space="preserve"> </w:t>
      </w:r>
      <w:r>
        <w:rPr>
          <w:rFonts w:ascii="David" w:hAnsi="David"/>
          <w:b/>
          <w:bCs/>
          <w:sz w:val="26"/>
          <w:szCs w:val="26"/>
          <w:rtl/>
        </w:rPr>
        <w:t>סחר בסם מסוכן</w:t>
      </w:r>
      <w:r>
        <w:rPr>
          <w:rFonts w:ascii="David" w:hAnsi="David"/>
          <w:sz w:val="26"/>
          <w:szCs w:val="26"/>
          <w:rtl/>
        </w:rPr>
        <w:t xml:space="preserve">, לפי סעיפים </w:t>
      </w:r>
      <w:hyperlink r:id="rId13" w:history="1">
        <w:r w:rsidR="00745C25" w:rsidRPr="00745C25">
          <w:rPr>
            <w:rStyle w:val="Hyperlink"/>
            <w:rFonts w:ascii="David" w:hAnsi="David"/>
            <w:sz w:val="26"/>
            <w:szCs w:val="26"/>
            <w:rtl/>
          </w:rPr>
          <w:t>13 ו-19א</w:t>
        </w:r>
      </w:hyperlink>
      <w:r>
        <w:rPr>
          <w:rFonts w:ascii="David" w:hAnsi="David"/>
          <w:sz w:val="26"/>
          <w:szCs w:val="26"/>
          <w:rtl/>
        </w:rPr>
        <w:t xml:space="preserve"> ל</w:t>
      </w:r>
      <w:hyperlink r:id="rId14" w:history="1">
        <w:r w:rsidR="00F35837" w:rsidRPr="00F35837">
          <w:rPr>
            <w:rFonts w:ascii="David" w:hAnsi="David"/>
            <w:color w:val="0000FF"/>
            <w:sz w:val="26"/>
            <w:szCs w:val="26"/>
            <w:u w:val="single"/>
            <w:rtl/>
          </w:rPr>
          <w:t>פקודת הסמים המסוכנים</w:t>
        </w:r>
      </w:hyperlink>
      <w:r>
        <w:rPr>
          <w:rFonts w:ascii="David" w:hAnsi="David"/>
          <w:sz w:val="26"/>
          <w:szCs w:val="26"/>
          <w:rtl/>
        </w:rPr>
        <w:t xml:space="preserve"> (נוסח חדש) התשל"ג-1973.</w:t>
      </w:r>
    </w:p>
    <w:p w14:paraId="3497DEAC" w14:textId="77777777" w:rsidR="00CC4DDE" w:rsidRDefault="00CC4DDE" w:rsidP="00CC4DDE">
      <w:pPr>
        <w:spacing w:line="360" w:lineRule="auto"/>
        <w:jc w:val="both"/>
        <w:rPr>
          <w:rFonts w:ascii="David" w:hAnsi="David"/>
          <w:b/>
          <w:bCs/>
          <w:sz w:val="26"/>
          <w:szCs w:val="26"/>
          <w:u w:val="single"/>
          <w:rtl/>
        </w:rPr>
      </w:pPr>
      <w:bookmarkStart w:id="7" w:name="ABSTRACT_END"/>
      <w:bookmarkEnd w:id="7"/>
    </w:p>
    <w:p w14:paraId="41464CB1" w14:textId="77777777" w:rsidR="00CC4DDE" w:rsidRDefault="00CC4DDE" w:rsidP="00CC4DDE">
      <w:pPr>
        <w:spacing w:line="360" w:lineRule="auto"/>
        <w:jc w:val="both"/>
        <w:rPr>
          <w:rFonts w:ascii="David" w:hAnsi="David"/>
          <w:b/>
          <w:bCs/>
          <w:sz w:val="26"/>
          <w:szCs w:val="26"/>
          <w:u w:val="single"/>
          <w:rtl/>
        </w:rPr>
      </w:pPr>
      <w:r>
        <w:rPr>
          <w:rFonts w:ascii="David" w:hAnsi="David"/>
          <w:b/>
          <w:bCs/>
          <w:sz w:val="26"/>
          <w:szCs w:val="26"/>
          <w:u w:val="single"/>
          <w:rtl/>
        </w:rPr>
        <w:t>מהלך הדיון</w:t>
      </w:r>
    </w:p>
    <w:p w14:paraId="40F904D5" w14:textId="77777777" w:rsidR="00CC4DDE" w:rsidRDefault="00CC4DDE" w:rsidP="00CC4DDE">
      <w:pPr>
        <w:spacing w:line="360" w:lineRule="auto"/>
        <w:jc w:val="both"/>
        <w:rPr>
          <w:rFonts w:ascii="David" w:hAnsi="David"/>
          <w:sz w:val="26"/>
          <w:szCs w:val="26"/>
          <w:rtl/>
        </w:rPr>
      </w:pPr>
      <w:r>
        <w:rPr>
          <w:rFonts w:ascii="David" w:hAnsi="David"/>
          <w:sz w:val="26"/>
          <w:szCs w:val="26"/>
          <w:rtl/>
        </w:rPr>
        <w:t xml:space="preserve">הנאשם היה עצור זה כחודש ימים, וכתב האישום הוגש כשהוא נתון במעצר בית בפיקוח אלקטרוני. תנאים אלו הוארכו, ובהמשך הוקלו. ביום 12.9.2021 הודה והורשע הנאשם בכתב האישום המתוקן, במסגרת הסדר טיעון, שלא כלל הסכמה עונשית נשלח הנאשם לשירות מבחן ולממונה לעבודות שירות.  </w:t>
      </w:r>
    </w:p>
    <w:p w14:paraId="2C3B33C0" w14:textId="77777777" w:rsidR="00CC4DDE" w:rsidRDefault="00CC4DDE" w:rsidP="00CC4DDE">
      <w:pPr>
        <w:spacing w:after="160" w:line="360" w:lineRule="auto"/>
        <w:jc w:val="both"/>
        <w:rPr>
          <w:rFonts w:ascii="David" w:hAnsi="David"/>
          <w:b/>
          <w:bCs/>
          <w:sz w:val="26"/>
          <w:szCs w:val="26"/>
          <w:u w:val="single"/>
          <w:rtl/>
        </w:rPr>
      </w:pPr>
    </w:p>
    <w:p w14:paraId="763D1474" w14:textId="77777777" w:rsidR="00CC4DDE" w:rsidRDefault="00CC4DDE" w:rsidP="00CC4DDE">
      <w:pPr>
        <w:spacing w:after="160" w:line="360" w:lineRule="auto"/>
        <w:jc w:val="both"/>
        <w:rPr>
          <w:rFonts w:ascii="David" w:hAnsi="David"/>
          <w:b/>
          <w:bCs/>
          <w:sz w:val="26"/>
          <w:szCs w:val="26"/>
          <w:u w:val="single"/>
          <w:rtl/>
        </w:rPr>
      </w:pPr>
      <w:r>
        <w:rPr>
          <w:rFonts w:ascii="David" w:hAnsi="David"/>
          <w:b/>
          <w:bCs/>
          <w:sz w:val="26"/>
          <w:szCs w:val="26"/>
          <w:u w:val="single"/>
          <w:rtl/>
        </w:rPr>
        <w:t>תסקיר שירות המבחן</w:t>
      </w:r>
    </w:p>
    <w:p w14:paraId="20469FD4" w14:textId="77777777" w:rsidR="00CC4DDE" w:rsidRDefault="00CC4DDE" w:rsidP="00CC4DDE">
      <w:pPr>
        <w:spacing w:after="160" w:line="360" w:lineRule="auto"/>
        <w:jc w:val="both"/>
        <w:rPr>
          <w:rFonts w:ascii="David" w:hAnsi="David"/>
          <w:sz w:val="26"/>
          <w:szCs w:val="26"/>
          <w:rtl/>
        </w:rPr>
      </w:pPr>
      <w:r>
        <w:rPr>
          <w:rFonts w:ascii="David" w:hAnsi="David"/>
          <w:sz w:val="26"/>
          <w:szCs w:val="26"/>
          <w:rtl/>
        </w:rPr>
        <w:t xml:space="preserve">מהתסקיר שהוגש בעניינו של הנאשם עולה, כי מדובר בגבר כבן 41, נשוי ואב לשלושה ילדים בטווח גילים 3-14, מצפה ללידת ילד נוסף, שוהה במעצר בית לילי בבית הוריו בירושלים ועובר למעצרו בתיק זה, עבד כנהג מונית באופן עצמאי. מקורות חייו כפי שפורטו על ידי שירות מבחן, עולה כי הנאשם סיים 12 שנות לימוד עם תעודת בגרות חלקית. כנער שיחק כדורגל בקבוצת הנוער של בית"ר ירושלים, אך זמן קצר לפני גיוסו עבר תאונת אופנוע, בעקבותיה נאלץ לעבור ניתוחים בברכיו ובידו. הנאשם התגייס לצה"ל כלוחם במשמר הגבול, אך זמן קצר לאחר מכן, בעקבות קשיים פיזיים, על רקע השלכות התאונה, עבר לתפקיד סיור במשטרה עד לסיום השירות. לאחר שחרורו מהשירות הצבאי, השתלב בעבודות מזדמנות בתחום האבטחה, שליחויות ותדלוק. בעשר השנים האחרונות עובד כנהג מונית. הנאשם סיפר לשירות מבחן, כי מוכר על ידי המל"ל כבעל 65% נכות, על רקע מחלת סכרות ממנה סובל והמוגבלות בתנועה בשל התאונה שעבר בנעוריו, לכן מתקשה למצוא עבודה שיכולה להתאים לצרכיו. אשר לעבירות בהן הורשע, הנאשם תיאר הפחתה ניכרת בהכנסותיו, על רקע משבר הקורונה, ואף שיתף כי נאלץ יחד עם משפחתו לחזור לגור בבית הוריו, דבר אשר לווה בקושי בעצמאות המשפחה ופגיעה באיכות חייהם. הנאשם שלל שימוש בסמים ומסר בדיקות שתן נקיות. שירות המבחן התרשם כי הנאשם קיבל אחריות מלאה על מעשיו, כאשר לדבריו פעל בחוסר שיקול דעת. בעברו של הנאשם עברה אחת בתחום אלימות במשפחה. במסגרת הליך המעצר, השתלב הנאשם בקבוצת עצורי בית למשך שנה, אותה סיים בהצלחה לפני כחודש, ושירות המבחן התרשם כי הנאשם נתרם מההליך הטיפולי. במכלול הנסיבות ולנוכח המוטיבציה הגבוהה של הנאשם לנהל אורח חיים נורמטיבי, המליץ שירות המבחן על הטלת 300 שעות של"ץ. </w:t>
      </w:r>
    </w:p>
    <w:p w14:paraId="506E3AE4" w14:textId="77777777" w:rsidR="00CC4DDE" w:rsidRDefault="00CC4DDE" w:rsidP="00CC4DDE">
      <w:pPr>
        <w:spacing w:after="160" w:line="360" w:lineRule="auto"/>
        <w:jc w:val="both"/>
        <w:rPr>
          <w:rFonts w:ascii="David" w:hAnsi="David"/>
          <w:b/>
          <w:bCs/>
          <w:sz w:val="26"/>
          <w:szCs w:val="26"/>
          <w:u w:val="single"/>
          <w:rtl/>
        </w:rPr>
      </w:pPr>
    </w:p>
    <w:p w14:paraId="2FD6237B" w14:textId="77777777" w:rsidR="00CC4DDE" w:rsidRDefault="00CC4DDE" w:rsidP="00CC4DDE">
      <w:pPr>
        <w:spacing w:after="160" w:line="360" w:lineRule="auto"/>
        <w:jc w:val="both"/>
        <w:rPr>
          <w:rFonts w:ascii="David" w:hAnsi="David"/>
          <w:b/>
          <w:bCs/>
          <w:sz w:val="26"/>
          <w:szCs w:val="26"/>
          <w:u w:val="single"/>
          <w:rtl/>
        </w:rPr>
      </w:pPr>
      <w:r>
        <w:rPr>
          <w:rFonts w:ascii="David" w:hAnsi="David"/>
          <w:b/>
          <w:bCs/>
          <w:sz w:val="26"/>
          <w:szCs w:val="26"/>
          <w:u w:val="single"/>
          <w:rtl/>
        </w:rPr>
        <w:lastRenderedPageBreak/>
        <w:t>חוות דעת של הממונה על עבודות השירות</w:t>
      </w:r>
    </w:p>
    <w:p w14:paraId="451BF9AE" w14:textId="77777777" w:rsidR="00CC4DDE" w:rsidRDefault="00CC4DDE" w:rsidP="00CC4DDE">
      <w:pPr>
        <w:spacing w:after="160" w:line="360" w:lineRule="auto"/>
        <w:jc w:val="both"/>
        <w:rPr>
          <w:rFonts w:ascii="David" w:hAnsi="David"/>
          <w:sz w:val="26"/>
          <w:szCs w:val="26"/>
          <w:rtl/>
        </w:rPr>
      </w:pPr>
      <w:r>
        <w:rPr>
          <w:rFonts w:ascii="David" w:hAnsi="David"/>
          <w:sz w:val="26"/>
          <w:szCs w:val="26"/>
          <w:rtl/>
        </w:rPr>
        <w:t>הממונה הגיש חוות דעת על אודות כשירות הנאשם לבצע מאסר בעבודות שירות. מחוות הדעת עולה, כי הוא כשיר לבצע עבודות שירות וניתן להציבו במפעל חיים בירושלים.</w:t>
      </w:r>
    </w:p>
    <w:p w14:paraId="5D465370" w14:textId="77777777" w:rsidR="00CC4DDE" w:rsidRDefault="00CC4DDE" w:rsidP="00CC4DDE">
      <w:pPr>
        <w:spacing w:after="160" w:line="360" w:lineRule="auto"/>
        <w:jc w:val="both"/>
        <w:rPr>
          <w:rFonts w:ascii="David" w:hAnsi="David"/>
          <w:b/>
          <w:bCs/>
          <w:sz w:val="26"/>
          <w:szCs w:val="26"/>
          <w:u w:val="single"/>
          <w:rtl/>
        </w:rPr>
      </w:pPr>
    </w:p>
    <w:p w14:paraId="6DFBD79C" w14:textId="77777777" w:rsidR="00CC4DDE" w:rsidRDefault="00CC4DDE" w:rsidP="00CC4DDE">
      <w:pPr>
        <w:spacing w:after="160" w:line="360" w:lineRule="auto"/>
        <w:jc w:val="both"/>
        <w:rPr>
          <w:rFonts w:ascii="David" w:hAnsi="David"/>
          <w:b/>
          <w:bCs/>
          <w:sz w:val="26"/>
          <w:szCs w:val="26"/>
          <w:u w:val="single"/>
          <w:rtl/>
        </w:rPr>
      </w:pPr>
      <w:r>
        <w:rPr>
          <w:rFonts w:ascii="David" w:hAnsi="David"/>
          <w:b/>
          <w:bCs/>
          <w:sz w:val="26"/>
          <w:szCs w:val="26"/>
          <w:u w:val="single"/>
          <w:rtl/>
        </w:rPr>
        <w:t>טיעונים לעונש</w:t>
      </w:r>
    </w:p>
    <w:p w14:paraId="718B7966" w14:textId="77777777" w:rsidR="00CC4DDE" w:rsidRDefault="00CC4DDE" w:rsidP="00CC4DDE">
      <w:pPr>
        <w:spacing w:after="160" w:line="360" w:lineRule="auto"/>
        <w:jc w:val="both"/>
        <w:rPr>
          <w:rFonts w:ascii="David" w:hAnsi="David"/>
          <w:sz w:val="26"/>
          <w:szCs w:val="26"/>
          <w:rtl/>
        </w:rPr>
      </w:pPr>
      <w:r>
        <w:rPr>
          <w:rFonts w:ascii="David" w:hAnsi="David"/>
          <w:sz w:val="26"/>
          <w:szCs w:val="26"/>
          <w:rtl/>
        </w:rPr>
        <w:t xml:space="preserve">הצדדים לא הגיעו להסכמה עונשית. </w:t>
      </w:r>
    </w:p>
    <w:p w14:paraId="0EBD3678" w14:textId="77777777" w:rsidR="00CC4DDE" w:rsidRDefault="00CC4DDE" w:rsidP="00CC4DDE">
      <w:pPr>
        <w:spacing w:after="160" w:line="360" w:lineRule="auto"/>
        <w:jc w:val="both"/>
        <w:rPr>
          <w:rFonts w:ascii="David" w:hAnsi="David"/>
          <w:sz w:val="26"/>
          <w:szCs w:val="26"/>
          <w:rtl/>
        </w:rPr>
      </w:pPr>
      <w:r>
        <w:rPr>
          <w:rFonts w:ascii="David" w:hAnsi="David"/>
          <w:sz w:val="26"/>
          <w:szCs w:val="26"/>
          <w:rtl/>
        </w:rPr>
        <w:t xml:space="preserve">מחד, ב"כ המאשימה עתרה להטיל על הנאשם עונש מאסר דו ספרתי על בסיס מתחמי ענישה עבור כל עבירת סחר שבין 4 ל-12 חודשי מאסר וכן ענישה נלווית. הסניגור סבר שניתן לחרוג ממתחמי הענישה המקובלים מטעמי שיקום ולכן ביקש לאמץ את המלצת שירות המבחן. </w:t>
      </w:r>
    </w:p>
    <w:p w14:paraId="0BDF492D" w14:textId="77777777" w:rsidR="00CC4DDE" w:rsidRDefault="00CC4DDE" w:rsidP="00CC4DDE">
      <w:pPr>
        <w:spacing w:after="160" w:line="360" w:lineRule="auto"/>
        <w:jc w:val="both"/>
        <w:rPr>
          <w:rFonts w:ascii="David" w:hAnsi="David"/>
          <w:b/>
          <w:bCs/>
          <w:sz w:val="26"/>
          <w:szCs w:val="26"/>
          <w:u w:val="single"/>
          <w:rtl/>
        </w:rPr>
      </w:pPr>
    </w:p>
    <w:p w14:paraId="100703F0" w14:textId="77777777" w:rsidR="00CC4DDE" w:rsidRDefault="00CC4DDE" w:rsidP="00CC4DDE">
      <w:pPr>
        <w:spacing w:after="160" w:line="360" w:lineRule="auto"/>
        <w:jc w:val="both"/>
        <w:rPr>
          <w:rFonts w:ascii="David" w:hAnsi="David"/>
          <w:b/>
          <w:bCs/>
          <w:sz w:val="26"/>
          <w:szCs w:val="26"/>
          <w:u w:val="single"/>
          <w:rtl/>
        </w:rPr>
      </w:pPr>
      <w:r>
        <w:rPr>
          <w:rFonts w:ascii="David" w:hAnsi="David"/>
          <w:b/>
          <w:bCs/>
          <w:sz w:val="26"/>
          <w:szCs w:val="26"/>
          <w:u w:val="single"/>
          <w:rtl/>
        </w:rPr>
        <w:t xml:space="preserve">קביעת מתחם הענישה </w:t>
      </w:r>
      <w:r>
        <w:rPr>
          <w:rFonts w:ascii="David" w:hAnsi="David"/>
          <w:sz w:val="26"/>
          <w:szCs w:val="26"/>
          <w:rtl/>
        </w:rPr>
        <w:t xml:space="preserve">– מתחם הענישה צריך להתייחס לעקרון ההלימה, הנוגע ליחס לערך החברתי המוגן, מידת הפגיעה בו, מדיניות הענישה הנוהגת ונסיבות ביצוע העבירה. </w:t>
      </w:r>
    </w:p>
    <w:p w14:paraId="782ED7B0" w14:textId="77777777" w:rsidR="00CC4DDE" w:rsidRDefault="00CC4DDE" w:rsidP="00CC4DDE">
      <w:pPr>
        <w:spacing w:after="160" w:line="360" w:lineRule="auto"/>
        <w:jc w:val="both"/>
        <w:rPr>
          <w:rFonts w:ascii="David" w:hAnsi="David"/>
          <w:b/>
          <w:bCs/>
          <w:sz w:val="26"/>
          <w:szCs w:val="26"/>
          <w:u w:val="single"/>
          <w:rtl/>
        </w:rPr>
      </w:pPr>
    </w:p>
    <w:p w14:paraId="38158269" w14:textId="77777777" w:rsidR="00CC4DDE" w:rsidRDefault="00CC4DDE" w:rsidP="00CC4DDE">
      <w:pPr>
        <w:spacing w:after="160" w:line="360" w:lineRule="auto"/>
        <w:jc w:val="both"/>
        <w:rPr>
          <w:rFonts w:ascii="David" w:hAnsi="David"/>
          <w:sz w:val="26"/>
          <w:szCs w:val="26"/>
          <w:rtl/>
        </w:rPr>
      </w:pPr>
      <w:r>
        <w:rPr>
          <w:rFonts w:ascii="David" w:hAnsi="David"/>
          <w:b/>
          <w:bCs/>
          <w:sz w:val="26"/>
          <w:szCs w:val="26"/>
          <w:u w:val="single"/>
          <w:rtl/>
        </w:rPr>
        <w:t xml:space="preserve">אשר לערך המוגן </w:t>
      </w:r>
      <w:r>
        <w:rPr>
          <w:rFonts w:ascii="David" w:hAnsi="David"/>
          <w:sz w:val="26"/>
          <w:szCs w:val="26"/>
          <w:rtl/>
        </w:rPr>
        <w:t xml:space="preserve">– העבירות אותן עבר הנאשם פוגעות בערך המוגן של שמירה על שלום הציבור ובריאותו מפני נגע הסמים, שתוצאות השימוש בהם וההתמכרות אליהם קשות, ארוכות טווח ורחבות היקף וחורגות מעניינו של אדם אחד, ונוגעות לכלל החברה. הכלל ביחס לסוחרי סמים הוא לרוב, מאסר בפועל. ר' בהקשר זה: רע"פ 3343/07 </w:t>
      </w:r>
      <w:r>
        <w:rPr>
          <w:rFonts w:ascii="David" w:hAnsi="David"/>
          <w:b/>
          <w:bCs/>
          <w:sz w:val="26"/>
          <w:szCs w:val="26"/>
          <w:u w:val="single"/>
          <w:rtl/>
        </w:rPr>
        <w:t>מכאוי</w:t>
      </w:r>
      <w:r>
        <w:rPr>
          <w:rFonts w:ascii="David" w:hAnsi="David"/>
          <w:sz w:val="26"/>
          <w:szCs w:val="26"/>
          <w:rtl/>
        </w:rPr>
        <w:t xml:space="preserve"> נ' </w:t>
      </w:r>
      <w:r>
        <w:rPr>
          <w:rFonts w:ascii="David" w:hAnsi="David"/>
          <w:b/>
          <w:bCs/>
          <w:sz w:val="26"/>
          <w:szCs w:val="26"/>
          <w:u w:val="single"/>
          <w:rtl/>
        </w:rPr>
        <w:t>מ"</w:t>
      </w:r>
      <w:r>
        <w:rPr>
          <w:rFonts w:ascii="David" w:hAnsi="David"/>
          <w:sz w:val="26"/>
          <w:szCs w:val="26"/>
          <w:rtl/>
        </w:rPr>
        <w:t>י (מיום 26.7.2017). בעניינו הפגיעה בערך המוגן בינונית.</w:t>
      </w:r>
    </w:p>
    <w:p w14:paraId="2C38B935" w14:textId="77777777" w:rsidR="00CC4DDE" w:rsidRDefault="00CC4DDE" w:rsidP="00CC4DDE">
      <w:pPr>
        <w:spacing w:after="160" w:line="360" w:lineRule="auto"/>
        <w:ind w:left="680" w:right="680"/>
        <w:jc w:val="both"/>
        <w:rPr>
          <w:rFonts w:ascii="David" w:hAnsi="David"/>
          <w:sz w:val="26"/>
          <w:szCs w:val="26"/>
          <w:rtl/>
        </w:rPr>
      </w:pPr>
    </w:p>
    <w:p w14:paraId="1725EF89" w14:textId="77777777" w:rsidR="00CC4DDE" w:rsidRDefault="00CC4DDE" w:rsidP="00CC4DDE">
      <w:pPr>
        <w:spacing w:after="160" w:line="360" w:lineRule="auto"/>
        <w:jc w:val="both"/>
        <w:rPr>
          <w:rFonts w:ascii="David" w:hAnsi="David"/>
          <w:sz w:val="26"/>
          <w:szCs w:val="26"/>
          <w:rtl/>
        </w:rPr>
      </w:pPr>
      <w:r>
        <w:rPr>
          <w:rFonts w:ascii="David" w:hAnsi="David"/>
          <w:b/>
          <w:bCs/>
          <w:sz w:val="26"/>
          <w:szCs w:val="26"/>
          <w:u w:val="single"/>
          <w:rtl/>
        </w:rPr>
        <w:t xml:space="preserve">נסיבות הקשורות בביצוע העבירה, לפי </w:t>
      </w:r>
      <w:hyperlink r:id="rId15" w:history="1">
        <w:r w:rsidR="00745C25" w:rsidRPr="00745C25">
          <w:rPr>
            <w:rStyle w:val="Hyperlink"/>
            <w:rFonts w:ascii="David" w:hAnsi="David"/>
            <w:b/>
            <w:bCs/>
            <w:sz w:val="26"/>
            <w:szCs w:val="26"/>
            <w:rtl/>
          </w:rPr>
          <w:t>סעיף 40ט'</w:t>
        </w:r>
      </w:hyperlink>
      <w:r>
        <w:rPr>
          <w:rFonts w:ascii="David" w:hAnsi="David"/>
          <w:b/>
          <w:bCs/>
          <w:sz w:val="26"/>
          <w:szCs w:val="26"/>
          <w:u w:val="single"/>
          <w:rtl/>
        </w:rPr>
        <w:t xml:space="preserve"> ל</w:t>
      </w:r>
      <w:hyperlink r:id="rId16" w:history="1">
        <w:r w:rsidR="00F35837" w:rsidRPr="00F35837">
          <w:rPr>
            <w:rFonts w:ascii="David" w:hAnsi="David"/>
            <w:b/>
            <w:bCs/>
            <w:color w:val="0000FF"/>
            <w:sz w:val="26"/>
            <w:szCs w:val="26"/>
            <w:u w:val="single"/>
            <w:rtl/>
          </w:rPr>
          <w:t>חוק העונשין</w:t>
        </w:r>
      </w:hyperlink>
      <w:r>
        <w:rPr>
          <w:rFonts w:ascii="David" w:hAnsi="David"/>
          <w:b/>
          <w:bCs/>
          <w:sz w:val="26"/>
          <w:szCs w:val="26"/>
          <w:rtl/>
        </w:rPr>
        <w:t xml:space="preserve"> – </w:t>
      </w:r>
      <w:r>
        <w:rPr>
          <w:rFonts w:ascii="David" w:hAnsi="David"/>
          <w:sz w:val="26"/>
          <w:szCs w:val="26"/>
          <w:rtl/>
        </w:rPr>
        <w:t xml:space="preserve">בין הנסיבות הקשורות בביצוע העבירה יש לשקול את אלה, לעניין קביעת המתחם: מנסיבות כתב האישום עולה, כי מדובר בעבירה מתוכננת שנועדה להשגת רווח כספי קל, כאשר המכירות היו לאנשים זרים לנאשם וזאת תוך שימוש במוניתו של הנאשם (וברישיון הרכב הציבורי שיש לו) לרעה – כל אלו נסיבות מחמירות. עם זאת הנאשם לא היה היוזם ושימש כשליח ויש לכך משמעות מבחינת קביעת מתחם הענישה; הנאשם בגיר שידע היטב את הפסול שבמעשיו וצריך היה להימנע מהם; אין מדובר בכמויות גדולות של סם ומדובר בסם שאינו ברף חומרה גבוה. עם זאת, סחר בסם מכל סוג שהוא, מגונה ואסור, וזוהי גישתו של בית המשפט העליון. </w:t>
      </w:r>
    </w:p>
    <w:p w14:paraId="256326F9" w14:textId="77777777" w:rsidR="00CC4DDE" w:rsidRDefault="00CC4DDE" w:rsidP="00CC4DDE">
      <w:pPr>
        <w:spacing w:after="160" w:line="360" w:lineRule="auto"/>
        <w:jc w:val="both"/>
        <w:rPr>
          <w:rFonts w:ascii="David" w:hAnsi="David"/>
          <w:b/>
          <w:bCs/>
          <w:sz w:val="26"/>
          <w:szCs w:val="26"/>
          <w:u w:val="single"/>
          <w:rtl/>
        </w:rPr>
      </w:pPr>
    </w:p>
    <w:p w14:paraId="67DAEDE1" w14:textId="77777777" w:rsidR="00CC4DDE" w:rsidRDefault="00CC4DDE" w:rsidP="00CC4DDE">
      <w:pPr>
        <w:spacing w:after="160" w:line="360" w:lineRule="auto"/>
        <w:jc w:val="both"/>
        <w:rPr>
          <w:rFonts w:ascii="David" w:hAnsi="David"/>
          <w:sz w:val="26"/>
          <w:szCs w:val="26"/>
          <w:rtl/>
        </w:rPr>
      </w:pPr>
      <w:r>
        <w:rPr>
          <w:rFonts w:ascii="David" w:hAnsi="David"/>
          <w:b/>
          <w:bCs/>
          <w:sz w:val="26"/>
          <w:szCs w:val="26"/>
          <w:u w:val="single"/>
          <w:rtl/>
        </w:rPr>
        <w:t>מדיניות הענישה הנוהגת</w:t>
      </w:r>
      <w:r>
        <w:rPr>
          <w:rFonts w:ascii="David" w:hAnsi="David"/>
          <w:b/>
          <w:bCs/>
          <w:sz w:val="26"/>
          <w:szCs w:val="26"/>
          <w:rtl/>
        </w:rPr>
        <w:t xml:space="preserve"> – </w:t>
      </w:r>
      <w:r>
        <w:rPr>
          <w:rFonts w:ascii="David" w:hAnsi="David"/>
          <w:sz w:val="26"/>
          <w:szCs w:val="26"/>
          <w:rtl/>
        </w:rPr>
        <w:t xml:space="preserve">הכלל בעבירות סמים הוא מאסר בפועל. יחד עם זאת הפסיקה מגוונת ומנעדה רחב. </w:t>
      </w:r>
    </w:p>
    <w:p w14:paraId="54E4BF42" w14:textId="77777777" w:rsidR="00CC4DDE" w:rsidRDefault="00CC4DDE" w:rsidP="00CC4DDE">
      <w:pPr>
        <w:pStyle w:val="a9"/>
        <w:numPr>
          <w:ilvl w:val="0"/>
          <w:numId w:val="1"/>
        </w:numPr>
        <w:spacing w:after="160" w:line="360" w:lineRule="auto"/>
        <w:jc w:val="both"/>
        <w:rPr>
          <w:rFonts w:ascii="David" w:hAnsi="David"/>
          <w:sz w:val="26"/>
          <w:szCs w:val="26"/>
          <w:rtl/>
        </w:rPr>
      </w:pPr>
      <w:r>
        <w:rPr>
          <w:rFonts w:ascii="David" w:hAnsi="David"/>
          <w:sz w:val="26"/>
          <w:szCs w:val="26"/>
          <w:rtl/>
        </w:rPr>
        <w:t>ב</w:t>
      </w:r>
      <w:hyperlink r:id="rId17" w:history="1">
        <w:r w:rsidR="00F35837" w:rsidRPr="00F35837">
          <w:rPr>
            <w:rFonts w:ascii="David" w:hAnsi="David"/>
            <w:color w:val="0000FF"/>
            <w:sz w:val="26"/>
            <w:szCs w:val="26"/>
            <w:u w:val="single"/>
            <w:rtl/>
          </w:rPr>
          <w:t>רע"פ 5712/16</w:t>
        </w:r>
      </w:hyperlink>
      <w:r>
        <w:rPr>
          <w:rFonts w:ascii="David" w:hAnsi="David"/>
          <w:sz w:val="26"/>
          <w:szCs w:val="26"/>
          <w:rtl/>
        </w:rPr>
        <w:t xml:space="preserve"> </w:t>
      </w:r>
      <w:r>
        <w:rPr>
          <w:rFonts w:ascii="David" w:hAnsi="David"/>
          <w:b/>
          <w:bCs/>
          <w:sz w:val="26"/>
          <w:szCs w:val="26"/>
          <w:u w:val="single"/>
          <w:rtl/>
        </w:rPr>
        <w:t>אייזנבך</w:t>
      </w:r>
      <w:r>
        <w:rPr>
          <w:rFonts w:ascii="David" w:hAnsi="David"/>
          <w:sz w:val="26"/>
          <w:szCs w:val="26"/>
          <w:rtl/>
        </w:rPr>
        <w:t xml:space="preserve"> נ' </w:t>
      </w:r>
      <w:r>
        <w:rPr>
          <w:rFonts w:ascii="David" w:hAnsi="David"/>
          <w:b/>
          <w:bCs/>
          <w:sz w:val="26"/>
          <w:szCs w:val="26"/>
          <w:u w:val="single"/>
          <w:rtl/>
        </w:rPr>
        <w:t>מ"י</w:t>
      </w:r>
      <w:r>
        <w:rPr>
          <w:rFonts w:ascii="David" w:hAnsi="David"/>
          <w:sz w:val="26"/>
          <w:szCs w:val="26"/>
          <w:rtl/>
        </w:rPr>
        <w:t xml:space="preserve"> (מיום 17.8.2016) אושר מתחם ענישה שבין 8 ל-24 חודשי מאסר ונגזרו 8 חודשי מאסר בנסיבות של שלושה מקרי סחר אך בתמורה לסכומים גבוהים יותר. </w:t>
      </w:r>
    </w:p>
    <w:p w14:paraId="668A1DBE" w14:textId="77777777" w:rsidR="00CC4DDE" w:rsidRDefault="00CC4DDE" w:rsidP="00CC4DDE">
      <w:pPr>
        <w:pStyle w:val="a9"/>
        <w:numPr>
          <w:ilvl w:val="0"/>
          <w:numId w:val="1"/>
        </w:numPr>
        <w:spacing w:after="160" w:line="360" w:lineRule="auto"/>
        <w:jc w:val="both"/>
        <w:rPr>
          <w:rFonts w:ascii="David" w:hAnsi="David"/>
          <w:sz w:val="26"/>
          <w:szCs w:val="26"/>
        </w:rPr>
      </w:pPr>
      <w:r>
        <w:rPr>
          <w:rFonts w:ascii="David" w:hAnsi="David"/>
          <w:sz w:val="26"/>
          <w:szCs w:val="26"/>
          <w:rtl/>
        </w:rPr>
        <w:t xml:space="preserve">מנגד, ברע"פ </w:t>
      </w:r>
      <w:hyperlink r:id="rId18" w:history="1">
        <w:r w:rsidR="00093283" w:rsidRPr="00093283">
          <w:rPr>
            <w:rFonts w:ascii="David" w:hAnsi="David"/>
            <w:color w:val="0000FF"/>
            <w:sz w:val="26"/>
            <w:szCs w:val="26"/>
            <w:u w:val="single"/>
            <w:rtl/>
          </w:rPr>
          <w:t xml:space="preserve">6161/16 </w:t>
        </w:r>
      </w:hyperlink>
      <w:r>
        <w:rPr>
          <w:rFonts w:ascii="David" w:hAnsi="David"/>
          <w:sz w:val="26"/>
          <w:szCs w:val="26"/>
          <w:rtl/>
        </w:rPr>
        <w:t xml:space="preserve"> </w:t>
      </w:r>
      <w:r>
        <w:rPr>
          <w:rFonts w:ascii="David" w:hAnsi="David"/>
          <w:b/>
          <w:bCs/>
          <w:sz w:val="26"/>
          <w:szCs w:val="26"/>
          <w:u w:val="single"/>
          <w:rtl/>
        </w:rPr>
        <w:t>יזרעאלוב</w:t>
      </w:r>
      <w:r>
        <w:rPr>
          <w:rFonts w:ascii="David" w:hAnsi="David"/>
          <w:sz w:val="26"/>
          <w:szCs w:val="26"/>
          <w:rtl/>
        </w:rPr>
        <w:t xml:space="preserve"> נ' </w:t>
      </w:r>
      <w:r>
        <w:rPr>
          <w:rFonts w:ascii="David" w:hAnsi="David"/>
          <w:b/>
          <w:bCs/>
          <w:sz w:val="26"/>
          <w:szCs w:val="26"/>
          <w:u w:val="single"/>
          <w:rtl/>
        </w:rPr>
        <w:t>מ"י</w:t>
      </w:r>
      <w:r>
        <w:rPr>
          <w:rFonts w:ascii="David" w:hAnsi="David"/>
          <w:sz w:val="26"/>
          <w:szCs w:val="26"/>
          <w:rtl/>
        </w:rPr>
        <w:t xml:space="preserve"> (מיום 20.2.2017) נקבע מתחם בין 8 ל-20 חודשי מאסר בנסיבות של סחר בנייס גאי במספר מקרים. בשל תהליך שיקום חרג בית המשפט מן המתחם והטיל 6 חודשי מאסר לריצוי בעבירות שירות. שני המקרים חמורים ממקרנו. </w:t>
      </w:r>
    </w:p>
    <w:p w14:paraId="5BA3E8E6" w14:textId="77777777" w:rsidR="00CC4DDE" w:rsidRDefault="00CC4DDE" w:rsidP="00CC4DDE">
      <w:pPr>
        <w:pStyle w:val="a9"/>
        <w:numPr>
          <w:ilvl w:val="0"/>
          <w:numId w:val="1"/>
        </w:numPr>
        <w:spacing w:after="160" w:line="360" w:lineRule="auto"/>
        <w:jc w:val="both"/>
        <w:rPr>
          <w:rFonts w:ascii="David" w:hAnsi="David"/>
          <w:sz w:val="26"/>
          <w:szCs w:val="26"/>
        </w:rPr>
      </w:pPr>
      <w:r>
        <w:rPr>
          <w:rFonts w:ascii="David" w:hAnsi="David"/>
          <w:sz w:val="26"/>
          <w:szCs w:val="26"/>
          <w:rtl/>
        </w:rPr>
        <w:t>ב</w:t>
      </w:r>
      <w:hyperlink r:id="rId19" w:history="1">
        <w:r w:rsidR="00F35837" w:rsidRPr="00F35837">
          <w:rPr>
            <w:rFonts w:ascii="David" w:hAnsi="David"/>
            <w:color w:val="0000FF"/>
            <w:sz w:val="26"/>
            <w:szCs w:val="26"/>
            <w:u w:val="single"/>
            <w:rtl/>
          </w:rPr>
          <w:t>עפ"ג (חיפה) 53142-12-16</w:t>
        </w:r>
      </w:hyperlink>
      <w:r>
        <w:rPr>
          <w:rFonts w:ascii="David" w:hAnsi="David"/>
          <w:sz w:val="26"/>
          <w:szCs w:val="26"/>
          <w:rtl/>
        </w:rPr>
        <w:t xml:space="preserve"> </w:t>
      </w:r>
      <w:r>
        <w:rPr>
          <w:rFonts w:ascii="David" w:hAnsi="David"/>
          <w:b/>
          <w:bCs/>
          <w:sz w:val="26"/>
          <w:szCs w:val="26"/>
          <w:u w:val="single"/>
          <w:rtl/>
        </w:rPr>
        <w:t>רחימוב</w:t>
      </w:r>
      <w:r>
        <w:rPr>
          <w:rFonts w:ascii="David" w:hAnsi="David"/>
          <w:sz w:val="26"/>
          <w:szCs w:val="26"/>
          <w:rtl/>
        </w:rPr>
        <w:t xml:space="preserve"> נ' </w:t>
      </w:r>
      <w:r>
        <w:rPr>
          <w:rFonts w:ascii="David" w:hAnsi="David"/>
          <w:b/>
          <w:bCs/>
          <w:sz w:val="26"/>
          <w:szCs w:val="26"/>
          <w:u w:val="single"/>
          <w:rtl/>
        </w:rPr>
        <w:t>מ"י</w:t>
      </w:r>
      <w:r>
        <w:rPr>
          <w:rFonts w:ascii="David" w:hAnsi="David"/>
          <w:sz w:val="26"/>
          <w:szCs w:val="26"/>
          <w:rtl/>
        </w:rPr>
        <w:t xml:space="preserve"> (מיום 17.5.2017) נגזרו 6 חודשי עבודות שירות תוך חריגה ממתחם הענישה שבין 13 ל-30 חודשי מאסר, בנסיבות של מכירת 15 גרם קוקאין וחשיש, לנוכח תהליך שיקומי. </w:t>
      </w:r>
    </w:p>
    <w:p w14:paraId="3A2AA874" w14:textId="77777777" w:rsidR="00CC4DDE" w:rsidRDefault="00CC4DDE" w:rsidP="00CC4DDE">
      <w:pPr>
        <w:spacing w:after="160" w:line="360" w:lineRule="auto"/>
        <w:jc w:val="both"/>
        <w:rPr>
          <w:rFonts w:ascii="David" w:hAnsi="David"/>
          <w:b/>
          <w:bCs/>
          <w:sz w:val="26"/>
          <w:szCs w:val="26"/>
          <w:u w:val="single"/>
          <w:rtl/>
        </w:rPr>
      </w:pPr>
    </w:p>
    <w:p w14:paraId="118D4F5F" w14:textId="77777777" w:rsidR="00CC4DDE" w:rsidRDefault="00CC4DDE" w:rsidP="00CC4DDE">
      <w:pPr>
        <w:spacing w:after="160" w:line="360" w:lineRule="auto"/>
        <w:jc w:val="both"/>
        <w:rPr>
          <w:rFonts w:ascii="David" w:hAnsi="David"/>
          <w:sz w:val="26"/>
          <w:szCs w:val="26"/>
          <w:rtl/>
        </w:rPr>
      </w:pPr>
      <w:r>
        <w:rPr>
          <w:rFonts w:ascii="David" w:hAnsi="David"/>
          <w:b/>
          <w:bCs/>
          <w:sz w:val="26"/>
          <w:szCs w:val="26"/>
          <w:u w:val="single"/>
          <w:rtl/>
        </w:rPr>
        <w:t>מתחם הענישה</w:t>
      </w:r>
      <w:r>
        <w:rPr>
          <w:rFonts w:ascii="David" w:hAnsi="David"/>
          <w:sz w:val="26"/>
          <w:szCs w:val="26"/>
          <w:rtl/>
        </w:rPr>
        <w:t xml:space="preserve"> – על-פי מבחן "הקשר ההדוק" שנסקר ב</w:t>
      </w:r>
      <w:hyperlink r:id="rId20" w:history="1">
        <w:r w:rsidR="00F35837" w:rsidRPr="00F35837">
          <w:rPr>
            <w:rFonts w:ascii="David" w:hAnsi="David"/>
            <w:color w:val="0000FF"/>
            <w:sz w:val="26"/>
            <w:szCs w:val="26"/>
            <w:u w:val="single"/>
            <w:rtl/>
          </w:rPr>
          <w:t>ע"פ 4910/13</w:t>
        </w:r>
      </w:hyperlink>
      <w:r>
        <w:rPr>
          <w:rFonts w:ascii="David" w:hAnsi="David"/>
          <w:sz w:val="26"/>
          <w:szCs w:val="26"/>
          <w:rtl/>
        </w:rPr>
        <w:t xml:space="preserve"> </w:t>
      </w:r>
      <w:r>
        <w:rPr>
          <w:rFonts w:ascii="David" w:hAnsi="David"/>
          <w:b/>
          <w:bCs/>
          <w:sz w:val="26"/>
          <w:szCs w:val="26"/>
          <w:u w:val="single"/>
          <w:rtl/>
        </w:rPr>
        <w:t xml:space="preserve">בני ג'אבר </w:t>
      </w:r>
      <w:r>
        <w:rPr>
          <w:rFonts w:ascii="David" w:hAnsi="David"/>
          <w:sz w:val="26"/>
          <w:szCs w:val="26"/>
          <w:rtl/>
        </w:rPr>
        <w:t xml:space="preserve"> נ' </w:t>
      </w:r>
      <w:r>
        <w:rPr>
          <w:rFonts w:ascii="David" w:hAnsi="David"/>
          <w:b/>
          <w:bCs/>
          <w:sz w:val="26"/>
          <w:szCs w:val="26"/>
          <w:u w:val="single"/>
          <w:rtl/>
        </w:rPr>
        <w:t>מ"י</w:t>
      </w:r>
      <w:r>
        <w:rPr>
          <w:rFonts w:ascii="David" w:hAnsi="David"/>
          <w:sz w:val="26"/>
          <w:szCs w:val="26"/>
          <w:rtl/>
        </w:rPr>
        <w:t xml:space="preserve"> (מיום 29.10.2014) – כאשר סמיכות הזמנים בין עסקה לעסקה, סוגי הסם והכמויות – הנסיבות מחייבות קביעת מתחם אחד למכלול המעשים, והתייחסות אליהן כאל אירוע אחד. אשר למתחם, לנוכח מכלול הנסיבות וגזירה לקולא מהמקרים שהצגתי לעיל, קובע מתחם שבין 4 ל-15 חודשי מאסר לרבות אפשרות ריצוי המאסר בעבודות שירות. </w:t>
      </w:r>
    </w:p>
    <w:p w14:paraId="752AB232" w14:textId="77777777" w:rsidR="00CC4DDE" w:rsidRDefault="00CC4DDE" w:rsidP="00CC4DDE">
      <w:pPr>
        <w:spacing w:after="160" w:line="360" w:lineRule="auto"/>
        <w:jc w:val="both"/>
        <w:rPr>
          <w:rFonts w:ascii="David" w:hAnsi="David"/>
          <w:b/>
          <w:bCs/>
          <w:sz w:val="26"/>
          <w:szCs w:val="26"/>
          <w:rtl/>
        </w:rPr>
      </w:pPr>
    </w:p>
    <w:p w14:paraId="02031B55" w14:textId="77777777" w:rsidR="00CC4DDE" w:rsidRDefault="00CC4DDE" w:rsidP="00CC4DDE">
      <w:pPr>
        <w:spacing w:after="160" w:line="360" w:lineRule="auto"/>
        <w:jc w:val="both"/>
        <w:rPr>
          <w:rFonts w:ascii="David" w:hAnsi="David"/>
          <w:sz w:val="26"/>
          <w:szCs w:val="26"/>
          <w:rtl/>
        </w:rPr>
      </w:pPr>
      <w:r>
        <w:rPr>
          <w:rFonts w:ascii="David" w:hAnsi="David"/>
          <w:b/>
          <w:bCs/>
          <w:sz w:val="26"/>
          <w:szCs w:val="26"/>
          <w:u w:val="single"/>
          <w:rtl/>
        </w:rPr>
        <w:t xml:space="preserve">נסיבות שאינן קשורות בביצוע העבירה לפי </w:t>
      </w:r>
      <w:hyperlink r:id="rId21" w:history="1">
        <w:r w:rsidR="00745C25" w:rsidRPr="00745C25">
          <w:rPr>
            <w:rStyle w:val="Hyperlink"/>
            <w:rFonts w:ascii="David" w:hAnsi="David"/>
            <w:b/>
            <w:bCs/>
            <w:sz w:val="26"/>
            <w:szCs w:val="26"/>
            <w:rtl/>
          </w:rPr>
          <w:t>סעיף 40י"א</w:t>
        </w:r>
      </w:hyperlink>
      <w:r>
        <w:rPr>
          <w:rFonts w:ascii="David" w:hAnsi="David"/>
          <w:b/>
          <w:bCs/>
          <w:sz w:val="26"/>
          <w:szCs w:val="26"/>
          <w:u w:val="single"/>
          <w:rtl/>
        </w:rPr>
        <w:t xml:space="preserve"> ל</w:t>
      </w:r>
      <w:hyperlink r:id="rId22" w:history="1">
        <w:r w:rsidR="00F35837" w:rsidRPr="00F35837">
          <w:rPr>
            <w:rFonts w:ascii="David" w:hAnsi="David"/>
            <w:b/>
            <w:bCs/>
            <w:color w:val="0000FF"/>
            <w:sz w:val="26"/>
            <w:szCs w:val="26"/>
            <w:u w:val="single"/>
            <w:rtl/>
          </w:rPr>
          <w:t>חוק העונשין</w:t>
        </w:r>
      </w:hyperlink>
      <w:r>
        <w:rPr>
          <w:rFonts w:ascii="David" w:hAnsi="David"/>
          <w:b/>
          <w:bCs/>
          <w:sz w:val="26"/>
          <w:szCs w:val="26"/>
          <w:rtl/>
        </w:rPr>
        <w:t xml:space="preserve"> – </w:t>
      </w:r>
      <w:r>
        <w:rPr>
          <w:rFonts w:ascii="David" w:hAnsi="David"/>
          <w:sz w:val="26"/>
          <w:szCs w:val="26"/>
          <w:rtl/>
        </w:rPr>
        <w:t xml:space="preserve">ניתן  לתת משקל לנסיבות הבאות שאינן קשורות בביצוע העבירה, במסגרת גזירת העונש בתוך המתחם: לנאשם הרשעה אחת בעבירות שלא בתחום הסמים והוא מעולם לא ריצה עונש מאסר; הנאשם מפרנס את משפחתו, זאת כאשר תקופה ארוכה נותר ללא עבודה ורק לאחרונה השתלב בחזרה בשוק העבודה, ולכן שליחתו למאסר ממש תפגע ביכולתו זו ובעקיפין תפגע במשפחתו; הנאשם היה עצור בפועל בתיק זה כחודש, ובהמשך היה נתון במעצר בפיקוח אלקטרוני ולאחר מכן בתנאים מגבילים של מעצר בית, שהוקלו לנוכח שיתוף הפעולה של הנאשם במסגרת צו פיקוח המעצרים; הנאשם קיבל אחריות מלאה למעשיו, לא פתח תיקים חדשים ולא הפר תנאים לאורך תקופה ארוכה. </w:t>
      </w:r>
    </w:p>
    <w:p w14:paraId="4C3C4666" w14:textId="77777777" w:rsidR="00CC4DDE" w:rsidRDefault="00CC4DDE" w:rsidP="00CC4DDE">
      <w:pPr>
        <w:spacing w:after="160" w:line="360" w:lineRule="auto"/>
        <w:jc w:val="both"/>
        <w:rPr>
          <w:rFonts w:ascii="David" w:hAnsi="David"/>
          <w:b/>
          <w:bCs/>
          <w:sz w:val="26"/>
          <w:szCs w:val="26"/>
          <w:u w:val="single"/>
          <w:rtl/>
        </w:rPr>
      </w:pPr>
    </w:p>
    <w:p w14:paraId="3F658B94" w14:textId="77777777" w:rsidR="00CC4DDE" w:rsidRDefault="00CC4DDE" w:rsidP="00CC4DDE">
      <w:pPr>
        <w:spacing w:after="160" w:line="360" w:lineRule="auto"/>
        <w:jc w:val="both"/>
        <w:rPr>
          <w:rFonts w:ascii="David" w:hAnsi="David"/>
          <w:sz w:val="26"/>
          <w:szCs w:val="26"/>
          <w:rtl/>
        </w:rPr>
      </w:pPr>
      <w:r>
        <w:rPr>
          <w:rFonts w:ascii="David" w:hAnsi="David"/>
          <w:b/>
          <w:bCs/>
          <w:sz w:val="26"/>
          <w:szCs w:val="26"/>
          <w:u w:val="single"/>
          <w:rtl/>
        </w:rPr>
        <w:t>המיקום במתחם</w:t>
      </w:r>
      <w:r>
        <w:rPr>
          <w:rFonts w:ascii="David" w:hAnsi="David"/>
          <w:sz w:val="26"/>
          <w:szCs w:val="26"/>
          <w:rtl/>
        </w:rPr>
        <w:t xml:space="preserve"> – במכלול הנסיבות, יש למקם את הנאשם בשליש הראשון של המתחם, אך לא סברתי כי מתקיימות בענייננו הנסיבות המאפשרות חריגה מן המתחם בהיעדר הוכחה לתהליך שיקומי מובהק. אני סבור כי עונש מאסר בעבודות שירות מתאים והולם בנסיבות העניין. </w:t>
      </w:r>
    </w:p>
    <w:p w14:paraId="35A8730D" w14:textId="77777777" w:rsidR="00CC4DDE" w:rsidRDefault="00CC4DDE" w:rsidP="00CC4DDE">
      <w:pPr>
        <w:spacing w:after="160" w:line="360" w:lineRule="auto"/>
        <w:jc w:val="both"/>
        <w:rPr>
          <w:rFonts w:ascii="David" w:hAnsi="David"/>
          <w:b/>
          <w:bCs/>
          <w:sz w:val="26"/>
          <w:szCs w:val="26"/>
          <w:u w:val="single"/>
          <w:rtl/>
        </w:rPr>
      </w:pPr>
    </w:p>
    <w:p w14:paraId="1A527BBD" w14:textId="77777777" w:rsidR="00CC4DDE" w:rsidRDefault="00CC4DDE" w:rsidP="00CC4DDE">
      <w:pPr>
        <w:spacing w:after="160" w:line="360" w:lineRule="auto"/>
        <w:jc w:val="both"/>
        <w:rPr>
          <w:rFonts w:ascii="David" w:hAnsi="David"/>
          <w:sz w:val="26"/>
          <w:szCs w:val="26"/>
        </w:rPr>
      </w:pPr>
      <w:r>
        <w:rPr>
          <w:rFonts w:ascii="David" w:hAnsi="David"/>
          <w:b/>
          <w:bCs/>
          <w:sz w:val="26"/>
          <w:szCs w:val="26"/>
          <w:u w:val="single"/>
          <w:rtl/>
        </w:rPr>
        <w:t>גזירת הדין</w:t>
      </w:r>
    </w:p>
    <w:p w14:paraId="6961B61C" w14:textId="77777777" w:rsidR="00CC4DDE" w:rsidRDefault="00CC4DDE" w:rsidP="00CC4DDE">
      <w:pPr>
        <w:spacing w:after="160" w:line="360" w:lineRule="auto"/>
        <w:jc w:val="both"/>
        <w:rPr>
          <w:rFonts w:ascii="David" w:hAnsi="David"/>
          <w:sz w:val="26"/>
          <w:szCs w:val="26"/>
          <w:rtl/>
        </w:rPr>
      </w:pPr>
      <w:r>
        <w:rPr>
          <w:rFonts w:ascii="David" w:hAnsi="David"/>
          <w:sz w:val="26"/>
          <w:szCs w:val="26"/>
          <w:rtl/>
        </w:rPr>
        <w:t>לפיכך, אני מחליט לגזור על הנאשם את העונשים הבאים:</w:t>
      </w:r>
    </w:p>
    <w:p w14:paraId="64942FB4" w14:textId="77777777" w:rsidR="00CC4DDE" w:rsidRDefault="00CC4DDE" w:rsidP="00CC4DDE">
      <w:pPr>
        <w:numPr>
          <w:ilvl w:val="0"/>
          <w:numId w:val="2"/>
        </w:numPr>
        <w:spacing w:after="160" w:line="360" w:lineRule="auto"/>
        <w:contextualSpacing/>
        <w:jc w:val="both"/>
        <w:rPr>
          <w:rFonts w:ascii="David" w:hAnsi="David"/>
          <w:sz w:val="26"/>
          <w:szCs w:val="26"/>
          <w:rtl/>
        </w:rPr>
      </w:pPr>
      <w:r>
        <w:rPr>
          <w:rFonts w:ascii="David" w:hAnsi="David"/>
          <w:sz w:val="26"/>
          <w:szCs w:val="26"/>
          <w:rtl/>
        </w:rPr>
        <w:t>6  חודשי מאסר לריצוי בעבודות שירות. העבודות יבוצעו במפעל חיים ולא יחלו לפני 23.10.2022 מועד בו על הנאשם להתייצב במשרדי הממונה בבאר שבע עד לשעה 08:00. ככל שהנאשם לא יבצע את העבודות כראוי, ניתן יהיה להמירן במאסר בפועל. יש לנכות מתקופה זו את ימי מעצרו של הנאשם ע"פ חישוב שב"ס שיכריע. בתקופה שקבעתי, לקחתי בחשבון גם את תקופת מעצרו של הנאשם בפיקוח אלקטרוני;</w:t>
      </w:r>
    </w:p>
    <w:p w14:paraId="23F6FCEF" w14:textId="77777777" w:rsidR="00CC4DDE" w:rsidRDefault="00CC4DDE" w:rsidP="00CC4DDE">
      <w:pPr>
        <w:numPr>
          <w:ilvl w:val="0"/>
          <w:numId w:val="2"/>
        </w:numPr>
        <w:spacing w:after="160" w:line="360" w:lineRule="auto"/>
        <w:contextualSpacing/>
        <w:jc w:val="both"/>
        <w:rPr>
          <w:rFonts w:ascii="David" w:hAnsi="David"/>
          <w:sz w:val="26"/>
          <w:szCs w:val="26"/>
          <w:rtl/>
        </w:rPr>
      </w:pPr>
      <w:r>
        <w:rPr>
          <w:rFonts w:ascii="David" w:hAnsi="David"/>
          <w:sz w:val="26"/>
          <w:szCs w:val="26"/>
          <w:rtl/>
        </w:rPr>
        <w:t xml:space="preserve">6 חודשי מאסר, שלא ירוצו אלא אם יעבור הנאשם כל עבירת פשע לפי </w:t>
      </w:r>
      <w:hyperlink r:id="rId23" w:history="1">
        <w:r w:rsidR="00F35837" w:rsidRPr="00F35837">
          <w:rPr>
            <w:rFonts w:ascii="David" w:hAnsi="David"/>
            <w:color w:val="0000FF"/>
            <w:sz w:val="26"/>
            <w:szCs w:val="26"/>
            <w:u w:val="single"/>
            <w:rtl/>
          </w:rPr>
          <w:t>פקודת הסמים המסוכנים</w:t>
        </w:r>
      </w:hyperlink>
      <w:r>
        <w:rPr>
          <w:rFonts w:ascii="David" w:hAnsi="David"/>
          <w:sz w:val="26"/>
          <w:szCs w:val="26"/>
          <w:rtl/>
        </w:rPr>
        <w:t xml:space="preserve"> בתוך שנתיים מסיום עבודות השירות למעט שימוש עצמי והחזקת כלים לשימוש עצמי;</w:t>
      </w:r>
    </w:p>
    <w:p w14:paraId="55522FEB" w14:textId="77777777" w:rsidR="00CC4DDE" w:rsidRDefault="00CC4DDE" w:rsidP="00CC4DDE">
      <w:pPr>
        <w:numPr>
          <w:ilvl w:val="0"/>
          <w:numId w:val="2"/>
        </w:numPr>
        <w:spacing w:after="160" w:line="360" w:lineRule="auto"/>
        <w:contextualSpacing/>
        <w:jc w:val="both"/>
        <w:rPr>
          <w:rFonts w:ascii="David" w:hAnsi="David"/>
          <w:sz w:val="26"/>
          <w:szCs w:val="26"/>
        </w:rPr>
      </w:pPr>
      <w:r>
        <w:rPr>
          <w:rFonts w:ascii="David" w:hAnsi="David"/>
          <w:sz w:val="26"/>
          <w:szCs w:val="26"/>
          <w:rtl/>
        </w:rPr>
        <w:t xml:space="preserve">3 חודשי מאסר, שלא ירוצו אלא אם יעבור הנאשם כל עבירת עוון לפי </w:t>
      </w:r>
      <w:hyperlink r:id="rId24" w:history="1">
        <w:r w:rsidR="00F35837" w:rsidRPr="00F35837">
          <w:rPr>
            <w:rFonts w:ascii="David" w:hAnsi="David"/>
            <w:color w:val="0000FF"/>
            <w:sz w:val="26"/>
            <w:szCs w:val="26"/>
            <w:u w:val="single"/>
            <w:rtl/>
          </w:rPr>
          <w:t>פקודת הסמים המסוכנים</w:t>
        </w:r>
      </w:hyperlink>
      <w:r>
        <w:rPr>
          <w:rFonts w:ascii="David" w:hAnsi="David"/>
          <w:sz w:val="26"/>
          <w:szCs w:val="26"/>
          <w:rtl/>
        </w:rPr>
        <w:t xml:space="preserve"> בתוך שנתיים מסיום עבודות השירות;</w:t>
      </w:r>
    </w:p>
    <w:p w14:paraId="4D053512" w14:textId="77777777" w:rsidR="00CC4DDE" w:rsidRDefault="00CC4DDE" w:rsidP="00CC4DDE">
      <w:pPr>
        <w:numPr>
          <w:ilvl w:val="0"/>
          <w:numId w:val="2"/>
        </w:numPr>
        <w:spacing w:after="160" w:line="360" w:lineRule="auto"/>
        <w:contextualSpacing/>
        <w:jc w:val="both"/>
        <w:rPr>
          <w:rFonts w:ascii="David" w:hAnsi="David"/>
          <w:sz w:val="26"/>
          <w:szCs w:val="26"/>
        </w:rPr>
      </w:pPr>
      <w:r>
        <w:rPr>
          <w:rFonts w:ascii="David" w:hAnsi="David"/>
          <w:sz w:val="26"/>
          <w:szCs w:val="26"/>
          <w:rtl/>
        </w:rPr>
        <w:t>12 חודשי פסילה מלקבל או מלהחזיק ברישיון נהיגה וזאת על-תנאי למשך 3 שנים מסיום עבודות השירות, שלא יבצע הנאשם כל עבירת פשע לפי פקודת הסמים;</w:t>
      </w:r>
    </w:p>
    <w:p w14:paraId="5BD1C030" w14:textId="77777777" w:rsidR="00CC4DDE" w:rsidRDefault="00CC4DDE" w:rsidP="00CC4DDE">
      <w:pPr>
        <w:numPr>
          <w:ilvl w:val="0"/>
          <w:numId w:val="2"/>
        </w:numPr>
        <w:spacing w:after="160" w:line="360" w:lineRule="auto"/>
        <w:contextualSpacing/>
        <w:jc w:val="both"/>
        <w:rPr>
          <w:rFonts w:ascii="David" w:hAnsi="David"/>
          <w:sz w:val="26"/>
          <w:szCs w:val="26"/>
        </w:rPr>
      </w:pPr>
      <w:r>
        <w:rPr>
          <w:rFonts w:ascii="David" w:hAnsi="David"/>
          <w:sz w:val="26"/>
          <w:szCs w:val="26"/>
          <w:rtl/>
        </w:rPr>
        <w:t xml:space="preserve">5,000 ₪ קנס או שבועיים מאסר תמורתו אם לא ישולם. הקנס יקוזז מההפקדה שבתיק המעצר, וככל שתיוותר יתרת חובה, היא תשולם ב-5 תשלומים שווים ורצופים החל מיום 1.10.2022 ובכל 1 לחודש ועוקב. אי תשלום מי מהתשלומים במועד יביא להעמדת הקנס לפירעון מלא ומיידי. ניתן לקזז על אף כל הודעת עיקול; </w:t>
      </w:r>
    </w:p>
    <w:p w14:paraId="18C6EAAD" w14:textId="77777777" w:rsidR="00CC4DDE" w:rsidRDefault="00CC4DDE" w:rsidP="00CC4DDE">
      <w:pPr>
        <w:numPr>
          <w:ilvl w:val="0"/>
          <w:numId w:val="2"/>
        </w:numPr>
        <w:spacing w:after="160" w:line="360" w:lineRule="auto"/>
        <w:contextualSpacing/>
        <w:jc w:val="both"/>
        <w:rPr>
          <w:rFonts w:ascii="David" w:hAnsi="David"/>
          <w:sz w:val="26"/>
          <w:szCs w:val="26"/>
        </w:rPr>
      </w:pPr>
      <w:r>
        <w:rPr>
          <w:rFonts w:ascii="David" w:hAnsi="David"/>
          <w:sz w:val="26"/>
          <w:szCs w:val="26"/>
          <w:rtl/>
        </w:rPr>
        <w:t>התחייבות בסך 5,000  ₪ שלא לעבור כל עבירת סמים במשך שנתיים מהיום. הובהר לנאשם שמשמעות ההתחייבות היא, כי אם יעבור את העבירה בתוך התקופה שצוינה, בית המשפט שיגזור את הדין יהא חייב לחלט את ההתחייבות כקנס;</w:t>
      </w:r>
    </w:p>
    <w:p w14:paraId="22259E48" w14:textId="77777777" w:rsidR="00CC4DDE" w:rsidRDefault="00CC4DDE" w:rsidP="00CC4DDE">
      <w:pPr>
        <w:numPr>
          <w:ilvl w:val="0"/>
          <w:numId w:val="2"/>
        </w:numPr>
        <w:spacing w:after="160" w:line="360" w:lineRule="auto"/>
        <w:contextualSpacing/>
        <w:jc w:val="both"/>
        <w:rPr>
          <w:rFonts w:ascii="David" w:hAnsi="David"/>
          <w:sz w:val="26"/>
          <w:szCs w:val="26"/>
        </w:rPr>
      </w:pPr>
      <w:r>
        <w:rPr>
          <w:rFonts w:ascii="David" w:hAnsi="David"/>
          <w:sz w:val="26"/>
          <w:szCs w:val="26"/>
          <w:rtl/>
        </w:rPr>
        <w:t>צו מבחן למשך 12 חודשים מהיום. ככל שהנאשם לא ישתף פעולה עם שירות המבחן ניתן יהיה לפתוח מחדש את שאלת העונש ולהטיל עליו כל עונש חלופי לרבות מאסר.</w:t>
      </w:r>
    </w:p>
    <w:p w14:paraId="1835E2CF" w14:textId="77777777" w:rsidR="00CC4DDE" w:rsidRDefault="00CC4DDE" w:rsidP="00CC4DDE">
      <w:pPr>
        <w:spacing w:after="160" w:line="360" w:lineRule="auto"/>
        <w:contextualSpacing/>
        <w:jc w:val="both"/>
        <w:rPr>
          <w:rFonts w:ascii="David" w:hAnsi="David"/>
          <w:sz w:val="26"/>
          <w:szCs w:val="26"/>
        </w:rPr>
      </w:pPr>
    </w:p>
    <w:p w14:paraId="664AF0F2" w14:textId="77777777" w:rsidR="00CC4DDE" w:rsidRDefault="00CC4DDE" w:rsidP="00CC4DDE">
      <w:pPr>
        <w:spacing w:after="160" w:line="360" w:lineRule="auto"/>
        <w:contextualSpacing/>
        <w:jc w:val="both"/>
        <w:rPr>
          <w:rFonts w:ascii="David" w:hAnsi="David"/>
          <w:sz w:val="26"/>
          <w:szCs w:val="26"/>
          <w:rtl/>
        </w:rPr>
      </w:pPr>
      <w:r>
        <w:rPr>
          <w:rFonts w:ascii="David" w:hAnsi="David"/>
          <w:sz w:val="26"/>
          <w:szCs w:val="26"/>
          <w:rtl/>
        </w:rPr>
        <w:t xml:space="preserve">מכריז על הנאשם סוחר סמים, ומורה על חילוט הכספים שנתפסו. מורה על השמדת הסמים והמוצגים. הרכב לא נתפס ולכן אינו רלבנטי. </w:t>
      </w:r>
    </w:p>
    <w:p w14:paraId="640A5445" w14:textId="77777777" w:rsidR="00CC4DDE" w:rsidRDefault="00CC4DDE" w:rsidP="00CC4DDE">
      <w:pPr>
        <w:spacing w:after="160" w:line="360" w:lineRule="auto"/>
        <w:contextualSpacing/>
        <w:jc w:val="both"/>
        <w:rPr>
          <w:rFonts w:ascii="David" w:hAnsi="David"/>
          <w:sz w:val="26"/>
          <w:szCs w:val="26"/>
        </w:rPr>
      </w:pPr>
    </w:p>
    <w:p w14:paraId="7B4FCB88" w14:textId="77777777" w:rsidR="00CC4DDE" w:rsidRDefault="00CC4DDE" w:rsidP="00CC4DDE">
      <w:pPr>
        <w:spacing w:after="160" w:line="360" w:lineRule="auto"/>
        <w:contextualSpacing/>
        <w:jc w:val="both"/>
        <w:rPr>
          <w:rFonts w:ascii="David" w:hAnsi="David"/>
          <w:sz w:val="26"/>
          <w:szCs w:val="26"/>
          <w:rtl/>
        </w:rPr>
      </w:pPr>
      <w:r>
        <w:rPr>
          <w:rFonts w:ascii="David" w:hAnsi="David"/>
          <w:sz w:val="26"/>
          <w:szCs w:val="26"/>
          <w:rtl/>
        </w:rPr>
        <w:t>יש לשלוח לממונה על עבודות שירות ולשירות המבחן.</w:t>
      </w:r>
    </w:p>
    <w:p w14:paraId="3F4012E6" w14:textId="77777777" w:rsidR="00CC4DDE" w:rsidRDefault="00CC4DDE" w:rsidP="00CC4DDE">
      <w:pPr>
        <w:spacing w:line="360" w:lineRule="auto"/>
        <w:rPr>
          <w:rFonts w:ascii="David" w:hAnsi="David"/>
          <w:sz w:val="26"/>
          <w:szCs w:val="26"/>
          <w:rtl/>
        </w:rPr>
      </w:pPr>
    </w:p>
    <w:p w14:paraId="1821CA03" w14:textId="77777777" w:rsidR="00CC4DDE" w:rsidRDefault="00CC4DDE" w:rsidP="00CC4DDE">
      <w:pPr>
        <w:spacing w:line="360" w:lineRule="auto"/>
        <w:rPr>
          <w:rFonts w:ascii="David" w:hAnsi="David"/>
          <w:sz w:val="26"/>
          <w:szCs w:val="26"/>
        </w:rPr>
      </w:pPr>
      <w:r>
        <w:rPr>
          <w:rFonts w:ascii="David" w:hAnsi="David"/>
          <w:sz w:val="26"/>
          <w:szCs w:val="26"/>
          <w:rtl/>
        </w:rPr>
        <w:t>הסמים יושמדו.</w:t>
      </w:r>
    </w:p>
    <w:p w14:paraId="634FA15D" w14:textId="77777777" w:rsidR="00CC4DDE" w:rsidRDefault="00CC4DDE" w:rsidP="00CC4DDE">
      <w:pPr>
        <w:spacing w:line="360" w:lineRule="auto"/>
        <w:rPr>
          <w:rFonts w:ascii="David" w:hAnsi="David"/>
          <w:sz w:val="26"/>
          <w:szCs w:val="26"/>
          <w:rtl/>
        </w:rPr>
      </w:pPr>
    </w:p>
    <w:p w14:paraId="00EE698C" w14:textId="77777777" w:rsidR="00CC4DDE" w:rsidRDefault="00F35837" w:rsidP="00CC4DDE">
      <w:pPr>
        <w:spacing w:line="360" w:lineRule="auto"/>
        <w:rPr>
          <w:rFonts w:ascii="David" w:hAnsi="David"/>
          <w:sz w:val="26"/>
          <w:szCs w:val="26"/>
          <w:rtl/>
        </w:rPr>
      </w:pPr>
      <w:r w:rsidRPr="00F35837">
        <w:rPr>
          <w:rFonts w:ascii="David" w:hAnsi="David"/>
          <w:color w:val="FFFFFF"/>
          <w:sz w:val="2"/>
          <w:szCs w:val="2"/>
          <w:rtl/>
        </w:rPr>
        <w:t>5129371</w:t>
      </w:r>
      <w:r w:rsidR="00CC4DDE">
        <w:rPr>
          <w:rFonts w:ascii="David" w:hAnsi="David"/>
          <w:sz w:val="26"/>
          <w:szCs w:val="26"/>
          <w:rtl/>
        </w:rPr>
        <w:t>זכות ערעור כחוק לבית המשפט המחוזי בירושלים בתוך 45 יום מהיום.</w:t>
      </w:r>
    </w:p>
    <w:p w14:paraId="5553BD88" w14:textId="77777777" w:rsidR="00CC4DDE" w:rsidRPr="00F35837" w:rsidRDefault="00F35837" w:rsidP="00CC4DDE">
      <w:pPr>
        <w:rPr>
          <w:rFonts w:ascii="Arial" w:hAnsi="Arial"/>
          <w:b/>
          <w:bCs/>
          <w:color w:val="FFFFFF"/>
          <w:sz w:val="2"/>
          <w:szCs w:val="2"/>
          <w:rtl/>
        </w:rPr>
      </w:pPr>
      <w:r w:rsidRPr="00F35837">
        <w:rPr>
          <w:rFonts w:ascii="Arial" w:hAnsi="Arial"/>
          <w:b/>
          <w:bCs/>
          <w:color w:val="FFFFFF"/>
          <w:sz w:val="2"/>
          <w:szCs w:val="2"/>
          <w:rtl/>
        </w:rPr>
        <w:t>54678313</w:t>
      </w:r>
    </w:p>
    <w:p w14:paraId="089AE18D" w14:textId="77777777" w:rsidR="00CC4DDE" w:rsidRPr="000F2247" w:rsidRDefault="00CC4DDE" w:rsidP="00CC4DDE">
      <w:pPr>
        <w:rPr>
          <w:rFonts w:ascii="Arial" w:hAnsi="Arial"/>
          <w:b/>
          <w:bCs/>
          <w:sz w:val="26"/>
          <w:szCs w:val="26"/>
          <w:rtl/>
        </w:rPr>
      </w:pPr>
    </w:p>
    <w:p w14:paraId="38CBA6AE" w14:textId="77777777" w:rsidR="00CC4DDE" w:rsidRPr="000F2247" w:rsidRDefault="00F35837" w:rsidP="00CC4DDE">
      <w:pPr>
        <w:rPr>
          <w:rFonts w:ascii="Arial" w:hAnsi="Arial"/>
          <w:b/>
          <w:bCs/>
          <w:sz w:val="26"/>
          <w:szCs w:val="26"/>
          <w:rtl/>
        </w:rPr>
      </w:pPr>
      <w:bookmarkStart w:id="8" w:name="Nitan"/>
      <w:r>
        <w:rPr>
          <w:rFonts w:ascii="Arial" w:hAnsi="Arial"/>
          <w:b/>
          <w:bCs/>
          <w:sz w:val="26"/>
          <w:szCs w:val="26"/>
          <w:rtl/>
        </w:rPr>
        <w:t xml:space="preserve">ניתן היום,  כ"ג סיוון תשפ"ב, 22 יוני 2022, במעמד הצדדים. </w:t>
      </w:r>
      <w:bookmarkEnd w:id="8"/>
    </w:p>
    <w:p w14:paraId="77C62D7C" w14:textId="77777777" w:rsidR="00F35837" w:rsidRDefault="00F35837" w:rsidP="00F35837">
      <w:pPr>
        <w:rPr>
          <w:rtl/>
        </w:rPr>
      </w:pPr>
    </w:p>
    <w:p w14:paraId="08CBEACE" w14:textId="77777777" w:rsidR="00F35837" w:rsidRDefault="00F35837" w:rsidP="00F35837">
      <w:pPr>
        <w:jc w:val="center"/>
        <w:rPr>
          <w:color w:val="0000FF"/>
          <w:u w:val="single"/>
        </w:rPr>
      </w:pPr>
      <w:hyperlink r:id="rId25" w:history="1">
        <w:r>
          <w:rPr>
            <w:color w:val="0000FF"/>
            <w:u w:val="single"/>
            <w:rtl/>
          </w:rPr>
          <w:t>בעניין עריכה ושינויים במסמכי פסיקה, חקיקה ועוד באתר נבו – הקש כאן</w:t>
        </w:r>
      </w:hyperlink>
    </w:p>
    <w:p w14:paraId="11FBA4F3" w14:textId="77777777" w:rsidR="00745C25" w:rsidRPr="00745C25" w:rsidRDefault="00745C25" w:rsidP="00745C25">
      <w:pPr>
        <w:keepNext/>
        <w:rPr>
          <w:rFonts w:ascii="David" w:hAnsi="David"/>
          <w:color w:val="000000"/>
          <w:sz w:val="22"/>
          <w:szCs w:val="22"/>
          <w:rtl/>
        </w:rPr>
      </w:pPr>
    </w:p>
    <w:p w14:paraId="7DF3B605" w14:textId="77777777" w:rsidR="00745C25" w:rsidRPr="00745C25" w:rsidRDefault="00745C25" w:rsidP="00745C25">
      <w:pPr>
        <w:keepNext/>
        <w:rPr>
          <w:rFonts w:ascii="David" w:hAnsi="David"/>
          <w:color w:val="000000"/>
          <w:sz w:val="22"/>
          <w:szCs w:val="22"/>
          <w:rtl/>
        </w:rPr>
      </w:pPr>
      <w:r w:rsidRPr="00745C25">
        <w:rPr>
          <w:rFonts w:ascii="David" w:hAnsi="David"/>
          <w:color w:val="000000"/>
          <w:sz w:val="22"/>
          <w:szCs w:val="22"/>
          <w:rtl/>
        </w:rPr>
        <w:t>דוד שאול גבאי ריכטר 54678313-/</w:t>
      </w:r>
    </w:p>
    <w:p w14:paraId="099AE36B" w14:textId="77777777" w:rsidR="00F35837" w:rsidRPr="00F35837" w:rsidRDefault="00745C25" w:rsidP="00745C25">
      <w:pPr>
        <w:rPr>
          <w:color w:val="0000FF"/>
          <w:u w:val="single"/>
        </w:rPr>
      </w:pPr>
      <w:r w:rsidRPr="00745C25">
        <w:rPr>
          <w:color w:val="000000"/>
          <w:u w:val="single"/>
          <w:rtl/>
        </w:rPr>
        <w:t>נוסח מסמך זה כפוף לשינויי ניסוח ועריכה</w:t>
      </w:r>
    </w:p>
    <w:sectPr w:rsidR="00F35837" w:rsidRPr="00F35837" w:rsidSect="00745C25">
      <w:headerReference w:type="even" r:id="rId26"/>
      <w:headerReference w:type="default" r:id="rId27"/>
      <w:footerReference w:type="even" r:id="rId28"/>
      <w:footerReference w:type="default" r:id="rId2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727EA8" w14:textId="77777777" w:rsidR="00113ABD" w:rsidRDefault="00113ABD" w:rsidP="00190255">
      <w:r>
        <w:separator/>
      </w:r>
    </w:p>
  </w:endnote>
  <w:endnote w:type="continuationSeparator" w:id="0">
    <w:p w14:paraId="1A52C34F" w14:textId="77777777" w:rsidR="00113ABD" w:rsidRDefault="00113ABD" w:rsidP="00190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F65C46" w14:textId="77777777" w:rsidR="00745C25" w:rsidRDefault="00745C25" w:rsidP="00745C2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A3EB63B" w14:textId="77777777" w:rsidR="0026600A" w:rsidRPr="00745C25" w:rsidRDefault="00745C25" w:rsidP="00745C25">
    <w:pPr>
      <w:pStyle w:val="a5"/>
      <w:pBdr>
        <w:top w:val="single" w:sz="4" w:space="1" w:color="auto"/>
        <w:between w:val="single" w:sz="4" w:space="0" w:color="auto"/>
      </w:pBdr>
      <w:spacing w:after="60"/>
      <w:jc w:val="center"/>
      <w:rPr>
        <w:rFonts w:ascii="FrankRuehl" w:hAnsi="FrankRuehl" w:cs="FrankRuehl"/>
        <w:color w:val="000000"/>
      </w:rPr>
    </w:pPr>
    <w:r w:rsidRPr="00745C2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E4D613" w14:textId="77777777" w:rsidR="00745C25" w:rsidRDefault="00745C25" w:rsidP="00745C2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42634">
      <w:rPr>
        <w:rFonts w:ascii="FrankRuehl" w:hAnsi="FrankRuehl" w:cs="FrankRuehl"/>
        <w:noProof/>
        <w:rtl/>
      </w:rPr>
      <w:t>1</w:t>
    </w:r>
    <w:r>
      <w:rPr>
        <w:rFonts w:ascii="FrankRuehl" w:hAnsi="FrankRuehl" w:cs="FrankRuehl"/>
        <w:rtl/>
      </w:rPr>
      <w:fldChar w:fldCharType="end"/>
    </w:r>
  </w:p>
  <w:p w14:paraId="61F570AB" w14:textId="77777777" w:rsidR="0026600A" w:rsidRPr="00745C25" w:rsidRDefault="00745C25" w:rsidP="00745C25">
    <w:pPr>
      <w:pStyle w:val="a5"/>
      <w:pBdr>
        <w:top w:val="single" w:sz="4" w:space="1" w:color="auto"/>
        <w:between w:val="single" w:sz="4" w:space="0" w:color="auto"/>
      </w:pBdr>
      <w:spacing w:after="60"/>
      <w:jc w:val="center"/>
      <w:rPr>
        <w:rFonts w:ascii="FrankRuehl" w:hAnsi="FrankRuehl" w:cs="FrankRuehl"/>
        <w:color w:val="000000"/>
      </w:rPr>
    </w:pPr>
    <w:r w:rsidRPr="00745C25">
      <w:rPr>
        <w:rFonts w:ascii="FrankRuehl" w:hAnsi="FrankRuehl" w:cs="FrankRuehl"/>
        <w:color w:val="000000"/>
      </w:rPr>
      <w:pict w14:anchorId="0FCB8B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E237CB" w14:textId="77777777" w:rsidR="00113ABD" w:rsidRDefault="00113ABD" w:rsidP="00190255">
      <w:r>
        <w:separator/>
      </w:r>
    </w:p>
  </w:footnote>
  <w:footnote w:type="continuationSeparator" w:id="0">
    <w:p w14:paraId="62C076A0" w14:textId="77777777" w:rsidR="00113ABD" w:rsidRDefault="00113ABD" w:rsidP="001902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0AEF5" w14:textId="77777777" w:rsidR="00F35837" w:rsidRPr="00745C25" w:rsidRDefault="00745C25" w:rsidP="00745C2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32541-01-21</w:t>
    </w:r>
    <w:r>
      <w:rPr>
        <w:rFonts w:ascii="David" w:hAnsi="David"/>
        <w:color w:val="000000"/>
        <w:sz w:val="22"/>
        <w:szCs w:val="22"/>
        <w:rtl/>
      </w:rPr>
      <w:tab/>
      <w:t xml:space="preserve"> מדינת ישראל נ' יניב קופלה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427650" w14:textId="77777777" w:rsidR="00F35837" w:rsidRPr="00745C25" w:rsidRDefault="00745C25" w:rsidP="00745C2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32541-01-21</w:t>
    </w:r>
    <w:r>
      <w:rPr>
        <w:rFonts w:ascii="David" w:hAnsi="David"/>
        <w:color w:val="000000"/>
        <w:sz w:val="22"/>
        <w:szCs w:val="22"/>
        <w:rtl/>
      </w:rPr>
      <w:tab/>
      <w:t xml:space="preserve"> מדינת ישראל נ' יניב קופלה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152581"/>
    <w:multiLevelType w:val="hybridMultilevel"/>
    <w:tmpl w:val="A6547D66"/>
    <w:lvl w:ilvl="0" w:tplc="4D702C08">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D5B689C"/>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6334907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7595826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C4DDE"/>
    <w:rsid w:val="00093283"/>
    <w:rsid w:val="00113ABD"/>
    <w:rsid w:val="00190255"/>
    <w:rsid w:val="001B5A3B"/>
    <w:rsid w:val="0026600A"/>
    <w:rsid w:val="00296C8F"/>
    <w:rsid w:val="00602065"/>
    <w:rsid w:val="00660AAD"/>
    <w:rsid w:val="00745C25"/>
    <w:rsid w:val="00942634"/>
    <w:rsid w:val="00974671"/>
    <w:rsid w:val="00A35BFE"/>
    <w:rsid w:val="00B71A20"/>
    <w:rsid w:val="00C77B1C"/>
    <w:rsid w:val="00CC4DDE"/>
    <w:rsid w:val="00F3583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600E047"/>
  <w15:chartTrackingRefBased/>
  <w15:docId w15:val="{A6C25200-5C17-4A74-83CB-F9DDA8F1B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C4DD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C4DDE"/>
    <w:pPr>
      <w:tabs>
        <w:tab w:val="center" w:pos="4153"/>
        <w:tab w:val="right" w:pos="8306"/>
      </w:tabs>
    </w:pPr>
  </w:style>
  <w:style w:type="character" w:customStyle="1" w:styleId="a4">
    <w:name w:val="כותרת עליונה תו"/>
    <w:link w:val="a3"/>
    <w:rsid w:val="00CC4DDE"/>
    <w:rPr>
      <w:rFonts w:ascii="Times New Roman" w:eastAsia="Times New Roman" w:hAnsi="Times New Roman" w:cs="David"/>
      <w:sz w:val="24"/>
      <w:szCs w:val="24"/>
    </w:rPr>
  </w:style>
  <w:style w:type="paragraph" w:styleId="a5">
    <w:name w:val="footer"/>
    <w:basedOn w:val="a"/>
    <w:link w:val="a6"/>
    <w:rsid w:val="00CC4DDE"/>
    <w:pPr>
      <w:tabs>
        <w:tab w:val="center" w:pos="4153"/>
        <w:tab w:val="right" w:pos="8306"/>
      </w:tabs>
    </w:pPr>
  </w:style>
  <w:style w:type="character" w:customStyle="1" w:styleId="a6">
    <w:name w:val="כותרת תחתונה תו"/>
    <w:link w:val="a5"/>
    <w:rsid w:val="00CC4DDE"/>
    <w:rPr>
      <w:rFonts w:ascii="Times New Roman" w:eastAsia="Times New Roman" w:hAnsi="Times New Roman" w:cs="David"/>
      <w:sz w:val="24"/>
      <w:szCs w:val="24"/>
    </w:rPr>
  </w:style>
  <w:style w:type="table" w:styleId="a7">
    <w:name w:val="Table Grid"/>
    <w:basedOn w:val="a1"/>
    <w:rsid w:val="00CC4DD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C4DDE"/>
  </w:style>
  <w:style w:type="paragraph" w:styleId="a9">
    <w:name w:val="List Paragraph"/>
    <w:basedOn w:val="a"/>
    <w:qFormat/>
    <w:rsid w:val="00CC4DDE"/>
    <w:pPr>
      <w:ind w:left="720"/>
      <w:contextualSpacing/>
    </w:pPr>
  </w:style>
  <w:style w:type="character" w:styleId="Hyperlink">
    <w:name w:val="Hyperlink"/>
    <w:rsid w:val="00F358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3" TargetMode="External"/><Relationship Id="rId13" Type="http://schemas.openxmlformats.org/officeDocument/2006/relationships/hyperlink" Target="http://www.nevo.co.il/law/4216/13;19.a" TargetMode="External"/><Relationship Id="rId18" Type="http://schemas.openxmlformats.org/officeDocument/2006/relationships/hyperlink" Target="http://www.nevo.co.il/case/21477656"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nevo.co.il/law/70301/40ja"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40ja" TargetMode="External"/><Relationship Id="rId17" Type="http://schemas.openxmlformats.org/officeDocument/2006/relationships/hyperlink" Target="http://www.nevo.co.il/case/21477472" TargetMode="External"/><Relationship Id="rId25"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case/13093721"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i" TargetMode="External"/><Relationship Id="rId24" Type="http://schemas.openxmlformats.org/officeDocument/2006/relationships/hyperlink" Target="http://www.nevo.co.il/law/4216" TargetMode="External"/><Relationship Id="rId5" Type="http://schemas.openxmlformats.org/officeDocument/2006/relationships/footnotes" Target="footnotes.xml"/><Relationship Id="rId15" Type="http://schemas.openxmlformats.org/officeDocument/2006/relationships/hyperlink" Target="http://www.nevo.co.il/law/70301/40i" TargetMode="External"/><Relationship Id="rId23" Type="http://schemas.openxmlformats.org/officeDocument/2006/relationships/hyperlink" Target="http://www.nevo.co.il/law/4216" TargetMode="External"/><Relationship Id="rId28" Type="http://schemas.openxmlformats.org/officeDocument/2006/relationships/footer" Target="footer1.xml"/><Relationship Id="rId10" Type="http://schemas.openxmlformats.org/officeDocument/2006/relationships/hyperlink" Target="http://www.nevo.co.il/law/70301" TargetMode="External"/><Relationship Id="rId19" Type="http://schemas.openxmlformats.org/officeDocument/2006/relationships/hyperlink" Target="http://www.nevo.co.il/case/21827077"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4216" TargetMode="External"/><Relationship Id="rId22" Type="http://schemas.openxmlformats.org/officeDocument/2006/relationships/hyperlink" Target="http://www.nevo.co.il/law/70301" TargetMode="External"/><Relationship Id="rId27" Type="http://schemas.openxmlformats.org/officeDocument/2006/relationships/header" Target="head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1546</Words>
  <Characters>7731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9259</CharactersWithSpaces>
  <SharedDoc>false</SharedDoc>
  <HLinks>
    <vt:vector size="114" baseType="variant">
      <vt:variant>
        <vt:i4>393283</vt:i4>
      </vt:variant>
      <vt:variant>
        <vt:i4>54</vt:i4>
      </vt:variant>
      <vt:variant>
        <vt:i4>0</vt:i4>
      </vt:variant>
      <vt:variant>
        <vt:i4>5</vt:i4>
      </vt:variant>
      <vt:variant>
        <vt:lpwstr>http://www.nevo.co.il/advertisements/nevo-100.doc</vt:lpwstr>
      </vt:variant>
      <vt:variant>
        <vt:lpwstr/>
      </vt:variant>
      <vt:variant>
        <vt:i4>8257637</vt:i4>
      </vt:variant>
      <vt:variant>
        <vt:i4>51</vt:i4>
      </vt:variant>
      <vt:variant>
        <vt:i4>0</vt:i4>
      </vt:variant>
      <vt:variant>
        <vt:i4>5</vt:i4>
      </vt:variant>
      <vt:variant>
        <vt:lpwstr>http://www.nevo.co.il/law/4216</vt:lpwstr>
      </vt:variant>
      <vt:variant>
        <vt:lpwstr/>
      </vt:variant>
      <vt:variant>
        <vt:i4>8257637</vt:i4>
      </vt:variant>
      <vt:variant>
        <vt:i4>48</vt:i4>
      </vt:variant>
      <vt:variant>
        <vt:i4>0</vt:i4>
      </vt:variant>
      <vt:variant>
        <vt:i4>5</vt:i4>
      </vt:variant>
      <vt:variant>
        <vt:lpwstr>http://www.nevo.co.il/law/4216</vt:lpwstr>
      </vt:variant>
      <vt:variant>
        <vt:lpwstr/>
      </vt:variant>
      <vt:variant>
        <vt:i4>7995492</vt:i4>
      </vt:variant>
      <vt:variant>
        <vt:i4>45</vt:i4>
      </vt:variant>
      <vt:variant>
        <vt:i4>0</vt:i4>
      </vt:variant>
      <vt:variant>
        <vt:i4>5</vt:i4>
      </vt:variant>
      <vt:variant>
        <vt:lpwstr>http://www.nevo.co.il/law/70301</vt:lpwstr>
      </vt:variant>
      <vt:variant>
        <vt:lpwstr/>
      </vt:variant>
      <vt:variant>
        <vt:i4>262155</vt:i4>
      </vt:variant>
      <vt:variant>
        <vt:i4>42</vt:i4>
      </vt:variant>
      <vt:variant>
        <vt:i4>0</vt:i4>
      </vt:variant>
      <vt:variant>
        <vt:i4>5</vt:i4>
      </vt:variant>
      <vt:variant>
        <vt:lpwstr>http://www.nevo.co.il/law/70301/40ja</vt:lpwstr>
      </vt:variant>
      <vt:variant>
        <vt:lpwstr/>
      </vt:variant>
      <vt:variant>
        <vt:i4>3145849</vt:i4>
      </vt:variant>
      <vt:variant>
        <vt:i4>39</vt:i4>
      </vt:variant>
      <vt:variant>
        <vt:i4>0</vt:i4>
      </vt:variant>
      <vt:variant>
        <vt:i4>5</vt:i4>
      </vt:variant>
      <vt:variant>
        <vt:lpwstr>http://www.nevo.co.il/case/13093721</vt:lpwstr>
      </vt:variant>
      <vt:variant>
        <vt:lpwstr/>
      </vt:variant>
      <vt:variant>
        <vt:i4>3801207</vt:i4>
      </vt:variant>
      <vt:variant>
        <vt:i4>36</vt:i4>
      </vt:variant>
      <vt:variant>
        <vt:i4>0</vt:i4>
      </vt:variant>
      <vt:variant>
        <vt:i4>5</vt:i4>
      </vt:variant>
      <vt:variant>
        <vt:lpwstr>http://www.nevo.co.il/case/21827077</vt:lpwstr>
      </vt:variant>
      <vt:variant>
        <vt:lpwstr/>
      </vt:variant>
      <vt:variant>
        <vt:i4>3407988</vt:i4>
      </vt:variant>
      <vt:variant>
        <vt:i4>33</vt:i4>
      </vt:variant>
      <vt:variant>
        <vt:i4>0</vt:i4>
      </vt:variant>
      <vt:variant>
        <vt:i4>5</vt:i4>
      </vt:variant>
      <vt:variant>
        <vt:lpwstr>http://www.nevo.co.il/case/21477656</vt:lpwstr>
      </vt:variant>
      <vt:variant>
        <vt:lpwstr/>
      </vt:variant>
      <vt:variant>
        <vt:i4>3539062</vt:i4>
      </vt:variant>
      <vt:variant>
        <vt:i4>30</vt:i4>
      </vt:variant>
      <vt:variant>
        <vt:i4>0</vt:i4>
      </vt:variant>
      <vt:variant>
        <vt:i4>5</vt:i4>
      </vt:variant>
      <vt:variant>
        <vt:lpwstr>http://www.nevo.co.il/case/21477472</vt:lpwstr>
      </vt:variant>
      <vt:variant>
        <vt:lpwstr/>
      </vt:variant>
      <vt:variant>
        <vt:i4>7995492</vt:i4>
      </vt:variant>
      <vt:variant>
        <vt:i4>27</vt:i4>
      </vt:variant>
      <vt:variant>
        <vt:i4>0</vt:i4>
      </vt:variant>
      <vt:variant>
        <vt:i4>5</vt:i4>
      </vt:variant>
      <vt:variant>
        <vt:lpwstr>http://www.nevo.co.il/law/70301</vt:lpwstr>
      </vt:variant>
      <vt:variant>
        <vt:lpwstr/>
      </vt:variant>
      <vt:variant>
        <vt:i4>6619233</vt:i4>
      </vt:variant>
      <vt:variant>
        <vt:i4>24</vt:i4>
      </vt:variant>
      <vt:variant>
        <vt:i4>0</vt:i4>
      </vt:variant>
      <vt:variant>
        <vt:i4>5</vt:i4>
      </vt:variant>
      <vt:variant>
        <vt:lpwstr>http://www.nevo.co.il/law/70301/40i</vt:lpwstr>
      </vt:variant>
      <vt:variant>
        <vt:lpwstr/>
      </vt:variant>
      <vt:variant>
        <vt:i4>8257637</vt:i4>
      </vt:variant>
      <vt:variant>
        <vt:i4>21</vt:i4>
      </vt:variant>
      <vt:variant>
        <vt:i4>0</vt:i4>
      </vt:variant>
      <vt:variant>
        <vt:i4>5</vt:i4>
      </vt:variant>
      <vt:variant>
        <vt:lpwstr>http://www.nevo.co.il/law/4216</vt:lpwstr>
      </vt:variant>
      <vt:variant>
        <vt:lpwstr/>
      </vt:variant>
      <vt:variant>
        <vt:i4>2883686</vt:i4>
      </vt:variant>
      <vt:variant>
        <vt:i4>18</vt:i4>
      </vt:variant>
      <vt:variant>
        <vt:i4>0</vt:i4>
      </vt:variant>
      <vt:variant>
        <vt:i4>5</vt:i4>
      </vt:variant>
      <vt:variant>
        <vt:lpwstr>http://www.nevo.co.il/law/4216/13;19.a</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7995492</vt:i4>
      </vt:variant>
      <vt:variant>
        <vt:i4>9</vt:i4>
      </vt:variant>
      <vt:variant>
        <vt:i4>0</vt:i4>
      </vt:variant>
      <vt:variant>
        <vt:i4>5</vt:i4>
      </vt:variant>
      <vt:variant>
        <vt:lpwstr>http://www.nevo.co.il/law/70301</vt:lpwstr>
      </vt:variant>
      <vt:variant>
        <vt:lpwstr/>
      </vt:variant>
      <vt:variant>
        <vt:i4>6357107</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2025-04-23T00:52:00Z</dcterms:created>
  <dcterms:modified xsi:type="dcterms:W3CDTF">2025-04-23T00:52:00Z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32541</vt:lpwstr>
  </property>
  <property fmtid="{D5CDD505-2E9C-101B-9397-08002B2CF9AE}" pid="6" name="NEWPARTB">
    <vt:lpwstr>01</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יניב קופלה</vt:lpwstr>
  </property>
  <property fmtid="{D5CDD505-2E9C-101B-9397-08002B2CF9AE}" pid="10" name="LAWYER">
    <vt:lpwstr>רונית ישי;ליאור כהנא</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20220622</vt:lpwstr>
  </property>
  <property fmtid="{D5CDD505-2E9C-101B-9397-08002B2CF9AE}" pid="14" name="TYPE_N_DATE">
    <vt:lpwstr>38020220622</vt:lpwstr>
  </property>
  <property fmtid="{D5CDD505-2E9C-101B-9397-08002B2CF9AE}" pid="15" name="WORDNUMPAGES">
    <vt:lpwstr>6</vt:lpwstr>
  </property>
  <property fmtid="{D5CDD505-2E9C-101B-9397-08002B2CF9AE}" pid="16" name="TYPE_ABS_DATE">
    <vt:lpwstr>380020220622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21477472;21477656;21827077;13093721</vt:lpwstr>
  </property>
  <property fmtid="{D5CDD505-2E9C-101B-9397-08002B2CF9AE}" pid="36" name="LAWLISTTMP1">
    <vt:lpwstr>4216/013;019.a</vt:lpwstr>
  </property>
  <property fmtid="{D5CDD505-2E9C-101B-9397-08002B2CF9AE}" pid="37" name="LAWLISTTMP2">
    <vt:lpwstr>70301/040i;40ja</vt:lpwstr>
  </property>
</Properties>
</file>