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E276ED" w:rsidRPr="00B269A7" w14:paraId="442DD18E" w14:textId="77777777" w:rsidTr="000C28EF">
        <w:trPr>
          <w:trHeight w:hRule="exact" w:val="418"/>
          <w:jc w:val="center"/>
        </w:trPr>
        <w:tc>
          <w:tcPr>
            <w:tcW w:w="8721" w:type="dxa"/>
            <w:gridSpan w:val="2"/>
          </w:tcPr>
          <w:p w14:paraId="1BCDE097" w14:textId="77777777" w:rsidR="00E276ED" w:rsidRPr="00B269A7" w:rsidRDefault="00E276ED" w:rsidP="00F752A2">
            <w:pPr>
              <w:pStyle w:val="a3"/>
              <w:jc w:val="center"/>
              <w:rPr>
                <w:rFonts w:ascii="Tahoma" w:hAnsi="Tahoma" w:cs="Tahoma"/>
                <w:color w:val="000080"/>
                <w:rtl/>
              </w:rPr>
            </w:pPr>
            <w:r w:rsidRPr="00B269A7">
              <w:rPr>
                <w:rFonts w:ascii="Tahoma" w:hAnsi="Tahoma" w:cs="Tahoma"/>
                <w:b/>
                <w:bCs/>
                <w:color w:val="000080"/>
                <w:rtl/>
              </w:rPr>
              <w:t>בית משפט השלום בבאר שבע</w:t>
            </w:r>
          </w:p>
        </w:tc>
      </w:tr>
      <w:tr w:rsidR="00E276ED" w:rsidRPr="00B269A7" w14:paraId="735AD4FF" w14:textId="77777777" w:rsidTr="000C28EF">
        <w:trPr>
          <w:trHeight w:val="337"/>
          <w:jc w:val="center"/>
        </w:trPr>
        <w:tc>
          <w:tcPr>
            <w:tcW w:w="5060" w:type="dxa"/>
          </w:tcPr>
          <w:p w14:paraId="2CCD001D" w14:textId="77777777" w:rsidR="00E276ED" w:rsidRPr="00B269A7" w:rsidRDefault="00E276ED" w:rsidP="00F752A2">
            <w:pPr>
              <w:rPr>
                <w:rFonts w:ascii="David" w:hAnsi="David"/>
                <w:b/>
                <w:bCs/>
                <w:sz w:val="26"/>
                <w:szCs w:val="26"/>
                <w:rtl/>
              </w:rPr>
            </w:pPr>
            <w:r w:rsidRPr="00B269A7">
              <w:rPr>
                <w:rFonts w:ascii="David" w:hAnsi="David"/>
                <w:b/>
                <w:bCs/>
                <w:sz w:val="26"/>
                <w:szCs w:val="26"/>
                <w:rtl/>
              </w:rPr>
              <w:t xml:space="preserve">ת"פ </w:t>
            </w:r>
            <w:hyperlink r:id="rId7" w:history="1">
              <w:r w:rsidR="00250726" w:rsidRPr="00250726">
                <w:rPr>
                  <w:rFonts w:ascii="David" w:hAnsi="David"/>
                  <w:b/>
                  <w:bCs/>
                  <w:color w:val="0000FF"/>
                  <w:sz w:val="26"/>
                  <w:szCs w:val="26"/>
                  <w:u w:val="single"/>
                  <w:rtl/>
                </w:rPr>
                <w:t xml:space="preserve">33495-01-21 </w:t>
              </w:r>
            </w:hyperlink>
            <w:r w:rsidRPr="00B269A7">
              <w:rPr>
                <w:rFonts w:ascii="David" w:hAnsi="David"/>
                <w:b/>
                <w:bCs/>
                <w:sz w:val="26"/>
                <w:szCs w:val="26"/>
                <w:rtl/>
              </w:rPr>
              <w:t xml:space="preserve"> מדינת ישראל נ' חיימוב(עציר)</w:t>
            </w:r>
          </w:p>
          <w:p w14:paraId="4F8A35F8" w14:textId="77777777" w:rsidR="00E276ED" w:rsidRPr="00B269A7" w:rsidRDefault="00E276ED" w:rsidP="00F752A2">
            <w:pPr>
              <w:pStyle w:val="a3"/>
              <w:rPr>
                <w:rFonts w:cs="FrankRuehl"/>
                <w:sz w:val="28"/>
                <w:szCs w:val="28"/>
                <w:rtl/>
              </w:rPr>
            </w:pPr>
          </w:p>
        </w:tc>
        <w:tc>
          <w:tcPr>
            <w:tcW w:w="3661" w:type="dxa"/>
          </w:tcPr>
          <w:p w14:paraId="04455858" w14:textId="77777777" w:rsidR="00E276ED" w:rsidRPr="00B269A7" w:rsidRDefault="00E276ED" w:rsidP="00F752A2">
            <w:pPr>
              <w:pStyle w:val="a3"/>
              <w:jc w:val="right"/>
              <w:rPr>
                <w:rFonts w:cs="FrankRuehl"/>
                <w:sz w:val="28"/>
                <w:szCs w:val="28"/>
                <w:rtl/>
              </w:rPr>
            </w:pPr>
          </w:p>
        </w:tc>
      </w:tr>
    </w:tbl>
    <w:p w14:paraId="7EAA4134" w14:textId="77777777" w:rsidR="00E276ED" w:rsidRPr="00B269A7" w:rsidRDefault="00E276ED" w:rsidP="00E276ED">
      <w:pPr>
        <w:pStyle w:val="a3"/>
        <w:rPr>
          <w:rtl/>
        </w:rPr>
      </w:pPr>
      <w:r w:rsidRPr="00B269A7">
        <w:rPr>
          <w:rFonts w:hint="cs"/>
          <w:rtl/>
        </w:rPr>
        <w:t xml:space="preserve"> </w:t>
      </w:r>
    </w:p>
    <w:p w14:paraId="649470C8" w14:textId="77777777" w:rsidR="00E276ED" w:rsidRPr="00B269A7" w:rsidRDefault="00E276ED" w:rsidP="00E276ED">
      <w:pPr>
        <w:rPr>
          <w:rtl/>
        </w:rPr>
      </w:pPr>
    </w:p>
    <w:p w14:paraId="2DB7A377" w14:textId="77777777" w:rsidR="00E276ED" w:rsidRPr="00B269A7" w:rsidRDefault="00E276ED" w:rsidP="00E276E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276ED" w:rsidRPr="00B269A7" w14:paraId="4370714E" w14:textId="77777777" w:rsidTr="00E276ED">
        <w:trPr>
          <w:trHeight w:val="295"/>
          <w:jc w:val="center"/>
        </w:trPr>
        <w:tc>
          <w:tcPr>
            <w:tcW w:w="923" w:type="dxa"/>
            <w:tcBorders>
              <w:top w:val="nil"/>
              <w:left w:val="nil"/>
              <w:bottom w:val="nil"/>
              <w:right w:val="nil"/>
            </w:tcBorders>
            <w:shd w:val="clear" w:color="auto" w:fill="auto"/>
          </w:tcPr>
          <w:p w14:paraId="7906DAE7" w14:textId="77777777" w:rsidR="00E276ED" w:rsidRPr="00B269A7" w:rsidRDefault="00E276ED" w:rsidP="00E276ED">
            <w:pPr>
              <w:jc w:val="both"/>
              <w:rPr>
                <w:rFonts w:ascii="David" w:hAnsi="David"/>
                <w:b/>
                <w:bCs/>
                <w:sz w:val="26"/>
                <w:szCs w:val="26"/>
              </w:rPr>
            </w:pPr>
            <w:r w:rsidRPr="00B269A7">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708C57C" w14:textId="77777777" w:rsidR="00E276ED" w:rsidRPr="00B269A7" w:rsidRDefault="00E276ED" w:rsidP="00F752A2">
            <w:pPr>
              <w:rPr>
                <w:rFonts w:ascii="David" w:hAnsi="David"/>
                <w:b/>
                <w:bCs/>
                <w:sz w:val="26"/>
                <w:szCs w:val="26"/>
                <w:rtl/>
              </w:rPr>
            </w:pPr>
            <w:r w:rsidRPr="00B269A7">
              <w:rPr>
                <w:rFonts w:ascii="David" w:hAnsi="David"/>
                <w:b/>
                <w:bCs/>
                <w:sz w:val="26"/>
                <w:szCs w:val="26"/>
                <w:rtl/>
              </w:rPr>
              <w:t>כבוד השופטת, סגנית הנשיא  ענת חולתא</w:t>
            </w:r>
          </w:p>
          <w:p w14:paraId="468CD95F" w14:textId="77777777" w:rsidR="00E276ED" w:rsidRPr="00B269A7" w:rsidRDefault="00E276ED" w:rsidP="00F752A2">
            <w:pPr>
              <w:rPr>
                <w:rFonts w:ascii="David" w:hAnsi="David"/>
                <w:b/>
                <w:bCs/>
                <w:sz w:val="26"/>
                <w:szCs w:val="26"/>
                <w:rtl/>
              </w:rPr>
            </w:pPr>
          </w:p>
          <w:p w14:paraId="247BFB9D" w14:textId="77777777" w:rsidR="00E276ED" w:rsidRPr="00B269A7" w:rsidRDefault="00E276ED" w:rsidP="00E276ED">
            <w:pPr>
              <w:jc w:val="both"/>
              <w:rPr>
                <w:rFonts w:ascii="David" w:hAnsi="David"/>
                <w:b/>
                <w:bCs/>
                <w:sz w:val="26"/>
                <w:szCs w:val="26"/>
              </w:rPr>
            </w:pPr>
          </w:p>
        </w:tc>
      </w:tr>
      <w:tr w:rsidR="00E276ED" w:rsidRPr="00B269A7" w14:paraId="54C5A606" w14:textId="77777777" w:rsidTr="00E276ED">
        <w:trPr>
          <w:trHeight w:val="355"/>
          <w:jc w:val="center"/>
        </w:trPr>
        <w:tc>
          <w:tcPr>
            <w:tcW w:w="923" w:type="dxa"/>
            <w:tcBorders>
              <w:top w:val="nil"/>
              <w:left w:val="nil"/>
              <w:bottom w:val="nil"/>
              <w:right w:val="nil"/>
            </w:tcBorders>
            <w:shd w:val="clear" w:color="auto" w:fill="auto"/>
          </w:tcPr>
          <w:p w14:paraId="4BB78AD0" w14:textId="77777777" w:rsidR="00E276ED" w:rsidRPr="00B269A7" w:rsidRDefault="00E276ED" w:rsidP="00E276ED">
            <w:pPr>
              <w:jc w:val="both"/>
              <w:rPr>
                <w:rFonts w:ascii="David" w:hAnsi="David"/>
                <w:b/>
                <w:bCs/>
                <w:sz w:val="26"/>
                <w:szCs w:val="26"/>
              </w:rPr>
            </w:pPr>
            <w:bookmarkStart w:id="0" w:name="FirstAppellant"/>
            <w:bookmarkStart w:id="1" w:name="LastJudge"/>
            <w:bookmarkEnd w:id="1"/>
            <w:r w:rsidRPr="00B269A7">
              <w:rPr>
                <w:rFonts w:ascii="David" w:hAnsi="David"/>
                <w:b/>
                <w:bCs/>
                <w:sz w:val="26"/>
                <w:szCs w:val="26"/>
                <w:rtl/>
              </w:rPr>
              <w:t>בעניין:</w:t>
            </w:r>
          </w:p>
        </w:tc>
        <w:tc>
          <w:tcPr>
            <w:tcW w:w="4126" w:type="dxa"/>
            <w:tcBorders>
              <w:top w:val="nil"/>
              <w:left w:val="nil"/>
              <w:bottom w:val="nil"/>
              <w:right w:val="nil"/>
            </w:tcBorders>
            <w:shd w:val="clear" w:color="auto" w:fill="auto"/>
          </w:tcPr>
          <w:p w14:paraId="5B55205B" w14:textId="77777777" w:rsidR="00E276ED" w:rsidRPr="00B269A7" w:rsidRDefault="00E276ED" w:rsidP="00F752A2">
            <w:pPr>
              <w:rPr>
                <w:rFonts w:ascii="David" w:hAnsi="David"/>
                <w:b/>
                <w:bCs/>
                <w:sz w:val="26"/>
                <w:szCs w:val="26"/>
              </w:rPr>
            </w:pPr>
            <w:r w:rsidRPr="00B269A7">
              <w:rPr>
                <w:rFonts w:ascii="David" w:hAnsi="David"/>
                <w:b/>
                <w:bCs/>
                <w:sz w:val="26"/>
                <w:szCs w:val="26"/>
                <w:rtl/>
              </w:rPr>
              <w:t>מדינת ישראל</w:t>
            </w:r>
            <w:r w:rsidRPr="00B269A7">
              <w:rPr>
                <w:rFonts w:ascii="David" w:hAnsi="David" w:hint="cs"/>
                <w:b/>
                <w:bCs/>
                <w:sz w:val="26"/>
                <w:szCs w:val="26"/>
                <w:rtl/>
              </w:rPr>
              <w:t>-תביעות נגב</w:t>
            </w:r>
          </w:p>
        </w:tc>
        <w:tc>
          <w:tcPr>
            <w:tcW w:w="3771" w:type="dxa"/>
            <w:tcBorders>
              <w:top w:val="nil"/>
              <w:left w:val="nil"/>
              <w:bottom w:val="nil"/>
              <w:right w:val="nil"/>
            </w:tcBorders>
            <w:shd w:val="clear" w:color="auto" w:fill="auto"/>
          </w:tcPr>
          <w:p w14:paraId="6BC7383E" w14:textId="77777777" w:rsidR="00E276ED" w:rsidRPr="00B269A7" w:rsidRDefault="00E276ED" w:rsidP="00E276ED">
            <w:pPr>
              <w:jc w:val="both"/>
              <w:rPr>
                <w:rFonts w:ascii="David" w:hAnsi="David"/>
                <w:b/>
                <w:bCs/>
                <w:sz w:val="26"/>
                <w:szCs w:val="26"/>
              </w:rPr>
            </w:pPr>
          </w:p>
        </w:tc>
      </w:tr>
      <w:tr w:rsidR="00E276ED" w:rsidRPr="00B269A7" w14:paraId="255852FD" w14:textId="77777777" w:rsidTr="00E276ED">
        <w:trPr>
          <w:trHeight w:val="355"/>
          <w:jc w:val="center"/>
        </w:trPr>
        <w:tc>
          <w:tcPr>
            <w:tcW w:w="923" w:type="dxa"/>
            <w:tcBorders>
              <w:top w:val="nil"/>
              <w:left w:val="nil"/>
              <w:bottom w:val="nil"/>
              <w:right w:val="nil"/>
            </w:tcBorders>
            <w:shd w:val="clear" w:color="auto" w:fill="auto"/>
          </w:tcPr>
          <w:p w14:paraId="3D7F05A1" w14:textId="77777777" w:rsidR="00E276ED" w:rsidRPr="00B269A7" w:rsidRDefault="00E276ED" w:rsidP="00E276ED">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4D07B5F9" w14:textId="77777777" w:rsidR="00E276ED" w:rsidRPr="00B269A7" w:rsidRDefault="00E276ED" w:rsidP="00E276ED">
            <w:pPr>
              <w:jc w:val="both"/>
              <w:rPr>
                <w:rFonts w:ascii="David" w:hAnsi="David"/>
                <w:b/>
                <w:bCs/>
                <w:sz w:val="26"/>
                <w:szCs w:val="26"/>
                <w:rtl/>
              </w:rPr>
            </w:pPr>
            <w:r w:rsidRPr="00B269A7">
              <w:rPr>
                <w:rFonts w:ascii="David" w:hAnsi="David" w:hint="cs"/>
                <w:b/>
                <w:bCs/>
                <w:sz w:val="26"/>
                <w:szCs w:val="26"/>
                <w:rtl/>
              </w:rPr>
              <w:t>ע"י ב"כ עו"ד מורן אלקבץ-עומסי</w:t>
            </w:r>
          </w:p>
        </w:tc>
        <w:tc>
          <w:tcPr>
            <w:tcW w:w="3771" w:type="dxa"/>
            <w:tcBorders>
              <w:top w:val="nil"/>
              <w:left w:val="nil"/>
              <w:bottom w:val="nil"/>
              <w:right w:val="nil"/>
            </w:tcBorders>
            <w:shd w:val="clear" w:color="auto" w:fill="auto"/>
          </w:tcPr>
          <w:p w14:paraId="3BDCEC0C" w14:textId="77777777" w:rsidR="00E276ED" w:rsidRPr="00B269A7" w:rsidRDefault="00E276ED" w:rsidP="00E276ED">
            <w:pPr>
              <w:jc w:val="right"/>
              <w:rPr>
                <w:rFonts w:ascii="David" w:hAnsi="David"/>
                <w:b/>
                <w:bCs/>
                <w:sz w:val="26"/>
                <w:szCs w:val="26"/>
                <w:rtl/>
              </w:rPr>
            </w:pPr>
            <w:r w:rsidRPr="00B269A7">
              <w:rPr>
                <w:rFonts w:ascii="David" w:hAnsi="David"/>
                <w:b/>
                <w:bCs/>
                <w:sz w:val="26"/>
                <w:szCs w:val="26"/>
                <w:rtl/>
              </w:rPr>
              <w:t>המאשימה</w:t>
            </w:r>
          </w:p>
        </w:tc>
      </w:tr>
      <w:bookmarkEnd w:id="2"/>
      <w:tr w:rsidR="00E276ED" w:rsidRPr="00B269A7" w14:paraId="20DF4437" w14:textId="77777777" w:rsidTr="00E276ED">
        <w:trPr>
          <w:trHeight w:val="355"/>
          <w:jc w:val="center"/>
        </w:trPr>
        <w:tc>
          <w:tcPr>
            <w:tcW w:w="923" w:type="dxa"/>
            <w:tcBorders>
              <w:top w:val="nil"/>
              <w:left w:val="nil"/>
              <w:bottom w:val="nil"/>
              <w:right w:val="nil"/>
            </w:tcBorders>
            <w:shd w:val="clear" w:color="auto" w:fill="auto"/>
          </w:tcPr>
          <w:p w14:paraId="48748A74" w14:textId="77777777" w:rsidR="00E276ED" w:rsidRPr="00B269A7" w:rsidRDefault="00E276ED" w:rsidP="00E276ED">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39F0561D" w14:textId="77777777" w:rsidR="00E276ED" w:rsidRPr="00B269A7" w:rsidRDefault="00E276ED" w:rsidP="00E276ED">
            <w:pPr>
              <w:jc w:val="center"/>
              <w:rPr>
                <w:rFonts w:ascii="David" w:hAnsi="David"/>
                <w:b/>
                <w:bCs/>
                <w:sz w:val="26"/>
                <w:szCs w:val="26"/>
                <w:rtl/>
              </w:rPr>
            </w:pPr>
          </w:p>
          <w:p w14:paraId="5424656F" w14:textId="77777777" w:rsidR="00E276ED" w:rsidRPr="00B269A7" w:rsidRDefault="00E276ED" w:rsidP="00E276ED">
            <w:pPr>
              <w:jc w:val="center"/>
              <w:rPr>
                <w:rFonts w:ascii="David" w:hAnsi="David"/>
                <w:b/>
                <w:bCs/>
                <w:sz w:val="26"/>
                <w:szCs w:val="26"/>
                <w:rtl/>
              </w:rPr>
            </w:pPr>
            <w:r w:rsidRPr="00B269A7">
              <w:rPr>
                <w:rFonts w:ascii="David" w:hAnsi="David"/>
                <w:b/>
                <w:bCs/>
                <w:sz w:val="26"/>
                <w:szCs w:val="26"/>
                <w:rtl/>
              </w:rPr>
              <w:t>נגד</w:t>
            </w:r>
          </w:p>
          <w:p w14:paraId="1354376E" w14:textId="77777777" w:rsidR="00E276ED" w:rsidRPr="00B269A7" w:rsidRDefault="00E276ED" w:rsidP="00E276ED">
            <w:pPr>
              <w:jc w:val="both"/>
              <w:rPr>
                <w:rFonts w:ascii="David" w:hAnsi="David"/>
                <w:b/>
                <w:bCs/>
                <w:sz w:val="26"/>
                <w:szCs w:val="26"/>
              </w:rPr>
            </w:pPr>
          </w:p>
        </w:tc>
      </w:tr>
      <w:tr w:rsidR="00E276ED" w:rsidRPr="00B269A7" w14:paraId="2EBA6B12" w14:textId="77777777" w:rsidTr="00E276ED">
        <w:trPr>
          <w:trHeight w:val="355"/>
          <w:jc w:val="center"/>
        </w:trPr>
        <w:tc>
          <w:tcPr>
            <w:tcW w:w="923" w:type="dxa"/>
            <w:tcBorders>
              <w:top w:val="nil"/>
              <w:left w:val="nil"/>
              <w:bottom w:val="nil"/>
              <w:right w:val="nil"/>
            </w:tcBorders>
            <w:shd w:val="clear" w:color="auto" w:fill="auto"/>
          </w:tcPr>
          <w:p w14:paraId="3048AFDF" w14:textId="77777777" w:rsidR="00E276ED" w:rsidRPr="00B269A7" w:rsidRDefault="00E276ED" w:rsidP="00F752A2">
            <w:pPr>
              <w:rPr>
                <w:rFonts w:ascii="David" w:hAnsi="David"/>
                <w:b/>
                <w:bCs/>
                <w:sz w:val="26"/>
                <w:szCs w:val="26"/>
                <w:rtl/>
              </w:rPr>
            </w:pPr>
          </w:p>
        </w:tc>
        <w:tc>
          <w:tcPr>
            <w:tcW w:w="4126" w:type="dxa"/>
            <w:tcBorders>
              <w:top w:val="nil"/>
              <w:left w:val="nil"/>
              <w:bottom w:val="nil"/>
              <w:right w:val="nil"/>
            </w:tcBorders>
            <w:shd w:val="clear" w:color="auto" w:fill="auto"/>
          </w:tcPr>
          <w:p w14:paraId="6F8FD932" w14:textId="77777777" w:rsidR="00E276ED" w:rsidRPr="00B269A7" w:rsidRDefault="00E276ED" w:rsidP="00F752A2">
            <w:pPr>
              <w:rPr>
                <w:rFonts w:ascii="David" w:hAnsi="David"/>
                <w:b/>
                <w:bCs/>
                <w:sz w:val="26"/>
                <w:szCs w:val="26"/>
                <w:rtl/>
              </w:rPr>
            </w:pPr>
            <w:r w:rsidRPr="00B269A7">
              <w:rPr>
                <w:rFonts w:ascii="David" w:hAnsi="David"/>
                <w:b/>
                <w:bCs/>
                <w:sz w:val="26"/>
                <w:szCs w:val="26"/>
                <w:rtl/>
              </w:rPr>
              <w:t>זכר חיימוב (עציר)</w:t>
            </w:r>
            <w:r w:rsidRPr="00B269A7">
              <w:rPr>
                <w:rFonts w:ascii="David" w:hAnsi="David" w:hint="cs"/>
                <w:b/>
                <w:bCs/>
                <w:sz w:val="26"/>
                <w:szCs w:val="26"/>
                <w:rtl/>
              </w:rPr>
              <w:t>-בעצמו</w:t>
            </w:r>
          </w:p>
        </w:tc>
        <w:tc>
          <w:tcPr>
            <w:tcW w:w="3771" w:type="dxa"/>
            <w:tcBorders>
              <w:top w:val="nil"/>
              <w:left w:val="nil"/>
              <w:bottom w:val="nil"/>
              <w:right w:val="nil"/>
            </w:tcBorders>
            <w:shd w:val="clear" w:color="auto" w:fill="auto"/>
          </w:tcPr>
          <w:p w14:paraId="7C8C5589" w14:textId="77777777" w:rsidR="00E276ED" w:rsidRPr="00B269A7" w:rsidRDefault="00E276ED" w:rsidP="00E276ED">
            <w:pPr>
              <w:jc w:val="right"/>
              <w:rPr>
                <w:rFonts w:ascii="David" w:hAnsi="David"/>
                <w:b/>
                <w:bCs/>
                <w:sz w:val="26"/>
                <w:szCs w:val="26"/>
              </w:rPr>
            </w:pPr>
          </w:p>
        </w:tc>
      </w:tr>
      <w:tr w:rsidR="00E276ED" w:rsidRPr="00B269A7" w14:paraId="77440F84" w14:textId="77777777" w:rsidTr="00E276ED">
        <w:trPr>
          <w:trHeight w:val="355"/>
          <w:jc w:val="center"/>
        </w:trPr>
        <w:tc>
          <w:tcPr>
            <w:tcW w:w="923" w:type="dxa"/>
            <w:tcBorders>
              <w:top w:val="nil"/>
              <w:left w:val="nil"/>
              <w:bottom w:val="nil"/>
              <w:right w:val="nil"/>
            </w:tcBorders>
            <w:shd w:val="clear" w:color="auto" w:fill="auto"/>
          </w:tcPr>
          <w:p w14:paraId="40AA6695" w14:textId="77777777" w:rsidR="00E276ED" w:rsidRPr="00B269A7" w:rsidRDefault="00E276ED" w:rsidP="00E276ED">
            <w:pPr>
              <w:jc w:val="both"/>
              <w:rPr>
                <w:rFonts w:ascii="David" w:hAnsi="David"/>
                <w:b/>
                <w:bCs/>
                <w:sz w:val="26"/>
                <w:szCs w:val="26"/>
                <w:rtl/>
              </w:rPr>
            </w:pPr>
          </w:p>
        </w:tc>
        <w:tc>
          <w:tcPr>
            <w:tcW w:w="4126" w:type="dxa"/>
            <w:tcBorders>
              <w:top w:val="nil"/>
              <w:left w:val="nil"/>
              <w:bottom w:val="nil"/>
              <w:right w:val="nil"/>
            </w:tcBorders>
            <w:shd w:val="clear" w:color="auto" w:fill="auto"/>
          </w:tcPr>
          <w:p w14:paraId="642E422F" w14:textId="77777777" w:rsidR="00E276ED" w:rsidRPr="00B269A7" w:rsidRDefault="00E276ED" w:rsidP="00E276ED">
            <w:pPr>
              <w:jc w:val="both"/>
              <w:rPr>
                <w:rFonts w:ascii="David" w:hAnsi="David"/>
                <w:b/>
                <w:bCs/>
                <w:sz w:val="26"/>
                <w:szCs w:val="26"/>
                <w:rtl/>
              </w:rPr>
            </w:pPr>
            <w:r w:rsidRPr="00B269A7">
              <w:rPr>
                <w:rFonts w:ascii="David" w:hAnsi="David" w:hint="cs"/>
                <w:b/>
                <w:bCs/>
                <w:sz w:val="26"/>
                <w:szCs w:val="26"/>
                <w:rtl/>
              </w:rPr>
              <w:t>ע"י ב"כ עו"ד אפרת צרפתי</w:t>
            </w:r>
          </w:p>
        </w:tc>
        <w:tc>
          <w:tcPr>
            <w:tcW w:w="3771" w:type="dxa"/>
            <w:tcBorders>
              <w:top w:val="nil"/>
              <w:left w:val="nil"/>
              <w:bottom w:val="nil"/>
              <w:right w:val="nil"/>
            </w:tcBorders>
            <w:shd w:val="clear" w:color="auto" w:fill="auto"/>
          </w:tcPr>
          <w:p w14:paraId="5DAE0008" w14:textId="77777777" w:rsidR="00E276ED" w:rsidRPr="00B269A7" w:rsidRDefault="00E276ED" w:rsidP="00E276ED">
            <w:pPr>
              <w:jc w:val="right"/>
              <w:rPr>
                <w:rFonts w:ascii="David" w:hAnsi="David"/>
                <w:b/>
                <w:bCs/>
                <w:sz w:val="26"/>
                <w:szCs w:val="26"/>
              </w:rPr>
            </w:pPr>
            <w:r w:rsidRPr="00B269A7">
              <w:rPr>
                <w:rFonts w:ascii="David" w:hAnsi="David"/>
                <w:b/>
                <w:bCs/>
                <w:sz w:val="26"/>
                <w:szCs w:val="26"/>
                <w:rtl/>
              </w:rPr>
              <w:t>הנאש</w:t>
            </w:r>
            <w:r w:rsidRPr="00B269A7">
              <w:rPr>
                <w:rFonts w:ascii="David" w:hAnsi="David" w:hint="cs"/>
                <w:b/>
                <w:bCs/>
                <w:sz w:val="26"/>
                <w:szCs w:val="26"/>
                <w:rtl/>
              </w:rPr>
              <w:t>ם</w:t>
            </w:r>
          </w:p>
        </w:tc>
      </w:tr>
    </w:tbl>
    <w:p w14:paraId="09142847" w14:textId="77777777" w:rsidR="000C28EF" w:rsidRDefault="000C28EF" w:rsidP="00B269A7">
      <w:pPr>
        <w:rPr>
          <w:sz w:val="26"/>
          <w:szCs w:val="26"/>
          <w:rtl/>
        </w:rPr>
      </w:pPr>
    </w:p>
    <w:p w14:paraId="6559DFDE" w14:textId="77777777" w:rsidR="000C28EF" w:rsidRPr="000C28EF" w:rsidRDefault="000C28EF" w:rsidP="000C28EF">
      <w:pPr>
        <w:spacing w:after="120" w:line="240" w:lineRule="exact"/>
        <w:ind w:left="283" w:hanging="283"/>
        <w:jc w:val="both"/>
        <w:rPr>
          <w:rFonts w:ascii="FrankRuehl" w:hAnsi="FrankRuehl" w:cs="FrankRuehl"/>
          <w:rtl/>
        </w:rPr>
      </w:pPr>
    </w:p>
    <w:p w14:paraId="43EE2AB4" w14:textId="77777777" w:rsidR="00250726" w:rsidRPr="00250726" w:rsidRDefault="00250726" w:rsidP="00250726">
      <w:pPr>
        <w:spacing w:before="120" w:after="120" w:line="240" w:lineRule="exact"/>
        <w:ind w:left="283" w:hanging="283"/>
        <w:jc w:val="both"/>
        <w:rPr>
          <w:rFonts w:ascii="FrankRuehl" w:hAnsi="FrankRuehl" w:cs="FrankRuehl"/>
          <w:rtl/>
        </w:rPr>
      </w:pPr>
    </w:p>
    <w:p w14:paraId="22E91A2D" w14:textId="77777777" w:rsidR="00770525" w:rsidRDefault="00770525" w:rsidP="00770525">
      <w:pPr>
        <w:rPr>
          <w:sz w:val="26"/>
          <w:szCs w:val="26"/>
          <w:rtl/>
        </w:rPr>
      </w:pPr>
      <w:bookmarkStart w:id="3" w:name="LawTable"/>
      <w:bookmarkEnd w:id="3"/>
    </w:p>
    <w:p w14:paraId="639E0191" w14:textId="77777777" w:rsidR="00770525" w:rsidRPr="00770525" w:rsidRDefault="00770525" w:rsidP="00770525">
      <w:pPr>
        <w:spacing w:before="120" w:after="120" w:line="240" w:lineRule="exact"/>
        <w:ind w:left="283" w:hanging="283"/>
        <w:jc w:val="both"/>
        <w:rPr>
          <w:rFonts w:ascii="FrankRuehl" w:hAnsi="FrankRuehl" w:cs="FrankRuehl"/>
          <w:rtl/>
        </w:rPr>
      </w:pPr>
    </w:p>
    <w:p w14:paraId="3FAF13FB" w14:textId="77777777" w:rsidR="00770525" w:rsidRPr="00770525" w:rsidRDefault="00770525" w:rsidP="00770525">
      <w:pPr>
        <w:spacing w:before="120" w:after="120" w:line="240" w:lineRule="exact"/>
        <w:ind w:left="283" w:hanging="283"/>
        <w:jc w:val="both"/>
        <w:rPr>
          <w:rFonts w:ascii="FrankRuehl" w:hAnsi="FrankRuehl" w:cs="FrankRuehl"/>
          <w:rtl/>
        </w:rPr>
      </w:pPr>
    </w:p>
    <w:p w14:paraId="3A9E6B23" w14:textId="77777777" w:rsidR="00770525" w:rsidRPr="00770525" w:rsidRDefault="00770525" w:rsidP="00770525">
      <w:pPr>
        <w:spacing w:before="120" w:after="120" w:line="240" w:lineRule="exact"/>
        <w:ind w:left="283" w:hanging="283"/>
        <w:jc w:val="both"/>
        <w:rPr>
          <w:rFonts w:ascii="FrankRuehl" w:hAnsi="FrankRuehl" w:cs="FrankRuehl"/>
          <w:rtl/>
        </w:rPr>
      </w:pPr>
      <w:r w:rsidRPr="00770525">
        <w:rPr>
          <w:rFonts w:ascii="FrankRuehl" w:hAnsi="FrankRuehl" w:cs="FrankRuehl"/>
          <w:rtl/>
        </w:rPr>
        <w:t xml:space="preserve">חקיקה שאוזכרה: </w:t>
      </w:r>
    </w:p>
    <w:p w14:paraId="6A80E738" w14:textId="77777777" w:rsidR="00770525" w:rsidRPr="00770525" w:rsidRDefault="00770525" w:rsidP="00770525">
      <w:pPr>
        <w:spacing w:before="120" w:after="120" w:line="240" w:lineRule="exact"/>
        <w:ind w:left="283" w:hanging="283"/>
        <w:jc w:val="both"/>
        <w:rPr>
          <w:rFonts w:ascii="FrankRuehl" w:hAnsi="FrankRuehl" w:cs="FrankRuehl"/>
          <w:rtl/>
        </w:rPr>
      </w:pPr>
      <w:hyperlink r:id="rId8" w:history="1">
        <w:r w:rsidRPr="00770525">
          <w:rPr>
            <w:rFonts w:ascii="FrankRuehl" w:hAnsi="FrankRuehl" w:cs="FrankRuehl"/>
            <w:color w:val="0000FF"/>
            <w:rtl/>
          </w:rPr>
          <w:t>פקודת הסמים המסוכנים [נוסח חדש], תשל"ג-1973</w:t>
        </w:r>
      </w:hyperlink>
      <w:r w:rsidRPr="00770525">
        <w:rPr>
          <w:rFonts w:ascii="FrankRuehl" w:hAnsi="FrankRuehl" w:cs="FrankRuehl"/>
          <w:rtl/>
        </w:rPr>
        <w:t xml:space="preserve">: סע'  </w:t>
      </w:r>
      <w:hyperlink r:id="rId9" w:history="1">
        <w:r w:rsidRPr="00770525">
          <w:rPr>
            <w:rFonts w:ascii="FrankRuehl" w:hAnsi="FrankRuehl" w:cs="FrankRuehl"/>
            <w:color w:val="0000FF"/>
            <w:rtl/>
          </w:rPr>
          <w:t>14</w:t>
        </w:r>
      </w:hyperlink>
    </w:p>
    <w:p w14:paraId="6E333073" w14:textId="77777777" w:rsidR="00770525" w:rsidRPr="00770525" w:rsidRDefault="00770525" w:rsidP="00770525">
      <w:pPr>
        <w:rPr>
          <w:sz w:val="26"/>
          <w:szCs w:val="26"/>
          <w:rtl/>
        </w:rPr>
      </w:pPr>
      <w:bookmarkStart w:id="4" w:name="LawTable_End"/>
      <w:bookmarkEnd w:id="4"/>
    </w:p>
    <w:p w14:paraId="3CD69534" w14:textId="77777777" w:rsidR="00E276ED" w:rsidRPr="00250726" w:rsidRDefault="00E276ED" w:rsidP="0025072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276ED" w14:paraId="4442DBC1" w14:textId="77777777" w:rsidTr="00E276ED">
        <w:trPr>
          <w:trHeight w:val="355"/>
          <w:jc w:val="center"/>
        </w:trPr>
        <w:tc>
          <w:tcPr>
            <w:tcW w:w="8820" w:type="dxa"/>
            <w:tcBorders>
              <w:top w:val="nil"/>
              <w:left w:val="nil"/>
              <w:bottom w:val="nil"/>
              <w:right w:val="nil"/>
            </w:tcBorders>
            <w:shd w:val="clear" w:color="auto" w:fill="auto"/>
          </w:tcPr>
          <w:p w14:paraId="0F26B540" w14:textId="77777777" w:rsidR="00B269A7" w:rsidRPr="00B269A7" w:rsidRDefault="00B269A7" w:rsidP="00B269A7">
            <w:pPr>
              <w:jc w:val="center"/>
              <w:rPr>
                <w:rFonts w:ascii="David" w:hAnsi="David"/>
                <w:b/>
                <w:bCs/>
                <w:sz w:val="32"/>
                <w:szCs w:val="32"/>
                <w:u w:val="single"/>
                <w:rtl/>
              </w:rPr>
            </w:pPr>
            <w:bookmarkStart w:id="5" w:name="PsakDin" w:colFirst="0" w:colLast="0"/>
            <w:r w:rsidRPr="00B269A7">
              <w:rPr>
                <w:rFonts w:ascii="David" w:hAnsi="David"/>
                <w:b/>
                <w:bCs/>
                <w:sz w:val="32"/>
                <w:szCs w:val="32"/>
                <w:u w:val="single"/>
                <w:rtl/>
              </w:rPr>
              <w:t>גזר דין</w:t>
            </w:r>
          </w:p>
          <w:p w14:paraId="5B04050E" w14:textId="77777777" w:rsidR="00E276ED" w:rsidRPr="00B269A7" w:rsidRDefault="00E276ED" w:rsidP="00B269A7">
            <w:pPr>
              <w:jc w:val="center"/>
              <w:rPr>
                <w:rFonts w:ascii="David" w:hAnsi="David"/>
                <w:bCs/>
                <w:sz w:val="32"/>
                <w:szCs w:val="32"/>
                <w:u w:val="single"/>
                <w:rtl/>
              </w:rPr>
            </w:pPr>
          </w:p>
        </w:tc>
      </w:tr>
      <w:bookmarkEnd w:id="5"/>
    </w:tbl>
    <w:p w14:paraId="53F543A5" w14:textId="77777777" w:rsidR="00E276ED" w:rsidRPr="002B7D23" w:rsidRDefault="00E276ED" w:rsidP="00E276ED">
      <w:pPr>
        <w:rPr>
          <w:rFonts w:ascii="David" w:hAnsi="David"/>
          <w:sz w:val="26"/>
          <w:szCs w:val="26"/>
          <w:rtl/>
        </w:rPr>
      </w:pPr>
    </w:p>
    <w:p w14:paraId="0330E431" w14:textId="77777777" w:rsidR="00E276ED" w:rsidRPr="002B7D23" w:rsidRDefault="00E276ED" w:rsidP="00E276ED">
      <w:pPr>
        <w:rPr>
          <w:rFonts w:ascii="David" w:hAnsi="David"/>
          <w:sz w:val="26"/>
          <w:szCs w:val="26"/>
          <w:rtl/>
        </w:rPr>
      </w:pPr>
    </w:p>
    <w:p w14:paraId="05AED7B6" w14:textId="77777777" w:rsidR="00E276ED" w:rsidRPr="00E276ED" w:rsidRDefault="00E276ED" w:rsidP="00E276ED">
      <w:pPr>
        <w:spacing w:after="160" w:line="360" w:lineRule="auto"/>
        <w:jc w:val="both"/>
        <w:rPr>
          <w:rFonts w:ascii="Calibri" w:hAnsi="Calibri"/>
          <w:b/>
          <w:bCs/>
          <w:u w:val="single"/>
          <w:rtl/>
        </w:rPr>
      </w:pPr>
      <w:r w:rsidRPr="00E276ED">
        <w:rPr>
          <w:rFonts w:ascii="Calibri" w:hAnsi="Calibri" w:hint="eastAsia"/>
          <w:b/>
          <w:bCs/>
          <w:u w:val="single"/>
          <w:rtl/>
        </w:rPr>
        <w:t>רקע</w:t>
      </w:r>
    </w:p>
    <w:p w14:paraId="1F962588" w14:textId="77777777" w:rsidR="00E276ED" w:rsidRPr="000C0802" w:rsidRDefault="00E276ED" w:rsidP="00E276ED">
      <w:pPr>
        <w:numPr>
          <w:ilvl w:val="0"/>
          <w:numId w:val="1"/>
        </w:numPr>
        <w:snapToGrid w:val="0"/>
        <w:spacing w:line="360" w:lineRule="auto"/>
        <w:contextualSpacing/>
        <w:jc w:val="both"/>
        <w:rPr>
          <w:lang w:eastAsia="he-IL"/>
        </w:rPr>
      </w:pPr>
      <w:bookmarkStart w:id="6" w:name="ABSTRACT_START"/>
      <w:bookmarkEnd w:id="6"/>
      <w:r w:rsidRPr="000C0802">
        <w:rPr>
          <w:rtl/>
          <w:lang w:eastAsia="he-IL"/>
        </w:rPr>
        <w:t xml:space="preserve">ביום 10.5.21, הורשע הנאשם על פי הודאתו בעובדות כתב האישום המתוקן בעבירות של </w:t>
      </w:r>
      <w:r w:rsidRPr="000C0802">
        <w:rPr>
          <w:b/>
          <w:bCs/>
          <w:rtl/>
          <w:lang w:eastAsia="he-IL"/>
        </w:rPr>
        <w:t xml:space="preserve">תיווך בעסקי סמים מסוכנים, </w:t>
      </w:r>
      <w:r w:rsidRPr="000C0802">
        <w:rPr>
          <w:rtl/>
          <w:lang w:eastAsia="he-IL"/>
        </w:rPr>
        <w:t xml:space="preserve">לפי </w:t>
      </w:r>
      <w:hyperlink r:id="rId10" w:history="1">
        <w:r w:rsidR="000C28EF" w:rsidRPr="000C28EF">
          <w:rPr>
            <w:rStyle w:val="Hyperlink"/>
            <w:rtl/>
            <w:lang w:eastAsia="he-IL"/>
          </w:rPr>
          <w:t>סעיף 14</w:t>
        </w:r>
      </w:hyperlink>
      <w:r w:rsidRPr="000C0802">
        <w:rPr>
          <w:rtl/>
          <w:lang w:eastAsia="he-IL"/>
        </w:rPr>
        <w:t xml:space="preserve"> ל</w:t>
      </w:r>
      <w:hyperlink r:id="rId11" w:history="1">
        <w:r w:rsidR="00B269A7" w:rsidRPr="00B269A7">
          <w:rPr>
            <w:color w:val="0000FF"/>
            <w:u w:val="single"/>
            <w:rtl/>
            <w:lang w:eastAsia="he-IL"/>
          </w:rPr>
          <w:t>פקודת הסמים המסוכנים</w:t>
        </w:r>
      </w:hyperlink>
      <w:r w:rsidRPr="000C0802">
        <w:rPr>
          <w:rtl/>
          <w:lang w:eastAsia="he-IL"/>
        </w:rPr>
        <w:t xml:space="preserve"> (נוסח חדש) תשל"ג-1973 (להלן: "הפקודה") וזאת בשלושה אישומים.</w:t>
      </w:r>
    </w:p>
    <w:p w14:paraId="5E2A96A8" w14:textId="77777777" w:rsidR="00E276ED" w:rsidRPr="000C0802" w:rsidRDefault="00E276ED" w:rsidP="00E276ED">
      <w:pPr>
        <w:snapToGrid w:val="0"/>
        <w:spacing w:line="360" w:lineRule="auto"/>
        <w:ind w:left="360"/>
        <w:contextualSpacing/>
        <w:jc w:val="both"/>
        <w:rPr>
          <w:rFonts w:ascii="David" w:hAnsi="David"/>
          <w:rtl/>
          <w:lang w:eastAsia="he-IL"/>
        </w:rPr>
      </w:pPr>
      <w:bookmarkStart w:id="7" w:name="ABSTRACT_END"/>
      <w:bookmarkEnd w:id="7"/>
    </w:p>
    <w:p w14:paraId="22E287D5" w14:textId="77777777" w:rsidR="00E276ED" w:rsidRPr="000C0802" w:rsidRDefault="00E276ED" w:rsidP="00E276ED">
      <w:pPr>
        <w:numPr>
          <w:ilvl w:val="0"/>
          <w:numId w:val="1"/>
        </w:numPr>
        <w:snapToGrid w:val="0"/>
        <w:spacing w:line="360" w:lineRule="auto"/>
        <w:contextualSpacing/>
        <w:jc w:val="both"/>
        <w:rPr>
          <w:rFonts w:ascii="David" w:hAnsi="David"/>
          <w:lang w:eastAsia="he-IL"/>
        </w:rPr>
      </w:pPr>
      <w:r w:rsidRPr="000C0802">
        <w:rPr>
          <w:rFonts w:ascii="David" w:hAnsi="David"/>
          <w:rtl/>
          <w:lang w:eastAsia="he-IL"/>
        </w:rPr>
        <w:t xml:space="preserve">על פי הרקע הכללי לכתב האישום המתוקן במועדים הרלוונטיים שימש השוטר אלירן בן עזרא סוכן משטרה (להלן: "הסוכן") בפעילות כנגד סוחרי סמים בעיר באר שבע (להלן: "הפעילות"). </w:t>
      </w:r>
    </w:p>
    <w:p w14:paraId="6781BB9C" w14:textId="77777777" w:rsidR="00E276ED" w:rsidRPr="000C0802" w:rsidRDefault="00E276ED" w:rsidP="00E276ED">
      <w:pPr>
        <w:snapToGrid w:val="0"/>
        <w:ind w:left="720"/>
        <w:contextualSpacing/>
        <w:rPr>
          <w:rFonts w:ascii="David" w:hAnsi="David"/>
          <w:rtl/>
          <w:lang w:eastAsia="he-IL"/>
        </w:rPr>
      </w:pPr>
    </w:p>
    <w:p w14:paraId="77074994" w14:textId="77777777" w:rsidR="00E276ED" w:rsidRPr="000C0802" w:rsidRDefault="00E276ED" w:rsidP="00E276ED">
      <w:pPr>
        <w:snapToGrid w:val="0"/>
        <w:spacing w:line="360" w:lineRule="auto"/>
        <w:ind w:left="360"/>
        <w:contextualSpacing/>
        <w:jc w:val="both"/>
        <w:rPr>
          <w:rFonts w:ascii="David" w:hAnsi="David"/>
          <w:rtl/>
          <w:lang w:eastAsia="he-IL"/>
        </w:rPr>
      </w:pPr>
      <w:r w:rsidRPr="000C0802">
        <w:rPr>
          <w:rFonts w:ascii="David" w:hAnsi="David"/>
          <w:rtl/>
          <w:lang w:eastAsia="he-IL"/>
        </w:rPr>
        <w:lastRenderedPageBreak/>
        <w:t xml:space="preserve">על פי </w:t>
      </w:r>
      <w:r w:rsidRPr="000C0802">
        <w:rPr>
          <w:rFonts w:ascii="David" w:hAnsi="David"/>
          <w:b/>
          <w:bCs/>
          <w:rtl/>
          <w:lang w:eastAsia="he-IL"/>
        </w:rPr>
        <w:t>האישום הראשון</w:t>
      </w:r>
      <w:r w:rsidRPr="000C0802">
        <w:rPr>
          <w:rFonts w:ascii="David" w:hAnsi="David"/>
          <w:rtl/>
          <w:lang w:eastAsia="he-IL"/>
        </w:rPr>
        <w:t xml:space="preserve">, בתאריך 3.12.20 בסמוך לשעה 13:00, ברחוב מרדכי מקלף בבאר שבע, ניגש הסוכן לנאשם וביקש ממנו שיעזור לו 2 מדבקות של סם מסוכן מסוג </w:t>
      </w:r>
      <w:r w:rsidRPr="000C0802">
        <w:rPr>
          <w:rFonts w:ascii="David" w:hAnsi="David"/>
          <w:lang w:eastAsia="he-IL"/>
        </w:rPr>
        <w:t>F</w:t>
      </w:r>
      <w:r w:rsidRPr="00E276ED">
        <w:rPr>
          <w:rFonts w:ascii="Calibri" w:hAnsi="Calibri"/>
          <w:lang w:eastAsia="he-IL"/>
        </w:rPr>
        <w:t>entanyl</w:t>
      </w:r>
      <w:r w:rsidRPr="00E276ED">
        <w:rPr>
          <w:rFonts w:ascii="Calibri" w:hAnsi="Calibri"/>
          <w:rtl/>
          <w:lang w:eastAsia="he-IL"/>
        </w:rPr>
        <w:t xml:space="preserve"> (</w:t>
      </w:r>
      <w:r w:rsidRPr="00E276ED">
        <w:rPr>
          <w:rFonts w:ascii="Calibri" w:hAnsi="Calibri" w:hint="eastAsia"/>
          <w:rtl/>
          <w:lang w:eastAsia="he-IL"/>
        </w:rPr>
        <w:t>להלן</w:t>
      </w:r>
      <w:r w:rsidRPr="00E276ED">
        <w:rPr>
          <w:rFonts w:ascii="Calibri" w:hAnsi="Calibri"/>
          <w:rtl/>
          <w:lang w:eastAsia="he-IL"/>
        </w:rPr>
        <w:t>: "</w:t>
      </w:r>
      <w:r w:rsidRPr="00E276ED">
        <w:rPr>
          <w:rFonts w:ascii="Calibri" w:hAnsi="Calibri" w:hint="eastAsia"/>
          <w:rtl/>
          <w:lang w:eastAsia="he-IL"/>
        </w:rPr>
        <w:t>מדבקות</w:t>
      </w:r>
      <w:r w:rsidRPr="00E276ED">
        <w:rPr>
          <w:rFonts w:ascii="Calibri" w:hAnsi="Calibri"/>
          <w:rtl/>
          <w:lang w:eastAsia="he-IL"/>
        </w:rPr>
        <w:t xml:space="preserve"> </w:t>
      </w:r>
      <w:r w:rsidRPr="00E276ED">
        <w:rPr>
          <w:rFonts w:ascii="Calibri" w:hAnsi="Calibri" w:hint="eastAsia"/>
          <w:rtl/>
          <w:lang w:eastAsia="he-IL"/>
        </w:rPr>
        <w:t>פנטה</w:t>
      </w:r>
      <w:r w:rsidRPr="00E276ED">
        <w:rPr>
          <w:rFonts w:ascii="Calibri" w:hAnsi="Calibri"/>
          <w:rtl/>
          <w:lang w:eastAsia="he-IL"/>
        </w:rPr>
        <w:t xml:space="preserve">"). </w:t>
      </w:r>
      <w:r w:rsidRPr="00E276ED">
        <w:rPr>
          <w:rFonts w:ascii="Calibri" w:hAnsi="Calibri" w:hint="eastAsia"/>
          <w:rtl/>
          <w:lang w:eastAsia="he-IL"/>
        </w:rPr>
        <w:t>הנאשם</w:t>
      </w:r>
      <w:r w:rsidRPr="00E276ED">
        <w:rPr>
          <w:rFonts w:ascii="Calibri" w:hAnsi="Calibri"/>
          <w:rtl/>
          <w:lang w:eastAsia="he-IL"/>
        </w:rPr>
        <w:t xml:space="preserve"> </w:t>
      </w:r>
      <w:r w:rsidRPr="00E276ED">
        <w:rPr>
          <w:rFonts w:ascii="Calibri" w:hAnsi="Calibri" w:hint="eastAsia"/>
          <w:rtl/>
          <w:lang w:eastAsia="he-IL"/>
        </w:rPr>
        <w:t>בתגובה</w:t>
      </w:r>
      <w:r w:rsidRPr="00E276ED">
        <w:rPr>
          <w:rFonts w:ascii="Calibri" w:hAnsi="Calibri"/>
          <w:rtl/>
          <w:lang w:eastAsia="he-IL"/>
        </w:rPr>
        <w:t xml:space="preserve"> </w:t>
      </w:r>
      <w:r w:rsidRPr="00E276ED">
        <w:rPr>
          <w:rFonts w:ascii="Calibri" w:hAnsi="Calibri" w:hint="eastAsia"/>
          <w:rtl/>
          <w:lang w:eastAsia="he-IL"/>
        </w:rPr>
        <w:t>אמר</w:t>
      </w:r>
      <w:r w:rsidRPr="00E276ED">
        <w:rPr>
          <w:rFonts w:ascii="Calibri" w:hAnsi="Calibri"/>
          <w:rtl/>
          <w:lang w:eastAsia="he-IL"/>
        </w:rPr>
        <w:t xml:space="preserve"> </w:t>
      </w:r>
      <w:r w:rsidRPr="00E276ED">
        <w:rPr>
          <w:rFonts w:ascii="Calibri" w:hAnsi="Calibri" w:hint="eastAsia"/>
          <w:rtl/>
          <w:lang w:eastAsia="he-IL"/>
        </w:rPr>
        <w:t>לסוכן</w:t>
      </w:r>
      <w:r w:rsidRPr="00E276ED">
        <w:rPr>
          <w:rFonts w:ascii="Calibri" w:hAnsi="Calibri"/>
          <w:rtl/>
          <w:lang w:eastAsia="he-IL"/>
        </w:rPr>
        <w:t>: "</w:t>
      </w:r>
      <w:r w:rsidRPr="00E276ED">
        <w:rPr>
          <w:rFonts w:ascii="Calibri" w:hAnsi="Calibri" w:hint="eastAsia"/>
          <w:b/>
          <w:bCs/>
          <w:rtl/>
          <w:lang w:eastAsia="he-IL"/>
        </w:rPr>
        <w:t>אין</w:t>
      </w:r>
      <w:r w:rsidRPr="00E276ED">
        <w:rPr>
          <w:rFonts w:ascii="Calibri" w:hAnsi="Calibri"/>
          <w:b/>
          <w:bCs/>
          <w:rtl/>
          <w:lang w:eastAsia="he-IL"/>
        </w:rPr>
        <w:t xml:space="preserve"> </w:t>
      </w:r>
      <w:r w:rsidRPr="00E276ED">
        <w:rPr>
          <w:rFonts w:ascii="Calibri" w:hAnsi="Calibri" w:hint="eastAsia"/>
          <w:b/>
          <w:bCs/>
          <w:rtl/>
          <w:lang w:eastAsia="he-IL"/>
        </w:rPr>
        <w:t>לי</w:t>
      </w:r>
      <w:r w:rsidRPr="00E276ED">
        <w:rPr>
          <w:rFonts w:ascii="Calibri" w:hAnsi="Calibri"/>
          <w:b/>
          <w:bCs/>
          <w:rtl/>
          <w:lang w:eastAsia="he-IL"/>
        </w:rPr>
        <w:t xml:space="preserve"> </w:t>
      </w:r>
      <w:r w:rsidRPr="00E276ED">
        <w:rPr>
          <w:rFonts w:ascii="Calibri" w:hAnsi="Calibri" w:hint="eastAsia"/>
          <w:b/>
          <w:bCs/>
          <w:rtl/>
          <w:lang w:eastAsia="he-IL"/>
        </w:rPr>
        <w:t>עכשיו</w:t>
      </w:r>
      <w:r w:rsidRPr="00E276ED">
        <w:rPr>
          <w:rFonts w:ascii="Calibri" w:hAnsi="Calibri"/>
          <w:b/>
          <w:bCs/>
          <w:rtl/>
          <w:lang w:eastAsia="he-IL"/>
        </w:rPr>
        <w:t xml:space="preserve"> </w:t>
      </w:r>
      <w:r w:rsidRPr="00E276ED">
        <w:rPr>
          <w:rFonts w:ascii="Calibri" w:hAnsi="Calibri" w:hint="eastAsia"/>
          <w:b/>
          <w:bCs/>
          <w:rtl/>
          <w:lang w:eastAsia="he-IL"/>
        </w:rPr>
        <w:t>אולי</w:t>
      </w:r>
      <w:r w:rsidRPr="00E276ED">
        <w:rPr>
          <w:rFonts w:ascii="Calibri" w:hAnsi="Calibri"/>
          <w:b/>
          <w:bCs/>
          <w:rtl/>
          <w:lang w:eastAsia="he-IL"/>
        </w:rPr>
        <w:t xml:space="preserve"> </w:t>
      </w:r>
      <w:r w:rsidRPr="00E276ED">
        <w:rPr>
          <w:rFonts w:ascii="Calibri" w:hAnsi="Calibri" w:hint="eastAsia"/>
          <w:b/>
          <w:bCs/>
          <w:rtl/>
          <w:lang w:eastAsia="he-IL"/>
        </w:rPr>
        <w:t>בערב</w:t>
      </w:r>
      <w:r w:rsidRPr="00E276ED">
        <w:rPr>
          <w:rFonts w:ascii="Calibri" w:hAnsi="Calibri"/>
          <w:b/>
          <w:bCs/>
          <w:rtl/>
          <w:lang w:eastAsia="he-IL"/>
        </w:rPr>
        <w:t xml:space="preserve"> </w:t>
      </w:r>
      <w:r w:rsidRPr="00E276ED">
        <w:rPr>
          <w:rFonts w:ascii="Calibri" w:hAnsi="Calibri" w:hint="eastAsia"/>
          <w:b/>
          <w:bCs/>
          <w:rtl/>
          <w:lang w:eastAsia="he-IL"/>
        </w:rPr>
        <w:t>יהיה</w:t>
      </w:r>
      <w:r w:rsidRPr="00E276ED">
        <w:rPr>
          <w:rFonts w:ascii="Calibri" w:hAnsi="Calibri"/>
          <w:b/>
          <w:bCs/>
          <w:rtl/>
          <w:lang w:eastAsia="he-IL"/>
        </w:rPr>
        <w:t xml:space="preserve"> </w:t>
      </w:r>
      <w:r w:rsidRPr="00E276ED">
        <w:rPr>
          <w:rFonts w:ascii="Calibri" w:hAnsi="Calibri" w:hint="eastAsia"/>
          <w:b/>
          <w:bCs/>
          <w:rtl/>
          <w:lang w:eastAsia="he-IL"/>
        </w:rPr>
        <w:t>לי</w:t>
      </w:r>
      <w:r w:rsidRPr="00E276ED">
        <w:rPr>
          <w:rFonts w:ascii="Calibri" w:hAnsi="Calibri"/>
          <w:b/>
          <w:bCs/>
          <w:rtl/>
          <w:lang w:eastAsia="he-IL"/>
        </w:rPr>
        <w:t xml:space="preserve">, </w:t>
      </w:r>
      <w:r w:rsidRPr="00E276ED">
        <w:rPr>
          <w:rFonts w:ascii="Calibri" w:hAnsi="Calibri" w:hint="eastAsia"/>
          <w:b/>
          <w:bCs/>
          <w:rtl/>
          <w:lang w:eastAsia="he-IL"/>
        </w:rPr>
        <w:t>תרשום</w:t>
      </w:r>
      <w:r w:rsidRPr="00E276ED">
        <w:rPr>
          <w:rFonts w:ascii="Calibri" w:hAnsi="Calibri"/>
          <w:b/>
          <w:bCs/>
          <w:rtl/>
          <w:lang w:eastAsia="he-IL"/>
        </w:rPr>
        <w:t xml:space="preserve"> </w:t>
      </w:r>
      <w:r w:rsidRPr="00E276ED">
        <w:rPr>
          <w:rFonts w:ascii="Calibri" w:hAnsi="Calibri" w:hint="eastAsia"/>
          <w:b/>
          <w:bCs/>
          <w:rtl/>
          <w:lang w:eastAsia="he-IL"/>
        </w:rPr>
        <w:t>את</w:t>
      </w:r>
      <w:r w:rsidRPr="00E276ED">
        <w:rPr>
          <w:rFonts w:ascii="Calibri" w:hAnsi="Calibri"/>
          <w:b/>
          <w:bCs/>
          <w:rtl/>
          <w:lang w:eastAsia="he-IL"/>
        </w:rPr>
        <w:t xml:space="preserve"> </w:t>
      </w:r>
      <w:r w:rsidRPr="00E276ED">
        <w:rPr>
          <w:rFonts w:ascii="Calibri" w:hAnsi="Calibri" w:hint="eastAsia"/>
          <w:b/>
          <w:bCs/>
          <w:rtl/>
          <w:lang w:eastAsia="he-IL"/>
        </w:rPr>
        <w:t>המספר</w:t>
      </w:r>
      <w:r w:rsidRPr="00E276ED">
        <w:rPr>
          <w:rFonts w:ascii="Calibri" w:hAnsi="Calibri"/>
          <w:b/>
          <w:bCs/>
          <w:rtl/>
          <w:lang w:eastAsia="he-IL"/>
        </w:rPr>
        <w:t xml:space="preserve"> </w:t>
      </w:r>
      <w:r w:rsidRPr="00E276ED">
        <w:rPr>
          <w:rFonts w:ascii="Calibri" w:hAnsi="Calibri" w:hint="eastAsia"/>
          <w:b/>
          <w:bCs/>
          <w:rtl/>
          <w:lang w:eastAsia="he-IL"/>
        </w:rPr>
        <w:t>שלי</w:t>
      </w:r>
      <w:r w:rsidRPr="00E276ED">
        <w:rPr>
          <w:rFonts w:ascii="Calibri" w:hAnsi="Calibri"/>
          <w:b/>
          <w:bCs/>
          <w:rtl/>
          <w:lang w:eastAsia="he-IL"/>
        </w:rPr>
        <w:t xml:space="preserve">". </w:t>
      </w:r>
    </w:p>
    <w:p w14:paraId="6D9EA0E8" w14:textId="77777777" w:rsidR="00E276ED" w:rsidRPr="000C0802" w:rsidRDefault="00E276ED" w:rsidP="00E276ED">
      <w:pPr>
        <w:spacing w:after="160" w:line="360" w:lineRule="auto"/>
        <w:ind w:left="360"/>
        <w:jc w:val="both"/>
        <w:rPr>
          <w:rFonts w:ascii="David" w:hAnsi="David"/>
          <w:rtl/>
          <w:lang w:eastAsia="he-IL"/>
        </w:rPr>
      </w:pPr>
      <w:r w:rsidRPr="000C0802">
        <w:rPr>
          <w:rFonts w:ascii="David" w:hAnsi="David"/>
          <w:rtl/>
          <w:lang w:eastAsia="he-IL"/>
        </w:rPr>
        <w:t xml:space="preserve">לאחר מכן, בסמוך לשעה 15:22 התקשר הסוכן לנאשם והשניים קבעו להיפגש. בהמשך לכך, נפגשו הנאשם והסוכן ברחוב מקלף בבאר שבע, במעמד זה אמר הנאשם לסוכן כי אין לו כרגע, אך יש בחור בשם אילן (להלן: "אילן") שמוכר מדבקה של 100 ב-150 ₪ והוא יתקשר אליו. הנאשם לקח מהסוכן את הכסף. מיד לאחר מכן שוחח הנאשם בטלפון ומסר לסוכן כי הבחור ישן ושידבר איתו בעוד כשעה. </w:t>
      </w:r>
      <w:r w:rsidRPr="000C0802">
        <w:rPr>
          <w:rFonts w:ascii="David" w:hAnsi="David"/>
          <w:rtl/>
          <w:lang w:eastAsia="he-IL"/>
        </w:rPr>
        <w:tab/>
      </w:r>
      <w:r w:rsidRPr="000C0802">
        <w:rPr>
          <w:rFonts w:ascii="David" w:hAnsi="David"/>
          <w:rtl/>
          <w:lang w:eastAsia="he-IL"/>
        </w:rPr>
        <w:tab/>
      </w:r>
      <w:r w:rsidRPr="000C0802">
        <w:rPr>
          <w:rFonts w:ascii="David" w:hAnsi="David"/>
          <w:rtl/>
          <w:lang w:eastAsia="he-IL"/>
        </w:rPr>
        <w:tab/>
      </w:r>
      <w:r w:rsidRPr="000C0802">
        <w:rPr>
          <w:rFonts w:ascii="David" w:hAnsi="David"/>
          <w:rtl/>
          <w:lang w:eastAsia="he-IL"/>
        </w:rPr>
        <w:tab/>
      </w:r>
      <w:r w:rsidRPr="000C0802">
        <w:rPr>
          <w:rFonts w:ascii="David" w:hAnsi="David"/>
          <w:rtl/>
          <w:lang w:eastAsia="he-IL"/>
        </w:rPr>
        <w:tab/>
      </w:r>
      <w:r w:rsidRPr="000C0802">
        <w:rPr>
          <w:rFonts w:ascii="David" w:hAnsi="David"/>
          <w:rtl/>
          <w:lang w:eastAsia="he-IL"/>
        </w:rPr>
        <w:tab/>
        <w:t xml:space="preserve">                 </w:t>
      </w:r>
    </w:p>
    <w:p w14:paraId="798FE514" w14:textId="77777777" w:rsidR="00E276ED" w:rsidRPr="000C0802" w:rsidRDefault="00E276ED" w:rsidP="00E276ED">
      <w:pPr>
        <w:spacing w:after="160" w:line="360" w:lineRule="auto"/>
        <w:ind w:left="360"/>
        <w:jc w:val="both"/>
        <w:rPr>
          <w:rFonts w:ascii="David" w:hAnsi="David"/>
          <w:b/>
          <w:bCs/>
          <w:rtl/>
          <w:lang w:eastAsia="he-IL"/>
        </w:rPr>
      </w:pPr>
      <w:r w:rsidRPr="000C0802">
        <w:rPr>
          <w:rFonts w:ascii="David" w:hAnsi="David"/>
          <w:rtl/>
          <w:lang w:eastAsia="he-IL"/>
        </w:rPr>
        <w:t>לאחר מכן, במסגרת הפעילות, בשעה 12:20 לערך, במרכז האזרחי שבסמוך לתחנה המרכזית בבאר שבע, הבחין הסוכן בנאשם איתו שוחח יום קודם לכן על קניית מדבקות פנטה, ניגש אליו ושאל האם הוא יכול "</w:t>
      </w:r>
      <w:r w:rsidRPr="000C0802">
        <w:rPr>
          <w:rFonts w:ascii="David" w:hAnsi="David"/>
          <w:b/>
          <w:bCs/>
          <w:rtl/>
          <w:lang w:eastAsia="he-IL"/>
        </w:rPr>
        <w:t>לארגן</w:t>
      </w:r>
      <w:r w:rsidRPr="000C0802">
        <w:rPr>
          <w:rFonts w:ascii="David" w:hAnsi="David"/>
          <w:rtl/>
          <w:lang w:eastAsia="he-IL"/>
        </w:rPr>
        <w:t>" אותו במדבקות פנטה. הנאשם בתגובה אמר לו "</w:t>
      </w:r>
      <w:r w:rsidRPr="000C0802">
        <w:rPr>
          <w:rFonts w:ascii="David" w:hAnsi="David"/>
          <w:b/>
          <w:bCs/>
          <w:rtl/>
          <w:lang w:eastAsia="he-IL"/>
        </w:rPr>
        <w:t>בוא נעשה סיבוב נארגן אותך אני רוצה שאנשים יראו אותך כדי להכיר להם אותך, שתוכל לקנות מהם</w:t>
      </w:r>
      <w:r w:rsidRPr="000C0802">
        <w:rPr>
          <w:rFonts w:ascii="David" w:hAnsi="David"/>
          <w:rtl/>
          <w:lang w:eastAsia="he-IL"/>
        </w:rPr>
        <w:t xml:space="preserve"> </w:t>
      </w:r>
      <w:r w:rsidRPr="000C0802">
        <w:rPr>
          <w:rFonts w:ascii="David" w:hAnsi="David"/>
          <w:b/>
          <w:bCs/>
          <w:rtl/>
          <w:lang w:eastAsia="he-IL"/>
        </w:rPr>
        <w:t>לבד</w:t>
      </w:r>
      <w:r w:rsidRPr="000C0802">
        <w:rPr>
          <w:rFonts w:ascii="David" w:hAnsi="David"/>
          <w:rtl/>
          <w:lang w:eastAsia="he-IL"/>
        </w:rPr>
        <w:t>". מיד ובסמוך לכך, ניגשו הסוכן והנאשם לשלום ואתורי (להלן: "שלום"). במעמד זה פנה הנאשם לשלום ואמר לו שהוא צריך מדבקות פנטה, שלום בתגובה אמר לנאשם כי נגמרו ושאל אותו כמה שהוא צריך. לאחר מכן אמר שהולך להביא לו ועזב את המקום. בהמשך לאמור, חזר שלום למקום והנאשם פנה לשלום אומר לו "</w:t>
      </w:r>
      <w:r w:rsidRPr="000C0802">
        <w:rPr>
          <w:rFonts w:ascii="David" w:hAnsi="David"/>
          <w:b/>
          <w:bCs/>
          <w:rtl/>
          <w:lang w:eastAsia="he-IL"/>
        </w:rPr>
        <w:t>תן לו מדבקה</w:t>
      </w:r>
      <w:r w:rsidRPr="000C0802">
        <w:rPr>
          <w:rFonts w:ascii="David" w:hAnsi="David"/>
          <w:rtl/>
          <w:lang w:eastAsia="he-IL"/>
        </w:rPr>
        <w:t xml:space="preserve">" תוך שהוא מצביע לכיוון סוכן, </w:t>
      </w:r>
      <w:r w:rsidRPr="000C0802">
        <w:rPr>
          <w:rFonts w:ascii="David" w:hAnsi="David"/>
          <w:b/>
          <w:bCs/>
          <w:rtl/>
          <w:lang w:eastAsia="he-IL"/>
        </w:rPr>
        <w:t xml:space="preserve">אז נתן הסוכן לשלום סכום של 150 ₪ ובתמורה מסר שלום לסוכן מדבקת פנטה. </w:t>
      </w:r>
    </w:p>
    <w:p w14:paraId="205439C3" w14:textId="77777777" w:rsidR="00E276ED" w:rsidRPr="000C0802" w:rsidRDefault="00E276ED" w:rsidP="00E276ED">
      <w:pPr>
        <w:spacing w:after="160" w:line="360" w:lineRule="auto"/>
        <w:ind w:left="360"/>
        <w:jc w:val="both"/>
        <w:rPr>
          <w:rFonts w:ascii="David" w:hAnsi="David"/>
          <w:b/>
          <w:bCs/>
          <w:rtl/>
          <w:lang w:eastAsia="he-IL"/>
        </w:rPr>
      </w:pPr>
    </w:p>
    <w:p w14:paraId="5A38AD4E" w14:textId="77777777" w:rsidR="00E276ED" w:rsidRPr="000C0802" w:rsidRDefault="00E276ED" w:rsidP="00E276ED">
      <w:pPr>
        <w:spacing w:after="160" w:line="360" w:lineRule="auto"/>
        <w:ind w:left="360"/>
        <w:jc w:val="both"/>
        <w:rPr>
          <w:rFonts w:ascii="David" w:hAnsi="David"/>
          <w:rtl/>
        </w:rPr>
      </w:pPr>
      <w:r w:rsidRPr="000C0802">
        <w:rPr>
          <w:rFonts w:ascii="David" w:hAnsi="David"/>
          <w:rtl/>
        </w:rPr>
        <w:t xml:space="preserve">מעבודות </w:t>
      </w:r>
      <w:r w:rsidRPr="000C0802">
        <w:rPr>
          <w:rFonts w:ascii="David" w:hAnsi="David"/>
          <w:b/>
          <w:bCs/>
          <w:rtl/>
        </w:rPr>
        <w:t>האישום השני</w:t>
      </w:r>
      <w:r w:rsidRPr="000C0802">
        <w:rPr>
          <w:rFonts w:ascii="David" w:hAnsi="David"/>
          <w:rtl/>
        </w:rPr>
        <w:t xml:space="preserve"> עולה כי במסגרת הפעילות, בתאריך 11.12.20 בסמוך לשעה 09:00, התקשר הסוכן למספר הטלפון אותו מסר לו הנאשם כמפורט באישום 1 שלעיל ושאל אותו אם הוא יכול "לארגן" אותו במדבקות פנטה. הנאשם הודיע לסוכן כי אין לו, אז אמר לו הסוכן "</w:t>
      </w:r>
      <w:r w:rsidRPr="000C0802">
        <w:rPr>
          <w:rFonts w:ascii="David" w:hAnsi="David"/>
          <w:b/>
          <w:bCs/>
          <w:rtl/>
        </w:rPr>
        <w:t>אני יכול להתקשר לאילן ולהגיד לו ששלחת אות</w:t>
      </w:r>
      <w:r w:rsidRPr="000C0802">
        <w:rPr>
          <w:rFonts w:ascii="David" w:hAnsi="David"/>
          <w:rtl/>
        </w:rPr>
        <w:t>י</w:t>
      </w:r>
      <w:r w:rsidRPr="000C0802">
        <w:rPr>
          <w:rFonts w:ascii="David" w:hAnsi="David"/>
          <w:b/>
          <w:bCs/>
          <w:rtl/>
        </w:rPr>
        <w:t>?</w:t>
      </w:r>
      <w:r w:rsidRPr="000C0802">
        <w:rPr>
          <w:rFonts w:ascii="David" w:hAnsi="David"/>
          <w:rtl/>
        </w:rPr>
        <w:t xml:space="preserve">" הנאשם אמר לסוכן שלא עושים דברים כאלה וקבע להיפגש עמו בסמוך לקופת חולים שברחוב מקלף בבאר שבע (להלן: "המקום"). </w:t>
      </w:r>
    </w:p>
    <w:p w14:paraId="4B5D5D68" w14:textId="77777777" w:rsidR="00E276ED" w:rsidRPr="000C0802" w:rsidRDefault="00E276ED" w:rsidP="00E276ED">
      <w:pPr>
        <w:spacing w:after="160" w:line="360" w:lineRule="auto"/>
        <w:ind w:left="360"/>
        <w:jc w:val="both"/>
        <w:rPr>
          <w:rFonts w:ascii="David" w:hAnsi="David"/>
          <w:rtl/>
        </w:rPr>
      </w:pPr>
      <w:r w:rsidRPr="000C0802">
        <w:rPr>
          <w:rFonts w:ascii="David" w:hAnsi="David"/>
          <w:rtl/>
        </w:rPr>
        <w:t>בהמשך למתואר לעיל בסמוך לשעה 13:15 הגיע הסוכן למקום ופגש את הנאשם שאמר לו "</w:t>
      </w:r>
      <w:r w:rsidRPr="000C0802">
        <w:rPr>
          <w:rFonts w:ascii="David" w:hAnsi="David"/>
          <w:b/>
          <w:bCs/>
          <w:rtl/>
        </w:rPr>
        <w:t>אילן מאוד זהיר פעם אחת כבר מכר לשוטר והוא לא מוכר לכל אחד ולמי שהוא לא מכיר</w:t>
      </w:r>
      <w:r w:rsidRPr="000C0802">
        <w:rPr>
          <w:rFonts w:ascii="David" w:hAnsi="David"/>
          <w:rtl/>
        </w:rPr>
        <w:t>". לאחר מכן, ביצע הנאשם שיחת טלפון בה אמר: "</w:t>
      </w:r>
      <w:r w:rsidRPr="000C0802">
        <w:rPr>
          <w:rFonts w:ascii="David" w:hAnsi="David"/>
          <w:b/>
          <w:bCs/>
          <w:rtl/>
        </w:rPr>
        <w:t>מה קורה, אני צריך... טוב אז עוד 10 דקות אתה פה, אני ליד קופת החולים</w:t>
      </w:r>
      <w:r w:rsidRPr="000C0802">
        <w:rPr>
          <w:rFonts w:ascii="David" w:hAnsi="David"/>
          <w:rtl/>
        </w:rPr>
        <w:t>" וניתק. במעמד זה פנה הנאשם  לסוכן ואמר לו "</w:t>
      </w:r>
      <w:r w:rsidRPr="000C0802">
        <w:rPr>
          <w:rFonts w:ascii="David" w:hAnsi="David"/>
          <w:b/>
          <w:bCs/>
          <w:rtl/>
        </w:rPr>
        <w:t>תביא לי את הכסף ותעמוד בצד</w:t>
      </w:r>
      <w:r w:rsidRPr="000C0802">
        <w:rPr>
          <w:rFonts w:ascii="David" w:hAnsi="David"/>
          <w:rtl/>
        </w:rPr>
        <w:t xml:space="preserve">". בהמשך למתואר לעיל בסמוך לשעה 13:30 הגיע למקום רכב ובו אילן. הנאשם ניגש לחלון הקדמי שליד הנהג, מסר לאילן את הכסף </w:t>
      </w:r>
      <w:r w:rsidRPr="000C0802">
        <w:rPr>
          <w:rFonts w:ascii="David" w:hAnsi="David"/>
          <w:b/>
          <w:bCs/>
          <w:rtl/>
        </w:rPr>
        <w:t xml:space="preserve">והרים מהמושב מדבקת פנטה אותה מסר לסוכן. </w:t>
      </w:r>
    </w:p>
    <w:p w14:paraId="57D530FA" w14:textId="77777777" w:rsidR="00E276ED" w:rsidRPr="000C0802" w:rsidRDefault="00E276ED" w:rsidP="00E276ED">
      <w:pPr>
        <w:spacing w:after="160" w:line="360" w:lineRule="auto"/>
        <w:ind w:left="360"/>
        <w:jc w:val="both"/>
        <w:rPr>
          <w:rFonts w:ascii="David" w:hAnsi="David"/>
          <w:rtl/>
        </w:rPr>
      </w:pPr>
    </w:p>
    <w:p w14:paraId="28C4CAA0" w14:textId="77777777" w:rsidR="00E276ED" w:rsidRPr="000C0802" w:rsidRDefault="00E276ED" w:rsidP="00E276ED">
      <w:pPr>
        <w:spacing w:after="160" w:line="360" w:lineRule="auto"/>
        <w:ind w:left="360"/>
        <w:jc w:val="both"/>
        <w:rPr>
          <w:rFonts w:ascii="David" w:hAnsi="David"/>
          <w:b/>
          <w:bCs/>
          <w:rtl/>
        </w:rPr>
      </w:pPr>
      <w:r w:rsidRPr="000C0802">
        <w:rPr>
          <w:rFonts w:ascii="David" w:hAnsi="David"/>
          <w:rtl/>
        </w:rPr>
        <w:lastRenderedPageBreak/>
        <w:t xml:space="preserve">מעבודות </w:t>
      </w:r>
      <w:r w:rsidRPr="000C0802">
        <w:rPr>
          <w:rFonts w:ascii="David" w:hAnsi="David"/>
          <w:b/>
          <w:bCs/>
          <w:rtl/>
        </w:rPr>
        <w:t>האישום השלישי</w:t>
      </w:r>
      <w:r w:rsidRPr="000C0802">
        <w:rPr>
          <w:rFonts w:ascii="David" w:hAnsi="David"/>
          <w:rtl/>
        </w:rPr>
        <w:t xml:space="preserve"> עולה, כי בתאריך 13.12.20 בסמוך לשעה 09:50, התקשר הסוכן למספר הטלפון אותו מסר לו הנאשם כמפורט באישום 1 שלעיל ושאל אותו אם הוא יכול "לארגן" אותו במדבקות פנטה. בהמשך לאמור, בסמוך לשעה 10:05 במקום בו נפגש הסוכן עם הנאשם ואמר לו "</w:t>
      </w:r>
      <w:r w:rsidRPr="000C0802">
        <w:rPr>
          <w:rFonts w:ascii="David" w:hAnsi="David"/>
          <w:b/>
          <w:bCs/>
          <w:rtl/>
        </w:rPr>
        <w:t>דברתי עלייך עם אילן והוא אמר לי שהוא לא רוצה שאני אביא לו אנשים חדשים שהוא לא מכיר</w:t>
      </w:r>
      <w:r w:rsidRPr="000C0802">
        <w:rPr>
          <w:rFonts w:ascii="David" w:hAnsi="David"/>
          <w:rtl/>
        </w:rPr>
        <w:t>". הסוכן אמר לנאשם כי אין לו כוח כל הזמן ללכת לתחנה המרכזית ובתגובה אמר לו הנאשם "</w:t>
      </w:r>
      <w:r w:rsidRPr="000C0802">
        <w:rPr>
          <w:rFonts w:ascii="David" w:hAnsi="David"/>
          <w:b/>
          <w:bCs/>
          <w:rtl/>
        </w:rPr>
        <w:t xml:space="preserve">בוא בוא נלך אליו לעבודה נעשה סיבוב". </w:t>
      </w:r>
    </w:p>
    <w:p w14:paraId="209E33DE" w14:textId="77777777" w:rsidR="00E276ED" w:rsidRPr="000C0802" w:rsidRDefault="00E276ED" w:rsidP="00E276ED">
      <w:pPr>
        <w:spacing w:after="160" w:line="360" w:lineRule="auto"/>
        <w:ind w:left="360"/>
        <w:jc w:val="both"/>
        <w:rPr>
          <w:rFonts w:ascii="David" w:hAnsi="David"/>
          <w:rtl/>
        </w:rPr>
      </w:pPr>
      <w:r w:rsidRPr="000C0802">
        <w:rPr>
          <w:rFonts w:ascii="David" w:hAnsi="David"/>
          <w:rtl/>
        </w:rPr>
        <w:t>בהמשך למתואר, בסמוך למתחם בית הכנסת במקום, עצר הנאשם ואמר לסוכן "</w:t>
      </w:r>
      <w:r w:rsidRPr="000C0802">
        <w:rPr>
          <w:rFonts w:ascii="David" w:hAnsi="David"/>
          <w:b/>
          <w:bCs/>
          <w:rtl/>
        </w:rPr>
        <w:t>פה אילן עושה עבודות שירות</w:t>
      </w:r>
      <w:r w:rsidRPr="000C0802">
        <w:rPr>
          <w:rFonts w:ascii="David" w:hAnsi="David"/>
          <w:rtl/>
        </w:rPr>
        <w:t>". במעמד זה, לאחר שהנאשם שוחח בטלפון הנייד שלו תוך שהסוכן שומע אותו אומר "</w:t>
      </w:r>
      <w:r w:rsidRPr="000C0802">
        <w:rPr>
          <w:rFonts w:ascii="David" w:hAnsi="David"/>
          <w:b/>
          <w:bCs/>
          <w:rtl/>
        </w:rPr>
        <w:t>אני פה בחוץ</w:t>
      </w:r>
      <w:r w:rsidRPr="000C0802">
        <w:rPr>
          <w:rFonts w:ascii="David" w:hAnsi="David"/>
          <w:rtl/>
        </w:rPr>
        <w:t>" פנה הנאשם לסוכן ואמר לו "</w:t>
      </w:r>
      <w:r w:rsidRPr="000C0802">
        <w:rPr>
          <w:rFonts w:ascii="David" w:hAnsi="David"/>
          <w:b/>
          <w:bCs/>
          <w:rtl/>
        </w:rPr>
        <w:t>תביא את הכסף</w:t>
      </w:r>
      <w:r w:rsidRPr="000C0802">
        <w:rPr>
          <w:rFonts w:ascii="David" w:hAnsi="David"/>
          <w:rtl/>
        </w:rPr>
        <w:t xml:space="preserve">". לאחר מכן, נכנסו הנאשם והסוכן לחניית עפר בסמוך לכולל "נחלת בנימין" אז ניגש הנאשם לחלון רכב בו יש אילן, </w:t>
      </w:r>
      <w:r w:rsidRPr="000C0802">
        <w:rPr>
          <w:rFonts w:ascii="David" w:hAnsi="David"/>
          <w:b/>
          <w:bCs/>
          <w:rtl/>
        </w:rPr>
        <w:t>במעמד זה נתן הנאשם לאילן את הכסף ואילן העביר לו מדבקת פנטה אותה מסר הנאשם לסוכן.</w:t>
      </w:r>
      <w:r w:rsidRPr="000C0802">
        <w:rPr>
          <w:rFonts w:ascii="David" w:hAnsi="David"/>
          <w:rtl/>
        </w:rPr>
        <w:t xml:space="preserve">  </w:t>
      </w:r>
    </w:p>
    <w:p w14:paraId="70389A05" w14:textId="77777777" w:rsidR="00E276ED" w:rsidRDefault="00E276ED" w:rsidP="00E276ED">
      <w:pPr>
        <w:spacing w:after="160" w:line="360" w:lineRule="auto"/>
        <w:jc w:val="both"/>
        <w:rPr>
          <w:b/>
          <w:bCs/>
          <w:u w:val="single"/>
          <w:rtl/>
          <w:lang w:eastAsia="he-IL"/>
        </w:rPr>
      </w:pPr>
    </w:p>
    <w:p w14:paraId="4679B1DE" w14:textId="77777777" w:rsidR="00E276ED" w:rsidRDefault="00E276ED" w:rsidP="00E276ED">
      <w:pPr>
        <w:spacing w:after="160" w:line="360" w:lineRule="auto"/>
        <w:jc w:val="both"/>
        <w:rPr>
          <w:b/>
          <w:bCs/>
          <w:u w:val="single"/>
          <w:rtl/>
          <w:lang w:eastAsia="he-IL"/>
        </w:rPr>
      </w:pPr>
    </w:p>
    <w:p w14:paraId="45A97BD2" w14:textId="77777777" w:rsidR="00E276ED" w:rsidRPr="000C0802" w:rsidRDefault="00E276ED" w:rsidP="00E276ED">
      <w:pPr>
        <w:spacing w:after="160" w:line="360" w:lineRule="auto"/>
        <w:jc w:val="both"/>
        <w:rPr>
          <w:b/>
          <w:bCs/>
          <w:u w:val="single"/>
          <w:lang w:eastAsia="he-IL"/>
        </w:rPr>
      </w:pPr>
      <w:r w:rsidRPr="000C0802">
        <w:rPr>
          <w:b/>
          <w:bCs/>
          <w:u w:val="single"/>
          <w:rtl/>
          <w:lang w:eastAsia="he-IL"/>
        </w:rPr>
        <w:t>טענות הצדדים לעונש</w:t>
      </w:r>
    </w:p>
    <w:p w14:paraId="12000FE4" w14:textId="77777777" w:rsidR="00E276ED" w:rsidRPr="000C0802" w:rsidRDefault="00E276ED" w:rsidP="00E276ED">
      <w:pPr>
        <w:numPr>
          <w:ilvl w:val="0"/>
          <w:numId w:val="1"/>
        </w:numPr>
        <w:snapToGrid w:val="0"/>
        <w:spacing w:line="360" w:lineRule="auto"/>
        <w:contextualSpacing/>
        <w:jc w:val="both"/>
        <w:rPr>
          <w:b/>
          <w:bCs/>
          <w:u w:val="single"/>
          <w:lang w:eastAsia="he-IL"/>
        </w:rPr>
      </w:pPr>
      <w:r w:rsidRPr="000C0802">
        <w:rPr>
          <w:rtl/>
          <w:lang w:eastAsia="he-IL"/>
        </w:rPr>
        <w:t xml:space="preserve">מטעם המאשימה הוגש גיליון רישום פלילי של הנאשם [ת/1], וטיעונים לעונש בכתב. </w:t>
      </w:r>
    </w:p>
    <w:p w14:paraId="276E672F" w14:textId="77777777" w:rsidR="00E276ED" w:rsidRPr="000C0802" w:rsidRDefault="00E276ED" w:rsidP="00E276ED">
      <w:pPr>
        <w:numPr>
          <w:ilvl w:val="0"/>
          <w:numId w:val="1"/>
        </w:numPr>
        <w:snapToGrid w:val="0"/>
        <w:spacing w:line="360" w:lineRule="auto"/>
        <w:contextualSpacing/>
        <w:jc w:val="both"/>
        <w:rPr>
          <w:lang w:eastAsia="he-IL"/>
        </w:rPr>
      </w:pPr>
      <w:r w:rsidRPr="000C0802">
        <w:rPr>
          <w:b/>
          <w:bCs/>
          <w:rtl/>
          <w:lang w:eastAsia="he-IL"/>
        </w:rPr>
        <w:t xml:space="preserve">ב"כ המאשימה </w:t>
      </w:r>
      <w:r w:rsidRPr="000C0802">
        <w:rPr>
          <w:rtl/>
          <w:lang w:eastAsia="he-IL"/>
        </w:rPr>
        <w:t xml:space="preserve">עמדה על הערכים המוגנים העומדים בבסיס עבירות הסמים, שלא למטרת צריכה עצמית. נטען, כי במקרה זה הפגיעה בערכים המוגנים היא רבה בשים לב לסוג הסם ולעבודה כי לא מדובר באירוע יחיד וספונטני אלא </w:t>
      </w:r>
      <w:r w:rsidRPr="000C0802">
        <w:rPr>
          <w:b/>
          <w:bCs/>
          <w:rtl/>
          <w:lang w:eastAsia="he-IL"/>
        </w:rPr>
        <w:t xml:space="preserve">ברצף </w:t>
      </w:r>
      <w:r w:rsidRPr="000C0802">
        <w:rPr>
          <w:rtl/>
          <w:lang w:eastAsia="he-IL"/>
        </w:rPr>
        <w:t xml:space="preserve">אירועים, במועדים שונים. נטען, כי לנאשם נגישות לסמים ולא מדובר בתיווך מינורי ושולי. הנאשם במעשיו ביצע פעולות אקטיביות רבות, שבלעדיהן לא היו יוצאות לפועל עסקאות הסחר. </w:t>
      </w:r>
    </w:p>
    <w:p w14:paraId="5179493E"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ב"כ המאשימה הפנתה לאסמכתאות שונות בנוגע לסם מסוג מדבקות "פנטה" מהן ביקשה להסיק לגבי רמת הענישה הראויה במקרה זה.</w:t>
      </w:r>
    </w:p>
    <w:p w14:paraId="34FBC131"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 xml:space="preserve">נטען, כי על פי מבחן "הקשר ההדוק" במקרה זה ניתן לקבוע מתחם עונש אחד בשלושת האישומים, אך על המתחם לשקף את נסיבות האירועים, סוג הסם, ואת התנהלות הנאשם המצביעה על כך שהוא מעורה היטב בעולם הסמים. </w:t>
      </w:r>
    </w:p>
    <w:p w14:paraId="392F3D55"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 xml:space="preserve"> בנסיבות אלה נטען, כי מתחם העונש ההולם הוא 18-36 חודשי מאסר בפועל.</w:t>
      </w:r>
    </w:p>
    <w:p w14:paraId="6450B91F"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 xml:space="preserve">נטען כי בקביעת עונשו של הנאשם בגדרי המתחם יש להתייחס לנסיבות שאינן קשורות בביצוע העבירה, בהן עברו הפלילי המכביד של הנאשם הכולל 12 הרשעות קודמות בעבירות סמים רבות ובעבירות רכוש ואלימות בגינן ריצה הן מאסרים בפועל והן הושתו עליו עונשים צופי פני עתיד, אך לא היה בהן כדי להרתיעו. נטען, כי גם להרשעות שהתיישנו יש לתת משקל לא מבוטל בשים לב לכמות ההרשעות ולמהותן. </w:t>
      </w:r>
    </w:p>
    <w:p w14:paraId="07DAD2E6"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נטען, כי עומדת לזכות הנאשם ההודאה בעובדות כתב האישום המתוקן והחיסכון בזמן השיפוטי, אך אין נימוק אחר לקולא מלבד זאת.</w:t>
      </w:r>
    </w:p>
    <w:p w14:paraId="70D985F6"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לסיכום, עתרה ב"כ המאשימה להטיל על הנאשם עונש במרכז המתחם, בצירוף ענישה נלווית, מאסר מותנה, קנס ופסילת רישיון בפועל ועל-תנאי.</w:t>
      </w:r>
    </w:p>
    <w:p w14:paraId="63F52859" w14:textId="77777777" w:rsidR="00E276ED" w:rsidRPr="000C0802" w:rsidRDefault="00E276ED" w:rsidP="00E276ED">
      <w:pPr>
        <w:numPr>
          <w:ilvl w:val="0"/>
          <w:numId w:val="1"/>
        </w:numPr>
        <w:snapToGrid w:val="0"/>
        <w:spacing w:line="360" w:lineRule="auto"/>
        <w:contextualSpacing/>
        <w:jc w:val="both"/>
        <w:rPr>
          <w:lang w:eastAsia="he-IL"/>
        </w:rPr>
      </w:pPr>
      <w:r w:rsidRPr="000C0802">
        <w:rPr>
          <w:b/>
          <w:bCs/>
          <w:rtl/>
          <w:lang w:eastAsia="he-IL"/>
        </w:rPr>
        <w:t xml:space="preserve">ב"כ הנאשם </w:t>
      </w:r>
      <w:r w:rsidRPr="000C0802">
        <w:rPr>
          <w:rtl/>
          <w:lang w:eastAsia="he-IL"/>
        </w:rPr>
        <w:t>סבורה, כי מתחם העונש ההולם במקרה זה נמוך בהרבה. לטענתה, מעובדות כתב האישום עולה כי הנאשם היה כלי בידי אחר ולא היה עצמאי או אקטיבי בביצוע העבירות. גם הסוכן ניסה להגיע באמצעות הנאשם אל אדם אחר.</w:t>
      </w:r>
    </w:p>
    <w:p w14:paraId="4F19D372"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 xml:space="preserve">נטען, כי הנאשם הוא דר רחוב ערירי, שטרם מעצרו טופל ב"אדולן" במרכז 'סלע' לטיפול בהתמכרויות לסמים.  </w:t>
      </w:r>
    </w:p>
    <w:p w14:paraId="2CD19295"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נטען כי אכן עברו של הנאשם מכביד אך מדובר בעבירות שנעברו לאחרונה בשנת 2013.</w:t>
      </w:r>
    </w:p>
    <w:p w14:paraId="7EF1339E"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 xml:space="preserve">נטען, כי מן האסמכתאות אליהן הפנתה המאשימה, בהן הרשעות בסחר בהירואין ובקוקאין, ניתן ללמוד כי המתחם במקרה זה צריך להיות נמוך בהרבה. ב"כ הנאשם הפנתה לאסמכתאות התומכות בעמדתה. </w:t>
      </w:r>
    </w:p>
    <w:p w14:paraId="06563E45"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נטען, כי במקרה זה לנאשם לא היה רווח כלכלי כתוצאה מהעבירות אותן ביצע.</w:t>
      </w:r>
    </w:p>
    <w:p w14:paraId="359F98EF" w14:textId="77777777" w:rsidR="00E276ED" w:rsidRPr="00E276ED" w:rsidRDefault="00E276ED" w:rsidP="00E276ED">
      <w:pPr>
        <w:spacing w:after="160" w:line="360" w:lineRule="auto"/>
        <w:jc w:val="both"/>
        <w:rPr>
          <w:rFonts w:ascii="Calibri" w:hAnsi="Calibri"/>
          <w:bCs/>
          <w:u w:val="single"/>
          <w:rtl/>
        </w:rPr>
      </w:pPr>
      <w:r w:rsidRPr="00E276ED">
        <w:rPr>
          <w:rFonts w:ascii="Calibri" w:hAnsi="Calibri" w:hint="eastAsia"/>
          <w:bCs/>
          <w:u w:val="single"/>
          <w:rtl/>
        </w:rPr>
        <w:t>דיון</w:t>
      </w:r>
      <w:r w:rsidRPr="00E276ED">
        <w:rPr>
          <w:rFonts w:ascii="Calibri" w:hAnsi="Calibri"/>
          <w:bCs/>
          <w:u w:val="single"/>
          <w:rtl/>
        </w:rPr>
        <w:t xml:space="preserve"> </w:t>
      </w:r>
      <w:r w:rsidRPr="00E276ED">
        <w:rPr>
          <w:rFonts w:ascii="Calibri" w:hAnsi="Calibri" w:hint="eastAsia"/>
          <w:bCs/>
          <w:u w:val="single"/>
          <w:rtl/>
        </w:rPr>
        <w:t>והכרעה</w:t>
      </w:r>
    </w:p>
    <w:p w14:paraId="46BAE7AF" w14:textId="77777777" w:rsidR="00E276ED" w:rsidRPr="00E276ED" w:rsidRDefault="00E276ED" w:rsidP="00E276ED">
      <w:pPr>
        <w:spacing w:after="160" w:line="360" w:lineRule="auto"/>
        <w:jc w:val="both"/>
        <w:rPr>
          <w:rFonts w:ascii="Calibri" w:hAnsi="Calibri"/>
          <w:u w:val="single"/>
        </w:rPr>
      </w:pPr>
      <w:r w:rsidRPr="00E276ED">
        <w:rPr>
          <w:rFonts w:ascii="Calibri" w:hAnsi="Calibri" w:hint="eastAsia"/>
          <w:u w:val="single"/>
          <w:rtl/>
        </w:rPr>
        <w:t>קביעת</w:t>
      </w:r>
      <w:r w:rsidRPr="00E276ED">
        <w:rPr>
          <w:rFonts w:ascii="Calibri" w:hAnsi="Calibri"/>
          <w:u w:val="single"/>
          <w:rtl/>
        </w:rPr>
        <w:t xml:space="preserve"> </w:t>
      </w:r>
      <w:r w:rsidRPr="00E276ED">
        <w:rPr>
          <w:rFonts w:ascii="Calibri" w:hAnsi="Calibri" w:hint="eastAsia"/>
          <w:u w:val="single"/>
          <w:rtl/>
        </w:rPr>
        <w:t>מתחם</w:t>
      </w:r>
      <w:r w:rsidRPr="00E276ED">
        <w:rPr>
          <w:rFonts w:ascii="Calibri" w:hAnsi="Calibri"/>
          <w:u w:val="single"/>
          <w:rtl/>
        </w:rPr>
        <w:t xml:space="preserve"> </w:t>
      </w:r>
      <w:r w:rsidRPr="00E276ED">
        <w:rPr>
          <w:rFonts w:ascii="Calibri" w:hAnsi="Calibri" w:hint="eastAsia"/>
          <w:u w:val="single"/>
          <w:rtl/>
        </w:rPr>
        <w:t>העונש</w:t>
      </w:r>
      <w:r w:rsidRPr="00E276ED">
        <w:rPr>
          <w:rFonts w:ascii="Calibri" w:hAnsi="Calibri"/>
          <w:u w:val="single"/>
          <w:rtl/>
        </w:rPr>
        <w:t xml:space="preserve"> </w:t>
      </w:r>
      <w:r w:rsidRPr="00E276ED">
        <w:rPr>
          <w:rFonts w:ascii="Calibri" w:hAnsi="Calibri" w:hint="eastAsia"/>
          <w:u w:val="single"/>
          <w:rtl/>
        </w:rPr>
        <w:t>ההולם</w:t>
      </w:r>
      <w:r w:rsidRPr="00E276ED">
        <w:rPr>
          <w:rFonts w:ascii="Calibri" w:hAnsi="Calibri"/>
          <w:u w:val="single"/>
          <w:rtl/>
        </w:rPr>
        <w:t>:</w:t>
      </w:r>
    </w:p>
    <w:p w14:paraId="0B56FCC5"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232BBD07" w14:textId="77777777" w:rsidR="00E276ED" w:rsidRPr="000C0802" w:rsidRDefault="00E276ED" w:rsidP="00E276ED">
      <w:pPr>
        <w:numPr>
          <w:ilvl w:val="0"/>
          <w:numId w:val="1"/>
        </w:numPr>
        <w:snapToGrid w:val="0"/>
        <w:spacing w:after="200" w:line="360" w:lineRule="auto"/>
        <w:contextualSpacing/>
        <w:jc w:val="both"/>
        <w:rPr>
          <w:rFonts w:ascii="David" w:hAnsi="David"/>
          <w:rtl/>
          <w:lang w:eastAsia="he-IL"/>
        </w:rPr>
      </w:pPr>
      <w:r w:rsidRPr="000C0802">
        <w:rPr>
          <w:rFonts w:ascii="David" w:hAnsi="David"/>
          <w:rtl/>
          <w:lang w:eastAsia="he-IL"/>
        </w:rPr>
        <w:t xml:space="preserve">בעבירות הסמים, טמון פוטנציאל לנזק רב ורחב, לא רק למעורבים הישירים בביצוע העבירות ואף לא רק לצרכנים המיועדים, אלא לציבור כולו. כפי שכבר נכתב על ידי מותב זה בעבר (ראו </w:t>
      </w:r>
      <w:hyperlink r:id="rId12" w:history="1">
        <w:r w:rsidR="00B269A7" w:rsidRPr="00B269A7">
          <w:rPr>
            <w:rFonts w:ascii="David" w:hAnsi="David"/>
            <w:color w:val="0000FF"/>
            <w:u w:val="single"/>
            <w:rtl/>
            <w:lang w:eastAsia="he-IL"/>
          </w:rPr>
          <w:t>ת"פ 38680-05-20</w:t>
        </w:r>
      </w:hyperlink>
      <w:r w:rsidRPr="000C0802">
        <w:rPr>
          <w:rFonts w:ascii="David" w:hAnsi="David"/>
          <w:rtl/>
          <w:lang w:eastAsia="he-IL"/>
        </w:rPr>
        <w:t xml:space="preserve"> </w:t>
      </w:r>
      <w:r w:rsidRPr="000C0802">
        <w:rPr>
          <w:rFonts w:ascii="David" w:hAnsi="David"/>
          <w:b/>
          <w:bCs/>
          <w:rtl/>
          <w:lang w:eastAsia="he-IL"/>
        </w:rPr>
        <w:t>מדינת ישראל נ' גבאי</w:t>
      </w:r>
      <w:r w:rsidRPr="000C0802">
        <w:rPr>
          <w:rFonts w:ascii="David" w:hAnsi="David"/>
          <w:rtl/>
          <w:lang w:eastAsia="he-IL"/>
        </w:rPr>
        <w:t xml:space="preserve">):  </w:t>
      </w:r>
    </w:p>
    <w:p w14:paraId="5FFF7681" w14:textId="77777777" w:rsidR="00E276ED" w:rsidRPr="000C0802" w:rsidRDefault="00E276ED" w:rsidP="00E276ED">
      <w:pPr>
        <w:snapToGrid w:val="0"/>
        <w:spacing w:after="200" w:line="360" w:lineRule="auto"/>
        <w:ind w:left="793" w:right="1134"/>
        <w:contextualSpacing/>
        <w:jc w:val="both"/>
        <w:rPr>
          <w:rFonts w:ascii="David" w:hAnsi="David"/>
          <w:lang w:eastAsia="he-IL"/>
        </w:rPr>
      </w:pPr>
      <w:r w:rsidRPr="000C0802">
        <w:rPr>
          <w:rFonts w:ascii="David" w:hAnsi="David"/>
          <w:rtl/>
          <w:lang w:eastAsia="he-IL"/>
        </w:rPr>
        <w:t>"הציבור בישראל – על רבדיו ומעגליו השונים – הוא המשלם את המחירים שוב ושוב ושוב – פעם כמכור לסמים, פעם כמשפחתו של המכור, פעם כמי שסובל מתופעות פשיעה הנלוות להתנהגותו של המכור, פעם כמי שסובל מניוונו ומקשיי תפקודו של המכור כאזרח פעיל ויצרני, פעם כמי שמממן את רשויות האכיפה, פעם כמי שמממן את גורמי הגמילה והטיפול. הציבור הוא גם זה שמשלם את המחירים בגין התעשרותם ושגשוגם של מחוללי הפשיעה האמיתיים – אלה שברגיל אינם מובאים בפועל לבתי המשפט בגין חלקם בתעשיית הסמים המרעילה, אלא הם נהנים מפירות העבירות, ובד בבד מנהלים ברחבי ארצנו, וברחובות עירנו מלחמות כנופיות עקובות מדם".</w:t>
      </w:r>
    </w:p>
    <w:p w14:paraId="66721F35" w14:textId="77777777" w:rsidR="00E276ED" w:rsidRPr="000C0802" w:rsidRDefault="00E276ED" w:rsidP="00E276ED">
      <w:pPr>
        <w:numPr>
          <w:ilvl w:val="0"/>
          <w:numId w:val="1"/>
        </w:numPr>
        <w:snapToGrid w:val="0"/>
        <w:spacing w:after="200" w:line="360" w:lineRule="auto"/>
        <w:contextualSpacing/>
        <w:jc w:val="both"/>
        <w:rPr>
          <w:lang w:eastAsia="he-IL"/>
        </w:rPr>
      </w:pPr>
      <w:r w:rsidRPr="000C0802">
        <w:rPr>
          <w:rFonts w:ascii="David" w:hAnsi="David"/>
          <w:rtl/>
          <w:lang w:eastAsia="he-IL"/>
        </w:rPr>
        <w:t xml:space="preserve">במקרה הנדון, הנאשם תיווך ב-3 עסקאות שונות בין סוחר סמים לסוכן משטרתי, בכל פעם היקף העיסקה היה קטן. מעובדות כתב האישום נלמדות נסיבות לכאן ולכאן בנוגע לחלקו של הנאשם במערך הפלילי בכללותו ומידת אשמו: מחד גיסא, אדם אחר הוא </w:t>
      </w:r>
      <w:r w:rsidRPr="000C0802">
        <w:rPr>
          <w:rFonts w:ascii="Arial" w:hAnsi="Arial"/>
          <w:rtl/>
          <w:lang w:eastAsia="he-IL"/>
        </w:rPr>
        <w:t>זה שפנה אל הנאשם לצורך ביצוע העיסקאות. כן עולה, כי מקור הסם אצל הספק ולא בנאשם עצמו.  מאידך גיסא, הנאשם הוא שיצר קשר עם הספק עבור הסוכן, ושמר על מעמדו כ"מתווך" גם כאשר הסוכן הציע להיפגש בעצמו עם הספק (ראו באישום השני – "לא עושים דברים כאלה").</w:t>
      </w:r>
    </w:p>
    <w:p w14:paraId="4324271E" w14:textId="77777777" w:rsidR="00E276ED" w:rsidRPr="000C0802" w:rsidRDefault="00E276ED" w:rsidP="00E276ED">
      <w:pPr>
        <w:snapToGrid w:val="0"/>
        <w:spacing w:line="360" w:lineRule="auto"/>
        <w:ind w:left="360"/>
        <w:contextualSpacing/>
        <w:jc w:val="both"/>
        <w:rPr>
          <w:rtl/>
          <w:lang w:eastAsia="he-IL"/>
        </w:rPr>
      </w:pPr>
      <w:r w:rsidRPr="000C0802">
        <w:rPr>
          <w:rtl/>
          <w:lang w:eastAsia="he-IL"/>
        </w:rPr>
        <w:t>מדובר בעיסקאות סמים שבוצעו לאור יום, כאשר הנאשם נתן לסוכן את מספר הטלפון הפרטי שלו, גילה התמצאות בפרטי העיסקה המתוכננת ובמקום הימצאו של הסוחר.</w:t>
      </w:r>
    </w:p>
    <w:p w14:paraId="5CFD9532" w14:textId="77777777" w:rsidR="00E276ED" w:rsidRPr="000C0802" w:rsidRDefault="00E276ED" w:rsidP="00E276ED">
      <w:pPr>
        <w:snapToGrid w:val="0"/>
        <w:spacing w:line="360" w:lineRule="auto"/>
        <w:ind w:left="360"/>
        <w:contextualSpacing/>
        <w:jc w:val="both"/>
        <w:rPr>
          <w:rtl/>
          <w:lang w:eastAsia="he-IL"/>
        </w:rPr>
      </w:pPr>
      <w:r w:rsidRPr="000C0802">
        <w:rPr>
          <w:rtl/>
          <w:lang w:eastAsia="he-IL"/>
        </w:rPr>
        <w:t>המתואר לעיל, ובפירוט בכתב האישום עצמו, מלמד כי מעמד הנאשם במערך העברייני במקרה זה הוא בינוני. לא גבוה כפי שנטען על ידי המאשימה אך גם לא שולי כנטען על ידי ב"כ הנאשם.</w:t>
      </w:r>
    </w:p>
    <w:p w14:paraId="07517D34" w14:textId="77777777" w:rsidR="00E276ED" w:rsidRDefault="00E276ED" w:rsidP="00E276ED">
      <w:pPr>
        <w:spacing w:after="200" w:line="360" w:lineRule="auto"/>
        <w:jc w:val="both"/>
        <w:rPr>
          <w:rFonts w:ascii="David" w:hAnsi="David"/>
          <w:b/>
          <w:bCs/>
          <w:u w:val="single"/>
          <w:rtl/>
        </w:rPr>
      </w:pPr>
    </w:p>
    <w:p w14:paraId="5C3CE5CB" w14:textId="77777777" w:rsidR="00E276ED" w:rsidRDefault="00E276ED" w:rsidP="00E276ED">
      <w:pPr>
        <w:spacing w:after="200" w:line="360" w:lineRule="auto"/>
        <w:jc w:val="both"/>
        <w:rPr>
          <w:rFonts w:ascii="David" w:hAnsi="David"/>
          <w:b/>
          <w:bCs/>
          <w:u w:val="single"/>
          <w:rtl/>
        </w:rPr>
      </w:pPr>
    </w:p>
    <w:p w14:paraId="2748758A" w14:textId="77777777" w:rsidR="00E276ED" w:rsidRPr="000C0802" w:rsidRDefault="00E276ED" w:rsidP="00E276ED">
      <w:pPr>
        <w:spacing w:after="200" w:line="360" w:lineRule="auto"/>
        <w:jc w:val="both"/>
        <w:rPr>
          <w:rFonts w:ascii="David" w:hAnsi="David"/>
          <w:b/>
          <w:bCs/>
          <w:u w:val="single"/>
          <w:rtl/>
        </w:rPr>
      </w:pPr>
    </w:p>
    <w:p w14:paraId="21D1EBFA" w14:textId="77777777" w:rsidR="00E276ED" w:rsidRPr="000C0802" w:rsidRDefault="00E276ED" w:rsidP="00E276ED">
      <w:pPr>
        <w:spacing w:after="200" w:line="360" w:lineRule="auto"/>
        <w:jc w:val="both"/>
        <w:rPr>
          <w:rFonts w:ascii="David" w:hAnsi="David"/>
          <w:b/>
          <w:bCs/>
          <w:u w:val="single"/>
          <w:rtl/>
        </w:rPr>
      </w:pPr>
      <w:r w:rsidRPr="000C0802">
        <w:rPr>
          <w:rFonts w:ascii="David" w:hAnsi="David"/>
          <w:b/>
          <w:bCs/>
          <w:u w:val="single"/>
          <w:rtl/>
        </w:rPr>
        <w:t>מדיניות הענישה הנוהגת:</w:t>
      </w:r>
    </w:p>
    <w:p w14:paraId="0D569C2E" w14:textId="77777777" w:rsidR="00E276ED" w:rsidRPr="000C0802" w:rsidRDefault="00E276ED" w:rsidP="00E276ED">
      <w:pPr>
        <w:numPr>
          <w:ilvl w:val="0"/>
          <w:numId w:val="1"/>
        </w:numPr>
        <w:snapToGrid w:val="0"/>
        <w:spacing w:after="200" w:line="360" w:lineRule="auto"/>
        <w:contextualSpacing/>
        <w:jc w:val="both"/>
        <w:rPr>
          <w:rFonts w:ascii="David" w:hAnsi="David"/>
          <w:lang w:eastAsia="he-IL"/>
        </w:rPr>
      </w:pPr>
      <w:r w:rsidRPr="000C0802">
        <w:rPr>
          <w:rFonts w:ascii="David" w:hAnsi="David"/>
          <w:rtl/>
          <w:lang w:eastAsia="he-IL"/>
        </w:rPr>
        <w:t xml:space="preserve">אכן, אין אסמכתאות רבות העוסקות בסחר במדבקות "פנטה" ובית המשפט מקיש מן הפסיקה הקיימת בסוגי סמים אחרים או בנסיבות שונות של סחר ב"פנטה". אכן, מן האסמכתאות אליהן הפנתה המאשימה עולה, כי יש לקבוע מתחם ענישה נמוך יותר מזה שנטען על ידה.  ראו, לצורך הדיון, פסקי הדין הבאים: </w:t>
      </w:r>
    </w:p>
    <w:p w14:paraId="4EB259B1" w14:textId="77777777" w:rsidR="00E276ED" w:rsidRPr="000C0802" w:rsidRDefault="00E276ED" w:rsidP="00E276ED">
      <w:pPr>
        <w:numPr>
          <w:ilvl w:val="0"/>
          <w:numId w:val="3"/>
        </w:numPr>
        <w:snapToGrid w:val="0"/>
        <w:spacing w:after="200" w:line="360" w:lineRule="auto"/>
        <w:contextualSpacing/>
        <w:jc w:val="both"/>
        <w:rPr>
          <w:rFonts w:ascii="Arial" w:hAnsi="Arial"/>
          <w:sz w:val="20"/>
          <w:lang w:eastAsia="he-IL"/>
        </w:rPr>
      </w:pPr>
      <w:r w:rsidRPr="000C0802">
        <w:rPr>
          <w:rFonts w:ascii="Arial" w:hAnsi="Arial"/>
          <w:sz w:val="20"/>
          <w:rtl/>
          <w:lang w:eastAsia="he-IL"/>
        </w:rPr>
        <w:t>ב</w:t>
      </w:r>
      <w:hyperlink r:id="rId13" w:history="1">
        <w:r w:rsidR="00B269A7" w:rsidRPr="00B269A7">
          <w:rPr>
            <w:rFonts w:ascii="Arial" w:hAnsi="Arial"/>
            <w:color w:val="0000FF"/>
            <w:sz w:val="20"/>
            <w:u w:val="single"/>
            <w:rtl/>
            <w:lang w:eastAsia="he-IL"/>
          </w:rPr>
          <w:t>רע"פ 5353/17</w:t>
        </w:r>
      </w:hyperlink>
      <w:r w:rsidRPr="000C0802">
        <w:rPr>
          <w:rFonts w:ascii="Arial" w:hAnsi="Arial"/>
          <w:sz w:val="20"/>
          <w:rtl/>
          <w:lang w:eastAsia="he-IL"/>
        </w:rPr>
        <w:t xml:space="preserve"> </w:t>
      </w:r>
      <w:r w:rsidRPr="000C0802">
        <w:rPr>
          <w:rFonts w:ascii="Arial" w:hAnsi="Arial"/>
          <w:b/>
          <w:bCs/>
          <w:sz w:val="20"/>
          <w:rtl/>
          <w:lang w:eastAsia="he-IL"/>
        </w:rPr>
        <w:t>טפרה נ' מדינת ישראל</w:t>
      </w:r>
      <w:r w:rsidRPr="000C0802">
        <w:rPr>
          <w:rFonts w:ascii="Arial" w:hAnsi="Arial"/>
          <w:sz w:val="20"/>
          <w:rtl/>
          <w:lang w:eastAsia="he-IL"/>
        </w:rPr>
        <w:t xml:space="preserve"> (18.9.2017), אושר מתחם שבין 4 ל-12 חודשי מאסר לעבירות תיווך לסחר בקוקאין בכמויות קטנות, ו-6 עד 18 חודשים לעבירות סחר בקוקאין בכמויות קטנות.  </w:t>
      </w:r>
    </w:p>
    <w:p w14:paraId="2B27B1FF" w14:textId="77777777" w:rsidR="00E276ED" w:rsidRPr="000C0802" w:rsidRDefault="00E276ED" w:rsidP="00E276ED">
      <w:pPr>
        <w:numPr>
          <w:ilvl w:val="0"/>
          <w:numId w:val="3"/>
        </w:numPr>
        <w:snapToGrid w:val="0"/>
        <w:spacing w:after="200" w:line="360" w:lineRule="auto"/>
        <w:contextualSpacing/>
        <w:jc w:val="both"/>
        <w:rPr>
          <w:rFonts w:ascii="Arial" w:hAnsi="Arial"/>
          <w:sz w:val="20"/>
          <w:lang w:eastAsia="he-IL"/>
        </w:rPr>
      </w:pPr>
      <w:r w:rsidRPr="000C0802">
        <w:rPr>
          <w:rFonts w:ascii="Arial" w:hAnsi="Arial"/>
          <w:sz w:val="20"/>
          <w:rtl/>
          <w:lang w:eastAsia="he-IL"/>
        </w:rPr>
        <w:t xml:space="preserve">בעפ"ג (י-ם) </w:t>
      </w:r>
      <w:r w:rsidRPr="000C0802">
        <w:rPr>
          <w:rFonts w:ascii="Arial" w:hAnsi="Arial"/>
          <w:b/>
          <w:bCs/>
          <w:sz w:val="20"/>
          <w:rtl/>
          <w:lang w:eastAsia="he-IL"/>
        </w:rPr>
        <w:t>מדינת ישראל נ' נסים</w:t>
      </w:r>
      <w:r w:rsidRPr="000C0802">
        <w:rPr>
          <w:rFonts w:ascii="Arial" w:hAnsi="Arial"/>
          <w:sz w:val="20"/>
          <w:rtl/>
          <w:lang w:eastAsia="he-IL"/>
        </w:rPr>
        <w:t xml:space="preserve"> (13.3.2019), נקבע מתחם של 8-24 חודשי מאסר בגין עבירת סחר ב-2.5 גרם קוקאין.</w:t>
      </w:r>
    </w:p>
    <w:p w14:paraId="2CE43D2F" w14:textId="77777777" w:rsidR="00E276ED" w:rsidRPr="000C0802" w:rsidRDefault="00E276ED" w:rsidP="00E276ED">
      <w:pPr>
        <w:numPr>
          <w:ilvl w:val="0"/>
          <w:numId w:val="3"/>
        </w:numPr>
        <w:snapToGrid w:val="0"/>
        <w:spacing w:after="200" w:line="360" w:lineRule="auto"/>
        <w:contextualSpacing/>
        <w:jc w:val="both"/>
        <w:rPr>
          <w:rFonts w:ascii="Arial" w:hAnsi="Arial"/>
          <w:sz w:val="20"/>
          <w:lang w:eastAsia="he-IL"/>
        </w:rPr>
      </w:pPr>
      <w:r w:rsidRPr="000C0802">
        <w:rPr>
          <w:rFonts w:ascii="Arial" w:hAnsi="Arial"/>
          <w:sz w:val="20"/>
          <w:rtl/>
          <w:lang w:eastAsia="he-IL"/>
        </w:rPr>
        <w:t>ב</w:t>
      </w:r>
      <w:hyperlink r:id="rId14" w:history="1">
        <w:r w:rsidR="00B269A7" w:rsidRPr="00B269A7">
          <w:rPr>
            <w:rFonts w:ascii="Arial" w:hAnsi="Arial"/>
            <w:color w:val="0000FF"/>
            <w:sz w:val="20"/>
            <w:u w:val="single"/>
            <w:rtl/>
            <w:lang w:eastAsia="he-IL"/>
          </w:rPr>
          <w:t>ת"פ 56315-11-20</w:t>
        </w:r>
      </w:hyperlink>
      <w:r w:rsidRPr="000C0802">
        <w:rPr>
          <w:rFonts w:ascii="Arial" w:hAnsi="Arial"/>
          <w:sz w:val="20"/>
          <w:rtl/>
          <w:lang w:eastAsia="he-IL"/>
        </w:rPr>
        <w:t xml:space="preserve"> </w:t>
      </w:r>
      <w:r w:rsidRPr="000C0802">
        <w:rPr>
          <w:rFonts w:ascii="Arial" w:hAnsi="Arial"/>
          <w:b/>
          <w:bCs/>
          <w:sz w:val="20"/>
          <w:rtl/>
          <w:lang w:eastAsia="he-IL"/>
        </w:rPr>
        <w:t xml:space="preserve">מדינת ישראל נ' שמלאשוילי </w:t>
      </w:r>
      <w:r w:rsidRPr="000C0802">
        <w:rPr>
          <w:rFonts w:ascii="Arial" w:hAnsi="Arial"/>
          <w:sz w:val="20"/>
          <w:rtl/>
          <w:lang w:eastAsia="he-IL"/>
        </w:rPr>
        <w:t xml:space="preserve">(19.5.21), נקבע מתחם של 16-34 חודשי מאסר בפועל בגין עבירות סחר בסמים מסוכנים, הספקת סמים מסוכנים והחזקת סמים שלא לצריכה עצמית, בנסיבות חמורות מענייננו. </w:t>
      </w:r>
    </w:p>
    <w:p w14:paraId="4B0BFABB" w14:textId="77777777" w:rsidR="00E276ED" w:rsidRPr="000C0802" w:rsidRDefault="00E276ED" w:rsidP="00E276ED">
      <w:pPr>
        <w:numPr>
          <w:ilvl w:val="0"/>
          <w:numId w:val="3"/>
        </w:numPr>
        <w:snapToGrid w:val="0"/>
        <w:spacing w:after="200" w:line="360" w:lineRule="auto"/>
        <w:contextualSpacing/>
        <w:jc w:val="both"/>
        <w:rPr>
          <w:rFonts w:ascii="Arial" w:hAnsi="Arial"/>
          <w:sz w:val="20"/>
          <w:lang w:eastAsia="he-IL"/>
        </w:rPr>
      </w:pPr>
      <w:r w:rsidRPr="000C0802">
        <w:rPr>
          <w:rFonts w:ascii="Arial" w:hAnsi="Arial"/>
          <w:sz w:val="20"/>
          <w:rtl/>
          <w:lang w:eastAsia="he-IL"/>
        </w:rPr>
        <w:t xml:space="preserve">בת"פ 18543-01-20 </w:t>
      </w:r>
      <w:r w:rsidRPr="000C0802">
        <w:rPr>
          <w:rFonts w:ascii="Arial" w:hAnsi="Arial"/>
          <w:b/>
          <w:bCs/>
          <w:sz w:val="20"/>
          <w:rtl/>
          <w:lang w:eastAsia="he-IL"/>
        </w:rPr>
        <w:t>מדינת ישראל נ' פחימה</w:t>
      </w:r>
      <w:r w:rsidRPr="000C0802">
        <w:rPr>
          <w:rFonts w:ascii="Arial" w:hAnsi="Arial"/>
          <w:sz w:val="20"/>
          <w:rtl/>
          <w:lang w:eastAsia="he-IL"/>
        </w:rPr>
        <w:t xml:space="preserve"> (2.5.21), הורשע הנאשם בעבירות של החזקת סם מסוכן ובעבירת של סחר בסמים מסוכנים מסוג פנטניל. נקבע מתחם של 7-19 חודשי מאסר בפועל ונגזרו על הנאשם 7.5 חודשי מאסר וענישה נלווית.</w:t>
      </w:r>
    </w:p>
    <w:p w14:paraId="259EBCCA" w14:textId="77777777" w:rsidR="00E276ED" w:rsidRPr="000C0802" w:rsidRDefault="00E276ED" w:rsidP="00E276ED">
      <w:pPr>
        <w:numPr>
          <w:ilvl w:val="0"/>
          <w:numId w:val="3"/>
        </w:numPr>
        <w:snapToGrid w:val="0"/>
        <w:spacing w:after="200" w:line="360" w:lineRule="auto"/>
        <w:contextualSpacing/>
        <w:jc w:val="both"/>
        <w:rPr>
          <w:rFonts w:ascii="Arial" w:hAnsi="Arial"/>
          <w:sz w:val="20"/>
          <w:lang w:eastAsia="he-IL"/>
        </w:rPr>
      </w:pPr>
      <w:r w:rsidRPr="000C0802">
        <w:rPr>
          <w:rFonts w:ascii="Arial" w:hAnsi="Arial"/>
          <w:rtl/>
          <w:lang w:eastAsia="he-IL"/>
        </w:rPr>
        <w:t>ב</w:t>
      </w:r>
      <w:hyperlink r:id="rId15" w:history="1">
        <w:r w:rsidR="00B269A7" w:rsidRPr="00B269A7">
          <w:rPr>
            <w:rFonts w:ascii="Arial" w:hAnsi="Arial"/>
            <w:color w:val="0000FF"/>
            <w:u w:val="single"/>
            <w:rtl/>
            <w:lang w:eastAsia="he-IL"/>
          </w:rPr>
          <w:t>ת"פ 11725-11-20</w:t>
        </w:r>
      </w:hyperlink>
      <w:r w:rsidRPr="000C0802">
        <w:rPr>
          <w:rFonts w:ascii="Arial" w:hAnsi="Arial"/>
          <w:rtl/>
          <w:lang w:eastAsia="he-IL"/>
        </w:rPr>
        <w:t xml:space="preserve"> </w:t>
      </w:r>
      <w:r w:rsidRPr="000C0802">
        <w:rPr>
          <w:rFonts w:ascii="Arial" w:hAnsi="Arial"/>
          <w:b/>
          <w:bCs/>
          <w:rtl/>
          <w:lang w:eastAsia="he-IL"/>
        </w:rPr>
        <w:t xml:space="preserve">מדינת ישראל נ' דנינו </w:t>
      </w:r>
      <w:r w:rsidRPr="000C0802">
        <w:rPr>
          <w:rFonts w:ascii="Arial" w:hAnsi="Arial"/>
          <w:rtl/>
          <w:lang w:eastAsia="he-IL"/>
        </w:rPr>
        <w:t>(27.1.21), נדון נאשם שמכר לסוכן משטרתי יחידה אחת של סם מסוג פנטניל בתמורה ל-170 ₪ ל-6.5 חודשי מאסר בפועל, וענישה נלווית.</w:t>
      </w:r>
    </w:p>
    <w:p w14:paraId="55BD5797" w14:textId="77777777" w:rsidR="00E276ED" w:rsidRPr="000C0802" w:rsidRDefault="00E276ED" w:rsidP="00E276ED">
      <w:pPr>
        <w:numPr>
          <w:ilvl w:val="0"/>
          <w:numId w:val="3"/>
        </w:numPr>
        <w:snapToGrid w:val="0"/>
        <w:spacing w:line="360" w:lineRule="auto"/>
        <w:contextualSpacing/>
        <w:jc w:val="both"/>
        <w:rPr>
          <w:rFonts w:ascii="Arial" w:hAnsi="Arial"/>
          <w:rtl/>
          <w:lang w:eastAsia="he-IL"/>
        </w:rPr>
      </w:pPr>
      <w:r w:rsidRPr="000C0802">
        <w:rPr>
          <w:rFonts w:ascii="Arial" w:hAnsi="Arial"/>
          <w:rtl/>
          <w:lang w:eastAsia="he-IL"/>
        </w:rPr>
        <w:t>ב</w:t>
      </w:r>
      <w:hyperlink r:id="rId16" w:history="1">
        <w:r w:rsidR="00B269A7" w:rsidRPr="00B269A7">
          <w:rPr>
            <w:rFonts w:ascii="Arial" w:hAnsi="Arial"/>
            <w:color w:val="0000FF"/>
            <w:u w:val="single"/>
            <w:rtl/>
            <w:lang w:eastAsia="he-IL"/>
          </w:rPr>
          <w:t>ת"פ 1386-03-20</w:t>
        </w:r>
      </w:hyperlink>
      <w:r w:rsidRPr="000C0802">
        <w:rPr>
          <w:rFonts w:ascii="Arial" w:hAnsi="Arial"/>
          <w:rtl/>
          <w:lang w:eastAsia="he-IL"/>
        </w:rPr>
        <w:t xml:space="preserve"> </w:t>
      </w:r>
      <w:r w:rsidRPr="000C0802">
        <w:rPr>
          <w:rFonts w:ascii="Arial" w:hAnsi="Arial"/>
          <w:b/>
          <w:bCs/>
          <w:rtl/>
          <w:lang w:eastAsia="he-IL"/>
        </w:rPr>
        <w:t xml:space="preserve">מדינת ישראל נ' שטיימן </w:t>
      </w:r>
      <w:r w:rsidRPr="000C0802">
        <w:rPr>
          <w:rFonts w:ascii="Arial" w:hAnsi="Arial"/>
          <w:rtl/>
          <w:lang w:eastAsia="he-IL"/>
        </w:rPr>
        <w:t>(19.5.20), הורשע נאשם שמכר לסוכן משטרתי סמוי 2 מדבקות של סם מסוג פנטניל בתמורה ל-300 ₪ ל-7 חודשי מאסר בפועל וענישה נלווית.</w:t>
      </w:r>
    </w:p>
    <w:p w14:paraId="5BD61D43" w14:textId="77777777" w:rsidR="00E276ED" w:rsidRPr="000C0802" w:rsidRDefault="00E276ED" w:rsidP="00E276ED">
      <w:pPr>
        <w:numPr>
          <w:ilvl w:val="0"/>
          <w:numId w:val="1"/>
        </w:numPr>
        <w:snapToGrid w:val="0"/>
        <w:spacing w:line="360" w:lineRule="auto"/>
        <w:contextualSpacing/>
        <w:jc w:val="both"/>
        <w:rPr>
          <w:rFonts w:ascii="David" w:hAnsi="David"/>
          <w:b/>
          <w:bCs/>
          <w:lang w:eastAsia="he-IL"/>
        </w:rPr>
      </w:pPr>
      <w:r w:rsidRPr="000C0802">
        <w:rPr>
          <w:rFonts w:ascii="David" w:hAnsi="David"/>
          <w:b/>
          <w:bCs/>
          <w:rtl/>
          <w:lang w:eastAsia="he-IL"/>
        </w:rPr>
        <w:t>הנלמד מהאמור לעיל, בשים לב לכך שבענייננו מדובר בשלוש עיסקאות של מדבקה אחת בכל פעם, כאשר הנאשם הוא המתווך בעיסקה ולא הסוחר העיקרי, מתחם העונש ההולם הינו 6-18 חודשי מאסר בפועל.</w:t>
      </w:r>
    </w:p>
    <w:p w14:paraId="402D7246" w14:textId="77777777" w:rsidR="00E276ED" w:rsidRPr="000C0802" w:rsidRDefault="00E276ED" w:rsidP="00E276ED">
      <w:pPr>
        <w:snapToGrid w:val="0"/>
        <w:spacing w:line="360" w:lineRule="auto"/>
        <w:ind w:left="360"/>
        <w:contextualSpacing/>
        <w:jc w:val="both"/>
        <w:rPr>
          <w:rFonts w:ascii="David" w:hAnsi="David"/>
          <w:b/>
          <w:bCs/>
          <w:rtl/>
          <w:lang w:eastAsia="he-IL"/>
        </w:rPr>
      </w:pPr>
    </w:p>
    <w:p w14:paraId="2A85C697" w14:textId="77777777" w:rsidR="00E276ED" w:rsidRPr="00E276ED" w:rsidRDefault="00E276ED" w:rsidP="00E276ED">
      <w:pPr>
        <w:spacing w:after="160" w:line="360" w:lineRule="auto"/>
        <w:jc w:val="both"/>
        <w:rPr>
          <w:rFonts w:ascii="Calibri" w:hAnsi="Calibri"/>
          <w:b/>
          <w:bCs/>
          <w:u w:val="single"/>
          <w:rtl/>
        </w:rPr>
      </w:pPr>
      <w:r w:rsidRPr="00E276ED">
        <w:rPr>
          <w:rFonts w:ascii="Calibri" w:hAnsi="Calibri" w:hint="eastAsia"/>
          <w:b/>
          <w:bCs/>
          <w:u w:val="single"/>
          <w:rtl/>
        </w:rPr>
        <w:t>קביעת</w:t>
      </w:r>
      <w:r w:rsidRPr="00E276ED">
        <w:rPr>
          <w:rFonts w:ascii="Calibri" w:hAnsi="Calibri"/>
          <w:b/>
          <w:bCs/>
          <w:u w:val="single"/>
          <w:rtl/>
        </w:rPr>
        <w:t xml:space="preserve"> </w:t>
      </w:r>
      <w:r w:rsidRPr="00E276ED">
        <w:rPr>
          <w:rFonts w:ascii="Calibri" w:hAnsi="Calibri" w:hint="eastAsia"/>
          <w:b/>
          <w:bCs/>
          <w:u w:val="single"/>
          <w:rtl/>
        </w:rPr>
        <w:t>העונש</w:t>
      </w:r>
      <w:r w:rsidRPr="00E276ED">
        <w:rPr>
          <w:rFonts w:ascii="Calibri" w:hAnsi="Calibri"/>
          <w:b/>
          <w:bCs/>
          <w:u w:val="single"/>
          <w:rtl/>
        </w:rPr>
        <w:t xml:space="preserve"> </w:t>
      </w:r>
      <w:r w:rsidRPr="00E276ED">
        <w:rPr>
          <w:rFonts w:ascii="Calibri" w:hAnsi="Calibri" w:hint="eastAsia"/>
          <w:b/>
          <w:bCs/>
          <w:u w:val="single"/>
          <w:rtl/>
        </w:rPr>
        <w:t>המתאים</w:t>
      </w:r>
      <w:r w:rsidRPr="00E276ED">
        <w:rPr>
          <w:rFonts w:ascii="Calibri" w:hAnsi="Calibri"/>
          <w:b/>
          <w:bCs/>
          <w:u w:val="single"/>
          <w:rtl/>
        </w:rPr>
        <w:t xml:space="preserve"> </w:t>
      </w:r>
      <w:r w:rsidRPr="00E276ED">
        <w:rPr>
          <w:rFonts w:ascii="Calibri" w:hAnsi="Calibri" w:hint="eastAsia"/>
          <w:b/>
          <w:bCs/>
          <w:u w:val="single"/>
          <w:rtl/>
        </w:rPr>
        <w:t>בגדרי</w:t>
      </w:r>
      <w:r w:rsidRPr="00E276ED">
        <w:rPr>
          <w:rFonts w:ascii="Calibri" w:hAnsi="Calibri"/>
          <w:b/>
          <w:bCs/>
          <w:u w:val="single"/>
          <w:rtl/>
        </w:rPr>
        <w:t xml:space="preserve"> </w:t>
      </w:r>
      <w:r w:rsidRPr="00E276ED">
        <w:rPr>
          <w:rFonts w:ascii="Calibri" w:hAnsi="Calibri" w:hint="eastAsia"/>
          <w:b/>
          <w:bCs/>
          <w:u w:val="single"/>
          <w:rtl/>
        </w:rPr>
        <w:t>המתחם</w:t>
      </w:r>
    </w:p>
    <w:p w14:paraId="69205C8E"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198B9B4A"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 xml:space="preserve">לקחתי בחשבון כי הנאשם הודה בכתב האישום, נטל אחריות על מעשיו וחסך זמן שיפוטי יקר. </w:t>
      </w:r>
      <w:r w:rsidRPr="000C0802">
        <w:rPr>
          <w:rFonts w:ascii="David" w:hAnsi="David"/>
          <w:rtl/>
          <w:lang w:eastAsia="he-IL"/>
        </w:rPr>
        <w:t xml:space="preserve"> </w:t>
      </w:r>
    </w:p>
    <w:p w14:paraId="1BD12859"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 xml:space="preserve">אכן, מדובר במי שלו רקע מכביד בפלילים, לרבות בעבירות סמים ואולם כלל הרשעותיו של הנאשם התיישנו זה מכבר, והעבירה האחרונה שביצע בשנת 2011 היא החזקת סם לצריכה עצמית. </w:t>
      </w:r>
    </w:p>
    <w:p w14:paraId="4205963B"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 xml:space="preserve">לקחתי בחשבון, כי בשים לב לרקע של הנאשם כעולה מגיליון ההרשעות הקודמות וגם כנטען על ידי באת-כוחו, קיים צורך במקרה זה בהרתעת היחיד ובהצבת תמרור אזהרה מפני היגררות למעורבות בעבירות סמים חמורות. </w:t>
      </w:r>
    </w:p>
    <w:p w14:paraId="6B611C3D"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 xml:space="preserve">בנסיבות כל האמור, יש להטיל על הנאשם עונש בחלקו העליון של השליש התחתון של המתחם. </w:t>
      </w:r>
    </w:p>
    <w:p w14:paraId="078542F4" w14:textId="77777777" w:rsidR="00E276ED" w:rsidRPr="00E276ED" w:rsidRDefault="00E276ED" w:rsidP="00E276ED">
      <w:pPr>
        <w:spacing w:after="160" w:line="360" w:lineRule="auto"/>
        <w:jc w:val="both"/>
        <w:rPr>
          <w:rFonts w:ascii="Calibri" w:hAnsi="Calibri"/>
          <w:b/>
          <w:bCs/>
          <w:sz w:val="28"/>
          <w:highlight w:val="yellow"/>
          <w:u w:val="single"/>
          <w:rtl/>
        </w:rPr>
      </w:pPr>
    </w:p>
    <w:p w14:paraId="1E66489C" w14:textId="77777777" w:rsidR="00E276ED" w:rsidRPr="000C0802" w:rsidRDefault="00E276ED" w:rsidP="00E276ED">
      <w:pPr>
        <w:spacing w:after="160" w:line="360" w:lineRule="auto"/>
        <w:jc w:val="both"/>
        <w:rPr>
          <w:rFonts w:ascii="David" w:hAnsi="David"/>
          <w:b/>
          <w:bCs/>
          <w:u w:val="single"/>
          <w:rtl/>
        </w:rPr>
      </w:pPr>
      <w:r w:rsidRPr="000C0802">
        <w:rPr>
          <w:rFonts w:ascii="David" w:hAnsi="David"/>
          <w:b/>
          <w:bCs/>
          <w:u w:val="single"/>
          <w:rtl/>
        </w:rPr>
        <w:t>סוף דבר:</w:t>
      </w:r>
    </w:p>
    <w:p w14:paraId="54FC4477" w14:textId="77777777" w:rsidR="00E276ED" w:rsidRPr="000C0802" w:rsidRDefault="00E276ED" w:rsidP="00E276ED">
      <w:pPr>
        <w:numPr>
          <w:ilvl w:val="0"/>
          <w:numId w:val="1"/>
        </w:numPr>
        <w:snapToGrid w:val="0"/>
        <w:spacing w:line="360" w:lineRule="auto"/>
        <w:contextualSpacing/>
        <w:jc w:val="both"/>
        <w:rPr>
          <w:lang w:eastAsia="he-IL"/>
        </w:rPr>
      </w:pPr>
      <w:r w:rsidRPr="000C0802">
        <w:rPr>
          <w:rtl/>
          <w:lang w:eastAsia="he-IL"/>
        </w:rPr>
        <w:t>לאחר ששקלתי את מכלול השיקולים כמפורט לעיל אני מטילה על הנאשם את העונשים הבאים:</w:t>
      </w:r>
    </w:p>
    <w:p w14:paraId="6CDB611E" w14:textId="77777777" w:rsidR="00E276ED" w:rsidRPr="000C0802" w:rsidRDefault="00E276ED" w:rsidP="00E276ED">
      <w:pPr>
        <w:numPr>
          <w:ilvl w:val="0"/>
          <w:numId w:val="2"/>
        </w:numPr>
        <w:spacing w:after="160" w:line="360" w:lineRule="auto"/>
        <w:contextualSpacing/>
        <w:jc w:val="both"/>
        <w:rPr>
          <w:rFonts w:ascii="Arial" w:hAnsi="Arial"/>
        </w:rPr>
      </w:pPr>
      <w:r w:rsidRPr="000C0802">
        <w:rPr>
          <w:rFonts w:ascii="Arial" w:hAnsi="Arial"/>
          <w:rtl/>
        </w:rPr>
        <w:t>9 חודשי מאסר בפועל</w:t>
      </w:r>
      <w:r>
        <w:rPr>
          <w:rFonts w:ascii="Arial" w:hAnsi="Arial" w:hint="cs"/>
          <w:rtl/>
        </w:rPr>
        <w:t xml:space="preserve"> בניכוי ימי מעצרו בהתאם לרישומי שב"ס</w:t>
      </w:r>
      <w:r w:rsidRPr="000C0802">
        <w:rPr>
          <w:rFonts w:ascii="Arial" w:hAnsi="Arial"/>
          <w:rtl/>
        </w:rPr>
        <w:t>.</w:t>
      </w:r>
    </w:p>
    <w:p w14:paraId="3729BE93" w14:textId="77777777" w:rsidR="00E276ED" w:rsidRPr="000C0802" w:rsidRDefault="00E276ED" w:rsidP="00E276ED">
      <w:pPr>
        <w:numPr>
          <w:ilvl w:val="0"/>
          <w:numId w:val="2"/>
        </w:numPr>
        <w:spacing w:after="160" w:line="360" w:lineRule="auto"/>
        <w:contextualSpacing/>
        <w:jc w:val="both"/>
        <w:rPr>
          <w:rFonts w:ascii="Arial" w:hAnsi="Arial"/>
          <w:rtl/>
        </w:rPr>
      </w:pPr>
      <w:r w:rsidRPr="000C0802">
        <w:rPr>
          <w:rFonts w:ascii="Arial" w:hAnsi="Arial"/>
          <w:rtl/>
        </w:rPr>
        <w:t>מאסר על תנאי לתקופה של 3 חודשים. המאסר המותנה יופעל אם תוך תקופה של 3 שנים מיום שחרורו, יעבור הנאשם עבירת סמים מסוג עוון.</w:t>
      </w:r>
    </w:p>
    <w:p w14:paraId="5780DED9" w14:textId="77777777" w:rsidR="00E276ED" w:rsidRPr="000C0802" w:rsidRDefault="00E276ED" w:rsidP="00E276ED">
      <w:pPr>
        <w:numPr>
          <w:ilvl w:val="0"/>
          <w:numId w:val="2"/>
        </w:numPr>
        <w:spacing w:after="160" w:line="360" w:lineRule="auto"/>
        <w:contextualSpacing/>
        <w:jc w:val="both"/>
        <w:rPr>
          <w:rFonts w:ascii="Arial" w:hAnsi="Arial"/>
        </w:rPr>
      </w:pPr>
      <w:r w:rsidRPr="000C0802">
        <w:rPr>
          <w:rFonts w:ascii="Arial" w:hAnsi="Arial"/>
          <w:rtl/>
        </w:rPr>
        <w:t>מאסר על תנאי לתקופה של 6 חודשים המאסר המותנה יופעל אם תוך תקופה של 3 שנים מיום שחרורו, יעבור הנאשם  עבירת סמים מסוג פשע.</w:t>
      </w:r>
    </w:p>
    <w:p w14:paraId="05F215AF" w14:textId="77777777" w:rsidR="00E276ED" w:rsidRPr="00E276ED" w:rsidRDefault="00E276ED" w:rsidP="00E276ED">
      <w:pPr>
        <w:spacing w:after="160" w:line="360" w:lineRule="auto"/>
        <w:jc w:val="both"/>
        <w:rPr>
          <w:rFonts w:ascii="Calibri" w:hAnsi="Calibri"/>
          <w:rtl/>
        </w:rPr>
      </w:pPr>
    </w:p>
    <w:p w14:paraId="33368ECD" w14:textId="77777777" w:rsidR="00E276ED" w:rsidRPr="00E276ED" w:rsidRDefault="00B269A7" w:rsidP="00E276ED">
      <w:pPr>
        <w:spacing w:after="160" w:line="360" w:lineRule="auto"/>
        <w:jc w:val="both"/>
        <w:rPr>
          <w:rFonts w:ascii="Calibri" w:hAnsi="Calibri"/>
          <w:b/>
          <w:bCs/>
          <w:rtl/>
        </w:rPr>
      </w:pPr>
      <w:r w:rsidRPr="00B269A7">
        <w:rPr>
          <w:rFonts w:ascii="Calibri" w:hAnsi="Calibri"/>
          <w:b/>
          <w:bCs/>
          <w:color w:val="FFFFFF"/>
          <w:sz w:val="2"/>
          <w:szCs w:val="2"/>
          <w:rtl/>
        </w:rPr>
        <w:t>5129371</w:t>
      </w:r>
      <w:r w:rsidR="00E276ED" w:rsidRPr="00E276ED">
        <w:rPr>
          <w:rFonts w:ascii="Calibri" w:hAnsi="Calibri" w:hint="eastAsia"/>
          <w:b/>
          <w:bCs/>
          <w:rtl/>
        </w:rPr>
        <w:t>ניתן</w:t>
      </w:r>
      <w:r w:rsidR="00E276ED" w:rsidRPr="00E276ED">
        <w:rPr>
          <w:rFonts w:ascii="Calibri" w:hAnsi="Calibri"/>
          <w:b/>
          <w:bCs/>
          <w:rtl/>
        </w:rPr>
        <w:t xml:space="preserve"> </w:t>
      </w:r>
      <w:r w:rsidR="00E276ED" w:rsidRPr="00E276ED">
        <w:rPr>
          <w:rFonts w:ascii="Calibri" w:hAnsi="Calibri" w:hint="eastAsia"/>
          <w:b/>
          <w:bCs/>
          <w:rtl/>
        </w:rPr>
        <w:t>בזאת</w:t>
      </w:r>
      <w:r w:rsidR="00E276ED" w:rsidRPr="00E276ED">
        <w:rPr>
          <w:rFonts w:ascii="Calibri" w:hAnsi="Calibri"/>
          <w:b/>
          <w:bCs/>
          <w:rtl/>
        </w:rPr>
        <w:t xml:space="preserve"> </w:t>
      </w:r>
      <w:r w:rsidR="00E276ED" w:rsidRPr="00E276ED">
        <w:rPr>
          <w:rFonts w:ascii="Calibri" w:hAnsi="Calibri" w:hint="eastAsia"/>
          <w:b/>
          <w:bCs/>
          <w:rtl/>
        </w:rPr>
        <w:t>צו</w:t>
      </w:r>
      <w:r w:rsidR="00E276ED" w:rsidRPr="00E276ED">
        <w:rPr>
          <w:rFonts w:ascii="Calibri" w:hAnsi="Calibri"/>
          <w:b/>
          <w:bCs/>
          <w:rtl/>
        </w:rPr>
        <w:t xml:space="preserve"> </w:t>
      </w:r>
      <w:r w:rsidR="00E276ED" w:rsidRPr="00E276ED">
        <w:rPr>
          <w:rFonts w:ascii="Calibri" w:hAnsi="Calibri" w:hint="eastAsia"/>
          <w:b/>
          <w:bCs/>
          <w:rtl/>
        </w:rPr>
        <w:t>להשמדת</w:t>
      </w:r>
      <w:r w:rsidR="00E276ED" w:rsidRPr="00E276ED">
        <w:rPr>
          <w:rFonts w:ascii="Calibri" w:hAnsi="Calibri"/>
          <w:b/>
          <w:bCs/>
          <w:rtl/>
        </w:rPr>
        <w:t xml:space="preserve"> </w:t>
      </w:r>
      <w:r w:rsidR="00E276ED" w:rsidRPr="00E276ED">
        <w:rPr>
          <w:rFonts w:ascii="Calibri" w:hAnsi="Calibri" w:hint="eastAsia"/>
          <w:b/>
          <w:bCs/>
          <w:rtl/>
        </w:rPr>
        <w:t>מוצגים</w:t>
      </w:r>
      <w:r w:rsidR="00E276ED" w:rsidRPr="00E276ED">
        <w:rPr>
          <w:rFonts w:ascii="Calibri" w:hAnsi="Calibri"/>
          <w:b/>
          <w:bCs/>
          <w:rtl/>
        </w:rPr>
        <w:t xml:space="preserve"> – </w:t>
      </w:r>
      <w:r w:rsidR="00E276ED" w:rsidRPr="00E276ED">
        <w:rPr>
          <w:rFonts w:ascii="Calibri" w:hAnsi="Calibri" w:hint="eastAsia"/>
          <w:b/>
          <w:bCs/>
          <w:rtl/>
        </w:rPr>
        <w:t>סמים</w:t>
      </w:r>
      <w:r w:rsidR="00E276ED" w:rsidRPr="00E276ED">
        <w:rPr>
          <w:rFonts w:ascii="Calibri" w:hAnsi="Calibri"/>
          <w:b/>
          <w:bCs/>
          <w:rtl/>
        </w:rPr>
        <w:t xml:space="preserve">, </w:t>
      </w:r>
      <w:r w:rsidR="00E276ED" w:rsidRPr="00E276ED">
        <w:rPr>
          <w:rFonts w:ascii="Calibri" w:hAnsi="Calibri" w:hint="eastAsia"/>
          <w:b/>
          <w:bCs/>
          <w:rtl/>
        </w:rPr>
        <w:t>בכפוף</w:t>
      </w:r>
      <w:r w:rsidR="00E276ED" w:rsidRPr="00E276ED">
        <w:rPr>
          <w:rFonts w:ascii="Calibri" w:hAnsi="Calibri"/>
          <w:b/>
          <w:bCs/>
          <w:rtl/>
        </w:rPr>
        <w:t xml:space="preserve"> </w:t>
      </w:r>
      <w:r w:rsidR="00E276ED" w:rsidRPr="00E276ED">
        <w:rPr>
          <w:rFonts w:ascii="Calibri" w:hAnsi="Calibri" w:hint="eastAsia"/>
          <w:b/>
          <w:bCs/>
          <w:rtl/>
        </w:rPr>
        <w:t>לחלוף</w:t>
      </w:r>
      <w:r w:rsidR="00E276ED" w:rsidRPr="00E276ED">
        <w:rPr>
          <w:rFonts w:ascii="Calibri" w:hAnsi="Calibri"/>
          <w:b/>
          <w:bCs/>
          <w:rtl/>
        </w:rPr>
        <w:t xml:space="preserve"> </w:t>
      </w:r>
      <w:r w:rsidR="00E276ED" w:rsidRPr="00E276ED">
        <w:rPr>
          <w:rFonts w:ascii="Calibri" w:hAnsi="Calibri" w:hint="eastAsia"/>
          <w:b/>
          <w:bCs/>
          <w:rtl/>
        </w:rPr>
        <w:t>תקופת</w:t>
      </w:r>
      <w:r w:rsidR="00E276ED" w:rsidRPr="00E276ED">
        <w:rPr>
          <w:rFonts w:ascii="Calibri" w:hAnsi="Calibri"/>
          <w:b/>
          <w:bCs/>
          <w:rtl/>
        </w:rPr>
        <w:t xml:space="preserve"> </w:t>
      </w:r>
      <w:r w:rsidR="00E276ED" w:rsidRPr="00E276ED">
        <w:rPr>
          <w:rFonts w:ascii="Calibri" w:hAnsi="Calibri" w:hint="eastAsia"/>
          <w:b/>
          <w:bCs/>
          <w:rtl/>
        </w:rPr>
        <w:t>הערעור</w:t>
      </w:r>
      <w:r w:rsidR="00E276ED" w:rsidRPr="00E276ED">
        <w:rPr>
          <w:rFonts w:ascii="Calibri" w:hAnsi="Calibri"/>
          <w:b/>
          <w:bCs/>
          <w:rtl/>
        </w:rPr>
        <w:t xml:space="preserve">. </w:t>
      </w:r>
    </w:p>
    <w:p w14:paraId="4F11191A" w14:textId="77777777" w:rsidR="00E276ED" w:rsidRPr="00E276ED" w:rsidRDefault="00B269A7" w:rsidP="00E276ED">
      <w:pPr>
        <w:spacing w:after="160" w:line="360" w:lineRule="auto"/>
        <w:jc w:val="both"/>
        <w:rPr>
          <w:rFonts w:ascii="Calibri" w:hAnsi="Calibri"/>
          <w:b/>
          <w:bCs/>
        </w:rPr>
      </w:pPr>
      <w:r w:rsidRPr="00B269A7">
        <w:rPr>
          <w:rFonts w:ascii="Calibri" w:hAnsi="Calibri"/>
          <w:b/>
          <w:bCs/>
          <w:color w:val="FFFFFF"/>
          <w:sz w:val="2"/>
          <w:szCs w:val="2"/>
          <w:rtl/>
        </w:rPr>
        <w:t>54678313</w:t>
      </w:r>
      <w:r w:rsidR="00E276ED" w:rsidRPr="00E276ED">
        <w:rPr>
          <w:rFonts w:ascii="Calibri" w:hAnsi="Calibri" w:hint="eastAsia"/>
          <w:b/>
          <w:bCs/>
          <w:rtl/>
        </w:rPr>
        <w:t>זכות</w:t>
      </w:r>
      <w:r w:rsidR="00E276ED" w:rsidRPr="00E276ED">
        <w:rPr>
          <w:rFonts w:ascii="Calibri" w:hAnsi="Calibri"/>
          <w:b/>
          <w:bCs/>
          <w:rtl/>
        </w:rPr>
        <w:t xml:space="preserve"> </w:t>
      </w:r>
      <w:r w:rsidR="00E276ED" w:rsidRPr="00E276ED">
        <w:rPr>
          <w:rFonts w:ascii="Calibri" w:hAnsi="Calibri" w:hint="eastAsia"/>
          <w:b/>
          <w:bCs/>
          <w:rtl/>
        </w:rPr>
        <w:t>ערעור</w:t>
      </w:r>
      <w:r w:rsidR="00E276ED" w:rsidRPr="00E276ED">
        <w:rPr>
          <w:rFonts w:ascii="Calibri" w:hAnsi="Calibri"/>
          <w:b/>
          <w:bCs/>
          <w:rtl/>
        </w:rPr>
        <w:t xml:space="preserve"> </w:t>
      </w:r>
      <w:r w:rsidR="00E276ED" w:rsidRPr="00E276ED">
        <w:rPr>
          <w:rFonts w:ascii="Calibri" w:hAnsi="Calibri" w:hint="eastAsia"/>
          <w:b/>
          <w:bCs/>
          <w:rtl/>
        </w:rPr>
        <w:t>כחוק</w:t>
      </w:r>
      <w:r w:rsidR="00E276ED" w:rsidRPr="00E276ED">
        <w:rPr>
          <w:rFonts w:ascii="Calibri" w:hAnsi="Calibri"/>
          <w:b/>
          <w:bCs/>
          <w:rtl/>
        </w:rPr>
        <w:t>.</w:t>
      </w:r>
    </w:p>
    <w:p w14:paraId="5DFCD0FC" w14:textId="77777777" w:rsidR="00E276ED" w:rsidRPr="002B7D23" w:rsidRDefault="00E276ED" w:rsidP="00E276ED">
      <w:pPr>
        <w:rPr>
          <w:rFonts w:ascii="David" w:hAnsi="David"/>
          <w:sz w:val="26"/>
          <w:szCs w:val="26"/>
          <w:rtl/>
        </w:rPr>
      </w:pPr>
    </w:p>
    <w:p w14:paraId="46EA4BE2" w14:textId="77777777" w:rsidR="00E276ED" w:rsidRPr="000C0802" w:rsidRDefault="00B269A7" w:rsidP="00E276ED">
      <w:pPr>
        <w:rPr>
          <w:rFonts w:ascii="David" w:hAnsi="David"/>
          <w:b/>
          <w:bCs/>
          <w:sz w:val="26"/>
          <w:szCs w:val="26"/>
          <w:rtl/>
        </w:rPr>
      </w:pPr>
      <w:bookmarkStart w:id="8" w:name="Nitan"/>
      <w:r>
        <w:rPr>
          <w:rFonts w:ascii="David" w:hAnsi="David"/>
          <w:b/>
          <w:bCs/>
          <w:sz w:val="26"/>
          <w:szCs w:val="26"/>
          <w:rtl/>
        </w:rPr>
        <w:t xml:space="preserve">ניתן היום, י"ד תמוז תשפ"א, 24 יוני 2021, במעמד הצדדים. </w:t>
      </w:r>
      <w:bookmarkEnd w:id="8"/>
    </w:p>
    <w:p w14:paraId="256DEC01" w14:textId="77777777" w:rsidR="00E276ED" w:rsidRPr="000C0802" w:rsidRDefault="00E276ED" w:rsidP="00B269A7">
      <w:pPr>
        <w:jc w:val="center"/>
      </w:pPr>
      <w:r w:rsidRPr="000C0802">
        <w:rPr>
          <w:rFonts w:ascii="David" w:hAnsi="David"/>
          <w:b/>
          <w:bCs/>
          <w:sz w:val="26"/>
          <w:szCs w:val="26"/>
          <w:rtl/>
        </w:rPr>
        <w:t xml:space="preserve">   </w:t>
      </w:r>
      <w:r w:rsidRPr="000C0802">
        <w:rPr>
          <w:rFonts w:ascii="David" w:hAnsi="David"/>
          <w:b/>
          <w:bCs/>
          <w:sz w:val="26"/>
          <w:szCs w:val="26"/>
          <w:rtl/>
        </w:rPr>
        <w:tab/>
      </w:r>
      <w:r w:rsidRPr="000C0802">
        <w:rPr>
          <w:rFonts w:ascii="David" w:hAnsi="David"/>
          <w:b/>
          <w:bCs/>
          <w:sz w:val="26"/>
          <w:szCs w:val="26"/>
          <w:rtl/>
        </w:rPr>
        <w:tab/>
      </w:r>
      <w:r w:rsidRPr="000C0802">
        <w:rPr>
          <w:rFonts w:ascii="David" w:hAnsi="David"/>
          <w:b/>
          <w:bCs/>
          <w:sz w:val="26"/>
          <w:szCs w:val="26"/>
          <w:rtl/>
        </w:rPr>
        <w:tab/>
      </w:r>
      <w:r w:rsidRPr="000C0802">
        <w:rPr>
          <w:rFonts w:ascii="David" w:hAnsi="David"/>
          <w:b/>
          <w:bCs/>
          <w:sz w:val="26"/>
          <w:szCs w:val="26"/>
          <w:rtl/>
        </w:rPr>
        <w:tab/>
      </w:r>
      <w:r w:rsidRPr="000C0802">
        <w:rPr>
          <w:rFonts w:ascii="David" w:hAnsi="David"/>
          <w:b/>
          <w:bCs/>
          <w:sz w:val="26"/>
          <w:szCs w:val="26"/>
          <w:rtl/>
        </w:rPr>
        <w:tab/>
      </w:r>
    </w:p>
    <w:p w14:paraId="0503A01C" w14:textId="77777777" w:rsidR="00E276ED" w:rsidRPr="000C0802" w:rsidRDefault="00E276ED" w:rsidP="00E276ED">
      <w:pPr>
        <w:jc w:val="center"/>
        <w:rPr>
          <w:rFonts w:ascii="David" w:hAnsi="David"/>
          <w:b/>
          <w:bCs/>
          <w:sz w:val="26"/>
          <w:szCs w:val="26"/>
          <w:rtl/>
        </w:rPr>
      </w:pPr>
    </w:p>
    <w:p w14:paraId="7721F90E" w14:textId="77777777" w:rsidR="007E5295" w:rsidRPr="00B269A7" w:rsidRDefault="007E5295" w:rsidP="00B269A7">
      <w:pPr>
        <w:keepNext/>
        <w:rPr>
          <w:rFonts w:ascii="David" w:hAnsi="David"/>
          <w:color w:val="000000"/>
          <w:sz w:val="22"/>
          <w:szCs w:val="22"/>
          <w:rtl/>
        </w:rPr>
      </w:pPr>
    </w:p>
    <w:p w14:paraId="6D5C98B3" w14:textId="77777777" w:rsidR="00B269A7" w:rsidRPr="00B269A7" w:rsidRDefault="00B269A7" w:rsidP="00B269A7">
      <w:pPr>
        <w:keepNext/>
        <w:rPr>
          <w:rFonts w:ascii="David" w:hAnsi="David"/>
          <w:color w:val="000000"/>
          <w:sz w:val="22"/>
          <w:szCs w:val="22"/>
          <w:rtl/>
        </w:rPr>
      </w:pPr>
      <w:r w:rsidRPr="00B269A7">
        <w:rPr>
          <w:rFonts w:ascii="David" w:hAnsi="David"/>
          <w:color w:val="000000"/>
          <w:sz w:val="22"/>
          <w:szCs w:val="22"/>
          <w:rtl/>
        </w:rPr>
        <w:t>ענת חולתא 54678313</w:t>
      </w:r>
    </w:p>
    <w:p w14:paraId="145B0CBB" w14:textId="77777777" w:rsidR="00B269A7" w:rsidRDefault="00B269A7" w:rsidP="00B269A7">
      <w:r w:rsidRPr="00B269A7">
        <w:rPr>
          <w:color w:val="000000"/>
          <w:rtl/>
        </w:rPr>
        <w:t>נוסח מסמך זה כפוף לשינויי ניסוח ועריכה</w:t>
      </w:r>
    </w:p>
    <w:p w14:paraId="04042599" w14:textId="77777777" w:rsidR="00B269A7" w:rsidRDefault="00B269A7" w:rsidP="00B269A7">
      <w:pPr>
        <w:rPr>
          <w:rtl/>
        </w:rPr>
      </w:pPr>
    </w:p>
    <w:p w14:paraId="2E2312E2" w14:textId="77777777" w:rsidR="00B269A7" w:rsidRDefault="00B269A7" w:rsidP="00B269A7">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129839B4" w14:textId="77777777" w:rsidR="00B269A7" w:rsidRPr="00B269A7" w:rsidRDefault="00B269A7" w:rsidP="00B269A7">
      <w:pPr>
        <w:jc w:val="center"/>
        <w:rPr>
          <w:color w:val="0000FF"/>
          <w:u w:val="single"/>
        </w:rPr>
      </w:pPr>
    </w:p>
    <w:sectPr w:rsidR="00B269A7" w:rsidRPr="00B269A7" w:rsidSect="00B269A7">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C07FF" w14:textId="77777777" w:rsidR="00866D71" w:rsidRDefault="00866D71" w:rsidP="00187F01">
      <w:r>
        <w:separator/>
      </w:r>
    </w:p>
  </w:endnote>
  <w:endnote w:type="continuationSeparator" w:id="0">
    <w:p w14:paraId="03B41A24" w14:textId="77777777" w:rsidR="00866D71" w:rsidRDefault="00866D71" w:rsidP="00187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9E5A2" w14:textId="77777777" w:rsidR="00B269A7" w:rsidRDefault="00B269A7" w:rsidP="00B269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2B60FA" w14:textId="77777777" w:rsidR="00F752A2" w:rsidRPr="00B269A7" w:rsidRDefault="00B269A7" w:rsidP="00B269A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59F69" w14:textId="77777777" w:rsidR="00B269A7" w:rsidRDefault="00B269A7" w:rsidP="00B269A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77E9">
      <w:rPr>
        <w:rFonts w:ascii="FrankRuehl" w:hAnsi="FrankRuehl" w:cs="FrankRuehl"/>
        <w:noProof/>
        <w:rtl/>
      </w:rPr>
      <w:t>1</w:t>
    </w:r>
    <w:r>
      <w:rPr>
        <w:rFonts w:ascii="FrankRuehl" w:hAnsi="FrankRuehl" w:cs="FrankRuehl"/>
        <w:rtl/>
      </w:rPr>
      <w:fldChar w:fldCharType="end"/>
    </w:r>
  </w:p>
  <w:p w14:paraId="58D16F50" w14:textId="77777777" w:rsidR="00F752A2" w:rsidRPr="00B269A7" w:rsidRDefault="00B269A7" w:rsidP="00B269A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C989E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CC01F" w14:textId="77777777" w:rsidR="00866D71" w:rsidRDefault="00866D71" w:rsidP="00187F01">
      <w:r>
        <w:separator/>
      </w:r>
    </w:p>
  </w:footnote>
  <w:footnote w:type="continuationSeparator" w:id="0">
    <w:p w14:paraId="06B070BD" w14:textId="77777777" w:rsidR="00866D71" w:rsidRDefault="00866D71" w:rsidP="00187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587EE" w14:textId="77777777" w:rsidR="00B269A7" w:rsidRPr="00B269A7" w:rsidRDefault="00B269A7" w:rsidP="00B269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33495-01-21</w:t>
    </w:r>
    <w:r>
      <w:rPr>
        <w:rFonts w:ascii="David" w:hAnsi="David"/>
        <w:color w:val="000000"/>
        <w:sz w:val="22"/>
        <w:szCs w:val="22"/>
        <w:rtl/>
      </w:rPr>
      <w:tab/>
      <w:t xml:space="preserve"> מדינת ישראל-תביעות נגב נ' זכר חיימוב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92C80" w14:textId="77777777" w:rsidR="00B269A7" w:rsidRPr="00B269A7" w:rsidRDefault="00B269A7" w:rsidP="00B269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33495-01-21</w:t>
    </w:r>
    <w:r>
      <w:rPr>
        <w:rFonts w:ascii="David" w:hAnsi="David"/>
        <w:color w:val="000000"/>
        <w:sz w:val="22"/>
        <w:szCs w:val="22"/>
        <w:rtl/>
      </w:rPr>
      <w:tab/>
      <w:t xml:space="preserve"> מדינת ישראל-תביעות נגב נ' זכר חיימוב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A0826"/>
    <w:multiLevelType w:val="hybridMultilevel"/>
    <w:tmpl w:val="9F98F5CA"/>
    <w:lvl w:ilvl="0" w:tplc="8BF82F28">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0A2768B"/>
    <w:multiLevelType w:val="hybridMultilevel"/>
    <w:tmpl w:val="FFECB426"/>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2047AD2"/>
    <w:multiLevelType w:val="hybridMultilevel"/>
    <w:tmpl w:val="F43065EC"/>
    <w:lvl w:ilvl="0" w:tplc="9C087D7A">
      <w:start w:val="1"/>
      <w:numFmt w:val="decimal"/>
      <w:lvlText w:val="%1."/>
      <w:lvlJc w:val="left"/>
      <w:pPr>
        <w:ind w:left="360" w:hanging="360"/>
      </w:pPr>
      <w:rPr>
        <w:rFonts w:cs="David"/>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47937755">
    <w:abstractNumId w:val="2"/>
  </w:num>
  <w:num w:numId="2" w16cid:durableId="1353069851">
    <w:abstractNumId w:val="1"/>
  </w:num>
  <w:num w:numId="3" w16cid:durableId="404842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76ED"/>
    <w:rsid w:val="000C28EF"/>
    <w:rsid w:val="00187F01"/>
    <w:rsid w:val="00250726"/>
    <w:rsid w:val="002C1CB6"/>
    <w:rsid w:val="004C7895"/>
    <w:rsid w:val="00770525"/>
    <w:rsid w:val="007E5295"/>
    <w:rsid w:val="00866D71"/>
    <w:rsid w:val="0097526F"/>
    <w:rsid w:val="009A4E4C"/>
    <w:rsid w:val="00A801C5"/>
    <w:rsid w:val="00B269A7"/>
    <w:rsid w:val="00B777D6"/>
    <w:rsid w:val="00E276ED"/>
    <w:rsid w:val="00EF77E9"/>
    <w:rsid w:val="00F752A2"/>
    <w:rsid w:val="00FC0A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771FCB"/>
  <w15:chartTrackingRefBased/>
  <w15:docId w15:val="{51222975-E904-4C08-BC1C-FE76B86D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76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76ED"/>
    <w:pPr>
      <w:tabs>
        <w:tab w:val="center" w:pos="4153"/>
        <w:tab w:val="right" w:pos="8306"/>
      </w:tabs>
    </w:pPr>
  </w:style>
  <w:style w:type="character" w:customStyle="1" w:styleId="a4">
    <w:name w:val="כותרת עליונה תו"/>
    <w:link w:val="a3"/>
    <w:rsid w:val="00E276ED"/>
    <w:rPr>
      <w:rFonts w:ascii="Times New Roman" w:eastAsia="Times New Roman" w:hAnsi="Times New Roman" w:cs="David"/>
      <w:sz w:val="24"/>
      <w:szCs w:val="24"/>
    </w:rPr>
  </w:style>
  <w:style w:type="paragraph" w:styleId="a5">
    <w:name w:val="footer"/>
    <w:basedOn w:val="a"/>
    <w:link w:val="a6"/>
    <w:rsid w:val="00E276ED"/>
    <w:pPr>
      <w:tabs>
        <w:tab w:val="center" w:pos="4153"/>
        <w:tab w:val="right" w:pos="8306"/>
      </w:tabs>
    </w:pPr>
  </w:style>
  <w:style w:type="character" w:customStyle="1" w:styleId="a6">
    <w:name w:val="כותרת תחתונה תו"/>
    <w:link w:val="a5"/>
    <w:rsid w:val="00E276ED"/>
    <w:rPr>
      <w:rFonts w:ascii="Times New Roman" w:eastAsia="Times New Roman" w:hAnsi="Times New Roman" w:cs="David"/>
      <w:sz w:val="24"/>
      <w:szCs w:val="24"/>
    </w:rPr>
  </w:style>
  <w:style w:type="table" w:styleId="a7">
    <w:name w:val="Table Grid"/>
    <w:basedOn w:val="a1"/>
    <w:rsid w:val="00E276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276ED"/>
  </w:style>
  <w:style w:type="character" w:styleId="Hyperlink">
    <w:name w:val="Hyperlink"/>
    <w:rsid w:val="00B269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279771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case/27333219" TargetMode="External"/><Relationship Id="rId12" Type="http://schemas.openxmlformats.org/officeDocument/2006/relationships/hyperlink" Target="http://www.nevo.co.il/case/26678297"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650434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case/27130613" TargetMode="External"/><Relationship Id="rId23" Type="http://schemas.openxmlformats.org/officeDocument/2006/relationships/theme" Target="theme/theme1.xml"/><Relationship Id="rId10" Type="http://schemas.openxmlformats.org/officeDocument/2006/relationships/hyperlink" Target="http://www.nevo.co.il/law/4216/14"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case/2718122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1866</Words>
  <Characters>9335</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11179</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3604593</vt:i4>
      </vt:variant>
      <vt:variant>
        <vt:i4>27</vt:i4>
      </vt:variant>
      <vt:variant>
        <vt:i4>0</vt:i4>
      </vt:variant>
      <vt:variant>
        <vt:i4>5</vt:i4>
      </vt:variant>
      <vt:variant>
        <vt:lpwstr>http://www.nevo.co.il/case/26504342</vt:lpwstr>
      </vt:variant>
      <vt:variant>
        <vt:lpwstr/>
      </vt:variant>
      <vt:variant>
        <vt:i4>3276918</vt:i4>
      </vt:variant>
      <vt:variant>
        <vt:i4>24</vt:i4>
      </vt:variant>
      <vt:variant>
        <vt:i4>0</vt:i4>
      </vt:variant>
      <vt:variant>
        <vt:i4>5</vt:i4>
      </vt:variant>
      <vt:variant>
        <vt:lpwstr>http://www.nevo.co.il/case/27130613</vt:lpwstr>
      </vt:variant>
      <vt:variant>
        <vt:lpwstr/>
      </vt:variant>
      <vt:variant>
        <vt:i4>3145849</vt:i4>
      </vt:variant>
      <vt:variant>
        <vt:i4>21</vt:i4>
      </vt:variant>
      <vt:variant>
        <vt:i4>0</vt:i4>
      </vt:variant>
      <vt:variant>
        <vt:i4>5</vt:i4>
      </vt:variant>
      <vt:variant>
        <vt:lpwstr>http://www.nevo.co.il/case/27181224</vt:lpwstr>
      </vt:variant>
      <vt:variant>
        <vt:lpwstr/>
      </vt:variant>
      <vt:variant>
        <vt:i4>3342456</vt:i4>
      </vt:variant>
      <vt:variant>
        <vt:i4>18</vt:i4>
      </vt:variant>
      <vt:variant>
        <vt:i4>0</vt:i4>
      </vt:variant>
      <vt:variant>
        <vt:i4>5</vt:i4>
      </vt:variant>
      <vt:variant>
        <vt:lpwstr>http://www.nevo.co.il/case/22797714</vt:lpwstr>
      </vt:variant>
      <vt:variant>
        <vt:lpwstr/>
      </vt:variant>
      <vt:variant>
        <vt:i4>3473527</vt:i4>
      </vt:variant>
      <vt:variant>
        <vt:i4>15</vt:i4>
      </vt:variant>
      <vt:variant>
        <vt:i4>0</vt:i4>
      </vt:variant>
      <vt:variant>
        <vt:i4>5</vt:i4>
      </vt:variant>
      <vt:variant>
        <vt:lpwstr>http://www.nevo.co.il/case/26678297</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5177418</vt:i4>
      </vt:variant>
      <vt:variant>
        <vt:i4>9</vt:i4>
      </vt:variant>
      <vt:variant>
        <vt:i4>0</vt:i4>
      </vt:variant>
      <vt:variant>
        <vt:i4>5</vt:i4>
      </vt:variant>
      <vt:variant>
        <vt:lpwstr>http://www.nevo.co.il/law/4216/14</vt:lpwstr>
      </vt:variant>
      <vt:variant>
        <vt:lpwstr/>
      </vt:variant>
      <vt:variant>
        <vt:i4>5177418</vt:i4>
      </vt:variant>
      <vt:variant>
        <vt:i4>6</vt:i4>
      </vt:variant>
      <vt:variant>
        <vt:i4>0</vt:i4>
      </vt:variant>
      <vt:variant>
        <vt:i4>5</vt:i4>
      </vt:variant>
      <vt:variant>
        <vt:lpwstr>http://www.nevo.co.il/law/4216/14</vt:lpwstr>
      </vt:variant>
      <vt:variant>
        <vt:lpwstr/>
      </vt:variant>
      <vt:variant>
        <vt:i4>8257637</vt:i4>
      </vt:variant>
      <vt:variant>
        <vt:i4>3</vt:i4>
      </vt:variant>
      <vt:variant>
        <vt:i4>0</vt:i4>
      </vt:variant>
      <vt:variant>
        <vt:i4>5</vt:i4>
      </vt:variant>
      <vt:variant>
        <vt:lpwstr>http://www.nevo.co.il/law/4216</vt:lpwstr>
      </vt:variant>
      <vt:variant>
        <vt:lpwstr/>
      </vt:variant>
      <vt:variant>
        <vt:i4>3342450</vt:i4>
      </vt:variant>
      <vt:variant>
        <vt:i4>0</vt:i4>
      </vt:variant>
      <vt:variant>
        <vt:i4>0</vt:i4>
      </vt:variant>
      <vt:variant>
        <vt:i4>5</vt:i4>
      </vt:variant>
      <vt:variant>
        <vt:lpwstr>http://www.nevo.co.il/case/27333219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2025-04-23T00:52:00Z</dcterms:created>
  <dcterms:modified xsi:type="dcterms:W3CDTF">2025-04-23T00:52:00Z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33495</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ישראל-תביעות נגב</vt:lpwstr>
  </property>
  <property fmtid="{D5CDD505-2E9C-101B-9397-08002B2CF9AE}" pid="9" name="APPELLEE">
    <vt:lpwstr>זכר חיימוב</vt:lpwstr>
  </property>
  <property fmtid="{D5CDD505-2E9C-101B-9397-08002B2CF9AE}" pid="10" name="LAWYER">
    <vt:lpwstr>מורן אלקבץ עומסי;אפרת צרפתי</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20210624</vt:lpwstr>
  </property>
  <property fmtid="{D5CDD505-2E9C-101B-9397-08002B2CF9AE}" pid="14" name="TYPE_N_DATE">
    <vt:lpwstr>38020210624</vt:lpwstr>
  </property>
  <property fmtid="{D5CDD505-2E9C-101B-9397-08002B2CF9AE}" pid="15" name="WORDNUMPAGES">
    <vt:lpwstr>7</vt:lpwstr>
  </property>
  <property fmtid="{D5CDD505-2E9C-101B-9397-08002B2CF9AE}" pid="16" name="TYPE_ABS_DATE">
    <vt:lpwstr>380020210624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27333219;26678297;22797714;27181224;27130613;26504342</vt:lpwstr>
  </property>
  <property fmtid="{D5CDD505-2E9C-101B-9397-08002B2CF9AE}" pid="36" name="LAWLISTTMP1">
    <vt:lpwstr>4216/014</vt:lpwstr>
  </property>
</Properties>
</file>