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47CE3" w:rsidRPr="00EF25BB" w14:paraId="6B8CBEDE" w14:textId="77777777" w:rsidTr="00B203F5">
        <w:trPr>
          <w:trHeight w:hRule="exact" w:val="418"/>
          <w:jc w:val="center"/>
        </w:trPr>
        <w:tc>
          <w:tcPr>
            <w:tcW w:w="8721" w:type="dxa"/>
            <w:gridSpan w:val="2"/>
          </w:tcPr>
          <w:p w14:paraId="5487747D" w14:textId="77777777" w:rsidR="00847CE3" w:rsidRPr="00EF25BB" w:rsidRDefault="00847CE3" w:rsidP="00F23043">
            <w:pPr>
              <w:pStyle w:val="a3"/>
              <w:jc w:val="center"/>
              <w:rPr>
                <w:rFonts w:ascii="Tahoma" w:hAnsi="Tahoma" w:cs="Tahoma"/>
                <w:color w:val="000080"/>
                <w:rtl/>
              </w:rPr>
            </w:pPr>
            <w:bookmarkStart w:id="0" w:name="LastJudge"/>
            <w:r w:rsidRPr="00EF25BB">
              <w:rPr>
                <w:rFonts w:ascii="Tahoma" w:hAnsi="Tahoma" w:cs="Tahoma"/>
                <w:b/>
                <w:bCs/>
                <w:color w:val="000080"/>
                <w:rtl/>
              </w:rPr>
              <w:t>בית משפט השלום בירושלים</w:t>
            </w:r>
          </w:p>
        </w:tc>
      </w:tr>
      <w:tr w:rsidR="00847CE3" w:rsidRPr="00EF25BB" w14:paraId="3425CE84" w14:textId="77777777" w:rsidTr="00B203F5">
        <w:trPr>
          <w:trHeight w:val="337"/>
          <w:jc w:val="center"/>
        </w:trPr>
        <w:tc>
          <w:tcPr>
            <w:tcW w:w="5058" w:type="dxa"/>
          </w:tcPr>
          <w:p w14:paraId="1183343A" w14:textId="77777777" w:rsidR="00847CE3" w:rsidRPr="00EF25BB" w:rsidRDefault="00847CE3" w:rsidP="00F23043">
            <w:pPr>
              <w:rPr>
                <w:rFonts w:cs="FrankRuehl"/>
                <w:sz w:val="28"/>
                <w:szCs w:val="28"/>
                <w:rtl/>
              </w:rPr>
            </w:pPr>
            <w:r w:rsidRPr="00EF25BB">
              <w:rPr>
                <w:rFonts w:cs="FrankRuehl"/>
                <w:sz w:val="28"/>
                <w:szCs w:val="28"/>
                <w:rtl/>
              </w:rPr>
              <w:t>ת"פ</w:t>
            </w:r>
            <w:r w:rsidRPr="00EF25BB">
              <w:rPr>
                <w:rFonts w:cs="FrankRuehl" w:hint="cs"/>
                <w:sz w:val="28"/>
                <w:szCs w:val="28"/>
                <w:rtl/>
              </w:rPr>
              <w:t xml:space="preserve"> </w:t>
            </w:r>
            <w:hyperlink r:id="rId7" w:history="1">
              <w:r w:rsidR="00EF1815" w:rsidRPr="00EF1815">
                <w:rPr>
                  <w:rFonts w:cs="FrankRuehl"/>
                  <w:color w:val="0000FF"/>
                  <w:sz w:val="28"/>
                  <w:szCs w:val="28"/>
                  <w:u w:val="single"/>
                  <w:rtl/>
                </w:rPr>
                <w:t xml:space="preserve">43525-01-21 </w:t>
              </w:r>
            </w:hyperlink>
            <w:r w:rsidRPr="00EF25BB">
              <w:rPr>
                <w:rFonts w:cs="FrankRuehl" w:hint="cs"/>
                <w:sz w:val="28"/>
                <w:szCs w:val="28"/>
                <w:rtl/>
              </w:rPr>
              <w:t xml:space="preserve"> </w:t>
            </w:r>
            <w:r w:rsidRPr="00EF25BB">
              <w:rPr>
                <w:rFonts w:cs="FrankRuehl"/>
                <w:sz w:val="28"/>
                <w:szCs w:val="28"/>
                <w:rtl/>
              </w:rPr>
              <w:t>מדינת ישראל נ' אלוג'(עציר)</w:t>
            </w:r>
          </w:p>
          <w:p w14:paraId="717745FF" w14:textId="77777777" w:rsidR="00847CE3" w:rsidRPr="00EF25BB" w:rsidRDefault="00847CE3" w:rsidP="00F23043">
            <w:pPr>
              <w:pStyle w:val="a3"/>
              <w:rPr>
                <w:rFonts w:cs="FrankRuehl"/>
                <w:sz w:val="28"/>
                <w:szCs w:val="28"/>
                <w:rtl/>
              </w:rPr>
            </w:pPr>
          </w:p>
        </w:tc>
        <w:tc>
          <w:tcPr>
            <w:tcW w:w="3663" w:type="dxa"/>
          </w:tcPr>
          <w:p w14:paraId="07C538EF" w14:textId="77777777" w:rsidR="00847CE3" w:rsidRPr="00EF25BB" w:rsidRDefault="00847CE3" w:rsidP="00F23043">
            <w:pPr>
              <w:pStyle w:val="a3"/>
              <w:jc w:val="right"/>
              <w:rPr>
                <w:rFonts w:cs="FrankRuehl"/>
                <w:sz w:val="28"/>
                <w:szCs w:val="28"/>
                <w:rtl/>
              </w:rPr>
            </w:pPr>
          </w:p>
        </w:tc>
      </w:tr>
    </w:tbl>
    <w:p w14:paraId="29705F71" w14:textId="77777777" w:rsidR="00847CE3" w:rsidRPr="00EF25BB" w:rsidRDefault="00847CE3" w:rsidP="00847CE3">
      <w:pPr>
        <w:pStyle w:val="a3"/>
        <w:rPr>
          <w:rtl/>
        </w:rPr>
      </w:pPr>
      <w:r w:rsidRPr="00EF25BB">
        <w:rPr>
          <w:rFonts w:hint="cs"/>
          <w:rtl/>
        </w:rPr>
        <w:t xml:space="preserve"> </w:t>
      </w:r>
    </w:p>
    <w:p w14:paraId="570A4273" w14:textId="77777777" w:rsidR="00847CE3" w:rsidRPr="00EF25BB" w:rsidRDefault="00847CE3" w:rsidP="00847CE3">
      <w:pPr>
        <w:rPr>
          <w:rtl/>
        </w:rPr>
      </w:pPr>
    </w:p>
    <w:p w14:paraId="3FA40BCC" w14:textId="77777777" w:rsidR="00847CE3" w:rsidRPr="00EF25BB" w:rsidRDefault="00847CE3" w:rsidP="00847CE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47CE3" w:rsidRPr="00EF25BB" w14:paraId="12BB1E0D" w14:textId="77777777" w:rsidTr="00847CE3">
        <w:trPr>
          <w:trHeight w:val="295"/>
          <w:jc w:val="center"/>
        </w:trPr>
        <w:tc>
          <w:tcPr>
            <w:tcW w:w="923" w:type="dxa"/>
            <w:tcBorders>
              <w:top w:val="nil"/>
              <w:left w:val="nil"/>
              <w:bottom w:val="nil"/>
              <w:right w:val="nil"/>
            </w:tcBorders>
            <w:shd w:val="clear" w:color="auto" w:fill="auto"/>
          </w:tcPr>
          <w:p w14:paraId="136558AB" w14:textId="77777777" w:rsidR="00847CE3" w:rsidRPr="00EF25BB" w:rsidRDefault="00847CE3" w:rsidP="00847CE3">
            <w:pPr>
              <w:jc w:val="both"/>
              <w:rPr>
                <w:rFonts w:ascii="David" w:hAnsi="David"/>
                <w:b/>
                <w:bCs/>
                <w:sz w:val="26"/>
                <w:szCs w:val="26"/>
              </w:rPr>
            </w:pPr>
            <w:r w:rsidRPr="00EF25BB">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2075D82" w14:textId="77777777" w:rsidR="00847CE3" w:rsidRPr="00EF25BB" w:rsidRDefault="00847CE3" w:rsidP="00F23043">
            <w:pPr>
              <w:rPr>
                <w:rFonts w:ascii="David" w:hAnsi="David"/>
                <w:b/>
                <w:bCs/>
                <w:sz w:val="26"/>
                <w:szCs w:val="26"/>
                <w:rtl/>
              </w:rPr>
            </w:pPr>
            <w:r w:rsidRPr="00EF25BB">
              <w:rPr>
                <w:rFonts w:ascii="David" w:hAnsi="David"/>
                <w:b/>
                <w:bCs/>
                <w:sz w:val="26"/>
                <w:szCs w:val="26"/>
                <w:rtl/>
              </w:rPr>
              <w:t>כבוד השופט  ארנון איתן</w:t>
            </w:r>
          </w:p>
          <w:p w14:paraId="5F9AFF58" w14:textId="77777777" w:rsidR="00847CE3" w:rsidRPr="00EF25BB" w:rsidRDefault="00847CE3" w:rsidP="00F23043">
            <w:pPr>
              <w:rPr>
                <w:rFonts w:ascii="David" w:hAnsi="David"/>
                <w:b/>
                <w:bCs/>
                <w:sz w:val="26"/>
                <w:szCs w:val="26"/>
                <w:rtl/>
              </w:rPr>
            </w:pPr>
          </w:p>
          <w:p w14:paraId="5842B8DF" w14:textId="77777777" w:rsidR="00847CE3" w:rsidRPr="00EF25BB" w:rsidRDefault="00847CE3" w:rsidP="00847CE3">
            <w:pPr>
              <w:jc w:val="both"/>
              <w:rPr>
                <w:rFonts w:ascii="David" w:hAnsi="David"/>
                <w:b/>
                <w:bCs/>
                <w:sz w:val="26"/>
                <w:szCs w:val="26"/>
              </w:rPr>
            </w:pPr>
          </w:p>
        </w:tc>
      </w:tr>
      <w:tr w:rsidR="00847CE3" w:rsidRPr="00EF25BB" w14:paraId="16000895" w14:textId="77777777" w:rsidTr="00847CE3">
        <w:trPr>
          <w:trHeight w:val="355"/>
          <w:jc w:val="center"/>
        </w:trPr>
        <w:tc>
          <w:tcPr>
            <w:tcW w:w="923" w:type="dxa"/>
            <w:tcBorders>
              <w:top w:val="nil"/>
              <w:left w:val="nil"/>
              <w:bottom w:val="nil"/>
              <w:right w:val="nil"/>
            </w:tcBorders>
            <w:shd w:val="clear" w:color="auto" w:fill="auto"/>
          </w:tcPr>
          <w:p w14:paraId="2F7CA6CD" w14:textId="77777777" w:rsidR="00847CE3" w:rsidRPr="00EF25BB" w:rsidRDefault="00847CE3" w:rsidP="00847CE3">
            <w:pPr>
              <w:jc w:val="both"/>
              <w:rPr>
                <w:rFonts w:ascii="David" w:hAnsi="David"/>
                <w:b/>
                <w:bCs/>
                <w:sz w:val="26"/>
                <w:szCs w:val="26"/>
              </w:rPr>
            </w:pPr>
            <w:bookmarkStart w:id="1" w:name="FirstAppellant"/>
            <w:r w:rsidRPr="00EF25BB">
              <w:rPr>
                <w:rFonts w:ascii="David" w:hAnsi="David"/>
                <w:b/>
                <w:bCs/>
                <w:sz w:val="26"/>
                <w:szCs w:val="26"/>
                <w:rtl/>
              </w:rPr>
              <w:t>בעניין:</w:t>
            </w:r>
          </w:p>
        </w:tc>
        <w:tc>
          <w:tcPr>
            <w:tcW w:w="4126" w:type="dxa"/>
            <w:tcBorders>
              <w:top w:val="nil"/>
              <w:left w:val="nil"/>
              <w:bottom w:val="nil"/>
              <w:right w:val="nil"/>
            </w:tcBorders>
            <w:shd w:val="clear" w:color="auto" w:fill="auto"/>
          </w:tcPr>
          <w:p w14:paraId="5C17C44A" w14:textId="77777777" w:rsidR="00847CE3" w:rsidRPr="00EF25BB" w:rsidRDefault="00847CE3" w:rsidP="00F23043">
            <w:pPr>
              <w:rPr>
                <w:rFonts w:ascii="David" w:hAnsi="David"/>
                <w:b/>
                <w:bCs/>
                <w:sz w:val="26"/>
                <w:szCs w:val="26"/>
              </w:rPr>
            </w:pPr>
            <w:r w:rsidRPr="00EF25BB">
              <w:rPr>
                <w:rFonts w:ascii="David" w:hAnsi="David" w:hint="cs"/>
                <w:b/>
                <w:bCs/>
                <w:sz w:val="26"/>
                <w:szCs w:val="26"/>
                <w:rtl/>
              </w:rPr>
              <w:t xml:space="preserve">                                      </w:t>
            </w:r>
            <w:r w:rsidRPr="00EF25BB">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16D21F1B" w14:textId="77777777" w:rsidR="00847CE3" w:rsidRPr="00EF25BB" w:rsidRDefault="00847CE3" w:rsidP="00847CE3">
            <w:pPr>
              <w:jc w:val="both"/>
              <w:rPr>
                <w:rFonts w:ascii="David" w:hAnsi="David"/>
                <w:b/>
                <w:bCs/>
                <w:sz w:val="26"/>
                <w:szCs w:val="26"/>
              </w:rPr>
            </w:pPr>
          </w:p>
        </w:tc>
      </w:tr>
      <w:bookmarkEnd w:id="1"/>
      <w:tr w:rsidR="00847CE3" w:rsidRPr="00EF25BB" w14:paraId="09A8364B" w14:textId="77777777" w:rsidTr="00847CE3">
        <w:trPr>
          <w:trHeight w:val="355"/>
          <w:jc w:val="center"/>
        </w:trPr>
        <w:tc>
          <w:tcPr>
            <w:tcW w:w="923" w:type="dxa"/>
            <w:tcBorders>
              <w:top w:val="nil"/>
              <w:left w:val="nil"/>
              <w:bottom w:val="nil"/>
              <w:right w:val="nil"/>
            </w:tcBorders>
            <w:shd w:val="clear" w:color="auto" w:fill="auto"/>
          </w:tcPr>
          <w:p w14:paraId="1A55F155" w14:textId="77777777" w:rsidR="00847CE3" w:rsidRPr="00EF25BB" w:rsidRDefault="00847CE3" w:rsidP="00847CE3">
            <w:pPr>
              <w:jc w:val="both"/>
              <w:rPr>
                <w:rFonts w:ascii="David" w:hAnsi="David"/>
                <w:b/>
                <w:bCs/>
                <w:sz w:val="26"/>
                <w:szCs w:val="26"/>
                <w:rtl/>
              </w:rPr>
            </w:pPr>
          </w:p>
        </w:tc>
        <w:tc>
          <w:tcPr>
            <w:tcW w:w="4126" w:type="dxa"/>
            <w:tcBorders>
              <w:top w:val="nil"/>
              <w:left w:val="nil"/>
              <w:bottom w:val="nil"/>
              <w:right w:val="nil"/>
            </w:tcBorders>
            <w:shd w:val="clear" w:color="auto" w:fill="auto"/>
          </w:tcPr>
          <w:p w14:paraId="6E17FC01" w14:textId="77777777" w:rsidR="00847CE3" w:rsidRPr="00EF25BB" w:rsidRDefault="00847CE3" w:rsidP="00847CE3">
            <w:pPr>
              <w:jc w:val="both"/>
              <w:rPr>
                <w:rFonts w:ascii="David" w:hAnsi="David"/>
                <w:b/>
                <w:bCs/>
                <w:sz w:val="26"/>
                <w:szCs w:val="26"/>
                <w:rtl/>
              </w:rPr>
            </w:pPr>
          </w:p>
        </w:tc>
        <w:tc>
          <w:tcPr>
            <w:tcW w:w="3771" w:type="dxa"/>
            <w:tcBorders>
              <w:top w:val="nil"/>
              <w:left w:val="nil"/>
              <w:bottom w:val="nil"/>
              <w:right w:val="nil"/>
            </w:tcBorders>
            <w:shd w:val="clear" w:color="auto" w:fill="auto"/>
          </w:tcPr>
          <w:p w14:paraId="292BA00F" w14:textId="77777777" w:rsidR="00847CE3" w:rsidRPr="00EF25BB" w:rsidRDefault="00847CE3" w:rsidP="00847CE3">
            <w:pPr>
              <w:jc w:val="right"/>
              <w:rPr>
                <w:rFonts w:ascii="David" w:hAnsi="David"/>
                <w:b/>
                <w:bCs/>
                <w:sz w:val="26"/>
                <w:szCs w:val="26"/>
                <w:rtl/>
              </w:rPr>
            </w:pPr>
            <w:r w:rsidRPr="00EF25BB">
              <w:rPr>
                <w:rFonts w:ascii="David" w:hAnsi="David"/>
                <w:b/>
                <w:bCs/>
                <w:sz w:val="26"/>
                <w:szCs w:val="26"/>
                <w:rtl/>
              </w:rPr>
              <w:t>המאשימה</w:t>
            </w:r>
          </w:p>
        </w:tc>
      </w:tr>
      <w:tr w:rsidR="00847CE3" w:rsidRPr="00EF25BB" w14:paraId="427CE241" w14:textId="77777777" w:rsidTr="00847CE3">
        <w:trPr>
          <w:trHeight w:val="355"/>
          <w:jc w:val="center"/>
        </w:trPr>
        <w:tc>
          <w:tcPr>
            <w:tcW w:w="923" w:type="dxa"/>
            <w:tcBorders>
              <w:top w:val="nil"/>
              <w:left w:val="nil"/>
              <w:bottom w:val="nil"/>
              <w:right w:val="nil"/>
            </w:tcBorders>
            <w:shd w:val="clear" w:color="auto" w:fill="auto"/>
          </w:tcPr>
          <w:p w14:paraId="1537A2BB" w14:textId="77777777" w:rsidR="00847CE3" w:rsidRPr="00EF25BB" w:rsidRDefault="00847CE3" w:rsidP="00847CE3">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126A9E5A" w14:textId="77777777" w:rsidR="00847CE3" w:rsidRPr="00EF25BB" w:rsidRDefault="00847CE3" w:rsidP="00847CE3">
            <w:pPr>
              <w:jc w:val="center"/>
              <w:rPr>
                <w:rFonts w:ascii="David" w:hAnsi="David"/>
                <w:b/>
                <w:bCs/>
                <w:sz w:val="26"/>
                <w:szCs w:val="26"/>
                <w:rtl/>
              </w:rPr>
            </w:pPr>
          </w:p>
          <w:p w14:paraId="1F49A1F0" w14:textId="77777777" w:rsidR="00847CE3" w:rsidRPr="00EF25BB" w:rsidRDefault="00847CE3" w:rsidP="00847CE3">
            <w:pPr>
              <w:tabs>
                <w:tab w:val="left" w:pos="2551"/>
                <w:tab w:val="center" w:pos="3840"/>
              </w:tabs>
              <w:rPr>
                <w:rFonts w:ascii="David" w:hAnsi="David"/>
                <w:b/>
                <w:bCs/>
                <w:sz w:val="26"/>
                <w:szCs w:val="26"/>
                <w:rtl/>
              </w:rPr>
            </w:pPr>
            <w:r w:rsidRPr="00EF25BB">
              <w:rPr>
                <w:rFonts w:ascii="David" w:hAnsi="David"/>
                <w:b/>
                <w:bCs/>
                <w:sz w:val="26"/>
                <w:szCs w:val="26"/>
                <w:rtl/>
              </w:rPr>
              <w:tab/>
              <w:t>נגד</w:t>
            </w:r>
          </w:p>
          <w:p w14:paraId="66D6335A" w14:textId="77777777" w:rsidR="00847CE3" w:rsidRPr="00EF25BB" w:rsidRDefault="00847CE3" w:rsidP="00847CE3">
            <w:pPr>
              <w:jc w:val="both"/>
              <w:rPr>
                <w:rFonts w:ascii="David" w:hAnsi="David"/>
                <w:b/>
                <w:bCs/>
                <w:sz w:val="26"/>
                <w:szCs w:val="26"/>
              </w:rPr>
            </w:pPr>
          </w:p>
        </w:tc>
      </w:tr>
      <w:tr w:rsidR="00847CE3" w:rsidRPr="00EF25BB" w14:paraId="149C4ACC" w14:textId="77777777" w:rsidTr="00847CE3">
        <w:trPr>
          <w:trHeight w:val="355"/>
          <w:jc w:val="center"/>
        </w:trPr>
        <w:tc>
          <w:tcPr>
            <w:tcW w:w="923" w:type="dxa"/>
            <w:tcBorders>
              <w:top w:val="nil"/>
              <w:left w:val="nil"/>
              <w:bottom w:val="nil"/>
              <w:right w:val="nil"/>
            </w:tcBorders>
            <w:shd w:val="clear" w:color="auto" w:fill="auto"/>
          </w:tcPr>
          <w:p w14:paraId="4C00BA4B" w14:textId="77777777" w:rsidR="00847CE3" w:rsidRPr="00EF25BB" w:rsidRDefault="00847CE3" w:rsidP="00F23043">
            <w:pPr>
              <w:rPr>
                <w:rFonts w:ascii="David" w:hAnsi="David"/>
                <w:b/>
                <w:bCs/>
                <w:sz w:val="26"/>
                <w:szCs w:val="26"/>
                <w:rtl/>
              </w:rPr>
            </w:pPr>
          </w:p>
        </w:tc>
        <w:tc>
          <w:tcPr>
            <w:tcW w:w="4126" w:type="dxa"/>
            <w:tcBorders>
              <w:top w:val="nil"/>
              <w:left w:val="nil"/>
              <w:bottom w:val="nil"/>
              <w:right w:val="nil"/>
            </w:tcBorders>
            <w:shd w:val="clear" w:color="auto" w:fill="auto"/>
          </w:tcPr>
          <w:p w14:paraId="52F7B18D" w14:textId="77777777" w:rsidR="00847CE3" w:rsidRPr="00EF25BB" w:rsidRDefault="00847CE3" w:rsidP="00F23043">
            <w:pPr>
              <w:rPr>
                <w:rFonts w:ascii="David" w:hAnsi="David"/>
                <w:b/>
                <w:bCs/>
                <w:sz w:val="26"/>
                <w:szCs w:val="26"/>
                <w:rtl/>
              </w:rPr>
            </w:pPr>
            <w:r w:rsidRPr="00EF25BB">
              <w:rPr>
                <w:rFonts w:ascii="David" w:hAnsi="David" w:hint="cs"/>
                <w:b/>
                <w:bCs/>
                <w:sz w:val="26"/>
                <w:szCs w:val="26"/>
                <w:rtl/>
              </w:rPr>
              <w:t xml:space="preserve">                                     </w:t>
            </w:r>
            <w:r w:rsidRPr="00EF25BB">
              <w:rPr>
                <w:rFonts w:ascii="David" w:hAnsi="David"/>
                <w:b/>
                <w:bCs/>
                <w:sz w:val="26"/>
                <w:szCs w:val="26"/>
                <w:rtl/>
              </w:rPr>
              <w:t>טלאל אלוג' (עציר)</w:t>
            </w:r>
          </w:p>
        </w:tc>
        <w:tc>
          <w:tcPr>
            <w:tcW w:w="3771" w:type="dxa"/>
            <w:tcBorders>
              <w:top w:val="nil"/>
              <w:left w:val="nil"/>
              <w:bottom w:val="nil"/>
              <w:right w:val="nil"/>
            </w:tcBorders>
            <w:shd w:val="clear" w:color="auto" w:fill="auto"/>
          </w:tcPr>
          <w:p w14:paraId="0363540E" w14:textId="77777777" w:rsidR="00847CE3" w:rsidRPr="00EF25BB" w:rsidRDefault="00847CE3" w:rsidP="00847CE3">
            <w:pPr>
              <w:jc w:val="right"/>
              <w:rPr>
                <w:rFonts w:ascii="David" w:hAnsi="David"/>
                <w:b/>
                <w:bCs/>
                <w:sz w:val="26"/>
                <w:szCs w:val="26"/>
              </w:rPr>
            </w:pPr>
          </w:p>
        </w:tc>
      </w:tr>
      <w:tr w:rsidR="00847CE3" w:rsidRPr="00EF25BB" w14:paraId="33FB3CD9" w14:textId="77777777" w:rsidTr="00847CE3">
        <w:trPr>
          <w:trHeight w:val="355"/>
          <w:jc w:val="center"/>
        </w:trPr>
        <w:tc>
          <w:tcPr>
            <w:tcW w:w="923" w:type="dxa"/>
            <w:tcBorders>
              <w:top w:val="nil"/>
              <w:left w:val="nil"/>
              <w:bottom w:val="nil"/>
              <w:right w:val="nil"/>
            </w:tcBorders>
            <w:shd w:val="clear" w:color="auto" w:fill="auto"/>
          </w:tcPr>
          <w:p w14:paraId="4AEE1FF1" w14:textId="77777777" w:rsidR="00847CE3" w:rsidRPr="00EF25BB" w:rsidRDefault="00847CE3" w:rsidP="00847CE3">
            <w:pPr>
              <w:jc w:val="both"/>
              <w:rPr>
                <w:rFonts w:ascii="David" w:hAnsi="David"/>
                <w:b/>
                <w:bCs/>
                <w:sz w:val="26"/>
                <w:szCs w:val="26"/>
                <w:rtl/>
              </w:rPr>
            </w:pPr>
          </w:p>
        </w:tc>
        <w:tc>
          <w:tcPr>
            <w:tcW w:w="4126" w:type="dxa"/>
            <w:tcBorders>
              <w:top w:val="nil"/>
              <w:left w:val="nil"/>
              <w:bottom w:val="nil"/>
              <w:right w:val="nil"/>
            </w:tcBorders>
            <w:shd w:val="clear" w:color="auto" w:fill="auto"/>
          </w:tcPr>
          <w:p w14:paraId="2C4C445B" w14:textId="77777777" w:rsidR="00847CE3" w:rsidRPr="00EF25BB" w:rsidRDefault="00847CE3" w:rsidP="00847CE3">
            <w:pPr>
              <w:jc w:val="both"/>
              <w:rPr>
                <w:rFonts w:ascii="David" w:hAnsi="David"/>
                <w:b/>
                <w:bCs/>
                <w:sz w:val="26"/>
                <w:szCs w:val="26"/>
                <w:rtl/>
              </w:rPr>
            </w:pPr>
          </w:p>
        </w:tc>
        <w:tc>
          <w:tcPr>
            <w:tcW w:w="3771" w:type="dxa"/>
            <w:tcBorders>
              <w:top w:val="nil"/>
              <w:left w:val="nil"/>
              <w:bottom w:val="nil"/>
              <w:right w:val="nil"/>
            </w:tcBorders>
            <w:shd w:val="clear" w:color="auto" w:fill="auto"/>
          </w:tcPr>
          <w:p w14:paraId="04E72ECE" w14:textId="77777777" w:rsidR="00847CE3" w:rsidRPr="00EF25BB" w:rsidRDefault="00847CE3" w:rsidP="00847CE3">
            <w:pPr>
              <w:jc w:val="right"/>
              <w:rPr>
                <w:rFonts w:ascii="David" w:hAnsi="David"/>
                <w:b/>
                <w:bCs/>
                <w:sz w:val="26"/>
                <w:szCs w:val="26"/>
              </w:rPr>
            </w:pPr>
            <w:r w:rsidRPr="00EF25BB">
              <w:rPr>
                <w:rFonts w:ascii="David" w:hAnsi="David"/>
                <w:b/>
                <w:bCs/>
                <w:sz w:val="26"/>
                <w:szCs w:val="26"/>
                <w:rtl/>
              </w:rPr>
              <w:t>הנאשם</w:t>
            </w:r>
          </w:p>
        </w:tc>
      </w:tr>
    </w:tbl>
    <w:p w14:paraId="485A2A85" w14:textId="77777777" w:rsidR="00847CE3" w:rsidRPr="00EF25BB" w:rsidRDefault="00847CE3" w:rsidP="00847CE3">
      <w:pPr>
        <w:rPr>
          <w:sz w:val="26"/>
          <w:szCs w:val="26"/>
          <w:rtl/>
        </w:rPr>
      </w:pPr>
    </w:p>
    <w:p w14:paraId="461E1A6A" w14:textId="77777777" w:rsidR="00EF1815" w:rsidRPr="00EF1815" w:rsidRDefault="00EF1815" w:rsidP="00EF1815">
      <w:pPr>
        <w:spacing w:before="120" w:after="120" w:line="240" w:lineRule="exact"/>
        <w:ind w:left="283" w:hanging="283"/>
        <w:jc w:val="both"/>
        <w:rPr>
          <w:rFonts w:ascii="FrankRuehl" w:hAnsi="FrankRuehl" w:cs="FrankRuehl"/>
          <w:rtl/>
        </w:rPr>
      </w:pPr>
    </w:p>
    <w:p w14:paraId="0BE83625" w14:textId="77777777" w:rsidR="00F553D6" w:rsidRDefault="00F553D6" w:rsidP="00F553D6">
      <w:pPr>
        <w:rPr>
          <w:sz w:val="26"/>
          <w:szCs w:val="26"/>
          <w:rtl/>
        </w:rPr>
      </w:pPr>
      <w:bookmarkStart w:id="2" w:name="LawTable"/>
      <w:bookmarkEnd w:id="2"/>
    </w:p>
    <w:p w14:paraId="6671D08D" w14:textId="77777777" w:rsidR="00F553D6" w:rsidRPr="00F553D6" w:rsidRDefault="00F553D6" w:rsidP="00F553D6">
      <w:pPr>
        <w:spacing w:before="120" w:after="120" w:line="240" w:lineRule="exact"/>
        <w:ind w:left="283" w:hanging="283"/>
        <w:jc w:val="both"/>
        <w:rPr>
          <w:rFonts w:ascii="FrankRuehl" w:hAnsi="FrankRuehl" w:cs="FrankRuehl"/>
          <w:rtl/>
        </w:rPr>
      </w:pPr>
    </w:p>
    <w:p w14:paraId="375AAA62" w14:textId="77777777" w:rsidR="00F553D6" w:rsidRPr="00F553D6" w:rsidRDefault="00F553D6" w:rsidP="00F553D6">
      <w:pPr>
        <w:spacing w:before="120" w:after="120" w:line="240" w:lineRule="exact"/>
        <w:ind w:left="283" w:hanging="283"/>
        <w:jc w:val="both"/>
        <w:rPr>
          <w:rFonts w:ascii="FrankRuehl" w:hAnsi="FrankRuehl" w:cs="FrankRuehl"/>
          <w:rtl/>
        </w:rPr>
      </w:pPr>
    </w:p>
    <w:p w14:paraId="2C47406D" w14:textId="77777777" w:rsidR="00F553D6" w:rsidRPr="00F553D6" w:rsidRDefault="00F553D6" w:rsidP="00F553D6">
      <w:pPr>
        <w:spacing w:before="120" w:after="120" w:line="240" w:lineRule="exact"/>
        <w:ind w:left="283" w:hanging="283"/>
        <w:jc w:val="both"/>
        <w:rPr>
          <w:rFonts w:ascii="FrankRuehl" w:hAnsi="FrankRuehl" w:cs="FrankRuehl"/>
          <w:rtl/>
        </w:rPr>
      </w:pPr>
      <w:r w:rsidRPr="00F553D6">
        <w:rPr>
          <w:rFonts w:ascii="FrankRuehl" w:hAnsi="FrankRuehl" w:cs="FrankRuehl"/>
          <w:rtl/>
        </w:rPr>
        <w:t xml:space="preserve">חקיקה שאוזכרה: </w:t>
      </w:r>
    </w:p>
    <w:p w14:paraId="447F72BC" w14:textId="77777777" w:rsidR="00F553D6" w:rsidRPr="00F553D6" w:rsidRDefault="00F553D6" w:rsidP="00F553D6">
      <w:pPr>
        <w:spacing w:before="120" w:after="120" w:line="240" w:lineRule="exact"/>
        <w:ind w:left="283" w:hanging="283"/>
        <w:jc w:val="both"/>
        <w:rPr>
          <w:rFonts w:ascii="FrankRuehl" w:hAnsi="FrankRuehl" w:cs="FrankRuehl"/>
          <w:rtl/>
        </w:rPr>
      </w:pPr>
      <w:hyperlink r:id="rId8" w:history="1">
        <w:r w:rsidRPr="00F553D6">
          <w:rPr>
            <w:rFonts w:ascii="FrankRuehl" w:hAnsi="FrankRuehl" w:cs="FrankRuehl"/>
            <w:color w:val="0000FF"/>
            <w:rtl/>
          </w:rPr>
          <w:t>פקודת הסמים המסוכנים [נוסח חדש], תשל"ג-1973</w:t>
        </w:r>
      </w:hyperlink>
      <w:r w:rsidRPr="00F553D6">
        <w:rPr>
          <w:rFonts w:ascii="FrankRuehl" w:hAnsi="FrankRuehl" w:cs="FrankRuehl"/>
          <w:rtl/>
        </w:rPr>
        <w:t xml:space="preserve">: סע'  </w:t>
      </w:r>
      <w:hyperlink r:id="rId9" w:history="1">
        <w:r w:rsidRPr="00F553D6">
          <w:rPr>
            <w:rFonts w:ascii="FrankRuehl" w:hAnsi="FrankRuehl" w:cs="FrankRuehl"/>
            <w:color w:val="0000FF"/>
            <w:rtl/>
          </w:rPr>
          <w:t>7.א.</w:t>
        </w:r>
      </w:hyperlink>
      <w:r w:rsidRPr="00F553D6">
        <w:rPr>
          <w:rFonts w:ascii="FrankRuehl" w:hAnsi="FrankRuehl" w:cs="FrankRuehl"/>
          <w:rtl/>
        </w:rPr>
        <w:t xml:space="preserve">, </w:t>
      </w:r>
      <w:hyperlink r:id="rId10" w:history="1">
        <w:r w:rsidRPr="00F553D6">
          <w:rPr>
            <w:rFonts w:ascii="FrankRuehl" w:hAnsi="FrankRuehl" w:cs="FrankRuehl"/>
            <w:color w:val="0000FF"/>
            <w:rtl/>
          </w:rPr>
          <w:t>7.ג</w:t>
        </w:r>
      </w:hyperlink>
    </w:p>
    <w:p w14:paraId="686167AB" w14:textId="77777777" w:rsidR="00F553D6" w:rsidRPr="00F553D6" w:rsidRDefault="00F553D6" w:rsidP="00F553D6">
      <w:pPr>
        <w:spacing w:before="120" w:after="120" w:line="240" w:lineRule="exact"/>
        <w:ind w:left="283" w:hanging="283"/>
        <w:jc w:val="both"/>
        <w:rPr>
          <w:rFonts w:ascii="FrankRuehl" w:hAnsi="FrankRuehl" w:cs="FrankRuehl"/>
          <w:rtl/>
        </w:rPr>
      </w:pPr>
      <w:hyperlink r:id="rId11" w:history="1">
        <w:r w:rsidRPr="00F553D6">
          <w:rPr>
            <w:rFonts w:ascii="FrankRuehl" w:hAnsi="FrankRuehl" w:cs="FrankRuehl"/>
            <w:color w:val="0000FF"/>
            <w:rtl/>
          </w:rPr>
          <w:t>חוק העונשין, תשל"ז-1977</w:t>
        </w:r>
      </w:hyperlink>
      <w:r w:rsidRPr="00F553D6">
        <w:rPr>
          <w:rFonts w:ascii="FrankRuehl" w:hAnsi="FrankRuehl" w:cs="FrankRuehl"/>
          <w:rtl/>
        </w:rPr>
        <w:t xml:space="preserve">: סע'  </w:t>
      </w:r>
      <w:hyperlink r:id="rId12" w:history="1">
        <w:r w:rsidRPr="00F553D6">
          <w:rPr>
            <w:rFonts w:ascii="FrankRuehl" w:hAnsi="FrankRuehl" w:cs="FrankRuehl"/>
            <w:color w:val="0000FF"/>
            <w:rtl/>
          </w:rPr>
          <w:t>40ט'</w:t>
        </w:r>
      </w:hyperlink>
      <w:r w:rsidRPr="00F553D6">
        <w:rPr>
          <w:rFonts w:ascii="FrankRuehl" w:hAnsi="FrankRuehl" w:cs="FrankRuehl"/>
          <w:rtl/>
        </w:rPr>
        <w:t xml:space="preserve">, </w:t>
      </w:r>
      <w:hyperlink r:id="rId13" w:history="1">
        <w:r w:rsidRPr="00F553D6">
          <w:rPr>
            <w:rFonts w:ascii="FrankRuehl" w:hAnsi="FrankRuehl" w:cs="FrankRuehl"/>
            <w:color w:val="0000FF"/>
            <w:rtl/>
          </w:rPr>
          <w:t>40 יא'</w:t>
        </w:r>
      </w:hyperlink>
    </w:p>
    <w:p w14:paraId="7BD2EEFF" w14:textId="77777777" w:rsidR="00F553D6" w:rsidRPr="00F553D6" w:rsidRDefault="00F553D6" w:rsidP="00F553D6">
      <w:pPr>
        <w:rPr>
          <w:sz w:val="26"/>
          <w:szCs w:val="26"/>
          <w:rtl/>
        </w:rPr>
      </w:pPr>
      <w:bookmarkStart w:id="3" w:name="LawTable_End"/>
      <w:bookmarkEnd w:id="3"/>
    </w:p>
    <w:p w14:paraId="6627B1B5" w14:textId="77777777" w:rsidR="00847CE3" w:rsidRPr="00EF1815" w:rsidRDefault="00847CE3" w:rsidP="00EF181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47CE3" w14:paraId="3390F0FB" w14:textId="77777777" w:rsidTr="00847CE3">
        <w:trPr>
          <w:trHeight w:val="355"/>
          <w:jc w:val="center"/>
        </w:trPr>
        <w:tc>
          <w:tcPr>
            <w:tcW w:w="8820" w:type="dxa"/>
            <w:tcBorders>
              <w:top w:val="nil"/>
              <w:left w:val="nil"/>
              <w:bottom w:val="nil"/>
              <w:right w:val="nil"/>
            </w:tcBorders>
            <w:shd w:val="clear" w:color="auto" w:fill="auto"/>
          </w:tcPr>
          <w:p w14:paraId="1BD95D60" w14:textId="77777777" w:rsidR="00EF25BB" w:rsidRPr="00EF25BB" w:rsidRDefault="00EF25BB" w:rsidP="00EF25BB">
            <w:pPr>
              <w:jc w:val="center"/>
              <w:rPr>
                <w:rFonts w:ascii="David" w:hAnsi="David"/>
                <w:b/>
                <w:bCs/>
                <w:sz w:val="32"/>
                <w:szCs w:val="32"/>
                <w:u w:val="single"/>
                <w:rtl/>
              </w:rPr>
            </w:pPr>
            <w:bookmarkStart w:id="4" w:name="PsakDin" w:colFirst="0" w:colLast="0"/>
            <w:bookmarkEnd w:id="0"/>
            <w:r w:rsidRPr="00EF25BB">
              <w:rPr>
                <w:rFonts w:ascii="David" w:hAnsi="David"/>
                <w:b/>
                <w:bCs/>
                <w:sz w:val="32"/>
                <w:szCs w:val="32"/>
                <w:u w:val="single"/>
                <w:rtl/>
              </w:rPr>
              <w:t>גזר דין</w:t>
            </w:r>
          </w:p>
          <w:p w14:paraId="7CDFDF92" w14:textId="77777777" w:rsidR="00847CE3" w:rsidRPr="00EF25BB" w:rsidRDefault="00847CE3" w:rsidP="00EF25BB">
            <w:pPr>
              <w:jc w:val="center"/>
              <w:rPr>
                <w:rFonts w:ascii="David" w:hAnsi="David"/>
                <w:bCs/>
                <w:sz w:val="32"/>
                <w:szCs w:val="32"/>
                <w:u w:val="single"/>
                <w:rtl/>
              </w:rPr>
            </w:pPr>
          </w:p>
        </w:tc>
      </w:tr>
      <w:bookmarkEnd w:id="4"/>
    </w:tbl>
    <w:p w14:paraId="5A799A49" w14:textId="77777777" w:rsidR="00847CE3" w:rsidRPr="002B7D23" w:rsidRDefault="00847CE3" w:rsidP="00847CE3">
      <w:pPr>
        <w:rPr>
          <w:rFonts w:ascii="David" w:hAnsi="David"/>
          <w:sz w:val="26"/>
          <w:szCs w:val="26"/>
          <w:rtl/>
        </w:rPr>
      </w:pPr>
    </w:p>
    <w:p w14:paraId="0620B8D7" w14:textId="77777777" w:rsidR="00847CE3" w:rsidRPr="002B7D23" w:rsidRDefault="00847CE3" w:rsidP="00847CE3">
      <w:pPr>
        <w:rPr>
          <w:rFonts w:ascii="David" w:hAnsi="David"/>
          <w:sz w:val="26"/>
          <w:szCs w:val="26"/>
          <w:rtl/>
        </w:rPr>
      </w:pPr>
    </w:p>
    <w:p w14:paraId="305FCD2C" w14:textId="77777777" w:rsidR="00847CE3" w:rsidRPr="00E17EA9" w:rsidRDefault="00847CE3" w:rsidP="00847CE3">
      <w:pPr>
        <w:numPr>
          <w:ilvl w:val="0"/>
          <w:numId w:val="1"/>
        </w:numPr>
        <w:spacing w:after="300" w:line="360" w:lineRule="auto"/>
        <w:ind w:hanging="635"/>
        <w:jc w:val="both"/>
        <w:rPr>
          <w:rFonts w:ascii="David" w:hAnsi="David"/>
        </w:rPr>
      </w:pPr>
      <w:bookmarkStart w:id="5" w:name="ABSTRACT_START"/>
      <w:bookmarkEnd w:id="5"/>
      <w:r w:rsidRPr="00E17EA9">
        <w:rPr>
          <w:rFonts w:ascii="David" w:hAnsi="David"/>
          <w:rtl/>
        </w:rPr>
        <w:t xml:space="preserve">ביום 21.7.21 הורשע הנאשם, בהתאם להודאתו, בעובדות כתב האישום ובעבירת החזקת סמים שלא לצריכה עצמית עפ"י </w:t>
      </w:r>
      <w:hyperlink r:id="rId14" w:history="1">
        <w:r w:rsidR="00B203F5" w:rsidRPr="00B203F5">
          <w:rPr>
            <w:rStyle w:val="Hyperlink"/>
            <w:rFonts w:ascii="David" w:hAnsi="David"/>
            <w:rtl/>
          </w:rPr>
          <w:t>סעיף 7(א)+7(ג)</w:t>
        </w:r>
      </w:hyperlink>
      <w:r w:rsidRPr="00E17EA9">
        <w:rPr>
          <w:rFonts w:ascii="David" w:hAnsi="David"/>
          <w:rtl/>
        </w:rPr>
        <w:t xml:space="preserve"> רישא ל</w:t>
      </w:r>
      <w:hyperlink r:id="rId15" w:history="1">
        <w:r w:rsidR="00EF25BB" w:rsidRPr="00EF25BB">
          <w:rPr>
            <w:rFonts w:ascii="David" w:hAnsi="David"/>
            <w:color w:val="0000FF"/>
            <w:u w:val="single"/>
            <w:rtl/>
          </w:rPr>
          <w:t>פקודת הסמים המסוכנים</w:t>
        </w:r>
      </w:hyperlink>
      <w:r w:rsidRPr="00E17EA9">
        <w:rPr>
          <w:rFonts w:ascii="David" w:hAnsi="David"/>
          <w:rtl/>
        </w:rPr>
        <w:t xml:space="preserve"> (נ"ח), תשל"ג – 1973 </w:t>
      </w:r>
      <w:bookmarkStart w:id="6" w:name="ABSTRACT_END"/>
      <w:bookmarkEnd w:id="6"/>
      <w:r w:rsidRPr="00E17EA9">
        <w:rPr>
          <w:rFonts w:ascii="David" w:hAnsi="David"/>
          <w:rtl/>
        </w:rPr>
        <w:t xml:space="preserve">(להלן: "פקודת הסמים"). </w:t>
      </w:r>
    </w:p>
    <w:p w14:paraId="664EEC3F" w14:textId="77777777" w:rsidR="00847CE3" w:rsidRPr="00E17EA9" w:rsidRDefault="00847CE3" w:rsidP="00847CE3">
      <w:pPr>
        <w:numPr>
          <w:ilvl w:val="0"/>
          <w:numId w:val="1"/>
        </w:numPr>
        <w:spacing w:after="300" w:line="360" w:lineRule="auto"/>
        <w:ind w:hanging="635"/>
        <w:jc w:val="both"/>
        <w:rPr>
          <w:rFonts w:ascii="David" w:hAnsi="David"/>
        </w:rPr>
      </w:pPr>
      <w:r w:rsidRPr="00E17EA9">
        <w:rPr>
          <w:rFonts w:ascii="David" w:hAnsi="David"/>
          <w:rtl/>
        </w:rPr>
        <w:t xml:space="preserve">עפ"י המתואר בכתב האישום ביום 14.1.21 בשעה 20:00 נסע הנאשם מירושלים לכיוון דרום, ברכב יונדאי מספר 4776181 אותו רכש. כאשר נעצר ע"י המשטרה ליד היישוב פורה התברר כי מצוי ברכבו סם מסוכן מסוג חשיש במשקל 7,017.96 גרם המחולק לשבעה מארזים נפרדים וכן פלטת חשיש נוספת. </w:t>
      </w:r>
    </w:p>
    <w:p w14:paraId="7CCA0FDD" w14:textId="77777777" w:rsidR="00847CE3" w:rsidRPr="00526D9C" w:rsidRDefault="00847CE3" w:rsidP="00847CE3">
      <w:pPr>
        <w:spacing w:after="300" w:line="360" w:lineRule="auto"/>
        <w:ind w:left="85"/>
        <w:jc w:val="both"/>
        <w:rPr>
          <w:rFonts w:ascii="David" w:hAnsi="David"/>
          <w:b/>
          <w:bCs/>
          <w:u w:val="single"/>
        </w:rPr>
      </w:pPr>
      <w:r w:rsidRPr="00526D9C">
        <w:rPr>
          <w:rFonts w:ascii="David" w:hAnsi="David"/>
          <w:b/>
          <w:bCs/>
          <w:u w:val="single"/>
          <w:rtl/>
        </w:rPr>
        <w:t>ראיות התביעה</w:t>
      </w:r>
    </w:p>
    <w:p w14:paraId="6ECF8F76" w14:textId="77777777" w:rsidR="00847CE3" w:rsidRPr="00E17EA9" w:rsidRDefault="00847CE3" w:rsidP="00847CE3">
      <w:pPr>
        <w:numPr>
          <w:ilvl w:val="0"/>
          <w:numId w:val="1"/>
        </w:numPr>
        <w:spacing w:after="300" w:line="360" w:lineRule="auto"/>
        <w:ind w:hanging="636"/>
        <w:jc w:val="both"/>
        <w:rPr>
          <w:rFonts w:ascii="David" w:hAnsi="David"/>
        </w:rPr>
      </w:pPr>
      <w:r w:rsidRPr="00E17EA9">
        <w:rPr>
          <w:rFonts w:ascii="David" w:hAnsi="David"/>
          <w:rtl/>
        </w:rPr>
        <w:lastRenderedPageBreak/>
        <w:t xml:space="preserve">מטעם התביעה הוגשו: גיליון רישום פלילי, תמונת התפוסים, פסיקה מתאימה </w:t>
      </w:r>
      <w:r>
        <w:rPr>
          <w:rFonts w:ascii="David" w:hAnsi="David" w:hint="cs"/>
          <w:rtl/>
        </w:rPr>
        <w:t>ו</w:t>
      </w:r>
      <w:r w:rsidRPr="00E17EA9">
        <w:rPr>
          <w:rFonts w:ascii="David" w:hAnsi="David"/>
          <w:rtl/>
        </w:rPr>
        <w:t xml:space="preserve">גז"ד בו פורט מאסר </w:t>
      </w:r>
      <w:r>
        <w:rPr>
          <w:rFonts w:ascii="David" w:hAnsi="David" w:hint="cs"/>
          <w:rtl/>
        </w:rPr>
        <w:t xml:space="preserve">למשך 12 חודשים שהוא </w:t>
      </w:r>
      <w:r w:rsidRPr="00E17EA9">
        <w:rPr>
          <w:rFonts w:ascii="David" w:hAnsi="David"/>
          <w:rtl/>
        </w:rPr>
        <w:t>בר הפעלה</w:t>
      </w:r>
      <w:r>
        <w:rPr>
          <w:rFonts w:ascii="David" w:hAnsi="David" w:hint="cs"/>
          <w:rtl/>
        </w:rPr>
        <w:t xml:space="preserve"> עפ"י החלטת כב' השופט דר' יובל ליבדרו מיום 2.10.17</w:t>
      </w:r>
      <w:r w:rsidRPr="00E17EA9">
        <w:rPr>
          <w:rFonts w:ascii="David" w:hAnsi="David"/>
          <w:rtl/>
        </w:rPr>
        <w:t xml:space="preserve"> ב</w:t>
      </w:r>
      <w:hyperlink r:id="rId16" w:history="1">
        <w:r w:rsidR="00EF25BB" w:rsidRPr="00EF25BB">
          <w:rPr>
            <w:rFonts w:ascii="David" w:hAnsi="David"/>
            <w:color w:val="0000FF"/>
            <w:u w:val="single"/>
            <w:rtl/>
          </w:rPr>
          <w:t>ת"פ 22175-06-17</w:t>
        </w:r>
      </w:hyperlink>
      <w:r w:rsidRPr="00E17EA9">
        <w:rPr>
          <w:rFonts w:ascii="David" w:hAnsi="David"/>
          <w:rtl/>
        </w:rPr>
        <w:t xml:space="preserve">. </w:t>
      </w:r>
    </w:p>
    <w:p w14:paraId="2BBF9D93" w14:textId="77777777" w:rsidR="00847CE3" w:rsidRPr="00526D9C" w:rsidRDefault="00847CE3" w:rsidP="00847CE3">
      <w:pPr>
        <w:spacing w:after="300" w:line="360" w:lineRule="auto"/>
        <w:ind w:left="85"/>
        <w:jc w:val="both"/>
        <w:rPr>
          <w:rFonts w:ascii="David" w:hAnsi="David"/>
          <w:b/>
          <w:bCs/>
          <w:u w:val="single"/>
        </w:rPr>
      </w:pPr>
      <w:r w:rsidRPr="00526D9C">
        <w:rPr>
          <w:rFonts w:ascii="David" w:hAnsi="David"/>
          <w:b/>
          <w:bCs/>
          <w:u w:val="single"/>
          <w:rtl/>
        </w:rPr>
        <w:t>ר</w:t>
      </w:r>
      <w:r w:rsidRPr="00526D9C">
        <w:rPr>
          <w:rFonts w:ascii="David" w:hAnsi="David" w:hint="cs"/>
          <w:b/>
          <w:bCs/>
          <w:u w:val="single"/>
          <w:rtl/>
        </w:rPr>
        <w:t xml:space="preserve">ישום </w:t>
      </w:r>
      <w:r w:rsidRPr="00526D9C">
        <w:rPr>
          <w:rFonts w:ascii="David" w:hAnsi="David"/>
          <w:b/>
          <w:bCs/>
          <w:u w:val="single"/>
          <w:rtl/>
        </w:rPr>
        <w:t>פלילי קודם</w:t>
      </w:r>
    </w:p>
    <w:p w14:paraId="710CE60B" w14:textId="77777777" w:rsidR="00847CE3" w:rsidRDefault="00847CE3" w:rsidP="00847CE3">
      <w:pPr>
        <w:numPr>
          <w:ilvl w:val="0"/>
          <w:numId w:val="1"/>
        </w:numPr>
        <w:spacing w:after="300" w:line="360" w:lineRule="auto"/>
        <w:ind w:hanging="635"/>
        <w:jc w:val="both"/>
        <w:rPr>
          <w:rFonts w:ascii="David" w:hAnsi="David"/>
        </w:rPr>
      </w:pPr>
      <w:r w:rsidRPr="00E17EA9">
        <w:rPr>
          <w:rFonts w:ascii="David" w:hAnsi="David"/>
          <w:rtl/>
        </w:rPr>
        <w:t xml:space="preserve">ביום 2.10.17 </w:t>
      </w:r>
      <w:r>
        <w:rPr>
          <w:rFonts w:ascii="David" w:hAnsi="David" w:hint="cs"/>
          <w:rtl/>
        </w:rPr>
        <w:t xml:space="preserve">נדון הנאשם </w:t>
      </w:r>
      <w:r w:rsidRPr="00E17EA9">
        <w:rPr>
          <w:rFonts w:ascii="David" w:hAnsi="David"/>
          <w:rtl/>
        </w:rPr>
        <w:t>בעביר</w:t>
      </w:r>
      <w:r>
        <w:rPr>
          <w:rFonts w:ascii="David" w:hAnsi="David" w:hint="cs"/>
          <w:rtl/>
        </w:rPr>
        <w:t xml:space="preserve">ה של </w:t>
      </w:r>
      <w:r w:rsidRPr="00E17EA9">
        <w:rPr>
          <w:rFonts w:ascii="David" w:hAnsi="David"/>
          <w:rtl/>
        </w:rPr>
        <w:t>החזקת ס</w:t>
      </w:r>
      <w:r>
        <w:rPr>
          <w:rFonts w:ascii="David" w:hAnsi="David" w:hint="cs"/>
          <w:rtl/>
        </w:rPr>
        <w:t>ם</w:t>
      </w:r>
      <w:r w:rsidRPr="00E17EA9">
        <w:rPr>
          <w:rFonts w:ascii="David" w:hAnsi="David"/>
          <w:rtl/>
        </w:rPr>
        <w:t xml:space="preserve"> שלא לצריכה עצמית ל-15 חודשי מאסר בפועל</w:t>
      </w:r>
      <w:r>
        <w:rPr>
          <w:rFonts w:ascii="David" w:hAnsi="David" w:hint="cs"/>
          <w:rtl/>
        </w:rPr>
        <w:t>, ומא</w:t>
      </w:r>
      <w:r w:rsidRPr="00E17EA9">
        <w:rPr>
          <w:rFonts w:ascii="David" w:hAnsi="David"/>
          <w:rtl/>
        </w:rPr>
        <w:t>סר מותנה למשך 12 חודשים</w:t>
      </w:r>
      <w:r>
        <w:rPr>
          <w:rFonts w:ascii="David" w:hAnsi="David" w:hint="cs"/>
          <w:rtl/>
        </w:rPr>
        <w:t xml:space="preserve">, שהינו להפעלה, וכן התחייבות להפעלה </w:t>
      </w:r>
      <w:r w:rsidRPr="00E17EA9">
        <w:rPr>
          <w:rFonts w:ascii="David" w:hAnsi="David"/>
          <w:rtl/>
        </w:rPr>
        <w:t>בסך 5,000 ₪</w:t>
      </w:r>
      <w:r>
        <w:rPr>
          <w:rFonts w:ascii="David" w:hAnsi="David" w:hint="cs"/>
          <w:rtl/>
        </w:rPr>
        <w:t>.</w:t>
      </w:r>
    </w:p>
    <w:p w14:paraId="16E22571" w14:textId="77777777" w:rsidR="00847CE3" w:rsidRDefault="00847CE3" w:rsidP="00847CE3">
      <w:pPr>
        <w:spacing w:after="300" w:line="360" w:lineRule="auto"/>
        <w:jc w:val="both"/>
        <w:rPr>
          <w:rFonts w:ascii="David" w:hAnsi="David"/>
          <w:rtl/>
        </w:rPr>
      </w:pPr>
    </w:p>
    <w:p w14:paraId="7CC313D3" w14:textId="77777777" w:rsidR="00847CE3" w:rsidRPr="00E17EA9" w:rsidRDefault="00847CE3" w:rsidP="00847CE3">
      <w:pPr>
        <w:spacing w:after="300" w:line="360" w:lineRule="auto"/>
        <w:jc w:val="both"/>
        <w:rPr>
          <w:rFonts w:ascii="David" w:hAnsi="David"/>
        </w:rPr>
      </w:pPr>
      <w:r w:rsidRPr="00E17EA9">
        <w:rPr>
          <w:rFonts w:ascii="David" w:hAnsi="David"/>
          <w:rtl/>
        </w:rPr>
        <w:t xml:space="preserve"> </w:t>
      </w:r>
    </w:p>
    <w:p w14:paraId="62DC7332" w14:textId="77777777" w:rsidR="00847CE3" w:rsidRPr="008811E6" w:rsidRDefault="00847CE3" w:rsidP="00847CE3">
      <w:pPr>
        <w:spacing w:after="300" w:line="360" w:lineRule="auto"/>
        <w:ind w:left="85"/>
        <w:jc w:val="both"/>
        <w:rPr>
          <w:rFonts w:ascii="David" w:hAnsi="David"/>
          <w:b/>
          <w:bCs/>
          <w:u w:val="single"/>
        </w:rPr>
      </w:pPr>
      <w:r w:rsidRPr="008811E6">
        <w:rPr>
          <w:rFonts w:ascii="David" w:hAnsi="David" w:hint="cs"/>
          <w:b/>
          <w:bCs/>
          <w:u w:val="single"/>
          <w:rtl/>
        </w:rPr>
        <w:t xml:space="preserve">תמצית טיעוני </w:t>
      </w:r>
      <w:r w:rsidRPr="008811E6">
        <w:rPr>
          <w:rFonts w:ascii="David" w:hAnsi="David"/>
          <w:b/>
          <w:bCs/>
          <w:u w:val="single"/>
          <w:rtl/>
        </w:rPr>
        <w:t>הצדדים</w:t>
      </w:r>
    </w:p>
    <w:p w14:paraId="3E3C3495" w14:textId="77777777" w:rsidR="00847CE3" w:rsidRPr="00E17EA9" w:rsidRDefault="00847CE3" w:rsidP="00847CE3">
      <w:pPr>
        <w:numPr>
          <w:ilvl w:val="0"/>
          <w:numId w:val="1"/>
        </w:numPr>
        <w:spacing w:after="300" w:line="360" w:lineRule="auto"/>
        <w:ind w:hanging="635"/>
        <w:jc w:val="both"/>
        <w:rPr>
          <w:rFonts w:ascii="David" w:hAnsi="David"/>
        </w:rPr>
      </w:pPr>
      <w:r w:rsidRPr="00E17EA9">
        <w:rPr>
          <w:rFonts w:ascii="David" w:hAnsi="David"/>
          <w:rtl/>
        </w:rPr>
        <w:t>המאשימה הגישה ט</w:t>
      </w:r>
      <w:r>
        <w:rPr>
          <w:rFonts w:ascii="David" w:hAnsi="David" w:hint="cs"/>
          <w:rtl/>
        </w:rPr>
        <w:t xml:space="preserve">יעוניה </w:t>
      </w:r>
      <w:r w:rsidRPr="00E17EA9">
        <w:rPr>
          <w:rFonts w:ascii="David" w:hAnsi="David"/>
          <w:rtl/>
        </w:rPr>
        <w:t xml:space="preserve">בכתב. בין היתר טענה כי הנאשם פגע במעשיו בערכים המוגנים של שמירה על בריאותו ושלומו של הציבור מפני הנזקים הנגרמים משימוש בסמים, ביניהם הגדלת מעגל הפשיעה. נגע הסמים הולך ומתפשט בחברה ועל בית המשפט להטיל עונשים חמורים שמטרתם לגלות מדיניות מחמירה שתסייע בעצירת נגע זה. </w:t>
      </w:r>
    </w:p>
    <w:p w14:paraId="26BA15CB" w14:textId="77777777" w:rsidR="00847CE3" w:rsidRPr="00E17EA9" w:rsidRDefault="00847CE3" w:rsidP="00847CE3">
      <w:pPr>
        <w:numPr>
          <w:ilvl w:val="0"/>
          <w:numId w:val="1"/>
        </w:numPr>
        <w:spacing w:after="300" w:line="360" w:lineRule="auto"/>
        <w:ind w:hanging="635"/>
        <w:jc w:val="both"/>
        <w:rPr>
          <w:rFonts w:ascii="David" w:hAnsi="David"/>
        </w:rPr>
      </w:pPr>
      <w:r w:rsidRPr="00E17EA9">
        <w:rPr>
          <w:rFonts w:ascii="David" w:hAnsi="David"/>
          <w:rtl/>
        </w:rPr>
        <w:t>נטען שהעונשים שהוטלו במקרים דומים הינם גבוהים וכוללים עונשי מאסר ארוכים, החל מ-7 חודשי מאסר בפועל ועד ל-18 חודשי מאסר לצד ענישה נלווית, כאשר מתח</w:t>
      </w:r>
      <w:r>
        <w:rPr>
          <w:rFonts w:ascii="David" w:hAnsi="David" w:hint="cs"/>
          <w:rtl/>
        </w:rPr>
        <w:t>מ</w:t>
      </w:r>
      <w:r w:rsidRPr="00E17EA9">
        <w:rPr>
          <w:rFonts w:ascii="David" w:hAnsi="David"/>
          <w:rtl/>
        </w:rPr>
        <w:t>י העונש שנקבעים הינם, בר</w:t>
      </w:r>
      <w:r>
        <w:rPr>
          <w:rFonts w:ascii="David" w:hAnsi="David" w:hint="cs"/>
          <w:rtl/>
        </w:rPr>
        <w:t>ף</w:t>
      </w:r>
      <w:r w:rsidRPr="00E17EA9">
        <w:rPr>
          <w:rFonts w:ascii="David" w:hAnsi="David"/>
          <w:rtl/>
        </w:rPr>
        <w:t xml:space="preserve"> העליון, גבוהים בהרבה, </w:t>
      </w:r>
      <w:r>
        <w:rPr>
          <w:rFonts w:ascii="David" w:hAnsi="David" w:hint="cs"/>
          <w:rtl/>
        </w:rPr>
        <w:t>ו</w:t>
      </w:r>
      <w:r w:rsidRPr="00E17EA9">
        <w:rPr>
          <w:rFonts w:ascii="David" w:hAnsi="David"/>
          <w:rtl/>
        </w:rPr>
        <w:t xml:space="preserve">עד ל-30 חודשי מאסר. המאשימה ביקשה לקבוע כי מתחם העונש במקרה שלפני הינו בין 24 חודשי מאסר בפועל ועד ל – 42 חודשי מאסר בצירוף ענישה נלווית. </w:t>
      </w:r>
    </w:p>
    <w:p w14:paraId="4BE2C22B" w14:textId="77777777" w:rsidR="00847CE3" w:rsidRPr="00E17EA9" w:rsidRDefault="00847CE3" w:rsidP="00847CE3">
      <w:pPr>
        <w:numPr>
          <w:ilvl w:val="0"/>
          <w:numId w:val="1"/>
        </w:numPr>
        <w:spacing w:after="300" w:line="360" w:lineRule="auto"/>
        <w:ind w:hanging="635"/>
        <w:jc w:val="both"/>
        <w:rPr>
          <w:rFonts w:ascii="David" w:hAnsi="David"/>
        </w:rPr>
      </w:pPr>
      <w:r w:rsidRPr="00E17EA9">
        <w:rPr>
          <w:rFonts w:ascii="David" w:hAnsi="David"/>
          <w:rtl/>
        </w:rPr>
        <w:t>בבחינת נסיבותיו של הנאשם ביקשה המאשימה לציין שהנאשם נעצר כבר בגיל 25 בגין עבירה זהה אשר בגינה נידון ל-15 חודשי מאסר בפועל</w:t>
      </w:r>
      <w:r>
        <w:rPr>
          <w:rFonts w:ascii="David" w:hAnsi="David" w:hint="cs"/>
          <w:rtl/>
        </w:rPr>
        <w:t>,</w:t>
      </w:r>
      <w:r w:rsidRPr="00E17EA9">
        <w:rPr>
          <w:rFonts w:ascii="David" w:hAnsi="David"/>
          <w:rtl/>
        </w:rPr>
        <w:t xml:space="preserve"> ובעוד שעומד כנגדו מאסר מותנה למשך 12 חודשים לא חשש מביצוע עבירה דומה וזאת בעד בצע כסף. המדובר בעבירה חמורה ביותר הן מבחינת הכמות שנתפסה והן מבחינת סוג הסם, כאשר סם מסוג חשיש הינו סם מעובד ומוכן להפצה. </w:t>
      </w:r>
      <w:r>
        <w:rPr>
          <w:rFonts w:ascii="David" w:hAnsi="David" w:hint="cs"/>
          <w:rtl/>
        </w:rPr>
        <w:t xml:space="preserve">נטען, כי </w:t>
      </w:r>
      <w:r w:rsidRPr="00E17EA9">
        <w:rPr>
          <w:rFonts w:ascii="David" w:hAnsi="David"/>
          <w:rtl/>
        </w:rPr>
        <w:t>בפסיקתו של כב' השופט רובינשטיין (ב</w:t>
      </w:r>
      <w:hyperlink r:id="rId17" w:history="1">
        <w:r w:rsidR="00EF25BB" w:rsidRPr="00EF25BB">
          <w:rPr>
            <w:rFonts w:ascii="David" w:hAnsi="David"/>
            <w:color w:val="0000FF"/>
            <w:u w:val="single"/>
            <w:rtl/>
          </w:rPr>
          <w:t>רע"פ 2557/12</w:t>
        </w:r>
      </w:hyperlink>
      <w:r w:rsidRPr="00E17EA9">
        <w:rPr>
          <w:rFonts w:ascii="David" w:hAnsi="David"/>
          <w:rtl/>
        </w:rPr>
        <w:t xml:space="preserve"> </w:t>
      </w:r>
      <w:r w:rsidRPr="00E17EA9">
        <w:rPr>
          <w:rFonts w:ascii="David" w:hAnsi="David"/>
          <w:b/>
          <w:bCs/>
          <w:rtl/>
        </w:rPr>
        <w:t>פרדי נ' מדינת ישראל</w:t>
      </w:r>
      <w:r w:rsidRPr="00E17EA9">
        <w:rPr>
          <w:rFonts w:ascii="David" w:hAnsi="David"/>
          <w:rtl/>
        </w:rPr>
        <w:t>, נבו 5.4.2012) נקבע שעבירת החזקת סמים שלא לצריכה ע</w:t>
      </w:r>
      <w:r>
        <w:rPr>
          <w:rFonts w:ascii="David" w:hAnsi="David" w:hint="cs"/>
          <w:rtl/>
        </w:rPr>
        <w:t>צ</w:t>
      </w:r>
      <w:r w:rsidRPr="00E17EA9">
        <w:rPr>
          <w:rFonts w:ascii="David" w:hAnsi="David"/>
          <w:rtl/>
        </w:rPr>
        <w:t xml:space="preserve">מית הינה כעבירה תאומה לעבירת הסחר. הרווח שהיה אמור הנאשם לקבל בעד מכירת הכמות שנמצאה, במידה ולא היה נעצר, הינה כ-700,000 ₪. </w:t>
      </w:r>
    </w:p>
    <w:p w14:paraId="553FD904" w14:textId="77777777" w:rsidR="00847CE3" w:rsidRPr="00E17EA9" w:rsidRDefault="00847CE3" w:rsidP="00847CE3">
      <w:pPr>
        <w:numPr>
          <w:ilvl w:val="0"/>
          <w:numId w:val="1"/>
        </w:numPr>
        <w:spacing w:after="300" w:line="360" w:lineRule="auto"/>
        <w:ind w:hanging="635"/>
        <w:jc w:val="both"/>
        <w:rPr>
          <w:rFonts w:ascii="David" w:hAnsi="David"/>
        </w:rPr>
      </w:pPr>
      <w:r w:rsidRPr="00E17EA9">
        <w:rPr>
          <w:rFonts w:ascii="David" w:hAnsi="David"/>
          <w:rtl/>
        </w:rPr>
        <w:t>לאור נסיבות אלו עתרה המאשימה להטיל על הנאשם עונש של 24 חודשי מאסר בפועל, והפעלת המאסר המותנה, חלקו במצטבר וחלקו בחופף, כך שסה"כ ירצה הנאשם 30 חודשי מאסר בפועל. עוד ביקשה להטיל על הנאשם מאסר מתנה ממושך במדרג</w:t>
      </w:r>
      <w:r>
        <w:rPr>
          <w:rFonts w:ascii="David" w:hAnsi="David" w:hint="cs"/>
          <w:rtl/>
        </w:rPr>
        <w:t xml:space="preserve"> פשע</w:t>
      </w:r>
      <w:r w:rsidRPr="00E17EA9">
        <w:rPr>
          <w:rFonts w:ascii="David" w:hAnsi="David"/>
          <w:rtl/>
        </w:rPr>
        <w:t xml:space="preserve"> </w:t>
      </w:r>
      <w:r>
        <w:rPr>
          <w:rFonts w:ascii="David" w:hAnsi="David" w:hint="cs"/>
          <w:rtl/>
        </w:rPr>
        <w:t>ו</w:t>
      </w:r>
      <w:r w:rsidRPr="00E17EA9">
        <w:rPr>
          <w:rFonts w:ascii="David" w:hAnsi="David"/>
          <w:rtl/>
        </w:rPr>
        <w:t xml:space="preserve">עוון, פסילת </w:t>
      </w:r>
      <w:r w:rsidRPr="00E17EA9">
        <w:rPr>
          <w:rFonts w:ascii="David" w:hAnsi="David"/>
          <w:rtl/>
        </w:rPr>
        <w:lastRenderedPageBreak/>
        <w:t>רישיון נהיגה על תנאי, חילוט הכסף שנתפס ב</w:t>
      </w:r>
      <w:r>
        <w:rPr>
          <w:rFonts w:ascii="David" w:hAnsi="David" w:hint="cs"/>
          <w:rtl/>
        </w:rPr>
        <w:t>ר</w:t>
      </w:r>
      <w:r w:rsidRPr="00E17EA9">
        <w:rPr>
          <w:rFonts w:ascii="David" w:hAnsi="David"/>
          <w:rtl/>
        </w:rPr>
        <w:t>שות הנאשם בסך 1,500 ₪, השמדת הסמים וכן – בהסכמת הנאשם, ישולמו 30,000 ₪ כחילוט בתמורה לש</w:t>
      </w:r>
      <w:r>
        <w:rPr>
          <w:rFonts w:ascii="David" w:hAnsi="David" w:hint="cs"/>
          <w:rtl/>
        </w:rPr>
        <w:t>ח</w:t>
      </w:r>
      <w:r w:rsidRPr="00E17EA9">
        <w:rPr>
          <w:rFonts w:ascii="David" w:hAnsi="David"/>
          <w:rtl/>
        </w:rPr>
        <w:t xml:space="preserve">רור רכבו שנתפס. </w:t>
      </w:r>
    </w:p>
    <w:p w14:paraId="0D754FCA" w14:textId="77777777" w:rsidR="00847CE3" w:rsidRPr="00E17EA9" w:rsidRDefault="00847CE3" w:rsidP="00847CE3">
      <w:pPr>
        <w:numPr>
          <w:ilvl w:val="0"/>
          <w:numId w:val="1"/>
        </w:numPr>
        <w:spacing w:after="300" w:line="360" w:lineRule="auto"/>
        <w:ind w:hanging="635"/>
        <w:jc w:val="both"/>
        <w:rPr>
          <w:rFonts w:ascii="David" w:hAnsi="David"/>
        </w:rPr>
      </w:pPr>
      <w:r w:rsidRPr="00E17EA9">
        <w:rPr>
          <w:rFonts w:ascii="David" w:hAnsi="David"/>
          <w:rtl/>
        </w:rPr>
        <w:t>בט</w:t>
      </w:r>
      <w:r>
        <w:rPr>
          <w:rFonts w:ascii="David" w:hAnsi="David" w:hint="cs"/>
          <w:rtl/>
        </w:rPr>
        <w:t xml:space="preserve">יעוניה לעונש </w:t>
      </w:r>
      <w:r w:rsidRPr="00E17EA9">
        <w:rPr>
          <w:rFonts w:ascii="David" w:hAnsi="David"/>
          <w:rtl/>
        </w:rPr>
        <w:t>ציי</w:t>
      </w:r>
      <w:r>
        <w:rPr>
          <w:rFonts w:ascii="David" w:hAnsi="David" w:hint="cs"/>
          <w:rtl/>
        </w:rPr>
        <w:t>נה</w:t>
      </w:r>
      <w:r w:rsidRPr="00E17EA9">
        <w:rPr>
          <w:rFonts w:ascii="David" w:hAnsi="David"/>
          <w:rtl/>
        </w:rPr>
        <w:t xml:space="preserve"> ה</w:t>
      </w:r>
      <w:r>
        <w:rPr>
          <w:rFonts w:ascii="David" w:hAnsi="David" w:hint="cs"/>
          <w:rtl/>
        </w:rPr>
        <w:t xml:space="preserve">הגנה כי </w:t>
      </w:r>
      <w:r w:rsidRPr="00E17EA9">
        <w:rPr>
          <w:rFonts w:ascii="David" w:hAnsi="David"/>
          <w:rtl/>
        </w:rPr>
        <w:t xml:space="preserve">הנאשם הודה בכתב האישום כפי שהוגש ולא ביקש לשנותו.  נטל אחריות מלאה </w:t>
      </w:r>
      <w:r>
        <w:rPr>
          <w:rFonts w:ascii="David" w:hAnsi="David" w:hint="cs"/>
          <w:rtl/>
        </w:rPr>
        <w:t>ל</w:t>
      </w:r>
      <w:r w:rsidRPr="00E17EA9">
        <w:rPr>
          <w:rFonts w:ascii="David" w:hAnsi="David"/>
          <w:rtl/>
        </w:rPr>
        <w:t xml:space="preserve">מעשה ובכך חסך זמן שיפוטי יקר. </w:t>
      </w:r>
    </w:p>
    <w:p w14:paraId="6882A9FC" w14:textId="77777777" w:rsidR="00847CE3" w:rsidRPr="00E17EA9" w:rsidRDefault="00847CE3" w:rsidP="00847CE3">
      <w:pPr>
        <w:numPr>
          <w:ilvl w:val="0"/>
          <w:numId w:val="1"/>
        </w:numPr>
        <w:spacing w:after="300" w:line="360" w:lineRule="auto"/>
        <w:ind w:hanging="635"/>
        <w:jc w:val="both"/>
        <w:rPr>
          <w:rFonts w:ascii="David" w:hAnsi="David"/>
        </w:rPr>
      </w:pPr>
      <w:r w:rsidRPr="00E17EA9">
        <w:rPr>
          <w:rFonts w:ascii="David" w:hAnsi="David"/>
          <w:rtl/>
        </w:rPr>
        <w:t xml:space="preserve">בהתייחסו לפסיקה שהוצגה ע"י המאשימה </w:t>
      </w:r>
      <w:r>
        <w:rPr>
          <w:rFonts w:ascii="David" w:hAnsi="David" w:hint="cs"/>
          <w:rtl/>
        </w:rPr>
        <w:t xml:space="preserve">ציין </w:t>
      </w:r>
      <w:r w:rsidRPr="00E17EA9">
        <w:rPr>
          <w:rFonts w:ascii="David" w:hAnsi="David"/>
          <w:rtl/>
        </w:rPr>
        <w:t>הסנגור</w:t>
      </w:r>
      <w:r>
        <w:rPr>
          <w:rFonts w:ascii="David" w:hAnsi="David" w:hint="cs"/>
          <w:rtl/>
        </w:rPr>
        <w:t>,</w:t>
      </w:r>
      <w:r w:rsidRPr="00E17EA9">
        <w:rPr>
          <w:rFonts w:ascii="David" w:hAnsi="David"/>
          <w:rtl/>
        </w:rPr>
        <w:t xml:space="preserve"> כי מתחם העונש שהוצג אינו רלוונטי כלל</w:t>
      </w:r>
      <w:r>
        <w:rPr>
          <w:rFonts w:ascii="David" w:hAnsi="David" w:hint="cs"/>
          <w:rtl/>
        </w:rPr>
        <w:t xml:space="preserve">, שכן </w:t>
      </w:r>
      <w:r w:rsidRPr="00E17EA9">
        <w:rPr>
          <w:rFonts w:ascii="David" w:hAnsi="David"/>
          <w:rtl/>
        </w:rPr>
        <w:t>המאשימה עתרה למתחם שנע בין 24-42 חודשי מאסר</w:t>
      </w:r>
      <w:r>
        <w:rPr>
          <w:rFonts w:ascii="David" w:hAnsi="David" w:hint="cs"/>
          <w:rtl/>
        </w:rPr>
        <w:t>,</w:t>
      </w:r>
      <w:r w:rsidRPr="00E17EA9">
        <w:rPr>
          <w:rFonts w:ascii="David" w:hAnsi="David"/>
          <w:rtl/>
        </w:rPr>
        <w:t xml:space="preserve"> אך בפועל הציגה מקרים שכלל אינם דומים למקרה הנדון, ו</w:t>
      </w:r>
      <w:r>
        <w:rPr>
          <w:rFonts w:ascii="David" w:hAnsi="David" w:hint="cs"/>
          <w:rtl/>
        </w:rPr>
        <w:t xml:space="preserve">מתחם זה אף אינו מבטא </w:t>
      </w:r>
      <w:r w:rsidRPr="00E17EA9">
        <w:rPr>
          <w:rFonts w:ascii="David" w:hAnsi="David"/>
          <w:rtl/>
        </w:rPr>
        <w:t>את מתחם העונש שהוצג באותן החלטות. ל</w:t>
      </w:r>
      <w:r>
        <w:rPr>
          <w:rFonts w:ascii="David" w:hAnsi="David" w:hint="cs"/>
          <w:rtl/>
        </w:rPr>
        <w:t xml:space="preserve">דברי </w:t>
      </w:r>
      <w:r w:rsidRPr="00E17EA9">
        <w:rPr>
          <w:rFonts w:ascii="David" w:hAnsi="David"/>
          <w:rtl/>
        </w:rPr>
        <w:t>הסנגור, המתחם אליו עתרה המאשימה הולם עבירות ייבוא</w:t>
      </w:r>
      <w:r>
        <w:rPr>
          <w:rFonts w:ascii="David" w:hAnsi="David" w:hint="cs"/>
          <w:rtl/>
        </w:rPr>
        <w:t xml:space="preserve"> ולא החזקה</w:t>
      </w:r>
      <w:r w:rsidRPr="00E17EA9">
        <w:rPr>
          <w:rFonts w:ascii="David" w:hAnsi="David"/>
          <w:rtl/>
        </w:rPr>
        <w:t>. גם הניסיון לייחס חומרה יתרה לסם מסוג חשיש שגויה שעה שהמדובר בסם קל</w:t>
      </w:r>
      <w:r>
        <w:rPr>
          <w:rFonts w:ascii="David" w:hAnsi="David" w:hint="cs"/>
          <w:rtl/>
        </w:rPr>
        <w:t>, בהתאם לפסיקה</w:t>
      </w:r>
      <w:r w:rsidRPr="00E17EA9">
        <w:rPr>
          <w:rFonts w:ascii="David" w:hAnsi="David"/>
          <w:rtl/>
        </w:rPr>
        <w:t>. עוד ציין הסנגור שהסם לא היה מחולק כך שאין ל</w:t>
      </w:r>
      <w:r>
        <w:rPr>
          <w:rFonts w:ascii="David" w:hAnsi="David" w:hint="cs"/>
          <w:rtl/>
        </w:rPr>
        <w:t xml:space="preserve">ומר, כי </w:t>
      </w:r>
      <w:r w:rsidRPr="00E17EA9">
        <w:rPr>
          <w:rFonts w:ascii="David" w:hAnsi="David"/>
          <w:rtl/>
        </w:rPr>
        <w:t xml:space="preserve">הכוונה הייתה למוכרו למטרת רווח, </w:t>
      </w:r>
      <w:r>
        <w:rPr>
          <w:rFonts w:ascii="David" w:hAnsi="David" w:hint="cs"/>
          <w:rtl/>
        </w:rPr>
        <w:t xml:space="preserve">זאת </w:t>
      </w:r>
      <w:r w:rsidRPr="00E17EA9">
        <w:rPr>
          <w:rFonts w:ascii="David" w:hAnsi="David"/>
          <w:rtl/>
        </w:rPr>
        <w:t xml:space="preserve">על אף שהמידע אודות הסם היה מודיעיני.  </w:t>
      </w:r>
    </w:p>
    <w:p w14:paraId="77C00BD3" w14:textId="77777777" w:rsidR="00847CE3" w:rsidRPr="00E17EA9" w:rsidRDefault="00847CE3" w:rsidP="00847CE3">
      <w:pPr>
        <w:numPr>
          <w:ilvl w:val="0"/>
          <w:numId w:val="1"/>
        </w:numPr>
        <w:spacing w:after="300" w:line="360" w:lineRule="auto"/>
        <w:ind w:hanging="635"/>
        <w:jc w:val="both"/>
        <w:rPr>
          <w:rFonts w:ascii="David" w:hAnsi="David"/>
        </w:rPr>
      </w:pPr>
      <w:r w:rsidRPr="00E17EA9">
        <w:rPr>
          <w:rFonts w:ascii="David" w:hAnsi="David"/>
          <w:rtl/>
        </w:rPr>
        <w:t>הסנגור הפנה לפסיקה לפיה במקרים דומים הוטלו העונשים הבאים:</w:t>
      </w:r>
    </w:p>
    <w:p w14:paraId="1D929158" w14:textId="77777777" w:rsidR="00847CE3" w:rsidRPr="00E17EA9" w:rsidRDefault="00847CE3" w:rsidP="00847CE3">
      <w:pPr>
        <w:numPr>
          <w:ilvl w:val="0"/>
          <w:numId w:val="3"/>
        </w:numPr>
        <w:spacing w:after="300" w:line="360" w:lineRule="auto"/>
        <w:ind w:left="1076" w:hanging="283"/>
        <w:jc w:val="both"/>
        <w:rPr>
          <w:rFonts w:ascii="David" w:hAnsi="David"/>
        </w:rPr>
      </w:pPr>
      <w:r w:rsidRPr="00E17EA9">
        <w:rPr>
          <w:rFonts w:ascii="David" w:hAnsi="David"/>
          <w:rtl/>
        </w:rPr>
        <w:t>ב</w:t>
      </w:r>
      <w:hyperlink r:id="rId18" w:history="1">
        <w:r w:rsidR="00EF25BB" w:rsidRPr="00EF25BB">
          <w:rPr>
            <w:rFonts w:ascii="David" w:hAnsi="David"/>
            <w:color w:val="0000FF"/>
            <w:u w:val="single"/>
            <w:rtl/>
          </w:rPr>
          <w:t>ת"פ 27882-05-20</w:t>
        </w:r>
      </w:hyperlink>
      <w:r w:rsidRPr="00E17EA9">
        <w:rPr>
          <w:rFonts w:ascii="David" w:hAnsi="David"/>
          <w:rtl/>
        </w:rPr>
        <w:t xml:space="preserve"> </w:t>
      </w:r>
      <w:r w:rsidRPr="00E17EA9">
        <w:rPr>
          <w:rFonts w:ascii="David" w:hAnsi="David"/>
          <w:b/>
          <w:bCs/>
          <w:rtl/>
        </w:rPr>
        <w:t>מדינת ישראל נ' רוזט</w:t>
      </w:r>
      <w:r w:rsidRPr="00E17EA9">
        <w:rPr>
          <w:rFonts w:ascii="David" w:hAnsi="David"/>
          <w:rtl/>
        </w:rPr>
        <w:t xml:space="preserve"> (לא פורסם, 20.7.2021), במקרה של החזקה כ-15 ק"ג קנאביס, הסכימה המאשימה לעונש של 11 חודש מאסר בפועל על אף שהנאשם לא אותר במשך 8 חודשים. </w:t>
      </w:r>
    </w:p>
    <w:p w14:paraId="1ADEA1D5" w14:textId="77777777" w:rsidR="00847CE3" w:rsidRPr="00E17EA9" w:rsidRDefault="00847CE3" w:rsidP="00847CE3">
      <w:pPr>
        <w:numPr>
          <w:ilvl w:val="0"/>
          <w:numId w:val="3"/>
        </w:numPr>
        <w:spacing w:after="300" w:line="360" w:lineRule="auto"/>
        <w:ind w:left="1076" w:hanging="283"/>
        <w:jc w:val="both"/>
        <w:rPr>
          <w:rFonts w:ascii="David" w:hAnsi="David"/>
        </w:rPr>
      </w:pPr>
      <w:r w:rsidRPr="00E17EA9">
        <w:rPr>
          <w:rFonts w:ascii="David" w:hAnsi="David"/>
          <w:rtl/>
        </w:rPr>
        <w:t>עוד הפנה לפסיקת מותב זה בה נקבע בעניינו של נאשם בהחזקת 12 ק"ג קנאביס כי מתחם העונש נע בי</w:t>
      </w:r>
      <w:r>
        <w:rPr>
          <w:rFonts w:ascii="David" w:hAnsi="David" w:hint="cs"/>
          <w:rtl/>
        </w:rPr>
        <w:t>ן</w:t>
      </w:r>
      <w:r w:rsidRPr="00E17EA9">
        <w:rPr>
          <w:rFonts w:ascii="David" w:hAnsi="David"/>
          <w:rtl/>
        </w:rPr>
        <w:t xml:space="preserve"> 10 ל-24 חודשי מאסר בפועל ובהתחשב בנסיבותיו של הנאשם הוטל עליו עונש של 7 חודשי מאסר שירוצ</w:t>
      </w:r>
      <w:r>
        <w:rPr>
          <w:rFonts w:ascii="David" w:hAnsi="David" w:hint="cs"/>
          <w:rtl/>
        </w:rPr>
        <w:t>ו</w:t>
      </w:r>
      <w:r w:rsidRPr="00E17EA9">
        <w:rPr>
          <w:rFonts w:ascii="David" w:hAnsi="David"/>
          <w:rtl/>
        </w:rPr>
        <w:t xml:space="preserve"> בעבודות שירות לצד ענישה נלווית (ראו: </w:t>
      </w:r>
      <w:hyperlink r:id="rId19" w:history="1">
        <w:r w:rsidR="00EF25BB" w:rsidRPr="00EF25BB">
          <w:rPr>
            <w:rFonts w:ascii="David" w:hAnsi="David"/>
            <w:color w:val="0000FF"/>
            <w:u w:val="single"/>
            <w:rtl/>
          </w:rPr>
          <w:t>ת"פ  32793-08-18</w:t>
        </w:r>
      </w:hyperlink>
      <w:r w:rsidRPr="00E17EA9">
        <w:rPr>
          <w:rFonts w:ascii="David" w:hAnsi="David"/>
          <w:rtl/>
        </w:rPr>
        <w:t xml:space="preserve"> </w:t>
      </w:r>
      <w:r w:rsidRPr="00E17EA9">
        <w:rPr>
          <w:rFonts w:ascii="David" w:hAnsi="David"/>
          <w:b/>
          <w:bCs/>
          <w:rtl/>
        </w:rPr>
        <w:t>מדינת ישראל נ' חליל תראבין</w:t>
      </w:r>
      <w:r w:rsidRPr="00E17EA9">
        <w:rPr>
          <w:rFonts w:ascii="David" w:hAnsi="David"/>
          <w:rtl/>
        </w:rPr>
        <w:t xml:space="preserve">, נבו 10.2.2020). </w:t>
      </w:r>
    </w:p>
    <w:p w14:paraId="69F31914" w14:textId="77777777" w:rsidR="00847CE3" w:rsidRPr="00E17EA9" w:rsidRDefault="00847CE3" w:rsidP="00847CE3">
      <w:pPr>
        <w:numPr>
          <w:ilvl w:val="0"/>
          <w:numId w:val="3"/>
        </w:numPr>
        <w:spacing w:after="300" w:line="360" w:lineRule="auto"/>
        <w:ind w:left="1076" w:hanging="283"/>
        <w:jc w:val="both"/>
        <w:rPr>
          <w:rFonts w:ascii="David" w:hAnsi="David"/>
        </w:rPr>
      </w:pPr>
      <w:r w:rsidRPr="00E17EA9">
        <w:rPr>
          <w:rFonts w:ascii="David" w:hAnsi="David"/>
          <w:rtl/>
        </w:rPr>
        <w:t>עוד הפנה הסנגור לפסה"ד ב</w:t>
      </w:r>
      <w:hyperlink r:id="rId20" w:history="1">
        <w:r w:rsidR="00EF25BB" w:rsidRPr="00EF25BB">
          <w:rPr>
            <w:rFonts w:ascii="David" w:hAnsi="David"/>
            <w:color w:val="0000FF"/>
            <w:u w:val="single"/>
            <w:rtl/>
          </w:rPr>
          <w:t>ת"פ 17157-08-20</w:t>
        </w:r>
      </w:hyperlink>
      <w:r w:rsidRPr="00E17EA9">
        <w:rPr>
          <w:rFonts w:ascii="David" w:hAnsi="David"/>
          <w:rtl/>
        </w:rPr>
        <w:t xml:space="preserve"> </w:t>
      </w:r>
      <w:r w:rsidRPr="00E17EA9">
        <w:rPr>
          <w:rFonts w:ascii="David" w:hAnsi="David"/>
          <w:b/>
          <w:bCs/>
          <w:rtl/>
        </w:rPr>
        <w:t>מדינת ישראל נ' טלאל אבו ארסיס</w:t>
      </w:r>
      <w:r w:rsidRPr="00E17EA9">
        <w:rPr>
          <w:rFonts w:ascii="David" w:hAnsi="David"/>
          <w:rtl/>
        </w:rPr>
        <w:t xml:space="preserve"> (לא פורסם, 1.3.2021) בו נקבע בעניינו של נאשם בהחזקת 9 ק"ג חשיש מחלוק ל-118 מנות מתחם עונש הנע בין 11 ל-22 חודשי מאסר והוטלו על הנאשם 11 חודשי מאסר בפועל לצד ענישה נלווית. הסנגור </w:t>
      </w:r>
    </w:p>
    <w:p w14:paraId="2E161704" w14:textId="77777777" w:rsidR="00847CE3" w:rsidRPr="00E17EA9" w:rsidRDefault="00847CE3" w:rsidP="00847CE3">
      <w:pPr>
        <w:numPr>
          <w:ilvl w:val="0"/>
          <w:numId w:val="3"/>
        </w:numPr>
        <w:spacing w:after="300" w:line="360" w:lineRule="auto"/>
        <w:ind w:left="1076" w:hanging="283"/>
        <w:jc w:val="both"/>
        <w:rPr>
          <w:rFonts w:ascii="David" w:hAnsi="David"/>
        </w:rPr>
      </w:pPr>
      <w:r w:rsidRPr="00E17EA9">
        <w:rPr>
          <w:rFonts w:ascii="David" w:hAnsi="David"/>
          <w:rtl/>
        </w:rPr>
        <w:t>ב</w:t>
      </w:r>
      <w:hyperlink r:id="rId21" w:history="1">
        <w:r w:rsidR="00EF25BB" w:rsidRPr="00EF25BB">
          <w:rPr>
            <w:rFonts w:ascii="David" w:hAnsi="David"/>
            <w:color w:val="0000FF"/>
            <w:u w:val="single"/>
            <w:rtl/>
          </w:rPr>
          <w:t>ת"פ 24183-12-20</w:t>
        </w:r>
      </w:hyperlink>
      <w:r w:rsidRPr="00E17EA9">
        <w:rPr>
          <w:rFonts w:ascii="David" w:hAnsi="David"/>
          <w:rtl/>
        </w:rPr>
        <w:t xml:space="preserve"> </w:t>
      </w:r>
      <w:r w:rsidRPr="00E17EA9">
        <w:rPr>
          <w:rFonts w:ascii="David" w:hAnsi="David"/>
          <w:b/>
          <w:bCs/>
          <w:rtl/>
        </w:rPr>
        <w:t>מדינת ישראל נ' אל טנני</w:t>
      </w:r>
      <w:r w:rsidRPr="00E17EA9">
        <w:rPr>
          <w:rFonts w:ascii="David" w:hAnsi="David"/>
          <w:rtl/>
        </w:rPr>
        <w:t xml:space="preserve"> (לא פורסם, 7.6.2021), במקרה של נאשם שהורשע בהחזקת 166 גרם קנאביס מחולק ל-21 שקיות וכן 7 ק"ג קנאביס הוטל</w:t>
      </w:r>
      <w:r>
        <w:rPr>
          <w:rFonts w:ascii="David" w:hAnsi="David" w:hint="cs"/>
          <w:rtl/>
        </w:rPr>
        <w:t>ו</w:t>
      </w:r>
      <w:r w:rsidRPr="00E17EA9">
        <w:rPr>
          <w:rFonts w:ascii="David" w:hAnsi="David"/>
          <w:rtl/>
        </w:rPr>
        <w:t xml:space="preserve"> בהתאם להסכמת הצדדים, עונש מאסר </w:t>
      </w:r>
      <w:r>
        <w:rPr>
          <w:rFonts w:ascii="David" w:hAnsi="David" w:hint="cs"/>
          <w:rtl/>
        </w:rPr>
        <w:t xml:space="preserve">למשך </w:t>
      </w:r>
      <w:r w:rsidRPr="00E17EA9">
        <w:rPr>
          <w:rFonts w:ascii="David" w:hAnsi="David"/>
          <w:rtl/>
        </w:rPr>
        <w:t>15 חודשים והופעל מאסר מותנה, חלקו בחופף וחלקו במצטבר, כך שסה"כ הוטלו על</w:t>
      </w:r>
      <w:r>
        <w:rPr>
          <w:rFonts w:ascii="David" w:hAnsi="David" w:hint="cs"/>
          <w:rtl/>
        </w:rPr>
        <w:t xml:space="preserve">יו </w:t>
      </w:r>
      <w:r w:rsidRPr="00E17EA9">
        <w:rPr>
          <w:rFonts w:ascii="David" w:hAnsi="David"/>
          <w:rtl/>
        </w:rPr>
        <w:t xml:space="preserve">21 חודשי מאסר לריצוי בפועל. </w:t>
      </w:r>
    </w:p>
    <w:p w14:paraId="207DCCDF" w14:textId="77777777" w:rsidR="00847CE3" w:rsidRPr="00E17EA9" w:rsidRDefault="00847CE3" w:rsidP="00847CE3">
      <w:pPr>
        <w:numPr>
          <w:ilvl w:val="0"/>
          <w:numId w:val="1"/>
        </w:numPr>
        <w:spacing w:after="300" w:line="360" w:lineRule="auto"/>
        <w:ind w:hanging="635"/>
        <w:jc w:val="both"/>
        <w:rPr>
          <w:rFonts w:ascii="David" w:hAnsi="David"/>
        </w:rPr>
      </w:pPr>
      <w:r w:rsidRPr="00E17EA9">
        <w:rPr>
          <w:rFonts w:ascii="David" w:hAnsi="David"/>
          <w:rtl/>
        </w:rPr>
        <w:t xml:space="preserve">הסנגור </w:t>
      </w:r>
      <w:r>
        <w:rPr>
          <w:rFonts w:ascii="David" w:hAnsi="David" w:hint="cs"/>
          <w:rtl/>
        </w:rPr>
        <w:t xml:space="preserve">ציין כי </w:t>
      </w:r>
      <w:r w:rsidRPr="00E17EA9">
        <w:rPr>
          <w:rFonts w:ascii="David" w:hAnsi="David"/>
          <w:rtl/>
        </w:rPr>
        <w:t>הנאשם ה</w:t>
      </w:r>
      <w:r>
        <w:rPr>
          <w:rFonts w:ascii="David" w:hAnsi="David" w:hint="cs"/>
          <w:rtl/>
        </w:rPr>
        <w:t xml:space="preserve">ינו </w:t>
      </w:r>
      <w:r w:rsidRPr="00E17EA9">
        <w:rPr>
          <w:rFonts w:ascii="David" w:hAnsi="David"/>
          <w:rtl/>
        </w:rPr>
        <w:t>אב צעיר לפעוטה</w:t>
      </w:r>
      <w:r>
        <w:rPr>
          <w:rFonts w:ascii="David" w:hAnsi="David" w:hint="cs"/>
          <w:rtl/>
        </w:rPr>
        <w:t>,</w:t>
      </w:r>
      <w:r w:rsidRPr="00E17EA9">
        <w:rPr>
          <w:rFonts w:ascii="David" w:hAnsi="David"/>
          <w:rtl/>
        </w:rPr>
        <w:t xml:space="preserve"> אשר ריצה עונש מאסר אחד בעבר בגין עבירה דומה, ובשל קשיים ראייתיים</w:t>
      </w:r>
      <w:r>
        <w:rPr>
          <w:rFonts w:ascii="David" w:hAnsi="David" w:hint="cs"/>
          <w:rtl/>
        </w:rPr>
        <w:t>, וטעון בע"פ שנמסר לבית המשפט על ידי הצדדים,</w:t>
      </w:r>
      <w:r w:rsidRPr="00E17EA9">
        <w:rPr>
          <w:rFonts w:ascii="David" w:hAnsi="David"/>
          <w:rtl/>
        </w:rPr>
        <w:t xml:space="preserve"> יש ל</w:t>
      </w:r>
      <w:r>
        <w:rPr>
          <w:rFonts w:ascii="David" w:hAnsi="David" w:hint="cs"/>
          <w:rtl/>
        </w:rPr>
        <w:t>קבוע את עונשו ב</w:t>
      </w:r>
      <w:r w:rsidRPr="00E17EA9">
        <w:rPr>
          <w:rFonts w:ascii="David" w:hAnsi="David"/>
          <w:rtl/>
        </w:rPr>
        <w:t>תחתית המתחם ולהפעיל את המאסר המותנה, חציו בחופף וחציו במצטבר</w:t>
      </w:r>
      <w:r>
        <w:rPr>
          <w:rFonts w:ascii="David" w:hAnsi="David" w:hint="cs"/>
          <w:rtl/>
        </w:rPr>
        <w:t>, כך שיוטלו עליו 18 חודשי מאסר לצד ענישה עליה הסכימו הצדדים.</w:t>
      </w:r>
      <w:r w:rsidRPr="00E17EA9">
        <w:rPr>
          <w:rFonts w:ascii="David" w:hAnsi="David"/>
          <w:rtl/>
        </w:rPr>
        <w:t xml:space="preserve"> </w:t>
      </w:r>
    </w:p>
    <w:p w14:paraId="15294761" w14:textId="77777777" w:rsidR="00847CE3" w:rsidRPr="00E17EA9" w:rsidRDefault="00847CE3" w:rsidP="00847CE3">
      <w:pPr>
        <w:numPr>
          <w:ilvl w:val="0"/>
          <w:numId w:val="1"/>
        </w:numPr>
        <w:spacing w:after="300" w:line="360" w:lineRule="auto"/>
        <w:ind w:hanging="635"/>
        <w:jc w:val="both"/>
        <w:rPr>
          <w:rFonts w:ascii="David" w:hAnsi="David"/>
        </w:rPr>
      </w:pPr>
      <w:r w:rsidRPr="00E17EA9">
        <w:rPr>
          <w:rFonts w:ascii="David" w:hAnsi="David"/>
          <w:rtl/>
        </w:rPr>
        <w:t xml:space="preserve">בתום הדברים </w:t>
      </w:r>
      <w:r>
        <w:rPr>
          <w:rFonts w:ascii="David" w:hAnsi="David" w:hint="cs"/>
          <w:rtl/>
        </w:rPr>
        <w:t>מסר הנאשם כי הוא נוטל אחריות וכי הוא מבין כי שגה</w:t>
      </w:r>
      <w:r w:rsidRPr="00E17EA9">
        <w:rPr>
          <w:rFonts w:ascii="David" w:hAnsi="David"/>
          <w:rtl/>
        </w:rPr>
        <w:t xml:space="preserve">. </w:t>
      </w:r>
    </w:p>
    <w:p w14:paraId="6BA408D6" w14:textId="77777777" w:rsidR="00847CE3" w:rsidRPr="00E17EA9" w:rsidRDefault="00847CE3" w:rsidP="00847CE3">
      <w:pPr>
        <w:spacing w:after="300" w:line="360" w:lineRule="auto"/>
        <w:ind w:left="85"/>
        <w:jc w:val="both"/>
        <w:rPr>
          <w:rFonts w:ascii="David" w:hAnsi="David"/>
          <w:b/>
          <w:bCs/>
        </w:rPr>
      </w:pPr>
      <w:r w:rsidRPr="008811E6">
        <w:rPr>
          <w:rFonts w:ascii="David" w:hAnsi="David" w:hint="cs"/>
          <w:b/>
          <w:bCs/>
          <w:u w:val="single"/>
          <w:rtl/>
        </w:rPr>
        <w:t>מתחם העונש ההולם</w:t>
      </w:r>
      <w:r>
        <w:rPr>
          <w:rFonts w:ascii="David" w:hAnsi="David" w:hint="cs"/>
          <w:b/>
          <w:bCs/>
          <w:rtl/>
        </w:rPr>
        <w:t>:</w:t>
      </w:r>
    </w:p>
    <w:p w14:paraId="0EF3E737" w14:textId="77777777" w:rsidR="00847CE3" w:rsidRPr="00E17EA9" w:rsidRDefault="00847CE3" w:rsidP="00847CE3">
      <w:pPr>
        <w:numPr>
          <w:ilvl w:val="0"/>
          <w:numId w:val="1"/>
        </w:numPr>
        <w:spacing w:after="300" w:line="360" w:lineRule="auto"/>
        <w:ind w:hanging="636"/>
        <w:jc w:val="both"/>
        <w:rPr>
          <w:rFonts w:ascii="David" w:hAnsi="David"/>
        </w:rPr>
      </w:pPr>
      <w:r w:rsidRPr="00E17EA9">
        <w:rPr>
          <w:rFonts w:ascii="David" w:hAnsi="David"/>
          <w:rtl/>
        </w:rPr>
        <w:t>כידוע, בבואו לגזור את עונשו של הנאשם על ביהמ"ש לקבוע את מתחם העונש בהתאם לעקרון ההלימה, תוך התחשבות בערך החברתי שנפגע מביצוע העבירה, במידת הפגיעה בו, במדיניות הענישה הנהוגה ובנסיבות הקשורות בביצוע העבירה.</w:t>
      </w:r>
    </w:p>
    <w:p w14:paraId="3DF9EAFE" w14:textId="77777777" w:rsidR="00847CE3" w:rsidRPr="00E17EA9" w:rsidRDefault="00847CE3" w:rsidP="00847CE3">
      <w:pPr>
        <w:numPr>
          <w:ilvl w:val="0"/>
          <w:numId w:val="1"/>
        </w:numPr>
        <w:spacing w:after="300" w:line="360" w:lineRule="auto"/>
        <w:ind w:hanging="636"/>
        <w:jc w:val="both"/>
        <w:rPr>
          <w:rFonts w:ascii="David" w:hAnsi="David"/>
        </w:rPr>
      </w:pPr>
      <w:r w:rsidRPr="00E17EA9">
        <w:rPr>
          <w:rFonts w:ascii="David" w:hAnsi="David"/>
          <w:rtl/>
        </w:rPr>
        <w:t xml:space="preserve">במעשיו בהם הורשע הנאשם פגע הנאשם בערכים המוגנים של שמירה על שלום הציבור, ביטחונו, שלמות גופו ונפשו וכן בשמירה על שלטון החוק והסדר הציבורי מפני נגע הסמים. </w:t>
      </w:r>
    </w:p>
    <w:p w14:paraId="37B8ED16" w14:textId="77777777" w:rsidR="00847CE3" w:rsidRPr="00E17EA9" w:rsidRDefault="00847CE3" w:rsidP="00847CE3">
      <w:pPr>
        <w:numPr>
          <w:ilvl w:val="0"/>
          <w:numId w:val="1"/>
        </w:numPr>
        <w:spacing w:after="300" w:line="360" w:lineRule="auto"/>
        <w:ind w:hanging="636"/>
        <w:jc w:val="both"/>
        <w:rPr>
          <w:rFonts w:ascii="David" w:hAnsi="David"/>
        </w:rPr>
      </w:pPr>
      <w:r w:rsidRPr="00E17EA9">
        <w:rPr>
          <w:rFonts w:ascii="David" w:hAnsi="David"/>
          <w:rtl/>
        </w:rPr>
        <w:t xml:space="preserve">בפסיקה נקבע ביחס לעבירות החזקת סם שלא לצריכה עצמית כי אלו חמורות ביותר. </w:t>
      </w:r>
    </w:p>
    <w:p w14:paraId="4C6C4486" w14:textId="77777777" w:rsidR="00847CE3" w:rsidRPr="00E17EA9" w:rsidRDefault="00847CE3" w:rsidP="00847CE3">
      <w:pPr>
        <w:numPr>
          <w:ilvl w:val="0"/>
          <w:numId w:val="1"/>
        </w:numPr>
        <w:spacing w:after="300" w:line="360" w:lineRule="auto"/>
        <w:ind w:hanging="636"/>
        <w:jc w:val="both"/>
        <w:rPr>
          <w:rFonts w:ascii="David" w:hAnsi="David"/>
        </w:rPr>
      </w:pPr>
      <w:r w:rsidRPr="00E17EA9">
        <w:rPr>
          <w:rFonts w:ascii="David" w:hAnsi="David"/>
          <w:rtl/>
        </w:rPr>
        <w:t>ב</w:t>
      </w:r>
      <w:hyperlink r:id="rId22" w:history="1">
        <w:r w:rsidR="00EF25BB" w:rsidRPr="00EF25BB">
          <w:rPr>
            <w:rFonts w:ascii="David" w:hAnsi="David"/>
            <w:color w:val="0000FF"/>
            <w:u w:val="single"/>
            <w:rtl/>
          </w:rPr>
          <w:t>ע"פ 6029/03</w:t>
        </w:r>
      </w:hyperlink>
      <w:r w:rsidRPr="00E17EA9">
        <w:rPr>
          <w:rFonts w:ascii="David" w:hAnsi="David"/>
          <w:rtl/>
        </w:rPr>
        <w:t xml:space="preserve"> </w:t>
      </w:r>
      <w:r w:rsidRPr="00E17EA9">
        <w:rPr>
          <w:rFonts w:ascii="David" w:hAnsi="David"/>
          <w:b/>
          <w:bCs/>
          <w:rtl/>
        </w:rPr>
        <w:t>מדינת ישראל נ' גולן שמאי</w:t>
      </w:r>
      <w:r w:rsidRPr="00E17EA9">
        <w:rPr>
          <w:rFonts w:ascii="David" w:hAnsi="David"/>
          <w:rtl/>
        </w:rPr>
        <w:t xml:space="preserve"> (נבו 9.2.2004) קבע בית המשפט העליון כי: </w:t>
      </w:r>
    </w:p>
    <w:p w14:paraId="708DB938" w14:textId="77777777" w:rsidR="00847CE3" w:rsidRPr="00E17EA9" w:rsidRDefault="00847CE3" w:rsidP="00847CE3">
      <w:pPr>
        <w:spacing w:after="300" w:line="360" w:lineRule="auto"/>
        <w:ind w:left="720"/>
        <w:jc w:val="both"/>
        <w:rPr>
          <w:rFonts w:ascii="FrankRuehl" w:hAnsi="FrankRuehl" w:cs="FrankRuehl"/>
          <w:i/>
          <w:iCs/>
        </w:rPr>
      </w:pPr>
      <w:r w:rsidRPr="00E17EA9">
        <w:rPr>
          <w:rFonts w:ascii="FrankRuehl" w:hAnsi="FrankRuehl" w:cs="FrankRuehl"/>
          <w:i/>
          <w:iCs/>
          <w:rtl/>
        </w:rPr>
        <w:t>"</w:t>
      </w:r>
      <w:r w:rsidRPr="00E17EA9">
        <w:rPr>
          <w:rFonts w:ascii="FrankRuehl" w:hAnsi="FrankRuehl" w:cs="FrankRuehl" w:hint="eastAsia"/>
          <w:i/>
          <w:iCs/>
          <w:rtl/>
        </w:rPr>
        <w:t>נגע</w:t>
      </w:r>
      <w:r w:rsidRPr="00E17EA9">
        <w:rPr>
          <w:rFonts w:ascii="FrankRuehl" w:hAnsi="FrankRuehl" w:cs="FrankRuehl"/>
          <w:i/>
          <w:iCs/>
          <w:rtl/>
        </w:rPr>
        <w:t xml:space="preserve"> </w:t>
      </w:r>
      <w:r w:rsidRPr="00E17EA9">
        <w:rPr>
          <w:rFonts w:ascii="FrankRuehl" w:hAnsi="FrankRuehl" w:cs="FrankRuehl" w:hint="eastAsia"/>
          <w:i/>
          <w:iCs/>
          <w:rtl/>
        </w:rPr>
        <w:t>הסמים</w:t>
      </w:r>
      <w:r w:rsidRPr="00E17EA9">
        <w:rPr>
          <w:rFonts w:ascii="FrankRuehl" w:hAnsi="FrankRuehl" w:cs="FrankRuehl"/>
          <w:i/>
          <w:iCs/>
          <w:rtl/>
        </w:rPr>
        <w:t xml:space="preserve"> </w:t>
      </w:r>
      <w:r w:rsidRPr="00E17EA9">
        <w:rPr>
          <w:rFonts w:ascii="FrankRuehl" w:hAnsi="FrankRuehl" w:cs="FrankRuehl" w:hint="eastAsia"/>
          <w:i/>
          <w:iCs/>
          <w:rtl/>
        </w:rPr>
        <w:t>אוכל</w:t>
      </w:r>
      <w:r w:rsidRPr="00E17EA9">
        <w:rPr>
          <w:rFonts w:ascii="FrankRuehl" w:hAnsi="FrankRuehl" w:cs="FrankRuehl"/>
          <w:b/>
          <w:bCs/>
          <w:i/>
          <w:iCs/>
          <w:rtl/>
        </w:rPr>
        <w:t xml:space="preserve"> </w:t>
      </w:r>
      <w:r w:rsidRPr="00E17EA9">
        <w:rPr>
          <w:rFonts w:ascii="FrankRuehl" w:hAnsi="FrankRuehl" w:cs="FrankRuehl" w:hint="eastAsia"/>
          <w:i/>
          <w:iCs/>
          <w:rtl/>
        </w:rPr>
        <w:t>באוכלוסיה</w:t>
      </w:r>
      <w:r w:rsidRPr="00E17EA9">
        <w:rPr>
          <w:rFonts w:ascii="FrankRuehl" w:hAnsi="FrankRuehl" w:cs="FrankRuehl"/>
          <w:i/>
          <w:iCs/>
          <w:rtl/>
        </w:rPr>
        <w:t xml:space="preserve"> </w:t>
      </w:r>
      <w:r w:rsidRPr="00E17EA9">
        <w:rPr>
          <w:rFonts w:ascii="FrankRuehl" w:hAnsi="FrankRuehl" w:cs="FrankRuehl" w:hint="eastAsia"/>
          <w:i/>
          <w:iCs/>
          <w:rtl/>
        </w:rPr>
        <w:t>שלנו</w:t>
      </w:r>
      <w:r w:rsidRPr="00E17EA9">
        <w:rPr>
          <w:rFonts w:ascii="FrankRuehl" w:hAnsi="FrankRuehl" w:cs="FrankRuehl"/>
          <w:i/>
          <w:iCs/>
          <w:rtl/>
        </w:rPr>
        <w:t xml:space="preserve"> </w:t>
      </w:r>
      <w:r w:rsidRPr="00E17EA9">
        <w:rPr>
          <w:rFonts w:ascii="FrankRuehl" w:hAnsi="FrankRuehl" w:cs="FrankRuehl" w:hint="eastAsia"/>
          <w:i/>
          <w:iCs/>
          <w:rtl/>
        </w:rPr>
        <w:t>בכל</w:t>
      </w:r>
      <w:r w:rsidRPr="00E17EA9">
        <w:rPr>
          <w:rFonts w:ascii="FrankRuehl" w:hAnsi="FrankRuehl" w:cs="FrankRuehl"/>
          <w:i/>
          <w:iCs/>
          <w:rtl/>
        </w:rPr>
        <w:t xml:space="preserve"> </w:t>
      </w:r>
      <w:r w:rsidRPr="00E17EA9">
        <w:rPr>
          <w:rFonts w:ascii="FrankRuehl" w:hAnsi="FrankRuehl" w:cs="FrankRuehl" w:hint="eastAsia"/>
          <w:i/>
          <w:iCs/>
          <w:rtl/>
        </w:rPr>
        <w:t>פה</w:t>
      </w:r>
      <w:r w:rsidRPr="00E17EA9">
        <w:rPr>
          <w:rFonts w:ascii="FrankRuehl" w:hAnsi="FrankRuehl" w:cs="FrankRuehl"/>
          <w:i/>
          <w:iCs/>
          <w:rtl/>
        </w:rPr>
        <w:t xml:space="preserve"> </w:t>
      </w:r>
      <w:r w:rsidRPr="00E17EA9">
        <w:rPr>
          <w:rFonts w:ascii="FrankRuehl" w:hAnsi="FrankRuehl" w:cs="FrankRuehl" w:hint="eastAsia"/>
          <w:i/>
          <w:iCs/>
          <w:rtl/>
        </w:rPr>
        <w:t>והחברה</w:t>
      </w:r>
      <w:r w:rsidRPr="00E17EA9">
        <w:rPr>
          <w:rFonts w:ascii="FrankRuehl" w:hAnsi="FrankRuehl" w:cs="FrankRuehl"/>
          <w:i/>
          <w:iCs/>
          <w:rtl/>
        </w:rPr>
        <w:t xml:space="preserve"> </w:t>
      </w:r>
      <w:r w:rsidRPr="00E17EA9">
        <w:rPr>
          <w:rFonts w:ascii="FrankRuehl" w:hAnsi="FrankRuehl" w:cs="FrankRuehl" w:hint="eastAsia"/>
          <w:i/>
          <w:iCs/>
          <w:rtl/>
        </w:rPr>
        <w:t>הכריזה</w:t>
      </w:r>
      <w:r w:rsidRPr="00E17EA9">
        <w:rPr>
          <w:rFonts w:ascii="FrankRuehl" w:hAnsi="FrankRuehl" w:cs="FrankRuehl"/>
          <w:i/>
          <w:iCs/>
          <w:rtl/>
        </w:rPr>
        <w:t xml:space="preserve"> </w:t>
      </w:r>
      <w:r w:rsidRPr="00E17EA9">
        <w:rPr>
          <w:rFonts w:ascii="FrankRuehl" w:hAnsi="FrankRuehl" w:cs="FrankRuehl" w:hint="eastAsia"/>
          <w:i/>
          <w:iCs/>
          <w:rtl/>
        </w:rPr>
        <w:t>עליו</w:t>
      </w:r>
      <w:r w:rsidRPr="00E17EA9">
        <w:rPr>
          <w:rFonts w:ascii="FrankRuehl" w:hAnsi="FrankRuehl" w:cs="FrankRuehl"/>
          <w:i/>
          <w:iCs/>
          <w:rtl/>
        </w:rPr>
        <w:t xml:space="preserve"> </w:t>
      </w:r>
      <w:r w:rsidRPr="00E17EA9">
        <w:rPr>
          <w:rFonts w:ascii="FrankRuehl" w:hAnsi="FrankRuehl" w:cs="FrankRuehl" w:hint="eastAsia"/>
          <w:i/>
          <w:iCs/>
          <w:rtl/>
        </w:rPr>
        <w:t>מלחמת</w:t>
      </w:r>
      <w:r w:rsidRPr="00E17EA9">
        <w:rPr>
          <w:rFonts w:ascii="FrankRuehl" w:hAnsi="FrankRuehl" w:cs="FrankRuehl"/>
          <w:i/>
          <w:iCs/>
          <w:rtl/>
        </w:rPr>
        <w:t xml:space="preserve"> </w:t>
      </w:r>
      <w:r w:rsidRPr="00E17EA9">
        <w:rPr>
          <w:rFonts w:ascii="FrankRuehl" w:hAnsi="FrankRuehl" w:cs="FrankRuehl" w:hint="eastAsia"/>
          <w:i/>
          <w:iCs/>
          <w:rtl/>
        </w:rPr>
        <w:t>חורמה</w:t>
      </w:r>
      <w:r w:rsidRPr="00E17EA9">
        <w:rPr>
          <w:rFonts w:ascii="FrankRuehl" w:hAnsi="FrankRuehl" w:cs="FrankRuehl"/>
          <w:i/>
          <w:iCs/>
          <w:rtl/>
        </w:rPr>
        <w:t xml:space="preserve"> </w:t>
      </w:r>
      <w:r w:rsidRPr="00E17EA9">
        <w:rPr>
          <w:rFonts w:ascii="FrankRuehl" w:hAnsi="FrankRuehl" w:cs="FrankRuehl" w:hint="eastAsia"/>
          <w:i/>
          <w:iCs/>
          <w:rtl/>
        </w:rPr>
        <w:t>ומצפה</w:t>
      </w:r>
      <w:r w:rsidRPr="00E17EA9">
        <w:rPr>
          <w:rFonts w:ascii="FrankRuehl" w:hAnsi="FrankRuehl" w:cs="FrankRuehl"/>
          <w:i/>
          <w:iCs/>
          <w:rtl/>
        </w:rPr>
        <w:t xml:space="preserve"> </w:t>
      </w:r>
      <w:r w:rsidRPr="00E17EA9">
        <w:rPr>
          <w:rFonts w:ascii="FrankRuehl" w:hAnsi="FrankRuehl" w:cs="FrankRuehl" w:hint="eastAsia"/>
          <w:i/>
          <w:iCs/>
          <w:rtl/>
        </w:rPr>
        <w:t>שהעונשים</w:t>
      </w:r>
      <w:r w:rsidRPr="00E17EA9">
        <w:rPr>
          <w:rFonts w:ascii="FrankRuehl" w:hAnsi="FrankRuehl" w:cs="FrankRuehl"/>
          <w:i/>
          <w:iCs/>
          <w:rtl/>
        </w:rPr>
        <w:t xml:space="preserve"> </w:t>
      </w:r>
      <w:r w:rsidRPr="00E17EA9">
        <w:rPr>
          <w:rFonts w:ascii="FrankRuehl" w:hAnsi="FrankRuehl" w:cs="FrankRuehl" w:hint="eastAsia"/>
          <w:i/>
          <w:iCs/>
          <w:rtl/>
        </w:rPr>
        <w:t>שיגזרו</w:t>
      </w:r>
      <w:r w:rsidRPr="00E17EA9">
        <w:rPr>
          <w:rFonts w:ascii="FrankRuehl" w:hAnsi="FrankRuehl" w:cs="FrankRuehl"/>
          <w:i/>
          <w:iCs/>
          <w:rtl/>
        </w:rPr>
        <w:t xml:space="preserve"> </w:t>
      </w:r>
      <w:r w:rsidRPr="00E17EA9">
        <w:rPr>
          <w:rFonts w:ascii="FrankRuehl" w:hAnsi="FrankRuehl" w:cs="FrankRuehl" w:hint="eastAsia"/>
          <w:i/>
          <w:iCs/>
          <w:rtl/>
        </w:rPr>
        <w:t>על</w:t>
      </w:r>
      <w:r w:rsidRPr="00E17EA9">
        <w:rPr>
          <w:rFonts w:ascii="FrankRuehl" w:hAnsi="FrankRuehl" w:cs="FrankRuehl"/>
          <w:i/>
          <w:iCs/>
          <w:rtl/>
        </w:rPr>
        <w:t xml:space="preserve"> </w:t>
      </w:r>
      <w:r w:rsidRPr="00E17EA9">
        <w:rPr>
          <w:rFonts w:ascii="FrankRuehl" w:hAnsi="FrankRuehl" w:cs="FrankRuehl" w:hint="eastAsia"/>
          <w:i/>
          <w:iCs/>
          <w:rtl/>
        </w:rPr>
        <w:t>ידי</w:t>
      </w:r>
      <w:r w:rsidRPr="00E17EA9">
        <w:rPr>
          <w:rFonts w:ascii="FrankRuehl" w:hAnsi="FrankRuehl" w:cs="FrankRuehl"/>
          <w:i/>
          <w:iCs/>
          <w:rtl/>
        </w:rPr>
        <w:t xml:space="preserve"> </w:t>
      </w:r>
      <w:r w:rsidRPr="00E17EA9">
        <w:rPr>
          <w:rFonts w:ascii="FrankRuehl" w:hAnsi="FrankRuehl" w:cs="FrankRuehl" w:hint="eastAsia"/>
          <w:i/>
          <w:iCs/>
          <w:rtl/>
        </w:rPr>
        <w:t>בתי</w:t>
      </w:r>
      <w:r w:rsidRPr="00E17EA9">
        <w:rPr>
          <w:rFonts w:ascii="FrankRuehl" w:hAnsi="FrankRuehl" w:cs="FrankRuehl"/>
          <w:i/>
          <w:iCs/>
          <w:rtl/>
        </w:rPr>
        <w:t xml:space="preserve"> </w:t>
      </w:r>
      <w:r w:rsidRPr="00E17EA9">
        <w:rPr>
          <w:rFonts w:ascii="FrankRuehl" w:hAnsi="FrankRuehl" w:cs="FrankRuehl" w:hint="eastAsia"/>
          <w:i/>
          <w:iCs/>
          <w:rtl/>
        </w:rPr>
        <w:t>המשפט</w:t>
      </w:r>
      <w:r w:rsidRPr="00E17EA9">
        <w:rPr>
          <w:rFonts w:ascii="FrankRuehl" w:hAnsi="FrankRuehl" w:cs="FrankRuehl"/>
          <w:i/>
          <w:iCs/>
          <w:rtl/>
        </w:rPr>
        <w:t xml:space="preserve"> </w:t>
      </w:r>
      <w:r w:rsidRPr="00E17EA9">
        <w:rPr>
          <w:rFonts w:ascii="FrankRuehl" w:hAnsi="FrankRuehl" w:cs="FrankRuehl" w:hint="eastAsia"/>
          <w:i/>
          <w:iCs/>
          <w:rtl/>
        </w:rPr>
        <w:t>בשל</w:t>
      </w:r>
      <w:r w:rsidRPr="00E17EA9">
        <w:rPr>
          <w:rFonts w:ascii="FrankRuehl" w:hAnsi="FrankRuehl" w:cs="FrankRuehl"/>
          <w:i/>
          <w:iCs/>
          <w:rtl/>
        </w:rPr>
        <w:t xml:space="preserve"> </w:t>
      </w:r>
      <w:r w:rsidRPr="00E17EA9">
        <w:rPr>
          <w:rFonts w:ascii="FrankRuehl" w:hAnsi="FrankRuehl" w:cs="FrankRuehl" w:hint="eastAsia"/>
          <w:i/>
          <w:iCs/>
          <w:rtl/>
        </w:rPr>
        <w:t>עבירות</w:t>
      </w:r>
      <w:r w:rsidRPr="00E17EA9">
        <w:rPr>
          <w:rFonts w:ascii="FrankRuehl" w:hAnsi="FrankRuehl" w:cs="FrankRuehl"/>
          <w:i/>
          <w:iCs/>
          <w:rtl/>
        </w:rPr>
        <w:t xml:space="preserve"> </w:t>
      </w:r>
      <w:r w:rsidRPr="00E17EA9">
        <w:rPr>
          <w:rFonts w:ascii="FrankRuehl" w:hAnsi="FrankRuehl" w:cs="FrankRuehl" w:hint="eastAsia"/>
          <w:i/>
          <w:iCs/>
          <w:rtl/>
        </w:rPr>
        <w:t>סמים</w:t>
      </w:r>
      <w:r w:rsidRPr="00E17EA9">
        <w:rPr>
          <w:rFonts w:ascii="FrankRuehl" w:hAnsi="FrankRuehl" w:cs="FrankRuehl"/>
          <w:i/>
          <w:iCs/>
          <w:rtl/>
        </w:rPr>
        <w:t xml:space="preserve"> </w:t>
      </w:r>
      <w:r w:rsidRPr="00E17EA9">
        <w:rPr>
          <w:rFonts w:ascii="FrankRuehl" w:hAnsi="FrankRuehl" w:cs="FrankRuehl" w:hint="eastAsia"/>
          <w:i/>
          <w:iCs/>
          <w:rtl/>
        </w:rPr>
        <w:t>ישתלבו</w:t>
      </w:r>
      <w:r w:rsidRPr="00E17EA9">
        <w:rPr>
          <w:rFonts w:ascii="FrankRuehl" w:hAnsi="FrankRuehl" w:cs="FrankRuehl"/>
          <w:i/>
          <w:iCs/>
          <w:rtl/>
        </w:rPr>
        <w:t xml:space="preserve"> </w:t>
      </w:r>
      <w:r w:rsidRPr="00E17EA9">
        <w:rPr>
          <w:rFonts w:ascii="FrankRuehl" w:hAnsi="FrankRuehl" w:cs="FrankRuehl" w:hint="eastAsia"/>
          <w:i/>
          <w:iCs/>
          <w:rtl/>
        </w:rPr>
        <w:t>במאבק</w:t>
      </w:r>
      <w:r w:rsidRPr="00E17EA9">
        <w:rPr>
          <w:rFonts w:ascii="FrankRuehl" w:hAnsi="FrankRuehl" w:cs="FrankRuehl"/>
          <w:i/>
          <w:iCs/>
          <w:rtl/>
        </w:rPr>
        <w:t xml:space="preserve"> </w:t>
      </w:r>
      <w:r w:rsidRPr="00E17EA9">
        <w:rPr>
          <w:rFonts w:ascii="FrankRuehl" w:hAnsi="FrankRuehl" w:cs="FrankRuehl" w:hint="eastAsia"/>
          <w:i/>
          <w:iCs/>
          <w:rtl/>
        </w:rPr>
        <w:t>הכולל</w:t>
      </w:r>
      <w:r w:rsidRPr="00E17EA9">
        <w:rPr>
          <w:rFonts w:ascii="FrankRuehl" w:hAnsi="FrankRuehl" w:cs="FrankRuehl"/>
          <w:i/>
          <w:iCs/>
          <w:rtl/>
        </w:rPr>
        <w:t xml:space="preserve"> </w:t>
      </w:r>
      <w:r w:rsidRPr="00E17EA9">
        <w:rPr>
          <w:rFonts w:ascii="FrankRuehl" w:hAnsi="FrankRuehl" w:cs="FrankRuehl" w:hint="eastAsia"/>
          <w:i/>
          <w:iCs/>
          <w:rtl/>
        </w:rPr>
        <w:t>להדברת</w:t>
      </w:r>
      <w:r w:rsidRPr="00E17EA9">
        <w:rPr>
          <w:rFonts w:ascii="FrankRuehl" w:hAnsi="FrankRuehl" w:cs="FrankRuehl"/>
          <w:i/>
          <w:iCs/>
          <w:rtl/>
        </w:rPr>
        <w:t xml:space="preserve"> </w:t>
      </w:r>
      <w:r w:rsidRPr="00E17EA9">
        <w:rPr>
          <w:rFonts w:ascii="FrankRuehl" w:hAnsi="FrankRuehl" w:cs="FrankRuehl" w:hint="eastAsia"/>
          <w:i/>
          <w:iCs/>
          <w:rtl/>
        </w:rPr>
        <w:t>הנגע</w:t>
      </w:r>
      <w:r w:rsidRPr="00E17EA9">
        <w:rPr>
          <w:rFonts w:ascii="FrankRuehl" w:hAnsi="FrankRuehl" w:cs="FrankRuehl"/>
          <w:i/>
          <w:iCs/>
          <w:rtl/>
        </w:rPr>
        <w:t xml:space="preserve">. </w:t>
      </w:r>
      <w:r w:rsidRPr="00E17EA9">
        <w:rPr>
          <w:rFonts w:ascii="FrankRuehl" w:hAnsi="FrankRuehl" w:cs="FrankRuehl" w:hint="eastAsia"/>
          <w:i/>
          <w:iCs/>
          <w:rtl/>
        </w:rPr>
        <w:t>עונש</w:t>
      </w:r>
      <w:r w:rsidRPr="00E17EA9">
        <w:rPr>
          <w:rFonts w:ascii="FrankRuehl" w:hAnsi="FrankRuehl" w:cs="FrankRuehl"/>
          <w:i/>
          <w:iCs/>
          <w:rtl/>
        </w:rPr>
        <w:t xml:space="preserve"> </w:t>
      </w:r>
      <w:r w:rsidRPr="00E17EA9">
        <w:rPr>
          <w:rFonts w:ascii="FrankRuehl" w:hAnsi="FrankRuehl" w:cs="FrankRuehl" w:hint="eastAsia"/>
          <w:i/>
          <w:iCs/>
          <w:rtl/>
        </w:rPr>
        <w:t>הולם</w:t>
      </w:r>
      <w:r w:rsidRPr="00E17EA9">
        <w:rPr>
          <w:rFonts w:ascii="FrankRuehl" w:hAnsi="FrankRuehl" w:cs="FrankRuehl"/>
          <w:i/>
          <w:iCs/>
          <w:rtl/>
        </w:rPr>
        <w:t xml:space="preserve"> </w:t>
      </w:r>
      <w:r w:rsidRPr="00E17EA9">
        <w:rPr>
          <w:rFonts w:ascii="FrankRuehl" w:hAnsi="FrankRuehl" w:cs="FrankRuehl" w:hint="eastAsia"/>
          <w:i/>
          <w:iCs/>
          <w:rtl/>
        </w:rPr>
        <w:t>למחזיקי</w:t>
      </w:r>
      <w:r w:rsidRPr="00E17EA9">
        <w:rPr>
          <w:rFonts w:ascii="FrankRuehl" w:hAnsi="FrankRuehl" w:cs="FrankRuehl"/>
          <w:i/>
          <w:iCs/>
          <w:rtl/>
        </w:rPr>
        <w:t xml:space="preserve"> </w:t>
      </w:r>
      <w:r w:rsidRPr="00E17EA9">
        <w:rPr>
          <w:rFonts w:ascii="FrankRuehl" w:hAnsi="FrankRuehl" w:cs="FrankRuehl" w:hint="eastAsia"/>
          <w:i/>
          <w:iCs/>
          <w:rtl/>
        </w:rPr>
        <w:t>סמים</w:t>
      </w:r>
      <w:r w:rsidRPr="00E17EA9">
        <w:rPr>
          <w:rFonts w:ascii="FrankRuehl" w:hAnsi="FrankRuehl" w:cs="FrankRuehl"/>
          <w:i/>
          <w:iCs/>
          <w:rtl/>
        </w:rPr>
        <w:t xml:space="preserve"> </w:t>
      </w:r>
      <w:r w:rsidRPr="00E17EA9">
        <w:rPr>
          <w:rFonts w:ascii="FrankRuehl" w:hAnsi="FrankRuehl" w:cs="FrankRuehl" w:hint="eastAsia"/>
          <w:i/>
          <w:iCs/>
          <w:rtl/>
        </w:rPr>
        <w:t>שלא</w:t>
      </w:r>
      <w:r w:rsidRPr="00E17EA9">
        <w:rPr>
          <w:rFonts w:ascii="FrankRuehl" w:hAnsi="FrankRuehl" w:cs="FrankRuehl"/>
          <w:i/>
          <w:iCs/>
          <w:rtl/>
        </w:rPr>
        <w:t xml:space="preserve"> </w:t>
      </w:r>
      <w:r w:rsidRPr="00E17EA9">
        <w:rPr>
          <w:rFonts w:ascii="FrankRuehl" w:hAnsi="FrankRuehl" w:cs="FrankRuehl" w:hint="eastAsia"/>
          <w:i/>
          <w:iCs/>
          <w:rtl/>
        </w:rPr>
        <w:t>לשימוש</w:t>
      </w:r>
      <w:r w:rsidRPr="00E17EA9">
        <w:rPr>
          <w:rFonts w:ascii="FrankRuehl" w:hAnsi="FrankRuehl" w:cs="FrankRuehl"/>
          <w:i/>
          <w:iCs/>
          <w:rtl/>
        </w:rPr>
        <w:t>-</w:t>
      </w:r>
      <w:r w:rsidRPr="00E17EA9">
        <w:rPr>
          <w:rFonts w:ascii="FrankRuehl" w:hAnsi="FrankRuehl" w:cs="FrankRuehl" w:hint="eastAsia"/>
          <w:i/>
          <w:iCs/>
          <w:rtl/>
        </w:rPr>
        <w:t>עצמי</w:t>
      </w:r>
      <w:r w:rsidRPr="00E17EA9">
        <w:rPr>
          <w:rFonts w:ascii="FrankRuehl" w:hAnsi="FrankRuehl" w:cs="FrankRuehl"/>
          <w:i/>
          <w:iCs/>
          <w:rtl/>
        </w:rPr>
        <w:t xml:space="preserve">, </w:t>
      </w:r>
      <w:r w:rsidRPr="00E17EA9">
        <w:rPr>
          <w:rFonts w:ascii="FrankRuehl" w:hAnsi="FrankRuehl" w:cs="FrankRuehl" w:hint="eastAsia"/>
          <w:i/>
          <w:iCs/>
          <w:rtl/>
        </w:rPr>
        <w:t>קרי</w:t>
      </w:r>
      <w:r w:rsidRPr="00E17EA9">
        <w:rPr>
          <w:rFonts w:ascii="FrankRuehl" w:hAnsi="FrankRuehl" w:cs="FrankRuehl"/>
          <w:i/>
          <w:iCs/>
          <w:rtl/>
        </w:rPr>
        <w:t xml:space="preserve">: </w:t>
      </w:r>
      <w:r w:rsidRPr="00E17EA9">
        <w:rPr>
          <w:rFonts w:ascii="FrankRuehl" w:hAnsi="FrankRuehl" w:cs="FrankRuehl" w:hint="eastAsia"/>
          <w:i/>
          <w:iCs/>
          <w:rtl/>
        </w:rPr>
        <w:t>למשולבים</w:t>
      </w:r>
      <w:r w:rsidRPr="00E17EA9">
        <w:rPr>
          <w:rFonts w:ascii="FrankRuehl" w:hAnsi="FrankRuehl" w:cs="FrankRuehl"/>
          <w:i/>
          <w:iCs/>
          <w:rtl/>
        </w:rPr>
        <w:t xml:space="preserve"> </w:t>
      </w:r>
      <w:r w:rsidRPr="00E17EA9">
        <w:rPr>
          <w:rFonts w:ascii="FrankRuehl" w:hAnsi="FrankRuehl" w:cs="FrankRuehl" w:hint="eastAsia"/>
          <w:i/>
          <w:iCs/>
          <w:rtl/>
        </w:rPr>
        <w:t>במערך</w:t>
      </w:r>
      <w:r w:rsidRPr="00E17EA9">
        <w:rPr>
          <w:rFonts w:ascii="FrankRuehl" w:hAnsi="FrankRuehl" w:cs="FrankRuehl"/>
          <w:i/>
          <w:iCs/>
          <w:rtl/>
        </w:rPr>
        <w:t xml:space="preserve"> </w:t>
      </w:r>
      <w:r w:rsidRPr="00E17EA9">
        <w:rPr>
          <w:rFonts w:ascii="FrankRuehl" w:hAnsi="FrankRuehl" w:cs="FrankRuehl" w:hint="eastAsia"/>
          <w:i/>
          <w:iCs/>
          <w:rtl/>
        </w:rPr>
        <w:t>ההפצה</w:t>
      </w:r>
      <w:r w:rsidRPr="00E17EA9">
        <w:rPr>
          <w:rFonts w:ascii="FrankRuehl" w:hAnsi="FrankRuehl" w:cs="FrankRuehl"/>
          <w:i/>
          <w:iCs/>
        </w:rPr>
        <w:t xml:space="preserve"> -</w:t>
      </w:r>
      <w:r w:rsidRPr="00E17EA9">
        <w:rPr>
          <w:rFonts w:ascii="FrankRuehl" w:hAnsi="FrankRuehl" w:cs="FrankRuehl" w:hint="eastAsia"/>
          <w:i/>
          <w:iCs/>
          <w:rtl/>
        </w:rPr>
        <w:t>מכוון</w:t>
      </w:r>
      <w:r w:rsidRPr="00E17EA9">
        <w:rPr>
          <w:rFonts w:ascii="FrankRuehl" w:hAnsi="FrankRuehl" w:cs="FrankRuehl"/>
          <w:i/>
          <w:iCs/>
          <w:rtl/>
        </w:rPr>
        <w:t xml:space="preserve"> </w:t>
      </w:r>
      <w:r w:rsidRPr="00E17EA9">
        <w:rPr>
          <w:rFonts w:ascii="FrankRuehl" w:hAnsi="FrankRuehl" w:cs="FrankRuehl" w:hint="eastAsia"/>
          <w:i/>
          <w:iCs/>
          <w:rtl/>
        </w:rPr>
        <w:t>לקבוע</w:t>
      </w:r>
      <w:r w:rsidRPr="00E17EA9">
        <w:rPr>
          <w:rFonts w:ascii="FrankRuehl" w:hAnsi="FrankRuehl" w:cs="FrankRuehl"/>
          <w:i/>
          <w:iCs/>
          <w:rtl/>
        </w:rPr>
        <w:t xml:space="preserve"> </w:t>
      </w:r>
      <w:r w:rsidRPr="00E17EA9">
        <w:rPr>
          <w:rFonts w:ascii="FrankRuehl" w:hAnsi="FrankRuehl" w:cs="FrankRuehl" w:hint="eastAsia"/>
          <w:i/>
          <w:iCs/>
          <w:rtl/>
        </w:rPr>
        <w:t>בהכרת</w:t>
      </w:r>
      <w:r w:rsidRPr="00E17EA9">
        <w:rPr>
          <w:rFonts w:ascii="FrankRuehl" w:hAnsi="FrankRuehl" w:cs="FrankRuehl"/>
          <w:i/>
          <w:iCs/>
          <w:rtl/>
        </w:rPr>
        <w:t xml:space="preserve"> </w:t>
      </w:r>
      <w:r w:rsidRPr="00E17EA9">
        <w:rPr>
          <w:rFonts w:ascii="FrankRuehl" w:hAnsi="FrankRuehl" w:cs="FrankRuehl" w:hint="eastAsia"/>
          <w:i/>
          <w:iCs/>
          <w:rtl/>
        </w:rPr>
        <w:t>הכל</w:t>
      </w:r>
      <w:r w:rsidRPr="00E17EA9">
        <w:rPr>
          <w:rFonts w:ascii="FrankRuehl" w:hAnsi="FrankRuehl" w:cs="FrankRuehl"/>
          <w:i/>
          <w:iCs/>
          <w:rtl/>
        </w:rPr>
        <w:t xml:space="preserve"> </w:t>
      </w:r>
      <w:r w:rsidRPr="00E17EA9">
        <w:rPr>
          <w:rFonts w:ascii="FrankRuehl" w:hAnsi="FrankRuehl" w:cs="FrankRuehl" w:hint="eastAsia"/>
          <w:i/>
          <w:iCs/>
          <w:rtl/>
        </w:rPr>
        <w:t>את</w:t>
      </w:r>
      <w:r w:rsidRPr="00E17EA9">
        <w:rPr>
          <w:rFonts w:ascii="FrankRuehl" w:hAnsi="FrankRuehl" w:cs="FrankRuehl"/>
          <w:i/>
          <w:iCs/>
          <w:rtl/>
        </w:rPr>
        <w:t xml:space="preserve"> </w:t>
      </w:r>
      <w:r w:rsidRPr="00E17EA9">
        <w:rPr>
          <w:rFonts w:ascii="FrankRuehl" w:hAnsi="FrankRuehl" w:cs="FrankRuehl" w:hint="eastAsia"/>
          <w:i/>
          <w:iCs/>
          <w:rtl/>
        </w:rPr>
        <w:t>החומרה</w:t>
      </w:r>
      <w:r w:rsidRPr="00E17EA9">
        <w:rPr>
          <w:rFonts w:ascii="FrankRuehl" w:hAnsi="FrankRuehl" w:cs="FrankRuehl"/>
          <w:i/>
          <w:iCs/>
          <w:rtl/>
        </w:rPr>
        <w:t xml:space="preserve"> </w:t>
      </w:r>
      <w:r w:rsidRPr="00E17EA9">
        <w:rPr>
          <w:rFonts w:ascii="FrankRuehl" w:hAnsi="FrankRuehl" w:cs="FrankRuehl" w:hint="eastAsia"/>
          <w:i/>
          <w:iCs/>
          <w:rtl/>
        </w:rPr>
        <w:t>היתירה</w:t>
      </w:r>
      <w:r w:rsidRPr="00E17EA9">
        <w:rPr>
          <w:rFonts w:ascii="FrankRuehl" w:hAnsi="FrankRuehl" w:cs="FrankRuehl"/>
          <w:i/>
          <w:iCs/>
          <w:rtl/>
        </w:rPr>
        <w:t xml:space="preserve"> </w:t>
      </w:r>
      <w:r w:rsidRPr="00E17EA9">
        <w:rPr>
          <w:rFonts w:ascii="FrankRuehl" w:hAnsi="FrankRuehl" w:cs="FrankRuehl" w:hint="eastAsia"/>
          <w:i/>
          <w:iCs/>
          <w:rtl/>
        </w:rPr>
        <w:t>שאנו</w:t>
      </w:r>
      <w:r w:rsidRPr="00E17EA9">
        <w:rPr>
          <w:rFonts w:ascii="FrankRuehl" w:hAnsi="FrankRuehl" w:cs="FrankRuehl"/>
          <w:i/>
          <w:iCs/>
          <w:rtl/>
        </w:rPr>
        <w:t xml:space="preserve"> </w:t>
      </w:r>
      <w:r w:rsidRPr="00E17EA9">
        <w:rPr>
          <w:rFonts w:ascii="FrankRuehl" w:hAnsi="FrankRuehl" w:cs="FrankRuehl" w:hint="eastAsia"/>
          <w:i/>
          <w:iCs/>
          <w:rtl/>
        </w:rPr>
        <w:t>מייחסים</w:t>
      </w:r>
      <w:r w:rsidRPr="00E17EA9">
        <w:rPr>
          <w:rFonts w:ascii="FrankRuehl" w:hAnsi="FrankRuehl" w:cs="FrankRuehl"/>
          <w:i/>
          <w:iCs/>
          <w:rtl/>
        </w:rPr>
        <w:t xml:space="preserve"> </w:t>
      </w:r>
      <w:r w:rsidRPr="00E17EA9">
        <w:rPr>
          <w:rFonts w:ascii="FrankRuehl" w:hAnsi="FrankRuehl" w:cs="FrankRuehl" w:hint="eastAsia"/>
          <w:i/>
          <w:iCs/>
          <w:rtl/>
        </w:rPr>
        <w:t>להפצת</w:t>
      </w:r>
      <w:r w:rsidRPr="00E17EA9">
        <w:rPr>
          <w:rFonts w:ascii="FrankRuehl" w:hAnsi="FrankRuehl" w:cs="FrankRuehl"/>
          <w:i/>
          <w:iCs/>
          <w:rtl/>
        </w:rPr>
        <w:t xml:space="preserve"> </w:t>
      </w:r>
      <w:r w:rsidRPr="00E17EA9">
        <w:rPr>
          <w:rFonts w:ascii="FrankRuehl" w:hAnsi="FrankRuehl" w:cs="FrankRuehl" w:hint="eastAsia"/>
          <w:i/>
          <w:iCs/>
          <w:rtl/>
        </w:rPr>
        <w:t>הסמים</w:t>
      </w:r>
      <w:r w:rsidRPr="00E17EA9">
        <w:rPr>
          <w:rFonts w:ascii="FrankRuehl" w:hAnsi="FrankRuehl" w:cs="FrankRuehl"/>
          <w:i/>
          <w:iCs/>
          <w:rtl/>
        </w:rPr>
        <w:t xml:space="preserve">, </w:t>
      </w:r>
      <w:r w:rsidRPr="00E17EA9">
        <w:rPr>
          <w:rFonts w:ascii="FrankRuehl" w:hAnsi="FrankRuehl" w:cs="FrankRuehl" w:hint="eastAsia"/>
          <w:i/>
          <w:iCs/>
          <w:rtl/>
        </w:rPr>
        <w:t>ולהרתיע</w:t>
      </w:r>
      <w:r w:rsidRPr="00E17EA9">
        <w:rPr>
          <w:rFonts w:ascii="FrankRuehl" w:hAnsi="FrankRuehl" w:cs="FrankRuehl"/>
          <w:i/>
          <w:iCs/>
          <w:rtl/>
        </w:rPr>
        <w:t xml:space="preserve"> </w:t>
      </w:r>
      <w:r w:rsidRPr="00E17EA9">
        <w:rPr>
          <w:rFonts w:ascii="FrankRuehl" w:hAnsi="FrankRuehl" w:cs="FrankRuehl" w:hint="eastAsia"/>
          <w:i/>
          <w:iCs/>
          <w:rtl/>
        </w:rPr>
        <w:t>עבריינים</w:t>
      </w:r>
      <w:r w:rsidRPr="00E17EA9">
        <w:rPr>
          <w:rFonts w:ascii="FrankRuehl" w:hAnsi="FrankRuehl" w:cs="FrankRuehl"/>
          <w:i/>
          <w:iCs/>
          <w:rtl/>
        </w:rPr>
        <w:t xml:space="preserve"> </w:t>
      </w:r>
      <w:r w:rsidRPr="00E17EA9">
        <w:rPr>
          <w:rFonts w:ascii="FrankRuehl" w:hAnsi="FrankRuehl" w:cs="FrankRuehl" w:hint="eastAsia"/>
          <w:i/>
          <w:iCs/>
          <w:rtl/>
        </w:rPr>
        <w:t>בכוח</w:t>
      </w:r>
      <w:r w:rsidRPr="00E17EA9">
        <w:rPr>
          <w:rFonts w:ascii="FrankRuehl" w:hAnsi="FrankRuehl" w:cs="FrankRuehl"/>
          <w:i/>
          <w:iCs/>
          <w:rtl/>
        </w:rPr>
        <w:t xml:space="preserve"> </w:t>
      </w:r>
      <w:r w:rsidRPr="00E17EA9">
        <w:rPr>
          <w:rFonts w:ascii="FrankRuehl" w:hAnsi="FrankRuehl" w:cs="FrankRuehl" w:hint="eastAsia"/>
          <w:i/>
          <w:iCs/>
          <w:rtl/>
        </w:rPr>
        <w:t>מלשלוח</w:t>
      </w:r>
      <w:r w:rsidRPr="00E17EA9">
        <w:rPr>
          <w:rFonts w:ascii="FrankRuehl" w:hAnsi="FrankRuehl" w:cs="FrankRuehl"/>
          <w:i/>
          <w:iCs/>
          <w:rtl/>
        </w:rPr>
        <w:t xml:space="preserve"> </w:t>
      </w:r>
      <w:r w:rsidRPr="00E17EA9">
        <w:rPr>
          <w:rFonts w:ascii="FrankRuehl" w:hAnsi="FrankRuehl" w:cs="FrankRuehl" w:hint="eastAsia"/>
          <w:i/>
          <w:iCs/>
          <w:rtl/>
        </w:rPr>
        <w:t>ידם</w:t>
      </w:r>
      <w:r w:rsidRPr="00E17EA9">
        <w:rPr>
          <w:rFonts w:ascii="FrankRuehl" w:hAnsi="FrankRuehl" w:cs="FrankRuehl"/>
          <w:i/>
          <w:iCs/>
          <w:rtl/>
        </w:rPr>
        <w:t xml:space="preserve"> </w:t>
      </w:r>
      <w:r w:rsidRPr="00E17EA9">
        <w:rPr>
          <w:rFonts w:ascii="FrankRuehl" w:hAnsi="FrankRuehl" w:cs="FrankRuehl" w:hint="eastAsia"/>
          <w:i/>
          <w:iCs/>
          <w:rtl/>
        </w:rPr>
        <w:t>בפעילות</w:t>
      </w:r>
      <w:r w:rsidRPr="00E17EA9">
        <w:rPr>
          <w:rFonts w:ascii="FrankRuehl" w:hAnsi="FrankRuehl" w:cs="FrankRuehl"/>
          <w:i/>
          <w:iCs/>
          <w:rtl/>
        </w:rPr>
        <w:t xml:space="preserve"> </w:t>
      </w:r>
      <w:r w:rsidRPr="00E17EA9">
        <w:rPr>
          <w:rFonts w:ascii="FrankRuehl" w:hAnsi="FrankRuehl" w:cs="FrankRuehl" w:hint="eastAsia"/>
          <w:i/>
          <w:iCs/>
          <w:rtl/>
        </w:rPr>
        <w:t>ההפצה</w:t>
      </w:r>
      <w:r w:rsidRPr="00E17EA9">
        <w:rPr>
          <w:rFonts w:ascii="FrankRuehl" w:hAnsi="FrankRuehl" w:cs="FrankRuehl"/>
          <w:i/>
          <w:iCs/>
          <w:rtl/>
        </w:rPr>
        <w:t xml:space="preserve">. </w:t>
      </w:r>
      <w:r w:rsidRPr="00E17EA9">
        <w:rPr>
          <w:rFonts w:ascii="FrankRuehl" w:hAnsi="FrankRuehl" w:cs="FrankRuehl" w:hint="eastAsia"/>
          <w:i/>
          <w:iCs/>
          <w:rtl/>
        </w:rPr>
        <w:t>שתי</w:t>
      </w:r>
      <w:r w:rsidRPr="00E17EA9">
        <w:rPr>
          <w:rFonts w:ascii="FrankRuehl" w:hAnsi="FrankRuehl" w:cs="FrankRuehl"/>
          <w:i/>
          <w:iCs/>
          <w:rtl/>
        </w:rPr>
        <w:t xml:space="preserve"> </w:t>
      </w:r>
      <w:r w:rsidRPr="00E17EA9">
        <w:rPr>
          <w:rFonts w:ascii="FrankRuehl" w:hAnsi="FrankRuehl" w:cs="FrankRuehl" w:hint="eastAsia"/>
          <w:i/>
          <w:iCs/>
          <w:rtl/>
        </w:rPr>
        <w:t>תכליות</w:t>
      </w:r>
      <w:r w:rsidRPr="00E17EA9">
        <w:rPr>
          <w:rFonts w:ascii="FrankRuehl" w:hAnsi="FrankRuehl" w:cs="FrankRuehl"/>
          <w:i/>
          <w:iCs/>
          <w:rtl/>
        </w:rPr>
        <w:t xml:space="preserve"> </w:t>
      </w:r>
      <w:r w:rsidRPr="00E17EA9">
        <w:rPr>
          <w:rFonts w:ascii="FrankRuehl" w:hAnsi="FrankRuehl" w:cs="FrankRuehl" w:hint="eastAsia"/>
          <w:i/>
          <w:iCs/>
          <w:rtl/>
        </w:rPr>
        <w:t>מרכזיות</w:t>
      </w:r>
      <w:r w:rsidRPr="00E17EA9">
        <w:rPr>
          <w:rFonts w:ascii="FrankRuehl" w:hAnsi="FrankRuehl" w:cs="FrankRuehl"/>
          <w:i/>
          <w:iCs/>
          <w:rtl/>
        </w:rPr>
        <w:t xml:space="preserve"> </w:t>
      </w:r>
      <w:r w:rsidRPr="00E17EA9">
        <w:rPr>
          <w:rFonts w:ascii="FrankRuehl" w:hAnsi="FrankRuehl" w:cs="FrankRuehl" w:hint="eastAsia"/>
          <w:i/>
          <w:iCs/>
          <w:rtl/>
        </w:rPr>
        <w:t>אלו</w:t>
      </w:r>
      <w:r w:rsidRPr="00E17EA9">
        <w:rPr>
          <w:rFonts w:ascii="FrankRuehl" w:hAnsi="FrankRuehl" w:cs="FrankRuehl"/>
          <w:i/>
          <w:iCs/>
          <w:rtl/>
        </w:rPr>
        <w:t xml:space="preserve"> </w:t>
      </w:r>
      <w:r w:rsidRPr="00E17EA9">
        <w:rPr>
          <w:rFonts w:ascii="FrankRuehl" w:hAnsi="FrankRuehl" w:cs="FrankRuehl" w:hint="eastAsia"/>
          <w:i/>
          <w:iCs/>
          <w:rtl/>
        </w:rPr>
        <w:t>ניתן</w:t>
      </w:r>
      <w:r w:rsidRPr="00E17EA9">
        <w:rPr>
          <w:rFonts w:ascii="FrankRuehl" w:hAnsi="FrankRuehl" w:cs="FrankRuehl"/>
          <w:i/>
          <w:iCs/>
          <w:rtl/>
        </w:rPr>
        <w:t xml:space="preserve"> </w:t>
      </w:r>
      <w:r w:rsidRPr="00E17EA9">
        <w:rPr>
          <w:rFonts w:ascii="FrankRuehl" w:hAnsi="FrankRuehl" w:cs="FrankRuehl" w:hint="eastAsia"/>
          <w:i/>
          <w:iCs/>
          <w:rtl/>
        </w:rPr>
        <w:t>להשיג</w:t>
      </w:r>
      <w:r w:rsidRPr="00E17EA9">
        <w:rPr>
          <w:rFonts w:ascii="FrankRuehl" w:hAnsi="FrankRuehl" w:cs="FrankRuehl"/>
          <w:i/>
          <w:iCs/>
          <w:rtl/>
        </w:rPr>
        <w:t xml:space="preserve"> </w:t>
      </w:r>
      <w:r w:rsidRPr="00E17EA9">
        <w:rPr>
          <w:rFonts w:ascii="FrankRuehl" w:hAnsi="FrankRuehl" w:cs="FrankRuehl" w:hint="eastAsia"/>
          <w:i/>
          <w:iCs/>
          <w:rtl/>
        </w:rPr>
        <w:t>רק</w:t>
      </w:r>
      <w:r w:rsidRPr="00E17EA9">
        <w:rPr>
          <w:rFonts w:ascii="FrankRuehl" w:hAnsi="FrankRuehl" w:cs="FrankRuehl"/>
          <w:i/>
          <w:iCs/>
          <w:rtl/>
        </w:rPr>
        <w:t xml:space="preserve"> </w:t>
      </w:r>
      <w:r w:rsidRPr="00E17EA9">
        <w:rPr>
          <w:rFonts w:ascii="FrankRuehl" w:hAnsi="FrankRuehl" w:cs="FrankRuehl" w:hint="eastAsia"/>
          <w:i/>
          <w:iCs/>
          <w:rtl/>
        </w:rPr>
        <w:t>על</w:t>
      </w:r>
      <w:r w:rsidRPr="00E17EA9">
        <w:rPr>
          <w:rFonts w:ascii="FrankRuehl" w:hAnsi="FrankRuehl" w:cs="FrankRuehl"/>
          <w:i/>
          <w:iCs/>
          <w:rtl/>
        </w:rPr>
        <w:t xml:space="preserve"> </w:t>
      </w:r>
      <w:r w:rsidRPr="00E17EA9">
        <w:rPr>
          <w:rFonts w:ascii="FrankRuehl" w:hAnsi="FrankRuehl" w:cs="FrankRuehl" w:hint="eastAsia"/>
          <w:i/>
          <w:iCs/>
          <w:rtl/>
        </w:rPr>
        <w:t>ידי</w:t>
      </w:r>
      <w:r w:rsidRPr="00E17EA9">
        <w:rPr>
          <w:rFonts w:ascii="FrankRuehl" w:hAnsi="FrankRuehl" w:cs="FrankRuehl"/>
          <w:i/>
          <w:iCs/>
        </w:rPr>
        <w:t xml:space="preserve"> </w:t>
      </w:r>
      <w:r w:rsidRPr="00E17EA9">
        <w:rPr>
          <w:rFonts w:ascii="FrankRuehl" w:hAnsi="FrankRuehl" w:cs="FrankRuehl" w:hint="eastAsia"/>
          <w:i/>
          <w:iCs/>
          <w:rtl/>
        </w:rPr>
        <w:t>הטלת</w:t>
      </w:r>
      <w:r w:rsidRPr="00E17EA9">
        <w:rPr>
          <w:rFonts w:ascii="FrankRuehl" w:hAnsi="FrankRuehl" w:cs="FrankRuehl"/>
          <w:i/>
          <w:iCs/>
          <w:rtl/>
        </w:rPr>
        <w:t xml:space="preserve"> </w:t>
      </w:r>
      <w:r w:rsidRPr="00E17EA9">
        <w:rPr>
          <w:rFonts w:ascii="FrankRuehl" w:hAnsi="FrankRuehl" w:cs="FrankRuehl" w:hint="eastAsia"/>
          <w:i/>
          <w:iCs/>
          <w:rtl/>
        </w:rPr>
        <w:t>עונשים</w:t>
      </w:r>
      <w:r w:rsidRPr="00E17EA9">
        <w:rPr>
          <w:rFonts w:ascii="FrankRuehl" w:hAnsi="FrankRuehl" w:cs="FrankRuehl"/>
          <w:i/>
          <w:iCs/>
          <w:rtl/>
        </w:rPr>
        <w:t xml:space="preserve"> </w:t>
      </w:r>
      <w:r w:rsidRPr="00E17EA9">
        <w:rPr>
          <w:rFonts w:ascii="FrankRuehl" w:hAnsi="FrankRuehl" w:cs="FrankRuehl" w:hint="eastAsia"/>
          <w:i/>
          <w:iCs/>
          <w:rtl/>
        </w:rPr>
        <w:t>חמורים</w:t>
      </w:r>
      <w:r w:rsidRPr="00E17EA9">
        <w:rPr>
          <w:rFonts w:ascii="FrankRuehl" w:hAnsi="FrankRuehl" w:cs="FrankRuehl"/>
          <w:i/>
          <w:iCs/>
          <w:rtl/>
        </w:rPr>
        <w:t>".</w:t>
      </w:r>
    </w:p>
    <w:p w14:paraId="080792CE" w14:textId="77777777" w:rsidR="00847CE3" w:rsidRPr="00E17EA9" w:rsidRDefault="00847CE3" w:rsidP="00847CE3">
      <w:pPr>
        <w:numPr>
          <w:ilvl w:val="0"/>
          <w:numId w:val="1"/>
        </w:numPr>
        <w:spacing w:after="300" w:line="360" w:lineRule="auto"/>
        <w:ind w:hanging="635"/>
        <w:jc w:val="both"/>
        <w:rPr>
          <w:rFonts w:ascii="David" w:hAnsi="David"/>
        </w:rPr>
      </w:pPr>
      <w:r w:rsidRPr="00E17EA9">
        <w:rPr>
          <w:rFonts w:ascii="David" w:hAnsi="David"/>
          <w:rtl/>
        </w:rPr>
        <w:t>ב</w:t>
      </w:r>
      <w:hyperlink r:id="rId23" w:history="1">
        <w:r w:rsidR="00EF25BB" w:rsidRPr="00EF25BB">
          <w:rPr>
            <w:rFonts w:ascii="David" w:hAnsi="David"/>
            <w:color w:val="0000FF"/>
            <w:u w:val="single"/>
            <w:rtl/>
          </w:rPr>
          <w:t>בש"פ 1866/07</w:t>
        </w:r>
      </w:hyperlink>
      <w:r w:rsidRPr="00E17EA9">
        <w:rPr>
          <w:rFonts w:ascii="David" w:hAnsi="David"/>
          <w:rtl/>
        </w:rPr>
        <w:t xml:space="preserve"> </w:t>
      </w:r>
      <w:r w:rsidRPr="00E17EA9">
        <w:rPr>
          <w:rFonts w:ascii="David" w:hAnsi="David"/>
          <w:b/>
          <w:bCs/>
          <w:rtl/>
        </w:rPr>
        <w:t>מוניר אהווידי נ' מדינת ישראל</w:t>
      </w:r>
      <w:r w:rsidRPr="00E17EA9">
        <w:rPr>
          <w:rFonts w:ascii="David" w:hAnsi="David"/>
          <w:rtl/>
        </w:rPr>
        <w:t xml:space="preserve">, תק-על 2007(1) 4155 (2007) נקבע כי: </w:t>
      </w:r>
    </w:p>
    <w:p w14:paraId="2597AD3F" w14:textId="77777777" w:rsidR="00847CE3" w:rsidRPr="00E17EA9" w:rsidRDefault="00847CE3" w:rsidP="00847CE3">
      <w:pPr>
        <w:spacing w:after="300" w:line="360" w:lineRule="auto"/>
        <w:ind w:left="720"/>
        <w:jc w:val="both"/>
        <w:rPr>
          <w:rFonts w:ascii="FrankRuehl" w:hAnsi="FrankRuehl" w:cs="FrankRuehl"/>
          <w:i/>
          <w:iCs/>
        </w:rPr>
      </w:pPr>
      <w:r w:rsidRPr="00E17EA9">
        <w:rPr>
          <w:rFonts w:ascii="FrankRuehl" w:hAnsi="FrankRuehl" w:cs="FrankRuehl"/>
          <w:i/>
          <w:iCs/>
          <w:rtl/>
        </w:rPr>
        <w:t>"</w:t>
      </w:r>
      <w:r w:rsidRPr="00E17EA9">
        <w:rPr>
          <w:rFonts w:ascii="FrankRuehl" w:hAnsi="FrankRuehl" w:cs="FrankRuehl" w:hint="eastAsia"/>
          <w:i/>
          <w:iCs/>
          <w:rtl/>
        </w:rPr>
        <w:t>אין</w:t>
      </w:r>
      <w:r w:rsidRPr="00E17EA9">
        <w:rPr>
          <w:rFonts w:ascii="FrankRuehl" w:hAnsi="FrankRuehl" w:cs="FrankRuehl"/>
          <w:i/>
          <w:iCs/>
          <w:rtl/>
        </w:rPr>
        <w:t xml:space="preserve"> </w:t>
      </w:r>
      <w:r w:rsidRPr="00E17EA9">
        <w:rPr>
          <w:rFonts w:ascii="FrankRuehl" w:hAnsi="FrankRuehl" w:cs="FrankRuehl" w:hint="eastAsia"/>
          <w:i/>
          <w:iCs/>
          <w:rtl/>
        </w:rPr>
        <w:t>צורך</w:t>
      </w:r>
      <w:r w:rsidRPr="00E17EA9">
        <w:rPr>
          <w:rFonts w:ascii="FrankRuehl" w:hAnsi="FrankRuehl" w:cs="FrankRuehl"/>
          <w:i/>
          <w:iCs/>
          <w:rtl/>
        </w:rPr>
        <w:t xml:space="preserve"> </w:t>
      </w:r>
      <w:r w:rsidRPr="00E17EA9">
        <w:rPr>
          <w:rFonts w:ascii="FrankRuehl" w:hAnsi="FrankRuehl" w:cs="FrankRuehl" w:hint="eastAsia"/>
          <w:i/>
          <w:iCs/>
          <w:rtl/>
        </w:rPr>
        <w:t>להכביר</w:t>
      </w:r>
      <w:r w:rsidRPr="00E17EA9">
        <w:rPr>
          <w:rFonts w:ascii="FrankRuehl" w:hAnsi="FrankRuehl" w:cs="FrankRuehl"/>
          <w:i/>
          <w:iCs/>
          <w:rtl/>
        </w:rPr>
        <w:t xml:space="preserve"> </w:t>
      </w:r>
      <w:r w:rsidRPr="00E17EA9">
        <w:rPr>
          <w:rFonts w:ascii="FrankRuehl" w:hAnsi="FrankRuehl" w:cs="FrankRuehl" w:hint="eastAsia"/>
          <w:i/>
          <w:iCs/>
          <w:rtl/>
        </w:rPr>
        <w:t>במילים</w:t>
      </w:r>
      <w:r w:rsidRPr="00E17EA9">
        <w:rPr>
          <w:rFonts w:ascii="FrankRuehl" w:hAnsi="FrankRuehl" w:cs="FrankRuehl"/>
          <w:i/>
          <w:iCs/>
          <w:rtl/>
        </w:rPr>
        <w:t xml:space="preserve"> </w:t>
      </w:r>
      <w:r w:rsidRPr="00E17EA9">
        <w:rPr>
          <w:rFonts w:ascii="FrankRuehl" w:hAnsi="FrankRuehl" w:cs="FrankRuehl" w:hint="eastAsia"/>
          <w:i/>
          <w:iCs/>
          <w:rtl/>
        </w:rPr>
        <w:t>על</w:t>
      </w:r>
      <w:r w:rsidRPr="00E17EA9">
        <w:rPr>
          <w:rFonts w:ascii="FrankRuehl" w:hAnsi="FrankRuehl" w:cs="FrankRuehl"/>
          <w:i/>
          <w:iCs/>
          <w:rtl/>
        </w:rPr>
        <w:t xml:space="preserve"> </w:t>
      </w:r>
      <w:r w:rsidRPr="00E17EA9">
        <w:rPr>
          <w:rFonts w:ascii="FrankRuehl" w:hAnsi="FrankRuehl" w:cs="FrankRuehl" w:hint="eastAsia"/>
          <w:i/>
          <w:iCs/>
          <w:rtl/>
        </w:rPr>
        <w:t>מסוכנותם</w:t>
      </w:r>
      <w:r w:rsidRPr="00E17EA9">
        <w:rPr>
          <w:rFonts w:ascii="FrankRuehl" w:hAnsi="FrankRuehl" w:cs="FrankRuehl"/>
          <w:i/>
          <w:iCs/>
          <w:rtl/>
        </w:rPr>
        <w:t xml:space="preserve"> </w:t>
      </w:r>
      <w:r w:rsidRPr="00E17EA9">
        <w:rPr>
          <w:rFonts w:ascii="FrankRuehl" w:hAnsi="FrankRuehl" w:cs="FrankRuehl" w:hint="eastAsia"/>
          <w:i/>
          <w:iCs/>
          <w:rtl/>
        </w:rPr>
        <w:t>האינהרנטית</w:t>
      </w:r>
      <w:r w:rsidRPr="00E17EA9">
        <w:rPr>
          <w:rFonts w:ascii="FrankRuehl" w:hAnsi="FrankRuehl" w:cs="FrankRuehl"/>
          <w:i/>
          <w:iCs/>
          <w:rtl/>
        </w:rPr>
        <w:t xml:space="preserve"> </w:t>
      </w:r>
      <w:r w:rsidRPr="00E17EA9">
        <w:rPr>
          <w:rFonts w:ascii="FrankRuehl" w:hAnsi="FrankRuehl" w:cs="FrankRuehl" w:hint="eastAsia"/>
          <w:i/>
          <w:iCs/>
          <w:rtl/>
        </w:rPr>
        <w:t>של</w:t>
      </w:r>
      <w:r w:rsidRPr="00E17EA9">
        <w:rPr>
          <w:rFonts w:ascii="FrankRuehl" w:hAnsi="FrankRuehl" w:cs="FrankRuehl"/>
          <w:i/>
          <w:iCs/>
          <w:rtl/>
        </w:rPr>
        <w:t xml:space="preserve"> </w:t>
      </w:r>
      <w:r w:rsidRPr="00E17EA9">
        <w:rPr>
          <w:rFonts w:ascii="FrankRuehl" w:hAnsi="FrankRuehl" w:cs="FrankRuehl" w:hint="eastAsia"/>
          <w:i/>
          <w:iCs/>
          <w:rtl/>
        </w:rPr>
        <w:t>נאשמים</w:t>
      </w:r>
      <w:r w:rsidRPr="00E17EA9">
        <w:rPr>
          <w:rFonts w:ascii="FrankRuehl" w:hAnsi="FrankRuehl" w:cs="FrankRuehl"/>
          <w:i/>
          <w:iCs/>
          <w:rtl/>
        </w:rPr>
        <w:t xml:space="preserve"> </w:t>
      </w:r>
      <w:r w:rsidRPr="00E17EA9">
        <w:rPr>
          <w:rFonts w:ascii="FrankRuehl" w:hAnsi="FrankRuehl" w:cs="FrankRuehl" w:hint="eastAsia"/>
          <w:i/>
          <w:iCs/>
          <w:rtl/>
        </w:rPr>
        <w:t>בעבירה</w:t>
      </w:r>
      <w:r w:rsidRPr="00E17EA9">
        <w:rPr>
          <w:rFonts w:ascii="FrankRuehl" w:hAnsi="FrankRuehl" w:cs="FrankRuehl"/>
          <w:i/>
          <w:iCs/>
          <w:rtl/>
        </w:rPr>
        <w:t xml:space="preserve"> </w:t>
      </w:r>
      <w:r w:rsidRPr="00E17EA9">
        <w:rPr>
          <w:rFonts w:ascii="FrankRuehl" w:hAnsi="FrankRuehl" w:cs="FrankRuehl" w:hint="eastAsia"/>
          <w:i/>
          <w:iCs/>
          <w:rtl/>
        </w:rPr>
        <w:t>של</w:t>
      </w:r>
      <w:r w:rsidRPr="00E17EA9">
        <w:rPr>
          <w:rFonts w:ascii="FrankRuehl" w:hAnsi="FrankRuehl" w:cs="FrankRuehl"/>
          <w:i/>
          <w:iCs/>
          <w:rtl/>
        </w:rPr>
        <w:t xml:space="preserve"> </w:t>
      </w:r>
      <w:r w:rsidRPr="00E17EA9">
        <w:rPr>
          <w:rFonts w:ascii="FrankRuehl" w:hAnsi="FrankRuehl" w:cs="FrankRuehl" w:hint="eastAsia"/>
          <w:i/>
          <w:iCs/>
          <w:rtl/>
        </w:rPr>
        <w:t>אחזקת</w:t>
      </w:r>
      <w:r w:rsidRPr="00E17EA9">
        <w:rPr>
          <w:rFonts w:ascii="FrankRuehl" w:hAnsi="FrankRuehl" w:cs="FrankRuehl"/>
          <w:i/>
          <w:iCs/>
          <w:rtl/>
        </w:rPr>
        <w:t xml:space="preserve"> </w:t>
      </w:r>
      <w:r w:rsidRPr="00E17EA9">
        <w:rPr>
          <w:rFonts w:ascii="FrankRuehl" w:hAnsi="FrankRuehl" w:cs="FrankRuehl" w:hint="eastAsia"/>
          <w:i/>
          <w:iCs/>
          <w:rtl/>
        </w:rPr>
        <w:t>סם</w:t>
      </w:r>
      <w:r w:rsidRPr="00E17EA9">
        <w:rPr>
          <w:rFonts w:ascii="FrankRuehl" w:hAnsi="FrankRuehl" w:cs="FrankRuehl"/>
          <w:i/>
          <w:iCs/>
          <w:rtl/>
        </w:rPr>
        <w:t xml:space="preserve"> </w:t>
      </w:r>
      <w:r w:rsidRPr="00E17EA9">
        <w:rPr>
          <w:rFonts w:ascii="FrankRuehl" w:hAnsi="FrankRuehl" w:cs="FrankRuehl" w:hint="eastAsia"/>
          <w:i/>
          <w:iCs/>
          <w:rtl/>
        </w:rPr>
        <w:t>שלא</w:t>
      </w:r>
      <w:r w:rsidRPr="00E17EA9">
        <w:rPr>
          <w:rFonts w:ascii="FrankRuehl" w:hAnsi="FrankRuehl" w:cs="FrankRuehl"/>
          <w:i/>
          <w:iCs/>
          <w:rtl/>
        </w:rPr>
        <w:t xml:space="preserve"> </w:t>
      </w:r>
      <w:r w:rsidRPr="00E17EA9">
        <w:rPr>
          <w:rFonts w:ascii="FrankRuehl" w:hAnsi="FrankRuehl" w:cs="FrankRuehl" w:hint="eastAsia"/>
          <w:i/>
          <w:iCs/>
          <w:rtl/>
        </w:rPr>
        <w:t>לצריכה</w:t>
      </w:r>
      <w:r w:rsidRPr="00E17EA9">
        <w:rPr>
          <w:rFonts w:ascii="FrankRuehl" w:hAnsi="FrankRuehl" w:cs="FrankRuehl"/>
          <w:i/>
          <w:iCs/>
          <w:rtl/>
        </w:rPr>
        <w:t xml:space="preserve"> </w:t>
      </w:r>
      <w:r w:rsidRPr="00E17EA9">
        <w:rPr>
          <w:rFonts w:ascii="FrankRuehl" w:hAnsi="FrankRuehl" w:cs="FrankRuehl" w:hint="eastAsia"/>
          <w:i/>
          <w:iCs/>
          <w:rtl/>
        </w:rPr>
        <w:t>עצמית</w:t>
      </w:r>
      <w:r w:rsidRPr="00E17EA9">
        <w:rPr>
          <w:rFonts w:ascii="FrankRuehl" w:hAnsi="FrankRuehl" w:cs="FrankRuehl"/>
          <w:i/>
          <w:iCs/>
          <w:rtl/>
        </w:rPr>
        <w:t xml:space="preserve">. </w:t>
      </w:r>
      <w:r w:rsidRPr="00E17EA9">
        <w:rPr>
          <w:rFonts w:ascii="FrankRuehl" w:hAnsi="FrankRuehl" w:cs="FrankRuehl" w:hint="eastAsia"/>
          <w:i/>
          <w:iCs/>
          <w:rtl/>
        </w:rPr>
        <w:t>קל</w:t>
      </w:r>
      <w:r w:rsidRPr="00E17EA9">
        <w:rPr>
          <w:rFonts w:ascii="FrankRuehl" w:hAnsi="FrankRuehl" w:cs="FrankRuehl"/>
          <w:i/>
          <w:iCs/>
          <w:rtl/>
        </w:rPr>
        <w:t xml:space="preserve"> </w:t>
      </w:r>
      <w:r w:rsidRPr="00E17EA9">
        <w:rPr>
          <w:rFonts w:ascii="FrankRuehl" w:hAnsi="FrankRuehl" w:cs="FrankRuehl" w:hint="eastAsia"/>
          <w:i/>
          <w:iCs/>
          <w:rtl/>
        </w:rPr>
        <w:t>וחומר</w:t>
      </w:r>
      <w:r w:rsidRPr="00E17EA9">
        <w:rPr>
          <w:rFonts w:ascii="FrankRuehl" w:hAnsi="FrankRuehl" w:cs="FrankRuehl"/>
          <w:i/>
          <w:iCs/>
          <w:rtl/>
        </w:rPr>
        <w:t xml:space="preserve"> </w:t>
      </w:r>
      <w:r w:rsidRPr="00E17EA9">
        <w:rPr>
          <w:rFonts w:ascii="FrankRuehl" w:hAnsi="FrankRuehl" w:cs="FrankRuehl" w:hint="eastAsia"/>
          <w:i/>
          <w:iCs/>
          <w:rtl/>
        </w:rPr>
        <w:t>כאשר</w:t>
      </w:r>
      <w:r w:rsidRPr="00E17EA9">
        <w:rPr>
          <w:rFonts w:ascii="FrankRuehl" w:hAnsi="FrankRuehl" w:cs="FrankRuehl"/>
          <w:i/>
          <w:iCs/>
          <w:rtl/>
        </w:rPr>
        <w:t xml:space="preserve"> </w:t>
      </w:r>
      <w:r w:rsidRPr="00E17EA9">
        <w:rPr>
          <w:rFonts w:ascii="FrankRuehl" w:hAnsi="FrankRuehl" w:cs="FrankRuehl" w:hint="eastAsia"/>
          <w:i/>
          <w:iCs/>
          <w:rtl/>
        </w:rPr>
        <w:t>מדובר</w:t>
      </w:r>
      <w:r w:rsidRPr="00E17EA9">
        <w:rPr>
          <w:rFonts w:ascii="FrankRuehl" w:hAnsi="FrankRuehl" w:cs="FrankRuehl"/>
          <w:i/>
          <w:iCs/>
          <w:rtl/>
        </w:rPr>
        <w:t xml:space="preserve"> </w:t>
      </w:r>
      <w:r w:rsidRPr="00E17EA9">
        <w:rPr>
          <w:rFonts w:ascii="FrankRuehl" w:hAnsi="FrankRuehl" w:cs="FrankRuehl" w:hint="eastAsia"/>
          <w:i/>
          <w:iCs/>
          <w:rtl/>
        </w:rPr>
        <w:t>בנאשמים</w:t>
      </w:r>
      <w:r w:rsidRPr="00E17EA9">
        <w:rPr>
          <w:rFonts w:ascii="FrankRuehl" w:hAnsi="FrankRuehl" w:cs="FrankRuehl"/>
          <w:i/>
          <w:iCs/>
          <w:rtl/>
        </w:rPr>
        <w:t xml:space="preserve"> </w:t>
      </w:r>
      <w:r w:rsidRPr="00E17EA9">
        <w:rPr>
          <w:rFonts w:ascii="FrankRuehl" w:hAnsi="FrankRuehl" w:cs="FrankRuehl" w:hint="eastAsia"/>
          <w:i/>
          <w:iCs/>
          <w:rtl/>
        </w:rPr>
        <w:t>אשר</w:t>
      </w:r>
      <w:r w:rsidRPr="00E17EA9">
        <w:rPr>
          <w:rFonts w:ascii="FrankRuehl" w:hAnsi="FrankRuehl" w:cs="FrankRuehl"/>
          <w:i/>
          <w:iCs/>
          <w:rtl/>
        </w:rPr>
        <w:t xml:space="preserve"> </w:t>
      </w:r>
      <w:r w:rsidRPr="00E17EA9">
        <w:rPr>
          <w:rFonts w:ascii="FrankRuehl" w:hAnsi="FrankRuehl" w:cs="FrankRuehl" w:hint="eastAsia"/>
          <w:i/>
          <w:iCs/>
          <w:rtl/>
        </w:rPr>
        <w:t>הורשעו</w:t>
      </w:r>
      <w:r w:rsidRPr="00E17EA9">
        <w:rPr>
          <w:rFonts w:ascii="FrankRuehl" w:hAnsi="FrankRuehl" w:cs="FrankRuehl"/>
          <w:i/>
          <w:iCs/>
          <w:rtl/>
        </w:rPr>
        <w:t xml:space="preserve"> </w:t>
      </w:r>
      <w:r w:rsidRPr="00E17EA9">
        <w:rPr>
          <w:rFonts w:ascii="FrankRuehl" w:hAnsi="FrankRuehl" w:cs="FrankRuehl" w:hint="eastAsia"/>
          <w:i/>
          <w:iCs/>
          <w:rtl/>
        </w:rPr>
        <w:t>בעבר</w:t>
      </w:r>
      <w:r w:rsidRPr="00E17EA9">
        <w:rPr>
          <w:rFonts w:ascii="FrankRuehl" w:hAnsi="FrankRuehl" w:cs="FrankRuehl"/>
          <w:i/>
          <w:iCs/>
          <w:rtl/>
        </w:rPr>
        <w:t xml:space="preserve"> </w:t>
      </w:r>
      <w:r w:rsidRPr="00E17EA9">
        <w:rPr>
          <w:rFonts w:ascii="FrankRuehl" w:hAnsi="FrankRuehl" w:cs="FrankRuehl" w:hint="eastAsia"/>
          <w:i/>
          <w:iCs/>
          <w:rtl/>
        </w:rPr>
        <w:t>בעבירת</w:t>
      </w:r>
      <w:r w:rsidRPr="00E17EA9">
        <w:rPr>
          <w:rFonts w:ascii="FrankRuehl" w:hAnsi="FrankRuehl" w:cs="FrankRuehl"/>
          <w:i/>
          <w:iCs/>
          <w:rtl/>
        </w:rPr>
        <w:t xml:space="preserve"> </w:t>
      </w:r>
      <w:r w:rsidRPr="00E17EA9">
        <w:rPr>
          <w:rFonts w:ascii="FrankRuehl" w:hAnsi="FrankRuehl" w:cs="FrankRuehl" w:hint="eastAsia"/>
          <w:i/>
          <w:iCs/>
          <w:rtl/>
        </w:rPr>
        <w:t>סמים</w:t>
      </w:r>
      <w:r w:rsidRPr="00E17EA9">
        <w:rPr>
          <w:rFonts w:ascii="FrankRuehl" w:hAnsi="FrankRuehl" w:cs="FrankRuehl"/>
          <w:i/>
          <w:iCs/>
          <w:rtl/>
        </w:rPr>
        <w:t xml:space="preserve"> </w:t>
      </w:r>
      <w:r w:rsidRPr="00E17EA9">
        <w:rPr>
          <w:rFonts w:ascii="FrankRuehl" w:hAnsi="FrankRuehl" w:cs="FrankRuehl" w:hint="eastAsia"/>
          <w:i/>
          <w:iCs/>
          <w:rtl/>
        </w:rPr>
        <w:t>ואף</w:t>
      </w:r>
      <w:r w:rsidRPr="00E17EA9">
        <w:rPr>
          <w:rFonts w:ascii="FrankRuehl" w:hAnsi="FrankRuehl" w:cs="FrankRuehl"/>
          <w:i/>
          <w:iCs/>
          <w:rtl/>
        </w:rPr>
        <w:t xml:space="preserve"> </w:t>
      </w:r>
      <w:r w:rsidRPr="00E17EA9">
        <w:rPr>
          <w:rFonts w:ascii="FrankRuehl" w:hAnsi="FrankRuehl" w:cs="FrankRuehl" w:hint="eastAsia"/>
          <w:i/>
          <w:iCs/>
          <w:rtl/>
        </w:rPr>
        <w:t>ריצו</w:t>
      </w:r>
      <w:r w:rsidRPr="00E17EA9">
        <w:rPr>
          <w:rFonts w:ascii="FrankRuehl" w:hAnsi="FrankRuehl" w:cs="FrankRuehl"/>
          <w:i/>
          <w:iCs/>
          <w:rtl/>
        </w:rPr>
        <w:t xml:space="preserve"> </w:t>
      </w:r>
      <w:r w:rsidRPr="00E17EA9">
        <w:rPr>
          <w:rFonts w:ascii="FrankRuehl" w:hAnsi="FrankRuehl" w:cs="FrankRuehl" w:hint="eastAsia"/>
          <w:i/>
          <w:iCs/>
          <w:rtl/>
        </w:rPr>
        <w:t>עונש</w:t>
      </w:r>
      <w:r w:rsidRPr="00E17EA9">
        <w:rPr>
          <w:rFonts w:ascii="FrankRuehl" w:hAnsi="FrankRuehl" w:cs="FrankRuehl"/>
          <w:i/>
          <w:iCs/>
          <w:rtl/>
        </w:rPr>
        <w:t xml:space="preserve"> </w:t>
      </w:r>
      <w:r w:rsidRPr="00E17EA9">
        <w:rPr>
          <w:rFonts w:ascii="FrankRuehl" w:hAnsi="FrankRuehl" w:cs="FrankRuehl" w:hint="eastAsia"/>
          <w:i/>
          <w:iCs/>
          <w:rtl/>
        </w:rPr>
        <w:t>מאסר</w:t>
      </w:r>
      <w:r w:rsidRPr="00E17EA9">
        <w:rPr>
          <w:rFonts w:ascii="FrankRuehl" w:hAnsi="FrankRuehl" w:cs="FrankRuehl"/>
          <w:i/>
          <w:iCs/>
          <w:rtl/>
        </w:rPr>
        <w:t xml:space="preserve"> </w:t>
      </w:r>
      <w:r w:rsidRPr="00E17EA9">
        <w:rPr>
          <w:rFonts w:ascii="FrankRuehl" w:hAnsi="FrankRuehl" w:cs="FrankRuehl" w:hint="eastAsia"/>
          <w:i/>
          <w:iCs/>
          <w:rtl/>
        </w:rPr>
        <w:t>בגינה</w:t>
      </w:r>
      <w:r w:rsidRPr="00E17EA9">
        <w:rPr>
          <w:rFonts w:ascii="FrankRuehl" w:hAnsi="FrankRuehl" w:cs="FrankRuehl"/>
          <w:i/>
          <w:iCs/>
          <w:rtl/>
        </w:rPr>
        <w:t xml:space="preserve">. </w:t>
      </w:r>
      <w:r w:rsidRPr="00E17EA9">
        <w:rPr>
          <w:rFonts w:ascii="FrankRuehl" w:hAnsi="FrankRuehl" w:cs="FrankRuehl" w:hint="eastAsia"/>
          <w:i/>
          <w:iCs/>
          <w:rtl/>
        </w:rPr>
        <w:t>בחברה</w:t>
      </w:r>
      <w:r w:rsidRPr="00E17EA9">
        <w:rPr>
          <w:rFonts w:ascii="FrankRuehl" w:hAnsi="FrankRuehl" w:cs="FrankRuehl"/>
          <w:i/>
          <w:iCs/>
          <w:rtl/>
        </w:rPr>
        <w:t xml:space="preserve"> </w:t>
      </w:r>
      <w:r w:rsidRPr="00E17EA9">
        <w:rPr>
          <w:rFonts w:ascii="FrankRuehl" w:hAnsi="FrankRuehl" w:cs="FrankRuehl" w:hint="eastAsia"/>
          <w:i/>
          <w:iCs/>
          <w:rtl/>
        </w:rPr>
        <w:t>המנסה</w:t>
      </w:r>
      <w:r w:rsidRPr="00E17EA9">
        <w:rPr>
          <w:rFonts w:ascii="FrankRuehl" w:hAnsi="FrankRuehl" w:cs="FrankRuehl"/>
          <w:i/>
          <w:iCs/>
          <w:rtl/>
        </w:rPr>
        <w:t xml:space="preserve"> </w:t>
      </w:r>
      <w:r w:rsidRPr="00E17EA9">
        <w:rPr>
          <w:rFonts w:ascii="FrankRuehl" w:hAnsi="FrankRuehl" w:cs="FrankRuehl" w:hint="eastAsia"/>
          <w:i/>
          <w:iCs/>
          <w:rtl/>
        </w:rPr>
        <w:t>להילחם</w:t>
      </w:r>
      <w:r w:rsidRPr="00E17EA9">
        <w:rPr>
          <w:rFonts w:ascii="FrankRuehl" w:hAnsi="FrankRuehl" w:cs="FrankRuehl"/>
          <w:i/>
          <w:iCs/>
          <w:rtl/>
        </w:rPr>
        <w:t xml:space="preserve"> </w:t>
      </w:r>
      <w:r w:rsidRPr="00E17EA9">
        <w:rPr>
          <w:rFonts w:ascii="FrankRuehl" w:hAnsi="FrankRuehl" w:cs="FrankRuehl" w:hint="eastAsia"/>
          <w:i/>
          <w:iCs/>
          <w:rtl/>
        </w:rPr>
        <w:t>בנגע</w:t>
      </w:r>
      <w:r w:rsidRPr="00E17EA9">
        <w:rPr>
          <w:rFonts w:ascii="FrankRuehl" w:hAnsi="FrankRuehl" w:cs="FrankRuehl"/>
          <w:i/>
          <w:iCs/>
          <w:rtl/>
        </w:rPr>
        <w:t xml:space="preserve"> </w:t>
      </w:r>
      <w:r w:rsidRPr="00E17EA9">
        <w:rPr>
          <w:rFonts w:ascii="FrankRuehl" w:hAnsi="FrankRuehl" w:cs="FrankRuehl" w:hint="eastAsia"/>
          <w:i/>
          <w:iCs/>
          <w:rtl/>
        </w:rPr>
        <w:t>הסמים</w:t>
      </w:r>
      <w:r w:rsidRPr="00E17EA9">
        <w:rPr>
          <w:rFonts w:ascii="FrankRuehl" w:hAnsi="FrankRuehl" w:cs="FrankRuehl"/>
          <w:i/>
          <w:iCs/>
          <w:rtl/>
        </w:rPr>
        <w:t xml:space="preserve">, </w:t>
      </w:r>
      <w:r w:rsidRPr="00E17EA9">
        <w:rPr>
          <w:rFonts w:ascii="FrankRuehl" w:hAnsi="FrankRuehl" w:cs="FrankRuehl" w:hint="eastAsia"/>
          <w:i/>
          <w:iCs/>
          <w:rtl/>
        </w:rPr>
        <w:t>אין</w:t>
      </w:r>
      <w:r w:rsidRPr="00E17EA9">
        <w:rPr>
          <w:rFonts w:ascii="FrankRuehl" w:hAnsi="FrankRuehl" w:cs="FrankRuehl"/>
          <w:i/>
          <w:iCs/>
          <w:rtl/>
        </w:rPr>
        <w:t xml:space="preserve"> </w:t>
      </w:r>
      <w:r w:rsidRPr="00E17EA9">
        <w:rPr>
          <w:rFonts w:ascii="FrankRuehl" w:hAnsi="FrankRuehl" w:cs="FrankRuehl" w:hint="eastAsia"/>
          <w:i/>
          <w:iCs/>
          <w:rtl/>
        </w:rPr>
        <w:t>מקום</w:t>
      </w:r>
      <w:r w:rsidRPr="00E17EA9">
        <w:rPr>
          <w:rFonts w:ascii="FrankRuehl" w:hAnsi="FrankRuehl" w:cs="FrankRuehl"/>
          <w:i/>
          <w:iCs/>
          <w:rtl/>
        </w:rPr>
        <w:t xml:space="preserve"> </w:t>
      </w:r>
      <w:r w:rsidRPr="00E17EA9">
        <w:rPr>
          <w:rFonts w:ascii="FrankRuehl" w:hAnsi="FrankRuehl" w:cs="FrankRuehl" w:hint="eastAsia"/>
          <w:i/>
          <w:iCs/>
          <w:rtl/>
        </w:rPr>
        <w:t>להקל</w:t>
      </w:r>
      <w:r w:rsidRPr="00E17EA9">
        <w:rPr>
          <w:rFonts w:ascii="FrankRuehl" w:hAnsi="FrankRuehl" w:cs="FrankRuehl"/>
          <w:i/>
          <w:iCs/>
          <w:rtl/>
        </w:rPr>
        <w:t xml:space="preserve"> </w:t>
      </w:r>
      <w:r w:rsidRPr="00E17EA9">
        <w:rPr>
          <w:rFonts w:ascii="FrankRuehl" w:hAnsi="FrankRuehl" w:cs="FrankRuehl" w:hint="eastAsia"/>
          <w:i/>
          <w:iCs/>
          <w:rtl/>
        </w:rPr>
        <w:t>עם</w:t>
      </w:r>
      <w:r w:rsidRPr="00E17EA9">
        <w:rPr>
          <w:rFonts w:ascii="FrankRuehl" w:hAnsi="FrankRuehl" w:cs="FrankRuehl"/>
          <w:i/>
          <w:iCs/>
          <w:rtl/>
        </w:rPr>
        <w:t xml:space="preserve"> </w:t>
      </w:r>
      <w:r w:rsidRPr="00E17EA9">
        <w:rPr>
          <w:rFonts w:ascii="FrankRuehl" w:hAnsi="FrankRuehl" w:cs="FrankRuehl" w:hint="eastAsia"/>
          <w:i/>
          <w:iCs/>
          <w:rtl/>
        </w:rPr>
        <w:t>נאשמים</w:t>
      </w:r>
      <w:r w:rsidRPr="00E17EA9">
        <w:rPr>
          <w:rFonts w:ascii="FrankRuehl" w:hAnsi="FrankRuehl" w:cs="FrankRuehl"/>
          <w:i/>
          <w:iCs/>
          <w:rtl/>
        </w:rPr>
        <w:t xml:space="preserve"> </w:t>
      </w:r>
      <w:r w:rsidRPr="00E17EA9">
        <w:rPr>
          <w:rFonts w:ascii="FrankRuehl" w:hAnsi="FrankRuehl" w:cs="FrankRuehl" w:hint="eastAsia"/>
          <w:i/>
          <w:iCs/>
          <w:rtl/>
        </w:rPr>
        <w:t>בעבירות</w:t>
      </w:r>
      <w:r w:rsidRPr="00E17EA9">
        <w:rPr>
          <w:rFonts w:ascii="FrankRuehl" w:hAnsi="FrankRuehl" w:cs="FrankRuehl"/>
          <w:i/>
          <w:iCs/>
          <w:rtl/>
        </w:rPr>
        <w:t xml:space="preserve"> </w:t>
      </w:r>
      <w:r w:rsidRPr="00E17EA9">
        <w:rPr>
          <w:rFonts w:ascii="FrankRuehl" w:hAnsi="FrankRuehl" w:cs="FrankRuehl" w:hint="eastAsia"/>
          <w:i/>
          <w:iCs/>
          <w:rtl/>
        </w:rPr>
        <w:t>אלו</w:t>
      </w:r>
      <w:r w:rsidRPr="00E17EA9">
        <w:rPr>
          <w:rFonts w:ascii="FrankRuehl" w:hAnsi="FrankRuehl" w:cs="FrankRuehl"/>
          <w:i/>
          <w:iCs/>
          <w:rtl/>
        </w:rPr>
        <w:t xml:space="preserve"> </w:t>
      </w:r>
      <w:r w:rsidRPr="00E17EA9">
        <w:rPr>
          <w:rFonts w:ascii="FrankRuehl" w:hAnsi="FrankRuehl" w:cs="FrankRuehl" w:hint="eastAsia"/>
          <w:i/>
          <w:iCs/>
          <w:rtl/>
        </w:rPr>
        <w:t>ולסכן</w:t>
      </w:r>
      <w:r w:rsidRPr="00E17EA9">
        <w:rPr>
          <w:rFonts w:ascii="FrankRuehl" w:hAnsi="FrankRuehl" w:cs="FrankRuehl"/>
          <w:i/>
          <w:iCs/>
          <w:rtl/>
        </w:rPr>
        <w:t xml:space="preserve"> </w:t>
      </w:r>
      <w:r w:rsidRPr="00E17EA9">
        <w:rPr>
          <w:rFonts w:ascii="FrankRuehl" w:hAnsi="FrankRuehl" w:cs="FrankRuehl" w:hint="eastAsia"/>
          <w:i/>
          <w:iCs/>
          <w:rtl/>
        </w:rPr>
        <w:t>בכך</w:t>
      </w:r>
      <w:r w:rsidRPr="00E17EA9">
        <w:rPr>
          <w:rFonts w:ascii="FrankRuehl" w:hAnsi="FrankRuehl" w:cs="FrankRuehl"/>
          <w:i/>
          <w:iCs/>
          <w:rtl/>
        </w:rPr>
        <w:t xml:space="preserve"> </w:t>
      </w:r>
      <w:r w:rsidRPr="00E17EA9">
        <w:rPr>
          <w:rFonts w:ascii="FrankRuehl" w:hAnsi="FrankRuehl" w:cs="FrankRuehl" w:hint="eastAsia"/>
          <w:i/>
          <w:iCs/>
          <w:rtl/>
        </w:rPr>
        <w:t>את</w:t>
      </w:r>
      <w:r w:rsidRPr="00E17EA9">
        <w:rPr>
          <w:rFonts w:ascii="FrankRuehl" w:hAnsi="FrankRuehl" w:cs="FrankRuehl"/>
          <w:i/>
          <w:iCs/>
          <w:rtl/>
        </w:rPr>
        <w:t xml:space="preserve"> </w:t>
      </w:r>
      <w:r w:rsidRPr="00E17EA9">
        <w:rPr>
          <w:rFonts w:ascii="FrankRuehl" w:hAnsi="FrankRuehl" w:cs="FrankRuehl" w:hint="eastAsia"/>
          <w:i/>
          <w:iCs/>
          <w:rtl/>
        </w:rPr>
        <w:t>שלום</w:t>
      </w:r>
      <w:r w:rsidRPr="00E17EA9">
        <w:rPr>
          <w:rFonts w:ascii="FrankRuehl" w:hAnsi="FrankRuehl" w:cs="FrankRuehl"/>
          <w:i/>
          <w:iCs/>
          <w:rtl/>
        </w:rPr>
        <w:t xml:space="preserve"> </w:t>
      </w:r>
      <w:r w:rsidRPr="00E17EA9">
        <w:rPr>
          <w:rFonts w:ascii="FrankRuehl" w:hAnsi="FrankRuehl" w:cs="FrankRuehl" w:hint="eastAsia"/>
          <w:i/>
          <w:iCs/>
          <w:rtl/>
        </w:rPr>
        <w:t>הציבור</w:t>
      </w:r>
      <w:r w:rsidRPr="00E17EA9">
        <w:rPr>
          <w:rFonts w:ascii="FrankRuehl" w:hAnsi="FrankRuehl" w:cs="FrankRuehl"/>
          <w:i/>
          <w:iCs/>
          <w:rtl/>
        </w:rPr>
        <w:t>".</w:t>
      </w:r>
    </w:p>
    <w:p w14:paraId="46DE1D82" w14:textId="77777777" w:rsidR="00847CE3" w:rsidRPr="00E17EA9" w:rsidRDefault="00847CE3" w:rsidP="00847CE3">
      <w:pPr>
        <w:numPr>
          <w:ilvl w:val="0"/>
          <w:numId w:val="1"/>
        </w:numPr>
        <w:spacing w:after="300" w:line="360" w:lineRule="auto"/>
        <w:ind w:hanging="636"/>
        <w:jc w:val="both"/>
        <w:rPr>
          <w:rFonts w:ascii="David" w:hAnsi="David"/>
        </w:rPr>
      </w:pPr>
      <w:r w:rsidRPr="00E17EA9">
        <w:rPr>
          <w:rFonts w:ascii="David" w:hAnsi="David"/>
          <w:rtl/>
        </w:rPr>
        <w:t xml:space="preserve">בעת קביעת עונשו של הנאשם בתוך מתחם הענישה יש להתחשב בנסיבות שונות הקשורות בביצוע העבירה כמפורט </w:t>
      </w:r>
      <w:hyperlink r:id="rId24" w:history="1">
        <w:r w:rsidR="00B203F5" w:rsidRPr="00B203F5">
          <w:rPr>
            <w:rStyle w:val="Hyperlink"/>
            <w:rFonts w:ascii="David" w:hAnsi="David"/>
            <w:rtl/>
          </w:rPr>
          <w:t>בסעיף 40ט'</w:t>
        </w:r>
      </w:hyperlink>
      <w:r w:rsidRPr="00E17EA9">
        <w:rPr>
          <w:rFonts w:ascii="David" w:hAnsi="David"/>
          <w:rtl/>
        </w:rPr>
        <w:t xml:space="preserve"> ל</w:t>
      </w:r>
      <w:hyperlink r:id="rId25" w:history="1">
        <w:r w:rsidR="00EF25BB" w:rsidRPr="00EF25BB">
          <w:rPr>
            <w:rFonts w:ascii="David" w:hAnsi="David"/>
            <w:color w:val="0000FF"/>
            <w:u w:val="single"/>
            <w:rtl/>
          </w:rPr>
          <w:t>חוק העונשין</w:t>
        </w:r>
      </w:hyperlink>
      <w:r w:rsidRPr="00E17EA9">
        <w:rPr>
          <w:rFonts w:ascii="David" w:hAnsi="David"/>
          <w:rtl/>
        </w:rPr>
        <w:t xml:space="preserve">. </w:t>
      </w:r>
    </w:p>
    <w:p w14:paraId="521ED2FA" w14:textId="77777777" w:rsidR="00847CE3" w:rsidRDefault="00847CE3" w:rsidP="00847CE3">
      <w:pPr>
        <w:numPr>
          <w:ilvl w:val="0"/>
          <w:numId w:val="1"/>
        </w:numPr>
        <w:spacing w:after="300" w:line="360" w:lineRule="auto"/>
        <w:ind w:hanging="635"/>
        <w:jc w:val="both"/>
        <w:rPr>
          <w:rFonts w:ascii="David" w:hAnsi="David"/>
        </w:rPr>
      </w:pPr>
      <w:r w:rsidRPr="00AF621D">
        <w:rPr>
          <w:rFonts w:ascii="David" w:hAnsi="David"/>
          <w:rtl/>
        </w:rPr>
        <w:t xml:space="preserve">ראשית </w:t>
      </w:r>
      <w:r w:rsidRPr="00AF621D">
        <w:rPr>
          <w:rFonts w:ascii="David" w:hAnsi="David" w:hint="cs"/>
          <w:rtl/>
        </w:rPr>
        <w:t>יש ל</w:t>
      </w:r>
      <w:r w:rsidRPr="00AF621D">
        <w:rPr>
          <w:rFonts w:ascii="David" w:hAnsi="David"/>
          <w:rtl/>
        </w:rPr>
        <w:t xml:space="preserve">ציין כי </w:t>
      </w:r>
      <w:r w:rsidRPr="00AF621D">
        <w:rPr>
          <w:rFonts w:ascii="David" w:hAnsi="David" w:hint="cs"/>
          <w:rtl/>
        </w:rPr>
        <w:t xml:space="preserve">עיון בפסיקה שהוגשה על ידי הצדדים, מלמדת כי הפסיקה שהוגשה על ידי ההגנה דומה </w:t>
      </w:r>
      <w:r>
        <w:rPr>
          <w:rFonts w:ascii="David" w:hAnsi="David" w:hint="cs"/>
          <w:rtl/>
        </w:rPr>
        <w:t xml:space="preserve">יותר </w:t>
      </w:r>
      <w:r w:rsidRPr="00AF621D">
        <w:rPr>
          <w:rFonts w:ascii="David" w:hAnsi="David" w:hint="cs"/>
          <w:rtl/>
        </w:rPr>
        <w:t xml:space="preserve">בנסיבותיה למקרה שבפנינו. </w:t>
      </w:r>
      <w:r w:rsidRPr="00AF621D">
        <w:rPr>
          <w:rFonts w:ascii="David" w:hAnsi="David"/>
          <w:rtl/>
        </w:rPr>
        <w:t>בבחינה של פסיקה נוספת התואמת את המקרה שלפני אפנה ל</w:t>
      </w:r>
      <w:r>
        <w:rPr>
          <w:rFonts w:ascii="David" w:hAnsi="David" w:hint="cs"/>
          <w:rtl/>
        </w:rPr>
        <w:t>פסיקה שלהלן</w:t>
      </w:r>
      <w:r w:rsidRPr="00AF621D">
        <w:rPr>
          <w:rFonts w:ascii="David" w:hAnsi="David"/>
          <w:rtl/>
        </w:rPr>
        <w:t xml:space="preserve">: </w:t>
      </w:r>
    </w:p>
    <w:p w14:paraId="039096FE" w14:textId="77777777" w:rsidR="00847CE3" w:rsidRDefault="00847CE3" w:rsidP="00847CE3">
      <w:pPr>
        <w:pStyle w:val="a9"/>
        <w:numPr>
          <w:ilvl w:val="0"/>
          <w:numId w:val="5"/>
        </w:numPr>
        <w:spacing w:after="300" w:line="360" w:lineRule="auto"/>
        <w:ind w:left="993" w:hanging="284"/>
        <w:contextualSpacing w:val="0"/>
        <w:jc w:val="both"/>
        <w:rPr>
          <w:rFonts w:ascii="David" w:hAnsi="David"/>
        </w:rPr>
      </w:pPr>
      <w:r w:rsidRPr="00230997">
        <w:rPr>
          <w:rFonts w:ascii="David" w:hAnsi="David"/>
          <w:rtl/>
        </w:rPr>
        <w:t>ב</w:t>
      </w:r>
      <w:hyperlink r:id="rId26" w:history="1">
        <w:r w:rsidR="00EF25BB" w:rsidRPr="00EF25BB">
          <w:rPr>
            <w:rFonts w:ascii="David" w:hAnsi="David"/>
            <w:color w:val="0000FF"/>
            <w:u w:val="single"/>
            <w:rtl/>
          </w:rPr>
          <w:t>רע"פ 2557-12</w:t>
        </w:r>
      </w:hyperlink>
      <w:r w:rsidRPr="00230997">
        <w:rPr>
          <w:rFonts w:ascii="David" w:hAnsi="David"/>
          <w:rtl/>
        </w:rPr>
        <w:t xml:space="preserve"> </w:t>
      </w:r>
      <w:r w:rsidRPr="00230997">
        <w:rPr>
          <w:rFonts w:ascii="David" w:hAnsi="David"/>
          <w:b/>
          <w:bCs/>
          <w:rtl/>
        </w:rPr>
        <w:t>תמם פרדי נ' מדינת ישראל</w:t>
      </w:r>
      <w:r>
        <w:rPr>
          <w:rFonts w:ascii="David" w:hAnsi="David"/>
          <w:rtl/>
        </w:rPr>
        <w:t xml:space="preserve"> הנז'</w:t>
      </w:r>
      <w:r>
        <w:rPr>
          <w:rFonts w:ascii="David" w:hAnsi="David" w:hint="cs"/>
          <w:rtl/>
        </w:rPr>
        <w:t xml:space="preserve">, </w:t>
      </w:r>
      <w:r w:rsidRPr="00230997">
        <w:rPr>
          <w:rFonts w:ascii="David" w:hAnsi="David"/>
          <w:rtl/>
        </w:rPr>
        <w:t>בעניינו של נאשם בהחזקת 10,450 גרם חשיש מחולק לאריזות</w:t>
      </w:r>
      <w:r>
        <w:rPr>
          <w:rFonts w:ascii="David" w:hAnsi="David" w:hint="cs"/>
          <w:rtl/>
        </w:rPr>
        <w:t>,</w:t>
      </w:r>
      <w:r w:rsidRPr="00230997">
        <w:rPr>
          <w:rFonts w:ascii="David" w:hAnsi="David"/>
          <w:rtl/>
        </w:rPr>
        <w:t xml:space="preserve"> דחה בית המשפט את החלטת כב' ביהמ"ש המחוזי בערעור על קולת העונש. בביהמ"ש המחוזי הוחמר עונשו של הנאשם ל- </w:t>
      </w:r>
      <w:r w:rsidRPr="00230997">
        <w:rPr>
          <w:rFonts w:ascii="David" w:hAnsi="David"/>
        </w:rPr>
        <w:t>14</w:t>
      </w:r>
      <w:r w:rsidRPr="00230997">
        <w:rPr>
          <w:rFonts w:ascii="David" w:hAnsi="David"/>
          <w:rtl/>
        </w:rPr>
        <w:t xml:space="preserve"> חודשי מאסר בפועל, 12 חודשי מאסר על תנאי, פסילת רישיון נהיגה למשך 3 שנים וקנס כספי וזאת ב</w:t>
      </w:r>
      <w:r>
        <w:rPr>
          <w:rFonts w:ascii="David" w:hAnsi="David"/>
          <w:rtl/>
        </w:rPr>
        <w:t>העדר אופק שיקומי ובשל עבר דומה.</w:t>
      </w:r>
    </w:p>
    <w:p w14:paraId="5CFD3D67" w14:textId="77777777" w:rsidR="00847CE3" w:rsidRPr="00230997" w:rsidRDefault="00EF25BB" w:rsidP="00847CE3">
      <w:pPr>
        <w:pStyle w:val="a9"/>
        <w:numPr>
          <w:ilvl w:val="0"/>
          <w:numId w:val="5"/>
        </w:numPr>
        <w:spacing w:after="300" w:line="360" w:lineRule="auto"/>
        <w:ind w:left="993" w:hanging="284"/>
        <w:contextualSpacing w:val="0"/>
        <w:jc w:val="both"/>
        <w:rPr>
          <w:rFonts w:ascii="David" w:hAnsi="David"/>
        </w:rPr>
      </w:pPr>
      <w:hyperlink r:id="rId27" w:history="1">
        <w:r w:rsidRPr="00EF25BB">
          <w:rPr>
            <w:rFonts w:ascii="David" w:hAnsi="David"/>
            <w:color w:val="0000FF"/>
            <w:u w:val="single"/>
            <w:rtl/>
          </w:rPr>
          <w:t>ת"פ (שלום ב"ש) 44501-11-16</w:t>
        </w:r>
      </w:hyperlink>
      <w:r w:rsidR="00847CE3" w:rsidRPr="00230997">
        <w:rPr>
          <w:rFonts w:ascii="David" w:hAnsi="David"/>
          <w:rtl/>
        </w:rPr>
        <w:t xml:space="preserve"> </w:t>
      </w:r>
      <w:r w:rsidR="00847CE3" w:rsidRPr="00230997">
        <w:rPr>
          <w:rFonts w:ascii="David" w:hAnsi="David"/>
          <w:b/>
          <w:bCs/>
          <w:rtl/>
        </w:rPr>
        <w:t>מדינת ישראל נ' נאסר עזאזמה</w:t>
      </w:r>
      <w:r w:rsidR="00847CE3" w:rsidRPr="00230997">
        <w:rPr>
          <w:rFonts w:ascii="David" w:hAnsi="David"/>
          <w:rtl/>
        </w:rPr>
        <w:t xml:space="preserve"> (נבו 08.06.2017) נגזר דינם של שני נאשמים בהחזקת קנאביס וחשיש במשקל כ-5 ק"ג מחולק לחבילות לצד עבירות נלוות ל-18 חודשי מאסר בפועל לאחד ו-11 חודשי מאסר בפועל לאחר, מאסרים מותנים, 10 חודשי פסילה לאחד הנאשמים וכן קנסות בסך 5,000 ₪ או 9,000 ₪ או ימי מאסר תמורתם.  </w:t>
      </w:r>
    </w:p>
    <w:p w14:paraId="7A297BEB" w14:textId="77777777" w:rsidR="00847CE3" w:rsidRPr="00E17EA9" w:rsidRDefault="00847CE3" w:rsidP="00847CE3">
      <w:pPr>
        <w:numPr>
          <w:ilvl w:val="0"/>
          <w:numId w:val="1"/>
        </w:numPr>
        <w:spacing w:after="300" w:line="360" w:lineRule="auto"/>
        <w:ind w:hanging="635"/>
        <w:jc w:val="both"/>
        <w:rPr>
          <w:rFonts w:ascii="David" w:hAnsi="David"/>
        </w:rPr>
      </w:pPr>
      <w:r w:rsidRPr="00E17EA9">
        <w:rPr>
          <w:rFonts w:ascii="David" w:hAnsi="David"/>
          <w:rtl/>
        </w:rPr>
        <w:t>בבחינת נסיבות הקשורות בביצוע העבירה יש להתייחס בחומרה, מצד אחד, לכמות הרבה עד מאוד שנתפסה. הנאשם אמנם הורשע בעברות החזקה ולא בעבירות סחר אך אין ספק, שעה שהמדובר בכמות כה גדולה, כי הסמים יועדו ל</w:t>
      </w:r>
      <w:r>
        <w:rPr>
          <w:rFonts w:ascii="David" w:hAnsi="David" w:hint="cs"/>
          <w:rtl/>
        </w:rPr>
        <w:t xml:space="preserve">הפצה </w:t>
      </w:r>
      <w:r w:rsidRPr="00E17EA9">
        <w:rPr>
          <w:rFonts w:ascii="David" w:hAnsi="David"/>
          <w:rtl/>
        </w:rPr>
        <w:t>ובעניין זה מקובלת עלי הפנייתה של המאשימה לפסיקת בית המשפט העליון ב</w:t>
      </w:r>
      <w:hyperlink r:id="rId28" w:history="1">
        <w:r w:rsidR="00EF25BB" w:rsidRPr="00EF25BB">
          <w:rPr>
            <w:rFonts w:ascii="David" w:hAnsi="David"/>
            <w:color w:val="0000FF"/>
            <w:u w:val="single"/>
            <w:rtl/>
          </w:rPr>
          <w:t>רע"פ 2557/12</w:t>
        </w:r>
      </w:hyperlink>
      <w:r w:rsidRPr="00E17EA9">
        <w:rPr>
          <w:rFonts w:ascii="David" w:hAnsi="David"/>
          <w:rtl/>
        </w:rPr>
        <w:t xml:space="preserve"> </w:t>
      </w:r>
      <w:r w:rsidRPr="00E17EA9">
        <w:rPr>
          <w:rFonts w:ascii="David" w:hAnsi="David"/>
          <w:b/>
          <w:bCs/>
          <w:rtl/>
        </w:rPr>
        <w:t>פרדי נ' מדינת ישראל</w:t>
      </w:r>
      <w:r w:rsidRPr="00E17EA9">
        <w:rPr>
          <w:rFonts w:ascii="David" w:hAnsi="David"/>
          <w:rtl/>
        </w:rPr>
        <w:t xml:space="preserve"> </w:t>
      </w:r>
      <w:r>
        <w:rPr>
          <w:rFonts w:ascii="David" w:hAnsi="David" w:hint="cs"/>
          <w:rtl/>
        </w:rPr>
        <w:t xml:space="preserve">הנז' </w:t>
      </w:r>
      <w:r w:rsidRPr="00E17EA9">
        <w:rPr>
          <w:rFonts w:ascii="David" w:hAnsi="David"/>
          <w:rtl/>
        </w:rPr>
        <w:t xml:space="preserve">לפיה עבירת החזקת הסמים שלא לצריכה עצמית, </w:t>
      </w:r>
      <w:r>
        <w:rPr>
          <w:rFonts w:ascii="David" w:hAnsi="David" w:hint="cs"/>
          <w:rtl/>
        </w:rPr>
        <w:t>ודאי בנסיבות שבפנינו</w:t>
      </w:r>
      <w:r w:rsidRPr="00E17EA9">
        <w:rPr>
          <w:rFonts w:ascii="David" w:hAnsi="David"/>
          <w:rtl/>
        </w:rPr>
        <w:t xml:space="preserve">, הינה אחותה-תאומתה של עבירת הסחר בסמים. </w:t>
      </w:r>
    </w:p>
    <w:p w14:paraId="2483EEF8" w14:textId="77777777" w:rsidR="00847CE3" w:rsidRPr="00E17EA9" w:rsidRDefault="00847CE3" w:rsidP="00847CE3">
      <w:pPr>
        <w:numPr>
          <w:ilvl w:val="0"/>
          <w:numId w:val="1"/>
        </w:numPr>
        <w:spacing w:after="300" w:line="360" w:lineRule="auto"/>
        <w:ind w:hanging="635"/>
        <w:jc w:val="both"/>
        <w:rPr>
          <w:rFonts w:ascii="David" w:hAnsi="David"/>
        </w:rPr>
      </w:pPr>
      <w:r w:rsidRPr="00E17EA9">
        <w:rPr>
          <w:rFonts w:ascii="David" w:hAnsi="David"/>
          <w:rtl/>
        </w:rPr>
        <w:t xml:space="preserve">בשים לב לנסיבות האמורות אני קובע כי מתחם העונש הינו החל </w:t>
      </w:r>
      <w:r>
        <w:rPr>
          <w:rFonts w:ascii="David" w:hAnsi="David" w:hint="cs"/>
          <w:rtl/>
        </w:rPr>
        <w:t xml:space="preserve">מ-10 חודשי מאסר </w:t>
      </w:r>
      <w:r w:rsidRPr="00E17EA9">
        <w:rPr>
          <w:rFonts w:ascii="David" w:hAnsi="David"/>
          <w:rtl/>
        </w:rPr>
        <w:t xml:space="preserve">בפועל ועד ל-30 חודשי מאסר בפועל לצד ענישה נלווית. </w:t>
      </w:r>
    </w:p>
    <w:p w14:paraId="747358A9" w14:textId="77777777" w:rsidR="00847CE3" w:rsidRPr="00E17EA9" w:rsidRDefault="00847CE3" w:rsidP="00847CE3">
      <w:pPr>
        <w:spacing w:after="300" w:line="360" w:lineRule="auto"/>
        <w:ind w:left="85"/>
        <w:jc w:val="both"/>
        <w:rPr>
          <w:rFonts w:ascii="David" w:hAnsi="David"/>
          <w:b/>
          <w:bCs/>
        </w:rPr>
      </w:pPr>
      <w:r w:rsidRPr="00455023">
        <w:rPr>
          <w:rFonts w:ascii="David" w:hAnsi="David"/>
          <w:b/>
          <w:bCs/>
          <w:u w:val="single"/>
          <w:rtl/>
        </w:rPr>
        <w:t>נסיבות שאינן קשורות בביצוע העבירה</w:t>
      </w:r>
      <w:r>
        <w:rPr>
          <w:rFonts w:ascii="David" w:hAnsi="David" w:hint="cs"/>
          <w:b/>
          <w:bCs/>
          <w:rtl/>
        </w:rPr>
        <w:t>:</w:t>
      </w:r>
    </w:p>
    <w:p w14:paraId="081D50EC" w14:textId="77777777" w:rsidR="00847CE3" w:rsidRDefault="00847CE3" w:rsidP="00847CE3">
      <w:pPr>
        <w:numPr>
          <w:ilvl w:val="0"/>
          <w:numId w:val="1"/>
        </w:numPr>
        <w:spacing w:after="300" w:line="360" w:lineRule="auto"/>
        <w:ind w:hanging="636"/>
        <w:jc w:val="both"/>
        <w:rPr>
          <w:rFonts w:ascii="David" w:hAnsi="David"/>
        </w:rPr>
      </w:pPr>
      <w:r w:rsidRPr="00E17EA9">
        <w:rPr>
          <w:rFonts w:ascii="David" w:hAnsi="David"/>
          <w:rtl/>
        </w:rPr>
        <w:t>בגזירת העונש המתאים לנאשם, יש להתחשב בנסיבות שאינן קשורות בביצוע העבירה (</w:t>
      </w:r>
      <w:hyperlink r:id="rId29" w:history="1">
        <w:r w:rsidR="00B203F5" w:rsidRPr="00B203F5">
          <w:rPr>
            <w:rStyle w:val="Hyperlink"/>
            <w:rFonts w:ascii="David" w:hAnsi="David"/>
            <w:rtl/>
          </w:rPr>
          <w:t>סעיף 40 יא'</w:t>
        </w:r>
      </w:hyperlink>
      <w:r w:rsidRPr="00E17EA9">
        <w:rPr>
          <w:rFonts w:ascii="David" w:hAnsi="David"/>
          <w:rtl/>
        </w:rPr>
        <w:t xml:space="preserve">). </w:t>
      </w:r>
    </w:p>
    <w:p w14:paraId="67B61538" w14:textId="77777777" w:rsidR="00847CE3" w:rsidRPr="00E17EA9" w:rsidRDefault="00847CE3" w:rsidP="00847CE3">
      <w:pPr>
        <w:numPr>
          <w:ilvl w:val="0"/>
          <w:numId w:val="1"/>
        </w:numPr>
        <w:spacing w:after="300" w:line="360" w:lineRule="auto"/>
        <w:ind w:hanging="636"/>
        <w:jc w:val="both"/>
        <w:rPr>
          <w:rFonts w:ascii="David" w:hAnsi="David"/>
        </w:rPr>
      </w:pPr>
      <w:r w:rsidRPr="00E17EA9">
        <w:rPr>
          <w:rFonts w:ascii="David" w:hAnsi="David"/>
          <w:rtl/>
        </w:rPr>
        <w:t>במסגרת זו מן הראוי לתת את הדעת לנסיבות הבאות:</w:t>
      </w:r>
    </w:p>
    <w:p w14:paraId="4F58FAFB" w14:textId="77777777" w:rsidR="00847CE3" w:rsidRPr="00E17EA9" w:rsidRDefault="00847CE3" w:rsidP="00847CE3">
      <w:pPr>
        <w:numPr>
          <w:ilvl w:val="0"/>
          <w:numId w:val="2"/>
        </w:numPr>
        <w:spacing w:after="300" w:line="360" w:lineRule="auto"/>
        <w:jc w:val="both"/>
        <w:rPr>
          <w:rFonts w:ascii="David" w:hAnsi="David"/>
        </w:rPr>
      </w:pPr>
      <w:r w:rsidRPr="00E17EA9">
        <w:rPr>
          <w:rFonts w:ascii="David" w:hAnsi="David"/>
          <w:rtl/>
        </w:rPr>
        <w:t>הנאשם בחור צעיר, נשוי ואב לפעוטה, אשר ל</w:t>
      </w:r>
      <w:r>
        <w:rPr>
          <w:rFonts w:ascii="David" w:hAnsi="David" w:hint="cs"/>
          <w:rtl/>
        </w:rPr>
        <w:t xml:space="preserve">חובתו רישום </w:t>
      </w:r>
      <w:r w:rsidRPr="00E17EA9">
        <w:rPr>
          <w:rFonts w:ascii="David" w:hAnsi="David"/>
          <w:rtl/>
        </w:rPr>
        <w:t xml:space="preserve">פלילי דומה, </w:t>
      </w:r>
      <w:r>
        <w:rPr>
          <w:rFonts w:ascii="David" w:hAnsi="David" w:hint="cs"/>
          <w:rtl/>
        </w:rPr>
        <w:t>פרט לכך אין לנאשם רישום פלילי נוסף</w:t>
      </w:r>
      <w:r w:rsidRPr="00E17EA9">
        <w:rPr>
          <w:rFonts w:ascii="David" w:hAnsi="David"/>
          <w:rtl/>
        </w:rPr>
        <w:t xml:space="preserve">. </w:t>
      </w:r>
    </w:p>
    <w:p w14:paraId="23A14FC5" w14:textId="77777777" w:rsidR="00847CE3" w:rsidRPr="00E17EA9" w:rsidRDefault="00847CE3" w:rsidP="00847CE3">
      <w:pPr>
        <w:numPr>
          <w:ilvl w:val="0"/>
          <w:numId w:val="2"/>
        </w:numPr>
        <w:spacing w:after="300" w:line="360" w:lineRule="auto"/>
        <w:jc w:val="both"/>
        <w:rPr>
          <w:rFonts w:ascii="David" w:hAnsi="David"/>
        </w:rPr>
      </w:pPr>
      <w:r w:rsidRPr="00E17EA9">
        <w:rPr>
          <w:rFonts w:ascii="David" w:hAnsi="David"/>
          <w:rtl/>
        </w:rPr>
        <w:t xml:space="preserve">הנאשם נטל אחריות למעשה כבר בראשית ההליך, </w:t>
      </w:r>
      <w:r>
        <w:rPr>
          <w:rFonts w:ascii="David" w:hAnsi="David" w:hint="cs"/>
          <w:rtl/>
        </w:rPr>
        <w:t>ביקש לסיים את ההליך, אף מבלי שיתקבל בעניינו תסקיר מבחן. בכך</w:t>
      </w:r>
      <w:r w:rsidRPr="00E17EA9">
        <w:rPr>
          <w:rFonts w:ascii="David" w:hAnsi="David"/>
          <w:rtl/>
        </w:rPr>
        <w:t xml:space="preserve"> חסך הנאשם זמן שיפוטי יקר. </w:t>
      </w:r>
    </w:p>
    <w:p w14:paraId="7E7DF135" w14:textId="77777777" w:rsidR="00847CE3" w:rsidRDefault="00847CE3" w:rsidP="00847CE3">
      <w:pPr>
        <w:numPr>
          <w:ilvl w:val="0"/>
          <w:numId w:val="2"/>
        </w:numPr>
        <w:spacing w:after="300" w:line="360" w:lineRule="auto"/>
        <w:jc w:val="both"/>
        <w:rPr>
          <w:rFonts w:ascii="David" w:hAnsi="David"/>
        </w:rPr>
      </w:pPr>
      <w:r w:rsidRPr="00E17EA9">
        <w:rPr>
          <w:rFonts w:ascii="David" w:hAnsi="David"/>
          <w:rtl/>
        </w:rPr>
        <w:t xml:space="preserve">הנאשם הביע חרטה על המעשים והודה בטעותו. </w:t>
      </w:r>
    </w:p>
    <w:p w14:paraId="409B8ABF" w14:textId="77777777" w:rsidR="00847CE3" w:rsidRPr="00E17EA9" w:rsidRDefault="00847CE3" w:rsidP="00847CE3">
      <w:pPr>
        <w:numPr>
          <w:ilvl w:val="0"/>
          <w:numId w:val="1"/>
        </w:numPr>
        <w:spacing w:after="300" w:line="360" w:lineRule="auto"/>
        <w:ind w:hanging="635"/>
        <w:jc w:val="both"/>
        <w:rPr>
          <w:rFonts w:ascii="David" w:hAnsi="David"/>
        </w:rPr>
      </w:pPr>
      <w:r w:rsidRPr="00E17EA9">
        <w:rPr>
          <w:rFonts w:ascii="David" w:hAnsi="David"/>
          <w:rtl/>
        </w:rPr>
        <w:t>בשים לב לשיקול</w:t>
      </w:r>
      <w:r>
        <w:rPr>
          <w:rFonts w:ascii="David" w:hAnsi="David" w:hint="cs"/>
          <w:rtl/>
        </w:rPr>
        <w:t>ים אלו, ו</w:t>
      </w:r>
      <w:r w:rsidRPr="00E17EA9">
        <w:rPr>
          <w:rFonts w:ascii="David" w:hAnsi="David"/>
          <w:rtl/>
        </w:rPr>
        <w:t xml:space="preserve">מאידך לעובדה שמאסר מותנה </w:t>
      </w:r>
      <w:r>
        <w:rPr>
          <w:rFonts w:ascii="David" w:hAnsi="David" w:hint="cs"/>
          <w:rtl/>
        </w:rPr>
        <w:t>התלוי ועומד נגד הנאשם ל</w:t>
      </w:r>
      <w:r w:rsidRPr="00E17EA9">
        <w:rPr>
          <w:rFonts w:ascii="David" w:hAnsi="David"/>
          <w:rtl/>
        </w:rPr>
        <w:t>א הרתיעו מביצוע עבירה</w:t>
      </w:r>
      <w:r>
        <w:rPr>
          <w:rFonts w:ascii="David" w:hAnsi="David" w:hint="cs"/>
          <w:rtl/>
        </w:rPr>
        <w:t xml:space="preserve"> דומה</w:t>
      </w:r>
      <w:r w:rsidRPr="00E17EA9">
        <w:rPr>
          <w:rFonts w:ascii="David" w:hAnsi="David"/>
          <w:rtl/>
        </w:rPr>
        <w:t xml:space="preserve">, </w:t>
      </w:r>
      <w:r>
        <w:rPr>
          <w:rFonts w:ascii="David" w:hAnsi="David" w:hint="cs"/>
          <w:rtl/>
        </w:rPr>
        <w:t>ובשים לב לכמות הסם שנתפסה, החלטתי לגזור על הנאשם את העונשים הבאים:</w:t>
      </w:r>
    </w:p>
    <w:p w14:paraId="2A268B0B" w14:textId="77777777" w:rsidR="00847CE3" w:rsidRPr="00E17EA9" w:rsidRDefault="00847CE3" w:rsidP="00847CE3">
      <w:pPr>
        <w:numPr>
          <w:ilvl w:val="0"/>
          <w:numId w:val="4"/>
        </w:numPr>
        <w:spacing w:after="300" w:line="360" w:lineRule="auto"/>
        <w:jc w:val="both"/>
        <w:rPr>
          <w:rFonts w:ascii="David" w:hAnsi="David"/>
        </w:rPr>
      </w:pPr>
      <w:r>
        <w:rPr>
          <w:rFonts w:ascii="David" w:hAnsi="David" w:hint="cs"/>
          <w:rtl/>
        </w:rPr>
        <w:t>14 ח</w:t>
      </w:r>
      <w:r w:rsidRPr="00E17EA9">
        <w:rPr>
          <w:rFonts w:ascii="David" w:hAnsi="David"/>
          <w:rtl/>
        </w:rPr>
        <w:t xml:space="preserve">ודשי מאסר בפועל בניכוי ימי מעצרו. </w:t>
      </w:r>
    </w:p>
    <w:p w14:paraId="23B0EDAE" w14:textId="77777777" w:rsidR="00847CE3" w:rsidRPr="00E17EA9" w:rsidRDefault="00847CE3" w:rsidP="00847CE3">
      <w:pPr>
        <w:numPr>
          <w:ilvl w:val="0"/>
          <w:numId w:val="4"/>
        </w:numPr>
        <w:spacing w:after="300" w:line="360" w:lineRule="auto"/>
        <w:jc w:val="both"/>
        <w:rPr>
          <w:rFonts w:ascii="David" w:hAnsi="David"/>
        </w:rPr>
      </w:pPr>
      <w:r w:rsidRPr="00E17EA9">
        <w:rPr>
          <w:rFonts w:ascii="David" w:hAnsi="David"/>
          <w:rtl/>
        </w:rPr>
        <w:t xml:space="preserve">הפעלת מאסר מותנה </w:t>
      </w:r>
      <w:r>
        <w:rPr>
          <w:rFonts w:ascii="David" w:hAnsi="David" w:hint="cs"/>
          <w:rtl/>
        </w:rPr>
        <w:t>מתיק מספר:</w:t>
      </w:r>
      <w:r w:rsidRPr="00E17EA9">
        <w:rPr>
          <w:rFonts w:ascii="David" w:hAnsi="David"/>
          <w:rtl/>
        </w:rPr>
        <w:t xml:space="preserve">22175-06-17 </w:t>
      </w:r>
      <w:r>
        <w:rPr>
          <w:rFonts w:ascii="David" w:hAnsi="David" w:hint="cs"/>
          <w:rtl/>
        </w:rPr>
        <w:t xml:space="preserve">מיום 2.10.2017 (שלום ב"ש) למשך 12 חודשים כך ש- 8 חודשים ירוצו במצטבר ו-4 בחופף. </w:t>
      </w:r>
      <w:r w:rsidRPr="0050609D">
        <w:rPr>
          <w:rFonts w:ascii="David" w:hAnsi="David"/>
          <w:u w:val="single"/>
          <w:rtl/>
        </w:rPr>
        <w:t>סה"כ ירצה הנאשם 22 חודשי מאסר בפועל בניכוי ימי מעצרו</w:t>
      </w:r>
      <w:r w:rsidRPr="00E17EA9">
        <w:rPr>
          <w:rFonts w:ascii="David" w:hAnsi="David"/>
          <w:rtl/>
        </w:rPr>
        <w:t xml:space="preserve">. </w:t>
      </w:r>
    </w:p>
    <w:p w14:paraId="559AE707" w14:textId="77777777" w:rsidR="00847CE3" w:rsidRDefault="00847CE3" w:rsidP="00847CE3">
      <w:pPr>
        <w:numPr>
          <w:ilvl w:val="0"/>
          <w:numId w:val="4"/>
        </w:numPr>
        <w:spacing w:after="300" w:line="360" w:lineRule="auto"/>
        <w:jc w:val="both"/>
        <w:rPr>
          <w:rFonts w:ascii="David" w:hAnsi="David"/>
        </w:rPr>
      </w:pPr>
      <w:r w:rsidRPr="00E17EA9">
        <w:rPr>
          <w:rFonts w:ascii="David" w:hAnsi="David"/>
          <w:rtl/>
        </w:rPr>
        <w:t>מאסר למשך</w:t>
      </w:r>
      <w:r>
        <w:rPr>
          <w:rFonts w:ascii="David" w:hAnsi="David" w:hint="cs"/>
          <w:rtl/>
        </w:rPr>
        <w:t xml:space="preserve"> 10</w:t>
      </w:r>
      <w:r w:rsidRPr="00E17EA9">
        <w:rPr>
          <w:rFonts w:ascii="David" w:hAnsi="David"/>
          <w:rtl/>
        </w:rPr>
        <w:t xml:space="preserve"> </w:t>
      </w:r>
      <w:r>
        <w:rPr>
          <w:rFonts w:ascii="David" w:hAnsi="David" w:hint="cs"/>
          <w:rtl/>
        </w:rPr>
        <w:t>וזאת על תנאי למשך 3 שנים שלא יעבור עבירה מסוג פשע מ</w:t>
      </w:r>
      <w:hyperlink r:id="rId30" w:history="1">
        <w:r w:rsidR="00EF25BB" w:rsidRPr="00EF25BB">
          <w:rPr>
            <w:rFonts w:ascii="David" w:hAnsi="David"/>
            <w:color w:val="0000FF"/>
            <w:u w:val="single"/>
            <w:rtl/>
          </w:rPr>
          <w:t>פקודת הסמים המסוכנים</w:t>
        </w:r>
      </w:hyperlink>
      <w:r>
        <w:rPr>
          <w:rFonts w:ascii="David" w:hAnsi="David" w:hint="cs"/>
          <w:rtl/>
        </w:rPr>
        <w:t>.</w:t>
      </w:r>
    </w:p>
    <w:p w14:paraId="329DE7F0" w14:textId="77777777" w:rsidR="00847CE3" w:rsidRDefault="00847CE3" w:rsidP="00847CE3">
      <w:pPr>
        <w:numPr>
          <w:ilvl w:val="0"/>
          <w:numId w:val="4"/>
        </w:numPr>
        <w:spacing w:after="300" w:line="360" w:lineRule="auto"/>
        <w:jc w:val="both"/>
        <w:rPr>
          <w:rFonts w:ascii="David" w:hAnsi="David"/>
        </w:rPr>
      </w:pPr>
      <w:r>
        <w:rPr>
          <w:rFonts w:ascii="David" w:hAnsi="David" w:hint="cs"/>
          <w:rtl/>
        </w:rPr>
        <w:t>מאסר למשך 4 חודשים וזאת על תנאי למשך 3 שנים, שלא יעבור עבירה מסוג עוון מ</w:t>
      </w:r>
      <w:hyperlink r:id="rId31" w:history="1">
        <w:r w:rsidR="00EF25BB" w:rsidRPr="00EF25BB">
          <w:rPr>
            <w:rFonts w:ascii="David" w:hAnsi="David"/>
            <w:color w:val="0000FF"/>
            <w:u w:val="single"/>
            <w:rtl/>
          </w:rPr>
          <w:t>פקודת הסמים המסוכנים</w:t>
        </w:r>
      </w:hyperlink>
      <w:r>
        <w:rPr>
          <w:rFonts w:ascii="David" w:hAnsi="David" w:hint="cs"/>
          <w:rtl/>
        </w:rPr>
        <w:t>.</w:t>
      </w:r>
    </w:p>
    <w:p w14:paraId="6ED7A758" w14:textId="77777777" w:rsidR="00847CE3" w:rsidRPr="00E17EA9" w:rsidRDefault="00847CE3" w:rsidP="00847CE3">
      <w:pPr>
        <w:numPr>
          <w:ilvl w:val="0"/>
          <w:numId w:val="4"/>
        </w:numPr>
        <w:spacing w:after="300" w:line="360" w:lineRule="auto"/>
        <w:jc w:val="both"/>
        <w:rPr>
          <w:rFonts w:ascii="David" w:hAnsi="David"/>
        </w:rPr>
      </w:pPr>
      <w:r>
        <w:rPr>
          <w:rFonts w:ascii="David" w:hAnsi="David" w:hint="cs"/>
          <w:rtl/>
        </w:rPr>
        <w:t>פסילה למשך 6 חודשים וזאת על תנאי למשך 3 שנים.</w:t>
      </w:r>
    </w:p>
    <w:p w14:paraId="623BCDE8" w14:textId="77777777" w:rsidR="00847CE3" w:rsidRDefault="00847CE3" w:rsidP="00847CE3">
      <w:pPr>
        <w:numPr>
          <w:ilvl w:val="0"/>
          <w:numId w:val="4"/>
        </w:numPr>
        <w:spacing w:after="300" w:line="360" w:lineRule="auto"/>
        <w:jc w:val="both"/>
        <w:rPr>
          <w:rFonts w:ascii="David" w:hAnsi="David"/>
        </w:rPr>
      </w:pPr>
      <w:r w:rsidRPr="00E17EA9">
        <w:rPr>
          <w:rFonts w:ascii="David" w:hAnsi="David"/>
          <w:rtl/>
        </w:rPr>
        <w:t>התחייבות בסך 10,000 ₪ לבל יעבור במהלך</w:t>
      </w:r>
      <w:r>
        <w:rPr>
          <w:rFonts w:ascii="David" w:hAnsi="David" w:hint="cs"/>
          <w:rtl/>
        </w:rPr>
        <w:t xml:space="preserve"> 3</w:t>
      </w:r>
      <w:r w:rsidRPr="00E17EA9">
        <w:rPr>
          <w:rFonts w:ascii="David" w:hAnsi="David"/>
          <w:rtl/>
        </w:rPr>
        <w:t xml:space="preserve"> שנים מיום שחרורו מ</w:t>
      </w:r>
      <w:r>
        <w:rPr>
          <w:rFonts w:ascii="David" w:hAnsi="David" w:hint="cs"/>
          <w:rtl/>
        </w:rPr>
        <w:t>ה</w:t>
      </w:r>
      <w:r w:rsidRPr="00E17EA9">
        <w:rPr>
          <w:rFonts w:ascii="David" w:hAnsi="David"/>
          <w:rtl/>
        </w:rPr>
        <w:t>מאסר עבירה ממין העבירות בהן הורשע ב</w:t>
      </w:r>
      <w:r>
        <w:rPr>
          <w:rFonts w:ascii="David" w:hAnsi="David" w:hint="cs"/>
          <w:rtl/>
        </w:rPr>
        <w:t xml:space="preserve">מסגרת </w:t>
      </w:r>
      <w:r w:rsidRPr="00E17EA9">
        <w:rPr>
          <w:rFonts w:ascii="David" w:hAnsi="David"/>
          <w:rtl/>
        </w:rPr>
        <w:t>הליך זה.</w:t>
      </w:r>
    </w:p>
    <w:p w14:paraId="2B572FB3" w14:textId="77777777" w:rsidR="00847CE3" w:rsidRDefault="00847CE3" w:rsidP="00847CE3">
      <w:pPr>
        <w:numPr>
          <w:ilvl w:val="0"/>
          <w:numId w:val="4"/>
        </w:numPr>
        <w:spacing w:after="300" w:line="360" w:lineRule="auto"/>
        <w:jc w:val="both"/>
        <w:rPr>
          <w:rFonts w:ascii="David" w:hAnsi="David"/>
        </w:rPr>
      </w:pPr>
      <w:r>
        <w:rPr>
          <w:rFonts w:ascii="David" w:hAnsi="David" w:hint="cs"/>
          <w:rtl/>
        </w:rPr>
        <w:t>הסם יושמד.</w:t>
      </w:r>
    </w:p>
    <w:p w14:paraId="4ACDA784" w14:textId="77777777" w:rsidR="00847CE3" w:rsidRDefault="00847CE3" w:rsidP="00847CE3">
      <w:pPr>
        <w:numPr>
          <w:ilvl w:val="0"/>
          <w:numId w:val="4"/>
        </w:numPr>
        <w:spacing w:after="300" w:line="360" w:lineRule="auto"/>
        <w:jc w:val="both"/>
        <w:rPr>
          <w:rFonts w:ascii="David" w:hAnsi="David"/>
        </w:rPr>
      </w:pPr>
      <w:r>
        <w:rPr>
          <w:rFonts w:ascii="David" w:hAnsi="David" w:hint="cs"/>
          <w:rtl/>
        </w:rPr>
        <w:t>אני מורה על חילוט סך של 1500 ₪.</w:t>
      </w:r>
    </w:p>
    <w:p w14:paraId="4EA0435A" w14:textId="77777777" w:rsidR="00847CE3" w:rsidRDefault="00847CE3" w:rsidP="00847CE3">
      <w:pPr>
        <w:numPr>
          <w:ilvl w:val="0"/>
          <w:numId w:val="4"/>
        </w:numPr>
        <w:spacing w:after="300" w:line="360" w:lineRule="auto"/>
        <w:jc w:val="both"/>
        <w:rPr>
          <w:rFonts w:ascii="David" w:hAnsi="David"/>
        </w:rPr>
      </w:pPr>
      <w:r>
        <w:rPr>
          <w:rFonts w:ascii="David" w:hAnsi="David" w:hint="cs"/>
          <w:rtl/>
        </w:rPr>
        <w:t xml:space="preserve">בהסכמת הצדדים יישא הנאשם בתשלום בסך 25,000 ₪ שיחולט. לאחר הפקדת הכסף ישוחרר רכב נושא לוחית רישוי: 4776181.  </w:t>
      </w:r>
    </w:p>
    <w:p w14:paraId="7544A9B6" w14:textId="77777777" w:rsidR="00847CE3" w:rsidRPr="00E17EA9" w:rsidRDefault="00847CE3" w:rsidP="00847CE3">
      <w:pPr>
        <w:numPr>
          <w:ilvl w:val="0"/>
          <w:numId w:val="4"/>
        </w:numPr>
        <w:spacing w:after="300" w:line="360" w:lineRule="auto"/>
        <w:jc w:val="both"/>
        <w:rPr>
          <w:rFonts w:ascii="David" w:hAnsi="David"/>
        </w:rPr>
      </w:pPr>
      <w:r>
        <w:rPr>
          <w:rFonts w:ascii="David" w:hAnsi="David" w:hint="cs"/>
          <w:rtl/>
        </w:rPr>
        <w:t>הפעלה בסך 5000 ₪ מתיק מספר 22175-06-17 מיום 2.10.2017 (שלום ב"ש) ב-5 תשלומים החל מיום 1.11.2021.</w:t>
      </w:r>
    </w:p>
    <w:p w14:paraId="662F9909" w14:textId="77777777" w:rsidR="00847CE3" w:rsidRPr="00E17EA9" w:rsidRDefault="00EF25BB" w:rsidP="00847CE3">
      <w:pPr>
        <w:spacing w:after="300" w:line="360" w:lineRule="auto"/>
        <w:ind w:left="85"/>
        <w:jc w:val="both"/>
        <w:rPr>
          <w:rFonts w:ascii="David" w:hAnsi="David"/>
          <w:b/>
          <w:bCs/>
        </w:rPr>
      </w:pPr>
      <w:r w:rsidRPr="00EF25BB">
        <w:rPr>
          <w:rFonts w:ascii="David" w:hAnsi="David"/>
          <w:b/>
          <w:bCs/>
          <w:color w:val="FFFFFF"/>
          <w:sz w:val="2"/>
          <w:szCs w:val="2"/>
          <w:rtl/>
        </w:rPr>
        <w:t>5129371</w:t>
      </w:r>
      <w:r w:rsidR="00847CE3" w:rsidRPr="00E17EA9">
        <w:rPr>
          <w:rFonts w:ascii="David" w:hAnsi="David"/>
          <w:b/>
          <w:bCs/>
          <w:rtl/>
        </w:rPr>
        <w:t xml:space="preserve">זכות ערעור </w:t>
      </w:r>
      <w:r w:rsidR="00847CE3">
        <w:rPr>
          <w:rFonts w:ascii="David" w:hAnsi="David" w:hint="cs"/>
          <w:b/>
          <w:bCs/>
          <w:rtl/>
        </w:rPr>
        <w:t>לבית המשפט המחוזי בתוך 45 יום</w:t>
      </w:r>
      <w:r w:rsidR="00847CE3" w:rsidRPr="00E17EA9">
        <w:rPr>
          <w:rFonts w:ascii="David" w:hAnsi="David"/>
          <w:b/>
          <w:bCs/>
          <w:rtl/>
        </w:rPr>
        <w:t xml:space="preserve">. </w:t>
      </w:r>
    </w:p>
    <w:p w14:paraId="4B0EDA17" w14:textId="77777777" w:rsidR="00847CE3" w:rsidRPr="00EF25BB" w:rsidRDefault="00EF25BB" w:rsidP="00847CE3">
      <w:pPr>
        <w:rPr>
          <w:rFonts w:ascii="David" w:hAnsi="David"/>
          <w:color w:val="FFFFFF"/>
          <w:sz w:val="2"/>
          <w:szCs w:val="2"/>
          <w:rtl/>
        </w:rPr>
      </w:pPr>
      <w:r w:rsidRPr="00EF25BB">
        <w:rPr>
          <w:rFonts w:ascii="David" w:hAnsi="David"/>
          <w:color w:val="FFFFFF"/>
          <w:sz w:val="2"/>
          <w:szCs w:val="2"/>
          <w:rtl/>
        </w:rPr>
        <w:t>54678313</w:t>
      </w:r>
    </w:p>
    <w:p w14:paraId="13D18CCF" w14:textId="77777777" w:rsidR="00847CE3" w:rsidRPr="002B7D23" w:rsidRDefault="00847CE3" w:rsidP="00847CE3">
      <w:pPr>
        <w:rPr>
          <w:rFonts w:ascii="David" w:hAnsi="David"/>
          <w:sz w:val="26"/>
          <w:szCs w:val="26"/>
          <w:rtl/>
        </w:rPr>
      </w:pPr>
    </w:p>
    <w:p w14:paraId="69139C9D" w14:textId="77777777" w:rsidR="00847CE3" w:rsidRPr="008811E6" w:rsidRDefault="00EF25BB" w:rsidP="00847CE3">
      <w:pPr>
        <w:rPr>
          <w:rFonts w:ascii="David" w:hAnsi="David"/>
          <w:rtl/>
        </w:rPr>
      </w:pPr>
      <w:bookmarkStart w:id="7" w:name="Nitan"/>
      <w:r>
        <w:rPr>
          <w:rFonts w:ascii="David" w:hAnsi="David"/>
          <w:rtl/>
        </w:rPr>
        <w:t xml:space="preserve">ניתן היום,  י"ז אב תשפ"א, 26 יולי 2021, בנוכחות המאשימה, הנאשם ובא כוחו. </w:t>
      </w:r>
      <w:bookmarkEnd w:id="7"/>
    </w:p>
    <w:p w14:paraId="306C34D0" w14:textId="77777777" w:rsidR="00847CE3" w:rsidRPr="008811E6" w:rsidRDefault="00847CE3" w:rsidP="00EF25BB">
      <w:pPr>
        <w:jc w:val="center"/>
      </w:pPr>
      <w:r w:rsidRPr="008811E6">
        <w:rPr>
          <w:rFonts w:ascii="David" w:hAnsi="David"/>
          <w:rtl/>
        </w:rPr>
        <w:t xml:space="preserve">   </w:t>
      </w:r>
      <w:r w:rsidRPr="008811E6">
        <w:rPr>
          <w:rFonts w:ascii="David" w:hAnsi="David"/>
          <w:rtl/>
        </w:rPr>
        <w:tab/>
      </w:r>
      <w:r w:rsidRPr="008811E6">
        <w:rPr>
          <w:rFonts w:ascii="David" w:hAnsi="David"/>
          <w:rtl/>
        </w:rPr>
        <w:tab/>
      </w:r>
      <w:r w:rsidRPr="008811E6">
        <w:rPr>
          <w:rFonts w:ascii="David" w:hAnsi="David"/>
          <w:rtl/>
        </w:rPr>
        <w:tab/>
      </w:r>
      <w:r w:rsidRPr="008811E6">
        <w:rPr>
          <w:rFonts w:ascii="David" w:hAnsi="David"/>
          <w:rtl/>
        </w:rPr>
        <w:tab/>
      </w:r>
      <w:r w:rsidRPr="008811E6">
        <w:rPr>
          <w:rFonts w:ascii="David" w:hAnsi="David"/>
          <w:rtl/>
        </w:rPr>
        <w:tab/>
      </w:r>
    </w:p>
    <w:p w14:paraId="4232DA1E" w14:textId="77777777" w:rsidR="00847CE3" w:rsidRPr="008811E6" w:rsidRDefault="00847CE3" w:rsidP="00847CE3">
      <w:pPr>
        <w:jc w:val="center"/>
        <w:rPr>
          <w:rFonts w:ascii="David" w:hAnsi="David"/>
          <w:rtl/>
        </w:rPr>
      </w:pPr>
    </w:p>
    <w:p w14:paraId="33E68079" w14:textId="77777777" w:rsidR="00B857CB" w:rsidRPr="00EF25BB" w:rsidRDefault="00B857CB" w:rsidP="00EF25BB">
      <w:pPr>
        <w:keepNext/>
        <w:rPr>
          <w:rFonts w:ascii="David" w:hAnsi="David"/>
          <w:color w:val="000000"/>
          <w:sz w:val="22"/>
          <w:szCs w:val="22"/>
          <w:rtl/>
        </w:rPr>
      </w:pPr>
    </w:p>
    <w:p w14:paraId="2CDB780D" w14:textId="77777777" w:rsidR="00EF25BB" w:rsidRPr="00EF25BB" w:rsidRDefault="00EF25BB" w:rsidP="00EF25BB">
      <w:pPr>
        <w:keepNext/>
        <w:rPr>
          <w:rFonts w:ascii="David" w:hAnsi="David"/>
          <w:color w:val="000000"/>
          <w:sz w:val="22"/>
          <w:szCs w:val="22"/>
          <w:rtl/>
        </w:rPr>
      </w:pPr>
      <w:r w:rsidRPr="00EF25BB">
        <w:rPr>
          <w:rFonts w:ascii="David" w:hAnsi="David"/>
          <w:color w:val="000000"/>
          <w:sz w:val="22"/>
          <w:szCs w:val="22"/>
          <w:rtl/>
        </w:rPr>
        <w:t>ארנון איתן 54678313</w:t>
      </w:r>
    </w:p>
    <w:p w14:paraId="7A99593F" w14:textId="77777777" w:rsidR="00EF25BB" w:rsidRDefault="00EF25BB" w:rsidP="00EF25BB">
      <w:r w:rsidRPr="00EF25BB">
        <w:rPr>
          <w:color w:val="000000"/>
          <w:rtl/>
        </w:rPr>
        <w:t>נוסח מסמך זה כפוף לשינויי ניסוח ועריכה</w:t>
      </w:r>
    </w:p>
    <w:p w14:paraId="6801AD83" w14:textId="77777777" w:rsidR="00EF25BB" w:rsidRDefault="00EF25BB" w:rsidP="00EF25BB">
      <w:pPr>
        <w:rPr>
          <w:rtl/>
        </w:rPr>
      </w:pPr>
    </w:p>
    <w:p w14:paraId="236A5C86" w14:textId="77777777" w:rsidR="00EF25BB" w:rsidRDefault="00EF25BB" w:rsidP="00EF25BB">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426C43AA" w14:textId="77777777" w:rsidR="00EF25BB" w:rsidRPr="00EF25BB" w:rsidRDefault="00EF25BB" w:rsidP="00EF25BB">
      <w:pPr>
        <w:jc w:val="center"/>
        <w:rPr>
          <w:color w:val="0000FF"/>
          <w:u w:val="single"/>
        </w:rPr>
      </w:pPr>
    </w:p>
    <w:sectPr w:rsidR="00EF25BB" w:rsidRPr="00EF25BB" w:rsidSect="00EF25BB">
      <w:headerReference w:type="even" r:id="rId33"/>
      <w:headerReference w:type="default" r:id="rId34"/>
      <w:footerReference w:type="even" r:id="rId35"/>
      <w:footerReference w:type="default" r:id="rId36"/>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40021" w14:textId="77777777" w:rsidR="00E15559" w:rsidRDefault="00E15559" w:rsidP="003832D7">
      <w:r>
        <w:separator/>
      </w:r>
    </w:p>
  </w:endnote>
  <w:endnote w:type="continuationSeparator" w:id="0">
    <w:p w14:paraId="2D1F21BC" w14:textId="77777777" w:rsidR="00E15559" w:rsidRDefault="00E15559" w:rsidP="00383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F2303" w14:textId="77777777" w:rsidR="00EF25BB" w:rsidRDefault="00EF25BB" w:rsidP="00EF25B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18F1AA1" w14:textId="77777777" w:rsidR="00F23043" w:rsidRPr="00EF25BB" w:rsidRDefault="00EF25BB" w:rsidP="00EF25B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EAD9D" w14:textId="77777777" w:rsidR="00EF25BB" w:rsidRDefault="00EF25BB" w:rsidP="00EF25B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5B71">
      <w:rPr>
        <w:rFonts w:ascii="FrankRuehl" w:hAnsi="FrankRuehl" w:cs="FrankRuehl"/>
        <w:noProof/>
        <w:rtl/>
      </w:rPr>
      <w:t>1</w:t>
    </w:r>
    <w:r>
      <w:rPr>
        <w:rFonts w:ascii="FrankRuehl" w:hAnsi="FrankRuehl" w:cs="FrankRuehl"/>
        <w:rtl/>
      </w:rPr>
      <w:fldChar w:fldCharType="end"/>
    </w:r>
  </w:p>
  <w:p w14:paraId="45872CB0" w14:textId="77777777" w:rsidR="00F23043" w:rsidRPr="00EF25BB" w:rsidRDefault="00EF25BB" w:rsidP="00EF25B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63139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2A7A6" w14:textId="77777777" w:rsidR="00E15559" w:rsidRDefault="00E15559" w:rsidP="003832D7">
      <w:r>
        <w:separator/>
      </w:r>
    </w:p>
  </w:footnote>
  <w:footnote w:type="continuationSeparator" w:id="0">
    <w:p w14:paraId="18B520BD" w14:textId="77777777" w:rsidR="00E15559" w:rsidRDefault="00E15559" w:rsidP="003832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B9F84" w14:textId="77777777" w:rsidR="00EF25BB" w:rsidRPr="00EF25BB" w:rsidRDefault="00EF25BB" w:rsidP="00EF25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43525-01-21</w:t>
    </w:r>
    <w:r>
      <w:rPr>
        <w:rFonts w:ascii="David" w:hAnsi="David"/>
        <w:color w:val="000000"/>
        <w:sz w:val="22"/>
        <w:szCs w:val="22"/>
        <w:rtl/>
      </w:rPr>
      <w:tab/>
      <w:t xml:space="preserve"> מדינת ישראל נ' טלאל אלוג'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FAB4A" w14:textId="77777777" w:rsidR="00EF25BB" w:rsidRPr="00EF25BB" w:rsidRDefault="00EF25BB" w:rsidP="00EF25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43525-01-21</w:t>
    </w:r>
    <w:r>
      <w:rPr>
        <w:rFonts w:ascii="David" w:hAnsi="David"/>
        <w:color w:val="000000"/>
        <w:sz w:val="22"/>
        <w:szCs w:val="22"/>
        <w:rtl/>
      </w:rPr>
      <w:tab/>
      <w:t xml:space="preserve"> מדינת ישראל נ' טלאל אלוג'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11E94"/>
    <w:multiLevelType w:val="hybridMultilevel"/>
    <w:tmpl w:val="BC940CAC"/>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C54603"/>
    <w:multiLevelType w:val="hybridMultilevel"/>
    <w:tmpl w:val="B1CA16FE"/>
    <w:lvl w:ilvl="0" w:tplc="6D3636AC">
      <w:start w:val="1"/>
      <w:numFmt w:val="hebrew1"/>
      <w:lvlText w:val="%1."/>
      <w:lvlJc w:val="left"/>
      <w:pPr>
        <w:ind w:left="1080" w:hanging="360"/>
      </w:pPr>
      <w:rPr>
        <w:rFonts w:cs="David"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32B577CE"/>
    <w:multiLevelType w:val="hybridMultilevel"/>
    <w:tmpl w:val="EA1CE5FE"/>
    <w:lvl w:ilvl="0" w:tplc="F7BEC91E">
      <w:start w:val="1"/>
      <w:numFmt w:val="hebrew1"/>
      <w:lvlText w:val="%1."/>
      <w:lvlJc w:val="center"/>
      <w:pPr>
        <w:ind w:left="1440" w:hanging="360"/>
      </w:pPr>
      <w:rPr>
        <w:rFonts w:cs="David"/>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15:restartNumberingAfterBreak="0">
    <w:nsid w:val="61165483"/>
    <w:multiLevelType w:val="hybridMultilevel"/>
    <w:tmpl w:val="967ED2B0"/>
    <w:lvl w:ilvl="0" w:tplc="6B1EFA88">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7D8F3D42"/>
    <w:multiLevelType w:val="hybridMultilevel"/>
    <w:tmpl w:val="7B0600A6"/>
    <w:lvl w:ilvl="0" w:tplc="5CDCFA36">
      <w:start w:val="1"/>
      <w:numFmt w:val="hebrew1"/>
      <w:lvlText w:val="%1."/>
      <w:lvlJc w:val="center"/>
      <w:pPr>
        <w:ind w:left="1440" w:hanging="360"/>
      </w:pPr>
      <w:rPr>
        <w:rFonts w:cs="David"/>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922030705">
    <w:abstractNumId w:val="3"/>
  </w:num>
  <w:num w:numId="2" w16cid:durableId="567958891">
    <w:abstractNumId w:val="1"/>
  </w:num>
  <w:num w:numId="3" w16cid:durableId="762188591">
    <w:abstractNumId w:val="2"/>
  </w:num>
  <w:num w:numId="4" w16cid:durableId="505755412">
    <w:abstractNumId w:val="4"/>
  </w:num>
  <w:num w:numId="5" w16cid:durableId="862943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7CE3"/>
    <w:rsid w:val="000910B2"/>
    <w:rsid w:val="00134A76"/>
    <w:rsid w:val="001B5A3B"/>
    <w:rsid w:val="002D5B71"/>
    <w:rsid w:val="00374D4C"/>
    <w:rsid w:val="003832D7"/>
    <w:rsid w:val="005D5D68"/>
    <w:rsid w:val="006A715B"/>
    <w:rsid w:val="00847CE3"/>
    <w:rsid w:val="00B203F5"/>
    <w:rsid w:val="00B45F86"/>
    <w:rsid w:val="00B857CB"/>
    <w:rsid w:val="00E15559"/>
    <w:rsid w:val="00EF1815"/>
    <w:rsid w:val="00EF25BB"/>
    <w:rsid w:val="00F23043"/>
    <w:rsid w:val="00F553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457F33"/>
  <w15:chartTrackingRefBased/>
  <w15:docId w15:val="{F1825E43-917F-48E1-B98C-7148F752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7CE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47CE3"/>
    <w:pPr>
      <w:tabs>
        <w:tab w:val="center" w:pos="4153"/>
        <w:tab w:val="right" w:pos="8306"/>
      </w:tabs>
    </w:pPr>
  </w:style>
  <w:style w:type="character" w:customStyle="1" w:styleId="a4">
    <w:name w:val="כותרת עליונה תו"/>
    <w:link w:val="a3"/>
    <w:rsid w:val="00847CE3"/>
    <w:rPr>
      <w:rFonts w:ascii="Times New Roman" w:eastAsia="Times New Roman" w:hAnsi="Times New Roman" w:cs="David"/>
      <w:sz w:val="24"/>
      <w:szCs w:val="24"/>
    </w:rPr>
  </w:style>
  <w:style w:type="paragraph" w:styleId="a5">
    <w:name w:val="footer"/>
    <w:basedOn w:val="a"/>
    <w:link w:val="a6"/>
    <w:rsid w:val="00847CE3"/>
    <w:pPr>
      <w:tabs>
        <w:tab w:val="center" w:pos="4153"/>
        <w:tab w:val="right" w:pos="8306"/>
      </w:tabs>
    </w:pPr>
  </w:style>
  <w:style w:type="character" w:customStyle="1" w:styleId="a6">
    <w:name w:val="כותרת תחתונה תו"/>
    <w:link w:val="a5"/>
    <w:rsid w:val="00847CE3"/>
    <w:rPr>
      <w:rFonts w:ascii="Times New Roman" w:eastAsia="Times New Roman" w:hAnsi="Times New Roman" w:cs="David"/>
      <w:sz w:val="24"/>
      <w:szCs w:val="24"/>
    </w:rPr>
  </w:style>
  <w:style w:type="table" w:styleId="a7">
    <w:name w:val="Table Grid"/>
    <w:basedOn w:val="a1"/>
    <w:rsid w:val="00847CE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47CE3"/>
  </w:style>
  <w:style w:type="paragraph" w:styleId="a9">
    <w:name w:val="List Paragraph"/>
    <w:basedOn w:val="a"/>
    <w:qFormat/>
    <w:rsid w:val="00847CE3"/>
    <w:pPr>
      <w:ind w:left="720"/>
      <w:contextualSpacing/>
    </w:pPr>
  </w:style>
  <w:style w:type="character" w:styleId="Hyperlink">
    <w:name w:val="Hyperlink"/>
    <w:rsid w:val="00EF25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26665758" TargetMode="External"/><Relationship Id="rId26" Type="http://schemas.openxmlformats.org/officeDocument/2006/relationships/hyperlink" Target="http://www.nevo.co.il/case/5580841" TargetMode="External"/><Relationship Id="rId21" Type="http://schemas.openxmlformats.org/officeDocument/2006/relationships/hyperlink" Target="http://www.nevo.co.il/case/27228731" TargetMode="External"/><Relationship Id="rId34" Type="http://schemas.openxmlformats.org/officeDocument/2006/relationships/header" Target="header2.xml"/><Relationship Id="rId7" Type="http://schemas.openxmlformats.org/officeDocument/2006/relationships/hyperlink" Target="http://www.nevo.co.il/case/2734573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case/5580841" TargetMode="External"/><Relationship Id="rId25" Type="http://schemas.openxmlformats.org/officeDocument/2006/relationships/hyperlink" Target="http://www.nevo.co.il/law/70301"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2722806" TargetMode="External"/><Relationship Id="rId20" Type="http://schemas.openxmlformats.org/officeDocument/2006/relationships/hyperlink" Target="http://www.nevo.co.il/case/26908354"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40i"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796795" TargetMode="External"/><Relationship Id="rId28" Type="http://schemas.openxmlformats.org/officeDocument/2006/relationships/hyperlink" Target="http://www.nevo.co.il/case/5580841" TargetMode="External"/><Relationship Id="rId36" Type="http://schemas.openxmlformats.org/officeDocument/2006/relationships/footer" Target="footer2.xml"/><Relationship Id="rId10" Type="http://schemas.openxmlformats.org/officeDocument/2006/relationships/hyperlink" Target="http://www.nevo.co.il/law/4216/7.c" TargetMode="External"/><Relationship Id="rId19" Type="http://schemas.openxmlformats.org/officeDocument/2006/relationships/hyperlink" Target="http://www.nevo.co.il/case/24923082"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5786821" TargetMode="External"/><Relationship Id="rId27" Type="http://schemas.openxmlformats.org/officeDocument/2006/relationships/hyperlink" Target="http://www.nevo.co.il/case/21966972" TargetMode="External"/><Relationship Id="rId30" Type="http://schemas.openxmlformats.org/officeDocument/2006/relationships/hyperlink" Target="http://www.nevo.co.il/law/4216" TargetMode="External"/><Relationship Id="rId35" Type="http://schemas.openxmlformats.org/officeDocument/2006/relationships/footer" Target="footer1.xml"/><Relationship Id="rId8" Type="http://schemas.openxmlformats.org/officeDocument/2006/relationships/hyperlink" Target="http://www.nevo.co.il/law/421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1772</Words>
  <Characters>8860</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10611</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3407989</vt:i4>
      </vt:variant>
      <vt:variant>
        <vt:i4>63</vt:i4>
      </vt:variant>
      <vt:variant>
        <vt:i4>0</vt:i4>
      </vt:variant>
      <vt:variant>
        <vt:i4>5</vt:i4>
      </vt:variant>
      <vt:variant>
        <vt:lpwstr>http://www.nevo.co.il/case/5580841</vt:lpwstr>
      </vt:variant>
      <vt:variant>
        <vt:lpwstr/>
      </vt:variant>
      <vt:variant>
        <vt:i4>3801210</vt:i4>
      </vt:variant>
      <vt:variant>
        <vt:i4>60</vt:i4>
      </vt:variant>
      <vt:variant>
        <vt:i4>0</vt:i4>
      </vt:variant>
      <vt:variant>
        <vt:i4>5</vt:i4>
      </vt:variant>
      <vt:variant>
        <vt:lpwstr>http://www.nevo.co.il/case/21966972</vt:lpwstr>
      </vt:variant>
      <vt:variant>
        <vt:lpwstr/>
      </vt:variant>
      <vt:variant>
        <vt:i4>3407989</vt:i4>
      </vt:variant>
      <vt:variant>
        <vt:i4>57</vt:i4>
      </vt:variant>
      <vt:variant>
        <vt:i4>0</vt:i4>
      </vt:variant>
      <vt:variant>
        <vt:i4>5</vt:i4>
      </vt:variant>
      <vt:variant>
        <vt:lpwstr>http://www.nevo.co.il/case/5580841</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4063356</vt:i4>
      </vt:variant>
      <vt:variant>
        <vt:i4>48</vt:i4>
      </vt:variant>
      <vt:variant>
        <vt:i4>0</vt:i4>
      </vt:variant>
      <vt:variant>
        <vt:i4>5</vt:i4>
      </vt:variant>
      <vt:variant>
        <vt:lpwstr>http://www.nevo.co.il/case/5796795</vt:lpwstr>
      </vt:variant>
      <vt:variant>
        <vt:lpwstr/>
      </vt:variant>
      <vt:variant>
        <vt:i4>3407991</vt:i4>
      </vt:variant>
      <vt:variant>
        <vt:i4>45</vt:i4>
      </vt:variant>
      <vt:variant>
        <vt:i4>0</vt:i4>
      </vt:variant>
      <vt:variant>
        <vt:i4>5</vt:i4>
      </vt:variant>
      <vt:variant>
        <vt:lpwstr>http://www.nevo.co.il/case/5786821</vt:lpwstr>
      </vt:variant>
      <vt:variant>
        <vt:lpwstr/>
      </vt:variant>
      <vt:variant>
        <vt:i4>3866742</vt:i4>
      </vt:variant>
      <vt:variant>
        <vt:i4>42</vt:i4>
      </vt:variant>
      <vt:variant>
        <vt:i4>0</vt:i4>
      </vt:variant>
      <vt:variant>
        <vt:i4>5</vt:i4>
      </vt:variant>
      <vt:variant>
        <vt:lpwstr>http://www.nevo.co.il/case/27228731</vt:lpwstr>
      </vt:variant>
      <vt:variant>
        <vt:lpwstr/>
      </vt:variant>
      <vt:variant>
        <vt:i4>3539057</vt:i4>
      </vt:variant>
      <vt:variant>
        <vt:i4>39</vt:i4>
      </vt:variant>
      <vt:variant>
        <vt:i4>0</vt:i4>
      </vt:variant>
      <vt:variant>
        <vt:i4>5</vt:i4>
      </vt:variant>
      <vt:variant>
        <vt:lpwstr>http://www.nevo.co.il/case/26908354</vt:lpwstr>
      </vt:variant>
      <vt:variant>
        <vt:lpwstr/>
      </vt:variant>
      <vt:variant>
        <vt:i4>3145842</vt:i4>
      </vt:variant>
      <vt:variant>
        <vt:i4>36</vt:i4>
      </vt:variant>
      <vt:variant>
        <vt:i4>0</vt:i4>
      </vt:variant>
      <vt:variant>
        <vt:i4>5</vt:i4>
      </vt:variant>
      <vt:variant>
        <vt:lpwstr>http://www.nevo.co.il/case/24923082</vt:lpwstr>
      </vt:variant>
      <vt:variant>
        <vt:lpwstr/>
      </vt:variant>
      <vt:variant>
        <vt:i4>3407987</vt:i4>
      </vt:variant>
      <vt:variant>
        <vt:i4>33</vt:i4>
      </vt:variant>
      <vt:variant>
        <vt:i4>0</vt:i4>
      </vt:variant>
      <vt:variant>
        <vt:i4>5</vt:i4>
      </vt:variant>
      <vt:variant>
        <vt:lpwstr>http://www.nevo.co.il/case/26665758</vt:lpwstr>
      </vt:variant>
      <vt:variant>
        <vt:lpwstr/>
      </vt:variant>
      <vt:variant>
        <vt:i4>3407989</vt:i4>
      </vt:variant>
      <vt:variant>
        <vt:i4>30</vt:i4>
      </vt:variant>
      <vt:variant>
        <vt:i4>0</vt:i4>
      </vt:variant>
      <vt:variant>
        <vt:i4>5</vt:i4>
      </vt:variant>
      <vt:variant>
        <vt:lpwstr>http://www.nevo.co.il/case/5580841</vt:lpwstr>
      </vt:variant>
      <vt:variant>
        <vt:lpwstr/>
      </vt:variant>
      <vt:variant>
        <vt:i4>3604604</vt:i4>
      </vt:variant>
      <vt:variant>
        <vt:i4>27</vt:i4>
      </vt:variant>
      <vt:variant>
        <vt:i4>0</vt:i4>
      </vt:variant>
      <vt:variant>
        <vt:i4>5</vt:i4>
      </vt:variant>
      <vt:variant>
        <vt:lpwstr>http://www.nevo.co.il/case/22722806</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3604592</vt:i4>
      </vt:variant>
      <vt:variant>
        <vt:i4>0</vt:i4>
      </vt:variant>
      <vt:variant>
        <vt:i4>0</vt:i4>
      </vt:variant>
      <vt:variant>
        <vt:i4>5</vt:i4>
      </vt:variant>
      <vt:variant>
        <vt:lpwstr>http://www.nevo.co.il/case/27345736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2025-04-23T00:52:00Z</dcterms:created>
  <dcterms:modified xsi:type="dcterms:W3CDTF">2025-04-23T00:52:00Z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43525</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טלאל אלוג'</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20210726</vt:lpwstr>
  </property>
  <property fmtid="{D5CDD505-2E9C-101B-9397-08002B2CF9AE}" pid="13" name="TYPE_N_DATE">
    <vt:lpwstr>38020210726</vt:lpwstr>
  </property>
  <property fmtid="{D5CDD505-2E9C-101B-9397-08002B2CF9AE}" pid="14" name="WORDNUMPAGES">
    <vt:lpwstr>6</vt:lpwstr>
  </property>
  <property fmtid="{D5CDD505-2E9C-101B-9397-08002B2CF9AE}" pid="15" name="TYPE_ABS_DATE">
    <vt:lpwstr>380020210726</vt:lpwstr>
  </property>
  <property fmtid="{D5CDD505-2E9C-101B-9397-08002B2CF9AE}" pid="16" name="ISABSTRACT">
    <vt:lpwstr>Y</vt:lpwstr>
  </property>
  <property fmtid="{D5CDD505-2E9C-101B-9397-08002B2CF9AE}" pid="17" name="CASESLISTTMP1">
    <vt:lpwstr>27345736;22722806;5580841:3;26665758;24923082;26908354;27228731;5786821;5796795;21966972</vt:lpwstr>
  </property>
  <property fmtid="{D5CDD505-2E9C-101B-9397-08002B2CF9AE}" pid="18" name="LAWLISTTMP1">
    <vt:lpwstr>4216/007.a;007.c</vt:lpwstr>
  </property>
  <property fmtid="{D5CDD505-2E9C-101B-9397-08002B2CF9AE}" pid="19" name="LAWLISTTMP2">
    <vt:lpwstr>70301/040i;40ja</vt:lpwstr>
  </property>
</Properties>
</file>