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BA0A29" w:rsidRPr="002037F5" w14:paraId="67CAECF1" w14:textId="77777777" w:rsidTr="00F7043C">
        <w:trPr>
          <w:gridAfter w:val="1"/>
          <w:wAfter w:w="99" w:type="dxa"/>
          <w:trHeight w:hRule="exact" w:val="418"/>
          <w:jc w:val="center"/>
        </w:trPr>
        <w:tc>
          <w:tcPr>
            <w:tcW w:w="8721" w:type="dxa"/>
            <w:gridSpan w:val="4"/>
          </w:tcPr>
          <w:p w14:paraId="5D2B78EC" w14:textId="77777777" w:rsidR="00BA0A29" w:rsidRPr="002037F5" w:rsidRDefault="00BA0A29" w:rsidP="00F40485">
            <w:pPr>
              <w:pStyle w:val="a3"/>
              <w:jc w:val="center"/>
              <w:rPr>
                <w:rFonts w:ascii="Tahoma" w:hAnsi="Tahoma" w:cs="Tahoma"/>
                <w:color w:val="000080"/>
                <w:rtl/>
              </w:rPr>
            </w:pPr>
            <w:bookmarkStart w:id="0" w:name="FirstLawyer"/>
            <w:bookmarkStart w:id="1" w:name="LastJudge"/>
            <w:r w:rsidRPr="002037F5">
              <w:rPr>
                <w:rFonts w:ascii="FrankRuehl" w:hAnsi="FrankRuehl" w:cs="FrankRuehl"/>
                <w:b/>
                <w:bCs/>
                <w:color w:val="000080"/>
                <w:sz w:val="28"/>
                <w:szCs w:val="28"/>
                <w:rtl/>
              </w:rPr>
              <w:t>בית משפט השלום בירושלים</w:t>
            </w:r>
          </w:p>
        </w:tc>
      </w:tr>
      <w:tr w:rsidR="00BA0A29" w:rsidRPr="002037F5" w14:paraId="2098933B" w14:textId="77777777" w:rsidTr="00F7043C">
        <w:trPr>
          <w:gridAfter w:val="1"/>
          <w:wAfter w:w="99" w:type="dxa"/>
          <w:trHeight w:val="337"/>
          <w:jc w:val="center"/>
        </w:trPr>
        <w:tc>
          <w:tcPr>
            <w:tcW w:w="5054" w:type="dxa"/>
            <w:gridSpan w:val="3"/>
          </w:tcPr>
          <w:p w14:paraId="6EF0D960" w14:textId="77777777" w:rsidR="00BA0A29" w:rsidRPr="002037F5" w:rsidRDefault="00BA0A29" w:rsidP="00F40485">
            <w:pPr>
              <w:rPr>
                <w:rFonts w:cs="FrankRuehl"/>
                <w:sz w:val="28"/>
                <w:szCs w:val="28"/>
                <w:rtl/>
              </w:rPr>
            </w:pPr>
            <w:r w:rsidRPr="002037F5">
              <w:rPr>
                <w:rFonts w:cs="FrankRuehl"/>
                <w:sz w:val="28"/>
                <w:szCs w:val="28"/>
                <w:rtl/>
              </w:rPr>
              <w:t>ת"פ</w:t>
            </w:r>
            <w:r w:rsidRPr="002037F5">
              <w:rPr>
                <w:rFonts w:cs="FrankRuehl" w:hint="cs"/>
                <w:sz w:val="28"/>
                <w:szCs w:val="28"/>
                <w:rtl/>
              </w:rPr>
              <w:t xml:space="preserve"> </w:t>
            </w:r>
            <w:r w:rsidRPr="002037F5">
              <w:rPr>
                <w:rFonts w:cs="FrankRuehl"/>
                <w:sz w:val="28"/>
                <w:szCs w:val="28"/>
                <w:rtl/>
              </w:rPr>
              <w:t>54957-01-21</w:t>
            </w:r>
            <w:r w:rsidRPr="002037F5">
              <w:rPr>
                <w:rFonts w:cs="FrankRuehl" w:hint="cs"/>
                <w:sz w:val="28"/>
                <w:szCs w:val="28"/>
                <w:rtl/>
              </w:rPr>
              <w:t xml:space="preserve"> </w:t>
            </w:r>
            <w:r w:rsidRPr="002037F5">
              <w:rPr>
                <w:rFonts w:cs="FrankRuehl"/>
                <w:sz w:val="28"/>
                <w:szCs w:val="28"/>
                <w:rtl/>
              </w:rPr>
              <w:t>מדינת ישראל נ' ישראל מנצור</w:t>
            </w:r>
          </w:p>
          <w:p w14:paraId="28D0336F" w14:textId="77777777" w:rsidR="00BA0A29" w:rsidRPr="002037F5" w:rsidRDefault="00BA0A29" w:rsidP="00F40485">
            <w:pPr>
              <w:pStyle w:val="a3"/>
              <w:rPr>
                <w:rFonts w:cs="FrankRuehl"/>
                <w:sz w:val="28"/>
                <w:szCs w:val="28"/>
                <w:rtl/>
              </w:rPr>
            </w:pPr>
          </w:p>
        </w:tc>
        <w:tc>
          <w:tcPr>
            <w:tcW w:w="3667" w:type="dxa"/>
          </w:tcPr>
          <w:p w14:paraId="5651F108" w14:textId="77777777" w:rsidR="00BA0A29" w:rsidRPr="002037F5" w:rsidRDefault="00BA0A29" w:rsidP="00F40485">
            <w:pPr>
              <w:pStyle w:val="a3"/>
              <w:jc w:val="right"/>
              <w:rPr>
                <w:rFonts w:cs="FrankRuehl"/>
                <w:sz w:val="28"/>
                <w:szCs w:val="28"/>
                <w:rtl/>
              </w:rPr>
            </w:pPr>
          </w:p>
        </w:tc>
      </w:tr>
      <w:tr w:rsidR="00BA0A29" w:rsidRPr="002037F5" w14:paraId="7F9BD1F7" w14:textId="77777777" w:rsidTr="00F704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854F150" w14:textId="77777777" w:rsidR="00BA0A29" w:rsidRPr="002037F5" w:rsidRDefault="00BA0A29" w:rsidP="00BA0A29">
            <w:pPr>
              <w:jc w:val="both"/>
              <w:rPr>
                <w:rFonts w:ascii="FrankRuehl" w:hAnsi="FrankRuehl" w:cs="FrankRuehl"/>
                <w:sz w:val="26"/>
                <w:szCs w:val="26"/>
              </w:rPr>
            </w:pPr>
            <w:r w:rsidRPr="002037F5">
              <w:rPr>
                <w:rFonts w:hint="cs"/>
                <w:rtl/>
              </w:rPr>
              <w:t xml:space="preserve"> </w:t>
            </w:r>
            <w:r w:rsidRPr="002037F5">
              <w:rPr>
                <w:rFonts w:ascii="FrankRuehl" w:hAnsi="FrankRuehl" w:cs="FrankRuehl"/>
                <w:b/>
                <w:bCs/>
                <w:sz w:val="26"/>
                <w:szCs w:val="26"/>
                <w:rtl/>
              </w:rPr>
              <w:t>בפני</w:t>
            </w:r>
            <w:r w:rsidRPr="002037F5">
              <w:rPr>
                <w:rFonts w:ascii="FrankRuehl" w:hAnsi="FrankRuehl" w:cs="FrankRuehl"/>
                <w:sz w:val="26"/>
                <w:szCs w:val="26"/>
                <w:rtl/>
              </w:rPr>
              <w:t xml:space="preserve"> </w:t>
            </w:r>
          </w:p>
        </w:tc>
        <w:tc>
          <w:tcPr>
            <w:tcW w:w="7897" w:type="dxa"/>
            <w:gridSpan w:val="4"/>
            <w:tcBorders>
              <w:top w:val="nil"/>
              <w:left w:val="nil"/>
              <w:bottom w:val="nil"/>
              <w:right w:val="nil"/>
            </w:tcBorders>
            <w:shd w:val="clear" w:color="auto" w:fill="auto"/>
          </w:tcPr>
          <w:p w14:paraId="0DBA4A5B" w14:textId="77777777" w:rsidR="00BA0A29" w:rsidRPr="002037F5" w:rsidRDefault="00BA0A29" w:rsidP="00F40485">
            <w:pPr>
              <w:rPr>
                <w:rFonts w:ascii="FrankRuehl" w:hAnsi="FrankRuehl" w:cs="FrankRuehl"/>
                <w:b/>
                <w:bCs/>
                <w:sz w:val="26"/>
                <w:szCs w:val="26"/>
                <w:rtl/>
              </w:rPr>
            </w:pPr>
            <w:r w:rsidRPr="002037F5">
              <w:rPr>
                <w:rFonts w:ascii="FrankRuehl" w:hAnsi="FrankRuehl" w:cs="FrankRuehl"/>
                <w:b/>
                <w:bCs/>
                <w:sz w:val="26"/>
                <w:szCs w:val="26"/>
                <w:rtl/>
              </w:rPr>
              <w:t>כבוד השופט  דוד שאול גבאי ריכטר</w:t>
            </w:r>
          </w:p>
          <w:p w14:paraId="3EC332B1" w14:textId="77777777" w:rsidR="00BA0A29" w:rsidRPr="002037F5" w:rsidRDefault="00BA0A29" w:rsidP="00F40485">
            <w:pPr>
              <w:rPr>
                <w:rFonts w:ascii="FrankRuehl" w:hAnsi="FrankRuehl" w:cs="FrankRuehl"/>
                <w:sz w:val="26"/>
                <w:szCs w:val="26"/>
                <w:rtl/>
              </w:rPr>
            </w:pPr>
          </w:p>
          <w:p w14:paraId="617C7B87" w14:textId="77777777" w:rsidR="00BA0A29" w:rsidRPr="002037F5" w:rsidRDefault="00BA0A29" w:rsidP="00BA0A29">
            <w:pPr>
              <w:jc w:val="both"/>
              <w:rPr>
                <w:rFonts w:ascii="FrankRuehl" w:hAnsi="FrankRuehl" w:cs="FrankRuehl"/>
                <w:sz w:val="26"/>
                <w:szCs w:val="26"/>
              </w:rPr>
            </w:pPr>
          </w:p>
        </w:tc>
      </w:tr>
      <w:tr w:rsidR="00BA0A29" w:rsidRPr="002037F5" w14:paraId="7E1C74F6" w14:textId="77777777" w:rsidTr="00F704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D2EE77" w14:textId="77777777" w:rsidR="00BA0A29" w:rsidRPr="002037F5" w:rsidRDefault="00BA0A29" w:rsidP="00BA0A29">
            <w:pPr>
              <w:jc w:val="both"/>
              <w:rPr>
                <w:rFonts w:ascii="FrankRuehl" w:hAnsi="FrankRuehl" w:cs="FrankRuehl"/>
                <w:sz w:val="26"/>
                <w:szCs w:val="26"/>
              </w:rPr>
            </w:pPr>
            <w:bookmarkStart w:id="2" w:name="FirstAppellant"/>
            <w:r w:rsidRPr="002037F5">
              <w:rPr>
                <w:rFonts w:ascii="FrankRuehl" w:hAnsi="FrankRuehl" w:cs="FrankRuehl"/>
                <w:b/>
                <w:bCs/>
                <w:sz w:val="26"/>
                <w:szCs w:val="26"/>
                <w:rtl/>
              </w:rPr>
              <w:t>בעניין</w:t>
            </w:r>
            <w:r w:rsidRPr="002037F5">
              <w:rPr>
                <w:rFonts w:ascii="FrankRuehl" w:hAnsi="FrankRuehl" w:cs="FrankRuehl"/>
                <w:sz w:val="26"/>
                <w:szCs w:val="26"/>
                <w:rtl/>
              </w:rPr>
              <w:t>:</w:t>
            </w:r>
          </w:p>
        </w:tc>
        <w:tc>
          <w:tcPr>
            <w:tcW w:w="3219" w:type="dxa"/>
            <w:tcBorders>
              <w:top w:val="nil"/>
              <w:left w:val="nil"/>
              <w:bottom w:val="nil"/>
              <w:right w:val="nil"/>
            </w:tcBorders>
            <w:shd w:val="clear" w:color="auto" w:fill="auto"/>
          </w:tcPr>
          <w:p w14:paraId="1212F6EB" w14:textId="77777777" w:rsidR="00BA0A29" w:rsidRPr="002037F5" w:rsidRDefault="00BA0A29" w:rsidP="00BA0A29">
            <w:pPr>
              <w:suppressLineNumbers/>
              <w:rPr>
                <w:rFonts w:ascii="FrankRuehl" w:hAnsi="FrankRuehl" w:cs="FrankRuehl"/>
              </w:rPr>
            </w:pPr>
            <w:r w:rsidRPr="002037F5">
              <w:rPr>
                <w:rFonts w:ascii="FrankRuehl" w:hAnsi="FrankRuehl" w:cs="FrankRuehl"/>
                <w:b/>
                <w:bCs/>
                <w:sz w:val="26"/>
                <w:szCs w:val="26"/>
                <w:rtl/>
              </w:rPr>
              <w:t>המאשימה</w:t>
            </w:r>
          </w:p>
          <w:p w14:paraId="7C9744DF" w14:textId="77777777" w:rsidR="00BA0A29" w:rsidRPr="002037F5" w:rsidRDefault="00BA0A29" w:rsidP="00F40485">
            <w:pPr>
              <w:rPr>
                <w:rFonts w:ascii="FrankRuehl" w:hAnsi="FrankRuehl" w:cs="FrankRuehl"/>
                <w:sz w:val="26"/>
                <w:szCs w:val="26"/>
              </w:rPr>
            </w:pPr>
          </w:p>
        </w:tc>
        <w:tc>
          <w:tcPr>
            <w:tcW w:w="4678" w:type="dxa"/>
            <w:gridSpan w:val="3"/>
            <w:tcBorders>
              <w:top w:val="nil"/>
              <w:left w:val="nil"/>
              <w:bottom w:val="nil"/>
              <w:right w:val="nil"/>
            </w:tcBorders>
            <w:shd w:val="clear" w:color="auto" w:fill="auto"/>
            <w:vAlign w:val="center"/>
          </w:tcPr>
          <w:p w14:paraId="523A255B" w14:textId="77777777" w:rsidR="00BA0A29" w:rsidRPr="002037F5" w:rsidRDefault="00BA0A29" w:rsidP="00BA0A29">
            <w:pPr>
              <w:suppressLineNumbers/>
              <w:rPr>
                <w:rFonts w:ascii="FrankRuehl" w:hAnsi="FrankRuehl" w:cs="FrankRuehl"/>
              </w:rPr>
            </w:pPr>
            <w:r w:rsidRPr="002037F5">
              <w:rPr>
                <w:rFonts w:ascii="FrankRuehl" w:hAnsi="FrankRuehl" w:cs="FrankRuehl"/>
                <w:b/>
                <w:bCs/>
                <w:sz w:val="26"/>
                <w:szCs w:val="26"/>
                <w:rtl/>
              </w:rPr>
              <w:t>מדינת ישראל</w:t>
            </w:r>
            <w:r w:rsidRPr="002037F5">
              <w:rPr>
                <w:rFonts w:ascii="FrankRuehl" w:hAnsi="FrankRuehl" w:cs="FrankRuehl"/>
                <w:b/>
                <w:bCs/>
                <w:sz w:val="26"/>
                <w:szCs w:val="26"/>
                <w:rtl/>
              </w:rPr>
              <w:br/>
              <w:t xml:space="preserve">ע"י </w:t>
            </w:r>
            <w:r w:rsidRPr="002037F5">
              <w:rPr>
                <w:rFonts w:ascii="FrankRuehl" w:hAnsi="FrankRuehl" w:cs="FrankRuehl" w:hint="cs"/>
                <w:b/>
                <w:bCs/>
                <w:sz w:val="26"/>
                <w:szCs w:val="26"/>
                <w:rtl/>
              </w:rPr>
              <w:t>ב"כ עו"ד מאיר לוברבאום מ</w:t>
            </w:r>
            <w:r w:rsidRPr="002037F5">
              <w:rPr>
                <w:rFonts w:ascii="FrankRuehl" w:hAnsi="FrankRuehl" w:cs="FrankRuehl"/>
                <w:b/>
                <w:bCs/>
                <w:sz w:val="26"/>
                <w:szCs w:val="26"/>
                <w:rtl/>
              </w:rPr>
              <w:t>תביעות ירושלים</w:t>
            </w:r>
          </w:p>
          <w:p w14:paraId="1BB80820" w14:textId="77777777" w:rsidR="00BA0A29" w:rsidRPr="002037F5" w:rsidRDefault="00BA0A29" w:rsidP="00F40485">
            <w:pPr>
              <w:rPr>
                <w:rFonts w:ascii="FrankRuehl" w:hAnsi="FrankRuehl" w:cs="FrankRuehl"/>
                <w:sz w:val="26"/>
                <w:szCs w:val="26"/>
              </w:rPr>
            </w:pPr>
          </w:p>
        </w:tc>
      </w:tr>
      <w:bookmarkEnd w:id="2"/>
      <w:tr w:rsidR="00BA0A29" w:rsidRPr="002037F5" w14:paraId="7C42E9B5" w14:textId="77777777" w:rsidTr="00F704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BFEA32" w14:textId="77777777" w:rsidR="00BA0A29" w:rsidRPr="002037F5" w:rsidRDefault="00BA0A29" w:rsidP="00BA0A29">
            <w:pPr>
              <w:jc w:val="both"/>
              <w:rPr>
                <w:rFonts w:ascii="FrankRuehl" w:hAnsi="FrankRuehl" w:cs="FrankRuehl"/>
                <w:sz w:val="26"/>
                <w:szCs w:val="26"/>
                <w:rtl/>
              </w:rPr>
            </w:pPr>
          </w:p>
        </w:tc>
        <w:tc>
          <w:tcPr>
            <w:tcW w:w="7897" w:type="dxa"/>
            <w:gridSpan w:val="4"/>
            <w:tcBorders>
              <w:top w:val="nil"/>
              <w:left w:val="nil"/>
              <w:bottom w:val="nil"/>
              <w:right w:val="nil"/>
            </w:tcBorders>
            <w:shd w:val="clear" w:color="auto" w:fill="auto"/>
          </w:tcPr>
          <w:p w14:paraId="71883822" w14:textId="77777777" w:rsidR="00BA0A29" w:rsidRPr="002037F5" w:rsidRDefault="00BA0A29" w:rsidP="00BA0A29">
            <w:pPr>
              <w:jc w:val="center"/>
              <w:rPr>
                <w:rFonts w:ascii="FrankRuehl" w:hAnsi="FrankRuehl" w:cs="FrankRuehl"/>
                <w:b/>
                <w:bCs/>
                <w:sz w:val="26"/>
                <w:szCs w:val="26"/>
                <w:rtl/>
              </w:rPr>
            </w:pPr>
          </w:p>
          <w:p w14:paraId="11DE647E" w14:textId="77777777" w:rsidR="00BA0A29" w:rsidRPr="002037F5" w:rsidRDefault="00BA0A29" w:rsidP="00BA0A29">
            <w:pPr>
              <w:jc w:val="center"/>
              <w:rPr>
                <w:rFonts w:ascii="FrankRuehl" w:hAnsi="FrankRuehl" w:cs="FrankRuehl"/>
                <w:b/>
                <w:bCs/>
                <w:sz w:val="26"/>
                <w:szCs w:val="26"/>
                <w:rtl/>
              </w:rPr>
            </w:pPr>
            <w:r w:rsidRPr="002037F5">
              <w:rPr>
                <w:rFonts w:ascii="FrankRuehl" w:hAnsi="FrankRuehl" w:cs="FrankRuehl"/>
                <w:b/>
                <w:bCs/>
                <w:sz w:val="26"/>
                <w:szCs w:val="26"/>
                <w:rtl/>
              </w:rPr>
              <w:t>נגד</w:t>
            </w:r>
          </w:p>
          <w:p w14:paraId="1BC1FE3B" w14:textId="77777777" w:rsidR="00BA0A29" w:rsidRPr="002037F5" w:rsidRDefault="00BA0A29" w:rsidP="00BA0A29">
            <w:pPr>
              <w:jc w:val="both"/>
              <w:rPr>
                <w:rFonts w:ascii="FrankRuehl" w:hAnsi="FrankRuehl" w:cs="FrankRuehl"/>
                <w:sz w:val="26"/>
                <w:szCs w:val="26"/>
              </w:rPr>
            </w:pPr>
          </w:p>
        </w:tc>
      </w:tr>
      <w:tr w:rsidR="00BA0A29" w:rsidRPr="002037F5" w14:paraId="3F854AF2" w14:textId="77777777" w:rsidTr="00F704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0CC183" w14:textId="77777777" w:rsidR="00BA0A29" w:rsidRPr="002037F5" w:rsidRDefault="00BA0A29" w:rsidP="00F40485">
            <w:pPr>
              <w:rPr>
                <w:rFonts w:ascii="FrankRuehl" w:hAnsi="FrankRuehl" w:cs="FrankRuehl"/>
                <w:sz w:val="26"/>
                <w:szCs w:val="26"/>
                <w:rtl/>
              </w:rPr>
            </w:pPr>
          </w:p>
        </w:tc>
        <w:tc>
          <w:tcPr>
            <w:tcW w:w="3219" w:type="dxa"/>
            <w:tcBorders>
              <w:top w:val="nil"/>
              <w:left w:val="nil"/>
              <w:bottom w:val="nil"/>
              <w:right w:val="nil"/>
            </w:tcBorders>
            <w:shd w:val="clear" w:color="auto" w:fill="auto"/>
          </w:tcPr>
          <w:p w14:paraId="3A6882B3" w14:textId="77777777" w:rsidR="00BA0A29" w:rsidRPr="002037F5" w:rsidRDefault="00BA0A29" w:rsidP="00F40485">
            <w:pPr>
              <w:rPr>
                <w:rFonts w:ascii="FrankRuehl" w:hAnsi="FrankRuehl" w:cs="FrankRuehl"/>
                <w:b/>
                <w:bCs/>
                <w:sz w:val="26"/>
                <w:szCs w:val="26"/>
                <w:rtl/>
              </w:rPr>
            </w:pPr>
            <w:r w:rsidRPr="002037F5">
              <w:rPr>
                <w:rFonts w:ascii="FrankRuehl" w:hAnsi="FrankRuehl" w:cs="FrankRuehl"/>
                <w:b/>
                <w:bCs/>
                <w:sz w:val="26"/>
                <w:szCs w:val="26"/>
                <w:rtl/>
              </w:rPr>
              <w:t>הנאשם</w:t>
            </w:r>
          </w:p>
        </w:tc>
        <w:tc>
          <w:tcPr>
            <w:tcW w:w="4678" w:type="dxa"/>
            <w:gridSpan w:val="3"/>
            <w:tcBorders>
              <w:top w:val="nil"/>
              <w:left w:val="nil"/>
              <w:bottom w:val="nil"/>
              <w:right w:val="nil"/>
            </w:tcBorders>
            <w:shd w:val="clear" w:color="auto" w:fill="auto"/>
            <w:vAlign w:val="center"/>
          </w:tcPr>
          <w:p w14:paraId="566AEB23" w14:textId="77777777" w:rsidR="00BA0A29" w:rsidRPr="002037F5" w:rsidRDefault="00BA0A29" w:rsidP="00BA0A29">
            <w:pPr>
              <w:suppressLineNumbers/>
              <w:rPr>
                <w:rFonts w:ascii="FrankRuehl" w:hAnsi="FrankRuehl" w:cs="FrankRuehl"/>
              </w:rPr>
            </w:pPr>
            <w:r w:rsidRPr="002037F5">
              <w:rPr>
                <w:rFonts w:ascii="FrankRuehl" w:hAnsi="FrankRuehl" w:cs="FrankRuehl"/>
                <w:b/>
                <w:bCs/>
                <w:sz w:val="26"/>
                <w:szCs w:val="26"/>
                <w:rtl/>
              </w:rPr>
              <w:t xml:space="preserve">אליעזר ישראל מנצור </w:t>
            </w:r>
            <w:r w:rsidRPr="002037F5">
              <w:rPr>
                <w:rFonts w:ascii="FrankRuehl" w:hAnsi="FrankRuehl" w:cs="FrankRuehl"/>
                <w:b/>
                <w:bCs/>
                <w:sz w:val="26"/>
                <w:szCs w:val="26"/>
                <w:rtl/>
              </w:rPr>
              <w:br/>
              <w:t>ע"י ב"כ עו"ד חי אוזן</w:t>
            </w:r>
            <w:r w:rsidRPr="002037F5">
              <w:rPr>
                <w:rFonts w:ascii="FrankRuehl" w:hAnsi="FrankRuehl" w:cs="FrankRuehl" w:hint="cs"/>
                <w:b/>
                <w:bCs/>
                <w:sz w:val="26"/>
                <w:szCs w:val="26"/>
                <w:rtl/>
              </w:rPr>
              <w:t>, ועו"ד גיורא זילברשטיין</w:t>
            </w:r>
          </w:p>
          <w:p w14:paraId="5ECB7CF2" w14:textId="77777777" w:rsidR="00BA0A29" w:rsidRPr="002037F5" w:rsidRDefault="00BA0A29" w:rsidP="00F40485">
            <w:pPr>
              <w:rPr>
                <w:rFonts w:ascii="FrankRuehl" w:hAnsi="FrankRuehl" w:cs="FrankRuehl"/>
                <w:sz w:val="26"/>
                <w:szCs w:val="26"/>
              </w:rPr>
            </w:pPr>
          </w:p>
        </w:tc>
      </w:tr>
    </w:tbl>
    <w:p w14:paraId="7799097E" w14:textId="77777777" w:rsidR="00F7043C" w:rsidRDefault="00F7043C" w:rsidP="002037F5">
      <w:pPr>
        <w:rPr>
          <w:rFonts w:ascii="FrankRuehl" w:hAnsi="FrankRuehl" w:cs="FrankRuehl"/>
          <w:sz w:val="26"/>
          <w:szCs w:val="26"/>
          <w:rtl/>
        </w:rPr>
      </w:pPr>
    </w:p>
    <w:p w14:paraId="450E0FF9" w14:textId="77777777" w:rsidR="00F7043C" w:rsidRPr="00F7043C" w:rsidRDefault="00F7043C" w:rsidP="00F7043C">
      <w:pPr>
        <w:spacing w:after="120" w:line="240" w:lineRule="exact"/>
        <w:ind w:left="283" w:hanging="283"/>
        <w:jc w:val="both"/>
        <w:rPr>
          <w:rFonts w:ascii="FrankRuehl" w:hAnsi="FrankRuehl" w:cs="FrankRuehl"/>
          <w:rtl/>
        </w:rPr>
      </w:pPr>
    </w:p>
    <w:p w14:paraId="47879E32" w14:textId="77777777" w:rsidR="00F723DC" w:rsidRPr="00F723DC" w:rsidRDefault="00F723DC" w:rsidP="00F723DC">
      <w:pPr>
        <w:spacing w:before="120" w:after="120" w:line="240" w:lineRule="exact"/>
        <w:ind w:left="283" w:hanging="283"/>
        <w:jc w:val="both"/>
        <w:rPr>
          <w:rFonts w:ascii="FrankRuehl" w:hAnsi="FrankRuehl" w:cs="FrankRuehl"/>
          <w:rtl/>
        </w:rPr>
      </w:pPr>
    </w:p>
    <w:p w14:paraId="38CCBCBB" w14:textId="77777777" w:rsidR="00B977BB" w:rsidRDefault="00B977BB" w:rsidP="00B977BB">
      <w:pPr>
        <w:rPr>
          <w:rFonts w:ascii="FrankRuehl" w:hAnsi="FrankRuehl" w:cs="FrankRuehl"/>
          <w:sz w:val="26"/>
          <w:szCs w:val="26"/>
          <w:rtl/>
        </w:rPr>
      </w:pPr>
      <w:bookmarkStart w:id="3" w:name="LawTable"/>
      <w:bookmarkEnd w:id="3"/>
    </w:p>
    <w:p w14:paraId="2171203C" w14:textId="77777777" w:rsidR="00B977BB" w:rsidRPr="00B977BB" w:rsidRDefault="00B977BB" w:rsidP="00B977BB">
      <w:pPr>
        <w:spacing w:before="120" w:after="120" w:line="240" w:lineRule="exact"/>
        <w:ind w:left="283" w:hanging="283"/>
        <w:jc w:val="both"/>
        <w:rPr>
          <w:rFonts w:ascii="FrankRuehl" w:hAnsi="FrankRuehl" w:cs="FrankRuehl"/>
          <w:rtl/>
        </w:rPr>
      </w:pPr>
    </w:p>
    <w:p w14:paraId="0BEE7085" w14:textId="77777777" w:rsidR="00B977BB" w:rsidRPr="00B977BB" w:rsidRDefault="00B977BB" w:rsidP="00B977BB">
      <w:pPr>
        <w:spacing w:before="120" w:after="120" w:line="240" w:lineRule="exact"/>
        <w:ind w:left="283" w:hanging="283"/>
        <w:jc w:val="both"/>
        <w:rPr>
          <w:rFonts w:ascii="FrankRuehl" w:hAnsi="FrankRuehl" w:cs="FrankRuehl"/>
          <w:rtl/>
        </w:rPr>
      </w:pPr>
    </w:p>
    <w:p w14:paraId="555F662C" w14:textId="77777777" w:rsidR="00B977BB" w:rsidRPr="00B977BB" w:rsidRDefault="00B977BB" w:rsidP="00B977BB">
      <w:pPr>
        <w:spacing w:before="120" w:after="120" w:line="240" w:lineRule="exact"/>
        <w:ind w:left="283" w:hanging="283"/>
        <w:jc w:val="both"/>
        <w:rPr>
          <w:rFonts w:ascii="FrankRuehl" w:hAnsi="FrankRuehl" w:cs="FrankRuehl"/>
          <w:rtl/>
        </w:rPr>
      </w:pPr>
      <w:r w:rsidRPr="00B977BB">
        <w:rPr>
          <w:rFonts w:ascii="FrankRuehl" w:hAnsi="FrankRuehl" w:cs="FrankRuehl"/>
          <w:rtl/>
        </w:rPr>
        <w:t xml:space="preserve">חקיקה שאוזכרה: </w:t>
      </w:r>
    </w:p>
    <w:p w14:paraId="47DF873E" w14:textId="77777777" w:rsidR="00B977BB" w:rsidRPr="00B977BB" w:rsidRDefault="00B977BB" w:rsidP="00B977BB">
      <w:pPr>
        <w:spacing w:before="120" w:after="120" w:line="240" w:lineRule="exact"/>
        <w:ind w:left="283" w:hanging="283"/>
        <w:jc w:val="both"/>
        <w:rPr>
          <w:rFonts w:ascii="FrankRuehl" w:hAnsi="FrankRuehl" w:cs="FrankRuehl"/>
          <w:rtl/>
        </w:rPr>
      </w:pPr>
      <w:hyperlink r:id="rId7" w:history="1">
        <w:r w:rsidRPr="00B977BB">
          <w:rPr>
            <w:rFonts w:ascii="FrankRuehl" w:hAnsi="FrankRuehl" w:cs="FrankRuehl"/>
            <w:color w:val="0000FF"/>
            <w:rtl/>
          </w:rPr>
          <w:t>פקודת הסמים המסוכנים [נוסח חדש], תשל"ג-1973</w:t>
        </w:r>
      </w:hyperlink>
      <w:r w:rsidRPr="00B977BB">
        <w:rPr>
          <w:rFonts w:ascii="FrankRuehl" w:hAnsi="FrankRuehl" w:cs="FrankRuehl"/>
          <w:rtl/>
        </w:rPr>
        <w:t xml:space="preserve">: סע'  </w:t>
      </w:r>
      <w:hyperlink r:id="rId8" w:history="1">
        <w:r w:rsidRPr="00B977BB">
          <w:rPr>
            <w:rFonts w:ascii="FrankRuehl" w:hAnsi="FrankRuehl" w:cs="FrankRuehl"/>
            <w:color w:val="0000FF"/>
            <w:rtl/>
          </w:rPr>
          <w:t>13</w:t>
        </w:r>
      </w:hyperlink>
      <w:r w:rsidRPr="00B977BB">
        <w:rPr>
          <w:rFonts w:ascii="FrankRuehl" w:hAnsi="FrankRuehl" w:cs="FrankRuehl"/>
          <w:rtl/>
        </w:rPr>
        <w:t xml:space="preserve">, </w:t>
      </w:r>
      <w:hyperlink r:id="rId9" w:history="1">
        <w:r w:rsidRPr="00B977BB">
          <w:rPr>
            <w:rFonts w:ascii="FrankRuehl" w:hAnsi="FrankRuehl" w:cs="FrankRuehl"/>
            <w:color w:val="0000FF"/>
            <w:rtl/>
          </w:rPr>
          <w:t>19א</w:t>
        </w:r>
      </w:hyperlink>
    </w:p>
    <w:p w14:paraId="65542685" w14:textId="77777777" w:rsidR="00B977BB" w:rsidRPr="00B977BB" w:rsidRDefault="00B977BB" w:rsidP="00B977BB">
      <w:pPr>
        <w:spacing w:before="120" w:after="120" w:line="240" w:lineRule="exact"/>
        <w:ind w:left="283" w:hanging="283"/>
        <w:jc w:val="both"/>
        <w:rPr>
          <w:rFonts w:ascii="FrankRuehl" w:hAnsi="FrankRuehl" w:cs="FrankRuehl"/>
          <w:rtl/>
        </w:rPr>
      </w:pPr>
      <w:hyperlink r:id="rId10" w:history="1">
        <w:r w:rsidRPr="00B977BB">
          <w:rPr>
            <w:rFonts w:ascii="FrankRuehl" w:hAnsi="FrankRuehl" w:cs="FrankRuehl"/>
            <w:color w:val="0000FF"/>
            <w:rtl/>
          </w:rPr>
          <w:t>חוק העונשין, תשל"ז-1977</w:t>
        </w:r>
      </w:hyperlink>
      <w:r w:rsidRPr="00B977BB">
        <w:rPr>
          <w:rFonts w:ascii="FrankRuehl" w:hAnsi="FrankRuehl" w:cs="FrankRuehl"/>
          <w:rtl/>
        </w:rPr>
        <w:t xml:space="preserve">: סע'  </w:t>
      </w:r>
      <w:hyperlink r:id="rId11" w:history="1">
        <w:r w:rsidRPr="00B977BB">
          <w:rPr>
            <w:rFonts w:ascii="FrankRuehl" w:hAnsi="FrankRuehl" w:cs="FrankRuehl"/>
            <w:color w:val="0000FF"/>
            <w:rtl/>
          </w:rPr>
          <w:t>40ט'</w:t>
        </w:r>
      </w:hyperlink>
      <w:r w:rsidRPr="00B977BB">
        <w:rPr>
          <w:rFonts w:ascii="FrankRuehl" w:hAnsi="FrankRuehl" w:cs="FrankRuehl"/>
          <w:rtl/>
        </w:rPr>
        <w:t xml:space="preserve">, </w:t>
      </w:r>
      <w:hyperlink r:id="rId12" w:history="1">
        <w:r w:rsidRPr="00B977BB">
          <w:rPr>
            <w:rFonts w:ascii="FrankRuehl" w:hAnsi="FrankRuehl" w:cs="FrankRuehl"/>
            <w:color w:val="0000FF"/>
            <w:rtl/>
          </w:rPr>
          <w:t>40יא</w:t>
        </w:r>
      </w:hyperlink>
    </w:p>
    <w:p w14:paraId="6856A3B7" w14:textId="77777777" w:rsidR="00B977BB" w:rsidRPr="00B977BB" w:rsidRDefault="00B977BB" w:rsidP="00B977BB">
      <w:pPr>
        <w:rPr>
          <w:rFonts w:ascii="FrankRuehl" w:hAnsi="FrankRuehl" w:cs="FrankRuehl"/>
          <w:sz w:val="26"/>
          <w:szCs w:val="26"/>
          <w:rtl/>
        </w:rPr>
      </w:pPr>
      <w:bookmarkStart w:id="4" w:name="LawTable_End"/>
      <w:bookmarkEnd w:id="4"/>
    </w:p>
    <w:p w14:paraId="5ED396CB" w14:textId="77777777" w:rsidR="00BA0A29" w:rsidRPr="00F723DC" w:rsidRDefault="00BA0A29" w:rsidP="00F723DC">
      <w:pPr>
        <w:rPr>
          <w:rFonts w:ascii="FrankRuehl" w:hAnsi="FrankRuehl" w:cs="FrankRuehl"/>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0A29" w:rsidRPr="00A522D3" w14:paraId="6E274337" w14:textId="77777777" w:rsidTr="00BA0A29">
        <w:trPr>
          <w:trHeight w:val="74"/>
          <w:jc w:val="center"/>
        </w:trPr>
        <w:tc>
          <w:tcPr>
            <w:tcW w:w="8820" w:type="dxa"/>
            <w:tcBorders>
              <w:top w:val="nil"/>
              <w:left w:val="nil"/>
              <w:bottom w:val="nil"/>
              <w:right w:val="nil"/>
            </w:tcBorders>
            <w:shd w:val="clear" w:color="auto" w:fill="auto"/>
          </w:tcPr>
          <w:p w14:paraId="764CD87D" w14:textId="77777777" w:rsidR="002037F5" w:rsidRPr="002037F5" w:rsidRDefault="002037F5" w:rsidP="002037F5">
            <w:pPr>
              <w:jc w:val="center"/>
              <w:rPr>
                <w:rFonts w:ascii="FrankRuehl" w:hAnsi="FrankRuehl" w:cs="FrankRuehl"/>
                <w:b/>
                <w:bCs/>
                <w:sz w:val="32"/>
                <w:szCs w:val="32"/>
                <w:u w:val="single"/>
                <w:rtl/>
              </w:rPr>
            </w:pPr>
            <w:bookmarkStart w:id="5" w:name="PsakDin" w:colFirst="0" w:colLast="0"/>
            <w:bookmarkEnd w:id="0"/>
            <w:bookmarkEnd w:id="1"/>
            <w:r w:rsidRPr="002037F5">
              <w:rPr>
                <w:rFonts w:ascii="FrankRuehl" w:hAnsi="FrankRuehl" w:cs="FrankRuehl"/>
                <w:b/>
                <w:bCs/>
                <w:sz w:val="32"/>
                <w:szCs w:val="32"/>
                <w:u w:val="single"/>
                <w:rtl/>
              </w:rPr>
              <w:t>גזר דין תוך ביטול הרשעה</w:t>
            </w:r>
          </w:p>
          <w:p w14:paraId="7D1A1F14" w14:textId="77777777" w:rsidR="00BA0A29" w:rsidRPr="002037F5" w:rsidRDefault="00BA0A29" w:rsidP="002037F5">
            <w:pPr>
              <w:jc w:val="center"/>
              <w:rPr>
                <w:rFonts w:ascii="FrankRuehl" w:hAnsi="FrankRuehl" w:cs="FrankRuehl"/>
                <w:b/>
                <w:bCs/>
                <w:sz w:val="32"/>
                <w:szCs w:val="32"/>
                <w:u w:val="single"/>
                <w:rtl/>
              </w:rPr>
            </w:pPr>
          </w:p>
        </w:tc>
      </w:tr>
      <w:bookmarkEnd w:id="5"/>
    </w:tbl>
    <w:p w14:paraId="734A860B" w14:textId="77777777" w:rsidR="00BA0A29" w:rsidRPr="000F2247" w:rsidRDefault="00BA0A29" w:rsidP="00BA0A29">
      <w:pPr>
        <w:rPr>
          <w:rFonts w:ascii="Arial" w:hAnsi="Arial"/>
          <w:b/>
          <w:bCs/>
          <w:sz w:val="26"/>
          <w:szCs w:val="26"/>
          <w:rtl/>
        </w:rPr>
      </w:pPr>
    </w:p>
    <w:p w14:paraId="0D0557F3" w14:textId="77777777" w:rsidR="00BA0A29" w:rsidRPr="000F2247" w:rsidRDefault="00BA0A29" w:rsidP="00BA0A29">
      <w:pPr>
        <w:rPr>
          <w:rFonts w:ascii="Arial" w:hAnsi="Arial"/>
          <w:b/>
          <w:bCs/>
          <w:sz w:val="26"/>
          <w:szCs w:val="26"/>
          <w:rtl/>
        </w:rPr>
      </w:pPr>
    </w:p>
    <w:p w14:paraId="210BB3CF" w14:textId="77777777" w:rsidR="00BA0A29" w:rsidRDefault="00BA0A29" w:rsidP="00BA0A29">
      <w:pPr>
        <w:spacing w:line="360" w:lineRule="auto"/>
        <w:rPr>
          <w:rFonts w:cs="FrankRuehl"/>
          <w:b/>
          <w:bCs/>
          <w:u w:val="single"/>
        </w:rPr>
      </w:pPr>
      <w:r>
        <w:rPr>
          <w:rFonts w:cs="FrankRuehl"/>
          <w:b/>
          <w:bCs/>
          <w:u w:val="single"/>
          <w:rtl/>
        </w:rPr>
        <w:t>כתב האישום</w:t>
      </w:r>
    </w:p>
    <w:p w14:paraId="58FDDE52" w14:textId="77777777" w:rsidR="00BA0A29" w:rsidRPr="00BA0A29" w:rsidRDefault="00BA0A29" w:rsidP="00BA0A29">
      <w:pPr>
        <w:spacing w:after="160" w:line="360" w:lineRule="auto"/>
        <w:jc w:val="both"/>
        <w:rPr>
          <w:rFonts w:ascii="Calibri" w:hAnsi="Calibri" w:cs="FrankRuehl"/>
          <w:rtl/>
        </w:rPr>
      </w:pPr>
      <w:bookmarkStart w:id="6" w:name="ABSTRACT_START"/>
      <w:bookmarkEnd w:id="6"/>
      <w:r w:rsidRPr="00BA0A29">
        <w:rPr>
          <w:rFonts w:ascii="Calibri" w:hAnsi="Calibri" w:cs="FrankRuehl"/>
          <w:rtl/>
        </w:rPr>
        <w:t xml:space="preserve">הנאשם הורשע על-פי הודאתו בכתב האישום המתוקן ב – </w:t>
      </w:r>
      <w:r w:rsidRPr="00BA0A29">
        <w:rPr>
          <w:rFonts w:ascii="Calibri" w:hAnsi="Calibri" w:cs="FrankRuehl"/>
          <w:b/>
          <w:bCs/>
          <w:rtl/>
        </w:rPr>
        <w:t>7 עבירות של סחר בסמים</w:t>
      </w:r>
      <w:r w:rsidRPr="00BA0A29">
        <w:rPr>
          <w:rFonts w:ascii="Calibri" w:hAnsi="Calibri" w:cs="FrankRuehl"/>
          <w:rtl/>
        </w:rPr>
        <w:t xml:space="preserve">, לפי </w:t>
      </w:r>
      <w:hyperlink r:id="rId13" w:history="1">
        <w:r w:rsidR="00F7043C" w:rsidRPr="00F7043C">
          <w:rPr>
            <w:rStyle w:val="Hyperlink"/>
            <w:rFonts w:ascii="Calibri" w:hAnsi="Calibri" w:cs="FrankRuehl" w:hint="eastAsia"/>
            <w:rtl/>
          </w:rPr>
          <w:t>סעיף</w:t>
        </w:r>
        <w:r w:rsidR="00F7043C" w:rsidRPr="00F7043C">
          <w:rPr>
            <w:rStyle w:val="Hyperlink"/>
            <w:rFonts w:ascii="Calibri" w:hAnsi="Calibri" w:cs="FrankRuehl"/>
            <w:rtl/>
          </w:rPr>
          <w:t xml:space="preserve"> 13</w:t>
        </w:r>
      </w:hyperlink>
      <w:r w:rsidRPr="00BA0A29">
        <w:rPr>
          <w:rFonts w:ascii="Calibri" w:hAnsi="Calibri" w:cs="FrankRuehl"/>
          <w:rtl/>
        </w:rPr>
        <w:t xml:space="preserve"> + </w:t>
      </w:r>
      <w:hyperlink r:id="rId14" w:history="1">
        <w:r w:rsidR="00F7043C" w:rsidRPr="00F7043C">
          <w:rPr>
            <w:rStyle w:val="Hyperlink"/>
            <w:rFonts w:ascii="Calibri" w:hAnsi="Calibri" w:cs="FrankRuehl"/>
            <w:rtl/>
          </w:rPr>
          <w:t>19</w:t>
        </w:r>
        <w:r w:rsidR="00F7043C" w:rsidRPr="00F7043C">
          <w:rPr>
            <w:rStyle w:val="Hyperlink"/>
            <w:rFonts w:ascii="Calibri" w:hAnsi="Calibri" w:cs="FrankRuehl" w:hint="eastAsia"/>
            <w:rtl/>
          </w:rPr>
          <w:t>א</w:t>
        </w:r>
      </w:hyperlink>
      <w:r w:rsidRPr="00BA0A29">
        <w:rPr>
          <w:rFonts w:ascii="Calibri" w:hAnsi="Calibri" w:cs="FrankRuehl"/>
          <w:rtl/>
        </w:rPr>
        <w:t xml:space="preserve"> ל</w:t>
      </w:r>
      <w:hyperlink r:id="rId15" w:history="1">
        <w:r w:rsidR="002037F5" w:rsidRPr="002037F5">
          <w:rPr>
            <w:rFonts w:ascii="Calibri" w:hAnsi="Calibri" w:cs="FrankRuehl" w:hint="eastAsia"/>
            <w:color w:val="0000FF"/>
            <w:u w:val="single"/>
            <w:rtl/>
          </w:rPr>
          <w:t>פקודת</w:t>
        </w:r>
        <w:r w:rsidR="002037F5" w:rsidRPr="002037F5">
          <w:rPr>
            <w:rFonts w:ascii="Calibri" w:hAnsi="Calibri" w:cs="FrankRuehl"/>
            <w:color w:val="0000FF"/>
            <w:u w:val="single"/>
            <w:rtl/>
          </w:rPr>
          <w:t xml:space="preserve"> </w:t>
        </w:r>
        <w:r w:rsidR="002037F5" w:rsidRPr="002037F5">
          <w:rPr>
            <w:rFonts w:ascii="Calibri" w:hAnsi="Calibri" w:cs="FrankRuehl" w:hint="eastAsia"/>
            <w:color w:val="0000FF"/>
            <w:u w:val="single"/>
            <w:rtl/>
          </w:rPr>
          <w:t>הסמים</w:t>
        </w:r>
        <w:r w:rsidR="002037F5" w:rsidRPr="002037F5">
          <w:rPr>
            <w:rFonts w:ascii="Calibri" w:hAnsi="Calibri" w:cs="FrankRuehl"/>
            <w:color w:val="0000FF"/>
            <w:u w:val="single"/>
            <w:rtl/>
          </w:rPr>
          <w:t xml:space="preserve"> </w:t>
        </w:r>
        <w:r w:rsidR="002037F5" w:rsidRPr="002037F5">
          <w:rPr>
            <w:rFonts w:ascii="Calibri" w:hAnsi="Calibri" w:cs="FrankRuehl" w:hint="eastAsia"/>
            <w:color w:val="0000FF"/>
            <w:u w:val="single"/>
            <w:rtl/>
          </w:rPr>
          <w:t>המסוכנים</w:t>
        </w:r>
      </w:hyperlink>
      <w:r w:rsidRPr="00BA0A29">
        <w:rPr>
          <w:rFonts w:ascii="Calibri" w:hAnsi="Calibri" w:cs="FrankRuehl"/>
          <w:rtl/>
        </w:rPr>
        <w:t xml:space="preserve"> (נוסח חדש), תשל"ג – 1973.</w:t>
      </w:r>
    </w:p>
    <w:p w14:paraId="1E46CCA1"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rtl/>
        </w:rPr>
        <w:t xml:space="preserve">מעובדות החלק הכללי עולה, כי במועדים המפורטים בכתב האישום במהלך חודש ינואר 2021, שלח הנאשם הודעות טקסט ו/או הודעות קוליות באמצעות יישומון הטלגרם ובהן פרטים כגון כמות הסם המבוקש, הסכום הכספי הנדרש, הכתובת למשלוח הסם ועוד זאת לצורך תיאום ביצוע עסקת סמים בין הנאשם לבין אחרים. </w:t>
      </w:r>
    </w:p>
    <w:p w14:paraId="1D24F1FD"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rtl/>
        </w:rPr>
        <w:t>בשבעה מועדים שונים המפורטים בכתב האישום, מכר הנאשם לאחר תיאום ובאמצעות היישומון גרמים בודדים ועד 20 גרם של סם מסוג קנבוס לאנשים שונים ושאינם מוכרים לנאשם תמורת מאות שקלים בכל פעם.</w:t>
      </w:r>
    </w:p>
    <w:p w14:paraId="2D6444E9" w14:textId="77777777" w:rsidR="00BA0A29" w:rsidRPr="00BA0A29" w:rsidRDefault="00BA0A29" w:rsidP="00BA0A29">
      <w:pPr>
        <w:spacing w:after="160" w:line="360" w:lineRule="auto"/>
        <w:jc w:val="both"/>
        <w:rPr>
          <w:rFonts w:ascii="Calibri" w:hAnsi="Calibri" w:cs="FrankRuehl"/>
          <w:b/>
          <w:bCs/>
          <w:u w:val="single"/>
        </w:rPr>
      </w:pPr>
    </w:p>
    <w:p w14:paraId="7AB47BDA" w14:textId="77777777" w:rsidR="00BA0A29" w:rsidRPr="00BA0A29" w:rsidRDefault="00BA0A29" w:rsidP="00BA0A29">
      <w:pPr>
        <w:spacing w:after="160"/>
        <w:jc w:val="both"/>
        <w:rPr>
          <w:rFonts w:ascii="Calibri" w:hAnsi="Calibri" w:cs="FrankRuehl"/>
          <w:b/>
          <w:bCs/>
          <w:u w:val="single"/>
          <w:rtl/>
        </w:rPr>
      </w:pPr>
      <w:bookmarkStart w:id="7" w:name="ABSTRACT_END"/>
      <w:bookmarkEnd w:id="7"/>
      <w:r w:rsidRPr="00BA0A29">
        <w:rPr>
          <w:rFonts w:ascii="Calibri" w:hAnsi="Calibri" w:cs="FrankRuehl"/>
          <w:b/>
          <w:bCs/>
          <w:u w:val="single"/>
          <w:rtl/>
        </w:rPr>
        <w:lastRenderedPageBreak/>
        <w:t>מהלך הדיון</w:t>
      </w:r>
    </w:p>
    <w:p w14:paraId="790058E5"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rtl/>
        </w:rPr>
        <w:t xml:space="preserve">כתב האישום הוגש נגד הנאשם יחד עם בקשה למעצר עד לתום ההליכים. הנאשם היה עצור מעצר ממש בין התאריכים 17.1.2021 – 2.3.2021, וברבות </w:t>
      </w:r>
      <w:r w:rsidRPr="00BA0A29">
        <w:rPr>
          <w:rFonts w:ascii="Calibri" w:hAnsi="Calibri" w:cs="FrankRuehl" w:hint="cs"/>
          <w:rtl/>
        </w:rPr>
        <w:t xml:space="preserve">הזמן </w:t>
      </w:r>
      <w:r w:rsidRPr="00BA0A29">
        <w:rPr>
          <w:rFonts w:ascii="Calibri" w:hAnsi="Calibri" w:cs="FrankRuehl"/>
          <w:rtl/>
        </w:rPr>
        <w:t xml:space="preserve">הוקלו התנאים מעת לעת תוך שהוא נתון בפיקוח של שירות המבחן. </w:t>
      </w:r>
    </w:p>
    <w:p w14:paraId="1D5F4F64" w14:textId="77777777" w:rsidR="00BA0A29" w:rsidRPr="00BA0A29" w:rsidRDefault="00BA0A29" w:rsidP="00BA0A29">
      <w:pPr>
        <w:spacing w:after="160" w:line="360" w:lineRule="auto"/>
        <w:jc w:val="both"/>
        <w:rPr>
          <w:rFonts w:ascii="Calibri" w:hAnsi="Calibri" w:cs="FrankRuehl"/>
          <w:b/>
          <w:bCs/>
          <w:u w:val="single"/>
          <w:rtl/>
        </w:rPr>
      </w:pPr>
    </w:p>
    <w:p w14:paraId="6C756F17" w14:textId="77777777" w:rsidR="00BA0A29" w:rsidRPr="00BA0A29" w:rsidRDefault="00BA0A29" w:rsidP="00BA0A29">
      <w:pPr>
        <w:spacing w:after="160"/>
        <w:jc w:val="both"/>
        <w:rPr>
          <w:rFonts w:ascii="Calibri" w:hAnsi="Calibri" w:cs="FrankRuehl"/>
          <w:b/>
          <w:bCs/>
          <w:u w:val="single"/>
          <w:rtl/>
        </w:rPr>
      </w:pPr>
      <w:r w:rsidRPr="00BA0A29">
        <w:rPr>
          <w:rFonts w:ascii="Calibri" w:hAnsi="Calibri" w:cs="FrankRuehl"/>
          <w:b/>
          <w:bCs/>
          <w:u w:val="single"/>
          <w:rtl/>
        </w:rPr>
        <w:t>תסקיר</w:t>
      </w:r>
      <w:r w:rsidRPr="00BA0A29">
        <w:rPr>
          <w:rFonts w:ascii="Calibri" w:hAnsi="Calibri" w:cs="FrankRuehl" w:hint="cs"/>
          <w:b/>
          <w:bCs/>
          <w:u w:val="single"/>
          <w:rtl/>
        </w:rPr>
        <w:t xml:space="preserve"> </w:t>
      </w:r>
      <w:r w:rsidRPr="00BA0A29">
        <w:rPr>
          <w:rFonts w:ascii="Calibri" w:hAnsi="Calibri" w:cs="FrankRuehl"/>
          <w:b/>
          <w:bCs/>
          <w:u w:val="single"/>
          <w:rtl/>
        </w:rPr>
        <w:t>שירות המבחן</w:t>
      </w:r>
    </w:p>
    <w:p w14:paraId="7033B54C"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rtl/>
        </w:rPr>
        <w:t>מהתסקיר שהוגש בעניינו של הנאשם עולה, כי מדובר בנאשם כבן 33, נשוי בשנית ואב לארבעה ילדים  בטווח הגילאים שנה עד עשר שנ</w:t>
      </w:r>
      <w:r w:rsidRPr="00BA0A29">
        <w:rPr>
          <w:rFonts w:ascii="Calibri" w:hAnsi="Calibri" w:cs="FrankRuehl" w:hint="cs"/>
          <w:rtl/>
        </w:rPr>
        <w:t>ים</w:t>
      </w:r>
      <w:r w:rsidRPr="00BA0A29">
        <w:rPr>
          <w:rFonts w:ascii="Calibri" w:hAnsi="Calibri" w:cs="FrankRuehl"/>
          <w:rtl/>
        </w:rPr>
        <w:t xml:space="preserve">, עובד כמנהל סוכנים בחברת תקשורת. מקורות חייו, כפי שפורטו על ידי שירות מבחן, עולה כי הנאשם סיים 12 שנות לימוד וגדל והתחנך בירושלים. הנאשם למד במסגרות דתיות של תלמוד תורה ובהמשך עבר ללימודים בישיבה קטנה וגדולה, אך בשל קשיים </w:t>
      </w:r>
      <w:r w:rsidRPr="00BA0A29">
        <w:rPr>
          <w:rFonts w:ascii="Calibri" w:hAnsi="Calibri" w:cs="FrankRuehl" w:hint="cs"/>
          <w:rtl/>
        </w:rPr>
        <w:t>ו</w:t>
      </w:r>
      <w:r w:rsidRPr="00BA0A29">
        <w:rPr>
          <w:rFonts w:ascii="Calibri" w:hAnsi="Calibri" w:cs="FrankRuehl"/>
          <w:rtl/>
        </w:rPr>
        <w:t xml:space="preserve">התרחקות מהדת, נשר ממסגרות הלימודים והשתלב בשוק העבודה. לדברי הנאשם, לא התגייס לשירות צבאי מאחר וביקש לעבוד. במהלך השנים עבד בעבודות שונות, בין היתר כמנהל קבוצת כדורגל וניהול סניף רשת בתי קפה. כאמור לפני מספר חודשים החל לעבוד בחברה כמפקח מותג. הנאשם סיפר כי נישא לראשונה בגיל 21 והתגרש לאחר כארבע שנות נישואין, כאשר מנישואים אלה נולדו לו שלושה ילדים. כיום מקיים איתם קשר בהתאם להסדרי ראייה שנקבעו בין הצדדים. בחודש מרץ 2020 נישא בשנית ולזוג תינוקת בת שנה. הנאשם שלל שימוש בסמים ואלכוהול והוא נעדר עבר פלילי. באשר לעבירות בהן הורשע, תיאר כי ברקע לביצוע העבירות, קושי כלכלי משמעותי באותה עת, לאחר </w:t>
      </w:r>
      <w:r w:rsidRPr="00BA0A29">
        <w:rPr>
          <w:rFonts w:ascii="Calibri" w:hAnsi="Calibri" w:cs="FrankRuehl" w:hint="cs"/>
          <w:rtl/>
        </w:rPr>
        <w:t xml:space="preserve">הולדת </w:t>
      </w:r>
      <w:r w:rsidRPr="00BA0A29">
        <w:rPr>
          <w:rFonts w:ascii="Calibri" w:hAnsi="Calibri" w:cs="FrankRuehl"/>
          <w:rtl/>
        </w:rPr>
        <w:t xml:space="preserve">בתו הקטנה, תשלום מזונות לילדיו האחרים וחוסר תעסוקה בשל נגיף הקורונה. שירות המבחן התרשם כי הנאשם קיבל אחריות מלאה על מעשיו, הביע חרטה כנה ומבין את ההשלכות הכרוכות בהליך המשפטי. כן נמסר, כי במסגרת הליך המעצר, השתלב </w:t>
      </w:r>
      <w:r w:rsidRPr="00BA0A29">
        <w:rPr>
          <w:rFonts w:ascii="Calibri" w:hAnsi="Calibri" w:cs="FrankRuehl" w:hint="cs"/>
          <w:rtl/>
        </w:rPr>
        <w:t xml:space="preserve">הנאשם </w:t>
      </w:r>
      <w:r w:rsidRPr="00BA0A29">
        <w:rPr>
          <w:rFonts w:ascii="Calibri" w:hAnsi="Calibri" w:cs="FrankRuehl"/>
          <w:rtl/>
        </w:rPr>
        <w:t>בקבוצה טיפולית אותה סיים בהצלחה ומתעתד להשתלב בטיפול המשך בתקופה הקרובה. לאור האמור, שירות המבחן המליץ להטיל על הנאשם צו פיקוח למשך שנה, במהלכה ישתלב בטיפול המשך, לצד 340 שעות של"ץ וענישה נלווית.</w:t>
      </w:r>
    </w:p>
    <w:p w14:paraId="0ABF0CD7" w14:textId="77777777" w:rsidR="00BA0A29" w:rsidRPr="00BA0A29" w:rsidRDefault="00BA0A29" w:rsidP="00BA0A29">
      <w:pPr>
        <w:spacing w:after="160" w:line="360" w:lineRule="auto"/>
        <w:jc w:val="both"/>
        <w:rPr>
          <w:rFonts w:ascii="Calibri" w:hAnsi="Calibri" w:cs="FrankRuehl"/>
          <w:b/>
          <w:bCs/>
          <w:u w:val="single"/>
          <w:rtl/>
        </w:rPr>
      </w:pPr>
    </w:p>
    <w:p w14:paraId="5E5C3AB1" w14:textId="77777777" w:rsidR="00BA0A29" w:rsidRPr="00BA0A29" w:rsidRDefault="00BA0A29" w:rsidP="00BA0A29">
      <w:pPr>
        <w:spacing w:after="160"/>
        <w:jc w:val="both"/>
        <w:rPr>
          <w:rFonts w:ascii="Calibri" w:hAnsi="Calibri" w:cs="FrankRuehl"/>
          <w:b/>
          <w:bCs/>
          <w:u w:val="single"/>
          <w:rtl/>
        </w:rPr>
      </w:pPr>
      <w:r w:rsidRPr="00BA0A29">
        <w:rPr>
          <w:rFonts w:ascii="Calibri" w:hAnsi="Calibri" w:cs="FrankRuehl"/>
          <w:b/>
          <w:bCs/>
          <w:u w:val="single"/>
          <w:rtl/>
        </w:rPr>
        <w:t>חוות דעת של הממונה על עבודות השירות</w:t>
      </w:r>
    </w:p>
    <w:p w14:paraId="1344870C"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rtl/>
        </w:rPr>
        <w:t>הממונה הגיש חוות דעת על אודות כשירות הנאשם לבצע מאסר בעבודות שירות. מחוות הדעת עולה, כי הנאשם כשיר לבצע עבודות שירות במסגרת כבאות והצלחה בית שמש.</w:t>
      </w:r>
    </w:p>
    <w:p w14:paraId="46FD9CAB" w14:textId="77777777" w:rsidR="00BA0A29" w:rsidRPr="00BA0A29" w:rsidRDefault="00BA0A29" w:rsidP="00BA0A29">
      <w:pPr>
        <w:spacing w:after="160" w:line="360" w:lineRule="auto"/>
        <w:jc w:val="both"/>
        <w:rPr>
          <w:rFonts w:ascii="Calibri" w:hAnsi="Calibri" w:cs="FrankRuehl"/>
          <w:rtl/>
        </w:rPr>
      </w:pPr>
    </w:p>
    <w:p w14:paraId="0A7026A3" w14:textId="77777777" w:rsidR="00BA0A29" w:rsidRPr="00BA0A29" w:rsidRDefault="00BA0A29" w:rsidP="00BA0A29">
      <w:pPr>
        <w:spacing w:after="160"/>
        <w:jc w:val="both"/>
        <w:rPr>
          <w:rFonts w:ascii="Calibri" w:hAnsi="Calibri" w:cs="FrankRuehl"/>
          <w:b/>
          <w:bCs/>
          <w:u w:val="single"/>
          <w:rtl/>
        </w:rPr>
      </w:pPr>
      <w:r w:rsidRPr="00BA0A29">
        <w:rPr>
          <w:rFonts w:ascii="Calibri" w:hAnsi="Calibri" w:cs="FrankRuehl"/>
          <w:b/>
          <w:bCs/>
          <w:u w:val="single"/>
          <w:rtl/>
        </w:rPr>
        <w:t>ראיות וטיעונים לעונש</w:t>
      </w:r>
    </w:p>
    <w:p w14:paraId="0B86FEE1"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rtl/>
        </w:rPr>
        <w:t xml:space="preserve">הצדדים לא הגיעו להסכמה עונשית. </w:t>
      </w:r>
    </w:p>
    <w:p w14:paraId="54ECB20A"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rtl/>
        </w:rPr>
        <w:t xml:space="preserve">מחד, ב"כ המאשימה עתר להטיל על הנאשם עונש מאסר על בסיס מתחמים שמתחילים בתקופה שיכול ותרוצה בעבודות שירות וענישה נלווית. ב"כ המאשימה ביקר את החלטת בית המשפט מיום 22.3.2022 לפיה התבקשו הצדדים להיות ערוכים לטעון בשאלת ביטול ההרשעה נוכח בקשת ההגנה לשוב ולהפנות את הנאשם לשירות </w:t>
      </w:r>
      <w:r w:rsidRPr="00BA0A29">
        <w:rPr>
          <w:rFonts w:ascii="Calibri" w:hAnsi="Calibri" w:cs="FrankRuehl"/>
          <w:rtl/>
        </w:rPr>
        <w:lastRenderedPageBreak/>
        <w:t xml:space="preserve">המבחן לבחון שאלה זו. סברתי שביקורת זו אינה במקומה, שכן מצד אחד, לא הבעתי כל עמדה בהחלטתי, ומצד שני, לא ניתן להתעלם מפסיקה המאפשרת תוצאה שכזו בנסיבות מתאימות. </w:t>
      </w:r>
    </w:p>
    <w:p w14:paraId="1776FB3C" w14:textId="77777777" w:rsidR="00BA0A29" w:rsidRPr="00BA0A29" w:rsidRDefault="00BA0A29" w:rsidP="00BA0A29">
      <w:pPr>
        <w:spacing w:after="160" w:line="360" w:lineRule="auto"/>
        <w:jc w:val="both"/>
        <w:rPr>
          <w:rFonts w:ascii="Calibri" w:hAnsi="Calibri" w:cs="FrankRuehl"/>
          <w:b/>
          <w:bCs/>
          <w:u w:val="single"/>
          <w:rtl/>
        </w:rPr>
      </w:pPr>
      <w:r w:rsidRPr="00BA0A29">
        <w:rPr>
          <w:rFonts w:ascii="Calibri" w:hAnsi="Calibri" w:cs="FrankRuehl"/>
          <w:rtl/>
        </w:rPr>
        <w:t>מאידך, הסניגור ביקש לאמץ את המלצת שירות המבחן וכן ביקש לבטל את הרשעת הנאשם בהיעדר כל עבר פלילי לנאשם, והתחשב בתהליך הטיפולי שעבר.</w:t>
      </w:r>
    </w:p>
    <w:p w14:paraId="4A90D8DB" w14:textId="77777777" w:rsidR="00BA0A29" w:rsidRPr="00BA0A29" w:rsidRDefault="00BA0A29" w:rsidP="00BA0A29">
      <w:pPr>
        <w:spacing w:after="160" w:line="360" w:lineRule="auto"/>
        <w:jc w:val="both"/>
        <w:rPr>
          <w:rFonts w:ascii="Calibri" w:hAnsi="Calibri" w:cs="FrankRuehl"/>
          <w:b/>
          <w:bCs/>
          <w:u w:val="single"/>
          <w:rtl/>
        </w:rPr>
      </w:pPr>
    </w:p>
    <w:p w14:paraId="31DC1BE8" w14:textId="77777777" w:rsidR="00BA0A29" w:rsidRPr="00BA0A29" w:rsidRDefault="00BA0A29" w:rsidP="00BA0A29">
      <w:pPr>
        <w:spacing w:after="160" w:line="360" w:lineRule="auto"/>
        <w:jc w:val="both"/>
        <w:rPr>
          <w:rFonts w:ascii="Calibri" w:hAnsi="Calibri" w:cs="FrankRuehl"/>
          <w:b/>
          <w:bCs/>
          <w:u w:val="single"/>
          <w:rtl/>
        </w:rPr>
      </w:pPr>
      <w:r w:rsidRPr="00BA0A29">
        <w:rPr>
          <w:rFonts w:ascii="Calibri" w:hAnsi="Calibri" w:cs="FrankRuehl"/>
          <w:b/>
          <w:bCs/>
          <w:u w:val="single"/>
          <w:rtl/>
        </w:rPr>
        <w:t xml:space="preserve">קביעת מתחם הענישה </w:t>
      </w:r>
      <w:r w:rsidRPr="00BA0A29">
        <w:rPr>
          <w:rFonts w:ascii="Calibri" w:hAnsi="Calibri" w:cs="FrankRuehl"/>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64275EA8" w14:textId="77777777" w:rsidR="00BA0A29" w:rsidRPr="00BA0A29" w:rsidRDefault="00BA0A29" w:rsidP="00BA0A29">
      <w:pPr>
        <w:spacing w:after="160" w:line="360" w:lineRule="auto"/>
        <w:jc w:val="both"/>
        <w:rPr>
          <w:rFonts w:ascii="Calibri" w:hAnsi="Calibri" w:cs="FrankRuehl"/>
          <w:b/>
          <w:bCs/>
          <w:u w:val="single"/>
          <w:rtl/>
        </w:rPr>
      </w:pPr>
    </w:p>
    <w:p w14:paraId="556748E4"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b/>
          <w:bCs/>
          <w:u w:val="single"/>
          <w:rtl/>
        </w:rPr>
        <w:t xml:space="preserve">הערך המוגן </w:t>
      </w:r>
      <w:r w:rsidRPr="00BA0A29">
        <w:rPr>
          <w:rFonts w:ascii="Calibri" w:hAnsi="Calibri" w:cs="FrankRuehl"/>
          <w:b/>
          <w:bCs/>
          <w:rtl/>
        </w:rPr>
        <w:t xml:space="preserve"> - </w:t>
      </w:r>
      <w:r w:rsidRPr="00BA0A29">
        <w:rPr>
          <w:rFonts w:ascii="Calibri" w:hAnsi="Calibri" w:cs="FrankRuehl"/>
          <w:rtl/>
        </w:rPr>
        <w:t>נגע הסמים נרחב ונפוץ והוא רעה חולה המכה בחברה ללא הבדל דת, מין, מוצא או מעמד סוציו-אקונומי. סחר בסמים חמור מעבירות של צריכה וגידול במובן זה, שהוא מגדיל את מעגל המשתמשים בסמים.</w:t>
      </w:r>
      <w:r w:rsidRPr="00BA0A29">
        <w:rPr>
          <w:rFonts w:ascii="Calibri" w:hAnsi="Calibri" w:cs="FrankRuehl"/>
          <w:b/>
          <w:bCs/>
          <w:rtl/>
        </w:rPr>
        <w:t xml:space="preserve"> </w:t>
      </w:r>
      <w:r w:rsidRPr="00BA0A29">
        <w:rPr>
          <w:rFonts w:ascii="Calibri" w:hAnsi="Calibri" w:cs="FrankRuehl"/>
          <w:rtl/>
        </w:rPr>
        <w:t xml:space="preserve">ברע"פ 3343/07 </w:t>
      </w:r>
      <w:r w:rsidRPr="00BA0A29">
        <w:rPr>
          <w:rFonts w:ascii="Calibri" w:hAnsi="Calibri" w:cs="FrankRuehl"/>
          <w:b/>
          <w:bCs/>
          <w:u w:val="single"/>
          <w:rtl/>
        </w:rPr>
        <w:t>מכאוי</w:t>
      </w:r>
      <w:r w:rsidRPr="00BA0A29">
        <w:rPr>
          <w:rFonts w:ascii="Calibri" w:hAnsi="Calibri" w:cs="FrankRuehl"/>
          <w:rtl/>
        </w:rPr>
        <w:t xml:space="preserve"> נ' </w:t>
      </w:r>
      <w:r w:rsidRPr="00BA0A29">
        <w:rPr>
          <w:rFonts w:ascii="Calibri" w:hAnsi="Calibri" w:cs="FrankRuehl"/>
          <w:b/>
          <w:bCs/>
          <w:u w:val="single"/>
          <w:rtl/>
        </w:rPr>
        <w:t>מ"</w:t>
      </w:r>
      <w:r w:rsidRPr="00BA0A29">
        <w:rPr>
          <w:rFonts w:ascii="Calibri" w:hAnsi="Calibri" w:cs="FrankRuehl"/>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 בעניינו הפגיעה בערך המוגן, בינונית.</w:t>
      </w:r>
    </w:p>
    <w:p w14:paraId="76644850" w14:textId="77777777" w:rsidR="00BA0A29" w:rsidRPr="00BA0A29" w:rsidRDefault="00BA0A29" w:rsidP="00BA0A29">
      <w:pPr>
        <w:spacing w:after="160" w:line="360" w:lineRule="auto"/>
        <w:jc w:val="both"/>
        <w:rPr>
          <w:rFonts w:ascii="Calibri" w:hAnsi="Calibri" w:cs="FrankRuehl"/>
          <w:b/>
          <w:bCs/>
          <w:u w:val="single"/>
          <w:rtl/>
        </w:rPr>
      </w:pPr>
    </w:p>
    <w:p w14:paraId="00371E13"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b/>
          <w:bCs/>
          <w:u w:val="single"/>
          <w:rtl/>
        </w:rPr>
        <w:t xml:space="preserve">נסיבות הקשורות בביצוע העבירה, לפי </w:t>
      </w:r>
      <w:hyperlink r:id="rId16" w:history="1">
        <w:r w:rsidR="00F7043C" w:rsidRPr="00F7043C">
          <w:rPr>
            <w:rStyle w:val="Hyperlink"/>
            <w:rFonts w:ascii="Calibri" w:hAnsi="Calibri" w:cs="FrankRuehl" w:hint="eastAsia"/>
            <w:b/>
            <w:bCs/>
            <w:rtl/>
          </w:rPr>
          <w:t>סעיף</w:t>
        </w:r>
        <w:r w:rsidR="00F7043C" w:rsidRPr="00F7043C">
          <w:rPr>
            <w:rStyle w:val="Hyperlink"/>
            <w:rFonts w:ascii="Calibri" w:hAnsi="Calibri" w:cs="FrankRuehl"/>
            <w:b/>
            <w:bCs/>
            <w:rtl/>
          </w:rPr>
          <w:t xml:space="preserve"> 40</w:t>
        </w:r>
        <w:r w:rsidR="00F7043C" w:rsidRPr="00F7043C">
          <w:rPr>
            <w:rStyle w:val="Hyperlink"/>
            <w:rFonts w:ascii="Calibri" w:hAnsi="Calibri" w:cs="FrankRuehl" w:hint="eastAsia"/>
            <w:b/>
            <w:bCs/>
            <w:rtl/>
          </w:rPr>
          <w:t>ט</w:t>
        </w:r>
        <w:r w:rsidR="00F7043C" w:rsidRPr="00F7043C">
          <w:rPr>
            <w:rStyle w:val="Hyperlink"/>
            <w:rFonts w:ascii="Calibri" w:hAnsi="Calibri" w:cs="FrankRuehl"/>
            <w:b/>
            <w:bCs/>
            <w:rtl/>
          </w:rPr>
          <w:t>'</w:t>
        </w:r>
      </w:hyperlink>
      <w:r w:rsidRPr="00BA0A29">
        <w:rPr>
          <w:rFonts w:ascii="Calibri" w:hAnsi="Calibri" w:cs="FrankRuehl"/>
          <w:b/>
          <w:bCs/>
          <w:u w:val="single"/>
          <w:rtl/>
        </w:rPr>
        <w:t xml:space="preserve"> ל</w:t>
      </w:r>
      <w:hyperlink r:id="rId17" w:history="1">
        <w:r w:rsidR="002037F5" w:rsidRPr="002037F5">
          <w:rPr>
            <w:rFonts w:ascii="Calibri" w:hAnsi="Calibri" w:cs="FrankRuehl" w:hint="eastAsia"/>
            <w:b/>
            <w:bCs/>
            <w:color w:val="0000FF"/>
            <w:u w:val="single"/>
            <w:rtl/>
          </w:rPr>
          <w:t>חוק</w:t>
        </w:r>
        <w:r w:rsidR="002037F5" w:rsidRPr="002037F5">
          <w:rPr>
            <w:rFonts w:ascii="Calibri" w:hAnsi="Calibri" w:cs="FrankRuehl"/>
            <w:b/>
            <w:bCs/>
            <w:color w:val="0000FF"/>
            <w:u w:val="single"/>
            <w:rtl/>
          </w:rPr>
          <w:t xml:space="preserve"> </w:t>
        </w:r>
        <w:r w:rsidR="002037F5" w:rsidRPr="002037F5">
          <w:rPr>
            <w:rFonts w:ascii="Calibri" w:hAnsi="Calibri" w:cs="FrankRuehl" w:hint="eastAsia"/>
            <w:b/>
            <w:bCs/>
            <w:color w:val="0000FF"/>
            <w:u w:val="single"/>
            <w:rtl/>
          </w:rPr>
          <w:t>העונשין</w:t>
        </w:r>
      </w:hyperlink>
      <w:r w:rsidRPr="00BA0A29">
        <w:rPr>
          <w:rFonts w:ascii="Calibri" w:hAnsi="Calibri" w:cs="FrankRuehl"/>
          <w:b/>
          <w:bCs/>
          <w:rtl/>
        </w:rPr>
        <w:t xml:space="preserve"> – </w:t>
      </w:r>
      <w:r w:rsidRPr="00BA0A29">
        <w:rPr>
          <w:rFonts w:ascii="Calibri" w:hAnsi="Calibri" w:cs="FrankRuehl"/>
          <w:rtl/>
        </w:rPr>
        <w:t>בין הנסיבות הקשורות בביצוע העבירה יש לשקול את אלה, לעניין קביעת המתחם: מדובר בעבירות מתוכננות שבוצעו בתחכום ותוך תכנון; סחר בסמים גורם לנזק בהרחיבו את מעגל המשתמשים, ולנוכח היקף העסקאות ושיטתיותן, סביר להניח שאכן נגרם נזק לחברה. עם זאת, יש לזכור שמדובר בסם מסוג "קנביס", שנחשב לסם "קל" יותר בהשוואה לסמים אחרים ובעניי</w:t>
      </w:r>
      <w:r w:rsidRPr="00BA0A29">
        <w:rPr>
          <w:rFonts w:ascii="Calibri" w:hAnsi="Calibri" w:cs="FrankRuehl" w:hint="cs"/>
          <w:rtl/>
        </w:rPr>
        <w:t>נ</w:t>
      </w:r>
      <w:r w:rsidRPr="00BA0A29">
        <w:rPr>
          <w:rFonts w:ascii="Calibri" w:hAnsi="Calibri" w:cs="FrankRuehl"/>
          <w:rtl/>
        </w:rPr>
        <w:t>נו קיימת מחלוקת ציבורית ואף קיימת רפורמה המתירה שימוש עצמי בנסיבות מסוימות; כן מדובר במכירה של כמויות יחסית קטנות אלא שלחומרה, ניתן לראות הסלמה בכמות שנמכרה מפעם לפעם. המניע למעשים היה כלכלי והנאשם בהיותו בגיר, צריך היה להימנע מביצוע המעשים.</w:t>
      </w:r>
    </w:p>
    <w:p w14:paraId="5D897FDD" w14:textId="77777777" w:rsidR="00BA0A29" w:rsidRPr="00BA0A29" w:rsidRDefault="00BA0A29" w:rsidP="00BA0A29">
      <w:pPr>
        <w:spacing w:after="160" w:line="360" w:lineRule="auto"/>
        <w:jc w:val="both"/>
        <w:rPr>
          <w:rFonts w:ascii="Calibri" w:hAnsi="Calibri" w:cs="FrankRuehl"/>
          <w:b/>
          <w:bCs/>
          <w:u w:val="single"/>
          <w:rtl/>
        </w:rPr>
      </w:pPr>
    </w:p>
    <w:p w14:paraId="7EFB2DA1"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b/>
          <w:bCs/>
          <w:u w:val="single"/>
          <w:rtl/>
        </w:rPr>
        <w:t>מדיניות הענישה הנוהגת</w:t>
      </w:r>
      <w:r w:rsidRPr="00BA0A29">
        <w:rPr>
          <w:rFonts w:ascii="Calibri" w:hAnsi="Calibri" w:cs="FrankRuehl"/>
          <w:b/>
          <w:bCs/>
          <w:rtl/>
        </w:rPr>
        <w:t xml:space="preserve"> – כאמור, הכלל בעבירות של סחר בסמים הוא מאסר ממש. יחד עם זאת </w:t>
      </w:r>
      <w:r w:rsidRPr="00BA0A29">
        <w:rPr>
          <w:rFonts w:ascii="Calibri" w:hAnsi="Calibri" w:cs="FrankRuehl"/>
          <w:rtl/>
        </w:rPr>
        <w:t xml:space="preserve">הפסיקה מגוונת כתוצאה משוני בנסיבות המעשה ובנסיבותיו של העושה, שכן כידוע, הפסיקה לעולם אינדיבידואלית. </w:t>
      </w:r>
    </w:p>
    <w:p w14:paraId="05127ABE" w14:textId="77777777" w:rsidR="00BA0A29" w:rsidRPr="00BA0A29" w:rsidRDefault="00BA0A29" w:rsidP="00BA0A29">
      <w:pPr>
        <w:pStyle w:val="a9"/>
        <w:numPr>
          <w:ilvl w:val="0"/>
          <w:numId w:val="1"/>
        </w:numPr>
        <w:spacing w:after="160" w:line="360" w:lineRule="auto"/>
        <w:jc w:val="both"/>
        <w:rPr>
          <w:rFonts w:ascii="Calibri" w:hAnsi="Calibri" w:cs="FrankRuehl"/>
          <w:rtl/>
        </w:rPr>
      </w:pPr>
      <w:r w:rsidRPr="00BA0A29">
        <w:rPr>
          <w:rFonts w:ascii="Calibri" w:hAnsi="Calibri" w:cs="FrankRuehl"/>
          <w:rtl/>
        </w:rPr>
        <w:t>ב</w:t>
      </w:r>
      <w:hyperlink r:id="rId18" w:history="1">
        <w:r w:rsidR="002037F5" w:rsidRPr="002037F5">
          <w:rPr>
            <w:rFonts w:ascii="Calibri" w:hAnsi="Calibri" w:cs="FrankRuehl" w:hint="eastAsia"/>
            <w:color w:val="0000FF"/>
            <w:u w:val="single"/>
            <w:rtl/>
          </w:rPr>
          <w:t>רע</w:t>
        </w:r>
        <w:r w:rsidR="002037F5" w:rsidRPr="002037F5">
          <w:rPr>
            <w:rFonts w:ascii="Calibri" w:hAnsi="Calibri" w:cs="FrankRuehl"/>
            <w:color w:val="0000FF"/>
            <w:u w:val="single"/>
            <w:rtl/>
          </w:rPr>
          <w:t>"</w:t>
        </w:r>
        <w:r w:rsidR="002037F5" w:rsidRPr="002037F5">
          <w:rPr>
            <w:rFonts w:ascii="Calibri" w:hAnsi="Calibri" w:cs="FrankRuehl" w:hint="eastAsia"/>
            <w:color w:val="0000FF"/>
            <w:u w:val="single"/>
            <w:rtl/>
          </w:rPr>
          <w:t>פ</w:t>
        </w:r>
        <w:r w:rsidR="002037F5" w:rsidRPr="002037F5">
          <w:rPr>
            <w:rFonts w:ascii="Calibri" w:hAnsi="Calibri" w:cs="FrankRuehl"/>
            <w:color w:val="0000FF"/>
            <w:u w:val="single"/>
            <w:rtl/>
          </w:rPr>
          <w:t xml:space="preserve"> 1370/17</w:t>
        </w:r>
      </w:hyperlink>
      <w:r w:rsidRPr="00BA0A29">
        <w:rPr>
          <w:rFonts w:ascii="Calibri" w:hAnsi="Calibri" w:cs="FrankRuehl"/>
          <w:rtl/>
        </w:rPr>
        <w:t xml:space="preserve"> </w:t>
      </w:r>
      <w:r w:rsidRPr="00BA0A29">
        <w:rPr>
          <w:rFonts w:ascii="Calibri" w:hAnsi="Calibri" w:cs="FrankRuehl"/>
          <w:b/>
          <w:bCs/>
          <w:u w:val="single"/>
          <w:rtl/>
        </w:rPr>
        <w:t>בן נעים</w:t>
      </w:r>
      <w:r w:rsidRPr="00BA0A29">
        <w:rPr>
          <w:rFonts w:ascii="Calibri" w:hAnsi="Calibri" w:cs="FrankRuehl"/>
          <w:rtl/>
        </w:rPr>
        <w:t xml:space="preserve"> נ' </w:t>
      </w:r>
      <w:r w:rsidRPr="00BA0A29">
        <w:rPr>
          <w:rFonts w:ascii="Calibri" w:hAnsi="Calibri" w:cs="FrankRuehl"/>
          <w:b/>
          <w:bCs/>
          <w:u w:val="single"/>
          <w:rtl/>
        </w:rPr>
        <w:t>מ"י</w:t>
      </w:r>
      <w:r w:rsidRPr="00BA0A29">
        <w:rPr>
          <w:rFonts w:ascii="Calibri" w:hAnsi="Calibri" w:cs="FrankRuehl"/>
          <w:rtl/>
        </w:rPr>
        <w:t xml:space="preserve"> (מיום 20.4.2017) אושר מתחם שבין 12 ל-24 חודשי מאסר בנסיבות של ריבוי מקרי סחר בחשיש, אם כי בכמויות גדולות לרבות פלטה ושם נגזרו על נאשם שהואשם בעבירות נוספות 12 16 חודשי מאסר; </w:t>
      </w:r>
    </w:p>
    <w:p w14:paraId="30FB8B3D" w14:textId="77777777" w:rsidR="00BA0A29" w:rsidRPr="00BA0A29" w:rsidRDefault="00BA0A29" w:rsidP="00BA0A29">
      <w:pPr>
        <w:pStyle w:val="a9"/>
        <w:numPr>
          <w:ilvl w:val="0"/>
          <w:numId w:val="1"/>
        </w:numPr>
        <w:spacing w:after="160" w:line="360" w:lineRule="auto"/>
        <w:jc w:val="both"/>
        <w:rPr>
          <w:rFonts w:ascii="Calibri" w:hAnsi="Calibri" w:cs="FrankRuehl"/>
        </w:rPr>
      </w:pPr>
      <w:r w:rsidRPr="00BA0A29">
        <w:rPr>
          <w:rFonts w:ascii="Calibri" w:hAnsi="Calibri" w:cs="FrankRuehl"/>
          <w:rtl/>
        </w:rPr>
        <w:t>ב</w:t>
      </w:r>
      <w:hyperlink r:id="rId19" w:history="1">
        <w:r w:rsidR="002037F5" w:rsidRPr="002037F5">
          <w:rPr>
            <w:rFonts w:ascii="Calibri" w:hAnsi="Calibri" w:cs="FrankRuehl" w:hint="eastAsia"/>
            <w:color w:val="0000FF"/>
            <w:u w:val="single"/>
            <w:rtl/>
          </w:rPr>
          <w:t>עפ</w:t>
        </w:r>
        <w:r w:rsidR="002037F5" w:rsidRPr="002037F5">
          <w:rPr>
            <w:rFonts w:ascii="Calibri" w:hAnsi="Calibri" w:cs="FrankRuehl"/>
            <w:color w:val="0000FF"/>
            <w:u w:val="single"/>
            <w:rtl/>
          </w:rPr>
          <w:t>"</w:t>
        </w:r>
        <w:r w:rsidR="002037F5" w:rsidRPr="002037F5">
          <w:rPr>
            <w:rFonts w:ascii="Calibri" w:hAnsi="Calibri" w:cs="FrankRuehl" w:hint="eastAsia"/>
            <w:color w:val="0000FF"/>
            <w:u w:val="single"/>
            <w:rtl/>
          </w:rPr>
          <w:t>ג</w:t>
        </w:r>
        <w:r w:rsidR="002037F5" w:rsidRPr="002037F5">
          <w:rPr>
            <w:rFonts w:ascii="Calibri" w:hAnsi="Calibri" w:cs="FrankRuehl"/>
            <w:color w:val="0000FF"/>
            <w:u w:val="single"/>
            <w:rtl/>
          </w:rPr>
          <w:t xml:space="preserve"> (</w:t>
        </w:r>
        <w:r w:rsidR="002037F5" w:rsidRPr="002037F5">
          <w:rPr>
            <w:rFonts w:ascii="Calibri" w:hAnsi="Calibri" w:cs="FrankRuehl" w:hint="eastAsia"/>
            <w:color w:val="0000FF"/>
            <w:u w:val="single"/>
            <w:rtl/>
          </w:rPr>
          <w:t>חיפה</w:t>
        </w:r>
        <w:r w:rsidR="002037F5" w:rsidRPr="002037F5">
          <w:rPr>
            <w:rFonts w:ascii="Calibri" w:hAnsi="Calibri" w:cs="FrankRuehl"/>
            <w:color w:val="0000FF"/>
            <w:u w:val="single"/>
            <w:rtl/>
          </w:rPr>
          <w:t>) 53901-05-15</w:t>
        </w:r>
      </w:hyperlink>
      <w:r w:rsidRPr="00BA0A29">
        <w:rPr>
          <w:rFonts w:ascii="Calibri" w:hAnsi="Calibri" w:cs="FrankRuehl"/>
          <w:rtl/>
        </w:rPr>
        <w:t xml:space="preserve"> </w:t>
      </w:r>
      <w:r w:rsidRPr="00BA0A29">
        <w:rPr>
          <w:rFonts w:ascii="Calibri" w:hAnsi="Calibri" w:cs="FrankRuehl"/>
          <w:b/>
          <w:bCs/>
          <w:u w:val="single"/>
          <w:rtl/>
        </w:rPr>
        <w:t>איטח</w:t>
      </w:r>
      <w:r w:rsidRPr="00BA0A29">
        <w:rPr>
          <w:rFonts w:ascii="Calibri" w:hAnsi="Calibri" w:cs="FrankRuehl"/>
          <w:rtl/>
        </w:rPr>
        <w:t xml:space="preserve"> נ' </w:t>
      </w:r>
      <w:r w:rsidRPr="00BA0A29">
        <w:rPr>
          <w:rFonts w:ascii="Calibri" w:hAnsi="Calibri" w:cs="FrankRuehl"/>
          <w:b/>
          <w:bCs/>
          <w:u w:val="single"/>
          <w:rtl/>
        </w:rPr>
        <w:t>מ"</w:t>
      </w:r>
      <w:r w:rsidRPr="00BA0A29">
        <w:rPr>
          <w:rFonts w:ascii="Calibri" w:hAnsi="Calibri" w:cs="FrankRuehl"/>
          <w:u w:val="single"/>
          <w:rtl/>
        </w:rPr>
        <w:t>י</w:t>
      </w:r>
      <w:r w:rsidRPr="00BA0A29">
        <w:rPr>
          <w:rFonts w:ascii="Calibri" w:hAnsi="Calibri" w:cs="FrankRuehl"/>
          <w:rtl/>
        </w:rPr>
        <w:t xml:space="preserve"> (מיום 20.7.2015) נגזרו על נאשמת 200 שעות של"ץ מאסר על תנאי ומבחן בנסיבות של סיוע ל-3 עבירות סחר במריחואנה, שם נקבע מתחם שבין 6 ל-18 חודשי מאסר; </w:t>
      </w:r>
    </w:p>
    <w:p w14:paraId="3D197030" w14:textId="77777777" w:rsidR="00BA0A29" w:rsidRPr="00BA0A29" w:rsidRDefault="00BA0A29" w:rsidP="00BA0A29">
      <w:pPr>
        <w:pStyle w:val="a9"/>
        <w:numPr>
          <w:ilvl w:val="0"/>
          <w:numId w:val="1"/>
        </w:numPr>
        <w:spacing w:after="160" w:line="360" w:lineRule="auto"/>
        <w:jc w:val="both"/>
        <w:rPr>
          <w:rFonts w:ascii="Calibri" w:hAnsi="Calibri" w:cs="FrankRuehl"/>
        </w:rPr>
      </w:pPr>
      <w:r w:rsidRPr="00BA0A29">
        <w:rPr>
          <w:rFonts w:ascii="Calibri" w:hAnsi="Calibri" w:cs="FrankRuehl"/>
          <w:rtl/>
        </w:rPr>
        <w:t>ב</w:t>
      </w:r>
      <w:hyperlink r:id="rId20" w:history="1">
        <w:r w:rsidR="002037F5" w:rsidRPr="002037F5">
          <w:rPr>
            <w:rFonts w:ascii="Calibri" w:hAnsi="Calibri" w:cs="FrankRuehl" w:hint="eastAsia"/>
            <w:color w:val="0000FF"/>
            <w:u w:val="single"/>
            <w:rtl/>
          </w:rPr>
          <w:t>עפ</w:t>
        </w:r>
        <w:r w:rsidR="002037F5" w:rsidRPr="002037F5">
          <w:rPr>
            <w:rFonts w:ascii="Calibri" w:hAnsi="Calibri" w:cs="FrankRuehl"/>
            <w:color w:val="0000FF"/>
            <w:u w:val="single"/>
            <w:rtl/>
          </w:rPr>
          <w:t>"</w:t>
        </w:r>
        <w:r w:rsidR="002037F5" w:rsidRPr="002037F5">
          <w:rPr>
            <w:rFonts w:ascii="Calibri" w:hAnsi="Calibri" w:cs="FrankRuehl" w:hint="eastAsia"/>
            <w:color w:val="0000FF"/>
            <w:u w:val="single"/>
            <w:rtl/>
          </w:rPr>
          <w:t>ג</w:t>
        </w:r>
        <w:r w:rsidR="002037F5" w:rsidRPr="002037F5">
          <w:rPr>
            <w:rFonts w:ascii="Calibri" w:hAnsi="Calibri" w:cs="FrankRuehl"/>
            <w:color w:val="0000FF"/>
            <w:u w:val="single"/>
            <w:rtl/>
          </w:rPr>
          <w:t xml:space="preserve"> (</w:t>
        </w:r>
        <w:r w:rsidR="002037F5" w:rsidRPr="002037F5">
          <w:rPr>
            <w:rFonts w:ascii="Calibri" w:hAnsi="Calibri" w:cs="FrankRuehl" w:hint="eastAsia"/>
            <w:color w:val="0000FF"/>
            <w:u w:val="single"/>
            <w:rtl/>
          </w:rPr>
          <w:t>י</w:t>
        </w:r>
        <w:r w:rsidR="002037F5" w:rsidRPr="002037F5">
          <w:rPr>
            <w:rFonts w:ascii="Calibri" w:hAnsi="Calibri" w:cs="FrankRuehl"/>
            <w:color w:val="0000FF"/>
            <w:u w:val="single"/>
            <w:rtl/>
          </w:rPr>
          <w:t>-</w:t>
        </w:r>
        <w:r w:rsidR="002037F5" w:rsidRPr="002037F5">
          <w:rPr>
            <w:rFonts w:ascii="Calibri" w:hAnsi="Calibri" w:cs="FrankRuehl" w:hint="eastAsia"/>
            <w:color w:val="0000FF"/>
            <w:u w:val="single"/>
            <w:rtl/>
          </w:rPr>
          <w:t>ם</w:t>
        </w:r>
        <w:r w:rsidR="002037F5" w:rsidRPr="002037F5">
          <w:rPr>
            <w:rFonts w:ascii="Calibri" w:hAnsi="Calibri" w:cs="FrankRuehl"/>
            <w:color w:val="0000FF"/>
            <w:u w:val="single"/>
            <w:rtl/>
          </w:rPr>
          <w:t>) 10175-02-16</w:t>
        </w:r>
      </w:hyperlink>
      <w:r w:rsidRPr="00BA0A29">
        <w:rPr>
          <w:rFonts w:ascii="Calibri" w:hAnsi="Calibri" w:cs="FrankRuehl"/>
          <w:rtl/>
        </w:rPr>
        <w:t xml:space="preserve"> </w:t>
      </w:r>
      <w:r w:rsidRPr="00BA0A29">
        <w:rPr>
          <w:rFonts w:ascii="Calibri" w:hAnsi="Calibri" w:cs="FrankRuehl"/>
          <w:b/>
          <w:bCs/>
          <w:u w:val="single"/>
          <w:rtl/>
        </w:rPr>
        <w:t xml:space="preserve">מ"י </w:t>
      </w:r>
      <w:r w:rsidRPr="00BA0A29">
        <w:rPr>
          <w:rFonts w:ascii="Calibri" w:hAnsi="Calibri" w:cs="FrankRuehl"/>
          <w:rtl/>
        </w:rPr>
        <w:t xml:space="preserve">נ' </w:t>
      </w:r>
      <w:r w:rsidRPr="00BA0A29">
        <w:rPr>
          <w:rFonts w:ascii="Calibri" w:hAnsi="Calibri" w:cs="FrankRuehl"/>
          <w:b/>
          <w:bCs/>
          <w:u w:val="single"/>
          <w:rtl/>
        </w:rPr>
        <w:t>דייני</w:t>
      </w:r>
      <w:r w:rsidRPr="00BA0A29">
        <w:rPr>
          <w:rFonts w:ascii="Calibri" w:hAnsi="Calibri" w:cs="FrankRuehl"/>
          <w:rtl/>
        </w:rPr>
        <w:t xml:space="preserve">  (מיום 14.6.2016) הואשם אדם בהדחת קטין לשימוש בסם, גידול והחזקה וסחר, כאשר דובר במספר מכירות של קנביס בכמויות קטנות, לרבות לקטינים. בעניין הסחר נקבע מתחם שבין 5 ל-15 ח' מאסר והתיק הסתיים במאסר לריצוי בעבודות שירות משיקולי שיקום.  </w:t>
      </w:r>
    </w:p>
    <w:p w14:paraId="13F1B0CA" w14:textId="77777777" w:rsidR="00BA0A29" w:rsidRPr="00BA0A29" w:rsidRDefault="00BA0A29" w:rsidP="00BA0A29">
      <w:pPr>
        <w:spacing w:after="160" w:line="360" w:lineRule="auto"/>
        <w:jc w:val="both"/>
        <w:rPr>
          <w:rFonts w:ascii="Calibri" w:hAnsi="Calibri" w:cs="FrankRuehl"/>
          <w:b/>
          <w:bCs/>
          <w:u w:val="single"/>
          <w:rtl/>
        </w:rPr>
      </w:pPr>
    </w:p>
    <w:p w14:paraId="3A17F692"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b/>
          <w:bCs/>
          <w:u w:val="single"/>
          <w:rtl/>
        </w:rPr>
        <w:t>מתחם הענישה</w:t>
      </w:r>
      <w:r w:rsidRPr="00BA0A29">
        <w:rPr>
          <w:rFonts w:ascii="Calibri" w:hAnsi="Calibri" w:cs="FrankRuehl"/>
          <w:rtl/>
        </w:rPr>
        <w:t xml:space="preserve"> – לפיכך, בנסיבות המקרה שלפניי, מתחם הענישה צריך לעמוד על בין 6 ל-18 חודשי מאסר לרבות אפשרות ריצוי המאסר בדרך של עבודות שירות. אני מתייחס למכלול האישום כאל מכלול אחד נוכח שיטת הפעולה, והנסיבות החוזרות על עצמן בפרק זמן קצר.</w:t>
      </w:r>
    </w:p>
    <w:p w14:paraId="445B19ED" w14:textId="77777777" w:rsidR="00BA0A29" w:rsidRPr="00BA0A29" w:rsidRDefault="00BA0A29" w:rsidP="00BA0A29">
      <w:pPr>
        <w:spacing w:after="160" w:line="360" w:lineRule="auto"/>
        <w:jc w:val="both"/>
        <w:rPr>
          <w:rFonts w:ascii="Calibri" w:hAnsi="Calibri" w:cs="FrankRuehl"/>
          <w:b/>
          <w:bCs/>
          <w:rtl/>
        </w:rPr>
      </w:pPr>
    </w:p>
    <w:p w14:paraId="75FE7F99"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b/>
          <w:bCs/>
          <w:u w:val="single"/>
          <w:rtl/>
        </w:rPr>
        <w:t xml:space="preserve">נסיבות שאינן קשורות בביצוע העבירה לפי </w:t>
      </w:r>
      <w:hyperlink r:id="rId21" w:history="1">
        <w:r w:rsidR="00F7043C" w:rsidRPr="00F7043C">
          <w:rPr>
            <w:rStyle w:val="Hyperlink"/>
            <w:rFonts w:ascii="Calibri" w:hAnsi="Calibri" w:cs="FrankRuehl" w:hint="eastAsia"/>
            <w:b/>
            <w:bCs/>
            <w:rtl/>
          </w:rPr>
          <w:t>סעיף</w:t>
        </w:r>
        <w:r w:rsidR="00F7043C" w:rsidRPr="00F7043C">
          <w:rPr>
            <w:rStyle w:val="Hyperlink"/>
            <w:rFonts w:ascii="Calibri" w:hAnsi="Calibri" w:cs="FrankRuehl"/>
            <w:b/>
            <w:bCs/>
            <w:rtl/>
          </w:rPr>
          <w:t xml:space="preserve"> 40</w:t>
        </w:r>
        <w:r w:rsidR="00F7043C" w:rsidRPr="00F7043C">
          <w:rPr>
            <w:rStyle w:val="Hyperlink"/>
            <w:rFonts w:ascii="Calibri" w:hAnsi="Calibri" w:cs="FrankRuehl" w:hint="eastAsia"/>
            <w:b/>
            <w:bCs/>
            <w:rtl/>
          </w:rPr>
          <w:t>י</w:t>
        </w:r>
        <w:r w:rsidR="00F7043C" w:rsidRPr="00F7043C">
          <w:rPr>
            <w:rStyle w:val="Hyperlink"/>
            <w:rFonts w:ascii="Calibri" w:hAnsi="Calibri" w:cs="FrankRuehl"/>
            <w:b/>
            <w:bCs/>
            <w:rtl/>
          </w:rPr>
          <w:t>"</w:t>
        </w:r>
        <w:r w:rsidR="00F7043C" w:rsidRPr="00F7043C">
          <w:rPr>
            <w:rStyle w:val="Hyperlink"/>
            <w:rFonts w:ascii="Calibri" w:hAnsi="Calibri" w:cs="FrankRuehl" w:hint="eastAsia"/>
            <w:b/>
            <w:bCs/>
            <w:rtl/>
          </w:rPr>
          <w:t>א</w:t>
        </w:r>
      </w:hyperlink>
      <w:r w:rsidRPr="00BA0A29">
        <w:rPr>
          <w:rFonts w:ascii="Calibri" w:hAnsi="Calibri" w:cs="FrankRuehl"/>
          <w:b/>
          <w:bCs/>
          <w:u w:val="single"/>
          <w:rtl/>
        </w:rPr>
        <w:t xml:space="preserve"> ל</w:t>
      </w:r>
      <w:hyperlink r:id="rId22" w:history="1">
        <w:r w:rsidR="002037F5" w:rsidRPr="002037F5">
          <w:rPr>
            <w:rFonts w:ascii="Calibri" w:hAnsi="Calibri" w:cs="FrankRuehl" w:hint="eastAsia"/>
            <w:b/>
            <w:bCs/>
            <w:color w:val="0000FF"/>
            <w:u w:val="single"/>
            <w:rtl/>
          </w:rPr>
          <w:t>חוק</w:t>
        </w:r>
        <w:r w:rsidR="002037F5" w:rsidRPr="002037F5">
          <w:rPr>
            <w:rFonts w:ascii="Calibri" w:hAnsi="Calibri" w:cs="FrankRuehl"/>
            <w:b/>
            <w:bCs/>
            <w:color w:val="0000FF"/>
            <w:u w:val="single"/>
            <w:rtl/>
          </w:rPr>
          <w:t xml:space="preserve"> </w:t>
        </w:r>
        <w:r w:rsidR="002037F5" w:rsidRPr="002037F5">
          <w:rPr>
            <w:rFonts w:ascii="Calibri" w:hAnsi="Calibri" w:cs="FrankRuehl" w:hint="eastAsia"/>
            <w:b/>
            <w:bCs/>
            <w:color w:val="0000FF"/>
            <w:u w:val="single"/>
            <w:rtl/>
          </w:rPr>
          <w:t>העונשין</w:t>
        </w:r>
      </w:hyperlink>
      <w:r w:rsidRPr="00BA0A29">
        <w:rPr>
          <w:rFonts w:ascii="Calibri" w:hAnsi="Calibri" w:cs="FrankRuehl"/>
          <w:b/>
          <w:bCs/>
          <w:rtl/>
        </w:rPr>
        <w:t xml:space="preserve"> – </w:t>
      </w:r>
      <w:r w:rsidRPr="00BA0A29">
        <w:rPr>
          <w:rFonts w:ascii="Calibri" w:hAnsi="Calibri" w:cs="FrankRuehl"/>
          <w:rtl/>
        </w:rPr>
        <w:t>ניתן  לתת משקל לנסיבות הבאות שאינן קשורות בביצוע העבירה, במסגרת גזירת העונש בתוך המתחם: הנאשם ללא עבר פלילי, שעד להסתבכותו בתיק הנוכחי ניהל אורח חיים נורמטיבי, התמיד במסגר</w:t>
      </w:r>
      <w:r w:rsidRPr="00BA0A29">
        <w:rPr>
          <w:rFonts w:ascii="Calibri" w:hAnsi="Calibri" w:cs="FrankRuehl" w:hint="cs"/>
          <w:rtl/>
        </w:rPr>
        <w:t>ו</w:t>
      </w:r>
      <w:r w:rsidRPr="00BA0A29">
        <w:rPr>
          <w:rFonts w:ascii="Calibri" w:hAnsi="Calibri" w:cs="FrankRuehl"/>
          <w:rtl/>
        </w:rPr>
        <w:t xml:space="preserve">ת </w:t>
      </w:r>
      <w:r w:rsidRPr="00BA0A29">
        <w:rPr>
          <w:rFonts w:ascii="Calibri" w:hAnsi="Calibri" w:cs="FrankRuehl" w:hint="cs"/>
          <w:rtl/>
        </w:rPr>
        <w:t>ה</w:t>
      </w:r>
      <w:r w:rsidRPr="00BA0A29">
        <w:rPr>
          <w:rFonts w:ascii="Calibri" w:hAnsi="Calibri" w:cs="FrankRuehl"/>
          <w:rtl/>
        </w:rPr>
        <w:t>חינוך ובשוק העבודה ושמר על יציבות תעסוקתית עד משבר הקורונה; משפחתו נורמטיבית ותומכת והוא מפרנס את משפחתו הנוכחית ומשלם מזונות לילדיו מנישואין קודמים; הנאשם מעולם לא ריצה עונש מאסר ואך ברור שעונש שכזה יפגע בו בטווח הקצר והארוך כאחד; הנאשם שהה במעצר ושוחרר לתנאים מגבילים אותם לא הפר, ולכן הוקלו לאורך זמן, כאשר הוא משתף פעולה עם שירות המבחן באופן</w:t>
      </w:r>
      <w:r w:rsidRPr="00BA0A29">
        <w:rPr>
          <w:rFonts w:ascii="Calibri" w:hAnsi="Calibri" w:cs="FrankRuehl" w:hint="cs"/>
          <w:rtl/>
        </w:rPr>
        <w:t xml:space="preserve"> מתמיד</w:t>
      </w:r>
      <w:r w:rsidRPr="00BA0A29">
        <w:rPr>
          <w:rFonts w:ascii="Calibri" w:hAnsi="Calibri" w:cs="FrankRuehl"/>
          <w:rtl/>
        </w:rPr>
        <w:t xml:space="preserve">; קבלת האחריות של הנאשם מלאה, כפי שכבר עמדתי עליה. </w:t>
      </w:r>
    </w:p>
    <w:p w14:paraId="3F71FD01" w14:textId="77777777" w:rsidR="00BA0A29" w:rsidRPr="00BA0A29" w:rsidRDefault="00BA0A29" w:rsidP="00BA0A29">
      <w:pPr>
        <w:spacing w:after="160" w:line="360" w:lineRule="auto"/>
        <w:jc w:val="both"/>
        <w:rPr>
          <w:rFonts w:ascii="Calibri" w:hAnsi="Calibri" w:cs="FrankRuehl"/>
          <w:rtl/>
        </w:rPr>
      </w:pPr>
    </w:p>
    <w:p w14:paraId="1303E2E9"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b/>
          <w:bCs/>
          <w:u w:val="single"/>
          <w:rtl/>
        </w:rPr>
        <w:t>ביטול ההרשעה</w:t>
      </w:r>
      <w:r w:rsidRPr="00BA0A29">
        <w:rPr>
          <w:rFonts w:ascii="Calibri" w:hAnsi="Calibri" w:cs="FrankRuehl"/>
          <w:rtl/>
        </w:rPr>
        <w:t xml:space="preserve"> – בידוע, שעה שנמצא כי נאשם ביצע את העבירות המיוחסות לו, יש להרשיעו. זהו הכלל. אי-הרשעה הוא היוצא מן הכלל. ב</w:t>
      </w:r>
      <w:hyperlink r:id="rId23" w:history="1">
        <w:r w:rsidR="002037F5" w:rsidRPr="002037F5">
          <w:rPr>
            <w:rFonts w:ascii="Calibri" w:hAnsi="Calibri" w:cs="FrankRuehl" w:hint="eastAsia"/>
            <w:color w:val="0000FF"/>
            <w:u w:val="single"/>
            <w:rtl/>
          </w:rPr>
          <w:t>ע</w:t>
        </w:r>
        <w:r w:rsidR="002037F5" w:rsidRPr="002037F5">
          <w:rPr>
            <w:rFonts w:ascii="Calibri" w:hAnsi="Calibri" w:cs="FrankRuehl"/>
            <w:color w:val="0000FF"/>
            <w:u w:val="single"/>
            <w:rtl/>
          </w:rPr>
          <w:t>"</w:t>
        </w:r>
        <w:r w:rsidR="002037F5" w:rsidRPr="002037F5">
          <w:rPr>
            <w:rFonts w:ascii="Calibri" w:hAnsi="Calibri" w:cs="FrankRuehl" w:hint="eastAsia"/>
            <w:color w:val="0000FF"/>
            <w:u w:val="single"/>
            <w:rtl/>
          </w:rPr>
          <w:t>פ</w:t>
        </w:r>
        <w:r w:rsidR="002037F5" w:rsidRPr="002037F5">
          <w:rPr>
            <w:rFonts w:ascii="Calibri" w:hAnsi="Calibri" w:cs="FrankRuehl"/>
            <w:color w:val="0000FF"/>
            <w:u w:val="single"/>
            <w:rtl/>
          </w:rPr>
          <w:t xml:space="preserve"> 2083/96</w:t>
        </w:r>
      </w:hyperlink>
      <w:r w:rsidRPr="00BA0A29">
        <w:rPr>
          <w:rFonts w:ascii="Calibri" w:hAnsi="Calibri" w:cs="FrankRuehl"/>
          <w:rtl/>
        </w:rPr>
        <w:t xml:space="preserve"> </w:t>
      </w:r>
      <w:r w:rsidRPr="00BA0A29">
        <w:rPr>
          <w:rFonts w:ascii="Calibri" w:hAnsi="Calibri" w:cs="FrankRuehl"/>
          <w:b/>
          <w:bCs/>
          <w:u w:val="single"/>
          <w:rtl/>
        </w:rPr>
        <w:t>כתב</w:t>
      </w:r>
      <w:r w:rsidRPr="00BA0A29">
        <w:rPr>
          <w:rFonts w:ascii="Calibri" w:hAnsi="Calibri" w:cs="FrankRuehl"/>
          <w:rtl/>
        </w:rPr>
        <w:t xml:space="preserve"> נ' </w:t>
      </w:r>
      <w:r w:rsidRPr="00BA0A29">
        <w:rPr>
          <w:rFonts w:ascii="Calibri" w:hAnsi="Calibri" w:cs="FrankRuehl"/>
          <w:b/>
          <w:bCs/>
          <w:u w:val="single"/>
          <w:rtl/>
        </w:rPr>
        <w:t>מ"י</w:t>
      </w:r>
      <w:r w:rsidRPr="00BA0A29">
        <w:rPr>
          <w:rFonts w:ascii="Calibri" w:hAnsi="Calibri" w:cs="FrankRuehl"/>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24" w:history="1">
        <w:r w:rsidR="002037F5" w:rsidRPr="002037F5">
          <w:rPr>
            <w:rFonts w:ascii="Calibri" w:hAnsi="Calibri" w:cs="FrankRuehl" w:hint="eastAsia"/>
            <w:color w:val="0000FF"/>
            <w:u w:val="single"/>
            <w:rtl/>
          </w:rPr>
          <w:t>ע</w:t>
        </w:r>
        <w:r w:rsidR="002037F5" w:rsidRPr="002037F5">
          <w:rPr>
            <w:rFonts w:ascii="Calibri" w:hAnsi="Calibri" w:cs="FrankRuehl"/>
            <w:color w:val="0000FF"/>
            <w:u w:val="single"/>
            <w:rtl/>
          </w:rPr>
          <w:t>"</w:t>
        </w:r>
        <w:r w:rsidR="002037F5" w:rsidRPr="002037F5">
          <w:rPr>
            <w:rFonts w:ascii="Calibri" w:hAnsi="Calibri" w:cs="FrankRuehl" w:hint="eastAsia"/>
            <w:color w:val="0000FF"/>
            <w:u w:val="single"/>
            <w:rtl/>
          </w:rPr>
          <w:t>פ</w:t>
        </w:r>
        <w:r w:rsidR="002037F5" w:rsidRPr="002037F5">
          <w:rPr>
            <w:rFonts w:ascii="Calibri" w:hAnsi="Calibri" w:cs="FrankRuehl"/>
            <w:color w:val="0000FF"/>
            <w:u w:val="single"/>
            <w:rtl/>
          </w:rPr>
          <w:t xml:space="preserve"> 5985/13</w:t>
        </w:r>
      </w:hyperlink>
      <w:r w:rsidRPr="00BA0A29">
        <w:rPr>
          <w:rFonts w:ascii="Calibri" w:hAnsi="Calibri" w:cs="FrankRuehl"/>
          <w:rtl/>
        </w:rPr>
        <w:t xml:space="preserve"> </w:t>
      </w:r>
      <w:r w:rsidRPr="00BA0A29">
        <w:rPr>
          <w:rFonts w:ascii="Calibri" w:hAnsi="Calibri" w:cs="FrankRuehl"/>
          <w:b/>
          <w:bCs/>
          <w:u w:val="single"/>
          <w:rtl/>
        </w:rPr>
        <w:t>אבן</w:t>
      </w:r>
      <w:r w:rsidRPr="00BA0A29">
        <w:rPr>
          <w:rFonts w:ascii="Calibri" w:hAnsi="Calibri" w:cs="FrankRuehl"/>
          <w:rtl/>
        </w:rPr>
        <w:t xml:space="preserve"> נ' </w:t>
      </w:r>
      <w:r w:rsidRPr="00BA0A29">
        <w:rPr>
          <w:rFonts w:ascii="Calibri" w:hAnsi="Calibri" w:cs="FrankRuehl"/>
          <w:b/>
          <w:bCs/>
          <w:u w:val="single"/>
          <w:rtl/>
        </w:rPr>
        <w:t>מ"י</w:t>
      </w:r>
      <w:r w:rsidRPr="00BA0A29">
        <w:rPr>
          <w:rFonts w:ascii="Calibri" w:hAnsi="Calibri" w:cs="FrankRuehl"/>
          <w:rtl/>
        </w:rPr>
        <w:t xml:space="preserve"> (מיום 2.4.2014) בפסקאות 6 ו-7.  </w:t>
      </w:r>
    </w:p>
    <w:p w14:paraId="1724CC6E"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b/>
          <w:bCs/>
          <w:rtl/>
        </w:rPr>
        <w:t>אשר לתנאי הראשון</w:t>
      </w:r>
      <w:r w:rsidRPr="00BA0A29">
        <w:rPr>
          <w:rFonts w:ascii="Calibri" w:hAnsi="Calibri" w:cs="FrankRuehl"/>
          <w:rtl/>
        </w:rPr>
        <w:t xml:space="preserve"> – </w:t>
      </w:r>
      <w:r w:rsidRPr="00BA0A29">
        <w:rPr>
          <w:rFonts w:ascii="Calibri" w:hAnsi="Calibri" w:cs="FrankRuehl" w:hint="cs"/>
          <w:rtl/>
        </w:rPr>
        <w:t>מעשיו של הנאשם אינם קלים, אך ישנם מקרי סחר בסמים אחרים שהסתיימו בביטול הרשעה בהינתן מכלול נתונים, לרבות גיל צעיר, קבלת אחריות, תהליך שיקום והוכחת נזק קונקרטי.</w:t>
      </w:r>
      <w:r w:rsidRPr="00BA0A29">
        <w:rPr>
          <w:rFonts w:ascii="Calibri" w:hAnsi="Calibri" w:cs="FrankRuehl"/>
          <w:rtl/>
        </w:rPr>
        <w:t xml:space="preserve">  </w:t>
      </w:r>
      <w:r w:rsidRPr="00BA0A29">
        <w:rPr>
          <w:rFonts w:ascii="Calibri" w:hAnsi="Calibri" w:cs="FrankRuehl" w:hint="cs"/>
          <w:rtl/>
        </w:rPr>
        <w:t xml:space="preserve">לכן ניתן לחצות רף זה של התנאי הראשון גם אם לא בקלות. </w:t>
      </w:r>
    </w:p>
    <w:p w14:paraId="79C34BE2"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b/>
          <w:bCs/>
          <w:rtl/>
        </w:rPr>
        <w:t>אשר לתנאי השני</w:t>
      </w:r>
      <w:r w:rsidRPr="00BA0A29">
        <w:rPr>
          <w:rFonts w:ascii="Calibri" w:hAnsi="Calibri" w:cs="FrankRuehl"/>
          <w:rtl/>
        </w:rPr>
        <w:t xml:space="preserve"> – </w:t>
      </w:r>
      <w:r w:rsidRPr="00BA0A29">
        <w:rPr>
          <w:rFonts w:ascii="Calibri" w:hAnsi="Calibri" w:cs="FrankRuehl" w:hint="cs"/>
          <w:rtl/>
        </w:rPr>
        <w:t xml:space="preserve">מהמכתבים שהוגשו, הן מחברת </w:t>
      </w:r>
      <w:r w:rsidRPr="00BA0A29">
        <w:rPr>
          <w:rFonts w:ascii="Calibri" w:hAnsi="Calibri" w:cs="FrankRuehl" w:hint="cs"/>
        </w:rPr>
        <w:t>IMPACT</w:t>
      </w:r>
      <w:r w:rsidRPr="00BA0A29">
        <w:rPr>
          <w:rFonts w:ascii="Calibri" w:hAnsi="Calibri" w:cs="FrankRuehl" w:hint="cs"/>
          <w:rtl/>
        </w:rPr>
        <w:t xml:space="preserve"> והן מזה של רשם המתווכחים עולה במצטבר תשתית ראייתית המטה את הכף לקבלת את בקשת הנאשם. ראשית, ממכתבה של חברת אימפקט מיום 24.3.2022 עולה כי מנהליו של הנאשם מודעים לתיק הפלילי, וככל שיסתיים בהרשעה, הדבר יפגע בהמשך העסקתו בחברה נוכח דרישות התפקיד בו הוא נושא. שנית, לגבי האישור על סיום בהצלחה של מבחני ההסמכה לתיווך, נכתב כי בדיקת הרישום הפלילי היא אחד מן התנאים לקבלת רישיון. אך מובן כי יש לכל אחד מהגורמים שיקול דעת, גם בהינתן רישום פלילי והרשעה, ואולם, סברתי במכלול הנסיבות, שהוכח כנדרש נזק קונקרטי משמעותי. לכן מבטל את ההרשעה. סברתי שאין מקום להמתין לקבלת עמדת שירות המבחן, שכן מדובר בכל מקרה בעניין שבסמכותו הבלעדית של בית המשפט על-סמך בחינה ראייתית ומכלול הנסיבות.</w:t>
      </w:r>
    </w:p>
    <w:p w14:paraId="54431895"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hint="cs"/>
          <w:b/>
          <w:bCs/>
          <w:u w:val="single"/>
          <w:rtl/>
        </w:rPr>
        <w:t>ה</w:t>
      </w:r>
      <w:r w:rsidRPr="00BA0A29">
        <w:rPr>
          <w:rFonts w:ascii="Calibri" w:hAnsi="Calibri" w:cs="FrankRuehl"/>
          <w:b/>
          <w:bCs/>
          <w:u w:val="single"/>
          <w:rtl/>
        </w:rPr>
        <w:t>מיקום במתחם</w:t>
      </w:r>
      <w:r w:rsidRPr="00BA0A29">
        <w:rPr>
          <w:rFonts w:ascii="Calibri" w:hAnsi="Calibri" w:cs="FrankRuehl"/>
          <w:rtl/>
        </w:rPr>
        <w:t xml:space="preserve"> –</w:t>
      </w:r>
      <w:r w:rsidRPr="00BA0A29">
        <w:rPr>
          <w:rFonts w:ascii="Calibri" w:hAnsi="Calibri" w:cs="FrankRuehl" w:hint="cs"/>
          <w:rtl/>
        </w:rPr>
        <w:t xml:space="preserve"> </w:t>
      </w:r>
      <w:r w:rsidRPr="00BA0A29">
        <w:rPr>
          <w:rFonts w:ascii="Calibri" w:hAnsi="Calibri" w:cs="FrankRuehl"/>
          <w:rtl/>
        </w:rPr>
        <w:t>אלמלא</w:t>
      </w:r>
      <w:r w:rsidRPr="00BA0A29">
        <w:rPr>
          <w:rFonts w:ascii="Calibri" w:hAnsi="Calibri" w:cs="FrankRuehl" w:hint="cs"/>
          <w:rtl/>
        </w:rPr>
        <w:t xml:space="preserve"> </w:t>
      </w:r>
      <w:r w:rsidRPr="00BA0A29">
        <w:rPr>
          <w:rFonts w:ascii="Calibri" w:hAnsi="Calibri" w:cs="FrankRuehl"/>
          <w:rtl/>
        </w:rPr>
        <w:t xml:space="preserve">התהליך הטיפולי שעבר הנאשם, וכוחותיו להמשיך הלאה בדרך חיובית, היה מקום להעמיד את עונשו על התקופה המקסימלית של מאסר לריצוי בעבודות שרות, קרי, 9 חודשים. מעבר לכך, בנסיבותיו של הנאשם והיותו מפרנס לילדיו משתי מערכות יחסים, סברתי ששליחתו למאסר, ולו בעבודות שירות, יהיה פוגעני לו ולסביבתו. </w:t>
      </w:r>
    </w:p>
    <w:p w14:paraId="2D12F328" w14:textId="77777777" w:rsidR="00BA0A29" w:rsidRPr="00BA0A29" w:rsidRDefault="00BA0A29" w:rsidP="00BA0A29">
      <w:pPr>
        <w:spacing w:after="160" w:line="360" w:lineRule="auto"/>
        <w:jc w:val="both"/>
        <w:rPr>
          <w:rFonts w:ascii="Calibri" w:hAnsi="Calibri" w:cs="FrankRuehl"/>
          <w:b/>
          <w:bCs/>
          <w:u w:val="single"/>
          <w:rtl/>
        </w:rPr>
      </w:pPr>
      <w:r w:rsidRPr="00BA0A29">
        <w:rPr>
          <w:rFonts w:ascii="Calibri" w:hAnsi="Calibri" w:cs="FrankRuehl"/>
          <w:b/>
          <w:bCs/>
          <w:u w:val="single"/>
          <w:rtl/>
        </w:rPr>
        <w:t xml:space="preserve">שיקולים לחריגה מן המתחם במקרים מתאימים </w:t>
      </w:r>
      <w:r w:rsidRPr="00BA0A29">
        <w:rPr>
          <w:rFonts w:ascii="Calibri" w:hAnsi="Calibri" w:cs="FrankRuehl"/>
          <w:rtl/>
        </w:rPr>
        <w:t>– בענייננו סברתי שמתקיימות נסיבות מתאימות המאפשרות לחרוג ממתחם הענישה משיקולי שיקום. מדובר בנאשם ללא עבר פלילי, הוא לא הפר את התנאים בהם היה נתון לאורך תקופה ארוכה, הוא היה נתון במעצר ממש תקופה של כחודש וחצי, ולאחר מכן שהה תקופה ארוכה בתנאים מגבילים מאוד ללא הפרות. הנאשם נתרם תהליך טיפולי אגב הליך המעצר והלך כברת דרך משמעותית, הוכיח שיתוף פעולה והפקת לקחים, והניח את הבסיס להנחה שימשיך בדרך זו גם בעתיד. הגם שהנאשם כשל כשלון משמעותי, נדמה כי הוא החליט ללכת בדרך חיובית ללא מעורבות בפשע, ויש לקוות כי ימשיך בכך בעתיד.</w:t>
      </w:r>
    </w:p>
    <w:p w14:paraId="4B071601" w14:textId="77777777" w:rsidR="00BA0A29" w:rsidRPr="00BA0A29" w:rsidRDefault="00BA0A29" w:rsidP="00BA0A29">
      <w:pPr>
        <w:spacing w:after="160" w:line="360" w:lineRule="auto"/>
        <w:jc w:val="both"/>
        <w:rPr>
          <w:rFonts w:ascii="Calibri" w:hAnsi="Calibri" w:cs="FrankRuehl"/>
          <w:b/>
          <w:bCs/>
          <w:u w:val="single"/>
          <w:rtl/>
        </w:rPr>
      </w:pPr>
      <w:r w:rsidRPr="00BA0A29">
        <w:rPr>
          <w:rFonts w:ascii="Calibri" w:hAnsi="Calibri" w:cs="FrankRuehl"/>
          <w:b/>
          <w:bCs/>
          <w:u w:val="single"/>
          <w:rtl/>
        </w:rPr>
        <w:t>גזירת הדין</w:t>
      </w:r>
    </w:p>
    <w:p w14:paraId="69E40159" w14:textId="77777777" w:rsidR="00BA0A29" w:rsidRPr="00BA0A29" w:rsidRDefault="00BA0A29" w:rsidP="00BA0A29">
      <w:pPr>
        <w:spacing w:after="160" w:line="360" w:lineRule="auto"/>
        <w:jc w:val="both"/>
        <w:rPr>
          <w:rFonts w:ascii="Calibri" w:hAnsi="Calibri" w:cs="FrankRuehl"/>
          <w:rtl/>
        </w:rPr>
      </w:pPr>
      <w:r w:rsidRPr="00BA0A29">
        <w:rPr>
          <w:rFonts w:ascii="Calibri" w:hAnsi="Calibri" w:cs="FrankRuehl"/>
          <w:rtl/>
        </w:rPr>
        <w:t>לפיכך, אני מחליט לגזור על הנאשם את העונשים הבאים:</w:t>
      </w:r>
    </w:p>
    <w:p w14:paraId="6B149D21" w14:textId="77777777" w:rsidR="00BA0A29" w:rsidRPr="00BA0A29" w:rsidRDefault="00BA0A29" w:rsidP="00BA0A29">
      <w:pPr>
        <w:numPr>
          <w:ilvl w:val="0"/>
          <w:numId w:val="2"/>
        </w:numPr>
        <w:spacing w:after="160" w:line="360" w:lineRule="auto"/>
        <w:contextualSpacing/>
        <w:jc w:val="both"/>
        <w:rPr>
          <w:rFonts w:ascii="Calibri" w:hAnsi="Calibri" w:cs="FrankRuehl"/>
          <w:rtl/>
        </w:rPr>
      </w:pPr>
      <w:r w:rsidRPr="00BA0A29">
        <w:rPr>
          <w:rFonts w:ascii="Calibri" w:hAnsi="Calibri" w:cs="FrankRuehl"/>
          <w:rtl/>
        </w:rPr>
        <w:t xml:space="preserve">340 שעות שירות לתועלת הציבור (של"ץ), אשר ירוצו ע"פ תוכנית שיכין שירות המבחן ושתוגש עד ליום 1.5.2022. השל"ץ לא יחל לפני תום 45 יום מהיום. הנאשם הוזהר כי אי-קיום צו השל"ץ באופן משביע רצון עלול להביא להפקעת הצו ולדיון מחודש בשאלת גזר הדין הראוי לרבות אפשרות של </w:t>
      </w:r>
      <w:r w:rsidRPr="00BA0A29">
        <w:rPr>
          <w:rFonts w:ascii="Calibri" w:hAnsi="Calibri" w:cs="FrankRuehl" w:hint="cs"/>
          <w:rtl/>
        </w:rPr>
        <w:t>השבת ההרשעה על כנה, ו</w:t>
      </w:r>
      <w:r w:rsidRPr="00BA0A29">
        <w:rPr>
          <w:rFonts w:ascii="Calibri" w:hAnsi="Calibri" w:cs="FrankRuehl"/>
          <w:rtl/>
        </w:rPr>
        <w:t>הטלת מאסר בפועל;</w:t>
      </w:r>
    </w:p>
    <w:p w14:paraId="10DCE71D" w14:textId="77777777" w:rsidR="00BA0A29" w:rsidRPr="00BA0A29" w:rsidRDefault="00BA0A29" w:rsidP="00BA0A29">
      <w:pPr>
        <w:numPr>
          <w:ilvl w:val="0"/>
          <w:numId w:val="2"/>
        </w:numPr>
        <w:spacing w:after="160" w:line="360" w:lineRule="auto"/>
        <w:contextualSpacing/>
        <w:jc w:val="both"/>
        <w:rPr>
          <w:rFonts w:ascii="Calibri" w:hAnsi="Calibri" w:cs="FrankRuehl"/>
        </w:rPr>
      </w:pPr>
      <w:r w:rsidRPr="00BA0A29">
        <w:rPr>
          <w:rFonts w:ascii="Calibri" w:hAnsi="Calibri" w:cs="FrankRuehl" w:hint="cs"/>
          <w:rtl/>
        </w:rPr>
        <w:t>מורה על חילוט ההפקדות בתיק המעצר וכל הפקדה שהופקדה בתיק</w:t>
      </w:r>
      <w:r w:rsidRPr="00BA0A29">
        <w:rPr>
          <w:rFonts w:ascii="Calibri" w:hAnsi="Calibri" w:cs="FrankRuehl"/>
          <w:rtl/>
        </w:rPr>
        <w:t>;</w:t>
      </w:r>
    </w:p>
    <w:p w14:paraId="059AFB36" w14:textId="77777777" w:rsidR="00BA0A29" w:rsidRPr="00BA0A29" w:rsidRDefault="00BA0A29" w:rsidP="00BA0A29">
      <w:pPr>
        <w:numPr>
          <w:ilvl w:val="0"/>
          <w:numId w:val="2"/>
        </w:numPr>
        <w:spacing w:after="160" w:line="360" w:lineRule="auto"/>
        <w:contextualSpacing/>
        <w:jc w:val="both"/>
        <w:rPr>
          <w:rFonts w:ascii="Calibri" w:hAnsi="Calibri" w:cs="FrankRuehl"/>
          <w:rtl/>
        </w:rPr>
      </w:pPr>
      <w:r w:rsidRPr="00BA0A29">
        <w:rPr>
          <w:rFonts w:ascii="Calibri" w:hAnsi="Calibri" w:cs="FrankRuehl"/>
          <w:rtl/>
        </w:rPr>
        <w:t>צו מבחן לתקופה של 12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25A3F885" w14:textId="77777777" w:rsidR="00BA0A29" w:rsidRPr="00BA0A29" w:rsidRDefault="00BA0A29" w:rsidP="00BA0A29">
      <w:pPr>
        <w:numPr>
          <w:ilvl w:val="0"/>
          <w:numId w:val="2"/>
        </w:numPr>
        <w:spacing w:after="160" w:line="360" w:lineRule="auto"/>
        <w:contextualSpacing/>
        <w:jc w:val="both"/>
        <w:rPr>
          <w:rFonts w:ascii="Calibri" w:hAnsi="Calibri" w:cs="FrankRuehl"/>
          <w:rtl/>
        </w:rPr>
      </w:pPr>
      <w:r w:rsidRPr="00BA0A29">
        <w:rPr>
          <w:rFonts w:ascii="Calibri" w:hAnsi="Calibri" w:cs="FrankRuehl"/>
          <w:rtl/>
        </w:rPr>
        <w:t xml:space="preserve">התחייבות בסך 5,000 ₪ שלא לעבור כל עבירה לפי פקודת הסמים (לרבות שימוש עצמי) במשך </w:t>
      </w:r>
      <w:r w:rsidRPr="00BA0A29">
        <w:rPr>
          <w:rFonts w:ascii="Calibri" w:hAnsi="Calibri" w:cs="FrankRuehl" w:hint="cs"/>
          <w:rtl/>
        </w:rPr>
        <w:t xml:space="preserve">שנה </w:t>
      </w:r>
      <w:r w:rsidRPr="00BA0A29">
        <w:rPr>
          <w:rFonts w:ascii="Calibri" w:hAnsi="Calibri" w:cs="FrankRuehl"/>
          <w:rtl/>
        </w:rPr>
        <w:t xml:space="preserve"> מהיום. הובהר לנאשם שמשמעות ההתחייבות היא, כי אם יעבור את העבירה בתוך התקופה שצוינה, בית המשפט שיגזור את הדין יהא חייב לחלט את ההתחייבות כקנס;</w:t>
      </w:r>
    </w:p>
    <w:p w14:paraId="1E81DF1C" w14:textId="77777777" w:rsidR="00BA0A29" w:rsidRPr="00BA0A29" w:rsidRDefault="00BA0A29" w:rsidP="00BA0A29">
      <w:pPr>
        <w:numPr>
          <w:ilvl w:val="0"/>
          <w:numId w:val="2"/>
        </w:numPr>
        <w:spacing w:after="160" w:line="360" w:lineRule="auto"/>
        <w:contextualSpacing/>
        <w:jc w:val="both"/>
        <w:rPr>
          <w:rFonts w:ascii="Calibri" w:hAnsi="Calibri" w:cs="FrankRuehl"/>
        </w:rPr>
      </w:pPr>
      <w:r w:rsidRPr="00BA0A29">
        <w:rPr>
          <w:rFonts w:ascii="Calibri" w:hAnsi="Calibri" w:cs="FrankRuehl"/>
          <w:rtl/>
        </w:rPr>
        <w:t>מכריז על הנאשם סוחר סמים ומורה על השמדת הסמים וחילוט המוצגים לרבות סכום הכסף שנתפס.</w:t>
      </w:r>
    </w:p>
    <w:p w14:paraId="7758F203" w14:textId="77777777" w:rsidR="00BA0A29" w:rsidRDefault="00BA0A29" w:rsidP="00BA0A29">
      <w:pPr>
        <w:rPr>
          <w:rFonts w:cs="FrankRuehl"/>
        </w:rPr>
      </w:pPr>
    </w:p>
    <w:p w14:paraId="2A4949D0" w14:textId="77777777" w:rsidR="00BA0A29" w:rsidRDefault="00BA0A29" w:rsidP="00BA0A29">
      <w:pPr>
        <w:rPr>
          <w:rFonts w:cs="FrankRuehl"/>
        </w:rPr>
      </w:pPr>
    </w:p>
    <w:p w14:paraId="58A1799E" w14:textId="77777777" w:rsidR="00BA0A29" w:rsidRDefault="00BA0A29" w:rsidP="00BA0A29">
      <w:pPr>
        <w:rPr>
          <w:rFonts w:cs="FrankRuehl"/>
          <w:rtl/>
        </w:rPr>
      </w:pPr>
      <w:r>
        <w:rPr>
          <w:rFonts w:cs="FrankRuehl"/>
          <w:rtl/>
        </w:rPr>
        <w:t>יש לשלוח לשירות המבחן ולממונה על עבודות שירות.</w:t>
      </w:r>
    </w:p>
    <w:p w14:paraId="45C3800F" w14:textId="77777777" w:rsidR="00BA0A29" w:rsidRDefault="00BA0A29" w:rsidP="00BA0A29">
      <w:pPr>
        <w:rPr>
          <w:rFonts w:cs="FrankRuehl"/>
          <w:rtl/>
        </w:rPr>
      </w:pPr>
    </w:p>
    <w:p w14:paraId="78149B3C" w14:textId="77777777" w:rsidR="00BA0A29" w:rsidRDefault="00BA0A29" w:rsidP="00BA0A29">
      <w:pPr>
        <w:rPr>
          <w:rFonts w:cs="FrankRuehl"/>
          <w:rtl/>
        </w:rPr>
      </w:pPr>
    </w:p>
    <w:p w14:paraId="49943A31" w14:textId="77777777" w:rsidR="00BA0A29" w:rsidRDefault="002037F5" w:rsidP="00BA0A29">
      <w:pPr>
        <w:rPr>
          <w:rFonts w:cs="FrankRuehl"/>
        </w:rPr>
      </w:pPr>
      <w:r w:rsidRPr="002037F5">
        <w:rPr>
          <w:rFonts w:cs="FrankRuehl"/>
          <w:color w:val="FFFFFF"/>
          <w:sz w:val="2"/>
          <w:szCs w:val="2"/>
          <w:rtl/>
        </w:rPr>
        <w:t>5129371</w:t>
      </w:r>
      <w:r w:rsidR="00BA0A29">
        <w:rPr>
          <w:rFonts w:cs="FrankRuehl"/>
          <w:rtl/>
        </w:rPr>
        <w:t>זכות ערעור כחוק לבית המשפט המחוזי בירושלים בתוך 45 יום מהיום.</w:t>
      </w:r>
    </w:p>
    <w:p w14:paraId="56894B22" w14:textId="77777777" w:rsidR="00BA0A29" w:rsidRPr="002037F5" w:rsidRDefault="002037F5" w:rsidP="00BA0A29">
      <w:pPr>
        <w:rPr>
          <w:rFonts w:ascii="Arial" w:hAnsi="Arial"/>
          <w:b/>
          <w:bCs/>
          <w:color w:val="FFFFFF"/>
          <w:sz w:val="2"/>
          <w:szCs w:val="2"/>
          <w:rtl/>
        </w:rPr>
      </w:pPr>
      <w:r w:rsidRPr="002037F5">
        <w:rPr>
          <w:rFonts w:ascii="Arial" w:hAnsi="Arial"/>
          <w:b/>
          <w:bCs/>
          <w:color w:val="FFFFFF"/>
          <w:sz w:val="2"/>
          <w:szCs w:val="2"/>
          <w:rtl/>
        </w:rPr>
        <w:t>54678313</w:t>
      </w:r>
    </w:p>
    <w:p w14:paraId="6C142F51" w14:textId="77777777" w:rsidR="00BA0A29" w:rsidRPr="000F2247" w:rsidRDefault="00BA0A29" w:rsidP="00BA0A29">
      <w:pPr>
        <w:rPr>
          <w:rFonts w:ascii="Arial" w:hAnsi="Arial"/>
          <w:b/>
          <w:bCs/>
          <w:sz w:val="26"/>
          <w:szCs w:val="26"/>
          <w:rtl/>
        </w:rPr>
      </w:pPr>
    </w:p>
    <w:p w14:paraId="5D6819B4" w14:textId="77777777" w:rsidR="00BA0A29" w:rsidRPr="0036279B" w:rsidRDefault="002037F5" w:rsidP="00BA0A29">
      <w:pPr>
        <w:rPr>
          <w:rFonts w:ascii="Arial" w:hAnsi="Arial"/>
          <w:b/>
          <w:bCs/>
          <w:sz w:val="26"/>
          <w:szCs w:val="26"/>
          <w:rtl/>
        </w:rPr>
      </w:pPr>
      <w:bookmarkStart w:id="8" w:name="Nitan"/>
      <w:r>
        <w:rPr>
          <w:rFonts w:ascii="Arial" w:hAnsi="Arial"/>
          <w:b/>
          <w:bCs/>
          <w:sz w:val="26"/>
          <w:szCs w:val="26"/>
          <w:rtl/>
        </w:rPr>
        <w:t xml:space="preserve">ניתן היום,  כ"ד אדר ב' תשפ"ב, 27 מרץ 2022, במעמד הצדדים. </w:t>
      </w:r>
      <w:bookmarkEnd w:id="8"/>
    </w:p>
    <w:p w14:paraId="7DAF0227" w14:textId="77777777" w:rsidR="00BA0A29" w:rsidRPr="000F2247" w:rsidRDefault="00BA0A29" w:rsidP="002037F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F2845C" w14:textId="77777777" w:rsidR="00BA0A29" w:rsidRPr="00F7043C" w:rsidRDefault="00F7043C" w:rsidP="00BA0A29">
      <w:pPr>
        <w:jc w:val="center"/>
        <w:rPr>
          <w:rFonts w:ascii="Arial" w:hAnsi="Arial"/>
          <w:b/>
          <w:bCs/>
          <w:color w:val="FFFFFF"/>
          <w:sz w:val="2"/>
          <w:szCs w:val="2"/>
          <w:rtl/>
        </w:rPr>
      </w:pPr>
      <w:r w:rsidRPr="00F7043C">
        <w:rPr>
          <w:rFonts w:ascii="Arial" w:hAnsi="Arial"/>
          <w:b/>
          <w:bCs/>
          <w:color w:val="FFFFFF"/>
          <w:sz w:val="2"/>
          <w:szCs w:val="2"/>
          <w:rtl/>
        </w:rPr>
        <w:t>5129371</w:t>
      </w:r>
    </w:p>
    <w:p w14:paraId="1BCC905F" w14:textId="77777777" w:rsidR="00584863" w:rsidRPr="00F7043C" w:rsidRDefault="00F7043C" w:rsidP="002037F5">
      <w:pPr>
        <w:keepNext/>
        <w:rPr>
          <w:rFonts w:ascii="David" w:hAnsi="David"/>
          <w:color w:val="FFFFFF"/>
          <w:sz w:val="2"/>
          <w:szCs w:val="2"/>
          <w:rtl/>
        </w:rPr>
      </w:pPr>
      <w:r w:rsidRPr="00F7043C">
        <w:rPr>
          <w:rFonts w:ascii="David" w:hAnsi="David"/>
          <w:color w:val="FFFFFF"/>
          <w:sz w:val="2"/>
          <w:szCs w:val="2"/>
          <w:rtl/>
        </w:rPr>
        <w:t>54678313</w:t>
      </w:r>
    </w:p>
    <w:p w14:paraId="11CB42EA" w14:textId="77777777" w:rsidR="002037F5" w:rsidRDefault="002037F5" w:rsidP="002037F5">
      <w:pPr>
        <w:rPr>
          <w:rtl/>
        </w:rPr>
      </w:pPr>
    </w:p>
    <w:p w14:paraId="3DD2B98A" w14:textId="77777777" w:rsidR="002037F5" w:rsidRDefault="002037F5" w:rsidP="002037F5">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824B541" w14:textId="77777777" w:rsidR="00F7043C" w:rsidRPr="00F7043C" w:rsidRDefault="00F7043C" w:rsidP="00F7043C">
      <w:pPr>
        <w:keepNext/>
        <w:rPr>
          <w:rFonts w:ascii="David" w:hAnsi="David"/>
          <w:color w:val="000000"/>
          <w:sz w:val="22"/>
          <w:szCs w:val="22"/>
          <w:rtl/>
        </w:rPr>
      </w:pPr>
    </w:p>
    <w:p w14:paraId="134A5B74" w14:textId="77777777" w:rsidR="00F7043C" w:rsidRPr="00F7043C" w:rsidRDefault="00F7043C" w:rsidP="00F7043C">
      <w:pPr>
        <w:keepNext/>
        <w:rPr>
          <w:rFonts w:ascii="David" w:hAnsi="David"/>
          <w:color w:val="000000"/>
          <w:sz w:val="22"/>
          <w:szCs w:val="22"/>
          <w:rtl/>
        </w:rPr>
      </w:pPr>
      <w:r w:rsidRPr="00F7043C">
        <w:rPr>
          <w:rFonts w:ascii="David" w:hAnsi="David"/>
          <w:color w:val="000000"/>
          <w:sz w:val="22"/>
          <w:szCs w:val="22"/>
          <w:rtl/>
        </w:rPr>
        <w:t>דוד שאול גבאי ריכטר 54678313-/</w:t>
      </w:r>
    </w:p>
    <w:p w14:paraId="26A326A4" w14:textId="77777777" w:rsidR="002037F5" w:rsidRPr="002037F5" w:rsidRDefault="00F7043C" w:rsidP="00F7043C">
      <w:pPr>
        <w:rPr>
          <w:color w:val="0000FF"/>
          <w:u w:val="single"/>
        </w:rPr>
      </w:pPr>
      <w:r w:rsidRPr="00F7043C">
        <w:rPr>
          <w:color w:val="000000"/>
          <w:u w:val="single"/>
          <w:rtl/>
        </w:rPr>
        <w:t>נוסח מסמך זה כפוף לשינויי ניסוח ועריכה</w:t>
      </w:r>
    </w:p>
    <w:sectPr w:rsidR="002037F5" w:rsidRPr="002037F5" w:rsidSect="00F7043C">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DFF96" w14:textId="77777777" w:rsidR="00F015A0" w:rsidRDefault="00F015A0" w:rsidP="003B3808">
      <w:r>
        <w:separator/>
      </w:r>
    </w:p>
  </w:endnote>
  <w:endnote w:type="continuationSeparator" w:id="0">
    <w:p w14:paraId="56DCF8BD" w14:textId="77777777" w:rsidR="00F015A0" w:rsidRDefault="00F015A0" w:rsidP="003B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68CAE" w14:textId="77777777" w:rsidR="00F7043C" w:rsidRDefault="00F7043C" w:rsidP="00F7043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AFB98B" w14:textId="77777777" w:rsidR="00F40485" w:rsidRPr="00F7043C" w:rsidRDefault="00F7043C" w:rsidP="00F7043C">
    <w:pPr>
      <w:pStyle w:val="a5"/>
      <w:pBdr>
        <w:top w:val="single" w:sz="4" w:space="1" w:color="auto"/>
        <w:between w:val="single" w:sz="4" w:space="0" w:color="auto"/>
      </w:pBdr>
      <w:spacing w:after="60"/>
      <w:jc w:val="center"/>
      <w:rPr>
        <w:rFonts w:ascii="FrankRuehl" w:hAnsi="FrankRuehl" w:cs="FrankRuehl"/>
        <w:color w:val="000000"/>
      </w:rPr>
    </w:pPr>
    <w:r w:rsidRPr="00F704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B61B6" w14:textId="77777777" w:rsidR="00F7043C" w:rsidRDefault="00F7043C" w:rsidP="00F7043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1078">
      <w:rPr>
        <w:rFonts w:ascii="FrankRuehl" w:hAnsi="FrankRuehl" w:cs="FrankRuehl"/>
        <w:noProof/>
        <w:rtl/>
      </w:rPr>
      <w:t>1</w:t>
    </w:r>
    <w:r>
      <w:rPr>
        <w:rFonts w:ascii="FrankRuehl" w:hAnsi="FrankRuehl" w:cs="FrankRuehl"/>
        <w:rtl/>
      </w:rPr>
      <w:fldChar w:fldCharType="end"/>
    </w:r>
  </w:p>
  <w:p w14:paraId="0CB07709" w14:textId="77777777" w:rsidR="00F40485" w:rsidRPr="00F7043C" w:rsidRDefault="00F7043C" w:rsidP="00F7043C">
    <w:pPr>
      <w:pStyle w:val="a5"/>
      <w:pBdr>
        <w:top w:val="single" w:sz="4" w:space="1" w:color="auto"/>
        <w:between w:val="single" w:sz="4" w:space="0" w:color="auto"/>
      </w:pBdr>
      <w:spacing w:after="60"/>
      <w:jc w:val="center"/>
      <w:rPr>
        <w:rFonts w:ascii="FrankRuehl" w:hAnsi="FrankRuehl" w:cs="FrankRuehl"/>
        <w:color w:val="000000"/>
      </w:rPr>
    </w:pPr>
    <w:r w:rsidRPr="00F7043C">
      <w:rPr>
        <w:rFonts w:ascii="FrankRuehl" w:hAnsi="FrankRuehl" w:cs="FrankRuehl"/>
        <w:color w:val="000000"/>
      </w:rPr>
      <w:pict w14:anchorId="73EA7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41DFA" w14:textId="77777777" w:rsidR="00F015A0" w:rsidRDefault="00F015A0" w:rsidP="003B3808">
      <w:r>
        <w:separator/>
      </w:r>
    </w:p>
  </w:footnote>
  <w:footnote w:type="continuationSeparator" w:id="0">
    <w:p w14:paraId="34F77CA7" w14:textId="77777777" w:rsidR="00F015A0" w:rsidRDefault="00F015A0" w:rsidP="003B3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6329E" w14:textId="77777777" w:rsidR="002037F5" w:rsidRPr="00F7043C" w:rsidRDefault="00F7043C" w:rsidP="00F704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54957-01-21</w:t>
    </w:r>
    <w:r>
      <w:rPr>
        <w:rFonts w:ascii="David" w:hAnsi="David"/>
        <w:color w:val="000000"/>
        <w:sz w:val="22"/>
        <w:szCs w:val="22"/>
        <w:rtl/>
      </w:rPr>
      <w:tab/>
      <w:t xml:space="preserve"> מדינת ישראל נ' אליעזר ישראל מנצור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7145A" w14:textId="77777777" w:rsidR="002037F5" w:rsidRPr="00F7043C" w:rsidRDefault="00F7043C" w:rsidP="00F704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54957-01-21</w:t>
    </w:r>
    <w:r>
      <w:rPr>
        <w:rFonts w:ascii="David" w:hAnsi="David"/>
        <w:color w:val="000000"/>
        <w:sz w:val="22"/>
        <w:szCs w:val="22"/>
        <w:rtl/>
      </w:rPr>
      <w:tab/>
      <w:t xml:space="preserve"> מדינת ישראל נ' אליעזר ישראל מנצור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70C23"/>
    <w:multiLevelType w:val="hybridMultilevel"/>
    <w:tmpl w:val="AE56A5D2"/>
    <w:lvl w:ilvl="0" w:tplc="05DAE40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37252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78333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0A29"/>
    <w:rsid w:val="002037F5"/>
    <w:rsid w:val="0032644D"/>
    <w:rsid w:val="00385157"/>
    <w:rsid w:val="003B3808"/>
    <w:rsid w:val="00584863"/>
    <w:rsid w:val="00791078"/>
    <w:rsid w:val="009A4E4C"/>
    <w:rsid w:val="00AD3549"/>
    <w:rsid w:val="00B3039F"/>
    <w:rsid w:val="00B977BB"/>
    <w:rsid w:val="00BA0A29"/>
    <w:rsid w:val="00EA578B"/>
    <w:rsid w:val="00F015A0"/>
    <w:rsid w:val="00F40485"/>
    <w:rsid w:val="00F7043C"/>
    <w:rsid w:val="00F723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6EE356"/>
  <w15:chartTrackingRefBased/>
  <w15:docId w15:val="{4D845F70-DF53-420B-829D-154BBDE0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0A2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0A29"/>
    <w:pPr>
      <w:tabs>
        <w:tab w:val="center" w:pos="4153"/>
        <w:tab w:val="right" w:pos="8306"/>
      </w:tabs>
    </w:pPr>
  </w:style>
  <w:style w:type="character" w:customStyle="1" w:styleId="a4">
    <w:name w:val="כותרת עליונה תו"/>
    <w:link w:val="a3"/>
    <w:rsid w:val="00BA0A29"/>
    <w:rPr>
      <w:rFonts w:ascii="Times New Roman" w:eastAsia="Times New Roman" w:hAnsi="Times New Roman" w:cs="David"/>
      <w:sz w:val="24"/>
      <w:szCs w:val="24"/>
    </w:rPr>
  </w:style>
  <w:style w:type="paragraph" w:styleId="a5">
    <w:name w:val="footer"/>
    <w:basedOn w:val="a"/>
    <w:link w:val="a6"/>
    <w:rsid w:val="00BA0A29"/>
    <w:pPr>
      <w:tabs>
        <w:tab w:val="center" w:pos="4153"/>
        <w:tab w:val="right" w:pos="8306"/>
      </w:tabs>
    </w:pPr>
  </w:style>
  <w:style w:type="character" w:customStyle="1" w:styleId="a6">
    <w:name w:val="כותרת תחתונה תו"/>
    <w:link w:val="a5"/>
    <w:rsid w:val="00BA0A29"/>
    <w:rPr>
      <w:rFonts w:ascii="Times New Roman" w:eastAsia="Times New Roman" w:hAnsi="Times New Roman" w:cs="David"/>
      <w:sz w:val="24"/>
      <w:szCs w:val="24"/>
    </w:rPr>
  </w:style>
  <w:style w:type="table" w:styleId="a7">
    <w:name w:val="Table Grid"/>
    <w:basedOn w:val="a1"/>
    <w:rsid w:val="00BA0A2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0A29"/>
  </w:style>
  <w:style w:type="paragraph" w:styleId="a9">
    <w:name w:val="List Paragraph"/>
    <w:basedOn w:val="a"/>
    <w:qFormat/>
    <w:rsid w:val="00BA0A29"/>
    <w:pPr>
      <w:ind w:left="720"/>
      <w:contextualSpacing/>
    </w:pPr>
  </w:style>
  <w:style w:type="character" w:styleId="Hyperlink">
    <w:name w:val="Hyperlink"/>
    <w:rsid w:val="00203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2240058"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093618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7980179"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810781"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032145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1821</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10907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3604602</vt:i4>
      </vt:variant>
      <vt:variant>
        <vt:i4>51</vt:i4>
      </vt:variant>
      <vt:variant>
        <vt:i4>0</vt:i4>
      </vt:variant>
      <vt:variant>
        <vt:i4>5</vt:i4>
      </vt:variant>
      <vt:variant>
        <vt:lpwstr>http://www.nevo.co.il/case/7980179</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7995492</vt:i4>
      </vt:variant>
      <vt:variant>
        <vt:i4>45</vt:i4>
      </vt:variant>
      <vt:variant>
        <vt:i4>0</vt:i4>
      </vt:variant>
      <vt:variant>
        <vt:i4>5</vt:i4>
      </vt:variant>
      <vt:variant>
        <vt:lpwstr>http://www.nevo.co.il/law/70301</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3473526</vt:i4>
      </vt:variant>
      <vt:variant>
        <vt:i4>39</vt:i4>
      </vt:variant>
      <vt:variant>
        <vt:i4>0</vt:i4>
      </vt:variant>
      <vt:variant>
        <vt:i4>5</vt:i4>
      </vt:variant>
      <vt:variant>
        <vt:lpwstr>http://www.nevo.co.il/case/20936185</vt:lpwstr>
      </vt:variant>
      <vt:variant>
        <vt:lpwstr/>
      </vt:variant>
      <vt:variant>
        <vt:i4>3473522</vt:i4>
      </vt:variant>
      <vt:variant>
        <vt:i4>36</vt:i4>
      </vt:variant>
      <vt:variant>
        <vt:i4>0</vt:i4>
      </vt:variant>
      <vt:variant>
        <vt:i4>5</vt:i4>
      </vt:variant>
      <vt:variant>
        <vt:lpwstr>http://www.nevo.co.il/case/20321459</vt:lpwstr>
      </vt:variant>
      <vt:variant>
        <vt:lpwstr/>
      </vt:variant>
      <vt:variant>
        <vt:i4>3473522</vt:i4>
      </vt:variant>
      <vt:variant>
        <vt:i4>33</vt:i4>
      </vt:variant>
      <vt:variant>
        <vt:i4>0</vt:i4>
      </vt:variant>
      <vt:variant>
        <vt:i4>5</vt:i4>
      </vt:variant>
      <vt:variant>
        <vt:lpwstr>http://www.nevo.co.il/case/22240058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54957</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אליעזר ישראל מנצור</vt:lpwstr>
  </property>
  <property fmtid="{D5CDD505-2E9C-101B-9397-08002B2CF9AE}" pid="10" name="LAWYER">
    <vt:lpwstr>מאיר לוברבאום;חי אוזן;גיורא זילברשטיין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20220327</vt:lpwstr>
  </property>
  <property fmtid="{D5CDD505-2E9C-101B-9397-08002B2CF9AE}" pid="14" name="TYPE_N_DATE">
    <vt:lpwstr>38020220327</vt:lpwstr>
  </property>
  <property fmtid="{D5CDD505-2E9C-101B-9397-08002B2CF9AE}" pid="15" name="WORDNUMPAGES">
    <vt:lpwstr>5</vt:lpwstr>
  </property>
  <property fmtid="{D5CDD505-2E9C-101B-9397-08002B2CF9AE}" pid="16" name="TYPE_ABS_DATE">
    <vt:lpwstr>380020220327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22240058;20321459;20936185;5810781;7980179</vt:lpwstr>
  </property>
  <property fmtid="{D5CDD505-2E9C-101B-9397-08002B2CF9AE}" pid="36" name="LAWLISTTMP1">
    <vt:lpwstr>4216/013;019a</vt:lpwstr>
  </property>
  <property fmtid="{D5CDD505-2E9C-101B-9397-08002B2CF9AE}" pid="37" name="LAWLISTTMP2">
    <vt:lpwstr>70301/040i;40ja</vt:lpwstr>
  </property>
</Properties>
</file>