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0D2A64" w:rsidRPr="00C04044" w14:paraId="06C41FB0" w14:textId="77777777" w:rsidTr="002D5108">
        <w:trPr>
          <w:trHeight w:hRule="exact" w:val="418"/>
          <w:jc w:val="center"/>
        </w:trPr>
        <w:tc>
          <w:tcPr>
            <w:tcW w:w="8721" w:type="dxa"/>
            <w:gridSpan w:val="2"/>
          </w:tcPr>
          <w:p w14:paraId="6165503D" w14:textId="77777777" w:rsidR="000D2A64" w:rsidRPr="00C04044" w:rsidRDefault="000D2A64" w:rsidP="00C51E1A">
            <w:pPr>
              <w:pStyle w:val="a3"/>
              <w:jc w:val="center"/>
              <w:rPr>
                <w:rFonts w:ascii="Tahoma" w:hAnsi="Tahoma" w:cs="Tahoma"/>
                <w:color w:val="000080"/>
                <w:rtl/>
              </w:rPr>
            </w:pPr>
            <w:r w:rsidRPr="00C04044">
              <w:rPr>
                <w:rFonts w:ascii="Tahoma" w:hAnsi="Tahoma" w:cs="Tahoma"/>
                <w:b/>
                <w:bCs/>
                <w:color w:val="000080"/>
                <w:rtl/>
              </w:rPr>
              <w:t>בית משפט השלום בבאר שבע</w:t>
            </w:r>
          </w:p>
        </w:tc>
      </w:tr>
      <w:tr w:rsidR="000D2A64" w:rsidRPr="00C04044" w14:paraId="644C47C7" w14:textId="77777777" w:rsidTr="002D5108">
        <w:trPr>
          <w:trHeight w:val="337"/>
          <w:jc w:val="center"/>
        </w:trPr>
        <w:tc>
          <w:tcPr>
            <w:tcW w:w="5060" w:type="dxa"/>
          </w:tcPr>
          <w:p w14:paraId="2D004927" w14:textId="77777777" w:rsidR="000D2A64" w:rsidRPr="00C04044" w:rsidRDefault="000D2A64" w:rsidP="00C51E1A">
            <w:pPr>
              <w:rPr>
                <w:rFonts w:ascii="David" w:hAnsi="David"/>
                <w:b/>
                <w:bCs/>
                <w:sz w:val="26"/>
                <w:szCs w:val="26"/>
                <w:rtl/>
              </w:rPr>
            </w:pPr>
            <w:r w:rsidRPr="00C04044">
              <w:rPr>
                <w:rFonts w:ascii="David" w:hAnsi="David"/>
                <w:b/>
                <w:bCs/>
                <w:sz w:val="26"/>
                <w:szCs w:val="26"/>
                <w:rtl/>
              </w:rPr>
              <w:t xml:space="preserve">ת"פ </w:t>
            </w:r>
            <w:hyperlink r:id="rId7" w:history="1">
              <w:r w:rsidR="004842CD" w:rsidRPr="004842CD">
                <w:rPr>
                  <w:rFonts w:ascii="David" w:hAnsi="David"/>
                  <w:b/>
                  <w:bCs/>
                  <w:color w:val="0000FF"/>
                  <w:sz w:val="26"/>
                  <w:szCs w:val="26"/>
                  <w:u w:val="single"/>
                  <w:rtl/>
                </w:rPr>
                <w:t xml:space="preserve">57939-01-21 </w:t>
              </w:r>
            </w:hyperlink>
            <w:r w:rsidRPr="00C04044">
              <w:rPr>
                <w:rFonts w:ascii="David" w:hAnsi="David"/>
                <w:b/>
                <w:bCs/>
                <w:sz w:val="26"/>
                <w:szCs w:val="26"/>
                <w:rtl/>
              </w:rPr>
              <w:t xml:space="preserve"> מדינת ישראל נ' פראונה(עציר)</w:t>
            </w:r>
          </w:p>
          <w:p w14:paraId="7F032911" w14:textId="77777777" w:rsidR="000D2A64" w:rsidRPr="00C04044" w:rsidRDefault="000D2A64" w:rsidP="00C51E1A">
            <w:pPr>
              <w:pStyle w:val="a3"/>
              <w:rPr>
                <w:rFonts w:cs="FrankRuehl"/>
                <w:sz w:val="28"/>
                <w:szCs w:val="28"/>
                <w:rtl/>
              </w:rPr>
            </w:pPr>
          </w:p>
        </w:tc>
        <w:tc>
          <w:tcPr>
            <w:tcW w:w="3661" w:type="dxa"/>
          </w:tcPr>
          <w:p w14:paraId="374B7174" w14:textId="77777777" w:rsidR="000D2A64" w:rsidRPr="00C04044" w:rsidRDefault="000D2A64" w:rsidP="00C51E1A">
            <w:pPr>
              <w:pStyle w:val="a3"/>
              <w:jc w:val="right"/>
              <w:rPr>
                <w:rFonts w:cs="FrankRuehl"/>
                <w:sz w:val="28"/>
                <w:szCs w:val="28"/>
                <w:rtl/>
              </w:rPr>
            </w:pPr>
          </w:p>
        </w:tc>
      </w:tr>
    </w:tbl>
    <w:p w14:paraId="5D6A98EC" w14:textId="77777777" w:rsidR="000D2A64" w:rsidRPr="00C04044" w:rsidRDefault="000D2A64" w:rsidP="000D2A64">
      <w:pPr>
        <w:pStyle w:val="a3"/>
        <w:rPr>
          <w:rtl/>
        </w:rPr>
      </w:pPr>
      <w:r w:rsidRPr="00C04044">
        <w:rPr>
          <w:rFonts w:hint="cs"/>
          <w:rtl/>
        </w:rPr>
        <w:t xml:space="preserve"> </w:t>
      </w:r>
    </w:p>
    <w:p w14:paraId="5D798AB2" w14:textId="77777777" w:rsidR="000D2A64" w:rsidRPr="00C04044" w:rsidRDefault="000D2A64" w:rsidP="000D2A64">
      <w:pPr>
        <w:rPr>
          <w:rtl/>
        </w:rPr>
      </w:pPr>
    </w:p>
    <w:p w14:paraId="1ACABD43" w14:textId="77777777" w:rsidR="000D2A64" w:rsidRPr="00C04044" w:rsidRDefault="000D2A64" w:rsidP="000D2A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D2A64" w:rsidRPr="00C04044" w14:paraId="7A99E94B" w14:textId="77777777" w:rsidTr="000D2A64">
        <w:trPr>
          <w:trHeight w:val="295"/>
          <w:jc w:val="center"/>
        </w:trPr>
        <w:tc>
          <w:tcPr>
            <w:tcW w:w="923" w:type="dxa"/>
            <w:tcBorders>
              <w:top w:val="nil"/>
              <w:left w:val="nil"/>
              <w:bottom w:val="nil"/>
              <w:right w:val="nil"/>
            </w:tcBorders>
            <w:shd w:val="clear" w:color="auto" w:fill="auto"/>
          </w:tcPr>
          <w:p w14:paraId="6ECB6AB6" w14:textId="77777777" w:rsidR="000D2A64" w:rsidRPr="00C04044" w:rsidRDefault="000D2A64" w:rsidP="000D2A64">
            <w:pPr>
              <w:jc w:val="both"/>
              <w:rPr>
                <w:rFonts w:ascii="David" w:hAnsi="David"/>
                <w:b/>
                <w:bCs/>
                <w:sz w:val="26"/>
                <w:szCs w:val="26"/>
              </w:rPr>
            </w:pPr>
            <w:r w:rsidRPr="00C0404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CC9AAE0" w14:textId="77777777" w:rsidR="000D2A64" w:rsidRPr="00C04044" w:rsidRDefault="000D2A64" w:rsidP="00C51E1A">
            <w:pPr>
              <w:rPr>
                <w:rFonts w:ascii="David" w:hAnsi="David"/>
                <w:b/>
                <w:bCs/>
                <w:sz w:val="26"/>
                <w:szCs w:val="26"/>
                <w:rtl/>
              </w:rPr>
            </w:pPr>
            <w:r w:rsidRPr="00C04044">
              <w:rPr>
                <w:rFonts w:ascii="David" w:hAnsi="David"/>
                <w:b/>
                <w:bCs/>
                <w:sz w:val="26"/>
                <w:szCs w:val="26"/>
                <w:rtl/>
              </w:rPr>
              <w:t>כבוד השופטת, סגנית הנשיא  ענת חולתא</w:t>
            </w:r>
          </w:p>
          <w:p w14:paraId="2FAD1670" w14:textId="77777777" w:rsidR="000D2A64" w:rsidRPr="00C04044" w:rsidRDefault="000D2A64" w:rsidP="00C51E1A">
            <w:pPr>
              <w:rPr>
                <w:rFonts w:ascii="David" w:hAnsi="David"/>
                <w:b/>
                <w:bCs/>
                <w:sz w:val="26"/>
                <w:szCs w:val="26"/>
                <w:rtl/>
              </w:rPr>
            </w:pPr>
          </w:p>
          <w:p w14:paraId="1E428FF8" w14:textId="77777777" w:rsidR="000D2A64" w:rsidRPr="00C04044" w:rsidRDefault="000D2A64" w:rsidP="000D2A64">
            <w:pPr>
              <w:jc w:val="both"/>
              <w:rPr>
                <w:rFonts w:ascii="David" w:hAnsi="David"/>
                <w:b/>
                <w:bCs/>
                <w:sz w:val="26"/>
                <w:szCs w:val="26"/>
              </w:rPr>
            </w:pPr>
          </w:p>
        </w:tc>
      </w:tr>
      <w:tr w:rsidR="000D2A64" w:rsidRPr="00C04044" w14:paraId="316AD389" w14:textId="77777777" w:rsidTr="000D2A64">
        <w:trPr>
          <w:trHeight w:val="355"/>
          <w:jc w:val="center"/>
        </w:trPr>
        <w:tc>
          <w:tcPr>
            <w:tcW w:w="923" w:type="dxa"/>
            <w:tcBorders>
              <w:top w:val="nil"/>
              <w:left w:val="nil"/>
              <w:bottom w:val="nil"/>
              <w:right w:val="nil"/>
            </w:tcBorders>
            <w:shd w:val="clear" w:color="auto" w:fill="auto"/>
          </w:tcPr>
          <w:p w14:paraId="7D97D808" w14:textId="77777777" w:rsidR="000D2A64" w:rsidRPr="00C04044" w:rsidRDefault="000D2A64" w:rsidP="000D2A64">
            <w:pPr>
              <w:jc w:val="both"/>
              <w:rPr>
                <w:rFonts w:ascii="David" w:hAnsi="David"/>
                <w:b/>
                <w:bCs/>
                <w:sz w:val="26"/>
                <w:szCs w:val="26"/>
              </w:rPr>
            </w:pPr>
            <w:bookmarkStart w:id="0" w:name="FirstAppellant"/>
            <w:bookmarkStart w:id="1" w:name="LastJudge"/>
            <w:bookmarkEnd w:id="1"/>
            <w:r w:rsidRPr="00C04044">
              <w:rPr>
                <w:rFonts w:ascii="David" w:hAnsi="David"/>
                <w:b/>
                <w:bCs/>
                <w:sz w:val="26"/>
                <w:szCs w:val="26"/>
                <w:rtl/>
              </w:rPr>
              <w:t>בעניין:</w:t>
            </w:r>
          </w:p>
        </w:tc>
        <w:tc>
          <w:tcPr>
            <w:tcW w:w="4126" w:type="dxa"/>
            <w:tcBorders>
              <w:top w:val="nil"/>
              <w:left w:val="nil"/>
              <w:bottom w:val="nil"/>
              <w:right w:val="nil"/>
            </w:tcBorders>
            <w:shd w:val="clear" w:color="auto" w:fill="auto"/>
          </w:tcPr>
          <w:p w14:paraId="4547996D" w14:textId="77777777" w:rsidR="000D2A64" w:rsidRPr="00C04044" w:rsidRDefault="000D2A64" w:rsidP="00C51E1A">
            <w:pPr>
              <w:rPr>
                <w:rFonts w:ascii="David" w:hAnsi="David"/>
                <w:b/>
                <w:bCs/>
                <w:sz w:val="26"/>
                <w:szCs w:val="26"/>
              </w:rPr>
            </w:pPr>
            <w:r w:rsidRPr="00C04044">
              <w:rPr>
                <w:rFonts w:ascii="David" w:hAnsi="David"/>
                <w:b/>
                <w:bCs/>
                <w:sz w:val="26"/>
                <w:szCs w:val="26"/>
                <w:rtl/>
              </w:rPr>
              <w:t>מדינת ישראל</w:t>
            </w:r>
            <w:r w:rsidRPr="00C04044">
              <w:rPr>
                <w:rFonts w:ascii="David" w:hAnsi="David" w:hint="cs"/>
                <w:b/>
                <w:bCs/>
                <w:sz w:val="26"/>
                <w:szCs w:val="26"/>
                <w:rtl/>
              </w:rPr>
              <w:t>-תביעות נגב</w:t>
            </w:r>
          </w:p>
        </w:tc>
        <w:tc>
          <w:tcPr>
            <w:tcW w:w="3771" w:type="dxa"/>
            <w:tcBorders>
              <w:top w:val="nil"/>
              <w:left w:val="nil"/>
              <w:bottom w:val="nil"/>
              <w:right w:val="nil"/>
            </w:tcBorders>
            <w:shd w:val="clear" w:color="auto" w:fill="auto"/>
          </w:tcPr>
          <w:p w14:paraId="66D5C170" w14:textId="77777777" w:rsidR="000D2A64" w:rsidRPr="00C04044" w:rsidRDefault="000D2A64" w:rsidP="000D2A64">
            <w:pPr>
              <w:jc w:val="both"/>
              <w:rPr>
                <w:rFonts w:ascii="David" w:hAnsi="David"/>
                <w:b/>
                <w:bCs/>
                <w:sz w:val="26"/>
                <w:szCs w:val="26"/>
              </w:rPr>
            </w:pPr>
          </w:p>
        </w:tc>
      </w:tr>
      <w:tr w:rsidR="000D2A64" w:rsidRPr="00C04044" w14:paraId="31AA9C83" w14:textId="77777777" w:rsidTr="000D2A64">
        <w:trPr>
          <w:trHeight w:val="355"/>
          <w:jc w:val="center"/>
        </w:trPr>
        <w:tc>
          <w:tcPr>
            <w:tcW w:w="923" w:type="dxa"/>
            <w:tcBorders>
              <w:top w:val="nil"/>
              <w:left w:val="nil"/>
              <w:bottom w:val="nil"/>
              <w:right w:val="nil"/>
            </w:tcBorders>
            <w:shd w:val="clear" w:color="auto" w:fill="auto"/>
          </w:tcPr>
          <w:p w14:paraId="6A41ED2F" w14:textId="77777777" w:rsidR="000D2A64" w:rsidRPr="00C04044" w:rsidRDefault="000D2A64" w:rsidP="000D2A64">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7E3509AC" w14:textId="77777777" w:rsidR="000D2A64" w:rsidRPr="00C04044" w:rsidRDefault="000D2A64" w:rsidP="000D2A64">
            <w:pPr>
              <w:jc w:val="both"/>
              <w:rPr>
                <w:rFonts w:ascii="David" w:hAnsi="David"/>
                <w:b/>
                <w:bCs/>
                <w:sz w:val="26"/>
                <w:szCs w:val="26"/>
                <w:rtl/>
              </w:rPr>
            </w:pPr>
            <w:r w:rsidRPr="00C04044">
              <w:rPr>
                <w:rFonts w:ascii="David" w:hAnsi="David" w:hint="cs"/>
                <w:b/>
                <w:bCs/>
                <w:sz w:val="26"/>
                <w:szCs w:val="26"/>
                <w:rtl/>
              </w:rPr>
              <w:t>ע"י ב"כ עו"ד בוסה טסמה</w:t>
            </w:r>
          </w:p>
        </w:tc>
        <w:tc>
          <w:tcPr>
            <w:tcW w:w="3771" w:type="dxa"/>
            <w:tcBorders>
              <w:top w:val="nil"/>
              <w:left w:val="nil"/>
              <w:bottom w:val="nil"/>
              <w:right w:val="nil"/>
            </w:tcBorders>
            <w:shd w:val="clear" w:color="auto" w:fill="auto"/>
          </w:tcPr>
          <w:p w14:paraId="53C11760" w14:textId="77777777" w:rsidR="000D2A64" w:rsidRPr="00C04044" w:rsidRDefault="000D2A64" w:rsidP="000D2A64">
            <w:pPr>
              <w:jc w:val="right"/>
              <w:rPr>
                <w:rFonts w:ascii="David" w:hAnsi="David"/>
                <w:b/>
                <w:bCs/>
                <w:sz w:val="26"/>
                <w:szCs w:val="26"/>
                <w:rtl/>
              </w:rPr>
            </w:pPr>
            <w:r w:rsidRPr="00C04044">
              <w:rPr>
                <w:rFonts w:ascii="David" w:hAnsi="David"/>
                <w:b/>
                <w:bCs/>
                <w:sz w:val="26"/>
                <w:szCs w:val="26"/>
                <w:rtl/>
              </w:rPr>
              <w:t>המאשימה</w:t>
            </w:r>
          </w:p>
        </w:tc>
      </w:tr>
      <w:bookmarkEnd w:id="2"/>
      <w:tr w:rsidR="000D2A64" w:rsidRPr="00C04044" w14:paraId="3CEDF153" w14:textId="77777777" w:rsidTr="000D2A64">
        <w:trPr>
          <w:trHeight w:val="355"/>
          <w:jc w:val="center"/>
        </w:trPr>
        <w:tc>
          <w:tcPr>
            <w:tcW w:w="923" w:type="dxa"/>
            <w:tcBorders>
              <w:top w:val="nil"/>
              <w:left w:val="nil"/>
              <w:bottom w:val="nil"/>
              <w:right w:val="nil"/>
            </w:tcBorders>
            <w:shd w:val="clear" w:color="auto" w:fill="auto"/>
          </w:tcPr>
          <w:p w14:paraId="794310DF" w14:textId="77777777" w:rsidR="000D2A64" w:rsidRPr="00C04044" w:rsidRDefault="000D2A64" w:rsidP="000D2A64">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CEB3F90" w14:textId="77777777" w:rsidR="000D2A64" w:rsidRPr="00C04044" w:rsidRDefault="000D2A64" w:rsidP="000D2A64">
            <w:pPr>
              <w:jc w:val="center"/>
              <w:rPr>
                <w:rFonts w:ascii="David" w:hAnsi="David"/>
                <w:b/>
                <w:bCs/>
                <w:sz w:val="26"/>
                <w:szCs w:val="26"/>
                <w:rtl/>
              </w:rPr>
            </w:pPr>
          </w:p>
          <w:p w14:paraId="07F2373B" w14:textId="77777777" w:rsidR="000D2A64" w:rsidRPr="00C04044" w:rsidRDefault="000D2A64" w:rsidP="000D2A64">
            <w:pPr>
              <w:jc w:val="center"/>
              <w:rPr>
                <w:rFonts w:ascii="David" w:hAnsi="David"/>
                <w:b/>
                <w:bCs/>
                <w:sz w:val="26"/>
                <w:szCs w:val="26"/>
                <w:rtl/>
              </w:rPr>
            </w:pPr>
            <w:r w:rsidRPr="00C04044">
              <w:rPr>
                <w:rFonts w:ascii="David" w:hAnsi="David"/>
                <w:b/>
                <w:bCs/>
                <w:sz w:val="26"/>
                <w:szCs w:val="26"/>
                <w:rtl/>
              </w:rPr>
              <w:t>נגד</w:t>
            </w:r>
          </w:p>
          <w:p w14:paraId="723D8395" w14:textId="77777777" w:rsidR="000D2A64" w:rsidRPr="00C04044" w:rsidRDefault="000D2A64" w:rsidP="000D2A64">
            <w:pPr>
              <w:jc w:val="both"/>
              <w:rPr>
                <w:rFonts w:ascii="David" w:hAnsi="David"/>
                <w:b/>
                <w:bCs/>
                <w:sz w:val="26"/>
                <w:szCs w:val="26"/>
              </w:rPr>
            </w:pPr>
          </w:p>
        </w:tc>
      </w:tr>
      <w:tr w:rsidR="000D2A64" w:rsidRPr="00C04044" w14:paraId="3AF03FD1" w14:textId="77777777" w:rsidTr="000D2A64">
        <w:trPr>
          <w:trHeight w:val="355"/>
          <w:jc w:val="center"/>
        </w:trPr>
        <w:tc>
          <w:tcPr>
            <w:tcW w:w="923" w:type="dxa"/>
            <w:tcBorders>
              <w:top w:val="nil"/>
              <w:left w:val="nil"/>
              <w:bottom w:val="nil"/>
              <w:right w:val="nil"/>
            </w:tcBorders>
            <w:shd w:val="clear" w:color="auto" w:fill="auto"/>
          </w:tcPr>
          <w:p w14:paraId="0F4FE348" w14:textId="77777777" w:rsidR="000D2A64" w:rsidRPr="00C04044" w:rsidRDefault="000D2A64" w:rsidP="00C51E1A">
            <w:pPr>
              <w:rPr>
                <w:rFonts w:ascii="David" w:hAnsi="David"/>
                <w:b/>
                <w:bCs/>
                <w:sz w:val="26"/>
                <w:szCs w:val="26"/>
                <w:rtl/>
              </w:rPr>
            </w:pPr>
          </w:p>
        </w:tc>
        <w:tc>
          <w:tcPr>
            <w:tcW w:w="4126" w:type="dxa"/>
            <w:tcBorders>
              <w:top w:val="nil"/>
              <w:left w:val="nil"/>
              <w:bottom w:val="nil"/>
              <w:right w:val="nil"/>
            </w:tcBorders>
            <w:shd w:val="clear" w:color="auto" w:fill="auto"/>
          </w:tcPr>
          <w:p w14:paraId="06CF0ABD" w14:textId="77777777" w:rsidR="000D2A64" w:rsidRPr="00C04044" w:rsidRDefault="000D2A64" w:rsidP="00C51E1A">
            <w:pPr>
              <w:rPr>
                <w:rFonts w:ascii="David" w:hAnsi="David"/>
                <w:b/>
                <w:bCs/>
                <w:sz w:val="26"/>
                <w:szCs w:val="26"/>
                <w:rtl/>
              </w:rPr>
            </w:pPr>
            <w:r w:rsidRPr="00C04044">
              <w:rPr>
                <w:rFonts w:ascii="David" w:hAnsi="David"/>
                <w:b/>
                <w:bCs/>
                <w:sz w:val="26"/>
                <w:szCs w:val="26"/>
                <w:rtl/>
              </w:rPr>
              <w:t>סעד פראונה (עציר)</w:t>
            </w:r>
            <w:r w:rsidRPr="00C04044">
              <w:rPr>
                <w:rFonts w:ascii="David" w:hAnsi="David" w:hint="cs"/>
                <w:b/>
                <w:bCs/>
                <w:sz w:val="26"/>
                <w:szCs w:val="26"/>
                <w:rtl/>
              </w:rPr>
              <w:t>-ויעוד חזותי</w:t>
            </w:r>
          </w:p>
        </w:tc>
        <w:tc>
          <w:tcPr>
            <w:tcW w:w="3771" w:type="dxa"/>
            <w:tcBorders>
              <w:top w:val="nil"/>
              <w:left w:val="nil"/>
              <w:bottom w:val="nil"/>
              <w:right w:val="nil"/>
            </w:tcBorders>
            <w:shd w:val="clear" w:color="auto" w:fill="auto"/>
          </w:tcPr>
          <w:p w14:paraId="4FDBB65F" w14:textId="77777777" w:rsidR="000D2A64" w:rsidRPr="00C04044" w:rsidRDefault="000D2A64" w:rsidP="000D2A64">
            <w:pPr>
              <w:jc w:val="right"/>
              <w:rPr>
                <w:rFonts w:ascii="David" w:hAnsi="David"/>
                <w:b/>
                <w:bCs/>
                <w:sz w:val="26"/>
                <w:szCs w:val="26"/>
              </w:rPr>
            </w:pPr>
          </w:p>
        </w:tc>
      </w:tr>
      <w:tr w:rsidR="000D2A64" w:rsidRPr="00C04044" w14:paraId="01DFF9A3" w14:textId="77777777" w:rsidTr="000D2A64">
        <w:trPr>
          <w:trHeight w:val="355"/>
          <w:jc w:val="center"/>
        </w:trPr>
        <w:tc>
          <w:tcPr>
            <w:tcW w:w="923" w:type="dxa"/>
            <w:tcBorders>
              <w:top w:val="nil"/>
              <w:left w:val="nil"/>
              <w:bottom w:val="nil"/>
              <w:right w:val="nil"/>
            </w:tcBorders>
            <w:shd w:val="clear" w:color="auto" w:fill="auto"/>
          </w:tcPr>
          <w:p w14:paraId="2DCCFE95" w14:textId="77777777" w:rsidR="000D2A64" w:rsidRPr="00C04044" w:rsidRDefault="000D2A64" w:rsidP="000D2A64">
            <w:pPr>
              <w:jc w:val="both"/>
              <w:rPr>
                <w:rFonts w:ascii="David" w:hAnsi="David"/>
                <w:b/>
                <w:bCs/>
                <w:sz w:val="26"/>
                <w:szCs w:val="26"/>
                <w:rtl/>
              </w:rPr>
            </w:pPr>
          </w:p>
        </w:tc>
        <w:tc>
          <w:tcPr>
            <w:tcW w:w="4126" w:type="dxa"/>
            <w:tcBorders>
              <w:top w:val="nil"/>
              <w:left w:val="nil"/>
              <w:bottom w:val="nil"/>
              <w:right w:val="nil"/>
            </w:tcBorders>
            <w:shd w:val="clear" w:color="auto" w:fill="auto"/>
          </w:tcPr>
          <w:p w14:paraId="2C4F62D0" w14:textId="77777777" w:rsidR="000D2A64" w:rsidRPr="00C04044" w:rsidRDefault="000D2A64" w:rsidP="000D2A64">
            <w:pPr>
              <w:jc w:val="both"/>
              <w:rPr>
                <w:rFonts w:ascii="David" w:hAnsi="David"/>
                <w:b/>
                <w:bCs/>
                <w:sz w:val="26"/>
                <w:szCs w:val="26"/>
                <w:rtl/>
              </w:rPr>
            </w:pPr>
            <w:r w:rsidRPr="00C04044">
              <w:rPr>
                <w:rFonts w:ascii="David" w:hAnsi="David" w:hint="cs"/>
                <w:b/>
                <w:bCs/>
                <w:sz w:val="26"/>
                <w:szCs w:val="26"/>
                <w:rtl/>
              </w:rPr>
              <w:t>ע"י ב"כ עו"ד סמיר אבו עאבד</w:t>
            </w:r>
          </w:p>
        </w:tc>
        <w:tc>
          <w:tcPr>
            <w:tcW w:w="3771" w:type="dxa"/>
            <w:tcBorders>
              <w:top w:val="nil"/>
              <w:left w:val="nil"/>
              <w:bottom w:val="nil"/>
              <w:right w:val="nil"/>
            </w:tcBorders>
            <w:shd w:val="clear" w:color="auto" w:fill="auto"/>
          </w:tcPr>
          <w:p w14:paraId="7C8E8061" w14:textId="77777777" w:rsidR="000D2A64" w:rsidRPr="00C04044" w:rsidRDefault="000D2A64" w:rsidP="000D2A64">
            <w:pPr>
              <w:jc w:val="right"/>
              <w:rPr>
                <w:rFonts w:ascii="David" w:hAnsi="David"/>
                <w:b/>
                <w:bCs/>
                <w:sz w:val="26"/>
                <w:szCs w:val="26"/>
              </w:rPr>
            </w:pPr>
            <w:r w:rsidRPr="00C04044">
              <w:rPr>
                <w:rFonts w:ascii="David" w:hAnsi="David"/>
                <w:b/>
                <w:bCs/>
                <w:sz w:val="26"/>
                <w:szCs w:val="26"/>
                <w:rtl/>
              </w:rPr>
              <w:t>הנאשם</w:t>
            </w:r>
          </w:p>
        </w:tc>
      </w:tr>
    </w:tbl>
    <w:p w14:paraId="08788104" w14:textId="77777777" w:rsidR="000D2A64" w:rsidRPr="00C04044" w:rsidRDefault="000D2A64" w:rsidP="000D2A64">
      <w:pPr>
        <w:rPr>
          <w:sz w:val="26"/>
          <w:szCs w:val="26"/>
          <w:rtl/>
        </w:rPr>
      </w:pPr>
    </w:p>
    <w:p w14:paraId="11FA1CAC" w14:textId="77777777" w:rsidR="000D2A64" w:rsidRPr="00C04044" w:rsidRDefault="000D2A64" w:rsidP="000D2A64">
      <w:pPr>
        <w:rPr>
          <w:b/>
          <w:bCs/>
          <w:rtl/>
        </w:rPr>
      </w:pPr>
      <w:r w:rsidRPr="00C04044">
        <w:rPr>
          <w:rFonts w:hint="cs"/>
          <w:b/>
          <w:bCs/>
          <w:rtl/>
        </w:rPr>
        <w:t>נוכחת:</w:t>
      </w:r>
    </w:p>
    <w:p w14:paraId="432AAF04" w14:textId="77777777" w:rsidR="002D5108" w:rsidRDefault="000D2A64" w:rsidP="000D2A64">
      <w:pPr>
        <w:rPr>
          <w:b/>
          <w:bCs/>
          <w:rtl/>
        </w:rPr>
      </w:pPr>
      <w:r w:rsidRPr="00C04044">
        <w:rPr>
          <w:rFonts w:hint="cs"/>
          <w:b/>
          <w:bCs/>
          <w:rtl/>
        </w:rPr>
        <w:t>מתורגמנית לשפה הערבית גב' ריטה אבו רביעה</w:t>
      </w:r>
    </w:p>
    <w:p w14:paraId="5789146A" w14:textId="77777777" w:rsidR="002D5108" w:rsidRPr="002D5108" w:rsidRDefault="002D5108" w:rsidP="002D5108">
      <w:pPr>
        <w:spacing w:after="120" w:line="240" w:lineRule="exact"/>
        <w:ind w:left="283" w:hanging="283"/>
        <w:jc w:val="both"/>
        <w:rPr>
          <w:rFonts w:ascii="FrankRuehl" w:hAnsi="FrankRuehl" w:cs="FrankRuehl"/>
          <w:rtl/>
        </w:rPr>
      </w:pPr>
    </w:p>
    <w:p w14:paraId="40E11481" w14:textId="77777777" w:rsidR="004842CD" w:rsidRPr="004842CD" w:rsidRDefault="004842CD" w:rsidP="004842CD">
      <w:pPr>
        <w:spacing w:before="120" w:after="120" w:line="240" w:lineRule="exact"/>
        <w:ind w:left="283" w:hanging="283"/>
        <w:jc w:val="both"/>
        <w:rPr>
          <w:rFonts w:ascii="FrankRuehl" w:hAnsi="FrankRuehl" w:cs="FrankRuehl"/>
          <w:rtl/>
        </w:rPr>
      </w:pPr>
    </w:p>
    <w:p w14:paraId="15DC6538" w14:textId="77777777" w:rsidR="007C2C06" w:rsidRDefault="007C2C06" w:rsidP="007C2C06">
      <w:pPr>
        <w:rPr>
          <w:sz w:val="26"/>
          <w:szCs w:val="26"/>
          <w:rtl/>
        </w:rPr>
      </w:pPr>
      <w:bookmarkStart w:id="3" w:name="LawTable"/>
      <w:bookmarkEnd w:id="3"/>
    </w:p>
    <w:p w14:paraId="4323CC57" w14:textId="77777777" w:rsidR="007C2C06" w:rsidRPr="007C2C06" w:rsidRDefault="007C2C06" w:rsidP="007C2C06">
      <w:pPr>
        <w:spacing w:before="120" w:after="120" w:line="240" w:lineRule="exact"/>
        <w:ind w:left="283" w:hanging="283"/>
        <w:jc w:val="both"/>
        <w:rPr>
          <w:rFonts w:ascii="FrankRuehl" w:hAnsi="FrankRuehl" w:cs="FrankRuehl"/>
          <w:rtl/>
        </w:rPr>
      </w:pPr>
    </w:p>
    <w:p w14:paraId="4F630BE2" w14:textId="77777777" w:rsidR="007C2C06" w:rsidRPr="007C2C06" w:rsidRDefault="007C2C06" w:rsidP="007C2C06">
      <w:pPr>
        <w:spacing w:before="120" w:after="120" w:line="240" w:lineRule="exact"/>
        <w:ind w:left="283" w:hanging="283"/>
        <w:jc w:val="both"/>
        <w:rPr>
          <w:rFonts w:ascii="FrankRuehl" w:hAnsi="FrankRuehl" w:cs="FrankRuehl"/>
          <w:rtl/>
        </w:rPr>
      </w:pPr>
    </w:p>
    <w:p w14:paraId="25CBB49F" w14:textId="77777777" w:rsidR="007C2C06" w:rsidRPr="007C2C06" w:rsidRDefault="007C2C06" w:rsidP="007C2C06">
      <w:pPr>
        <w:spacing w:before="120" w:after="120" w:line="240" w:lineRule="exact"/>
        <w:ind w:left="283" w:hanging="283"/>
        <w:jc w:val="both"/>
        <w:rPr>
          <w:rFonts w:ascii="FrankRuehl" w:hAnsi="FrankRuehl" w:cs="FrankRuehl"/>
          <w:rtl/>
        </w:rPr>
      </w:pPr>
      <w:r w:rsidRPr="007C2C06">
        <w:rPr>
          <w:rFonts w:ascii="FrankRuehl" w:hAnsi="FrankRuehl" w:cs="FrankRuehl"/>
          <w:rtl/>
        </w:rPr>
        <w:t xml:space="preserve">חקיקה שאוזכרה: </w:t>
      </w:r>
    </w:p>
    <w:p w14:paraId="12DCF13C" w14:textId="77777777" w:rsidR="007C2C06" w:rsidRPr="007C2C06" w:rsidRDefault="007C2C06" w:rsidP="007C2C06">
      <w:pPr>
        <w:spacing w:before="120" w:after="120" w:line="240" w:lineRule="exact"/>
        <w:ind w:left="283" w:hanging="283"/>
        <w:jc w:val="both"/>
        <w:rPr>
          <w:rFonts w:ascii="FrankRuehl" w:hAnsi="FrankRuehl" w:cs="FrankRuehl"/>
          <w:rtl/>
        </w:rPr>
      </w:pPr>
      <w:hyperlink r:id="rId8" w:history="1">
        <w:r w:rsidRPr="007C2C06">
          <w:rPr>
            <w:rFonts w:ascii="FrankRuehl" w:hAnsi="FrankRuehl" w:cs="FrankRuehl"/>
            <w:color w:val="0000FF"/>
            <w:rtl/>
          </w:rPr>
          <w:t>פקודת הסמים המסוכנים [נוסח חדש], תשל"ג-1973</w:t>
        </w:r>
      </w:hyperlink>
      <w:r w:rsidRPr="007C2C06">
        <w:rPr>
          <w:rFonts w:ascii="FrankRuehl" w:hAnsi="FrankRuehl" w:cs="FrankRuehl"/>
          <w:rtl/>
        </w:rPr>
        <w:t xml:space="preserve">: סע'  </w:t>
      </w:r>
      <w:hyperlink r:id="rId9" w:history="1">
        <w:r w:rsidRPr="007C2C06">
          <w:rPr>
            <w:rFonts w:ascii="FrankRuehl" w:hAnsi="FrankRuehl" w:cs="FrankRuehl"/>
            <w:color w:val="0000FF"/>
            <w:rtl/>
          </w:rPr>
          <w:t>7(א)</w:t>
        </w:r>
      </w:hyperlink>
      <w:r w:rsidRPr="007C2C06">
        <w:rPr>
          <w:rFonts w:ascii="FrankRuehl" w:hAnsi="FrankRuehl" w:cs="FrankRuehl"/>
          <w:rtl/>
        </w:rPr>
        <w:t xml:space="preserve">, </w:t>
      </w:r>
      <w:hyperlink r:id="rId10" w:history="1">
        <w:r w:rsidRPr="007C2C06">
          <w:rPr>
            <w:rFonts w:ascii="FrankRuehl" w:hAnsi="FrankRuehl" w:cs="FrankRuehl"/>
            <w:color w:val="0000FF"/>
            <w:rtl/>
          </w:rPr>
          <w:t>7(ג)</w:t>
        </w:r>
      </w:hyperlink>
    </w:p>
    <w:p w14:paraId="411F4A7C" w14:textId="77777777" w:rsidR="007C2C06" w:rsidRPr="007C2C06" w:rsidRDefault="007C2C06" w:rsidP="007C2C06">
      <w:pPr>
        <w:spacing w:before="120" w:after="120" w:line="240" w:lineRule="exact"/>
        <w:ind w:left="283" w:hanging="283"/>
        <w:jc w:val="both"/>
        <w:rPr>
          <w:rFonts w:ascii="FrankRuehl" w:hAnsi="FrankRuehl" w:cs="FrankRuehl"/>
          <w:rtl/>
        </w:rPr>
      </w:pPr>
      <w:hyperlink r:id="rId11" w:history="1">
        <w:r w:rsidRPr="007C2C06">
          <w:rPr>
            <w:rFonts w:ascii="FrankRuehl" w:hAnsi="FrankRuehl" w:cs="FrankRuehl"/>
            <w:color w:val="0000FF"/>
            <w:rtl/>
          </w:rPr>
          <w:t>חוק העונשין, תשל"ז-1977</w:t>
        </w:r>
      </w:hyperlink>
      <w:r w:rsidRPr="007C2C06">
        <w:rPr>
          <w:rFonts w:ascii="FrankRuehl" w:hAnsi="FrankRuehl" w:cs="FrankRuehl"/>
          <w:rtl/>
        </w:rPr>
        <w:t xml:space="preserve">: סע'  </w:t>
      </w:r>
      <w:hyperlink r:id="rId12" w:history="1">
        <w:r w:rsidRPr="007C2C06">
          <w:rPr>
            <w:rFonts w:ascii="FrankRuehl" w:hAnsi="FrankRuehl" w:cs="FrankRuehl"/>
            <w:color w:val="0000FF"/>
            <w:rtl/>
          </w:rPr>
          <w:t>275</w:t>
        </w:r>
      </w:hyperlink>
    </w:p>
    <w:p w14:paraId="68796005" w14:textId="77777777" w:rsidR="007C2C06" w:rsidRPr="007C2C06" w:rsidRDefault="007C2C06" w:rsidP="007C2C06">
      <w:pPr>
        <w:rPr>
          <w:sz w:val="26"/>
          <w:szCs w:val="26"/>
          <w:rtl/>
        </w:rPr>
      </w:pPr>
      <w:bookmarkStart w:id="4" w:name="LawTable_End"/>
      <w:bookmarkEnd w:id="4"/>
    </w:p>
    <w:p w14:paraId="13658C04" w14:textId="77777777" w:rsidR="000D2A64" w:rsidRPr="004842CD" w:rsidRDefault="000D2A64" w:rsidP="004842C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2A64" w14:paraId="4BB49D8F" w14:textId="77777777" w:rsidTr="000D2A64">
        <w:trPr>
          <w:trHeight w:val="355"/>
          <w:jc w:val="center"/>
        </w:trPr>
        <w:tc>
          <w:tcPr>
            <w:tcW w:w="8820" w:type="dxa"/>
            <w:tcBorders>
              <w:top w:val="nil"/>
              <w:left w:val="nil"/>
              <w:bottom w:val="nil"/>
              <w:right w:val="nil"/>
            </w:tcBorders>
            <w:shd w:val="clear" w:color="auto" w:fill="auto"/>
          </w:tcPr>
          <w:p w14:paraId="39B93405" w14:textId="77777777" w:rsidR="00C04044" w:rsidRPr="00C04044" w:rsidRDefault="00C04044" w:rsidP="00C04044">
            <w:pPr>
              <w:jc w:val="center"/>
              <w:rPr>
                <w:rFonts w:ascii="David" w:hAnsi="David"/>
                <w:b/>
                <w:bCs/>
                <w:sz w:val="32"/>
                <w:szCs w:val="32"/>
                <w:u w:val="single"/>
                <w:rtl/>
              </w:rPr>
            </w:pPr>
            <w:bookmarkStart w:id="5" w:name="PsakDin" w:colFirst="0" w:colLast="0"/>
            <w:r w:rsidRPr="00C04044">
              <w:rPr>
                <w:rFonts w:ascii="David" w:hAnsi="David"/>
                <w:b/>
                <w:bCs/>
                <w:sz w:val="32"/>
                <w:szCs w:val="32"/>
                <w:u w:val="single"/>
                <w:rtl/>
              </w:rPr>
              <w:t>גזר דין</w:t>
            </w:r>
          </w:p>
          <w:p w14:paraId="110D70FF" w14:textId="77777777" w:rsidR="000D2A64" w:rsidRPr="00C04044" w:rsidRDefault="000D2A64" w:rsidP="00C04044">
            <w:pPr>
              <w:jc w:val="center"/>
              <w:rPr>
                <w:rFonts w:ascii="David" w:hAnsi="David"/>
                <w:bCs/>
                <w:sz w:val="32"/>
                <w:szCs w:val="32"/>
                <w:u w:val="single"/>
                <w:rtl/>
              </w:rPr>
            </w:pPr>
          </w:p>
        </w:tc>
      </w:tr>
      <w:bookmarkEnd w:id="5"/>
    </w:tbl>
    <w:p w14:paraId="6B0D5641" w14:textId="77777777" w:rsidR="000D2A64" w:rsidRPr="002B7D23" w:rsidRDefault="000D2A64" w:rsidP="000D2A64">
      <w:pPr>
        <w:rPr>
          <w:rFonts w:ascii="David" w:hAnsi="David"/>
          <w:sz w:val="26"/>
          <w:szCs w:val="26"/>
          <w:rtl/>
        </w:rPr>
      </w:pPr>
    </w:p>
    <w:p w14:paraId="79B2FD9C" w14:textId="77777777" w:rsidR="000D2A64" w:rsidRPr="002B7D23" w:rsidRDefault="000D2A64" w:rsidP="000D2A64">
      <w:pPr>
        <w:rPr>
          <w:rFonts w:ascii="David" w:hAnsi="David"/>
          <w:sz w:val="26"/>
          <w:szCs w:val="26"/>
          <w:rtl/>
        </w:rPr>
      </w:pPr>
    </w:p>
    <w:p w14:paraId="62B84F91" w14:textId="77777777" w:rsidR="000D2A64" w:rsidRPr="000D2A64" w:rsidRDefault="000D2A64" w:rsidP="000D2A64">
      <w:pPr>
        <w:spacing w:after="160" w:line="360" w:lineRule="auto"/>
        <w:jc w:val="both"/>
        <w:rPr>
          <w:rFonts w:ascii="Calibri" w:hAnsi="Calibri"/>
          <w:b/>
          <w:bCs/>
          <w:u w:val="single"/>
          <w:rtl/>
        </w:rPr>
      </w:pPr>
      <w:r w:rsidRPr="000D2A64">
        <w:rPr>
          <w:rFonts w:ascii="Calibri" w:hAnsi="Calibri" w:hint="eastAsia"/>
          <w:b/>
          <w:bCs/>
          <w:u w:val="single"/>
          <w:rtl/>
        </w:rPr>
        <w:t>רקע</w:t>
      </w:r>
    </w:p>
    <w:p w14:paraId="53D15E4B" w14:textId="77777777" w:rsidR="000D2A64" w:rsidRPr="002754B8" w:rsidRDefault="000D2A64" w:rsidP="000D2A64">
      <w:pPr>
        <w:numPr>
          <w:ilvl w:val="0"/>
          <w:numId w:val="1"/>
        </w:numPr>
        <w:snapToGrid w:val="0"/>
        <w:spacing w:line="360" w:lineRule="auto"/>
        <w:contextualSpacing/>
        <w:jc w:val="both"/>
        <w:rPr>
          <w:lang w:eastAsia="he-IL"/>
        </w:rPr>
      </w:pPr>
      <w:bookmarkStart w:id="6" w:name="ABSTRACT_START"/>
      <w:bookmarkEnd w:id="6"/>
      <w:r w:rsidRPr="002754B8">
        <w:rPr>
          <w:rtl/>
          <w:lang w:eastAsia="he-IL"/>
        </w:rPr>
        <w:t xml:space="preserve">הנאשם הורשע על פי הודאתו בתיק שבכותרת ובתיק נוסף שאותו צירף בשתי עבירות של </w:t>
      </w:r>
      <w:r w:rsidRPr="002754B8">
        <w:rPr>
          <w:b/>
          <w:bCs/>
          <w:rtl/>
          <w:lang w:eastAsia="he-IL"/>
        </w:rPr>
        <w:t xml:space="preserve">החזקת סם מסוכן שלא לצריכה עצמית, </w:t>
      </w:r>
      <w:r w:rsidRPr="002754B8">
        <w:rPr>
          <w:rtl/>
          <w:lang w:eastAsia="he-IL"/>
        </w:rPr>
        <w:t xml:space="preserve">לפי </w:t>
      </w:r>
      <w:hyperlink r:id="rId13" w:history="1">
        <w:r w:rsidR="002D5108" w:rsidRPr="002D5108">
          <w:rPr>
            <w:rStyle w:val="Hyperlink"/>
            <w:rtl/>
            <w:lang w:eastAsia="he-IL"/>
          </w:rPr>
          <w:t>סעיף 7(א)</w:t>
        </w:r>
      </w:hyperlink>
      <w:r w:rsidRPr="002754B8">
        <w:rPr>
          <w:rtl/>
          <w:lang w:eastAsia="he-IL"/>
        </w:rPr>
        <w:t xml:space="preserve"> + </w:t>
      </w:r>
      <w:hyperlink r:id="rId14" w:history="1">
        <w:r w:rsidR="002D5108" w:rsidRPr="002D5108">
          <w:rPr>
            <w:rStyle w:val="Hyperlink"/>
            <w:rtl/>
            <w:lang w:eastAsia="he-IL"/>
          </w:rPr>
          <w:t>7(ג)</w:t>
        </w:r>
      </w:hyperlink>
      <w:r w:rsidRPr="002754B8">
        <w:rPr>
          <w:rtl/>
          <w:lang w:eastAsia="he-IL"/>
        </w:rPr>
        <w:t xml:space="preserve"> רישא ל</w:t>
      </w:r>
      <w:hyperlink r:id="rId15" w:history="1">
        <w:r w:rsidR="00C04044" w:rsidRPr="00C04044">
          <w:rPr>
            <w:color w:val="0000FF"/>
            <w:u w:val="single"/>
            <w:rtl/>
            <w:lang w:eastAsia="he-IL"/>
          </w:rPr>
          <w:t>פקודת הסמים המסוכנים</w:t>
        </w:r>
      </w:hyperlink>
      <w:r w:rsidRPr="002754B8">
        <w:rPr>
          <w:rtl/>
          <w:lang w:eastAsia="he-IL"/>
        </w:rPr>
        <w:t xml:space="preserve"> (נוסח חדש) תשל"ג-1973 ובעבירה של </w:t>
      </w:r>
      <w:r w:rsidRPr="002754B8">
        <w:rPr>
          <w:b/>
          <w:bCs/>
          <w:rtl/>
          <w:lang w:eastAsia="he-IL"/>
        </w:rPr>
        <w:t>הפרעה לשוטר במילוי תפקידו</w:t>
      </w:r>
      <w:r w:rsidRPr="002754B8">
        <w:rPr>
          <w:rtl/>
          <w:lang w:eastAsia="he-IL"/>
        </w:rPr>
        <w:t xml:space="preserve">, לפי </w:t>
      </w:r>
      <w:hyperlink r:id="rId16" w:history="1">
        <w:r w:rsidR="002D5108" w:rsidRPr="002D5108">
          <w:rPr>
            <w:rStyle w:val="Hyperlink"/>
            <w:rtl/>
            <w:lang w:eastAsia="he-IL"/>
          </w:rPr>
          <w:t>סעיף 275</w:t>
        </w:r>
      </w:hyperlink>
      <w:r w:rsidRPr="002754B8">
        <w:rPr>
          <w:rtl/>
          <w:lang w:eastAsia="he-IL"/>
        </w:rPr>
        <w:t xml:space="preserve"> ל</w:t>
      </w:r>
      <w:hyperlink r:id="rId17" w:history="1">
        <w:r w:rsidR="00C04044" w:rsidRPr="00C04044">
          <w:rPr>
            <w:color w:val="0000FF"/>
            <w:u w:val="single"/>
            <w:rtl/>
            <w:lang w:eastAsia="he-IL"/>
          </w:rPr>
          <w:t>חוק העונשין</w:t>
        </w:r>
      </w:hyperlink>
      <w:r w:rsidRPr="002754B8">
        <w:rPr>
          <w:rtl/>
          <w:lang w:eastAsia="he-IL"/>
        </w:rPr>
        <w:t xml:space="preserve">, תשל"ז-1977. </w:t>
      </w:r>
    </w:p>
    <w:p w14:paraId="221B3D50" w14:textId="77777777" w:rsidR="000D2A64" w:rsidRPr="002754B8" w:rsidRDefault="000D2A64" w:rsidP="000D2A64">
      <w:pPr>
        <w:snapToGrid w:val="0"/>
        <w:spacing w:line="360" w:lineRule="auto"/>
        <w:ind w:left="786"/>
        <w:contextualSpacing/>
        <w:jc w:val="both"/>
        <w:rPr>
          <w:rtl/>
          <w:lang w:eastAsia="he-IL"/>
        </w:rPr>
      </w:pPr>
      <w:bookmarkStart w:id="7" w:name="ABSTRACT_END"/>
      <w:bookmarkEnd w:id="7"/>
    </w:p>
    <w:p w14:paraId="0A0BE648" w14:textId="77777777" w:rsidR="000D2A64" w:rsidRPr="002754B8" w:rsidRDefault="000D2A64" w:rsidP="000D2A64">
      <w:pPr>
        <w:numPr>
          <w:ilvl w:val="0"/>
          <w:numId w:val="1"/>
        </w:numPr>
        <w:snapToGrid w:val="0"/>
        <w:spacing w:line="360" w:lineRule="auto"/>
        <w:contextualSpacing/>
        <w:jc w:val="both"/>
        <w:rPr>
          <w:lang w:eastAsia="he-IL"/>
        </w:rPr>
      </w:pPr>
      <w:r w:rsidRPr="002754B8">
        <w:rPr>
          <w:rtl/>
          <w:lang w:eastAsia="he-IL"/>
        </w:rPr>
        <w:lastRenderedPageBreak/>
        <w:t xml:space="preserve">על פי עובדות כתב האישום המתוקן </w:t>
      </w:r>
      <w:r w:rsidRPr="002754B8">
        <w:rPr>
          <w:b/>
          <w:bCs/>
          <w:rtl/>
          <w:lang w:eastAsia="he-IL"/>
        </w:rPr>
        <w:t>ב</w:t>
      </w:r>
      <w:hyperlink r:id="rId18" w:history="1">
        <w:r w:rsidR="00C04044" w:rsidRPr="00C04044">
          <w:rPr>
            <w:b/>
            <w:bCs/>
            <w:color w:val="0000FF"/>
            <w:u w:val="single"/>
            <w:rtl/>
            <w:lang w:eastAsia="he-IL"/>
          </w:rPr>
          <w:t>ת"פ 57939-01-21</w:t>
        </w:r>
      </w:hyperlink>
      <w:r w:rsidRPr="002754B8">
        <w:rPr>
          <w:rtl/>
          <w:lang w:eastAsia="he-IL"/>
        </w:rPr>
        <w:t xml:space="preserve"> בתאריך 20.1.21, בסמוך לשעה 22:23, החזיק הנאשם ברחבי ביתו שברהט סמים מסוכנים מסוג קנבוס באופן הבא:</w:t>
      </w:r>
    </w:p>
    <w:p w14:paraId="058DFED3" w14:textId="77777777" w:rsidR="000D2A64" w:rsidRPr="002754B8" w:rsidRDefault="000D2A64" w:rsidP="000D2A64">
      <w:pPr>
        <w:spacing w:after="160" w:line="360" w:lineRule="auto"/>
        <w:ind w:left="360"/>
        <w:jc w:val="both"/>
        <w:rPr>
          <w:rtl/>
          <w:lang w:eastAsia="he-IL"/>
        </w:rPr>
      </w:pPr>
      <w:r w:rsidRPr="002754B8">
        <w:rPr>
          <w:rtl/>
          <w:lang w:eastAsia="he-IL"/>
        </w:rPr>
        <w:t>20 יחידות מחולקות בתוך שקיות פלסטיק במשקל נטו מחושב 5.18 -/+ 52.03 גרם,</w:t>
      </w:r>
    </w:p>
    <w:p w14:paraId="33758DA4" w14:textId="77777777" w:rsidR="000D2A64" w:rsidRPr="000D2A64" w:rsidRDefault="000D2A64" w:rsidP="000D2A64">
      <w:pPr>
        <w:spacing w:after="160" w:line="360" w:lineRule="auto"/>
        <w:ind w:left="360"/>
        <w:jc w:val="both"/>
        <w:rPr>
          <w:rFonts w:ascii="Calibri" w:hAnsi="Calibri"/>
          <w:szCs w:val="22"/>
          <w:rtl/>
        </w:rPr>
      </w:pPr>
      <w:r w:rsidRPr="002754B8">
        <w:rPr>
          <w:rtl/>
          <w:lang w:eastAsia="he-IL"/>
        </w:rPr>
        <w:t xml:space="preserve">56 יחידות מחולקות בתוך שקיות פלסטיק במשקל נטו מחושב 28.7 -/+ </w:t>
      </w:r>
      <w:r w:rsidRPr="000D2A64">
        <w:rPr>
          <w:rFonts w:ascii="Calibri" w:hAnsi="Calibri"/>
          <w:szCs w:val="22"/>
          <w:rtl/>
        </w:rPr>
        <w:t xml:space="preserve">167.60 </w:t>
      </w:r>
      <w:r w:rsidRPr="000D2A64">
        <w:rPr>
          <w:rFonts w:ascii="Calibri" w:hAnsi="Calibri" w:hint="eastAsia"/>
          <w:szCs w:val="22"/>
          <w:rtl/>
        </w:rPr>
        <w:t>גרם</w:t>
      </w:r>
      <w:r w:rsidRPr="000D2A64">
        <w:rPr>
          <w:rFonts w:ascii="Calibri" w:hAnsi="Calibri"/>
          <w:szCs w:val="22"/>
          <w:rtl/>
        </w:rPr>
        <w:t xml:space="preserve">, </w:t>
      </w:r>
    </w:p>
    <w:p w14:paraId="3FC78DC4" w14:textId="77777777" w:rsidR="000D2A64" w:rsidRPr="002754B8" w:rsidRDefault="000D2A64" w:rsidP="000D2A64">
      <w:pPr>
        <w:spacing w:after="160" w:line="360" w:lineRule="auto"/>
        <w:ind w:left="360"/>
        <w:jc w:val="both"/>
        <w:rPr>
          <w:rtl/>
          <w:lang w:eastAsia="he-IL"/>
        </w:rPr>
      </w:pPr>
      <w:r w:rsidRPr="000D2A64">
        <w:rPr>
          <w:rFonts w:ascii="Calibri" w:hAnsi="Calibri"/>
          <w:szCs w:val="22"/>
          <w:rtl/>
        </w:rPr>
        <w:t xml:space="preserve">10 </w:t>
      </w:r>
      <w:r w:rsidRPr="000D2A64">
        <w:rPr>
          <w:rFonts w:ascii="Calibri" w:hAnsi="Calibri" w:hint="eastAsia"/>
          <w:szCs w:val="22"/>
          <w:rtl/>
        </w:rPr>
        <w:t>יחידות</w:t>
      </w:r>
      <w:r w:rsidRPr="000D2A64">
        <w:rPr>
          <w:rFonts w:ascii="Calibri" w:hAnsi="Calibri"/>
          <w:szCs w:val="22"/>
          <w:rtl/>
        </w:rPr>
        <w:t xml:space="preserve"> </w:t>
      </w:r>
      <w:r w:rsidRPr="000D2A64">
        <w:rPr>
          <w:rFonts w:ascii="Calibri" w:hAnsi="Calibri" w:hint="eastAsia"/>
          <w:szCs w:val="22"/>
          <w:rtl/>
        </w:rPr>
        <w:t>מחולקות</w:t>
      </w:r>
      <w:r w:rsidRPr="000D2A64">
        <w:rPr>
          <w:rFonts w:ascii="Calibri" w:hAnsi="Calibri"/>
          <w:szCs w:val="22"/>
          <w:rtl/>
        </w:rPr>
        <w:t xml:space="preserve"> </w:t>
      </w:r>
      <w:r w:rsidRPr="002754B8">
        <w:rPr>
          <w:rtl/>
          <w:lang w:eastAsia="he-IL"/>
        </w:rPr>
        <w:t>בשקיות פלסטיק במשקל נטו מחושב 3.32 -/+ 25.76 גרם,</w:t>
      </w:r>
    </w:p>
    <w:p w14:paraId="65967317" w14:textId="77777777" w:rsidR="000D2A64" w:rsidRPr="002754B8" w:rsidRDefault="000D2A64" w:rsidP="000D2A64">
      <w:pPr>
        <w:spacing w:after="160" w:line="360" w:lineRule="auto"/>
        <w:ind w:left="360"/>
        <w:jc w:val="both"/>
        <w:rPr>
          <w:rtl/>
          <w:lang w:eastAsia="he-IL"/>
        </w:rPr>
      </w:pPr>
      <w:r w:rsidRPr="002754B8">
        <w:rPr>
          <w:rtl/>
          <w:lang w:eastAsia="he-IL"/>
        </w:rPr>
        <w:t xml:space="preserve">10 יחידות מחולקות בשקיות פלסטיק במשקל נטו מחושב 4.18 -/+ 26.96 גרם, </w:t>
      </w:r>
    </w:p>
    <w:p w14:paraId="57CA1FDB" w14:textId="77777777" w:rsidR="000D2A64" w:rsidRPr="002754B8" w:rsidRDefault="000D2A64" w:rsidP="000D2A64">
      <w:pPr>
        <w:spacing w:after="160" w:line="360" w:lineRule="auto"/>
        <w:ind w:left="360"/>
        <w:jc w:val="both"/>
        <w:rPr>
          <w:rtl/>
          <w:lang w:eastAsia="he-IL"/>
        </w:rPr>
      </w:pPr>
      <w:r w:rsidRPr="002754B8">
        <w:rPr>
          <w:rtl/>
          <w:lang w:eastAsia="he-IL"/>
        </w:rPr>
        <w:t>2.72 ק"ג,</w:t>
      </w:r>
    </w:p>
    <w:p w14:paraId="003500FC" w14:textId="77777777" w:rsidR="000D2A64" w:rsidRPr="002754B8" w:rsidRDefault="000D2A64" w:rsidP="000D2A64">
      <w:pPr>
        <w:spacing w:after="160" w:line="360" w:lineRule="auto"/>
        <w:ind w:left="360"/>
        <w:jc w:val="both"/>
        <w:rPr>
          <w:rtl/>
          <w:lang w:eastAsia="he-IL"/>
        </w:rPr>
      </w:pPr>
      <w:r w:rsidRPr="002754B8">
        <w:rPr>
          <w:rtl/>
          <w:lang w:eastAsia="he-IL"/>
        </w:rPr>
        <w:t xml:space="preserve">323.39 גרם, </w:t>
      </w:r>
    </w:p>
    <w:p w14:paraId="0C7370A8" w14:textId="77777777" w:rsidR="000D2A64" w:rsidRPr="002754B8" w:rsidRDefault="000D2A64" w:rsidP="000D2A64">
      <w:pPr>
        <w:spacing w:after="160" w:line="360" w:lineRule="auto"/>
        <w:ind w:left="360"/>
        <w:jc w:val="both"/>
        <w:rPr>
          <w:rtl/>
          <w:lang w:eastAsia="he-IL"/>
        </w:rPr>
      </w:pPr>
      <w:r w:rsidRPr="002754B8">
        <w:rPr>
          <w:rtl/>
          <w:lang w:eastAsia="he-IL"/>
        </w:rPr>
        <w:t xml:space="preserve">54.87 גרם, וזאת שלא לצריכתו העצמית מבלי שהיה לו היתר כדין או רישיון מאת המנהל. </w:t>
      </w:r>
    </w:p>
    <w:p w14:paraId="43B59DD9" w14:textId="77777777" w:rsidR="000D2A64" w:rsidRPr="002754B8" w:rsidRDefault="000D2A64" w:rsidP="000D2A64">
      <w:pPr>
        <w:spacing w:after="160" w:line="360" w:lineRule="auto"/>
        <w:ind w:left="360"/>
        <w:jc w:val="both"/>
        <w:rPr>
          <w:rtl/>
          <w:lang w:eastAsia="he-IL"/>
        </w:rPr>
      </w:pPr>
      <w:r w:rsidRPr="002754B8">
        <w:rPr>
          <w:rtl/>
          <w:lang w:eastAsia="he-IL"/>
        </w:rPr>
        <w:t xml:space="preserve">עוד החזיק הנאשם בביתו בשקיות פלסטיק ובמשקל דיגיטלי. </w:t>
      </w:r>
    </w:p>
    <w:p w14:paraId="29755442" w14:textId="77777777" w:rsidR="000D2A64" w:rsidRPr="002754B8" w:rsidRDefault="000D2A64" w:rsidP="000D2A64">
      <w:pPr>
        <w:spacing w:after="160" w:line="360" w:lineRule="auto"/>
        <w:ind w:left="360"/>
        <w:jc w:val="both"/>
        <w:rPr>
          <w:rtl/>
          <w:lang w:eastAsia="he-IL"/>
        </w:rPr>
      </w:pPr>
    </w:p>
    <w:p w14:paraId="152E28A5" w14:textId="77777777" w:rsidR="000D2A64" w:rsidRPr="002754B8" w:rsidRDefault="000D2A64" w:rsidP="000D2A64">
      <w:pPr>
        <w:spacing w:after="160" w:line="360" w:lineRule="auto"/>
        <w:ind w:left="360"/>
        <w:jc w:val="both"/>
        <w:rPr>
          <w:rtl/>
          <w:lang w:eastAsia="he-IL"/>
        </w:rPr>
      </w:pPr>
      <w:r w:rsidRPr="002754B8">
        <w:rPr>
          <w:rtl/>
          <w:lang w:eastAsia="he-IL"/>
        </w:rPr>
        <w:t>על פי עובדות כתב האישום ב</w:t>
      </w:r>
      <w:hyperlink r:id="rId19" w:history="1">
        <w:r w:rsidR="00C04044" w:rsidRPr="00C04044">
          <w:rPr>
            <w:color w:val="0000FF"/>
            <w:u w:val="single"/>
            <w:rtl/>
            <w:lang w:eastAsia="he-IL"/>
          </w:rPr>
          <w:t>ת"פ 10837-12-20</w:t>
        </w:r>
      </w:hyperlink>
      <w:r w:rsidRPr="002754B8">
        <w:rPr>
          <w:b/>
          <w:bCs/>
          <w:rtl/>
          <w:lang w:eastAsia="he-IL"/>
        </w:rPr>
        <w:t xml:space="preserve"> </w:t>
      </w:r>
      <w:r w:rsidRPr="002754B8">
        <w:rPr>
          <w:rtl/>
          <w:lang w:eastAsia="he-IL"/>
        </w:rPr>
        <w:t xml:space="preserve">שצורף לתיק זה, בתאריך 27.5.20, בשעה 14:50 לערך, החזיק הנאשם בשכונה 2 ברהט, בין שני בתים, קנבוס מחולק לשש שקיות, במשקל כולל של 11.99 גרם. </w:t>
      </w:r>
    </w:p>
    <w:p w14:paraId="26D9EC0E" w14:textId="77777777" w:rsidR="000D2A64" w:rsidRPr="002754B8" w:rsidRDefault="000D2A64" w:rsidP="000D2A64">
      <w:pPr>
        <w:spacing w:after="160" w:line="360" w:lineRule="auto"/>
        <w:ind w:left="360"/>
        <w:jc w:val="both"/>
        <w:rPr>
          <w:rtl/>
          <w:lang w:eastAsia="he-IL"/>
        </w:rPr>
      </w:pPr>
      <w:r w:rsidRPr="002754B8">
        <w:rPr>
          <w:rtl/>
          <w:lang w:eastAsia="he-IL"/>
        </w:rPr>
        <w:t xml:space="preserve">במעמד האמור, עת הבחין הנאשם בשוטרים, החל לברוח כאשר הוא משליך את הסמים יחד עם סכום כסף מזומן בסך 107 ₪ לצמחייה באזור. </w:t>
      </w:r>
    </w:p>
    <w:p w14:paraId="11418BB6" w14:textId="77777777" w:rsidR="000D2A64" w:rsidRPr="002754B8" w:rsidRDefault="000D2A64" w:rsidP="000D2A64">
      <w:pPr>
        <w:spacing w:after="160" w:line="360" w:lineRule="auto"/>
        <w:ind w:left="360"/>
        <w:jc w:val="both"/>
        <w:rPr>
          <w:rtl/>
          <w:lang w:eastAsia="he-IL"/>
        </w:rPr>
      </w:pPr>
      <w:r w:rsidRPr="002754B8">
        <w:rPr>
          <w:rtl/>
          <w:lang w:eastAsia="he-IL"/>
        </w:rPr>
        <w:t xml:space="preserve">במעשיו, החזיק הנאשם בסם מסוכן שאינו לשימוש בעצמי בלבד מבלי שהדבר הותר לו בפקודה או בתקנות לפיה או ברישיון מנהל וכן עשה מעשה בכוונה להפריע לשוטר כשהוא ממלא תפקידו כחוק או להכשילו בכך. </w:t>
      </w:r>
    </w:p>
    <w:p w14:paraId="1A99888E" w14:textId="77777777" w:rsidR="000D2A64" w:rsidRPr="002754B8" w:rsidRDefault="000D2A64" w:rsidP="000D2A64">
      <w:pPr>
        <w:numPr>
          <w:ilvl w:val="0"/>
          <w:numId w:val="1"/>
        </w:numPr>
        <w:snapToGrid w:val="0"/>
        <w:spacing w:line="360" w:lineRule="auto"/>
        <w:contextualSpacing/>
        <w:jc w:val="both"/>
        <w:rPr>
          <w:lang w:eastAsia="he-IL"/>
        </w:rPr>
      </w:pPr>
      <w:r w:rsidRPr="002754B8">
        <w:rPr>
          <w:rtl/>
          <w:lang w:eastAsia="he-IL"/>
        </w:rPr>
        <w:t xml:space="preserve">מחמת גילו של הנאשם, קיימת חובת קבלת תסקיר בטרם גזירת הדין. </w:t>
      </w:r>
    </w:p>
    <w:p w14:paraId="0F187559"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 xml:space="preserve">התסקיר שהוגש ביום </w:t>
      </w:r>
      <w:r w:rsidRPr="002754B8">
        <w:rPr>
          <w:b/>
          <w:bCs/>
          <w:rtl/>
          <w:lang w:eastAsia="he-IL"/>
        </w:rPr>
        <w:t xml:space="preserve">27.6.21 </w:t>
      </w:r>
      <w:r w:rsidRPr="002754B8">
        <w:rPr>
          <w:rtl/>
          <w:lang w:eastAsia="he-IL"/>
        </w:rPr>
        <w:t xml:space="preserve">סקר את קורותיו של הנאשם. בין היתר תואר, כי הפסיק את לימודיו לאחר עשר שנות לימוד בשל בריונות ואלימות שספג מבני גילו. הנאשם מסר, כי הוא מעוניין להשלים 12 שנות לימוד במאסר, כי השתלב בקבוצות חינוך והביע נכונות להשתלב בתהליכים טיפולים נוספים לשם שיקום חייו.   </w:t>
      </w:r>
    </w:p>
    <w:p w14:paraId="385A8EEE" w14:textId="77777777" w:rsidR="000D2A64" w:rsidRPr="002754B8" w:rsidRDefault="000D2A64" w:rsidP="000D2A64">
      <w:pPr>
        <w:snapToGrid w:val="0"/>
        <w:spacing w:line="360" w:lineRule="auto"/>
        <w:ind w:left="360"/>
        <w:contextualSpacing/>
        <w:jc w:val="both"/>
        <w:rPr>
          <w:lang w:eastAsia="he-IL"/>
        </w:rPr>
      </w:pPr>
      <w:r w:rsidRPr="002754B8">
        <w:rPr>
          <w:rtl/>
          <w:lang w:eastAsia="he-IL"/>
        </w:rPr>
        <w:t xml:space="preserve">עם זאת, מבדיקת שירות המבחן מול גורמי הכלא עלה כי הוא לא השתלב בקבוצות כלשהן אלא מצוי בקשר ראשוני בלבד עם עובדת סוציאלית. </w:t>
      </w:r>
    </w:p>
    <w:p w14:paraId="052A11C3"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 xml:space="preserve">צוין כי הנאשם נעדר עבר פלילי. </w:t>
      </w:r>
    </w:p>
    <w:p w14:paraId="39F81C63"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ביחס לשימוש בחומרים משני תודעה נמסר, כי הנאשם החל להשתמש בגראס בגיל 17 מתוך סקרנות.  מסר, כי מאז מעצרו נמנע מצריכת סמים ושולל נזקקות לטיפול בתחום זה.</w:t>
      </w:r>
    </w:p>
    <w:p w14:paraId="7E65E4CB"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lastRenderedPageBreak/>
        <w:t>ביחס לעבירה ב</w:t>
      </w:r>
      <w:hyperlink r:id="rId20" w:history="1">
        <w:r w:rsidR="00C04044" w:rsidRPr="00C04044">
          <w:rPr>
            <w:color w:val="0000FF"/>
            <w:u w:val="single"/>
            <w:rtl/>
            <w:lang w:eastAsia="he-IL"/>
          </w:rPr>
          <w:t>ת"פ 57939-01-21</w:t>
        </w:r>
      </w:hyperlink>
      <w:r w:rsidRPr="002754B8">
        <w:rPr>
          <w:rtl/>
          <w:lang w:eastAsia="he-IL"/>
        </w:rPr>
        <w:t xml:space="preserve"> נמסר, כי הנאשם מודה בביצועה באופן חלקי ולא לוקח אחריות על ביצועה. לדבריו, קיבל את הסמים מאדם אחר והחזיק בהם לצריכה עצמית ללא כוונה לסחור בהם. </w:t>
      </w:r>
    </w:p>
    <w:p w14:paraId="26072FFE"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שירות המבחן התרשם כי הנאשם מוסר מידע מגמתי ומטושטש ביחס לביצוע העבירה.</w:t>
      </w:r>
    </w:p>
    <w:p w14:paraId="7CC8DAA4"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בבחינת הסיכון לעבריינות והסיכוי לשיקום,</w:t>
      </w:r>
      <w:r w:rsidRPr="002754B8">
        <w:rPr>
          <w:b/>
          <w:bCs/>
          <w:rtl/>
          <w:lang w:eastAsia="he-IL"/>
        </w:rPr>
        <w:t xml:space="preserve"> </w:t>
      </w:r>
      <w:r w:rsidRPr="002754B8">
        <w:rPr>
          <w:rtl/>
          <w:lang w:eastAsia="he-IL"/>
        </w:rPr>
        <w:t xml:space="preserve">שירות המבחן התרשם מאדם צעיר בעל דימוי עצמי נמוך אשר היה חשוף מגיל צעיר להתנהגות עוברת חוק ומתקשה לבחון לעומק דפוסי חשיבה והתנהגות אשר עומדים ברקע לביצוע העבירה. </w:t>
      </w:r>
    </w:p>
    <w:p w14:paraId="4078CEB2"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 xml:space="preserve">במכלול הנתונים, קיימת רמת סיכון גבוהה להישנות התנהגות עוברת חוק בתחום הסמים. נוכח כל האמור, ובהינתן כי הנאשם אינו מביע נזקקות טיפולית, שירות המבחן לא בא בהמלצה בעניינו. </w:t>
      </w:r>
    </w:p>
    <w:p w14:paraId="759E6C16" w14:textId="77777777" w:rsidR="000D2A64" w:rsidRPr="002754B8" w:rsidRDefault="000D2A64" w:rsidP="000D2A64">
      <w:pPr>
        <w:spacing w:after="160" w:line="360" w:lineRule="auto"/>
        <w:jc w:val="both"/>
        <w:rPr>
          <w:rtl/>
          <w:lang w:eastAsia="he-IL"/>
        </w:rPr>
      </w:pPr>
      <w:r w:rsidRPr="002754B8">
        <w:rPr>
          <w:rtl/>
          <w:lang w:eastAsia="he-IL"/>
        </w:rPr>
        <w:t xml:space="preserve"> </w:t>
      </w:r>
    </w:p>
    <w:p w14:paraId="59A577A2" w14:textId="77777777" w:rsidR="000D2A64" w:rsidRPr="002754B8" w:rsidRDefault="000D2A64" w:rsidP="000D2A64">
      <w:pPr>
        <w:spacing w:after="160" w:line="360" w:lineRule="auto"/>
        <w:jc w:val="both"/>
        <w:rPr>
          <w:b/>
          <w:bCs/>
          <w:u w:val="single"/>
          <w:lang w:eastAsia="he-IL"/>
        </w:rPr>
      </w:pPr>
      <w:r w:rsidRPr="002754B8">
        <w:rPr>
          <w:b/>
          <w:bCs/>
          <w:u w:val="single"/>
          <w:rtl/>
          <w:lang w:eastAsia="he-IL"/>
        </w:rPr>
        <w:t>טענות הצדדים לעונש</w:t>
      </w:r>
    </w:p>
    <w:p w14:paraId="3BEB7491" w14:textId="77777777" w:rsidR="000D2A64" w:rsidRPr="002754B8" w:rsidRDefault="000D2A64" w:rsidP="000D2A64">
      <w:pPr>
        <w:numPr>
          <w:ilvl w:val="0"/>
          <w:numId w:val="1"/>
        </w:numPr>
        <w:snapToGrid w:val="0"/>
        <w:spacing w:line="360" w:lineRule="auto"/>
        <w:contextualSpacing/>
        <w:jc w:val="both"/>
        <w:rPr>
          <w:lang w:eastAsia="he-IL"/>
        </w:rPr>
      </w:pPr>
      <w:r w:rsidRPr="002754B8">
        <w:rPr>
          <w:b/>
          <w:bCs/>
          <w:rtl/>
          <w:lang w:eastAsia="he-IL"/>
        </w:rPr>
        <w:t xml:space="preserve">ב"כ המאשימה </w:t>
      </w:r>
      <w:r w:rsidRPr="002754B8">
        <w:rPr>
          <w:rtl/>
          <w:lang w:eastAsia="he-IL"/>
        </w:rPr>
        <w:t>עמד על הערכים המוגנים אשר נפגעו מהעבירות אותן ביצע הנאשם ובעיקרן בריאות הציבור וההשלכות הישירות והעקיפות של השימוש בסמים על הציבור. נטען, כי הפגיעה בערכים המוגנים הינה משמעותית. עוד נטען כי לא בכדי בתי המשפט והמחוקק קבעו כי עבירות ההחזקה שלא לצריכה עצמית היא בבחינת "האחות התאומה" של עבירת הסחר. נטען, כי הנסיבות המתוארות בכתב האישום מלמדות על כוונת סחר לשם הפקת רווח.</w:t>
      </w:r>
    </w:p>
    <w:p w14:paraId="52E3BC09"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נטען, כי מתחם העונש ההולם במקרה זה הוא 13-24 חודשי מאסר.</w:t>
      </w:r>
    </w:p>
    <w:p w14:paraId="05B18B8D" w14:textId="77777777" w:rsidR="000D2A64" w:rsidRPr="002754B8" w:rsidRDefault="000D2A64" w:rsidP="000D2A64">
      <w:pPr>
        <w:snapToGrid w:val="0"/>
        <w:spacing w:line="360" w:lineRule="auto"/>
        <w:ind w:left="360"/>
        <w:contextualSpacing/>
        <w:jc w:val="both"/>
        <w:rPr>
          <w:rtl/>
          <w:lang w:eastAsia="he-IL"/>
        </w:rPr>
      </w:pPr>
    </w:p>
    <w:p w14:paraId="07435161"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לעניין מדיניות הענישה הנוהגת הפנה ב"כ המאשימה ל</w:t>
      </w:r>
      <w:hyperlink r:id="rId21" w:history="1">
        <w:r w:rsidR="00C04044" w:rsidRPr="00C04044">
          <w:rPr>
            <w:color w:val="0000FF"/>
            <w:u w:val="single"/>
            <w:rtl/>
            <w:lang w:eastAsia="he-IL"/>
          </w:rPr>
          <w:t>ת"פ 27419-09-18</w:t>
        </w:r>
      </w:hyperlink>
      <w:r w:rsidRPr="002754B8">
        <w:rPr>
          <w:b/>
          <w:bCs/>
          <w:rtl/>
          <w:lang w:eastAsia="he-IL"/>
        </w:rPr>
        <w:t xml:space="preserve"> מ"י נ' לקימה</w:t>
      </w:r>
      <w:r w:rsidRPr="002754B8">
        <w:rPr>
          <w:rtl/>
          <w:lang w:eastAsia="he-IL"/>
        </w:rPr>
        <w:t xml:space="preserve"> (להלן: "עניין לקימה"), שם נקבע מתחם של 4-12 חודשי מאסר בגין החזקת 150 גרם קנאבוס. כן הפנה  ל</w:t>
      </w:r>
      <w:hyperlink r:id="rId22" w:history="1">
        <w:r w:rsidR="00C04044" w:rsidRPr="00C04044">
          <w:rPr>
            <w:color w:val="0000FF"/>
            <w:u w:val="single"/>
            <w:rtl/>
            <w:lang w:eastAsia="he-IL"/>
          </w:rPr>
          <w:t>ת"פ 72213-09-16</w:t>
        </w:r>
      </w:hyperlink>
      <w:r w:rsidRPr="002754B8">
        <w:rPr>
          <w:b/>
          <w:bCs/>
          <w:rtl/>
          <w:lang w:eastAsia="he-IL"/>
        </w:rPr>
        <w:t xml:space="preserve"> מ"י נ' אלצנע ואח'</w:t>
      </w:r>
      <w:r w:rsidRPr="002754B8">
        <w:rPr>
          <w:rtl/>
          <w:lang w:eastAsia="he-IL"/>
        </w:rPr>
        <w:t xml:space="preserve"> (להלן: "עניין אלצנע"), שם נקבע מתחם של 9-24 חודשי מאסר בגין החזקת 2 ק"ג קנאבוס. נטען, כי ענייננו חמור יותר הן מבחינת כמות הסם והן מבחינת אופן החזקתה.</w:t>
      </w:r>
    </w:p>
    <w:p w14:paraId="3C95AFB5"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ביחס לתיק הנוסף בצורף נטען, כי מדובר אמנם בסם בכמות לא גבוהה, אך שהיתה מחולקת ליחידות וכן נעברה עבירה נוספת כלפי השוטרים.</w:t>
      </w:r>
    </w:p>
    <w:p w14:paraId="558298CE" w14:textId="77777777" w:rsidR="000D2A64" w:rsidRPr="002754B8" w:rsidRDefault="000D2A64" w:rsidP="000D2A64">
      <w:pPr>
        <w:snapToGrid w:val="0"/>
        <w:spacing w:line="360" w:lineRule="auto"/>
        <w:ind w:left="360"/>
        <w:contextualSpacing/>
        <w:jc w:val="both"/>
        <w:rPr>
          <w:rtl/>
          <w:lang w:eastAsia="he-IL"/>
        </w:rPr>
      </w:pPr>
    </w:p>
    <w:p w14:paraId="0E2CFFD0"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נטענו לזכות הנאשם גילו הצעיר, היעדר הרשעות קודמות, הודאתו וחיסכון הזמן השיפוטי. נטען, כי על פי התסקיר נטילת האחריות מצד הנאשם חלקית.</w:t>
      </w:r>
    </w:p>
    <w:p w14:paraId="6F5E9465" w14:textId="77777777" w:rsidR="000D2A64" w:rsidRPr="002754B8" w:rsidRDefault="000D2A64" w:rsidP="000D2A64">
      <w:pPr>
        <w:snapToGrid w:val="0"/>
        <w:spacing w:line="360" w:lineRule="auto"/>
        <w:ind w:left="360"/>
        <w:contextualSpacing/>
        <w:jc w:val="both"/>
        <w:rPr>
          <w:lang w:eastAsia="he-IL"/>
        </w:rPr>
      </w:pPr>
    </w:p>
    <w:p w14:paraId="1A6FCB9F"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 xml:space="preserve">נטען, כי הנאשם שולל נזקקות טיפולית וכן מסוכנותו גבוהה. </w:t>
      </w:r>
    </w:p>
    <w:p w14:paraId="4DE36003" w14:textId="77777777" w:rsidR="000D2A64" w:rsidRPr="002754B8" w:rsidRDefault="000D2A64" w:rsidP="000D2A64">
      <w:pPr>
        <w:snapToGrid w:val="0"/>
        <w:spacing w:line="360" w:lineRule="auto"/>
        <w:ind w:left="360"/>
        <w:contextualSpacing/>
        <w:jc w:val="both"/>
        <w:rPr>
          <w:lang w:eastAsia="he-IL"/>
        </w:rPr>
      </w:pPr>
      <w:r w:rsidRPr="002754B8">
        <w:rPr>
          <w:rtl/>
          <w:lang w:eastAsia="he-IL"/>
        </w:rPr>
        <w:t xml:space="preserve">מכאן הצורך בהרתעה ואין הצדקה למקם את הנאשם ברף התחתון של המתחם. </w:t>
      </w:r>
    </w:p>
    <w:p w14:paraId="26E73759" w14:textId="77777777" w:rsidR="000D2A64" w:rsidRPr="002754B8" w:rsidRDefault="000D2A64" w:rsidP="000D2A64">
      <w:pPr>
        <w:snapToGrid w:val="0"/>
        <w:spacing w:line="360" w:lineRule="auto"/>
        <w:ind w:left="360"/>
        <w:contextualSpacing/>
        <w:jc w:val="both"/>
        <w:rPr>
          <w:rtl/>
          <w:lang w:eastAsia="he-IL"/>
        </w:rPr>
      </w:pPr>
    </w:p>
    <w:p w14:paraId="0F430629" w14:textId="77777777" w:rsidR="000D2A64" w:rsidRPr="002754B8" w:rsidRDefault="000D2A64" w:rsidP="000D2A64">
      <w:pPr>
        <w:snapToGrid w:val="0"/>
        <w:spacing w:line="360" w:lineRule="auto"/>
        <w:ind w:left="360"/>
        <w:contextualSpacing/>
        <w:jc w:val="both"/>
        <w:rPr>
          <w:lang w:eastAsia="he-IL"/>
        </w:rPr>
      </w:pPr>
      <w:r w:rsidRPr="002754B8">
        <w:rPr>
          <w:rtl/>
          <w:lang w:eastAsia="he-IL"/>
        </w:rPr>
        <w:t xml:space="preserve">לאור זאת, נתבקש הטלת עונש ברף הבינוני של המתחם באופן מצטבר בשני כתבי האישום, עונשים צופי פני עתיד וכן קנס של 8,000 ₪ ל- 20,000 ש"ח. </w:t>
      </w:r>
    </w:p>
    <w:p w14:paraId="1950088C" w14:textId="77777777" w:rsidR="000D2A64" w:rsidRPr="002754B8" w:rsidRDefault="000D2A64" w:rsidP="000D2A64">
      <w:pPr>
        <w:numPr>
          <w:ilvl w:val="0"/>
          <w:numId w:val="1"/>
        </w:numPr>
        <w:snapToGrid w:val="0"/>
        <w:spacing w:line="360" w:lineRule="auto"/>
        <w:contextualSpacing/>
        <w:jc w:val="both"/>
        <w:rPr>
          <w:bCs/>
          <w:u w:val="single"/>
          <w:lang w:eastAsia="he-IL"/>
        </w:rPr>
      </w:pPr>
      <w:r w:rsidRPr="002754B8">
        <w:rPr>
          <w:b/>
          <w:bCs/>
          <w:rtl/>
          <w:lang w:eastAsia="he-IL"/>
        </w:rPr>
        <w:t xml:space="preserve">ב"כ הנאשם </w:t>
      </w:r>
      <w:r w:rsidRPr="002754B8">
        <w:rPr>
          <w:rtl/>
          <w:lang w:eastAsia="he-IL"/>
        </w:rPr>
        <w:t>ביקש לאבחן את הפסיקה אליה הפנה ב"כ המאשימה, בעניין</w:t>
      </w:r>
      <w:r w:rsidRPr="002754B8">
        <w:rPr>
          <w:b/>
          <w:bCs/>
          <w:rtl/>
          <w:lang w:eastAsia="he-IL"/>
        </w:rPr>
        <w:t xml:space="preserve"> לקימה</w:t>
      </w:r>
      <w:r w:rsidRPr="002754B8">
        <w:rPr>
          <w:rtl/>
          <w:lang w:eastAsia="he-IL"/>
        </w:rPr>
        <w:t xml:space="preserve"> טען כי מדובר בנאשם</w:t>
      </w:r>
      <w:r w:rsidRPr="002754B8">
        <w:rPr>
          <w:bCs/>
          <w:rtl/>
          <w:lang w:eastAsia="he-IL"/>
        </w:rPr>
        <w:t xml:space="preserve"> </w:t>
      </w:r>
      <w:r w:rsidRPr="002754B8">
        <w:rPr>
          <w:b/>
          <w:rtl/>
          <w:lang w:eastAsia="he-IL"/>
        </w:rPr>
        <w:t xml:space="preserve">עם עבר פלילי ולכן פסק הדין אינו רלוונטי ואילו בעניין </w:t>
      </w:r>
      <w:r w:rsidRPr="002754B8">
        <w:rPr>
          <w:bCs/>
          <w:rtl/>
          <w:lang w:eastAsia="he-IL"/>
        </w:rPr>
        <w:t>אלצנע</w:t>
      </w:r>
      <w:r w:rsidRPr="002754B8">
        <w:rPr>
          <w:b/>
          <w:rtl/>
          <w:lang w:eastAsia="he-IL"/>
        </w:rPr>
        <w:t>, מדובר היה בהחזקת שני קילו של סמים.</w:t>
      </w:r>
    </w:p>
    <w:p w14:paraId="2E64986F" w14:textId="77777777" w:rsidR="000D2A64" w:rsidRPr="002754B8" w:rsidRDefault="000D2A64" w:rsidP="000D2A64">
      <w:pPr>
        <w:snapToGrid w:val="0"/>
        <w:spacing w:line="360" w:lineRule="auto"/>
        <w:ind w:left="360"/>
        <w:contextualSpacing/>
        <w:jc w:val="both"/>
        <w:rPr>
          <w:rtl/>
          <w:lang w:eastAsia="he-IL"/>
        </w:rPr>
      </w:pPr>
    </w:p>
    <w:p w14:paraId="6438AF4B" w14:textId="77777777" w:rsidR="000D2A64" w:rsidRPr="002754B8" w:rsidRDefault="000D2A64" w:rsidP="000D2A64">
      <w:pPr>
        <w:snapToGrid w:val="0"/>
        <w:spacing w:line="360" w:lineRule="auto"/>
        <w:ind w:left="360"/>
        <w:contextualSpacing/>
        <w:jc w:val="both"/>
        <w:rPr>
          <w:rtl/>
          <w:lang w:eastAsia="he-IL"/>
        </w:rPr>
      </w:pPr>
      <w:r w:rsidRPr="002754B8">
        <w:rPr>
          <w:rtl/>
          <w:lang w:eastAsia="he-IL"/>
        </w:rPr>
        <w:t>טיעון זה של ב"כ הנאשם אינו נהיר לבית המשפט שכן מתחמי הענישה נקבעים בשים לב לנסיבות העבירה ואינם תלויים בקיומו של רישום פלילי, ובנוסף במקרה שבפניי החזיק הנאשם בכמות סם מצטברת העולה על 3,200 גרם.</w:t>
      </w:r>
    </w:p>
    <w:p w14:paraId="6DA9A955" w14:textId="77777777" w:rsidR="000D2A64" w:rsidRPr="002754B8" w:rsidRDefault="000D2A64" w:rsidP="000D2A64">
      <w:pPr>
        <w:snapToGrid w:val="0"/>
        <w:spacing w:line="360" w:lineRule="auto"/>
        <w:ind w:left="360"/>
        <w:contextualSpacing/>
        <w:jc w:val="both"/>
        <w:rPr>
          <w:b/>
          <w:rtl/>
          <w:lang w:eastAsia="he-IL"/>
        </w:rPr>
      </w:pPr>
    </w:p>
    <w:p w14:paraId="20D220F6" w14:textId="77777777" w:rsidR="000D2A64" w:rsidRPr="002754B8" w:rsidRDefault="000D2A64" w:rsidP="000D2A64">
      <w:pPr>
        <w:numPr>
          <w:ilvl w:val="0"/>
          <w:numId w:val="1"/>
        </w:numPr>
        <w:snapToGrid w:val="0"/>
        <w:spacing w:line="360" w:lineRule="auto"/>
        <w:contextualSpacing/>
        <w:jc w:val="both"/>
        <w:rPr>
          <w:b/>
          <w:lang w:eastAsia="he-IL"/>
        </w:rPr>
      </w:pPr>
      <w:r w:rsidRPr="002754B8">
        <w:rPr>
          <w:b/>
          <w:rtl/>
          <w:lang w:eastAsia="he-IL"/>
        </w:rPr>
        <w:t>נטען, כי יש לדחות טיעון המאשימה החורג מעובדות כתב האישום, שאינן מייחסות לנאשם עבירות סחר אלא החזקה בלבד וכי היה על המאשימה לכלול הנסיבות הנטענות בכתב האישום.</w:t>
      </w:r>
    </w:p>
    <w:p w14:paraId="3847333E" w14:textId="77777777" w:rsidR="000D2A64" w:rsidRPr="002754B8" w:rsidRDefault="000D2A64" w:rsidP="000D2A64">
      <w:pPr>
        <w:snapToGrid w:val="0"/>
        <w:spacing w:line="360" w:lineRule="auto"/>
        <w:ind w:left="360"/>
        <w:contextualSpacing/>
        <w:jc w:val="both"/>
        <w:rPr>
          <w:b/>
          <w:rtl/>
          <w:lang w:eastAsia="he-IL"/>
        </w:rPr>
      </w:pPr>
    </w:p>
    <w:p w14:paraId="1E859C01" w14:textId="77777777" w:rsidR="000D2A64" w:rsidRPr="002754B8" w:rsidRDefault="000D2A64" w:rsidP="000D2A64">
      <w:pPr>
        <w:snapToGrid w:val="0"/>
        <w:spacing w:line="360" w:lineRule="auto"/>
        <w:ind w:left="360"/>
        <w:contextualSpacing/>
        <w:jc w:val="both"/>
        <w:rPr>
          <w:b/>
          <w:rtl/>
          <w:lang w:eastAsia="he-IL"/>
        </w:rPr>
      </w:pPr>
      <w:r w:rsidRPr="002754B8">
        <w:rPr>
          <w:b/>
          <w:rtl/>
          <w:lang w:eastAsia="he-IL"/>
        </w:rPr>
        <w:t>אכן, הנאשם הורשע בעבירת החזקה ולא בעבירת סחר. אך מדובר בהחזקה המניחה כי לא נועדה לצריכה עצמית, קרי, נועדה לצרכי הפצה. הנסיבות המלמדות על כוונת הפצה או סחר, כנטען על ידי המאשימה, אכן פורטו בכתב האישום ובעיקרן חלוקת הסם למנות קטנות והחזקה נוספת של משקל ושל שקיות חלוקה.  אכן, בהיעדר ראיות אחרות, בית המשפט יניח לזכות הנאשם כי הוא מצוי בתחתית המדרג העברייני של מערכת הפצת הסם אך דווקא טיעון ההגנה כי הנאשם נפל קורבן למעשי אחרים הוא החורג מעובדות כתב האישום בו הודה.</w:t>
      </w:r>
    </w:p>
    <w:p w14:paraId="06BE9AF9" w14:textId="77777777" w:rsidR="000D2A64" w:rsidRPr="002754B8" w:rsidRDefault="000D2A64" w:rsidP="000D2A64">
      <w:pPr>
        <w:snapToGrid w:val="0"/>
        <w:spacing w:line="360" w:lineRule="auto"/>
        <w:ind w:left="360"/>
        <w:contextualSpacing/>
        <w:jc w:val="both"/>
        <w:rPr>
          <w:b/>
          <w:rtl/>
          <w:lang w:eastAsia="he-IL"/>
        </w:rPr>
      </w:pPr>
    </w:p>
    <w:p w14:paraId="594BF64E" w14:textId="77777777" w:rsidR="000D2A64" w:rsidRPr="002754B8" w:rsidRDefault="000D2A64" w:rsidP="000D2A64">
      <w:pPr>
        <w:numPr>
          <w:ilvl w:val="0"/>
          <w:numId w:val="1"/>
        </w:numPr>
        <w:snapToGrid w:val="0"/>
        <w:spacing w:line="360" w:lineRule="auto"/>
        <w:contextualSpacing/>
        <w:jc w:val="both"/>
        <w:rPr>
          <w:b/>
          <w:lang w:eastAsia="he-IL"/>
        </w:rPr>
      </w:pPr>
      <w:r w:rsidRPr="002754B8">
        <w:rPr>
          <w:b/>
          <w:rtl/>
          <w:lang w:eastAsia="he-IL"/>
        </w:rPr>
        <w:t>נטען, כי מדובר בסמים "קלים" שבקרוב ניתן יהיה להשתמש בהם באופן חופשי וקנבוס אף נמכר בבתי המרקחת לצרכים רפואיים.</w:t>
      </w:r>
    </w:p>
    <w:p w14:paraId="523502D9" w14:textId="77777777" w:rsidR="000D2A64" w:rsidRPr="002754B8" w:rsidRDefault="000D2A64" w:rsidP="000D2A64">
      <w:pPr>
        <w:numPr>
          <w:ilvl w:val="0"/>
          <w:numId w:val="1"/>
        </w:numPr>
        <w:snapToGrid w:val="0"/>
        <w:spacing w:line="360" w:lineRule="auto"/>
        <w:contextualSpacing/>
        <w:jc w:val="both"/>
        <w:rPr>
          <w:b/>
          <w:lang w:eastAsia="he-IL"/>
        </w:rPr>
      </w:pPr>
      <w:r w:rsidRPr="002754B8">
        <w:rPr>
          <w:b/>
          <w:rtl/>
          <w:lang w:eastAsia="he-IL"/>
        </w:rPr>
        <w:t>נטען, כי הנאשם עצור מזה שישה חודשים, בהיעדר חלופת מעצר.</w:t>
      </w:r>
    </w:p>
    <w:p w14:paraId="56BB29FA" w14:textId="77777777" w:rsidR="000D2A64" w:rsidRPr="002754B8" w:rsidRDefault="000D2A64" w:rsidP="000D2A64">
      <w:pPr>
        <w:numPr>
          <w:ilvl w:val="0"/>
          <w:numId w:val="1"/>
        </w:numPr>
        <w:snapToGrid w:val="0"/>
        <w:spacing w:line="360" w:lineRule="auto"/>
        <w:contextualSpacing/>
        <w:jc w:val="both"/>
        <w:rPr>
          <w:b/>
          <w:lang w:eastAsia="he-IL"/>
        </w:rPr>
      </w:pPr>
      <w:r w:rsidRPr="002754B8">
        <w:rPr>
          <w:b/>
          <w:rtl/>
          <w:lang w:eastAsia="he-IL"/>
        </w:rPr>
        <w:t>נטען, כי מדובר בצעיר ללא הסתבכויות נוספות.</w:t>
      </w:r>
    </w:p>
    <w:p w14:paraId="65465248" w14:textId="77777777" w:rsidR="000D2A64" w:rsidRPr="002754B8" w:rsidRDefault="000D2A64" w:rsidP="000D2A64">
      <w:pPr>
        <w:numPr>
          <w:ilvl w:val="0"/>
          <w:numId w:val="1"/>
        </w:numPr>
        <w:snapToGrid w:val="0"/>
        <w:spacing w:line="360" w:lineRule="auto"/>
        <w:contextualSpacing/>
        <w:jc w:val="both"/>
        <w:rPr>
          <w:b/>
          <w:lang w:eastAsia="he-IL"/>
        </w:rPr>
      </w:pPr>
      <w:r w:rsidRPr="002754B8">
        <w:rPr>
          <w:b/>
          <w:rtl/>
          <w:lang w:eastAsia="he-IL"/>
        </w:rPr>
        <w:t>נטען, כי בשל קשיי שפה הנאשם לא מקבל מענה טיפולי בכלא, ומכאן היעדר ההמלצה הטיפולית.</w:t>
      </w:r>
    </w:p>
    <w:p w14:paraId="55CF74AA" w14:textId="77777777" w:rsidR="000D2A64" w:rsidRPr="002754B8" w:rsidRDefault="000D2A64" w:rsidP="000D2A64">
      <w:pPr>
        <w:numPr>
          <w:ilvl w:val="0"/>
          <w:numId w:val="1"/>
        </w:numPr>
        <w:snapToGrid w:val="0"/>
        <w:spacing w:line="360" w:lineRule="auto"/>
        <w:contextualSpacing/>
        <w:jc w:val="both"/>
        <w:rPr>
          <w:b/>
          <w:lang w:eastAsia="he-IL"/>
        </w:rPr>
      </w:pPr>
      <w:r w:rsidRPr="002754B8">
        <w:rPr>
          <w:b/>
          <w:rtl/>
          <w:lang w:eastAsia="he-IL"/>
        </w:rPr>
        <w:t>נטען, כי הנאשם שיתף פעולה בחקירה, הודה וחסך זמן שיפוטי יקר.</w:t>
      </w:r>
    </w:p>
    <w:p w14:paraId="12BB75CD" w14:textId="77777777" w:rsidR="000D2A64" w:rsidRPr="002754B8" w:rsidRDefault="000D2A64" w:rsidP="000D2A64">
      <w:pPr>
        <w:numPr>
          <w:ilvl w:val="0"/>
          <w:numId w:val="1"/>
        </w:numPr>
        <w:snapToGrid w:val="0"/>
        <w:spacing w:line="360" w:lineRule="auto"/>
        <w:contextualSpacing/>
        <w:jc w:val="both"/>
        <w:rPr>
          <w:b/>
          <w:lang w:eastAsia="he-IL"/>
        </w:rPr>
      </w:pPr>
      <w:r w:rsidRPr="002754B8">
        <w:rPr>
          <w:b/>
          <w:rtl/>
          <w:lang w:eastAsia="he-IL"/>
        </w:rPr>
        <w:t>נטען, כי לאור שאיפתו של הנאשם לסיים לימודיו ולהשתלב בקורסים בכלא יש לראותו כמי שהוא בעל סיכוי להשתקם באופן המאפשר סטייה ממתחם העונש ההולם.</w:t>
      </w:r>
    </w:p>
    <w:p w14:paraId="3CA2FD5C" w14:textId="77777777" w:rsidR="000D2A64" w:rsidRPr="002754B8" w:rsidRDefault="000D2A64" w:rsidP="000D2A64">
      <w:pPr>
        <w:numPr>
          <w:ilvl w:val="0"/>
          <w:numId w:val="1"/>
        </w:numPr>
        <w:snapToGrid w:val="0"/>
        <w:spacing w:line="360" w:lineRule="auto"/>
        <w:contextualSpacing/>
        <w:jc w:val="both"/>
        <w:rPr>
          <w:b/>
          <w:lang w:eastAsia="he-IL"/>
        </w:rPr>
      </w:pPr>
      <w:r w:rsidRPr="002754B8">
        <w:rPr>
          <w:b/>
          <w:rtl/>
          <w:lang w:eastAsia="he-IL"/>
        </w:rPr>
        <w:t>בשים לב לכל אלה, ביקש ב"כ הנאשם להסתפק בתקופת מעצרו של הנאשם.</w:t>
      </w:r>
    </w:p>
    <w:p w14:paraId="53DE7BA0" w14:textId="77777777" w:rsidR="000D2A64" w:rsidRPr="000D2A64" w:rsidRDefault="000D2A64" w:rsidP="000D2A64">
      <w:pPr>
        <w:spacing w:after="160" w:line="360" w:lineRule="auto"/>
        <w:jc w:val="both"/>
        <w:rPr>
          <w:rFonts w:ascii="Calibri" w:hAnsi="Calibri"/>
          <w:bCs/>
          <w:u w:val="single"/>
          <w:rtl/>
        </w:rPr>
      </w:pPr>
    </w:p>
    <w:p w14:paraId="193994BA" w14:textId="77777777" w:rsidR="000D2A64" w:rsidRPr="000D2A64" w:rsidRDefault="000D2A64" w:rsidP="000D2A64">
      <w:pPr>
        <w:spacing w:after="160" w:line="360" w:lineRule="auto"/>
        <w:jc w:val="both"/>
        <w:rPr>
          <w:rFonts w:ascii="Calibri" w:hAnsi="Calibri"/>
          <w:bCs/>
          <w:u w:val="single"/>
          <w:rtl/>
        </w:rPr>
      </w:pPr>
      <w:r w:rsidRPr="000D2A64">
        <w:rPr>
          <w:rFonts w:ascii="Calibri" w:hAnsi="Calibri" w:hint="eastAsia"/>
          <w:bCs/>
          <w:u w:val="single"/>
          <w:rtl/>
        </w:rPr>
        <w:t>דיון</w:t>
      </w:r>
      <w:r w:rsidRPr="000D2A64">
        <w:rPr>
          <w:rFonts w:ascii="Calibri" w:hAnsi="Calibri"/>
          <w:bCs/>
          <w:u w:val="single"/>
          <w:rtl/>
        </w:rPr>
        <w:t xml:space="preserve"> </w:t>
      </w:r>
      <w:r w:rsidRPr="000D2A64">
        <w:rPr>
          <w:rFonts w:ascii="Calibri" w:hAnsi="Calibri" w:hint="eastAsia"/>
          <w:bCs/>
          <w:u w:val="single"/>
          <w:rtl/>
        </w:rPr>
        <w:t>והכרעה</w:t>
      </w:r>
    </w:p>
    <w:p w14:paraId="510B50C0" w14:textId="77777777" w:rsidR="000D2A64" w:rsidRPr="000D2A64" w:rsidRDefault="000D2A64" w:rsidP="000D2A64">
      <w:pPr>
        <w:spacing w:after="160" w:line="360" w:lineRule="auto"/>
        <w:jc w:val="both"/>
        <w:rPr>
          <w:rFonts w:ascii="Calibri" w:hAnsi="Calibri"/>
          <w:u w:val="single"/>
        </w:rPr>
      </w:pPr>
      <w:r w:rsidRPr="000D2A64">
        <w:rPr>
          <w:rFonts w:ascii="Calibri" w:hAnsi="Calibri" w:hint="eastAsia"/>
          <w:u w:val="single"/>
          <w:rtl/>
        </w:rPr>
        <w:t>קביעת</w:t>
      </w:r>
      <w:r w:rsidRPr="000D2A64">
        <w:rPr>
          <w:rFonts w:ascii="Calibri" w:hAnsi="Calibri"/>
          <w:u w:val="single"/>
          <w:rtl/>
        </w:rPr>
        <w:t xml:space="preserve"> </w:t>
      </w:r>
      <w:r w:rsidRPr="000D2A64">
        <w:rPr>
          <w:rFonts w:ascii="Calibri" w:hAnsi="Calibri" w:hint="eastAsia"/>
          <w:u w:val="single"/>
          <w:rtl/>
        </w:rPr>
        <w:t>מתחם</w:t>
      </w:r>
      <w:r w:rsidRPr="000D2A64">
        <w:rPr>
          <w:rFonts w:ascii="Calibri" w:hAnsi="Calibri"/>
          <w:u w:val="single"/>
          <w:rtl/>
        </w:rPr>
        <w:t xml:space="preserve"> </w:t>
      </w:r>
      <w:r w:rsidRPr="000D2A64">
        <w:rPr>
          <w:rFonts w:ascii="Calibri" w:hAnsi="Calibri" w:hint="eastAsia"/>
          <w:u w:val="single"/>
          <w:rtl/>
        </w:rPr>
        <w:t>העונש</w:t>
      </w:r>
      <w:r w:rsidRPr="000D2A64">
        <w:rPr>
          <w:rFonts w:ascii="Calibri" w:hAnsi="Calibri"/>
          <w:u w:val="single"/>
          <w:rtl/>
        </w:rPr>
        <w:t xml:space="preserve"> </w:t>
      </w:r>
      <w:r w:rsidRPr="000D2A64">
        <w:rPr>
          <w:rFonts w:ascii="Calibri" w:hAnsi="Calibri" w:hint="eastAsia"/>
          <w:u w:val="single"/>
          <w:rtl/>
        </w:rPr>
        <w:t>ההולם</w:t>
      </w:r>
      <w:r w:rsidRPr="000D2A64">
        <w:rPr>
          <w:rFonts w:ascii="Calibri" w:hAnsi="Calibri"/>
          <w:u w:val="single"/>
          <w:rtl/>
        </w:rPr>
        <w:t>:</w:t>
      </w:r>
    </w:p>
    <w:p w14:paraId="3A25C3E5" w14:textId="77777777" w:rsidR="000D2A64" w:rsidRPr="002754B8" w:rsidRDefault="000D2A64" w:rsidP="000D2A64">
      <w:pPr>
        <w:numPr>
          <w:ilvl w:val="0"/>
          <w:numId w:val="1"/>
        </w:numPr>
        <w:snapToGrid w:val="0"/>
        <w:spacing w:line="360" w:lineRule="auto"/>
        <w:contextualSpacing/>
        <w:jc w:val="both"/>
        <w:rPr>
          <w:lang w:eastAsia="he-IL"/>
        </w:rPr>
      </w:pPr>
      <w:r w:rsidRPr="002754B8">
        <w:rPr>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55D9027B" w14:textId="77777777" w:rsidR="000D2A64" w:rsidRPr="002754B8" w:rsidRDefault="000D2A64" w:rsidP="000D2A64">
      <w:pPr>
        <w:numPr>
          <w:ilvl w:val="0"/>
          <w:numId w:val="1"/>
        </w:numPr>
        <w:snapToGrid w:val="0"/>
        <w:spacing w:line="360" w:lineRule="auto"/>
        <w:contextualSpacing/>
        <w:jc w:val="both"/>
        <w:rPr>
          <w:lang w:eastAsia="he-IL"/>
        </w:rPr>
      </w:pPr>
      <w:r w:rsidRPr="002754B8">
        <w:rPr>
          <w:rFonts w:ascii="David" w:hAnsi="David"/>
          <w:rtl/>
          <w:lang w:eastAsia="he-IL"/>
        </w:rPr>
        <w:t xml:space="preserve">לאחרונה ניתנו על ידי מותב זה מספר פסקי דין רלוונטיים בעבירות סמים (ראו </w:t>
      </w:r>
      <w:hyperlink r:id="rId23" w:history="1">
        <w:r w:rsidR="00C04044" w:rsidRPr="00C04044">
          <w:rPr>
            <w:rFonts w:ascii="David" w:hAnsi="David"/>
            <w:color w:val="0000FF"/>
            <w:u w:val="single"/>
            <w:rtl/>
            <w:lang w:eastAsia="he-IL"/>
          </w:rPr>
          <w:t>ת"פ 38680-05-20</w:t>
        </w:r>
      </w:hyperlink>
      <w:r w:rsidRPr="002754B8">
        <w:rPr>
          <w:rFonts w:ascii="David" w:hAnsi="David"/>
          <w:rtl/>
          <w:lang w:eastAsia="he-IL"/>
        </w:rPr>
        <w:t xml:space="preserve"> בעניין </w:t>
      </w:r>
      <w:r w:rsidRPr="002754B8">
        <w:rPr>
          <w:rFonts w:ascii="David" w:hAnsi="David"/>
          <w:b/>
          <w:bCs/>
          <w:rtl/>
          <w:lang w:eastAsia="he-IL"/>
        </w:rPr>
        <w:t>גבאי</w:t>
      </w:r>
      <w:r w:rsidRPr="002754B8">
        <w:rPr>
          <w:rFonts w:ascii="David" w:hAnsi="David"/>
          <w:rtl/>
          <w:lang w:eastAsia="he-IL"/>
        </w:rPr>
        <w:t xml:space="preserve">, </w:t>
      </w:r>
      <w:hyperlink r:id="rId24" w:history="1">
        <w:r w:rsidR="00C04044" w:rsidRPr="00C04044">
          <w:rPr>
            <w:rFonts w:ascii="David" w:hAnsi="David"/>
            <w:color w:val="0000FF"/>
            <w:u w:val="single"/>
            <w:rtl/>
            <w:lang w:eastAsia="he-IL"/>
          </w:rPr>
          <w:t>ת"פ 63029-12-20</w:t>
        </w:r>
      </w:hyperlink>
      <w:r w:rsidRPr="002754B8">
        <w:rPr>
          <w:rFonts w:ascii="David" w:hAnsi="David"/>
          <w:rtl/>
          <w:lang w:eastAsia="he-IL"/>
        </w:rPr>
        <w:t xml:space="preserve"> בעניין </w:t>
      </w:r>
      <w:r w:rsidRPr="002754B8">
        <w:rPr>
          <w:rFonts w:ascii="David" w:hAnsi="David"/>
          <w:b/>
          <w:bCs/>
          <w:rtl/>
          <w:lang w:eastAsia="he-IL"/>
        </w:rPr>
        <w:t>שליף</w:t>
      </w:r>
      <w:r w:rsidRPr="002754B8">
        <w:rPr>
          <w:rFonts w:ascii="David" w:hAnsi="David"/>
          <w:rtl/>
          <w:lang w:eastAsia="he-IL"/>
        </w:rPr>
        <w:t xml:space="preserve">, </w:t>
      </w:r>
      <w:hyperlink r:id="rId25" w:history="1">
        <w:r w:rsidR="00C04044" w:rsidRPr="00C04044">
          <w:rPr>
            <w:rFonts w:ascii="David" w:hAnsi="David"/>
            <w:color w:val="0000FF"/>
            <w:u w:val="single"/>
            <w:rtl/>
            <w:lang w:eastAsia="he-IL"/>
          </w:rPr>
          <w:t>ת"פ 31479-11-20</w:t>
        </w:r>
      </w:hyperlink>
      <w:r w:rsidRPr="002754B8">
        <w:rPr>
          <w:rFonts w:ascii="David" w:hAnsi="David"/>
          <w:rtl/>
          <w:lang w:eastAsia="he-IL"/>
        </w:rPr>
        <w:t xml:space="preserve"> בעניין </w:t>
      </w:r>
      <w:r w:rsidRPr="002754B8">
        <w:rPr>
          <w:rFonts w:ascii="David" w:hAnsi="David"/>
          <w:b/>
          <w:bCs/>
          <w:rtl/>
          <w:lang w:eastAsia="he-IL"/>
        </w:rPr>
        <w:t>אבו סבית</w:t>
      </w:r>
      <w:r w:rsidRPr="002754B8">
        <w:rPr>
          <w:rFonts w:ascii="David" w:hAnsi="David"/>
          <w:rtl/>
          <w:lang w:eastAsia="he-IL"/>
        </w:rPr>
        <w:t>), אין אלא לחזור ולהפנות לפסקי דין אלה לצורך הדיון בערכים המוגנים והפגיעה בצרכנים, בבני משפחותיהם ובציבור כולו כתוצאה מהפצת הסם.</w:t>
      </w:r>
      <w:r w:rsidRPr="002754B8">
        <w:rPr>
          <w:rFonts w:ascii="David" w:hAnsi="David"/>
          <w:b/>
          <w:bCs/>
          <w:rtl/>
          <w:lang w:eastAsia="he-IL"/>
        </w:rPr>
        <w:tab/>
      </w:r>
    </w:p>
    <w:p w14:paraId="0140FDCE" w14:textId="77777777" w:rsidR="000D2A64" w:rsidRPr="002754B8" w:rsidRDefault="000D2A64" w:rsidP="000D2A64">
      <w:pPr>
        <w:snapToGrid w:val="0"/>
        <w:spacing w:line="360" w:lineRule="auto"/>
        <w:ind w:left="360"/>
        <w:contextualSpacing/>
        <w:jc w:val="both"/>
        <w:rPr>
          <w:rtl/>
          <w:lang w:eastAsia="he-IL"/>
        </w:rPr>
      </w:pPr>
    </w:p>
    <w:p w14:paraId="35558880" w14:textId="77777777" w:rsidR="000D2A64" w:rsidRPr="002754B8" w:rsidRDefault="000D2A64" w:rsidP="000D2A64">
      <w:pPr>
        <w:snapToGrid w:val="0"/>
        <w:spacing w:after="200" w:line="360" w:lineRule="auto"/>
        <w:ind w:left="360"/>
        <w:contextualSpacing/>
        <w:jc w:val="both"/>
        <w:rPr>
          <w:rFonts w:ascii="David" w:hAnsi="David"/>
          <w:rtl/>
          <w:lang w:eastAsia="he-IL"/>
        </w:rPr>
      </w:pPr>
      <w:r w:rsidRPr="002754B8">
        <w:rPr>
          <w:rFonts w:ascii="David" w:hAnsi="David"/>
          <w:rtl/>
          <w:lang w:eastAsia="he-IL"/>
        </w:rPr>
        <w:t xml:space="preserve">ב"כ הנאשם ביקש להבחין בטיעונו בין סוגי הסמים לעניין מידת הפגיעה בערכים המוגנים וקביעת מתחם הענישה. אכן, יש מקום לאבחנה בין סוגי הסמים המופצים ואבחנה זו רלוונטית לקביעת מתחם הענישה בהתאם למידת הפגיעה בערכים המוגנים. קיימים סמים שפגיעתם הצפויה במשתמשים, לעיתים כבר בשימוש המזדמן הראשון, רבה מאד ושהם טומנים בחובם סכנה של ממש לבריאות, להתפרצויות אלימות, ופיתוח מהיר והרסני של תלות. לסמים שונים מאפייני השפעה שונים, וגם נזקים משניים צפויים בעוצמות שונות ונתונים אלה ודאי רלוונטיים בקביעת מתחם הענישה. בהתייחסות למשקל הסם יש לקחת בחשבון גם משקלה של המנה הבודדת (ואת הכמות המוגדרת בפקודה ככמות לגביה חלה "חזקת הכמות") וברור שאין דין החזקה של קילו קנבוס, כדין החזקה של קילו קוקאין. אך העובדה שקיימים סמים חמורים </w:t>
      </w:r>
      <w:r w:rsidRPr="002754B8">
        <w:rPr>
          <w:rFonts w:ascii="David" w:hAnsi="David"/>
          <w:b/>
          <w:bCs/>
          <w:rtl/>
          <w:lang w:eastAsia="he-IL"/>
        </w:rPr>
        <w:t xml:space="preserve">מאד </w:t>
      </w:r>
      <w:r w:rsidRPr="002754B8">
        <w:rPr>
          <w:rFonts w:ascii="David" w:hAnsi="David"/>
          <w:rtl/>
          <w:lang w:eastAsia="he-IL"/>
        </w:rPr>
        <w:t xml:space="preserve">אין משמעה שקיים סם "קל" והסמים שבהחזקתם הורשע הנאשם אינם "קלים". </w:t>
      </w:r>
    </w:p>
    <w:p w14:paraId="2D6266FA" w14:textId="77777777" w:rsidR="000D2A64" w:rsidRPr="002754B8" w:rsidRDefault="000D2A64" w:rsidP="000D2A64">
      <w:pPr>
        <w:snapToGrid w:val="0"/>
        <w:spacing w:after="200" w:line="360" w:lineRule="auto"/>
        <w:ind w:left="360"/>
        <w:contextualSpacing/>
        <w:jc w:val="both"/>
        <w:rPr>
          <w:rFonts w:ascii="David" w:hAnsi="David"/>
          <w:rtl/>
          <w:lang w:eastAsia="he-IL"/>
        </w:rPr>
      </w:pPr>
    </w:p>
    <w:p w14:paraId="331546F2" w14:textId="77777777" w:rsidR="000D2A64" w:rsidRPr="002754B8" w:rsidRDefault="000D2A64" w:rsidP="000D2A64">
      <w:pPr>
        <w:snapToGrid w:val="0"/>
        <w:spacing w:after="200" w:line="360" w:lineRule="auto"/>
        <w:ind w:left="360"/>
        <w:contextualSpacing/>
        <w:jc w:val="both"/>
        <w:rPr>
          <w:rFonts w:ascii="David" w:hAnsi="David"/>
          <w:rtl/>
          <w:lang w:eastAsia="he-IL"/>
        </w:rPr>
      </w:pPr>
      <w:r w:rsidRPr="002754B8">
        <w:rPr>
          <w:rFonts w:ascii="David" w:hAnsi="David"/>
          <w:rtl/>
          <w:lang w:eastAsia="he-IL"/>
        </w:rPr>
        <w:t>בתי המשפט נחשפים מדי יום להשפעות הרעות שלש השימוש המתמשך בקנבוס הן לציבור המשתמשים וסביבתם הקרובה והן לציבור בכללותו. דווקא בשל התפיסות המוטעות הרווחות בציבור כי מדובר בסם "קל", שאינו ממכר ושהוא אף בעל סגולות רפואיות, מחייבות העברת מסר כללי מרתיע מפני ביצוע עבירות אלה.</w:t>
      </w:r>
    </w:p>
    <w:p w14:paraId="524F83FF" w14:textId="77777777" w:rsidR="000D2A64" w:rsidRPr="002754B8" w:rsidRDefault="000D2A64" w:rsidP="000D2A64">
      <w:pPr>
        <w:snapToGrid w:val="0"/>
        <w:spacing w:after="200" w:line="360" w:lineRule="auto"/>
        <w:ind w:left="360"/>
        <w:contextualSpacing/>
        <w:jc w:val="both"/>
        <w:rPr>
          <w:rFonts w:ascii="David" w:hAnsi="David"/>
          <w:lang w:eastAsia="he-IL"/>
        </w:rPr>
      </w:pPr>
    </w:p>
    <w:p w14:paraId="4F87BA2B" w14:textId="77777777" w:rsidR="000D2A64" w:rsidRPr="002754B8" w:rsidRDefault="000D2A64" w:rsidP="000D2A64">
      <w:pPr>
        <w:numPr>
          <w:ilvl w:val="0"/>
          <w:numId w:val="1"/>
        </w:numPr>
        <w:snapToGrid w:val="0"/>
        <w:spacing w:after="200" w:line="360" w:lineRule="auto"/>
        <w:contextualSpacing/>
        <w:jc w:val="both"/>
        <w:rPr>
          <w:rFonts w:ascii="David" w:hAnsi="David"/>
          <w:lang w:eastAsia="he-IL"/>
        </w:rPr>
      </w:pPr>
      <w:r w:rsidRPr="002754B8">
        <w:rPr>
          <w:rFonts w:ascii="David" w:hAnsi="David"/>
          <w:rtl/>
          <w:lang w:eastAsia="he-IL"/>
        </w:rPr>
        <w:t>כאמור, במקרה זה מכלול נסיבות ההחזקה מלמדות על היות הנאשם חלק במערך הפצת הסמים. כמות הסמים שנתפסה אצל הנאשם בתיק האב משמעותית ושוויה הכספי לא מבוטל.  קיומו של תיק סמים נוסף, מוקדם יותר בזמן, מלמד על מעורבות שאיננה חד פעמית בתחום הסמים וכן מרמזת על מגמת הסלמה.</w:t>
      </w:r>
    </w:p>
    <w:p w14:paraId="24FDF4C4" w14:textId="77777777" w:rsidR="000D2A64" w:rsidRPr="002754B8" w:rsidRDefault="000D2A64" w:rsidP="000D2A64">
      <w:pPr>
        <w:numPr>
          <w:ilvl w:val="0"/>
          <w:numId w:val="1"/>
        </w:numPr>
        <w:snapToGrid w:val="0"/>
        <w:spacing w:after="200" w:line="360" w:lineRule="auto"/>
        <w:contextualSpacing/>
        <w:jc w:val="both"/>
        <w:rPr>
          <w:rFonts w:ascii="David" w:hAnsi="David"/>
          <w:lang w:eastAsia="he-IL"/>
        </w:rPr>
      </w:pPr>
      <w:r w:rsidRPr="002754B8">
        <w:rPr>
          <w:rFonts w:ascii="David" w:hAnsi="David"/>
          <w:rtl/>
          <w:lang w:eastAsia="he-IL"/>
        </w:rPr>
        <w:t>במצב דברים זה עוצמת הפגיעה בערכים המוגנים הנובעת מסוג הסם, ממשקלו ומנסיבות החזקתו במקרה זה היא ברף הבינוני ביחס לכלל עבירות החזקת הסמים ומידת אשמו של הנאשם בהחזקה המודעת של הסמים היא מלאה.</w:t>
      </w:r>
    </w:p>
    <w:p w14:paraId="3DA3C152" w14:textId="77777777" w:rsidR="000D2A64" w:rsidRPr="002754B8" w:rsidRDefault="000D2A64" w:rsidP="000D2A64">
      <w:pPr>
        <w:numPr>
          <w:ilvl w:val="0"/>
          <w:numId w:val="1"/>
        </w:numPr>
        <w:snapToGrid w:val="0"/>
        <w:spacing w:after="200" w:line="360" w:lineRule="auto"/>
        <w:contextualSpacing/>
        <w:jc w:val="both"/>
        <w:rPr>
          <w:rFonts w:ascii="David" w:hAnsi="David"/>
          <w:rtl/>
          <w:lang w:eastAsia="he-IL"/>
        </w:rPr>
      </w:pPr>
      <w:r w:rsidRPr="002754B8">
        <w:rPr>
          <w:rFonts w:ascii="David" w:hAnsi="David"/>
          <w:rtl/>
          <w:lang w:eastAsia="he-IL"/>
        </w:rPr>
        <w:t xml:space="preserve">ביחס לעבירת ההפרעה לשוטר, מדובר בפגיעה בעבודתם של רשויות האכיפה שלמעשה פוגעת בסדרי המשטר והשלטון וכן באופן עקיף בציבור כולו שכן שיבוש עבודתם של השוטרים משמעותה הקצאת משאבים נוספים מהמשטרה. </w:t>
      </w:r>
    </w:p>
    <w:p w14:paraId="4E3C3085" w14:textId="77777777" w:rsidR="000D2A64" w:rsidRPr="002754B8" w:rsidRDefault="000D2A64" w:rsidP="000D2A64">
      <w:pPr>
        <w:spacing w:after="200" w:line="360" w:lineRule="auto"/>
        <w:jc w:val="both"/>
        <w:rPr>
          <w:rFonts w:ascii="David" w:hAnsi="David"/>
          <w:b/>
          <w:bCs/>
          <w:u w:val="single"/>
          <w:rtl/>
        </w:rPr>
      </w:pPr>
      <w:r w:rsidRPr="002754B8">
        <w:rPr>
          <w:rFonts w:ascii="David" w:hAnsi="David"/>
          <w:b/>
          <w:bCs/>
          <w:u w:val="single"/>
          <w:rtl/>
        </w:rPr>
        <w:t>מדיניות הענישה הנוהגת:</w:t>
      </w:r>
    </w:p>
    <w:p w14:paraId="761E2DF6" w14:textId="77777777" w:rsidR="000D2A64" w:rsidRPr="002754B8" w:rsidRDefault="000D2A64" w:rsidP="000D2A64">
      <w:pPr>
        <w:numPr>
          <w:ilvl w:val="0"/>
          <w:numId w:val="1"/>
        </w:numPr>
        <w:snapToGrid w:val="0"/>
        <w:spacing w:after="200" w:line="360" w:lineRule="auto"/>
        <w:contextualSpacing/>
        <w:jc w:val="both"/>
        <w:rPr>
          <w:rFonts w:ascii="David" w:hAnsi="David"/>
          <w:lang w:eastAsia="he-IL"/>
        </w:rPr>
      </w:pPr>
      <w:r w:rsidRPr="002754B8">
        <w:rPr>
          <w:rFonts w:ascii="David" w:hAnsi="David"/>
          <w:rtl/>
          <w:lang w:eastAsia="he-IL"/>
        </w:rPr>
        <w:t>עיינתי בפסקי הדין אליהן הפנתה המאשימה.  ב"כ הנאשם לא הפנה לפסיקה מטעמו.  פסיקת בתי המשפט מלמדת, כי מתחמי הענישה נקבעים במנעד מסוים, שסוג ומשקל הסם הם חלק מהנסיבות המשפיעות עליו, יחד עם נסיבות ההחזקה והרקע לביצוע העבירות.</w:t>
      </w:r>
    </w:p>
    <w:p w14:paraId="7ED639CA" w14:textId="77777777" w:rsidR="000D2A64" w:rsidRPr="002754B8" w:rsidRDefault="000D2A64" w:rsidP="000D2A64">
      <w:pPr>
        <w:snapToGrid w:val="0"/>
        <w:spacing w:after="200" w:line="360" w:lineRule="auto"/>
        <w:ind w:left="360"/>
        <w:contextualSpacing/>
        <w:jc w:val="both"/>
        <w:rPr>
          <w:rFonts w:ascii="David" w:hAnsi="David"/>
          <w:rtl/>
          <w:lang w:eastAsia="he-IL"/>
        </w:rPr>
      </w:pPr>
      <w:r w:rsidRPr="002754B8">
        <w:rPr>
          <w:rFonts w:ascii="David" w:hAnsi="David"/>
          <w:rtl/>
          <w:lang w:eastAsia="he-IL"/>
        </w:rPr>
        <w:t>ראו למשל:</w:t>
      </w:r>
    </w:p>
    <w:p w14:paraId="7B73EB4C" w14:textId="77777777" w:rsidR="000D2A64" w:rsidRPr="002754B8" w:rsidRDefault="00C04044" w:rsidP="000D2A64">
      <w:pPr>
        <w:numPr>
          <w:ilvl w:val="0"/>
          <w:numId w:val="2"/>
        </w:numPr>
        <w:spacing w:after="160" w:line="360" w:lineRule="auto"/>
        <w:contextualSpacing/>
        <w:jc w:val="both"/>
        <w:rPr>
          <w:rFonts w:ascii="David" w:hAnsi="David"/>
        </w:rPr>
      </w:pPr>
      <w:hyperlink r:id="rId26" w:history="1">
        <w:r w:rsidRPr="00C04044">
          <w:rPr>
            <w:rFonts w:ascii="David" w:hAnsi="David"/>
            <w:b/>
            <w:bCs/>
            <w:color w:val="0000FF"/>
            <w:u w:val="single"/>
            <w:rtl/>
          </w:rPr>
          <w:t>רע"פ 1830/16</w:t>
        </w:r>
      </w:hyperlink>
      <w:r w:rsidR="000D2A64" w:rsidRPr="002754B8">
        <w:rPr>
          <w:rFonts w:ascii="David" w:hAnsi="David"/>
          <w:b/>
          <w:bCs/>
          <w:rtl/>
        </w:rPr>
        <w:t xml:space="preserve"> רקיבי נגד מדינת ישראל</w:t>
      </w:r>
      <w:r w:rsidR="000D2A64" w:rsidRPr="002754B8">
        <w:rPr>
          <w:rFonts w:ascii="David" w:hAnsi="David"/>
          <w:rtl/>
        </w:rPr>
        <w:t xml:space="preserve"> (11.4.16) שם אושר מתחם של 6-15 חודשי מאסר ונגזרו על נאשם אשר החזיק חשיש ברכבו, מחולק לאריזות רבות במשקל כולל של כ - 2,300 גרם. על הנאשם, ללא עבר פלילי ולאחר שהתקבל בעניינו תסקיר חיובי, הוטלו  8 חודשי מאסר בפועל.</w:t>
      </w:r>
    </w:p>
    <w:p w14:paraId="2916B8A0" w14:textId="77777777" w:rsidR="000D2A64" w:rsidRPr="002754B8" w:rsidRDefault="000D2A64" w:rsidP="000D2A64">
      <w:pPr>
        <w:spacing w:after="160" w:line="360" w:lineRule="auto"/>
        <w:ind w:left="1080"/>
        <w:contextualSpacing/>
        <w:jc w:val="both"/>
        <w:rPr>
          <w:rFonts w:ascii="David" w:hAnsi="David"/>
          <w:b/>
          <w:bCs/>
        </w:rPr>
      </w:pPr>
    </w:p>
    <w:p w14:paraId="67B588E5" w14:textId="77777777" w:rsidR="000D2A64" w:rsidRPr="002754B8" w:rsidRDefault="00C04044" w:rsidP="000D2A64">
      <w:pPr>
        <w:numPr>
          <w:ilvl w:val="0"/>
          <w:numId w:val="2"/>
        </w:numPr>
        <w:spacing w:after="160" w:line="360" w:lineRule="auto"/>
        <w:contextualSpacing/>
        <w:jc w:val="both"/>
        <w:rPr>
          <w:rFonts w:ascii="David" w:hAnsi="David"/>
        </w:rPr>
      </w:pPr>
      <w:hyperlink r:id="rId27" w:history="1">
        <w:r w:rsidRPr="00C04044">
          <w:rPr>
            <w:rFonts w:ascii="Calibri" w:hAnsi="Calibri" w:hint="eastAsia"/>
            <w:b/>
            <w:bCs/>
            <w:color w:val="0000FF"/>
            <w:u w:val="single"/>
            <w:rtl/>
          </w:rPr>
          <w:t>רע</w:t>
        </w:r>
        <w:r w:rsidRPr="00C04044">
          <w:rPr>
            <w:rFonts w:ascii="Calibri" w:hAnsi="Calibri"/>
            <w:b/>
            <w:bCs/>
            <w:color w:val="0000FF"/>
            <w:u w:val="single"/>
            <w:rtl/>
          </w:rPr>
          <w:t>"</w:t>
        </w:r>
        <w:r w:rsidRPr="00C04044">
          <w:rPr>
            <w:rFonts w:ascii="Calibri" w:hAnsi="Calibri" w:hint="eastAsia"/>
            <w:b/>
            <w:bCs/>
            <w:color w:val="0000FF"/>
            <w:u w:val="single"/>
            <w:rtl/>
          </w:rPr>
          <w:t>פ</w:t>
        </w:r>
        <w:r w:rsidRPr="00C04044">
          <w:rPr>
            <w:rFonts w:ascii="Calibri" w:hAnsi="Calibri"/>
            <w:b/>
            <w:bCs/>
            <w:color w:val="0000FF"/>
            <w:u w:val="single"/>
            <w:rtl/>
          </w:rPr>
          <w:t xml:space="preserve"> 322/15</w:t>
        </w:r>
      </w:hyperlink>
      <w:r w:rsidR="000D2A64" w:rsidRPr="000D2A64">
        <w:rPr>
          <w:rFonts w:ascii="Calibri" w:hAnsi="Calibri"/>
          <w:b/>
          <w:bCs/>
          <w:rtl/>
        </w:rPr>
        <w:t xml:space="preserve"> </w:t>
      </w:r>
      <w:r w:rsidR="000D2A64" w:rsidRPr="000D2A64">
        <w:rPr>
          <w:rFonts w:ascii="Calibri" w:hAnsi="Calibri" w:hint="eastAsia"/>
          <w:b/>
          <w:bCs/>
          <w:rtl/>
        </w:rPr>
        <w:t>ג</w:t>
      </w:r>
      <w:r w:rsidR="000D2A64" w:rsidRPr="000D2A64">
        <w:rPr>
          <w:rFonts w:ascii="Calibri" w:hAnsi="Calibri"/>
          <w:b/>
          <w:bCs/>
          <w:rtl/>
        </w:rPr>
        <w:t>'</w:t>
      </w:r>
      <w:r w:rsidR="000D2A64" w:rsidRPr="000D2A64">
        <w:rPr>
          <w:rFonts w:ascii="Calibri" w:hAnsi="Calibri" w:hint="eastAsia"/>
          <w:b/>
          <w:bCs/>
          <w:rtl/>
        </w:rPr>
        <w:t>אנח</w:t>
      </w:r>
      <w:r w:rsidR="000D2A64" w:rsidRPr="000D2A64">
        <w:rPr>
          <w:rFonts w:ascii="Calibri" w:hAnsi="Calibri"/>
          <w:b/>
          <w:bCs/>
          <w:rtl/>
        </w:rPr>
        <w:t xml:space="preserve"> </w:t>
      </w:r>
      <w:r w:rsidR="000D2A64" w:rsidRPr="000D2A64">
        <w:rPr>
          <w:rFonts w:ascii="Calibri" w:hAnsi="Calibri" w:hint="eastAsia"/>
          <w:b/>
          <w:bCs/>
          <w:rtl/>
        </w:rPr>
        <w:t>נ</w:t>
      </w:r>
      <w:r w:rsidR="000D2A64" w:rsidRPr="000D2A64">
        <w:rPr>
          <w:rFonts w:ascii="Calibri" w:hAnsi="Calibri"/>
          <w:b/>
          <w:bCs/>
          <w:rtl/>
        </w:rPr>
        <w:t xml:space="preserve">' </w:t>
      </w:r>
      <w:r w:rsidR="000D2A64" w:rsidRPr="000D2A64">
        <w:rPr>
          <w:rFonts w:ascii="Calibri" w:hAnsi="Calibri" w:hint="eastAsia"/>
          <w:b/>
          <w:bCs/>
          <w:rtl/>
        </w:rPr>
        <w:t>מדינת</w:t>
      </w:r>
      <w:r w:rsidR="000D2A64" w:rsidRPr="000D2A64">
        <w:rPr>
          <w:rFonts w:ascii="Calibri" w:hAnsi="Calibri"/>
          <w:b/>
          <w:bCs/>
          <w:rtl/>
        </w:rPr>
        <w:t xml:space="preserve"> </w:t>
      </w:r>
      <w:r w:rsidR="000D2A64" w:rsidRPr="000D2A64">
        <w:rPr>
          <w:rFonts w:ascii="Calibri" w:hAnsi="Calibri" w:hint="eastAsia"/>
          <w:b/>
          <w:bCs/>
          <w:rtl/>
        </w:rPr>
        <w:t>ישראל</w:t>
      </w:r>
      <w:r w:rsidR="000D2A64" w:rsidRPr="000D2A64">
        <w:rPr>
          <w:rFonts w:ascii="Calibri" w:hAnsi="Calibri"/>
          <w:b/>
          <w:bCs/>
          <w:rtl/>
        </w:rPr>
        <w:t xml:space="preserve"> </w:t>
      </w:r>
      <w:r w:rsidR="000D2A64" w:rsidRPr="000D2A64">
        <w:rPr>
          <w:rFonts w:ascii="Calibri" w:hAnsi="Calibri"/>
          <w:rtl/>
        </w:rPr>
        <w:t xml:space="preserve">(22.1.15) </w:t>
      </w:r>
      <w:r w:rsidR="000D2A64" w:rsidRPr="000D2A64">
        <w:rPr>
          <w:rFonts w:ascii="Calibri" w:hAnsi="Calibri" w:hint="eastAsia"/>
          <w:rtl/>
        </w:rPr>
        <w:t>שם</w:t>
      </w:r>
      <w:r w:rsidR="000D2A64" w:rsidRPr="000D2A64">
        <w:rPr>
          <w:rFonts w:ascii="Calibri" w:hAnsi="Calibri"/>
          <w:rtl/>
        </w:rPr>
        <w:t xml:space="preserve"> </w:t>
      </w:r>
      <w:r w:rsidR="000D2A64" w:rsidRPr="000D2A64">
        <w:rPr>
          <w:rFonts w:ascii="Calibri" w:hAnsi="Calibri" w:hint="eastAsia"/>
          <w:rtl/>
        </w:rPr>
        <w:t>אישר</w:t>
      </w:r>
      <w:r w:rsidR="000D2A64" w:rsidRPr="000D2A64">
        <w:rPr>
          <w:rFonts w:ascii="Calibri" w:hAnsi="Calibri"/>
          <w:rtl/>
        </w:rPr>
        <w:t xml:space="preserve"> </w:t>
      </w:r>
      <w:r w:rsidR="000D2A64" w:rsidRPr="000D2A64">
        <w:rPr>
          <w:rFonts w:ascii="Calibri" w:hAnsi="Calibri" w:hint="eastAsia"/>
          <w:rtl/>
        </w:rPr>
        <w:t>בית</w:t>
      </w:r>
      <w:r w:rsidR="000D2A64" w:rsidRPr="000D2A64">
        <w:rPr>
          <w:rFonts w:ascii="Calibri" w:hAnsi="Calibri"/>
          <w:rtl/>
        </w:rPr>
        <w:t xml:space="preserve"> </w:t>
      </w:r>
      <w:r w:rsidR="000D2A64" w:rsidRPr="000D2A64">
        <w:rPr>
          <w:rFonts w:ascii="Calibri" w:hAnsi="Calibri" w:hint="eastAsia"/>
          <w:rtl/>
        </w:rPr>
        <w:t>המשפט</w:t>
      </w:r>
      <w:r w:rsidR="000D2A64" w:rsidRPr="000D2A64">
        <w:rPr>
          <w:rFonts w:ascii="Calibri" w:hAnsi="Calibri"/>
          <w:rtl/>
        </w:rPr>
        <w:t xml:space="preserve"> </w:t>
      </w:r>
      <w:r w:rsidR="000D2A64" w:rsidRPr="000D2A64">
        <w:rPr>
          <w:rFonts w:ascii="Calibri" w:hAnsi="Calibri" w:hint="eastAsia"/>
          <w:rtl/>
        </w:rPr>
        <w:t>העליון</w:t>
      </w:r>
      <w:r w:rsidR="000D2A64" w:rsidRPr="000D2A64">
        <w:rPr>
          <w:rFonts w:ascii="Calibri" w:hAnsi="Calibri"/>
          <w:rtl/>
        </w:rPr>
        <w:t xml:space="preserve"> </w:t>
      </w:r>
      <w:r w:rsidR="000D2A64" w:rsidRPr="000D2A64">
        <w:rPr>
          <w:rFonts w:ascii="Calibri" w:hAnsi="Calibri" w:hint="eastAsia"/>
          <w:rtl/>
        </w:rPr>
        <w:t>מתחם</w:t>
      </w:r>
      <w:r w:rsidR="000D2A64" w:rsidRPr="000D2A64">
        <w:rPr>
          <w:rFonts w:ascii="Calibri" w:hAnsi="Calibri"/>
          <w:rtl/>
        </w:rPr>
        <w:t xml:space="preserve"> </w:t>
      </w:r>
      <w:r w:rsidR="000D2A64" w:rsidRPr="000D2A64">
        <w:rPr>
          <w:rFonts w:ascii="Calibri" w:hAnsi="Calibri" w:hint="eastAsia"/>
          <w:rtl/>
        </w:rPr>
        <w:t>עונש</w:t>
      </w:r>
      <w:r w:rsidR="000D2A64" w:rsidRPr="000D2A64">
        <w:rPr>
          <w:rFonts w:ascii="Calibri" w:hAnsi="Calibri"/>
          <w:rtl/>
        </w:rPr>
        <w:t xml:space="preserve"> </w:t>
      </w:r>
      <w:r w:rsidR="000D2A64" w:rsidRPr="000D2A64">
        <w:rPr>
          <w:rFonts w:ascii="Calibri" w:hAnsi="Calibri" w:hint="eastAsia"/>
          <w:rtl/>
        </w:rPr>
        <w:t>של</w:t>
      </w:r>
      <w:r w:rsidR="000D2A64" w:rsidRPr="000D2A64">
        <w:rPr>
          <w:rFonts w:ascii="Calibri" w:hAnsi="Calibri"/>
          <w:rtl/>
        </w:rPr>
        <w:t xml:space="preserve">  7-18 </w:t>
      </w:r>
      <w:r w:rsidR="000D2A64" w:rsidRPr="000D2A64">
        <w:rPr>
          <w:rFonts w:ascii="Calibri" w:hAnsi="Calibri" w:hint="eastAsia"/>
          <w:rtl/>
        </w:rPr>
        <w:t>חודשי</w:t>
      </w:r>
      <w:r w:rsidR="000D2A64" w:rsidRPr="000D2A64">
        <w:rPr>
          <w:rFonts w:ascii="Calibri" w:hAnsi="Calibri"/>
          <w:rtl/>
        </w:rPr>
        <w:t xml:space="preserve"> </w:t>
      </w:r>
      <w:r w:rsidR="000D2A64" w:rsidRPr="000D2A64">
        <w:rPr>
          <w:rFonts w:ascii="Calibri" w:hAnsi="Calibri" w:hint="eastAsia"/>
          <w:rtl/>
        </w:rPr>
        <w:t>מאסר</w:t>
      </w:r>
      <w:r w:rsidR="000D2A64" w:rsidRPr="000D2A64">
        <w:rPr>
          <w:rFonts w:ascii="Calibri" w:hAnsi="Calibri"/>
          <w:rtl/>
        </w:rPr>
        <w:t xml:space="preserve"> </w:t>
      </w:r>
      <w:r w:rsidR="000D2A64" w:rsidRPr="000D2A64">
        <w:rPr>
          <w:rFonts w:ascii="Calibri" w:hAnsi="Calibri" w:hint="eastAsia"/>
          <w:rtl/>
        </w:rPr>
        <w:t>בגין</w:t>
      </w:r>
      <w:r w:rsidR="000D2A64" w:rsidRPr="000D2A64">
        <w:rPr>
          <w:rFonts w:ascii="Calibri" w:hAnsi="Calibri"/>
          <w:rtl/>
        </w:rPr>
        <w:t xml:space="preserve"> </w:t>
      </w:r>
      <w:r w:rsidR="000D2A64" w:rsidRPr="000D2A64">
        <w:rPr>
          <w:rFonts w:ascii="Calibri" w:hAnsi="Calibri" w:hint="eastAsia"/>
          <w:rtl/>
        </w:rPr>
        <w:t>החזקת</w:t>
      </w:r>
      <w:r w:rsidR="000D2A64" w:rsidRPr="000D2A64">
        <w:rPr>
          <w:rFonts w:ascii="Calibri" w:hAnsi="Calibri"/>
          <w:rtl/>
        </w:rPr>
        <w:t xml:space="preserve"> </w:t>
      </w:r>
      <w:r w:rsidR="000D2A64" w:rsidRPr="000D2A64">
        <w:rPr>
          <w:rFonts w:ascii="Calibri" w:hAnsi="Calibri" w:hint="eastAsia"/>
          <w:rtl/>
        </w:rPr>
        <w:t>חשיש</w:t>
      </w:r>
      <w:r w:rsidR="000D2A64" w:rsidRPr="000D2A64">
        <w:rPr>
          <w:rFonts w:ascii="Calibri" w:hAnsi="Calibri"/>
          <w:rtl/>
        </w:rPr>
        <w:t xml:space="preserve"> </w:t>
      </w:r>
      <w:r w:rsidR="000D2A64" w:rsidRPr="000D2A64">
        <w:rPr>
          <w:rFonts w:ascii="Calibri" w:hAnsi="Calibri" w:hint="eastAsia"/>
          <w:rtl/>
        </w:rPr>
        <w:t>במשקל</w:t>
      </w:r>
      <w:r w:rsidR="000D2A64" w:rsidRPr="000D2A64">
        <w:rPr>
          <w:rFonts w:ascii="Calibri" w:hAnsi="Calibri"/>
          <w:rtl/>
        </w:rPr>
        <w:t xml:space="preserve"> </w:t>
      </w:r>
      <w:r w:rsidR="000D2A64" w:rsidRPr="000D2A64">
        <w:rPr>
          <w:rFonts w:ascii="Calibri" w:hAnsi="Calibri" w:hint="eastAsia"/>
          <w:rtl/>
        </w:rPr>
        <w:t>כולל</w:t>
      </w:r>
      <w:r w:rsidR="000D2A64" w:rsidRPr="000D2A64">
        <w:rPr>
          <w:rFonts w:ascii="Calibri" w:hAnsi="Calibri"/>
          <w:rtl/>
        </w:rPr>
        <w:t xml:space="preserve"> </w:t>
      </w:r>
      <w:r w:rsidR="000D2A64" w:rsidRPr="000D2A64">
        <w:rPr>
          <w:rFonts w:ascii="Calibri" w:hAnsi="Calibri" w:hint="eastAsia"/>
          <w:rtl/>
        </w:rPr>
        <w:t>של</w:t>
      </w:r>
      <w:r w:rsidR="000D2A64" w:rsidRPr="000D2A64">
        <w:rPr>
          <w:rFonts w:ascii="Calibri" w:hAnsi="Calibri"/>
          <w:rtl/>
        </w:rPr>
        <w:t xml:space="preserve"> </w:t>
      </w:r>
      <w:r w:rsidR="000D2A64" w:rsidRPr="000D2A64">
        <w:rPr>
          <w:rFonts w:ascii="Calibri" w:hAnsi="Calibri" w:hint="eastAsia"/>
          <w:rtl/>
        </w:rPr>
        <w:t>כ</w:t>
      </w:r>
      <w:r w:rsidR="000D2A64" w:rsidRPr="000D2A64">
        <w:rPr>
          <w:rFonts w:ascii="Calibri" w:hAnsi="Calibri"/>
          <w:rtl/>
        </w:rPr>
        <w:t xml:space="preserve"> - 400 </w:t>
      </w:r>
      <w:r w:rsidR="000D2A64" w:rsidRPr="000D2A64">
        <w:rPr>
          <w:rFonts w:ascii="Calibri" w:hAnsi="Calibri" w:hint="eastAsia"/>
          <w:rtl/>
        </w:rPr>
        <w:t>גרם</w:t>
      </w:r>
      <w:r w:rsidR="000D2A64" w:rsidRPr="000D2A64">
        <w:rPr>
          <w:rFonts w:ascii="Calibri" w:hAnsi="Calibri"/>
          <w:rtl/>
        </w:rPr>
        <w:t xml:space="preserve"> </w:t>
      </w:r>
      <w:r w:rsidR="000D2A64" w:rsidRPr="000D2A64">
        <w:rPr>
          <w:rFonts w:ascii="Calibri" w:hAnsi="Calibri" w:hint="eastAsia"/>
          <w:rtl/>
        </w:rPr>
        <w:t>בבית</w:t>
      </w:r>
      <w:r w:rsidR="000D2A64" w:rsidRPr="000D2A64">
        <w:rPr>
          <w:rFonts w:ascii="Calibri" w:hAnsi="Calibri"/>
          <w:rtl/>
        </w:rPr>
        <w:t xml:space="preserve"> </w:t>
      </w:r>
      <w:r w:rsidR="000D2A64" w:rsidRPr="000D2A64">
        <w:rPr>
          <w:rFonts w:ascii="Calibri" w:hAnsi="Calibri" w:hint="eastAsia"/>
          <w:rtl/>
        </w:rPr>
        <w:t>מגוריו</w:t>
      </w:r>
      <w:r w:rsidR="000D2A64" w:rsidRPr="000D2A64">
        <w:rPr>
          <w:rFonts w:ascii="Calibri" w:hAnsi="Calibri"/>
          <w:rtl/>
        </w:rPr>
        <w:t xml:space="preserve"> </w:t>
      </w:r>
      <w:r w:rsidR="000D2A64" w:rsidRPr="000D2A64">
        <w:rPr>
          <w:rFonts w:ascii="Calibri" w:hAnsi="Calibri" w:hint="eastAsia"/>
          <w:rtl/>
        </w:rPr>
        <w:t>של</w:t>
      </w:r>
      <w:r w:rsidR="000D2A64" w:rsidRPr="000D2A64">
        <w:rPr>
          <w:rFonts w:ascii="Calibri" w:hAnsi="Calibri"/>
          <w:rtl/>
        </w:rPr>
        <w:t xml:space="preserve"> </w:t>
      </w:r>
      <w:r w:rsidR="000D2A64" w:rsidRPr="000D2A64">
        <w:rPr>
          <w:rFonts w:ascii="Calibri" w:hAnsi="Calibri" w:hint="eastAsia"/>
          <w:rtl/>
        </w:rPr>
        <w:t>המערער</w:t>
      </w:r>
      <w:r w:rsidR="000D2A64" w:rsidRPr="002754B8">
        <w:rPr>
          <w:rFonts w:ascii="David" w:hAnsi="David"/>
          <w:rtl/>
        </w:rPr>
        <w:t>.</w:t>
      </w:r>
    </w:p>
    <w:p w14:paraId="3A51B0ED" w14:textId="77777777" w:rsidR="000D2A64" w:rsidRPr="002754B8" w:rsidRDefault="000D2A64" w:rsidP="000D2A64">
      <w:pPr>
        <w:spacing w:after="160" w:line="360" w:lineRule="auto"/>
        <w:contextualSpacing/>
        <w:jc w:val="both"/>
        <w:rPr>
          <w:rFonts w:ascii="David" w:hAnsi="David"/>
        </w:rPr>
      </w:pPr>
    </w:p>
    <w:p w14:paraId="6AFD57FA" w14:textId="77777777" w:rsidR="000D2A64" w:rsidRPr="002754B8" w:rsidRDefault="00C04044" w:rsidP="000D2A64">
      <w:pPr>
        <w:numPr>
          <w:ilvl w:val="0"/>
          <w:numId w:val="2"/>
        </w:numPr>
        <w:spacing w:after="160" w:line="360" w:lineRule="auto"/>
        <w:contextualSpacing/>
        <w:jc w:val="both"/>
        <w:rPr>
          <w:rFonts w:ascii="David" w:hAnsi="David"/>
        </w:rPr>
      </w:pPr>
      <w:hyperlink r:id="rId28" w:history="1">
        <w:r w:rsidRPr="00C04044">
          <w:rPr>
            <w:rFonts w:ascii="David" w:hAnsi="David"/>
            <w:b/>
            <w:bCs/>
            <w:color w:val="0000FF"/>
            <w:u w:val="single"/>
            <w:rtl/>
          </w:rPr>
          <w:t>עפ"ג (ב"ש) 24043-04-17</w:t>
        </w:r>
      </w:hyperlink>
      <w:r w:rsidR="000D2A64" w:rsidRPr="002754B8">
        <w:rPr>
          <w:rFonts w:ascii="David" w:hAnsi="David"/>
          <w:b/>
          <w:bCs/>
          <w:rtl/>
        </w:rPr>
        <w:t xml:space="preserve"> אל קשכר נגד מדינת ישראל </w:t>
      </w:r>
      <w:r w:rsidR="000D2A64" w:rsidRPr="002754B8">
        <w:rPr>
          <w:rFonts w:ascii="David" w:hAnsi="David"/>
          <w:rtl/>
        </w:rPr>
        <w:t>(4.6.17) שם אושר בבית המשפט המחוזי עונש של שבעה חודשי מאסר בגין החזקת קנבוס במשקל 922.40 גרם נטו.</w:t>
      </w:r>
    </w:p>
    <w:p w14:paraId="1424F088" w14:textId="77777777" w:rsidR="000D2A64" w:rsidRPr="002754B8" w:rsidRDefault="000D2A64" w:rsidP="000D2A64">
      <w:pPr>
        <w:snapToGrid w:val="0"/>
        <w:ind w:left="720"/>
        <w:contextualSpacing/>
        <w:rPr>
          <w:rFonts w:ascii="David" w:hAnsi="David"/>
          <w:rtl/>
          <w:lang w:eastAsia="he-IL"/>
        </w:rPr>
      </w:pPr>
    </w:p>
    <w:p w14:paraId="682C5BA8" w14:textId="77777777" w:rsidR="000D2A64" w:rsidRPr="002754B8" w:rsidRDefault="00C04044" w:rsidP="000D2A64">
      <w:pPr>
        <w:numPr>
          <w:ilvl w:val="0"/>
          <w:numId w:val="2"/>
        </w:numPr>
        <w:spacing w:after="160" w:line="360" w:lineRule="auto"/>
        <w:contextualSpacing/>
        <w:jc w:val="both"/>
        <w:rPr>
          <w:rFonts w:ascii="David" w:hAnsi="David"/>
        </w:rPr>
      </w:pPr>
      <w:hyperlink r:id="rId29" w:history="1">
        <w:r w:rsidRPr="00C04044">
          <w:rPr>
            <w:rFonts w:ascii="Arial" w:hAnsi="Arial"/>
            <w:b/>
            <w:bCs/>
            <w:color w:val="0000FF"/>
            <w:u w:val="single"/>
            <w:rtl/>
          </w:rPr>
          <w:t>עפ"ג 38161-12-16</w:t>
        </w:r>
      </w:hyperlink>
      <w:r w:rsidR="000D2A64" w:rsidRPr="002754B8">
        <w:rPr>
          <w:rFonts w:ascii="Arial" w:hAnsi="Arial"/>
          <w:rtl/>
        </w:rPr>
        <w:t xml:space="preserve"> </w:t>
      </w:r>
      <w:r w:rsidR="000D2A64" w:rsidRPr="002754B8">
        <w:rPr>
          <w:rFonts w:ascii="Arial" w:hAnsi="Arial"/>
          <w:b/>
          <w:bCs/>
          <w:rtl/>
        </w:rPr>
        <w:t>אלעול נ' מדינת ישראל</w:t>
      </w:r>
      <w:r w:rsidR="000D2A64" w:rsidRPr="002754B8">
        <w:rPr>
          <w:rFonts w:ascii="Arial" w:hAnsi="Arial"/>
          <w:rtl/>
        </w:rPr>
        <w:t xml:space="preserve"> (18.1.17): שם נותר על כנו גזר דין במסגרתו הוטלו על הנאשם  14 חודשי מאסר בגין החזקת קנבוס במשקל של 6 ק"ג. </w:t>
      </w:r>
    </w:p>
    <w:p w14:paraId="08C53C76" w14:textId="77777777" w:rsidR="000D2A64" w:rsidRPr="002754B8" w:rsidRDefault="000D2A64" w:rsidP="000D2A64">
      <w:pPr>
        <w:snapToGrid w:val="0"/>
        <w:ind w:left="720"/>
        <w:contextualSpacing/>
        <w:rPr>
          <w:rFonts w:ascii="David" w:hAnsi="David"/>
          <w:rtl/>
          <w:lang w:eastAsia="he-IL"/>
        </w:rPr>
      </w:pPr>
    </w:p>
    <w:p w14:paraId="11AD3B15" w14:textId="77777777" w:rsidR="000D2A64" w:rsidRPr="002754B8" w:rsidRDefault="00C04044" w:rsidP="000D2A64">
      <w:pPr>
        <w:numPr>
          <w:ilvl w:val="0"/>
          <w:numId w:val="2"/>
        </w:numPr>
        <w:spacing w:after="160" w:line="360" w:lineRule="auto"/>
        <w:contextualSpacing/>
        <w:jc w:val="both"/>
        <w:rPr>
          <w:rFonts w:ascii="David" w:hAnsi="David"/>
        </w:rPr>
      </w:pPr>
      <w:hyperlink r:id="rId30" w:history="1">
        <w:r w:rsidRPr="00C04044">
          <w:rPr>
            <w:rFonts w:ascii="David" w:hAnsi="David"/>
            <w:b/>
            <w:bCs/>
            <w:color w:val="0000FF"/>
            <w:u w:val="single"/>
            <w:rtl/>
          </w:rPr>
          <w:t>ת"פ (ב"ש) 31479-11-20</w:t>
        </w:r>
      </w:hyperlink>
      <w:r w:rsidR="000D2A64" w:rsidRPr="002754B8">
        <w:rPr>
          <w:rFonts w:ascii="David" w:hAnsi="David"/>
          <w:b/>
          <w:bCs/>
          <w:rtl/>
        </w:rPr>
        <w:t xml:space="preserve"> מדינת ישראל נ' אבו סבית</w:t>
      </w:r>
      <w:r w:rsidR="000D2A64" w:rsidRPr="002754B8">
        <w:rPr>
          <w:rFonts w:ascii="David" w:hAnsi="David"/>
          <w:rtl/>
        </w:rPr>
        <w:t>, שם הטיל מותב זה 6 חודשי מאסר בגין החזקת כארבעה ק"ג חשיש, מתוך התחשבות מרובה בגיל ציר, היעדר עבר פלילי, נטילת אחריות שלמה ותסקיר חיובי מאד אשר המליץ על כך.</w:t>
      </w:r>
    </w:p>
    <w:p w14:paraId="3DC061A8" w14:textId="77777777" w:rsidR="000D2A64" w:rsidRPr="002754B8" w:rsidRDefault="000D2A64" w:rsidP="000D2A64">
      <w:pPr>
        <w:snapToGrid w:val="0"/>
        <w:ind w:left="720"/>
        <w:contextualSpacing/>
        <w:rPr>
          <w:rFonts w:ascii="David" w:hAnsi="David"/>
          <w:rtl/>
          <w:lang w:eastAsia="he-IL"/>
        </w:rPr>
      </w:pPr>
    </w:p>
    <w:p w14:paraId="186F3962" w14:textId="77777777" w:rsidR="000D2A64" w:rsidRPr="002754B8" w:rsidRDefault="00C04044" w:rsidP="000D2A64">
      <w:pPr>
        <w:numPr>
          <w:ilvl w:val="0"/>
          <w:numId w:val="2"/>
        </w:numPr>
        <w:spacing w:after="160" w:line="360" w:lineRule="auto"/>
        <w:contextualSpacing/>
        <w:jc w:val="both"/>
        <w:rPr>
          <w:rFonts w:ascii="David" w:hAnsi="David"/>
        </w:rPr>
      </w:pPr>
      <w:hyperlink r:id="rId31" w:history="1">
        <w:r w:rsidRPr="00C04044">
          <w:rPr>
            <w:rFonts w:ascii="David" w:hAnsi="David"/>
            <w:b/>
            <w:bCs/>
            <w:color w:val="0000FF"/>
            <w:u w:val="single"/>
            <w:rtl/>
          </w:rPr>
          <w:t>ת"פ (ב"ש) 19923-05-19</w:t>
        </w:r>
      </w:hyperlink>
      <w:r w:rsidR="000D2A64" w:rsidRPr="002754B8">
        <w:rPr>
          <w:rFonts w:ascii="David" w:hAnsi="David"/>
          <w:b/>
          <w:bCs/>
          <w:rtl/>
        </w:rPr>
        <w:t xml:space="preserve"> מדינת ישראל נ' אלאפשק </w:t>
      </w:r>
      <w:r w:rsidR="000D2A64" w:rsidRPr="002754B8">
        <w:rPr>
          <w:rFonts w:ascii="David" w:hAnsi="David"/>
          <w:rtl/>
        </w:rPr>
        <w:t xml:space="preserve">(5.1.21) שם הורשע הנאשם בהחזקת קנבוס במשקל של 1.7 ק"ג. על הנאשם, שהיה בעל הרשעות קודמות והוגש בעניינו תסקיר חיובי, הוטלו 6 חודשי מאסר בדרך של עבודות שירות. </w:t>
      </w:r>
    </w:p>
    <w:p w14:paraId="7DF925C9" w14:textId="77777777" w:rsidR="000D2A64" w:rsidRPr="002754B8" w:rsidRDefault="000D2A64" w:rsidP="000D2A64">
      <w:pPr>
        <w:snapToGrid w:val="0"/>
        <w:ind w:left="720"/>
        <w:contextualSpacing/>
        <w:rPr>
          <w:rFonts w:ascii="David" w:hAnsi="David"/>
          <w:b/>
          <w:bCs/>
          <w:rtl/>
        </w:rPr>
      </w:pPr>
    </w:p>
    <w:p w14:paraId="5A2B9145" w14:textId="77777777" w:rsidR="000D2A64" w:rsidRPr="002754B8" w:rsidRDefault="00C04044" w:rsidP="000D2A64">
      <w:pPr>
        <w:numPr>
          <w:ilvl w:val="0"/>
          <w:numId w:val="2"/>
        </w:numPr>
        <w:spacing w:after="160" w:line="360" w:lineRule="auto"/>
        <w:contextualSpacing/>
        <w:jc w:val="both"/>
        <w:rPr>
          <w:rFonts w:ascii="David" w:hAnsi="David"/>
          <w:b/>
          <w:bCs/>
          <w:rtl/>
        </w:rPr>
      </w:pPr>
      <w:hyperlink r:id="rId32" w:history="1">
        <w:r w:rsidRPr="00C04044">
          <w:rPr>
            <w:rFonts w:ascii="David" w:hAnsi="David"/>
            <w:b/>
            <w:bCs/>
            <w:color w:val="0000FF"/>
            <w:u w:val="single"/>
            <w:rtl/>
          </w:rPr>
          <w:t>ת"פ (ב"ש) 14782-06-18</w:t>
        </w:r>
      </w:hyperlink>
      <w:r w:rsidR="000D2A64" w:rsidRPr="002754B8">
        <w:rPr>
          <w:rFonts w:ascii="David" w:hAnsi="David"/>
          <w:b/>
          <w:bCs/>
          <w:rtl/>
        </w:rPr>
        <w:t xml:space="preserve"> מדינת ישראל נ' אלעול </w:t>
      </w:r>
      <w:r w:rsidR="000D2A64" w:rsidRPr="002754B8">
        <w:rPr>
          <w:rFonts w:ascii="David" w:hAnsi="David"/>
          <w:rtl/>
        </w:rPr>
        <w:t>(7.1.20) שם הורשע הנאשם בהחזקת 3.8 ק"ג קנבוס. על הנאשם, צעיר בן 23 ללא הרשעות קודמות ותסקיר חיובי, הוטלו 9 חודשי מאסר לריצוי בעבודות שירות</w:t>
      </w:r>
      <w:r w:rsidR="000D2A64" w:rsidRPr="002754B8">
        <w:rPr>
          <w:rFonts w:ascii="David" w:hAnsi="David"/>
          <w:b/>
          <w:bCs/>
          <w:rtl/>
        </w:rPr>
        <w:t>.</w:t>
      </w:r>
    </w:p>
    <w:p w14:paraId="5470EAA4" w14:textId="77777777" w:rsidR="000D2A64" w:rsidRPr="002754B8" w:rsidRDefault="000D2A64" w:rsidP="000D2A64">
      <w:pPr>
        <w:numPr>
          <w:ilvl w:val="0"/>
          <w:numId w:val="1"/>
        </w:numPr>
        <w:snapToGrid w:val="0"/>
        <w:spacing w:before="240" w:line="360" w:lineRule="auto"/>
        <w:contextualSpacing/>
        <w:jc w:val="both"/>
        <w:rPr>
          <w:rtl/>
          <w:lang w:eastAsia="he-IL"/>
        </w:rPr>
      </w:pPr>
      <w:r w:rsidRPr="002754B8">
        <w:rPr>
          <w:rtl/>
          <w:lang w:eastAsia="he-IL"/>
        </w:rPr>
        <w:t xml:space="preserve">בכל הנוגע </w:t>
      </w:r>
      <w:r w:rsidRPr="002754B8">
        <w:rPr>
          <w:b/>
          <w:bCs/>
          <w:rtl/>
          <w:lang w:eastAsia="he-IL"/>
        </w:rPr>
        <w:t>לעבירה של הפרעה לשוטר</w:t>
      </w:r>
      <w:r w:rsidRPr="002754B8">
        <w:rPr>
          <w:rtl/>
          <w:lang w:eastAsia="he-IL"/>
        </w:rPr>
        <w:t xml:space="preserve"> עולה מהפסיקה כי מתחם הענישה נע בין </w:t>
      </w:r>
      <w:r w:rsidRPr="002754B8">
        <w:rPr>
          <w:b/>
          <w:bCs/>
          <w:rtl/>
          <w:lang w:eastAsia="he-IL"/>
        </w:rPr>
        <w:t>מאסר מותנה ועד מספר חודשי מאסר שיכול וירוצו בעבודות שירות</w:t>
      </w:r>
      <w:r w:rsidRPr="002754B8">
        <w:rPr>
          <w:rtl/>
          <w:lang w:eastAsia="he-IL"/>
        </w:rPr>
        <w:t xml:space="preserve">, בכפוף לנסיבות המקרה וחומרתו, כך למשל ראו: </w:t>
      </w:r>
      <w:hyperlink r:id="rId33" w:history="1">
        <w:r w:rsidR="00C04044" w:rsidRPr="00C04044">
          <w:rPr>
            <w:color w:val="0000FF"/>
            <w:u w:val="single"/>
            <w:rtl/>
            <w:lang w:eastAsia="he-IL"/>
          </w:rPr>
          <w:t>ת"פ (ק"ג) 52781-10-18</w:t>
        </w:r>
      </w:hyperlink>
      <w:r w:rsidR="00C04044">
        <w:rPr>
          <w:rtl/>
          <w:lang w:eastAsia="he-IL"/>
        </w:rPr>
        <w:t xml:space="preserve"> </w:t>
      </w:r>
      <w:r w:rsidRPr="002754B8">
        <w:rPr>
          <w:b/>
          <w:bCs/>
          <w:rtl/>
          <w:lang w:eastAsia="he-IL"/>
        </w:rPr>
        <w:t>מדינת ישראל נ' משה אבאיוב</w:t>
      </w:r>
      <w:r w:rsidR="00C04044">
        <w:rPr>
          <w:rtl/>
          <w:lang w:eastAsia="he-IL"/>
        </w:rPr>
        <w:t xml:space="preserve"> </w:t>
      </w:r>
      <w:r w:rsidRPr="002754B8">
        <w:rPr>
          <w:rtl/>
          <w:lang w:eastAsia="he-IL"/>
        </w:rPr>
        <w:t xml:space="preserve">(19.02.2020); </w:t>
      </w:r>
      <w:hyperlink r:id="rId34" w:history="1">
        <w:r w:rsidR="00C04044" w:rsidRPr="00C04044">
          <w:rPr>
            <w:color w:val="0000FF"/>
            <w:u w:val="single"/>
            <w:rtl/>
            <w:lang w:eastAsia="he-IL"/>
          </w:rPr>
          <w:t>ת"פ (ק"ג) 22100-07-16</w:t>
        </w:r>
      </w:hyperlink>
      <w:r w:rsidRPr="002754B8">
        <w:rPr>
          <w:rtl/>
          <w:lang w:eastAsia="he-IL"/>
        </w:rPr>
        <w:t xml:space="preserve"> </w:t>
      </w:r>
      <w:r w:rsidRPr="002754B8">
        <w:rPr>
          <w:b/>
          <w:bCs/>
          <w:rtl/>
          <w:lang w:eastAsia="he-IL"/>
        </w:rPr>
        <w:t xml:space="preserve">מדינת ישראל נ' ניסים פרץ </w:t>
      </w:r>
      <w:r w:rsidRPr="002754B8">
        <w:rPr>
          <w:rtl/>
          <w:lang w:eastAsia="he-IL"/>
        </w:rPr>
        <w:t xml:space="preserve">(25.09.2019); </w:t>
      </w:r>
      <w:hyperlink r:id="rId35" w:history="1">
        <w:r w:rsidR="00C04044" w:rsidRPr="00C04044">
          <w:rPr>
            <w:color w:val="0000FF"/>
            <w:u w:val="single"/>
            <w:rtl/>
            <w:lang w:eastAsia="he-IL"/>
          </w:rPr>
          <w:t>ת"פ (י-ם) 15277-01-16</w:t>
        </w:r>
      </w:hyperlink>
      <w:r w:rsidRPr="002754B8">
        <w:rPr>
          <w:rtl/>
          <w:lang w:eastAsia="he-IL"/>
        </w:rPr>
        <w:t xml:space="preserve"> </w:t>
      </w:r>
      <w:r w:rsidRPr="002754B8">
        <w:rPr>
          <w:b/>
          <w:bCs/>
          <w:rtl/>
          <w:lang w:eastAsia="he-IL"/>
        </w:rPr>
        <w:t xml:space="preserve">מדינת ישראל נ' יוסי אילישייב </w:t>
      </w:r>
      <w:r w:rsidRPr="002754B8">
        <w:rPr>
          <w:rtl/>
          <w:lang w:eastAsia="he-IL"/>
        </w:rPr>
        <w:t>(03.01.2018).</w:t>
      </w:r>
    </w:p>
    <w:p w14:paraId="0AE688F9" w14:textId="77777777" w:rsidR="000D2A64" w:rsidRPr="002754B8" w:rsidRDefault="000D2A64" w:rsidP="000D2A64">
      <w:pPr>
        <w:snapToGrid w:val="0"/>
        <w:ind w:left="720"/>
        <w:contextualSpacing/>
        <w:rPr>
          <w:rFonts w:ascii="David" w:hAnsi="David"/>
          <w:b/>
          <w:bCs/>
          <w:rtl/>
          <w:lang w:eastAsia="he-IL"/>
        </w:rPr>
      </w:pPr>
    </w:p>
    <w:p w14:paraId="49216171" w14:textId="77777777" w:rsidR="000D2A64" w:rsidRPr="002754B8" w:rsidRDefault="000D2A64" w:rsidP="000D2A64">
      <w:pPr>
        <w:spacing w:after="160" w:line="360" w:lineRule="auto"/>
        <w:contextualSpacing/>
        <w:jc w:val="both"/>
        <w:rPr>
          <w:rFonts w:ascii="David" w:hAnsi="David"/>
          <w:b/>
          <w:bCs/>
          <w:rtl/>
        </w:rPr>
      </w:pPr>
      <w:r w:rsidRPr="002754B8">
        <w:rPr>
          <w:rFonts w:ascii="David" w:hAnsi="David"/>
          <w:b/>
          <w:bCs/>
          <w:rtl/>
        </w:rPr>
        <w:t>מכל האמור, אני קובעת כי מתחם העונש ההולם לתיק העיקרי בענייננו הוא 6-18  חודשי מאסר בפועל, בצירוף עונשים נלווים. בשים לב לקנסות שהוטלו בפסקי הדין השונים, הנגזרים גם משווי הסם המוחזק, יש לקבוע מתחם קנס של 5,000 – 15,000 ש"ח.</w:t>
      </w:r>
    </w:p>
    <w:p w14:paraId="20A4139B" w14:textId="77777777" w:rsidR="000D2A64" w:rsidRPr="002754B8" w:rsidRDefault="000D2A64" w:rsidP="000D2A64">
      <w:pPr>
        <w:spacing w:after="160" w:line="360" w:lineRule="auto"/>
        <w:jc w:val="both"/>
        <w:rPr>
          <w:rFonts w:ascii="David" w:hAnsi="David"/>
          <w:b/>
          <w:bCs/>
          <w:rtl/>
        </w:rPr>
      </w:pPr>
    </w:p>
    <w:p w14:paraId="5190D5D5" w14:textId="77777777" w:rsidR="000D2A64" w:rsidRPr="002754B8" w:rsidRDefault="000D2A64" w:rsidP="000D2A64">
      <w:pPr>
        <w:spacing w:after="160" w:line="360" w:lineRule="auto"/>
        <w:jc w:val="both"/>
        <w:rPr>
          <w:rFonts w:ascii="David" w:hAnsi="David"/>
          <w:b/>
          <w:bCs/>
          <w:rtl/>
        </w:rPr>
      </w:pPr>
      <w:r w:rsidRPr="002754B8">
        <w:rPr>
          <w:rFonts w:ascii="David" w:hAnsi="David"/>
          <w:b/>
          <w:bCs/>
          <w:rtl/>
        </w:rPr>
        <w:t>ביחס לתיק המצורף מתחם העונש ההולם הוא מאסר על תנאי ועד 6 חודשי מאסר בפועל ומתחם הקנס הוא 1,000-3,000 ₪.</w:t>
      </w:r>
    </w:p>
    <w:p w14:paraId="3C6832E2" w14:textId="77777777" w:rsidR="000D2A64" w:rsidRPr="000D2A64" w:rsidRDefault="000D2A64" w:rsidP="000D2A64">
      <w:pPr>
        <w:spacing w:after="160" w:line="360" w:lineRule="auto"/>
        <w:jc w:val="both"/>
        <w:rPr>
          <w:rFonts w:ascii="Calibri" w:hAnsi="Calibri"/>
          <w:b/>
          <w:bCs/>
          <w:u w:val="single"/>
          <w:rtl/>
        </w:rPr>
      </w:pPr>
      <w:r w:rsidRPr="000D2A64">
        <w:rPr>
          <w:rFonts w:ascii="Calibri" w:hAnsi="Calibri" w:hint="eastAsia"/>
          <w:b/>
          <w:bCs/>
          <w:u w:val="single"/>
          <w:rtl/>
        </w:rPr>
        <w:t>קביעת</w:t>
      </w:r>
      <w:r w:rsidRPr="000D2A64">
        <w:rPr>
          <w:rFonts w:ascii="Calibri" w:hAnsi="Calibri"/>
          <w:b/>
          <w:bCs/>
          <w:u w:val="single"/>
          <w:rtl/>
        </w:rPr>
        <w:t xml:space="preserve"> </w:t>
      </w:r>
      <w:r w:rsidRPr="000D2A64">
        <w:rPr>
          <w:rFonts w:ascii="Calibri" w:hAnsi="Calibri" w:hint="eastAsia"/>
          <w:b/>
          <w:bCs/>
          <w:u w:val="single"/>
          <w:rtl/>
        </w:rPr>
        <w:t>העונש</w:t>
      </w:r>
      <w:r w:rsidRPr="000D2A64">
        <w:rPr>
          <w:rFonts w:ascii="Calibri" w:hAnsi="Calibri"/>
          <w:b/>
          <w:bCs/>
          <w:u w:val="single"/>
          <w:rtl/>
        </w:rPr>
        <w:t xml:space="preserve"> </w:t>
      </w:r>
      <w:r w:rsidRPr="000D2A64">
        <w:rPr>
          <w:rFonts w:ascii="Calibri" w:hAnsi="Calibri" w:hint="eastAsia"/>
          <w:b/>
          <w:bCs/>
          <w:u w:val="single"/>
          <w:rtl/>
        </w:rPr>
        <w:t>המתאים</w:t>
      </w:r>
      <w:r w:rsidRPr="000D2A64">
        <w:rPr>
          <w:rFonts w:ascii="Calibri" w:hAnsi="Calibri"/>
          <w:b/>
          <w:bCs/>
          <w:u w:val="single"/>
          <w:rtl/>
        </w:rPr>
        <w:t xml:space="preserve"> </w:t>
      </w:r>
      <w:r w:rsidRPr="000D2A64">
        <w:rPr>
          <w:rFonts w:ascii="Calibri" w:hAnsi="Calibri" w:hint="eastAsia"/>
          <w:b/>
          <w:bCs/>
          <w:u w:val="single"/>
          <w:rtl/>
        </w:rPr>
        <w:t>בגדרי</w:t>
      </w:r>
      <w:r w:rsidRPr="000D2A64">
        <w:rPr>
          <w:rFonts w:ascii="Calibri" w:hAnsi="Calibri"/>
          <w:b/>
          <w:bCs/>
          <w:u w:val="single"/>
          <w:rtl/>
        </w:rPr>
        <w:t xml:space="preserve"> </w:t>
      </w:r>
      <w:r w:rsidRPr="000D2A64">
        <w:rPr>
          <w:rFonts w:ascii="Calibri" w:hAnsi="Calibri" w:hint="eastAsia"/>
          <w:b/>
          <w:bCs/>
          <w:u w:val="single"/>
          <w:rtl/>
        </w:rPr>
        <w:t>המתחם</w:t>
      </w:r>
    </w:p>
    <w:p w14:paraId="0474CE2A" w14:textId="77777777" w:rsidR="000D2A64" w:rsidRPr="002754B8" w:rsidRDefault="000D2A64" w:rsidP="000D2A64">
      <w:pPr>
        <w:numPr>
          <w:ilvl w:val="0"/>
          <w:numId w:val="1"/>
        </w:numPr>
        <w:snapToGrid w:val="0"/>
        <w:spacing w:line="360" w:lineRule="auto"/>
        <w:contextualSpacing/>
        <w:jc w:val="both"/>
        <w:rPr>
          <w:lang w:eastAsia="he-IL"/>
        </w:rPr>
      </w:pPr>
      <w:r w:rsidRPr="002754B8">
        <w:rPr>
          <w:rtl/>
          <w:lang w:eastAsia="he-I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1015CE5E" w14:textId="77777777" w:rsidR="000D2A64" w:rsidRPr="002754B8" w:rsidRDefault="000D2A64" w:rsidP="000D2A64">
      <w:pPr>
        <w:numPr>
          <w:ilvl w:val="0"/>
          <w:numId w:val="1"/>
        </w:numPr>
        <w:snapToGrid w:val="0"/>
        <w:spacing w:line="360" w:lineRule="auto"/>
        <w:contextualSpacing/>
        <w:jc w:val="both"/>
        <w:rPr>
          <w:lang w:eastAsia="he-IL"/>
        </w:rPr>
      </w:pPr>
      <w:r w:rsidRPr="002754B8">
        <w:rPr>
          <w:rtl/>
          <w:lang w:eastAsia="he-IL"/>
        </w:rPr>
        <w:t>לקחתי בחשבון כי הנאשם צירף תיק נוסף, הודה בשני התיקים ובכך חסך זמן שיפוטי יקר.</w:t>
      </w:r>
    </w:p>
    <w:p w14:paraId="2F9AACF6" w14:textId="77777777" w:rsidR="000D2A64" w:rsidRPr="002754B8" w:rsidRDefault="000D2A64" w:rsidP="000D2A64">
      <w:pPr>
        <w:numPr>
          <w:ilvl w:val="0"/>
          <w:numId w:val="1"/>
        </w:numPr>
        <w:snapToGrid w:val="0"/>
        <w:spacing w:line="360" w:lineRule="auto"/>
        <w:contextualSpacing/>
        <w:jc w:val="both"/>
        <w:rPr>
          <w:lang w:eastAsia="he-IL"/>
        </w:rPr>
      </w:pPr>
      <w:r w:rsidRPr="002754B8">
        <w:rPr>
          <w:rtl/>
          <w:lang w:eastAsia="he-IL"/>
        </w:rPr>
        <w:t>לקחתי בחשבון, במידה מסויימת ככל שהתסקיר מאפשר זאת, כי יש בהודאת הנאשם גם נטילת אחריות אמיתית וחרטה על עצם ביצוע העבירות.</w:t>
      </w:r>
    </w:p>
    <w:p w14:paraId="5BEA37C7" w14:textId="77777777" w:rsidR="000D2A64" w:rsidRPr="002754B8" w:rsidRDefault="000D2A64" w:rsidP="000D2A64">
      <w:pPr>
        <w:numPr>
          <w:ilvl w:val="0"/>
          <w:numId w:val="1"/>
        </w:numPr>
        <w:snapToGrid w:val="0"/>
        <w:spacing w:line="360" w:lineRule="auto"/>
        <w:contextualSpacing/>
        <w:jc w:val="both"/>
        <w:rPr>
          <w:lang w:eastAsia="he-IL"/>
        </w:rPr>
      </w:pPr>
      <w:r w:rsidRPr="002754B8">
        <w:rPr>
          <w:rtl/>
          <w:lang w:eastAsia="he-IL"/>
        </w:rPr>
        <w:t>לקחתי בחשבון את דברי הנאשם כי הוא מעוניין בקידום אורח חיים נורמטיבי. מעבר לכך, לא ניתן לשקול שיקולים אלה לזכות הנאשם שכן שלל נזקקות טיפולית ודבריו לשירות המבחן לגבי מאמצי השיקום בכלא התבררו כלא מדויקים.</w:t>
      </w:r>
    </w:p>
    <w:p w14:paraId="436AA209" w14:textId="77777777" w:rsidR="000D2A64" w:rsidRPr="002754B8" w:rsidRDefault="000D2A64" w:rsidP="000D2A64">
      <w:pPr>
        <w:numPr>
          <w:ilvl w:val="0"/>
          <w:numId w:val="1"/>
        </w:numPr>
        <w:snapToGrid w:val="0"/>
        <w:spacing w:line="360" w:lineRule="auto"/>
        <w:contextualSpacing/>
        <w:jc w:val="both"/>
        <w:rPr>
          <w:lang w:eastAsia="he-IL"/>
        </w:rPr>
      </w:pPr>
      <w:r w:rsidRPr="002754B8">
        <w:rPr>
          <w:sz w:val="20"/>
          <w:rtl/>
          <w:lang w:eastAsia="he-IL"/>
        </w:rPr>
        <w:t>בנסיבות אלה, יש להטיל על הנאשם עונש ברף הבינוני-נמוך של מתחם העונש ועונשים נלווים.</w:t>
      </w:r>
    </w:p>
    <w:p w14:paraId="6CD71DD1" w14:textId="77777777" w:rsidR="000D2A64" w:rsidRPr="002754B8" w:rsidRDefault="000D2A64" w:rsidP="000D2A64">
      <w:pPr>
        <w:spacing w:after="160" w:line="360" w:lineRule="auto"/>
        <w:jc w:val="both"/>
        <w:rPr>
          <w:rFonts w:ascii="David" w:hAnsi="David"/>
          <w:b/>
          <w:bCs/>
          <w:u w:val="single"/>
          <w:rtl/>
        </w:rPr>
      </w:pPr>
    </w:p>
    <w:p w14:paraId="139FC002" w14:textId="77777777" w:rsidR="000D2A64" w:rsidRPr="002754B8" w:rsidRDefault="000D2A64" w:rsidP="000D2A64">
      <w:pPr>
        <w:spacing w:after="160" w:line="360" w:lineRule="auto"/>
        <w:jc w:val="both"/>
        <w:rPr>
          <w:rFonts w:ascii="David" w:hAnsi="David"/>
          <w:b/>
          <w:bCs/>
          <w:u w:val="single"/>
          <w:rtl/>
        </w:rPr>
      </w:pPr>
      <w:r w:rsidRPr="002754B8">
        <w:rPr>
          <w:rFonts w:ascii="David" w:hAnsi="David"/>
          <w:b/>
          <w:bCs/>
          <w:u w:val="single"/>
          <w:rtl/>
        </w:rPr>
        <w:t>סוף דבר:</w:t>
      </w:r>
    </w:p>
    <w:p w14:paraId="7295C18C" w14:textId="77777777" w:rsidR="000D2A64" w:rsidRPr="002754B8" w:rsidRDefault="000D2A64" w:rsidP="000D2A64">
      <w:pPr>
        <w:numPr>
          <w:ilvl w:val="0"/>
          <w:numId w:val="1"/>
        </w:numPr>
        <w:snapToGrid w:val="0"/>
        <w:spacing w:line="360" w:lineRule="auto"/>
        <w:contextualSpacing/>
        <w:jc w:val="both"/>
        <w:rPr>
          <w:rtl/>
          <w:lang w:eastAsia="he-IL"/>
        </w:rPr>
      </w:pPr>
      <w:r w:rsidRPr="002754B8">
        <w:rPr>
          <w:rtl/>
          <w:lang w:eastAsia="he-IL"/>
        </w:rPr>
        <w:t>לאחר ששקלתי את מכלול השיקולים כמפורט לעיל אני מטילה על הנאשם את העונשים הבאים:</w:t>
      </w:r>
    </w:p>
    <w:p w14:paraId="762F1A3B" w14:textId="77777777" w:rsidR="000D2A64" w:rsidRPr="002754B8" w:rsidRDefault="000D2A64" w:rsidP="000D2A64">
      <w:pPr>
        <w:numPr>
          <w:ilvl w:val="0"/>
          <w:numId w:val="3"/>
        </w:numPr>
        <w:spacing w:after="160" w:line="360" w:lineRule="auto"/>
        <w:contextualSpacing/>
        <w:jc w:val="both"/>
        <w:rPr>
          <w:rFonts w:ascii="Arial" w:hAnsi="Arial"/>
        </w:rPr>
      </w:pPr>
      <w:r w:rsidRPr="002754B8">
        <w:rPr>
          <w:rFonts w:ascii="Arial" w:hAnsi="Arial"/>
          <w:rtl/>
        </w:rPr>
        <w:t>10 חודשי מאסר בפועל, בניכוי ימי מעצרו בהתאם לרישומי שב"ס.</w:t>
      </w:r>
    </w:p>
    <w:p w14:paraId="080E4BBD" w14:textId="77777777" w:rsidR="000D2A64" w:rsidRPr="002754B8" w:rsidRDefault="000D2A64" w:rsidP="000D2A64">
      <w:pPr>
        <w:numPr>
          <w:ilvl w:val="0"/>
          <w:numId w:val="3"/>
        </w:numPr>
        <w:spacing w:after="160" w:line="360" w:lineRule="auto"/>
        <w:contextualSpacing/>
        <w:jc w:val="both"/>
        <w:rPr>
          <w:rFonts w:ascii="Arial" w:hAnsi="Arial"/>
          <w:rtl/>
        </w:rPr>
      </w:pPr>
      <w:r w:rsidRPr="002754B8">
        <w:rPr>
          <w:rFonts w:ascii="Arial" w:hAnsi="Arial"/>
          <w:rtl/>
        </w:rPr>
        <w:t>מאסר על תנאי לתקופה של 3 חודשים. המאסר המותנה יופעל אם תוך תקופה של 3 שנים מיום שחרורו, יעבור הנאשם עבירת סמים מסוג עוון.</w:t>
      </w:r>
    </w:p>
    <w:p w14:paraId="277C4058" w14:textId="77777777" w:rsidR="000D2A64" w:rsidRPr="002754B8" w:rsidRDefault="000D2A64" w:rsidP="000D2A64">
      <w:pPr>
        <w:numPr>
          <w:ilvl w:val="0"/>
          <w:numId w:val="3"/>
        </w:numPr>
        <w:spacing w:after="160" w:line="360" w:lineRule="auto"/>
        <w:contextualSpacing/>
        <w:jc w:val="both"/>
        <w:rPr>
          <w:rFonts w:ascii="Arial" w:hAnsi="Arial"/>
          <w:rtl/>
        </w:rPr>
      </w:pPr>
      <w:r w:rsidRPr="002754B8">
        <w:rPr>
          <w:rFonts w:ascii="Arial" w:hAnsi="Arial"/>
          <w:rtl/>
        </w:rPr>
        <w:t>מאסר על תנאי לתקופה של 6 חודשים המאסר המותנה יופעל אם תוך תקופה של 3 שנים מיום שחרורו, יעבור הנאשם  עבירת סמים מסוג פשע.</w:t>
      </w:r>
    </w:p>
    <w:p w14:paraId="64BD29A9" w14:textId="77777777" w:rsidR="000D2A64" w:rsidRPr="002754B8" w:rsidRDefault="000D2A64" w:rsidP="000D2A64">
      <w:pPr>
        <w:numPr>
          <w:ilvl w:val="0"/>
          <w:numId w:val="3"/>
        </w:numPr>
        <w:spacing w:after="160" w:line="360" w:lineRule="auto"/>
        <w:contextualSpacing/>
        <w:jc w:val="both"/>
        <w:rPr>
          <w:rFonts w:ascii="Arial" w:hAnsi="Arial"/>
        </w:rPr>
      </w:pPr>
      <w:r w:rsidRPr="002754B8">
        <w:rPr>
          <w:rFonts w:ascii="Arial" w:hAnsi="Arial"/>
          <w:rtl/>
        </w:rPr>
        <w:t xml:space="preserve">קנס בסך 6,000 ₪ או 30 ימי מאסר תמורתו. הקנס ישולם ב- 12 תשלומים חודשיים שווים ורצופים, החל מיום 1.11.2021. תשומת לב הנאשם, כי אי עמידה בתשלום תביא להעמדת הסכום כולו לפירעון. </w:t>
      </w:r>
    </w:p>
    <w:p w14:paraId="47F4335A" w14:textId="77777777" w:rsidR="000D2A64" w:rsidRPr="000D2A64" w:rsidRDefault="000D2A64" w:rsidP="000D2A64">
      <w:pPr>
        <w:spacing w:after="160" w:line="360" w:lineRule="auto"/>
        <w:jc w:val="both"/>
        <w:rPr>
          <w:rFonts w:ascii="Calibri" w:hAnsi="Calibri"/>
          <w:rtl/>
        </w:rPr>
      </w:pPr>
    </w:p>
    <w:p w14:paraId="7E62E04E" w14:textId="77777777" w:rsidR="000D2A64" w:rsidRPr="000D2A64" w:rsidRDefault="00C04044" w:rsidP="000D2A64">
      <w:pPr>
        <w:spacing w:after="160" w:line="360" w:lineRule="auto"/>
        <w:jc w:val="both"/>
        <w:rPr>
          <w:rFonts w:ascii="Calibri" w:hAnsi="Calibri"/>
          <w:b/>
          <w:bCs/>
          <w:rtl/>
        </w:rPr>
      </w:pPr>
      <w:r w:rsidRPr="00C04044">
        <w:rPr>
          <w:rFonts w:ascii="Calibri" w:hAnsi="Calibri"/>
          <w:b/>
          <w:bCs/>
          <w:color w:val="FFFFFF"/>
          <w:sz w:val="2"/>
          <w:szCs w:val="2"/>
          <w:rtl/>
        </w:rPr>
        <w:t>5129371</w:t>
      </w:r>
      <w:r w:rsidR="000D2A64" w:rsidRPr="000D2A64">
        <w:rPr>
          <w:rFonts w:ascii="Calibri" w:hAnsi="Calibri" w:hint="eastAsia"/>
          <w:b/>
          <w:bCs/>
          <w:rtl/>
        </w:rPr>
        <w:t>ניתן</w:t>
      </w:r>
      <w:r w:rsidR="000D2A64" w:rsidRPr="000D2A64">
        <w:rPr>
          <w:rFonts w:ascii="Calibri" w:hAnsi="Calibri"/>
          <w:b/>
          <w:bCs/>
          <w:rtl/>
        </w:rPr>
        <w:t xml:space="preserve"> </w:t>
      </w:r>
      <w:r w:rsidR="000D2A64" w:rsidRPr="000D2A64">
        <w:rPr>
          <w:rFonts w:ascii="Calibri" w:hAnsi="Calibri" w:hint="eastAsia"/>
          <w:b/>
          <w:bCs/>
          <w:rtl/>
        </w:rPr>
        <w:t>בזאת</w:t>
      </w:r>
      <w:r w:rsidR="000D2A64" w:rsidRPr="000D2A64">
        <w:rPr>
          <w:rFonts w:ascii="Calibri" w:hAnsi="Calibri"/>
          <w:b/>
          <w:bCs/>
          <w:rtl/>
        </w:rPr>
        <w:t xml:space="preserve"> </w:t>
      </w:r>
      <w:r w:rsidR="000D2A64" w:rsidRPr="000D2A64">
        <w:rPr>
          <w:rFonts w:ascii="Calibri" w:hAnsi="Calibri" w:hint="eastAsia"/>
          <w:b/>
          <w:bCs/>
          <w:rtl/>
        </w:rPr>
        <w:t>צו</w:t>
      </w:r>
      <w:r w:rsidR="000D2A64" w:rsidRPr="000D2A64">
        <w:rPr>
          <w:rFonts w:ascii="Calibri" w:hAnsi="Calibri"/>
          <w:b/>
          <w:bCs/>
          <w:rtl/>
        </w:rPr>
        <w:t xml:space="preserve"> </w:t>
      </w:r>
      <w:r w:rsidR="000D2A64" w:rsidRPr="000D2A64">
        <w:rPr>
          <w:rFonts w:ascii="Calibri" w:hAnsi="Calibri" w:hint="eastAsia"/>
          <w:b/>
          <w:bCs/>
          <w:rtl/>
        </w:rPr>
        <w:t>להשמדת</w:t>
      </w:r>
      <w:r w:rsidR="000D2A64" w:rsidRPr="000D2A64">
        <w:rPr>
          <w:rFonts w:ascii="Calibri" w:hAnsi="Calibri"/>
          <w:b/>
          <w:bCs/>
          <w:rtl/>
        </w:rPr>
        <w:t xml:space="preserve"> </w:t>
      </w:r>
      <w:r w:rsidR="000D2A64" w:rsidRPr="000D2A64">
        <w:rPr>
          <w:rFonts w:ascii="Calibri" w:hAnsi="Calibri" w:hint="eastAsia"/>
          <w:b/>
          <w:bCs/>
          <w:rtl/>
        </w:rPr>
        <w:t>מוצג</w:t>
      </w:r>
      <w:r w:rsidR="000D2A64" w:rsidRPr="000D2A64">
        <w:rPr>
          <w:rFonts w:ascii="Calibri" w:hAnsi="Calibri"/>
          <w:b/>
          <w:bCs/>
          <w:rtl/>
        </w:rPr>
        <w:t xml:space="preserve"> – </w:t>
      </w:r>
      <w:r w:rsidR="000D2A64" w:rsidRPr="000D2A64">
        <w:rPr>
          <w:rFonts w:ascii="Calibri" w:hAnsi="Calibri" w:hint="eastAsia"/>
          <w:b/>
          <w:bCs/>
          <w:rtl/>
        </w:rPr>
        <w:t>סמים</w:t>
      </w:r>
      <w:r w:rsidR="000D2A64" w:rsidRPr="000D2A64">
        <w:rPr>
          <w:rFonts w:ascii="Calibri" w:hAnsi="Calibri"/>
          <w:b/>
          <w:bCs/>
          <w:rtl/>
        </w:rPr>
        <w:t xml:space="preserve"> </w:t>
      </w:r>
      <w:r w:rsidR="000D2A64" w:rsidRPr="000D2A64">
        <w:rPr>
          <w:rFonts w:ascii="Calibri" w:hAnsi="Calibri" w:hint="eastAsia"/>
          <w:b/>
          <w:bCs/>
          <w:rtl/>
        </w:rPr>
        <w:t>בכפוף</w:t>
      </w:r>
      <w:r w:rsidR="000D2A64" w:rsidRPr="000D2A64">
        <w:rPr>
          <w:rFonts w:ascii="Calibri" w:hAnsi="Calibri"/>
          <w:b/>
          <w:bCs/>
          <w:rtl/>
        </w:rPr>
        <w:t xml:space="preserve"> </w:t>
      </w:r>
      <w:r w:rsidR="000D2A64" w:rsidRPr="000D2A64">
        <w:rPr>
          <w:rFonts w:ascii="Calibri" w:hAnsi="Calibri" w:hint="eastAsia"/>
          <w:b/>
          <w:bCs/>
          <w:rtl/>
        </w:rPr>
        <w:t>לחלוף</w:t>
      </w:r>
      <w:r w:rsidR="000D2A64" w:rsidRPr="000D2A64">
        <w:rPr>
          <w:rFonts w:ascii="Calibri" w:hAnsi="Calibri"/>
          <w:b/>
          <w:bCs/>
          <w:rtl/>
        </w:rPr>
        <w:t xml:space="preserve"> </w:t>
      </w:r>
      <w:r w:rsidR="000D2A64" w:rsidRPr="000D2A64">
        <w:rPr>
          <w:rFonts w:ascii="Calibri" w:hAnsi="Calibri" w:hint="eastAsia"/>
          <w:b/>
          <w:bCs/>
          <w:rtl/>
        </w:rPr>
        <w:t>תקופת</w:t>
      </w:r>
      <w:r w:rsidR="000D2A64" w:rsidRPr="000D2A64">
        <w:rPr>
          <w:rFonts w:ascii="Calibri" w:hAnsi="Calibri"/>
          <w:b/>
          <w:bCs/>
          <w:rtl/>
        </w:rPr>
        <w:t xml:space="preserve"> </w:t>
      </w:r>
      <w:r w:rsidR="000D2A64" w:rsidRPr="000D2A64">
        <w:rPr>
          <w:rFonts w:ascii="Calibri" w:hAnsi="Calibri" w:hint="eastAsia"/>
          <w:b/>
          <w:bCs/>
          <w:rtl/>
        </w:rPr>
        <w:t>הערעור</w:t>
      </w:r>
      <w:r w:rsidR="000D2A64" w:rsidRPr="000D2A64">
        <w:rPr>
          <w:rFonts w:ascii="Calibri" w:hAnsi="Calibri"/>
          <w:b/>
          <w:bCs/>
          <w:rtl/>
        </w:rPr>
        <w:t>.</w:t>
      </w:r>
    </w:p>
    <w:p w14:paraId="3243FDA8" w14:textId="77777777" w:rsidR="000D2A64" w:rsidRPr="000D2A64" w:rsidRDefault="00C04044" w:rsidP="000D2A64">
      <w:pPr>
        <w:spacing w:after="160" w:line="360" w:lineRule="auto"/>
        <w:jc w:val="both"/>
        <w:rPr>
          <w:rFonts w:ascii="Calibri" w:hAnsi="Calibri"/>
          <w:b/>
          <w:bCs/>
        </w:rPr>
      </w:pPr>
      <w:r w:rsidRPr="00C04044">
        <w:rPr>
          <w:rFonts w:ascii="Calibri" w:hAnsi="Calibri"/>
          <w:b/>
          <w:bCs/>
          <w:color w:val="FFFFFF"/>
          <w:sz w:val="2"/>
          <w:szCs w:val="2"/>
          <w:rtl/>
        </w:rPr>
        <w:t>54678313</w:t>
      </w:r>
      <w:r w:rsidR="000D2A64" w:rsidRPr="000D2A64">
        <w:rPr>
          <w:rFonts w:ascii="Calibri" w:hAnsi="Calibri" w:hint="eastAsia"/>
          <w:b/>
          <w:bCs/>
          <w:rtl/>
        </w:rPr>
        <w:t>זכות</w:t>
      </w:r>
      <w:r w:rsidR="000D2A64" w:rsidRPr="000D2A64">
        <w:rPr>
          <w:rFonts w:ascii="Calibri" w:hAnsi="Calibri"/>
          <w:b/>
          <w:bCs/>
          <w:rtl/>
        </w:rPr>
        <w:t xml:space="preserve"> </w:t>
      </w:r>
      <w:r w:rsidR="000D2A64" w:rsidRPr="000D2A64">
        <w:rPr>
          <w:rFonts w:ascii="Calibri" w:hAnsi="Calibri" w:hint="eastAsia"/>
          <w:b/>
          <w:bCs/>
          <w:rtl/>
        </w:rPr>
        <w:t>ערעור</w:t>
      </w:r>
      <w:r w:rsidR="000D2A64" w:rsidRPr="000D2A64">
        <w:rPr>
          <w:rFonts w:ascii="Calibri" w:hAnsi="Calibri"/>
          <w:b/>
          <w:bCs/>
          <w:rtl/>
        </w:rPr>
        <w:t xml:space="preserve"> </w:t>
      </w:r>
      <w:r w:rsidR="000D2A64" w:rsidRPr="000D2A64">
        <w:rPr>
          <w:rFonts w:ascii="Calibri" w:hAnsi="Calibri" w:hint="eastAsia"/>
          <w:b/>
          <w:bCs/>
          <w:rtl/>
        </w:rPr>
        <w:t>כחוק</w:t>
      </w:r>
      <w:r w:rsidR="000D2A64" w:rsidRPr="000D2A64">
        <w:rPr>
          <w:rFonts w:ascii="Calibri" w:hAnsi="Calibri"/>
          <w:b/>
          <w:bCs/>
          <w:rtl/>
        </w:rPr>
        <w:t>.</w:t>
      </w:r>
    </w:p>
    <w:p w14:paraId="7566F077" w14:textId="77777777" w:rsidR="000D2A64" w:rsidRPr="000D2A64" w:rsidRDefault="000D2A64" w:rsidP="000D2A64">
      <w:pPr>
        <w:spacing w:after="160" w:line="259" w:lineRule="auto"/>
        <w:rPr>
          <w:rFonts w:ascii="Calibri" w:hAnsi="Calibri" w:cs="Arial"/>
          <w:sz w:val="22"/>
          <w:szCs w:val="22"/>
        </w:rPr>
      </w:pPr>
    </w:p>
    <w:p w14:paraId="09240EA7" w14:textId="77777777" w:rsidR="000D2A64" w:rsidRPr="002B7D23" w:rsidRDefault="00C04044" w:rsidP="000D2A64">
      <w:pPr>
        <w:rPr>
          <w:rFonts w:ascii="David" w:hAnsi="David"/>
          <w:sz w:val="26"/>
          <w:szCs w:val="26"/>
          <w:rtl/>
        </w:rPr>
      </w:pPr>
      <w:bookmarkStart w:id="8" w:name="Nitan"/>
      <w:r>
        <w:rPr>
          <w:rFonts w:ascii="David" w:hAnsi="David"/>
          <w:b/>
          <w:bCs/>
          <w:sz w:val="26"/>
          <w:szCs w:val="26"/>
          <w:rtl/>
        </w:rPr>
        <w:t xml:space="preserve">ניתן היום,  א' אלול תשפ"א, 09 אוגוסט 2021, במעמד הצדדים. </w:t>
      </w:r>
      <w:bookmarkEnd w:id="8"/>
    </w:p>
    <w:p w14:paraId="4752D53D" w14:textId="77777777" w:rsidR="000D2A64" w:rsidRPr="002B7D23" w:rsidRDefault="000D2A64" w:rsidP="00C04044">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FCB6452" w14:textId="77777777" w:rsidR="000D2A64" w:rsidRPr="002D5108" w:rsidRDefault="002D5108" w:rsidP="000D2A64">
      <w:pPr>
        <w:jc w:val="center"/>
        <w:rPr>
          <w:rFonts w:ascii="David" w:hAnsi="David"/>
          <w:color w:val="FFFFFF"/>
          <w:sz w:val="2"/>
          <w:szCs w:val="2"/>
          <w:rtl/>
        </w:rPr>
      </w:pPr>
      <w:r w:rsidRPr="002D5108">
        <w:rPr>
          <w:rFonts w:ascii="David" w:hAnsi="David"/>
          <w:color w:val="FFFFFF"/>
          <w:sz w:val="2"/>
          <w:szCs w:val="2"/>
          <w:rtl/>
        </w:rPr>
        <w:t>5129371</w:t>
      </w:r>
    </w:p>
    <w:p w14:paraId="48D46B7D" w14:textId="77777777" w:rsidR="00CA38A6" w:rsidRPr="002D5108" w:rsidRDefault="002D5108" w:rsidP="00C04044">
      <w:pPr>
        <w:keepNext/>
        <w:rPr>
          <w:rFonts w:ascii="David" w:hAnsi="David"/>
          <w:color w:val="FFFFFF"/>
          <w:sz w:val="2"/>
          <w:szCs w:val="2"/>
          <w:rtl/>
        </w:rPr>
      </w:pPr>
      <w:r w:rsidRPr="002D5108">
        <w:rPr>
          <w:rFonts w:ascii="David" w:hAnsi="David"/>
          <w:color w:val="FFFFFF"/>
          <w:sz w:val="2"/>
          <w:szCs w:val="2"/>
          <w:rtl/>
        </w:rPr>
        <w:t>54678313</w:t>
      </w:r>
    </w:p>
    <w:p w14:paraId="182C821D" w14:textId="77777777" w:rsidR="00C04044" w:rsidRDefault="00C04044" w:rsidP="00C04044">
      <w:pPr>
        <w:rPr>
          <w:rtl/>
        </w:rPr>
      </w:pPr>
    </w:p>
    <w:p w14:paraId="7E8854FE" w14:textId="77777777" w:rsidR="00C04044" w:rsidRDefault="00C04044" w:rsidP="00C04044">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F3198E5" w14:textId="77777777" w:rsidR="002D5108" w:rsidRPr="002D5108" w:rsidRDefault="002D5108" w:rsidP="002D5108">
      <w:pPr>
        <w:keepNext/>
        <w:rPr>
          <w:rFonts w:ascii="David" w:hAnsi="David"/>
          <w:color w:val="000000"/>
          <w:sz w:val="22"/>
          <w:szCs w:val="22"/>
          <w:rtl/>
        </w:rPr>
      </w:pPr>
    </w:p>
    <w:p w14:paraId="3CC37683" w14:textId="77777777" w:rsidR="002D5108" w:rsidRPr="002D5108" w:rsidRDefault="002D5108" w:rsidP="002D5108">
      <w:pPr>
        <w:keepNext/>
        <w:rPr>
          <w:rFonts w:ascii="David" w:hAnsi="David"/>
          <w:color w:val="000000"/>
          <w:sz w:val="22"/>
          <w:szCs w:val="22"/>
          <w:rtl/>
        </w:rPr>
      </w:pPr>
      <w:r w:rsidRPr="002D5108">
        <w:rPr>
          <w:rFonts w:ascii="David" w:hAnsi="David"/>
          <w:color w:val="000000"/>
          <w:sz w:val="22"/>
          <w:szCs w:val="22"/>
          <w:rtl/>
        </w:rPr>
        <w:t>ענת חולתא 54678313-/</w:t>
      </w:r>
    </w:p>
    <w:p w14:paraId="31A659F4" w14:textId="77777777" w:rsidR="00C04044" w:rsidRPr="00C04044" w:rsidRDefault="002D5108" w:rsidP="002D5108">
      <w:pPr>
        <w:rPr>
          <w:color w:val="0000FF"/>
          <w:u w:val="single"/>
        </w:rPr>
      </w:pPr>
      <w:r w:rsidRPr="002D5108">
        <w:rPr>
          <w:color w:val="000000"/>
          <w:u w:val="single"/>
          <w:rtl/>
        </w:rPr>
        <w:t>נוסח מסמך זה כפוף לשינויי ניסוח ועריכה</w:t>
      </w:r>
    </w:p>
    <w:sectPr w:rsidR="00C04044" w:rsidRPr="00C04044" w:rsidSect="002D5108">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26525" w14:textId="77777777" w:rsidR="00436296" w:rsidRDefault="00436296" w:rsidP="008B1403">
      <w:r>
        <w:separator/>
      </w:r>
    </w:p>
  </w:endnote>
  <w:endnote w:type="continuationSeparator" w:id="0">
    <w:p w14:paraId="052C8515" w14:textId="77777777" w:rsidR="00436296" w:rsidRDefault="00436296" w:rsidP="008B1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54F3" w14:textId="77777777" w:rsidR="002D5108" w:rsidRDefault="002D5108" w:rsidP="002D510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A3B90E" w14:textId="77777777" w:rsidR="00C51E1A" w:rsidRPr="002D5108" w:rsidRDefault="002D5108" w:rsidP="002D5108">
    <w:pPr>
      <w:pStyle w:val="a5"/>
      <w:pBdr>
        <w:top w:val="single" w:sz="4" w:space="1" w:color="auto"/>
        <w:between w:val="single" w:sz="4" w:space="0" w:color="auto"/>
      </w:pBdr>
      <w:spacing w:after="60"/>
      <w:jc w:val="center"/>
      <w:rPr>
        <w:rFonts w:ascii="FrankRuehl" w:hAnsi="FrankRuehl" w:cs="FrankRuehl"/>
        <w:color w:val="000000"/>
      </w:rPr>
    </w:pPr>
    <w:r w:rsidRPr="002D51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3AE68" w14:textId="77777777" w:rsidR="002D5108" w:rsidRDefault="002D5108" w:rsidP="002D510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25C4">
      <w:rPr>
        <w:rFonts w:ascii="FrankRuehl" w:hAnsi="FrankRuehl" w:cs="FrankRuehl"/>
        <w:noProof/>
        <w:rtl/>
      </w:rPr>
      <w:t>1</w:t>
    </w:r>
    <w:r>
      <w:rPr>
        <w:rFonts w:ascii="FrankRuehl" w:hAnsi="FrankRuehl" w:cs="FrankRuehl"/>
        <w:rtl/>
      </w:rPr>
      <w:fldChar w:fldCharType="end"/>
    </w:r>
  </w:p>
  <w:p w14:paraId="15869B6F" w14:textId="77777777" w:rsidR="00C51E1A" w:rsidRPr="002D5108" w:rsidRDefault="002D5108" w:rsidP="002D5108">
    <w:pPr>
      <w:pStyle w:val="a5"/>
      <w:pBdr>
        <w:top w:val="single" w:sz="4" w:space="1" w:color="auto"/>
        <w:between w:val="single" w:sz="4" w:space="0" w:color="auto"/>
      </w:pBdr>
      <w:spacing w:after="60"/>
      <w:jc w:val="center"/>
      <w:rPr>
        <w:rFonts w:ascii="FrankRuehl" w:hAnsi="FrankRuehl" w:cs="FrankRuehl"/>
        <w:color w:val="000000"/>
      </w:rPr>
    </w:pPr>
    <w:r w:rsidRPr="002D5108">
      <w:rPr>
        <w:rFonts w:ascii="FrankRuehl" w:hAnsi="FrankRuehl" w:cs="FrankRuehl"/>
        <w:color w:val="000000"/>
      </w:rPr>
      <w:pict w14:anchorId="28B51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5DF7B" w14:textId="77777777" w:rsidR="00436296" w:rsidRDefault="00436296" w:rsidP="008B1403">
      <w:r>
        <w:separator/>
      </w:r>
    </w:p>
  </w:footnote>
  <w:footnote w:type="continuationSeparator" w:id="0">
    <w:p w14:paraId="7A447715" w14:textId="77777777" w:rsidR="00436296" w:rsidRDefault="00436296" w:rsidP="008B1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9A95D" w14:textId="77777777" w:rsidR="00C04044" w:rsidRPr="002D5108" w:rsidRDefault="002D5108" w:rsidP="002D51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57939-01-21</w:t>
    </w:r>
    <w:r>
      <w:rPr>
        <w:rFonts w:ascii="David" w:hAnsi="David"/>
        <w:color w:val="000000"/>
        <w:sz w:val="22"/>
        <w:szCs w:val="22"/>
        <w:rtl/>
      </w:rPr>
      <w:tab/>
      <w:t xml:space="preserve"> מדינת ישראל-תביעות נגב נ' סעד פראונה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B8CC" w14:textId="77777777" w:rsidR="00C04044" w:rsidRPr="002D5108" w:rsidRDefault="002D5108" w:rsidP="002D51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57939-01-21</w:t>
    </w:r>
    <w:r>
      <w:rPr>
        <w:rFonts w:ascii="David" w:hAnsi="David"/>
        <w:color w:val="000000"/>
        <w:sz w:val="22"/>
        <w:szCs w:val="22"/>
        <w:rtl/>
      </w:rPr>
      <w:tab/>
      <w:t xml:space="preserve"> מדינת ישראל-תביעות נגב נ' סעד פראונה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2768B"/>
    <w:multiLevelType w:val="hybridMultilevel"/>
    <w:tmpl w:val="FFECB42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7DD3BD9"/>
    <w:multiLevelType w:val="hybridMultilevel"/>
    <w:tmpl w:val="8A2EAF68"/>
    <w:lvl w:ilvl="0" w:tplc="946EC376">
      <w:start w:val="1"/>
      <w:numFmt w:val="hebrew1"/>
      <w:lvlText w:val="%1."/>
      <w:lvlJc w:val="left"/>
      <w:pPr>
        <w:ind w:left="1080" w:hanging="360"/>
      </w:pPr>
      <w:rPr>
        <w:rFonts w:cs="David" w:hint="default"/>
        <w:b/>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62047AD2"/>
    <w:multiLevelType w:val="hybridMultilevel"/>
    <w:tmpl w:val="E3B2AA3A"/>
    <w:lvl w:ilvl="0" w:tplc="F400628E">
      <w:start w:val="1"/>
      <w:numFmt w:val="decimal"/>
      <w:lvlText w:val="%1."/>
      <w:lvlJc w:val="left"/>
      <w:pPr>
        <w:ind w:left="360" w:hanging="360"/>
      </w:pPr>
      <w:rPr>
        <w:rFonts w:cs="David"/>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94245103">
    <w:abstractNumId w:val="2"/>
  </w:num>
  <w:num w:numId="2" w16cid:durableId="1900627631">
    <w:abstractNumId w:val="1"/>
  </w:num>
  <w:num w:numId="3" w16cid:durableId="183876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2A64"/>
    <w:rsid w:val="000D2A64"/>
    <w:rsid w:val="001B5A3B"/>
    <w:rsid w:val="002D15F8"/>
    <w:rsid w:val="002D5108"/>
    <w:rsid w:val="00436296"/>
    <w:rsid w:val="004842CD"/>
    <w:rsid w:val="007C1FFE"/>
    <w:rsid w:val="007C2C06"/>
    <w:rsid w:val="007E4E04"/>
    <w:rsid w:val="008B1403"/>
    <w:rsid w:val="00A8058B"/>
    <w:rsid w:val="00AA25C4"/>
    <w:rsid w:val="00B93F46"/>
    <w:rsid w:val="00C04044"/>
    <w:rsid w:val="00C51E1A"/>
    <w:rsid w:val="00C72159"/>
    <w:rsid w:val="00CA38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6281EE"/>
  <w15:chartTrackingRefBased/>
  <w15:docId w15:val="{7A2CAEAB-50C3-4BBB-9B61-E41DAA736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2A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2A64"/>
    <w:pPr>
      <w:tabs>
        <w:tab w:val="center" w:pos="4153"/>
        <w:tab w:val="right" w:pos="8306"/>
      </w:tabs>
    </w:pPr>
  </w:style>
  <w:style w:type="character" w:customStyle="1" w:styleId="a4">
    <w:name w:val="כותרת עליונה תו"/>
    <w:link w:val="a3"/>
    <w:rsid w:val="000D2A64"/>
    <w:rPr>
      <w:rFonts w:ascii="Times New Roman" w:eastAsia="Times New Roman" w:hAnsi="Times New Roman" w:cs="David"/>
      <w:sz w:val="24"/>
      <w:szCs w:val="24"/>
    </w:rPr>
  </w:style>
  <w:style w:type="paragraph" w:styleId="a5">
    <w:name w:val="footer"/>
    <w:basedOn w:val="a"/>
    <w:link w:val="a6"/>
    <w:rsid w:val="000D2A64"/>
    <w:pPr>
      <w:tabs>
        <w:tab w:val="center" w:pos="4153"/>
        <w:tab w:val="right" w:pos="8306"/>
      </w:tabs>
    </w:pPr>
  </w:style>
  <w:style w:type="character" w:customStyle="1" w:styleId="a6">
    <w:name w:val="כותרת תחתונה תו"/>
    <w:link w:val="a5"/>
    <w:rsid w:val="000D2A64"/>
    <w:rPr>
      <w:rFonts w:ascii="Times New Roman" w:eastAsia="Times New Roman" w:hAnsi="Times New Roman" w:cs="David"/>
      <w:sz w:val="24"/>
      <w:szCs w:val="24"/>
    </w:rPr>
  </w:style>
  <w:style w:type="table" w:styleId="a7">
    <w:name w:val="Table Grid"/>
    <w:basedOn w:val="a1"/>
    <w:rsid w:val="000D2A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2A64"/>
  </w:style>
  <w:style w:type="character" w:styleId="Hyperlink">
    <w:name w:val="Hyperlink"/>
    <w:rsid w:val="00C04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7363174" TargetMode="External"/><Relationship Id="rId26" Type="http://schemas.openxmlformats.org/officeDocument/2006/relationships/hyperlink" Target="http://www.nevo.co.il/case/21017469" TargetMode="External"/><Relationship Id="rId39" Type="http://schemas.openxmlformats.org/officeDocument/2006/relationships/footer" Target="footer1.xml"/><Relationship Id="rId21" Type="http://schemas.openxmlformats.org/officeDocument/2006/relationships/hyperlink" Target="http://www.nevo.co.il/case/24989670" TargetMode="External"/><Relationship Id="rId34" Type="http://schemas.openxmlformats.org/officeDocument/2006/relationships/hyperlink" Target="http://www.nevo.co.il/case/21926221" TargetMode="External"/><Relationship Id="rId42" Type="http://schemas.openxmlformats.org/officeDocument/2006/relationships/theme" Target="theme/theme1.xml"/><Relationship Id="rId7" Type="http://schemas.openxmlformats.org/officeDocument/2006/relationships/hyperlink" Target="http://www.nevo.co.il/case/27363174"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case/27363174" TargetMode="External"/><Relationship Id="rId29" Type="http://schemas.openxmlformats.org/officeDocument/2006/relationships/hyperlink" Target="http://www.nevo.co.il/case/2179903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7274743" TargetMode="External"/><Relationship Id="rId32" Type="http://schemas.openxmlformats.org/officeDocument/2006/relationships/hyperlink" Target="http://www.nevo.co.il/case/2428271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678297" TargetMode="External"/><Relationship Id="rId28" Type="http://schemas.openxmlformats.org/officeDocument/2006/relationships/hyperlink" Target="http://www.nevo.co.il/case/22535152"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7213106" TargetMode="External"/><Relationship Id="rId31" Type="http://schemas.openxmlformats.org/officeDocument/2006/relationships/hyperlink" Target="http://www.nevo.co.il/case/256780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1892242" TargetMode="External"/><Relationship Id="rId27" Type="http://schemas.openxmlformats.org/officeDocument/2006/relationships/hyperlink" Target="http://www.nevo.co.il/case/19999565" TargetMode="External"/><Relationship Id="rId30" Type="http://schemas.openxmlformats.org/officeDocument/2006/relationships/hyperlink" Target="http://www.nevo.co.il/case/27153038" TargetMode="External"/><Relationship Id="rId35" Type="http://schemas.openxmlformats.org/officeDocument/2006/relationships/hyperlink" Target="http://www.nevo.co.il/case/20867164" TargetMode="Externa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153038" TargetMode="External"/><Relationship Id="rId33" Type="http://schemas.openxmlformats.org/officeDocument/2006/relationships/hyperlink" Target="http://www.nevo.co.il/case/2507562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2273</Words>
  <Characters>11366</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13612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3866739</vt:i4>
      </vt:variant>
      <vt:variant>
        <vt:i4>84</vt:i4>
      </vt:variant>
      <vt:variant>
        <vt:i4>0</vt:i4>
      </vt:variant>
      <vt:variant>
        <vt:i4>5</vt:i4>
      </vt:variant>
      <vt:variant>
        <vt:lpwstr>http://www.nevo.co.il/case/20867164</vt:lpwstr>
      </vt:variant>
      <vt:variant>
        <vt:lpwstr/>
      </vt:variant>
      <vt:variant>
        <vt:i4>4128885</vt:i4>
      </vt:variant>
      <vt:variant>
        <vt:i4>81</vt:i4>
      </vt:variant>
      <vt:variant>
        <vt:i4>0</vt:i4>
      </vt:variant>
      <vt:variant>
        <vt:i4>5</vt:i4>
      </vt:variant>
      <vt:variant>
        <vt:lpwstr>http://www.nevo.co.il/case/21926221</vt:lpwstr>
      </vt:variant>
      <vt:variant>
        <vt:lpwstr/>
      </vt:variant>
      <vt:variant>
        <vt:i4>3473520</vt:i4>
      </vt:variant>
      <vt:variant>
        <vt:i4>78</vt:i4>
      </vt:variant>
      <vt:variant>
        <vt:i4>0</vt:i4>
      </vt:variant>
      <vt:variant>
        <vt:i4>5</vt:i4>
      </vt:variant>
      <vt:variant>
        <vt:lpwstr>http://www.nevo.co.il/case/25075625</vt:lpwstr>
      </vt:variant>
      <vt:variant>
        <vt:lpwstr/>
      </vt:variant>
      <vt:variant>
        <vt:i4>3342463</vt:i4>
      </vt:variant>
      <vt:variant>
        <vt:i4>75</vt:i4>
      </vt:variant>
      <vt:variant>
        <vt:i4>0</vt:i4>
      </vt:variant>
      <vt:variant>
        <vt:i4>5</vt:i4>
      </vt:variant>
      <vt:variant>
        <vt:lpwstr>http://www.nevo.co.il/case/24282715</vt:lpwstr>
      </vt:variant>
      <vt:variant>
        <vt:lpwstr/>
      </vt:variant>
      <vt:variant>
        <vt:i4>3997814</vt:i4>
      </vt:variant>
      <vt:variant>
        <vt:i4>72</vt:i4>
      </vt:variant>
      <vt:variant>
        <vt:i4>0</vt:i4>
      </vt:variant>
      <vt:variant>
        <vt:i4>5</vt:i4>
      </vt:variant>
      <vt:variant>
        <vt:lpwstr>http://www.nevo.co.il/case/25678016</vt:lpwstr>
      </vt:variant>
      <vt:variant>
        <vt:lpwstr/>
      </vt:variant>
      <vt:variant>
        <vt:i4>3342454</vt:i4>
      </vt:variant>
      <vt:variant>
        <vt:i4>69</vt:i4>
      </vt:variant>
      <vt:variant>
        <vt:i4>0</vt:i4>
      </vt:variant>
      <vt:variant>
        <vt:i4>5</vt:i4>
      </vt:variant>
      <vt:variant>
        <vt:lpwstr>http://www.nevo.co.il/case/27153038</vt:lpwstr>
      </vt:variant>
      <vt:variant>
        <vt:lpwstr/>
      </vt:variant>
      <vt:variant>
        <vt:i4>4128892</vt:i4>
      </vt:variant>
      <vt:variant>
        <vt:i4>66</vt:i4>
      </vt:variant>
      <vt:variant>
        <vt:i4>0</vt:i4>
      </vt:variant>
      <vt:variant>
        <vt:i4>5</vt:i4>
      </vt:variant>
      <vt:variant>
        <vt:lpwstr>http://www.nevo.co.il/case/21799035</vt:lpwstr>
      </vt:variant>
      <vt:variant>
        <vt:lpwstr/>
      </vt:variant>
      <vt:variant>
        <vt:i4>3604596</vt:i4>
      </vt:variant>
      <vt:variant>
        <vt:i4>63</vt:i4>
      </vt:variant>
      <vt:variant>
        <vt:i4>0</vt:i4>
      </vt:variant>
      <vt:variant>
        <vt:i4>5</vt:i4>
      </vt:variant>
      <vt:variant>
        <vt:lpwstr>http://www.nevo.co.il/case/22535152</vt:lpwstr>
      </vt:variant>
      <vt:variant>
        <vt:lpwstr/>
      </vt:variant>
      <vt:variant>
        <vt:i4>3604593</vt:i4>
      </vt:variant>
      <vt:variant>
        <vt:i4>60</vt:i4>
      </vt:variant>
      <vt:variant>
        <vt:i4>0</vt:i4>
      </vt:variant>
      <vt:variant>
        <vt:i4>5</vt:i4>
      </vt:variant>
      <vt:variant>
        <vt:lpwstr>http://www.nevo.co.il/case/19999565</vt:lpwstr>
      </vt:variant>
      <vt:variant>
        <vt:lpwstr/>
      </vt:variant>
      <vt:variant>
        <vt:i4>3342448</vt:i4>
      </vt:variant>
      <vt:variant>
        <vt:i4>57</vt:i4>
      </vt:variant>
      <vt:variant>
        <vt:i4>0</vt:i4>
      </vt:variant>
      <vt:variant>
        <vt:i4>5</vt:i4>
      </vt:variant>
      <vt:variant>
        <vt:lpwstr>http://www.nevo.co.il/case/21017469</vt:lpwstr>
      </vt:variant>
      <vt:variant>
        <vt:lpwstr/>
      </vt:variant>
      <vt:variant>
        <vt:i4>3342454</vt:i4>
      </vt:variant>
      <vt:variant>
        <vt:i4>54</vt:i4>
      </vt:variant>
      <vt:variant>
        <vt:i4>0</vt:i4>
      </vt:variant>
      <vt:variant>
        <vt:i4>5</vt:i4>
      </vt:variant>
      <vt:variant>
        <vt:lpwstr>http://www.nevo.co.il/case/27153038</vt:lpwstr>
      </vt:variant>
      <vt:variant>
        <vt:lpwstr/>
      </vt:variant>
      <vt:variant>
        <vt:i4>3145843</vt:i4>
      </vt:variant>
      <vt:variant>
        <vt:i4>51</vt:i4>
      </vt:variant>
      <vt:variant>
        <vt:i4>0</vt:i4>
      </vt:variant>
      <vt:variant>
        <vt:i4>5</vt:i4>
      </vt:variant>
      <vt:variant>
        <vt:lpwstr>http://www.nevo.co.il/case/27274743</vt:lpwstr>
      </vt:variant>
      <vt:variant>
        <vt:lpwstr/>
      </vt:variant>
      <vt:variant>
        <vt:i4>3473527</vt:i4>
      </vt:variant>
      <vt:variant>
        <vt:i4>48</vt:i4>
      </vt:variant>
      <vt:variant>
        <vt:i4>0</vt:i4>
      </vt:variant>
      <vt:variant>
        <vt:i4>5</vt:i4>
      </vt:variant>
      <vt:variant>
        <vt:lpwstr>http://www.nevo.co.il/case/26678297</vt:lpwstr>
      </vt:variant>
      <vt:variant>
        <vt:lpwstr/>
      </vt:variant>
      <vt:variant>
        <vt:i4>3932286</vt:i4>
      </vt:variant>
      <vt:variant>
        <vt:i4>45</vt:i4>
      </vt:variant>
      <vt:variant>
        <vt:i4>0</vt:i4>
      </vt:variant>
      <vt:variant>
        <vt:i4>5</vt:i4>
      </vt:variant>
      <vt:variant>
        <vt:lpwstr>http://www.nevo.co.il/case/21892242</vt:lpwstr>
      </vt:variant>
      <vt:variant>
        <vt:lpwstr/>
      </vt:variant>
      <vt:variant>
        <vt:i4>3473534</vt:i4>
      </vt:variant>
      <vt:variant>
        <vt:i4>42</vt:i4>
      </vt:variant>
      <vt:variant>
        <vt:i4>0</vt:i4>
      </vt:variant>
      <vt:variant>
        <vt:i4>5</vt:i4>
      </vt:variant>
      <vt:variant>
        <vt:lpwstr>http://www.nevo.co.il/case/24989670</vt:lpwstr>
      </vt:variant>
      <vt:variant>
        <vt:lpwstr/>
      </vt:variant>
      <vt:variant>
        <vt:i4>3473524</vt:i4>
      </vt:variant>
      <vt:variant>
        <vt:i4>39</vt:i4>
      </vt:variant>
      <vt:variant>
        <vt:i4>0</vt:i4>
      </vt:variant>
      <vt:variant>
        <vt:i4>5</vt:i4>
      </vt:variant>
      <vt:variant>
        <vt:lpwstr>http://www.nevo.co.il/case/27363174</vt:lpwstr>
      </vt:variant>
      <vt:variant>
        <vt:lpwstr/>
      </vt:variant>
      <vt:variant>
        <vt:i4>3342451</vt:i4>
      </vt:variant>
      <vt:variant>
        <vt:i4>36</vt:i4>
      </vt:variant>
      <vt:variant>
        <vt:i4>0</vt:i4>
      </vt:variant>
      <vt:variant>
        <vt:i4>5</vt:i4>
      </vt:variant>
      <vt:variant>
        <vt:lpwstr>http://www.nevo.co.il/case/27213106</vt:lpwstr>
      </vt:variant>
      <vt:variant>
        <vt:lpwstr/>
      </vt:variant>
      <vt:variant>
        <vt:i4>3473524</vt:i4>
      </vt:variant>
      <vt:variant>
        <vt:i4>33</vt:i4>
      </vt:variant>
      <vt:variant>
        <vt:i4>0</vt:i4>
      </vt:variant>
      <vt:variant>
        <vt:i4>5</vt:i4>
      </vt:variant>
      <vt:variant>
        <vt:lpwstr>http://www.nevo.co.il/case/27363174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3473524</vt:i4>
      </vt:variant>
      <vt:variant>
        <vt:i4>0</vt:i4>
      </vt:variant>
      <vt:variant>
        <vt:i4>0</vt:i4>
      </vt:variant>
      <vt:variant>
        <vt:i4>5</vt:i4>
      </vt:variant>
      <vt:variant>
        <vt:lpwstr>http://www.nevo.co.il/case/27363174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57939</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ישראל-תביעות נגב</vt:lpwstr>
  </property>
  <property fmtid="{D5CDD505-2E9C-101B-9397-08002B2CF9AE}" pid="9" name="APPELLEE">
    <vt:lpwstr>סעד פראונה</vt:lpwstr>
  </property>
  <property fmtid="{D5CDD505-2E9C-101B-9397-08002B2CF9AE}" pid="10" name="LAWYER">
    <vt:lpwstr>בוסה טסמה;סמיר אבו עאבד</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20210809</vt:lpwstr>
  </property>
  <property fmtid="{D5CDD505-2E9C-101B-9397-08002B2CF9AE}" pid="14" name="TYPE_N_DATE">
    <vt:lpwstr>38020210809</vt:lpwstr>
  </property>
  <property fmtid="{D5CDD505-2E9C-101B-9397-08002B2CF9AE}" pid="15" name="WORDNUMPAGES">
    <vt:lpwstr>8</vt:lpwstr>
  </property>
  <property fmtid="{D5CDD505-2E9C-101B-9397-08002B2CF9AE}" pid="16" name="TYPE_ABS_DATE">
    <vt:lpwstr>380020210809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27363174:3;27213106;24989670;21892242;26678297;27274743;27153038:2;21017469;19999565;22535152;21799035;25678016;24282715;25075625;21926221;20867164</vt:lpwstr>
  </property>
  <property fmtid="{D5CDD505-2E9C-101B-9397-08002B2CF9AE}" pid="36" name="LAWLISTTMP1">
    <vt:lpwstr>4216/007.a;007.c</vt:lpwstr>
  </property>
  <property fmtid="{D5CDD505-2E9C-101B-9397-08002B2CF9AE}" pid="37" name="LAWLISTTMP2">
    <vt:lpwstr>70301/275</vt:lpwstr>
  </property>
</Properties>
</file>