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382DB6" w:rsidRPr="00B458D6" w14:paraId="138C8E17" w14:textId="77777777" w:rsidTr="008B487C">
        <w:trPr>
          <w:trHeight w:hRule="exact" w:val="510"/>
          <w:jc w:val="center"/>
        </w:trPr>
        <w:tc>
          <w:tcPr>
            <w:tcW w:w="8505" w:type="dxa"/>
          </w:tcPr>
          <w:p w14:paraId="384A5016" w14:textId="77777777" w:rsidR="00382DB6" w:rsidRPr="00B458D6" w:rsidRDefault="00382DB6" w:rsidP="008B487C">
            <w:pPr>
              <w:pStyle w:val="a3"/>
              <w:jc w:val="center"/>
              <w:rPr>
                <w:rFonts w:ascii="Tahoma" w:hAnsi="Tahoma"/>
                <w:noProof w:val="0"/>
                <w:color w:val="000080"/>
                <w:sz w:val="32"/>
                <w:szCs w:val="32"/>
                <w:rtl/>
              </w:rPr>
            </w:pPr>
            <w:bookmarkStart w:id="0" w:name="LastJudge"/>
            <w:r w:rsidRPr="00B458D6">
              <w:rPr>
                <w:rFonts w:ascii="Tahoma" w:hAnsi="Tahoma"/>
                <w:b/>
                <w:bCs/>
                <w:color w:val="000080"/>
                <w:sz w:val="32"/>
                <w:szCs w:val="32"/>
                <w:rtl/>
              </w:rPr>
              <w:t>בית משפט השלום בתל אביב - יפו</w:t>
            </w:r>
          </w:p>
          <w:p w14:paraId="15EF2C8B" w14:textId="77777777" w:rsidR="00382DB6" w:rsidRPr="00B458D6" w:rsidRDefault="00382DB6" w:rsidP="008B487C">
            <w:pPr>
              <w:tabs>
                <w:tab w:val="left" w:pos="1421"/>
              </w:tabs>
              <w:rPr>
                <w:rtl/>
              </w:rPr>
            </w:pPr>
          </w:p>
        </w:tc>
      </w:tr>
      <w:tr w:rsidR="00382DB6" w:rsidRPr="00B458D6" w14:paraId="2E7FA2D7" w14:textId="77777777" w:rsidTr="008B487C">
        <w:trPr>
          <w:trHeight w:val="337"/>
          <w:jc w:val="center"/>
        </w:trPr>
        <w:tc>
          <w:tcPr>
            <w:tcW w:w="8505" w:type="dxa"/>
          </w:tcPr>
          <w:p w14:paraId="1233C7AC" w14:textId="77777777" w:rsidR="00382DB6" w:rsidRPr="00B458D6" w:rsidRDefault="00382DB6" w:rsidP="008B487C">
            <w:pPr>
              <w:rPr>
                <w:b/>
                <w:bCs/>
                <w:noProof w:val="0"/>
                <w:sz w:val="26"/>
                <w:szCs w:val="26"/>
                <w:rtl/>
              </w:rPr>
            </w:pPr>
            <w:r w:rsidRPr="00B458D6">
              <w:rPr>
                <w:b/>
                <w:bCs/>
                <w:noProof w:val="0"/>
                <w:sz w:val="26"/>
                <w:szCs w:val="26"/>
                <w:rtl/>
              </w:rPr>
              <w:t>ת"פ 9705-01-21 מדינת ישראל נ' דוידי</w:t>
            </w:r>
          </w:p>
          <w:p w14:paraId="677FD79D" w14:textId="77777777" w:rsidR="00382DB6" w:rsidRPr="00B458D6" w:rsidRDefault="00382DB6" w:rsidP="008B487C">
            <w:pPr>
              <w:rPr>
                <w:sz w:val="26"/>
                <w:szCs w:val="26"/>
                <w:rtl/>
              </w:rPr>
            </w:pPr>
            <w:r w:rsidRPr="00B458D6">
              <w:rPr>
                <w:rFonts w:hint="cs"/>
                <w:sz w:val="26"/>
                <w:szCs w:val="26"/>
                <w:rtl/>
              </w:rPr>
              <w:t xml:space="preserve">                                                                  </w:t>
            </w:r>
            <w:r w:rsidRPr="00B458D6">
              <w:rPr>
                <w:sz w:val="26"/>
                <w:szCs w:val="26"/>
                <w:rtl/>
              </w:rPr>
              <w:t xml:space="preserve">  </w:t>
            </w:r>
          </w:p>
        </w:tc>
      </w:tr>
    </w:tbl>
    <w:p w14:paraId="7196CECB" w14:textId="77777777" w:rsidR="00382DB6" w:rsidRPr="00B458D6" w:rsidRDefault="00382DB6" w:rsidP="00382DB6">
      <w:pPr>
        <w:pStyle w:val="a3"/>
        <w:rPr>
          <w:noProof w:val="0"/>
          <w:sz w:val="26"/>
          <w:szCs w:val="26"/>
          <w:rtl/>
        </w:rPr>
      </w:pPr>
    </w:p>
    <w:p w14:paraId="418846E5" w14:textId="77777777" w:rsidR="00382DB6" w:rsidRPr="00B458D6" w:rsidRDefault="00382DB6" w:rsidP="00382DB6">
      <w:pPr>
        <w:rPr>
          <w:sz w:val="26"/>
          <w:szCs w:val="26"/>
          <w:rtl/>
        </w:rPr>
      </w:pPr>
    </w:p>
    <w:p w14:paraId="2414907E" w14:textId="77777777" w:rsidR="00382DB6" w:rsidRPr="00B458D6" w:rsidRDefault="00382DB6" w:rsidP="00382DB6">
      <w:pPr>
        <w:rPr>
          <w:sz w:val="26"/>
          <w:szCs w:val="26"/>
          <w:rtl/>
        </w:rPr>
      </w:pPr>
    </w:p>
    <w:tbl>
      <w:tblPr>
        <w:tblpPr w:leftFromText="180" w:rightFromText="180" w:vertAnchor="text" w:tblpY="-196"/>
        <w:bidiVisual/>
        <w:tblW w:w="0" w:type="auto"/>
        <w:tblLook w:val="01E0" w:firstRow="1" w:lastRow="1" w:firstColumn="1" w:lastColumn="1" w:noHBand="0" w:noVBand="0"/>
      </w:tblPr>
      <w:tblGrid>
        <w:gridCol w:w="3077"/>
        <w:gridCol w:w="1902"/>
        <w:gridCol w:w="3328"/>
      </w:tblGrid>
      <w:tr w:rsidR="00382DB6" w:rsidRPr="00B458D6" w14:paraId="2BBEC1A5" w14:textId="77777777" w:rsidTr="00382DB6">
        <w:trPr>
          <w:trHeight w:val="295"/>
        </w:trPr>
        <w:tc>
          <w:tcPr>
            <w:tcW w:w="4979" w:type="dxa"/>
            <w:gridSpan w:val="2"/>
            <w:shd w:val="clear" w:color="auto" w:fill="auto"/>
          </w:tcPr>
          <w:p w14:paraId="43F7E852" w14:textId="77777777" w:rsidR="00382DB6" w:rsidRPr="00B458D6" w:rsidRDefault="00382DB6" w:rsidP="00382DB6">
            <w:pPr>
              <w:rPr>
                <w:rFonts w:ascii="Arial" w:hAnsi="Arial"/>
                <w:b/>
                <w:bCs/>
                <w:noProof w:val="0"/>
                <w:sz w:val="26"/>
                <w:szCs w:val="26"/>
                <w:rtl/>
              </w:rPr>
            </w:pPr>
          </w:p>
        </w:tc>
        <w:tc>
          <w:tcPr>
            <w:tcW w:w="3328" w:type="dxa"/>
            <w:shd w:val="clear" w:color="auto" w:fill="auto"/>
          </w:tcPr>
          <w:p w14:paraId="1898749F" w14:textId="77777777" w:rsidR="00382DB6" w:rsidRPr="00B458D6" w:rsidRDefault="00382DB6" w:rsidP="00382DB6">
            <w:pPr>
              <w:jc w:val="right"/>
              <w:rPr>
                <w:rFonts w:ascii="Arial" w:hAnsi="Arial"/>
                <w:b/>
                <w:bCs/>
                <w:noProof w:val="0"/>
                <w:sz w:val="26"/>
                <w:szCs w:val="26"/>
                <w:rtl/>
              </w:rPr>
            </w:pPr>
            <w:r w:rsidRPr="00B458D6">
              <w:rPr>
                <w:rFonts w:hint="cs"/>
                <w:sz w:val="26"/>
                <w:szCs w:val="26"/>
                <w:rtl/>
              </w:rPr>
              <w:t xml:space="preserve"> </w:t>
            </w:r>
          </w:p>
        </w:tc>
      </w:tr>
      <w:tr w:rsidR="00382DB6" w:rsidRPr="00B458D6" w14:paraId="0016E86C" w14:textId="77777777" w:rsidTr="00382DB6">
        <w:tc>
          <w:tcPr>
            <w:tcW w:w="8307" w:type="dxa"/>
            <w:gridSpan w:val="3"/>
            <w:shd w:val="clear" w:color="auto" w:fill="auto"/>
          </w:tcPr>
          <w:p w14:paraId="50178E2A" w14:textId="77777777" w:rsidR="00382DB6" w:rsidRPr="00B458D6" w:rsidRDefault="00382DB6" w:rsidP="00382DB6">
            <w:pPr>
              <w:jc w:val="both"/>
              <w:rPr>
                <w:rFonts w:ascii="Arial" w:hAnsi="Arial"/>
                <w:b/>
                <w:bCs/>
                <w:sz w:val="26"/>
                <w:szCs w:val="26"/>
                <w:rtl/>
              </w:rPr>
            </w:pPr>
            <w:r w:rsidRPr="00B458D6">
              <w:rPr>
                <w:rFonts w:ascii="Arial" w:hAnsi="Arial" w:hint="cs"/>
                <w:b/>
                <w:bCs/>
                <w:sz w:val="26"/>
                <w:szCs w:val="26"/>
                <w:rtl/>
              </w:rPr>
              <w:t>ל</w:t>
            </w:r>
            <w:r w:rsidRPr="00B458D6">
              <w:rPr>
                <w:rFonts w:ascii="Arial" w:hAnsi="Arial"/>
                <w:b/>
                <w:bCs/>
                <w:sz w:val="26"/>
                <w:szCs w:val="26"/>
                <w:rtl/>
              </w:rPr>
              <w:t>פני</w:t>
            </w:r>
            <w:r w:rsidRPr="00B458D6">
              <w:rPr>
                <w:rFonts w:ascii="Arial" w:hAnsi="Arial" w:hint="cs"/>
                <w:b/>
                <w:bCs/>
                <w:sz w:val="26"/>
                <w:szCs w:val="26"/>
                <w:rtl/>
              </w:rPr>
              <w:t xml:space="preserve"> כבוד ה</w:t>
            </w:r>
            <w:r w:rsidRPr="00B458D6">
              <w:rPr>
                <w:rFonts w:ascii="Arial" w:hAnsi="Arial"/>
                <w:b/>
                <w:bCs/>
                <w:sz w:val="26"/>
                <w:szCs w:val="26"/>
                <w:rtl/>
              </w:rPr>
              <w:t>שופטת</w:t>
            </w:r>
            <w:r w:rsidRPr="00B458D6">
              <w:rPr>
                <w:rFonts w:ascii="Arial" w:hAnsi="Arial" w:hint="cs"/>
                <w:b/>
                <w:bCs/>
                <w:sz w:val="26"/>
                <w:szCs w:val="26"/>
                <w:rtl/>
              </w:rPr>
              <w:t xml:space="preserve"> </w:t>
            </w:r>
            <w:r w:rsidRPr="00B458D6">
              <w:rPr>
                <w:rFonts w:ascii="Arial" w:hAnsi="Arial"/>
                <w:b/>
                <w:bCs/>
                <w:sz w:val="26"/>
                <w:szCs w:val="26"/>
                <w:rtl/>
              </w:rPr>
              <w:t>עדי יעקובוביץ</w:t>
            </w:r>
          </w:p>
          <w:p w14:paraId="32B5B614" w14:textId="77777777" w:rsidR="00382DB6" w:rsidRPr="00B458D6" w:rsidRDefault="00382DB6" w:rsidP="00382DB6">
            <w:pPr>
              <w:jc w:val="both"/>
              <w:rPr>
                <w:rFonts w:ascii="Arial" w:hAnsi="Arial"/>
                <w:b/>
                <w:bCs/>
                <w:sz w:val="26"/>
                <w:szCs w:val="26"/>
              </w:rPr>
            </w:pPr>
          </w:p>
        </w:tc>
      </w:tr>
      <w:tr w:rsidR="00382DB6" w:rsidRPr="00B458D6" w14:paraId="3080CD0B" w14:textId="77777777" w:rsidTr="00382DB6">
        <w:tc>
          <w:tcPr>
            <w:tcW w:w="3077" w:type="dxa"/>
            <w:shd w:val="clear" w:color="auto" w:fill="auto"/>
          </w:tcPr>
          <w:p w14:paraId="09DF31D5" w14:textId="77777777" w:rsidR="00382DB6" w:rsidRPr="00B458D6" w:rsidRDefault="00382DB6" w:rsidP="00382DB6">
            <w:pPr>
              <w:rPr>
                <w:rFonts w:ascii="Arial" w:hAnsi="Arial"/>
                <w:b/>
                <w:bCs/>
                <w:noProof w:val="0"/>
                <w:sz w:val="26"/>
                <w:szCs w:val="26"/>
                <w:rtl/>
              </w:rPr>
            </w:pPr>
            <w:bookmarkStart w:id="1" w:name="FirstAppellant"/>
            <w:r w:rsidRPr="00B458D6">
              <w:rPr>
                <w:rFonts w:hint="cs"/>
                <w:b/>
                <w:bCs/>
                <w:sz w:val="26"/>
                <w:szCs w:val="26"/>
                <w:rtl/>
              </w:rPr>
              <w:t>ה</w:t>
            </w:r>
            <w:r w:rsidRPr="00B458D6">
              <w:rPr>
                <w:rFonts w:ascii="Arial" w:hAnsi="Arial"/>
                <w:b/>
                <w:bCs/>
                <w:noProof w:val="0"/>
                <w:sz w:val="26"/>
                <w:szCs w:val="26"/>
                <w:rtl/>
              </w:rPr>
              <w:t>מאשימה</w:t>
            </w:r>
            <w:r w:rsidRPr="00B458D6">
              <w:rPr>
                <w:rFonts w:ascii="Arial" w:hAnsi="Arial" w:hint="cs"/>
                <w:b/>
                <w:bCs/>
                <w:noProof w:val="0"/>
                <w:sz w:val="26"/>
                <w:szCs w:val="26"/>
                <w:rtl/>
              </w:rPr>
              <w:t>:</w:t>
            </w:r>
          </w:p>
        </w:tc>
        <w:tc>
          <w:tcPr>
            <w:tcW w:w="5230" w:type="dxa"/>
            <w:gridSpan w:val="2"/>
            <w:shd w:val="clear" w:color="auto" w:fill="auto"/>
          </w:tcPr>
          <w:p w14:paraId="52876D81" w14:textId="77777777" w:rsidR="00382DB6" w:rsidRPr="00B458D6" w:rsidRDefault="00382DB6" w:rsidP="00382DB6">
            <w:pPr>
              <w:suppressLineNumbers/>
            </w:pPr>
            <w:r w:rsidRPr="00B458D6">
              <w:rPr>
                <w:rFonts w:ascii="Arial" w:hAnsi="Arial"/>
                <w:b/>
                <w:bCs/>
                <w:noProof w:val="0"/>
                <w:sz w:val="26"/>
                <w:szCs w:val="26"/>
                <w:rtl/>
              </w:rPr>
              <w:t>מדינת ישראל</w:t>
            </w:r>
          </w:p>
        </w:tc>
      </w:tr>
      <w:bookmarkEnd w:id="1"/>
      <w:tr w:rsidR="00382DB6" w:rsidRPr="00B458D6" w14:paraId="31C1A1A4" w14:textId="77777777" w:rsidTr="00382DB6">
        <w:trPr>
          <w:trHeight w:val="601"/>
        </w:trPr>
        <w:tc>
          <w:tcPr>
            <w:tcW w:w="8307" w:type="dxa"/>
            <w:gridSpan w:val="3"/>
            <w:shd w:val="clear" w:color="auto" w:fill="auto"/>
          </w:tcPr>
          <w:p w14:paraId="5846E4D4" w14:textId="77777777" w:rsidR="00382DB6" w:rsidRPr="00B458D6" w:rsidRDefault="00382DB6" w:rsidP="00382DB6">
            <w:pPr>
              <w:rPr>
                <w:rFonts w:ascii="Arial" w:hAnsi="Arial"/>
                <w:b/>
                <w:bCs/>
                <w:noProof w:val="0"/>
                <w:sz w:val="26"/>
                <w:szCs w:val="26"/>
                <w:rtl/>
              </w:rPr>
            </w:pPr>
          </w:p>
          <w:p w14:paraId="32C57DF2" w14:textId="77777777" w:rsidR="00382DB6" w:rsidRPr="00B458D6" w:rsidRDefault="00382DB6" w:rsidP="00382DB6">
            <w:pPr>
              <w:jc w:val="center"/>
              <w:rPr>
                <w:rFonts w:ascii="Arial" w:hAnsi="Arial"/>
                <w:b/>
                <w:bCs/>
                <w:noProof w:val="0"/>
                <w:sz w:val="26"/>
                <w:szCs w:val="26"/>
                <w:rtl/>
              </w:rPr>
            </w:pPr>
            <w:r w:rsidRPr="00B458D6">
              <w:rPr>
                <w:rFonts w:ascii="Arial" w:hAnsi="Arial"/>
                <w:b/>
                <w:bCs/>
                <w:noProof w:val="0"/>
                <w:sz w:val="26"/>
                <w:szCs w:val="26"/>
                <w:rtl/>
              </w:rPr>
              <w:t>נגד</w:t>
            </w:r>
          </w:p>
          <w:p w14:paraId="5D7D7A17" w14:textId="77777777" w:rsidR="00382DB6" w:rsidRPr="00B458D6" w:rsidRDefault="00382DB6" w:rsidP="00382DB6">
            <w:pPr>
              <w:rPr>
                <w:rFonts w:ascii="Arial" w:hAnsi="Arial"/>
                <w:b/>
                <w:bCs/>
                <w:noProof w:val="0"/>
                <w:sz w:val="16"/>
                <w:szCs w:val="16"/>
              </w:rPr>
            </w:pPr>
          </w:p>
        </w:tc>
      </w:tr>
      <w:tr w:rsidR="00382DB6" w:rsidRPr="00B458D6" w14:paraId="6636265C" w14:textId="77777777" w:rsidTr="00382DB6">
        <w:tc>
          <w:tcPr>
            <w:tcW w:w="3077" w:type="dxa"/>
            <w:shd w:val="clear" w:color="auto" w:fill="auto"/>
          </w:tcPr>
          <w:p w14:paraId="6C62EFE2" w14:textId="77777777" w:rsidR="00382DB6" w:rsidRPr="00B458D6" w:rsidRDefault="00382DB6" w:rsidP="00382DB6">
            <w:pPr>
              <w:rPr>
                <w:rFonts w:ascii="Arial" w:hAnsi="Arial"/>
                <w:b/>
                <w:bCs/>
                <w:noProof w:val="0"/>
                <w:sz w:val="26"/>
                <w:szCs w:val="26"/>
              </w:rPr>
            </w:pPr>
            <w:r w:rsidRPr="00B458D6">
              <w:rPr>
                <w:rFonts w:hint="cs"/>
                <w:b/>
                <w:bCs/>
                <w:sz w:val="26"/>
                <w:szCs w:val="26"/>
                <w:rtl/>
              </w:rPr>
              <w:t>ה</w:t>
            </w:r>
            <w:r w:rsidRPr="00B458D6">
              <w:rPr>
                <w:rFonts w:ascii="Arial" w:hAnsi="Arial"/>
                <w:b/>
                <w:bCs/>
                <w:noProof w:val="0"/>
                <w:sz w:val="26"/>
                <w:szCs w:val="26"/>
                <w:rtl/>
              </w:rPr>
              <w:t>נאשמים</w:t>
            </w:r>
            <w:r w:rsidRPr="00B458D6">
              <w:rPr>
                <w:rFonts w:ascii="Arial" w:hAnsi="Arial" w:hint="cs"/>
                <w:b/>
                <w:bCs/>
                <w:noProof w:val="0"/>
                <w:sz w:val="26"/>
                <w:szCs w:val="26"/>
                <w:rtl/>
              </w:rPr>
              <w:t>:</w:t>
            </w:r>
          </w:p>
        </w:tc>
        <w:tc>
          <w:tcPr>
            <w:tcW w:w="5230" w:type="dxa"/>
            <w:gridSpan w:val="2"/>
            <w:shd w:val="clear" w:color="auto" w:fill="auto"/>
          </w:tcPr>
          <w:p w14:paraId="2A99B31B" w14:textId="77777777" w:rsidR="00382DB6" w:rsidRPr="00B458D6" w:rsidRDefault="00382DB6" w:rsidP="00382DB6">
            <w:pPr>
              <w:suppressLineNumbers/>
            </w:pPr>
            <w:r w:rsidRPr="00B458D6">
              <w:rPr>
                <w:rFonts w:ascii="Arial" w:hAnsi="Arial"/>
                <w:b/>
                <w:bCs/>
                <w:noProof w:val="0"/>
                <w:sz w:val="26"/>
                <w:szCs w:val="26"/>
                <w:rtl/>
              </w:rPr>
              <w:t>טל דוידי</w:t>
            </w:r>
          </w:p>
          <w:p w14:paraId="6578CBFA" w14:textId="77777777" w:rsidR="00382DB6" w:rsidRPr="00B458D6" w:rsidRDefault="00382DB6" w:rsidP="00382DB6">
            <w:pPr>
              <w:rPr>
                <w:sz w:val="26"/>
                <w:szCs w:val="26"/>
                <w:rtl/>
              </w:rPr>
            </w:pPr>
          </w:p>
        </w:tc>
      </w:tr>
    </w:tbl>
    <w:p w14:paraId="466A90E1" w14:textId="77777777" w:rsidR="00B478AF" w:rsidRPr="00B478AF" w:rsidRDefault="00B478AF" w:rsidP="00B478AF">
      <w:pPr>
        <w:spacing w:before="120" w:after="120" w:line="240" w:lineRule="exact"/>
        <w:ind w:left="283" w:hanging="283"/>
        <w:jc w:val="both"/>
        <w:rPr>
          <w:rFonts w:ascii="FrankRuehl" w:hAnsi="FrankRuehl" w:cs="FrankRuehl"/>
          <w:noProof w:val="0"/>
          <w:rtl/>
        </w:rPr>
      </w:pPr>
    </w:p>
    <w:p w14:paraId="0144F271" w14:textId="77777777" w:rsidR="008154F8" w:rsidRDefault="008154F8" w:rsidP="008154F8">
      <w:pPr>
        <w:spacing w:line="360" w:lineRule="auto"/>
        <w:jc w:val="both"/>
        <w:rPr>
          <w:rFonts w:ascii="Arial" w:hAnsi="Arial"/>
          <w:noProof w:val="0"/>
          <w:rtl/>
        </w:rPr>
      </w:pPr>
      <w:bookmarkStart w:id="2" w:name="LawTable"/>
      <w:bookmarkEnd w:id="2"/>
    </w:p>
    <w:p w14:paraId="4D157F57" w14:textId="77777777" w:rsidR="008154F8" w:rsidRPr="008154F8" w:rsidRDefault="008154F8" w:rsidP="008154F8">
      <w:pPr>
        <w:spacing w:before="120" w:after="120" w:line="240" w:lineRule="exact"/>
        <w:ind w:left="283" w:hanging="283"/>
        <w:jc w:val="both"/>
        <w:rPr>
          <w:rFonts w:ascii="FrankRuehl" w:hAnsi="FrankRuehl" w:cs="FrankRuehl"/>
          <w:noProof w:val="0"/>
          <w:rtl/>
        </w:rPr>
      </w:pPr>
    </w:p>
    <w:p w14:paraId="4CC2FF7A" w14:textId="77777777" w:rsidR="008154F8" w:rsidRPr="008154F8" w:rsidRDefault="008154F8" w:rsidP="008154F8">
      <w:pPr>
        <w:spacing w:before="120" w:after="120" w:line="240" w:lineRule="exact"/>
        <w:ind w:left="283" w:hanging="283"/>
        <w:jc w:val="both"/>
        <w:rPr>
          <w:rFonts w:ascii="FrankRuehl" w:hAnsi="FrankRuehl" w:cs="FrankRuehl"/>
          <w:noProof w:val="0"/>
          <w:rtl/>
        </w:rPr>
      </w:pPr>
    </w:p>
    <w:p w14:paraId="6FCFCC93" w14:textId="77777777" w:rsidR="008154F8" w:rsidRPr="008154F8" w:rsidRDefault="008154F8" w:rsidP="008154F8">
      <w:pPr>
        <w:spacing w:before="120" w:after="120" w:line="240" w:lineRule="exact"/>
        <w:ind w:left="283" w:hanging="283"/>
        <w:jc w:val="both"/>
        <w:rPr>
          <w:rFonts w:ascii="FrankRuehl" w:hAnsi="FrankRuehl" w:cs="FrankRuehl"/>
          <w:noProof w:val="0"/>
          <w:rtl/>
        </w:rPr>
      </w:pPr>
      <w:r w:rsidRPr="008154F8">
        <w:rPr>
          <w:rFonts w:ascii="FrankRuehl" w:hAnsi="FrankRuehl" w:cs="FrankRuehl"/>
          <w:noProof w:val="0"/>
          <w:rtl/>
        </w:rPr>
        <w:t xml:space="preserve">חקיקה שאוזכרה: </w:t>
      </w:r>
    </w:p>
    <w:p w14:paraId="11E81AC4" w14:textId="77777777" w:rsidR="008154F8" w:rsidRPr="008154F8" w:rsidRDefault="008154F8" w:rsidP="008154F8">
      <w:pPr>
        <w:spacing w:before="120" w:after="120" w:line="240" w:lineRule="exact"/>
        <w:ind w:left="283" w:hanging="283"/>
        <w:jc w:val="both"/>
        <w:rPr>
          <w:rFonts w:ascii="FrankRuehl" w:hAnsi="FrankRuehl" w:cs="FrankRuehl"/>
          <w:noProof w:val="0"/>
          <w:rtl/>
        </w:rPr>
      </w:pPr>
      <w:hyperlink r:id="rId7" w:history="1">
        <w:r w:rsidRPr="008154F8">
          <w:rPr>
            <w:rFonts w:ascii="FrankRuehl" w:hAnsi="FrankRuehl" w:cs="FrankRuehl"/>
            <w:noProof w:val="0"/>
            <w:color w:val="0000FF"/>
            <w:rtl/>
          </w:rPr>
          <w:t>פקודת הסמים המסוכנים [נוסח חדש], תשל"ג-1973</w:t>
        </w:r>
      </w:hyperlink>
      <w:r w:rsidRPr="008154F8">
        <w:rPr>
          <w:rFonts w:ascii="FrankRuehl" w:hAnsi="FrankRuehl" w:cs="FrankRuehl"/>
          <w:noProof w:val="0"/>
          <w:rtl/>
        </w:rPr>
        <w:t xml:space="preserve">: סע'  </w:t>
      </w:r>
      <w:hyperlink r:id="rId8" w:history="1">
        <w:r w:rsidRPr="008154F8">
          <w:rPr>
            <w:rFonts w:ascii="FrankRuehl" w:hAnsi="FrankRuehl" w:cs="FrankRuehl"/>
            <w:noProof w:val="0"/>
            <w:color w:val="0000FF"/>
            <w:rtl/>
          </w:rPr>
          <w:t>13</w:t>
        </w:r>
      </w:hyperlink>
      <w:r w:rsidRPr="008154F8">
        <w:rPr>
          <w:rFonts w:ascii="FrankRuehl" w:hAnsi="FrankRuehl" w:cs="FrankRuehl"/>
          <w:noProof w:val="0"/>
          <w:rtl/>
        </w:rPr>
        <w:t xml:space="preserve">, </w:t>
      </w:r>
      <w:hyperlink r:id="rId9" w:history="1">
        <w:r w:rsidRPr="008154F8">
          <w:rPr>
            <w:rFonts w:ascii="FrankRuehl" w:hAnsi="FrankRuehl" w:cs="FrankRuehl"/>
            <w:noProof w:val="0"/>
            <w:color w:val="0000FF"/>
            <w:rtl/>
          </w:rPr>
          <w:t>19א</w:t>
        </w:r>
      </w:hyperlink>
    </w:p>
    <w:p w14:paraId="10579252" w14:textId="77777777" w:rsidR="008154F8" w:rsidRPr="008154F8" w:rsidRDefault="008154F8" w:rsidP="008154F8">
      <w:pPr>
        <w:spacing w:before="120" w:after="120" w:line="240" w:lineRule="exact"/>
        <w:ind w:left="283" w:hanging="283"/>
        <w:jc w:val="both"/>
        <w:rPr>
          <w:rFonts w:ascii="FrankRuehl" w:hAnsi="FrankRuehl" w:cs="FrankRuehl"/>
          <w:noProof w:val="0"/>
          <w:rtl/>
        </w:rPr>
      </w:pPr>
      <w:hyperlink r:id="rId10" w:history="1">
        <w:r w:rsidRPr="008154F8">
          <w:rPr>
            <w:rFonts w:ascii="FrankRuehl" w:hAnsi="FrankRuehl" w:cs="FrankRuehl"/>
            <w:noProof w:val="0"/>
            <w:color w:val="0000FF"/>
            <w:rtl/>
          </w:rPr>
          <w:t>חוק סדר הדין הפלילי [נוסח משולב], תשמ"ב-1982</w:t>
        </w:r>
      </w:hyperlink>
      <w:r w:rsidRPr="008154F8">
        <w:rPr>
          <w:rFonts w:ascii="FrankRuehl" w:hAnsi="FrankRuehl" w:cs="FrankRuehl"/>
          <w:noProof w:val="0"/>
          <w:rtl/>
        </w:rPr>
        <w:t xml:space="preserve">: סע'  </w:t>
      </w:r>
      <w:hyperlink r:id="rId11" w:history="1">
        <w:r w:rsidRPr="008154F8">
          <w:rPr>
            <w:rFonts w:ascii="FrankRuehl" w:hAnsi="FrankRuehl" w:cs="FrankRuehl"/>
            <w:noProof w:val="0"/>
            <w:color w:val="0000FF"/>
            <w:rtl/>
          </w:rPr>
          <w:t>182</w:t>
        </w:r>
      </w:hyperlink>
      <w:r w:rsidRPr="008154F8">
        <w:rPr>
          <w:rFonts w:ascii="FrankRuehl" w:hAnsi="FrankRuehl" w:cs="FrankRuehl"/>
          <w:noProof w:val="0"/>
          <w:rtl/>
        </w:rPr>
        <w:t xml:space="preserve">, </w:t>
      </w:r>
      <w:hyperlink r:id="rId12" w:history="1">
        <w:r w:rsidRPr="008154F8">
          <w:rPr>
            <w:rFonts w:ascii="FrankRuehl" w:hAnsi="FrankRuehl" w:cs="FrankRuehl"/>
            <w:noProof w:val="0"/>
            <w:color w:val="0000FF"/>
            <w:rtl/>
          </w:rPr>
          <w:t>192א</w:t>
        </w:r>
      </w:hyperlink>
    </w:p>
    <w:p w14:paraId="0A950159" w14:textId="77777777" w:rsidR="008154F8" w:rsidRPr="008154F8" w:rsidRDefault="008154F8" w:rsidP="008154F8">
      <w:pPr>
        <w:spacing w:before="120" w:after="120" w:line="240" w:lineRule="exact"/>
        <w:ind w:left="283" w:hanging="283"/>
        <w:jc w:val="both"/>
        <w:rPr>
          <w:rFonts w:ascii="FrankRuehl" w:hAnsi="FrankRuehl" w:cs="FrankRuehl"/>
          <w:noProof w:val="0"/>
          <w:rtl/>
        </w:rPr>
      </w:pPr>
      <w:hyperlink r:id="rId13" w:history="1">
        <w:r w:rsidRPr="008154F8">
          <w:rPr>
            <w:rFonts w:ascii="FrankRuehl" w:hAnsi="FrankRuehl" w:cs="FrankRuehl"/>
            <w:noProof w:val="0"/>
            <w:color w:val="0000FF"/>
            <w:rtl/>
          </w:rPr>
          <w:t>חוק העונשין, תשל"ז-1977</w:t>
        </w:r>
      </w:hyperlink>
      <w:r w:rsidRPr="008154F8">
        <w:rPr>
          <w:rFonts w:ascii="FrankRuehl" w:hAnsi="FrankRuehl" w:cs="FrankRuehl"/>
          <w:noProof w:val="0"/>
          <w:rtl/>
        </w:rPr>
        <w:t xml:space="preserve">: סע'  </w:t>
      </w:r>
      <w:hyperlink r:id="rId14" w:history="1">
        <w:r w:rsidRPr="008154F8">
          <w:rPr>
            <w:rFonts w:ascii="FrankRuehl" w:hAnsi="FrankRuehl" w:cs="FrankRuehl"/>
            <w:noProof w:val="0"/>
            <w:color w:val="0000FF"/>
            <w:rtl/>
          </w:rPr>
          <w:t>40ד'</w:t>
        </w:r>
      </w:hyperlink>
      <w:r w:rsidRPr="008154F8">
        <w:rPr>
          <w:rFonts w:ascii="FrankRuehl" w:hAnsi="FrankRuehl" w:cs="FrankRuehl"/>
          <w:noProof w:val="0"/>
          <w:rtl/>
        </w:rPr>
        <w:t xml:space="preserve">, </w:t>
      </w:r>
      <w:hyperlink r:id="rId15" w:history="1">
        <w:r w:rsidRPr="008154F8">
          <w:rPr>
            <w:rFonts w:ascii="FrankRuehl" w:hAnsi="FrankRuehl" w:cs="FrankRuehl"/>
            <w:noProof w:val="0"/>
            <w:color w:val="0000FF"/>
            <w:rtl/>
          </w:rPr>
          <w:t>40יא</w:t>
        </w:r>
      </w:hyperlink>
    </w:p>
    <w:p w14:paraId="11617798" w14:textId="77777777" w:rsidR="008154F8" w:rsidRPr="008154F8" w:rsidRDefault="008154F8" w:rsidP="008154F8">
      <w:pPr>
        <w:spacing w:line="360" w:lineRule="auto"/>
        <w:jc w:val="both"/>
        <w:rPr>
          <w:rFonts w:ascii="Arial" w:hAnsi="Arial"/>
          <w:noProof w:val="0"/>
          <w:rtl/>
        </w:rPr>
      </w:pPr>
      <w:bookmarkStart w:id="3" w:name="LawTable_End"/>
      <w:bookmarkEnd w:id="3"/>
    </w:p>
    <w:p w14:paraId="6335C7E6" w14:textId="77777777" w:rsidR="00382DB6" w:rsidRPr="00B478AF" w:rsidRDefault="00382DB6" w:rsidP="00B478AF">
      <w:pPr>
        <w:spacing w:line="360" w:lineRule="auto"/>
        <w:jc w:val="both"/>
        <w:rPr>
          <w:rFonts w:ascii="Arial" w:hAnsi="Arial"/>
          <w:noProof w:val="0"/>
          <w:rtl/>
        </w:rPr>
      </w:pPr>
    </w:p>
    <w:tbl>
      <w:tblPr>
        <w:bidiVisual/>
        <w:tblW w:w="8820" w:type="dxa"/>
        <w:jc w:val="center"/>
        <w:tblLook w:val="01E0" w:firstRow="1" w:lastRow="1" w:firstColumn="1" w:lastColumn="1" w:noHBand="0" w:noVBand="0"/>
      </w:tblPr>
      <w:tblGrid>
        <w:gridCol w:w="8820"/>
      </w:tblGrid>
      <w:tr w:rsidR="00382DB6" w14:paraId="7752F959" w14:textId="77777777" w:rsidTr="00382DB6">
        <w:trPr>
          <w:jc w:val="center"/>
        </w:trPr>
        <w:tc>
          <w:tcPr>
            <w:tcW w:w="8820" w:type="dxa"/>
            <w:shd w:val="clear" w:color="auto" w:fill="auto"/>
          </w:tcPr>
          <w:p w14:paraId="2142BFE9" w14:textId="77777777" w:rsidR="00B458D6" w:rsidRPr="00B458D6" w:rsidRDefault="00B458D6" w:rsidP="00B458D6">
            <w:pPr>
              <w:bidi w:val="0"/>
              <w:jc w:val="center"/>
              <w:rPr>
                <w:rFonts w:ascii="Arial" w:hAnsi="Arial"/>
                <w:b/>
                <w:bCs/>
                <w:noProof w:val="0"/>
                <w:sz w:val="40"/>
                <w:szCs w:val="40"/>
                <w:u w:val="single"/>
                <w:rtl/>
              </w:rPr>
            </w:pPr>
            <w:bookmarkStart w:id="4" w:name="PsakDin" w:colFirst="0" w:colLast="0"/>
            <w:bookmarkEnd w:id="0"/>
            <w:r w:rsidRPr="00B458D6">
              <w:rPr>
                <w:rFonts w:ascii="Arial" w:hAnsi="Arial"/>
                <w:b/>
                <w:bCs/>
                <w:noProof w:val="0"/>
                <w:sz w:val="40"/>
                <w:szCs w:val="40"/>
                <w:u w:val="single"/>
                <w:rtl/>
              </w:rPr>
              <w:t>גזר דין</w:t>
            </w:r>
          </w:p>
          <w:p w14:paraId="18C92311" w14:textId="77777777" w:rsidR="00382DB6" w:rsidRPr="00B458D6" w:rsidRDefault="00382DB6" w:rsidP="00B458D6">
            <w:pPr>
              <w:bidi w:val="0"/>
              <w:jc w:val="center"/>
              <w:rPr>
                <w:rFonts w:ascii="Arial" w:hAnsi="Arial"/>
                <w:b/>
                <w:bCs/>
                <w:noProof w:val="0"/>
                <w:color w:val="FF0000"/>
                <w:sz w:val="40"/>
                <w:szCs w:val="40"/>
                <w:u w:val="single"/>
                <w:rtl/>
              </w:rPr>
            </w:pPr>
          </w:p>
        </w:tc>
      </w:tr>
      <w:bookmarkEnd w:id="4"/>
    </w:tbl>
    <w:p w14:paraId="4534B1AF" w14:textId="77777777" w:rsidR="00382DB6" w:rsidRDefault="00382DB6" w:rsidP="00382DB6">
      <w:pPr>
        <w:spacing w:line="360" w:lineRule="auto"/>
        <w:jc w:val="both"/>
        <w:rPr>
          <w:rFonts w:ascii="Arial" w:hAnsi="Arial"/>
          <w:noProof w:val="0"/>
        </w:rPr>
      </w:pPr>
    </w:p>
    <w:p w14:paraId="11916536" w14:textId="77777777" w:rsidR="00382DB6" w:rsidRDefault="00382DB6" w:rsidP="00382DB6">
      <w:pPr>
        <w:spacing w:line="360" w:lineRule="auto"/>
        <w:rPr>
          <w:b/>
          <w:bCs/>
          <w:noProof w:val="0"/>
          <w:sz w:val="32"/>
          <w:szCs w:val="32"/>
          <w:u w:val="single"/>
        </w:rPr>
      </w:pPr>
      <w:r>
        <w:rPr>
          <w:b/>
          <w:bCs/>
          <w:sz w:val="32"/>
          <w:szCs w:val="32"/>
          <w:u w:val="single"/>
          <w:rtl/>
        </w:rPr>
        <w:t>פתח דבר</w:t>
      </w:r>
    </w:p>
    <w:p w14:paraId="11E48BE8" w14:textId="77777777" w:rsidR="00382DB6" w:rsidRDefault="00382DB6" w:rsidP="00382DB6">
      <w:pPr>
        <w:pStyle w:val="aa"/>
        <w:numPr>
          <w:ilvl w:val="0"/>
          <w:numId w:val="1"/>
        </w:numPr>
        <w:spacing w:after="80" w:line="360" w:lineRule="auto"/>
        <w:ind w:left="357" w:hanging="357"/>
        <w:jc w:val="both"/>
        <w:rPr>
          <w:noProof w:val="0"/>
          <w:rtl/>
        </w:rPr>
      </w:pPr>
      <w:bookmarkStart w:id="5" w:name="ABSTRACT_START"/>
      <w:bookmarkEnd w:id="5"/>
      <w:r>
        <w:rPr>
          <w:rFonts w:hint="cs"/>
          <w:rtl/>
        </w:rPr>
        <w:t xml:space="preserve">הנאשם הודה והורשע, במסגרת הסדר טיעון, בעבירת </w:t>
      </w:r>
      <w:r>
        <w:rPr>
          <w:rFonts w:hint="cs"/>
          <w:b/>
          <w:bCs/>
          <w:rtl/>
        </w:rPr>
        <w:t>סחר בסמים,</w:t>
      </w:r>
      <w:r>
        <w:rPr>
          <w:rFonts w:hint="cs"/>
          <w:rtl/>
        </w:rPr>
        <w:t xml:space="preserve"> לפי </w:t>
      </w:r>
      <w:hyperlink r:id="rId16" w:history="1">
        <w:r w:rsidR="00A53239" w:rsidRPr="00A53239">
          <w:rPr>
            <w:rStyle w:val="Hyperlink"/>
            <w:rFonts w:hint="cs"/>
            <w:rtl/>
          </w:rPr>
          <w:t>סעיפים</w:t>
        </w:r>
        <w:r w:rsidR="00A53239" w:rsidRPr="00A53239">
          <w:rPr>
            <w:rStyle w:val="Hyperlink"/>
            <w:rtl/>
          </w:rPr>
          <w:t xml:space="preserve"> 13</w:t>
        </w:r>
      </w:hyperlink>
      <w:r>
        <w:rPr>
          <w:rFonts w:hint="cs"/>
          <w:rtl/>
        </w:rPr>
        <w:t xml:space="preserve"> + </w:t>
      </w:r>
      <w:hyperlink r:id="rId17" w:history="1">
        <w:r w:rsidR="00A53239" w:rsidRPr="00A53239">
          <w:rPr>
            <w:rStyle w:val="Hyperlink"/>
            <w:rtl/>
          </w:rPr>
          <w:t>19א</w:t>
        </w:r>
      </w:hyperlink>
      <w:r>
        <w:rPr>
          <w:rFonts w:hint="cs"/>
          <w:rtl/>
        </w:rPr>
        <w:t xml:space="preserve"> </w:t>
      </w:r>
      <w:r>
        <w:rPr>
          <w:rFonts w:hint="cs"/>
          <w:noProof w:val="0"/>
          <w:rtl/>
        </w:rPr>
        <w:t>ל</w:t>
      </w:r>
      <w:hyperlink r:id="rId18" w:history="1">
        <w:r w:rsidR="00B458D6" w:rsidRPr="00B458D6">
          <w:rPr>
            <w:noProof w:val="0"/>
            <w:color w:val="0000FF"/>
            <w:u w:val="single"/>
            <w:rtl/>
          </w:rPr>
          <w:t>פקודת הסמים המסוכנים</w:t>
        </w:r>
      </w:hyperlink>
      <w:r>
        <w:rPr>
          <w:rFonts w:hint="cs"/>
          <w:rtl/>
        </w:rPr>
        <w:t xml:space="preserve"> [נוסח חדש], התשל"ג – 1973.</w:t>
      </w:r>
    </w:p>
    <w:p w14:paraId="07D7FB1B" w14:textId="77777777" w:rsidR="00382DB6" w:rsidRDefault="00382DB6" w:rsidP="00382DB6">
      <w:pPr>
        <w:pStyle w:val="aa"/>
        <w:numPr>
          <w:ilvl w:val="0"/>
          <w:numId w:val="1"/>
        </w:numPr>
        <w:spacing w:before="240" w:after="80" w:line="360" w:lineRule="auto"/>
        <w:jc w:val="both"/>
        <w:rPr>
          <w:noProof w:val="0"/>
        </w:rPr>
      </w:pPr>
      <w:bookmarkStart w:id="6" w:name="ABSTRACT_END"/>
      <w:bookmarkEnd w:id="6"/>
      <w:r>
        <w:rPr>
          <w:rtl/>
        </w:rPr>
        <w:t xml:space="preserve"> </w:t>
      </w:r>
      <w:r>
        <w:rPr>
          <w:rFonts w:hint="cs"/>
          <w:noProof w:val="0"/>
          <w:rtl/>
        </w:rPr>
        <w:t>על פי כתב האישום המתוקן, ביום 25.02.20, בשעה 21:54 או בסמוך לכך, ברחוב מנחם בגין 14 בתל אביב, מכר הנאשם לשוטר אלירן חדד (להלן: "</w:t>
      </w:r>
      <w:r>
        <w:rPr>
          <w:rFonts w:hint="cs"/>
          <w:b/>
          <w:bCs/>
          <w:noProof w:val="0"/>
          <w:rtl/>
        </w:rPr>
        <w:t>השוטר</w:t>
      </w:r>
      <w:r>
        <w:rPr>
          <w:rFonts w:hint="cs"/>
          <w:noProof w:val="0"/>
          <w:rtl/>
        </w:rPr>
        <w:t>") סם מסוכן מסוג קנבוס במשקל 10.24 גרם נטו וזאת בתמורה ל-1000 ₪.</w:t>
      </w:r>
    </w:p>
    <w:p w14:paraId="03C8FAA7" w14:textId="77777777" w:rsidR="00382DB6" w:rsidRDefault="00382DB6" w:rsidP="00382DB6">
      <w:pPr>
        <w:pStyle w:val="aa"/>
        <w:spacing w:before="240" w:after="80" w:line="360" w:lineRule="auto"/>
        <w:ind w:left="360"/>
        <w:jc w:val="both"/>
        <w:rPr>
          <w:noProof w:val="0"/>
        </w:rPr>
      </w:pPr>
      <w:r>
        <w:rPr>
          <w:rFonts w:hint="cs"/>
          <w:noProof w:val="0"/>
          <w:rtl/>
        </w:rPr>
        <w:t>ביום 09.03.20, בשעה 20:09 או בסמוך לכך, ברחוב מנחם בגין 116 בתל אביב, מכר הנאשם לשוטר סם מסוכן מסוג קנבוס במשקל 10.32 גרם נטו וזאת בתמורה ל-1000 ₪.</w:t>
      </w:r>
    </w:p>
    <w:p w14:paraId="504482DA" w14:textId="77777777" w:rsidR="00382DB6" w:rsidRDefault="00382DB6" w:rsidP="00382DB6">
      <w:pPr>
        <w:pStyle w:val="aa"/>
        <w:numPr>
          <w:ilvl w:val="0"/>
          <w:numId w:val="1"/>
        </w:numPr>
        <w:spacing w:before="240" w:after="80" w:line="360" w:lineRule="auto"/>
        <w:jc w:val="both"/>
        <w:rPr>
          <w:noProof w:val="0"/>
          <w:rtl/>
        </w:rPr>
      </w:pPr>
      <w:r>
        <w:rPr>
          <w:rFonts w:hint="cs"/>
          <w:noProof w:val="0"/>
          <w:rtl/>
        </w:rPr>
        <w:t xml:space="preserve">הנאשם הודה בפניי בכתב האישום וטרם הורשע הופנה בהסכמת הצדדים לשירות המבחן לקבלת תסקיר בעניינו, אשר ייבחן, בין היתר, את ביטול הרשעתו. </w:t>
      </w:r>
      <w:r w:rsidRPr="00382DB6">
        <w:rPr>
          <w:rFonts w:hint="cs"/>
          <w:color w:val="000000"/>
          <w:rtl/>
        </w:rPr>
        <w:t>הסדר הטיעון לא כלל הסכמה לעניין העונש, והמאשימה הציגה עמדתה לפיה</w:t>
      </w:r>
      <w:r>
        <w:rPr>
          <w:rFonts w:hint="cs"/>
          <w:b/>
          <w:noProof w:val="0"/>
          <w:rtl/>
        </w:rPr>
        <w:t xml:space="preserve"> אם יתקבל בעניינו של הנאשם תסקיר חיובי המצביע על נטילת אחריות, שיתוף פעולה עם שירות המבחן וה</w:t>
      </w:r>
      <w:r>
        <w:rPr>
          <w:rFonts w:hint="cs"/>
          <w:noProof w:val="0"/>
          <w:rtl/>
        </w:rPr>
        <w:t xml:space="preserve">עדר תיקים נוספים, </w:t>
      </w:r>
      <w:r>
        <w:rPr>
          <w:rFonts w:hint="cs"/>
          <w:noProof w:val="0"/>
          <w:rtl/>
        </w:rPr>
        <w:lastRenderedPageBreak/>
        <w:t xml:space="preserve">תעתור לעונש מאסר שיכול וירוצה בעבודות שירות, וזאת בכפוף לכך שיימצא מתאים, לצד רכיבים נלווים. </w:t>
      </w:r>
      <w:r>
        <w:rPr>
          <w:rFonts w:hint="cs"/>
          <w:rtl/>
        </w:rPr>
        <w:t xml:space="preserve">בהתאם להסדר הדיוני, </w:t>
      </w:r>
      <w:r w:rsidRPr="00382DB6">
        <w:rPr>
          <w:rFonts w:hint="cs"/>
          <w:color w:val="000000"/>
          <w:rtl/>
        </w:rPr>
        <w:t>ב"כ הנאשם אינו מוגבל בטיעוניו.</w:t>
      </w:r>
    </w:p>
    <w:p w14:paraId="6F5CC926" w14:textId="77777777" w:rsidR="00382DB6" w:rsidRDefault="00382DB6" w:rsidP="00382DB6">
      <w:pPr>
        <w:pStyle w:val="aa"/>
        <w:spacing w:after="80" w:line="360" w:lineRule="auto"/>
        <w:ind w:left="357"/>
        <w:jc w:val="both"/>
        <w:rPr>
          <w:noProof w:val="0"/>
        </w:rPr>
      </w:pPr>
    </w:p>
    <w:p w14:paraId="559D9C7B" w14:textId="77777777" w:rsidR="00382DB6" w:rsidRDefault="00382DB6" w:rsidP="00382DB6">
      <w:pPr>
        <w:spacing w:line="360" w:lineRule="auto"/>
        <w:rPr>
          <w:b/>
          <w:bCs/>
          <w:noProof w:val="0"/>
          <w:sz w:val="32"/>
          <w:szCs w:val="32"/>
          <w:u w:val="single"/>
        </w:rPr>
      </w:pPr>
      <w:r>
        <w:rPr>
          <w:b/>
          <w:bCs/>
          <w:sz w:val="32"/>
          <w:szCs w:val="32"/>
          <w:u w:val="single"/>
          <w:rtl/>
        </w:rPr>
        <w:t>תסקירי שירות המבחן</w:t>
      </w:r>
    </w:p>
    <w:p w14:paraId="1A890742" w14:textId="77777777" w:rsidR="00382DB6" w:rsidRDefault="00382DB6" w:rsidP="00382DB6">
      <w:pPr>
        <w:pStyle w:val="aa"/>
        <w:numPr>
          <w:ilvl w:val="0"/>
          <w:numId w:val="1"/>
        </w:numPr>
        <w:spacing w:before="240" w:after="80" w:line="360" w:lineRule="auto"/>
        <w:jc w:val="both"/>
        <w:rPr>
          <w:noProof w:val="0"/>
          <w:rtl/>
        </w:rPr>
      </w:pPr>
      <w:r>
        <w:rPr>
          <w:rFonts w:hint="cs"/>
          <w:noProof w:val="0"/>
          <w:rtl/>
        </w:rPr>
        <w:t>מתסקיר שירות המבחן בעניינו של הנאשם מיום 03/04/22 עולה כי הנאשם כבן 30, רווק, מתגורר בבית הוריו.</w:t>
      </w:r>
    </w:p>
    <w:p w14:paraId="15E82A06" w14:textId="77777777" w:rsidR="00382DB6" w:rsidRDefault="00382DB6" w:rsidP="00382DB6">
      <w:pPr>
        <w:pStyle w:val="aa"/>
        <w:spacing w:before="240" w:after="80" w:line="360" w:lineRule="auto"/>
        <w:ind w:left="360"/>
        <w:jc w:val="both"/>
        <w:rPr>
          <w:noProof w:val="0"/>
        </w:rPr>
      </w:pPr>
      <w:r>
        <w:rPr>
          <w:rFonts w:hint="cs"/>
          <w:noProof w:val="0"/>
          <w:rtl/>
        </w:rPr>
        <w:t>הנאשם סיים שירות צבאי מלא בהתנדבות על אף פטור רפואי שקיבל ומזה כשנה וחצי עובד באגף החינוך הבלתי פורמלי של עיריית רמת גן כמדריך בצהרונים.</w:t>
      </w:r>
    </w:p>
    <w:p w14:paraId="06A0E0C1" w14:textId="77777777" w:rsidR="00382DB6" w:rsidRDefault="00382DB6" w:rsidP="00382DB6">
      <w:pPr>
        <w:pStyle w:val="aa"/>
        <w:spacing w:before="240" w:after="80" w:line="360" w:lineRule="auto"/>
        <w:ind w:left="360"/>
        <w:jc w:val="both"/>
        <w:rPr>
          <w:noProof w:val="0"/>
          <w:rtl/>
        </w:rPr>
      </w:pPr>
      <w:r>
        <w:rPr>
          <w:rFonts w:hint="cs"/>
          <w:noProof w:val="0"/>
          <w:rtl/>
        </w:rPr>
        <w:t xml:space="preserve">הנאשם סובל ממחלת נוירופיברומטוזיס מסוג 1, מחלה תורשתית העלולה לגרום לנזק רב לצד כאבים פיסיים. </w:t>
      </w:r>
    </w:p>
    <w:p w14:paraId="64DB04E8" w14:textId="77777777" w:rsidR="00382DB6" w:rsidRDefault="00382DB6" w:rsidP="00382DB6">
      <w:pPr>
        <w:pStyle w:val="aa"/>
        <w:spacing w:before="240" w:after="80" w:line="360" w:lineRule="auto"/>
        <w:ind w:left="360"/>
        <w:jc w:val="both"/>
        <w:rPr>
          <w:noProof w:val="0"/>
          <w:rtl/>
        </w:rPr>
      </w:pPr>
      <w:r>
        <w:rPr>
          <w:rFonts w:hint="cs"/>
          <w:noProof w:val="0"/>
          <w:rtl/>
        </w:rPr>
        <w:t xml:space="preserve">מעיון בגיליון רישומו הפלילי עולה כי זוהי מעורבותו הראשונה והיחידה בפלילים של הנאשם. הנאשם תיאר בפני שירות המבחן כי התנסה לפני כשנתיים בגפו בשימוש בקנאביס כניסיון להפחית כאב פיזי ממנו סבל, מה שגרם לרגרסיה במצבו הנפשי. כיום נוטל קנאביס בהמלצת רופא על פי רישיון, ומתאר הטבה במצבו הפיזי והרגשי. </w:t>
      </w:r>
    </w:p>
    <w:p w14:paraId="41582C58" w14:textId="77777777" w:rsidR="00382DB6" w:rsidRDefault="00382DB6" w:rsidP="00382DB6">
      <w:pPr>
        <w:pStyle w:val="aa"/>
        <w:spacing w:before="240" w:after="80" w:line="360" w:lineRule="auto"/>
        <w:ind w:left="360"/>
        <w:jc w:val="both"/>
        <w:rPr>
          <w:noProof w:val="0"/>
          <w:rtl/>
        </w:rPr>
      </w:pPr>
      <w:r>
        <w:rPr>
          <w:rFonts w:hint="cs"/>
          <w:noProof w:val="0"/>
          <w:rtl/>
        </w:rPr>
        <w:t>באשר לעבירות נשוא הדיון הנוכחי, תיאר כי צרך קנאביס לשימושו העצמי בכדי להקל על כאבים פיסיים כרוניים מהם סבל ובהיעדר הטבה במצבו החליט למכור את מה שנותר ברשותו, מתאר כי עשה זאת בשל שיקול דעת לקוי ורצון להרוויח חזרה את הכסף אותו הוציא לרכישת הקנאביס אך שלל רצון ברווחים כספיים מעבר לכך והביע צער וחרטה.</w:t>
      </w:r>
    </w:p>
    <w:p w14:paraId="6EAA13AB" w14:textId="77777777" w:rsidR="00382DB6" w:rsidRDefault="00382DB6" w:rsidP="00382DB6">
      <w:pPr>
        <w:pStyle w:val="aa"/>
        <w:spacing w:before="240" w:after="80" w:line="360" w:lineRule="auto"/>
        <w:ind w:left="360"/>
        <w:jc w:val="both"/>
        <w:rPr>
          <w:noProof w:val="0"/>
          <w:rtl/>
        </w:rPr>
      </w:pPr>
      <w:r>
        <w:rPr>
          <w:rFonts w:hint="cs"/>
          <w:noProof w:val="0"/>
          <w:rtl/>
        </w:rPr>
        <w:t xml:space="preserve">מעיון בחוות דעת פרטית מטעם הפסיכולוגית המטפלת בנאשם באופן פרטני עולה כי הנאשם מוכר לה משנת 2007 ותיארה אודות מצבו הנפשי. לא ארחיב לעניין זה מפאת צנעת הפרט, אולם אציין כי הנאשם מתמיד להגיע באופן רצוף למפגשים הפרטניים וכי התרשמה מהטבה במצבו. </w:t>
      </w:r>
    </w:p>
    <w:p w14:paraId="0DC16FF3" w14:textId="77777777" w:rsidR="00382DB6" w:rsidRDefault="00382DB6" w:rsidP="00382DB6">
      <w:pPr>
        <w:pStyle w:val="aa"/>
        <w:spacing w:after="80" w:line="360" w:lineRule="auto"/>
        <w:ind w:left="360"/>
        <w:jc w:val="both"/>
        <w:rPr>
          <w:noProof w:val="0"/>
          <w:rtl/>
        </w:rPr>
      </w:pPr>
      <w:r>
        <w:rPr>
          <w:rFonts w:hint="cs"/>
          <w:noProof w:val="0"/>
          <w:rtl/>
        </w:rPr>
        <w:t>שירות המבחן מעריך כי ביכולתו של הקשר טיפולי של הנאשם עם  הפסיכולוגית לסייע בהפחתת הסיכון במצבו וממליץ על העמדתו בצו מבחן למשך שנה לצד צו של"צ בהיקף של 250 שעות.</w:t>
      </w:r>
    </w:p>
    <w:p w14:paraId="50F07540" w14:textId="77777777" w:rsidR="00382DB6" w:rsidRDefault="00382DB6" w:rsidP="00382DB6">
      <w:pPr>
        <w:pStyle w:val="aa"/>
        <w:spacing w:after="80" w:line="360" w:lineRule="auto"/>
        <w:ind w:left="360"/>
        <w:jc w:val="both"/>
        <w:rPr>
          <w:noProof w:val="0"/>
          <w:rtl/>
        </w:rPr>
      </w:pPr>
      <w:r>
        <w:rPr>
          <w:rFonts w:hint="cs"/>
          <w:noProof w:val="0"/>
          <w:rtl/>
        </w:rPr>
        <w:t>באשר להרשעת הנאשם, שירות המבחן סבור כי על אף חומרת העבירות, נוכח היעדר עבר פלילי, נטילת אחריות ופגיעה קונקרטית בסיכויי המשך השתלבותו התעסוקתית (אף בהיעדר מסמכים קונקרטיים), נכון לשקול ביטול הרשעת הנאשם.</w:t>
      </w:r>
    </w:p>
    <w:p w14:paraId="33CEE607" w14:textId="77777777" w:rsidR="00382DB6" w:rsidRPr="00382DB6" w:rsidRDefault="00382DB6" w:rsidP="00382DB6">
      <w:pPr>
        <w:spacing w:before="240" w:after="80" w:line="360" w:lineRule="auto"/>
        <w:jc w:val="both"/>
        <w:rPr>
          <w:b/>
          <w:bCs/>
          <w:color w:val="000000"/>
          <w:sz w:val="28"/>
          <w:szCs w:val="28"/>
          <w:u w:val="single"/>
          <w:rtl/>
        </w:rPr>
      </w:pPr>
      <w:r w:rsidRPr="00382DB6">
        <w:rPr>
          <w:b/>
          <w:bCs/>
          <w:color w:val="000000"/>
          <w:sz w:val="28"/>
          <w:szCs w:val="28"/>
          <w:u w:val="single"/>
          <w:rtl/>
        </w:rPr>
        <w:t>טיעוני הצדדים</w:t>
      </w:r>
    </w:p>
    <w:p w14:paraId="235B62DA" w14:textId="77777777" w:rsidR="00382DB6" w:rsidRDefault="00382DB6" w:rsidP="00382DB6">
      <w:pPr>
        <w:pStyle w:val="aa"/>
        <w:numPr>
          <w:ilvl w:val="0"/>
          <w:numId w:val="1"/>
        </w:numPr>
        <w:spacing w:after="80" w:line="360" w:lineRule="auto"/>
        <w:ind w:left="357" w:hanging="357"/>
        <w:jc w:val="both"/>
      </w:pPr>
      <w:r>
        <w:rPr>
          <w:rFonts w:hint="cs"/>
          <w:b/>
          <w:bCs/>
          <w:rtl/>
        </w:rPr>
        <w:t xml:space="preserve">התובעת המלומדת </w:t>
      </w:r>
      <w:r>
        <w:rPr>
          <w:rFonts w:hint="cs"/>
          <w:rtl/>
        </w:rPr>
        <w:t>חזרה על עובדות כתב האישום, לפיהן מדובר בשני אירועי סחר, פעמיים במהלך שבועיים ממניע כלכלי טהור ועשה מעשיו לצורך רווח כלכלי מהיר.</w:t>
      </w:r>
    </w:p>
    <w:p w14:paraId="03EC038A" w14:textId="77777777" w:rsidR="00382DB6" w:rsidRDefault="00382DB6" w:rsidP="00382DB6">
      <w:pPr>
        <w:pStyle w:val="aa"/>
        <w:spacing w:after="80" w:line="360" w:lineRule="auto"/>
        <w:ind w:left="357"/>
        <w:jc w:val="both"/>
      </w:pPr>
      <w:r>
        <w:rPr>
          <w:rFonts w:hint="cs"/>
          <w:rtl/>
        </w:rPr>
        <w:t xml:space="preserve">התובעת הפנתה לערך החברתי שנפגע מפעילות הנאשם וביקשה לבכר את האינטרס הציבורי של הרתעת עברייני סמים, על פני הנסיבות האישיות. </w:t>
      </w:r>
    </w:p>
    <w:p w14:paraId="10507D68" w14:textId="77777777" w:rsidR="00382DB6" w:rsidRDefault="00382DB6" w:rsidP="00382DB6">
      <w:pPr>
        <w:pStyle w:val="aa"/>
        <w:spacing w:after="80" w:line="360" w:lineRule="auto"/>
        <w:ind w:left="357"/>
        <w:jc w:val="both"/>
        <w:rPr>
          <w:rtl/>
        </w:rPr>
      </w:pPr>
      <w:r>
        <w:rPr>
          <w:rFonts w:hint="cs"/>
          <w:rtl/>
        </w:rPr>
        <w:t>התובעת ביקשה לקבוע את מתחם העונש ההולם כנע בין 6 ל-18 חודשי מאסר והפנתה לפסיקה. לדבריה, הנאשם אינו עומד במבחני הלכת כתב ולטעמה אין מדובר באירוע ספונטני, אלא באירוע מתוכנן.</w:t>
      </w:r>
    </w:p>
    <w:p w14:paraId="7AE7C210" w14:textId="77777777" w:rsidR="00382DB6" w:rsidRDefault="00382DB6" w:rsidP="00382DB6">
      <w:pPr>
        <w:pStyle w:val="aa"/>
        <w:spacing w:after="80" w:line="360" w:lineRule="auto"/>
        <w:ind w:left="357"/>
        <w:jc w:val="both"/>
        <w:rPr>
          <w:rtl/>
        </w:rPr>
      </w:pPr>
      <w:r>
        <w:rPr>
          <w:rFonts w:hint="cs"/>
          <w:rtl/>
        </w:rPr>
        <w:lastRenderedPageBreak/>
        <w:t>לשיטתה, כאשר שמים על כף המאזניים את טיב העבירה וחומרתה, האינטרס הציבורי והמסר שצריך להשמע בגנות העבירה והחובה להרתיע הציבור מול הנזק הלא מוכח של הנאשם – הכף נוטה לטובת הרשעת הנאשם.</w:t>
      </w:r>
    </w:p>
    <w:p w14:paraId="280CE45D" w14:textId="77777777" w:rsidR="00382DB6" w:rsidRDefault="00382DB6" w:rsidP="00382DB6">
      <w:pPr>
        <w:pStyle w:val="aa"/>
        <w:spacing w:after="80" w:line="360" w:lineRule="auto"/>
        <w:ind w:left="357"/>
        <w:jc w:val="both"/>
        <w:rPr>
          <w:rtl/>
        </w:rPr>
      </w:pPr>
      <w:r>
        <w:rPr>
          <w:rFonts w:hint="cs"/>
          <w:rtl/>
        </w:rPr>
        <w:t xml:space="preserve">התובעת ביקשה למקם את הנאשם בשליש התחתון של המתחם ולהשית על הנאשם 6 חודשי מאסר שיכול וירוצו בעבודות שירות וזאת לצד מאסר על תנאי, קנס ופסילה על תנאי. </w:t>
      </w:r>
    </w:p>
    <w:p w14:paraId="11A183B4" w14:textId="77777777" w:rsidR="00382DB6" w:rsidRDefault="00382DB6" w:rsidP="00382DB6">
      <w:pPr>
        <w:pStyle w:val="aa"/>
        <w:numPr>
          <w:ilvl w:val="0"/>
          <w:numId w:val="1"/>
        </w:numPr>
        <w:spacing w:before="240" w:after="80" w:line="360" w:lineRule="auto"/>
        <w:ind w:left="357" w:hanging="357"/>
        <w:jc w:val="both"/>
        <w:rPr>
          <w:rtl/>
        </w:rPr>
      </w:pPr>
      <w:r>
        <w:rPr>
          <w:rFonts w:hint="cs"/>
          <w:b/>
          <w:bCs/>
          <w:rtl/>
        </w:rPr>
        <w:t xml:space="preserve">הסנגור המלומד </w:t>
      </w:r>
      <w:r>
        <w:rPr>
          <w:rFonts w:hint="cs"/>
          <w:rtl/>
        </w:rPr>
        <w:t>ביקש לבטל הרשעת הנאשם נוכח תסקיר שירות המבחן והעולה ממנו. לדברי הסנגור אמנם הכלל הינו הרשעה, אך לסברתו גם בעבירות סחר בסמים ניתן לסיים ההליך בהיעדר הרשעה במקרים ספציפיים.</w:t>
      </w:r>
    </w:p>
    <w:p w14:paraId="7C46418A" w14:textId="77777777" w:rsidR="00382DB6" w:rsidRDefault="00382DB6" w:rsidP="00382DB6">
      <w:pPr>
        <w:pStyle w:val="aa"/>
        <w:spacing w:before="240" w:after="80" w:line="360" w:lineRule="auto"/>
        <w:ind w:left="357"/>
        <w:jc w:val="both"/>
      </w:pPr>
      <w:r>
        <w:rPr>
          <w:rFonts w:hint="cs"/>
          <w:rtl/>
        </w:rPr>
        <w:t>הסנגור הגיש סיכום מהפסיכולוגית המטפלת בנאשם (</w:t>
      </w:r>
      <w:r>
        <w:rPr>
          <w:rFonts w:hint="cs"/>
          <w:b/>
          <w:bCs/>
          <w:rtl/>
        </w:rPr>
        <w:t>נ/1</w:t>
      </w:r>
      <w:r>
        <w:rPr>
          <w:rFonts w:hint="cs"/>
          <w:rtl/>
        </w:rPr>
        <w:t>) והפנה למצבו הנפשי והפיזי של הנאשם אשר "דחף אותו", כך לדבריו, לנסות ולצרוך קנאביס טרם קבלת הרישיון. לדברי הסנגור הנאשם לא גרף רווח מן העבירה.</w:t>
      </w:r>
    </w:p>
    <w:p w14:paraId="2E4D5155" w14:textId="77777777" w:rsidR="00382DB6" w:rsidRDefault="00382DB6" w:rsidP="00382DB6">
      <w:pPr>
        <w:pStyle w:val="aa"/>
        <w:spacing w:before="240" w:after="80" w:line="360" w:lineRule="auto"/>
        <w:ind w:left="357"/>
        <w:jc w:val="both"/>
        <w:rPr>
          <w:rtl/>
        </w:rPr>
      </w:pPr>
      <w:r>
        <w:rPr>
          <w:rFonts w:hint="cs"/>
          <w:rtl/>
        </w:rPr>
        <w:t>נסיבות ביצוע העבירה והעושה הם יוצאי הדופן פה וזאת הן נוכח מצבו והן נוכח חרטתו האמיתית.</w:t>
      </w:r>
    </w:p>
    <w:p w14:paraId="6735E9A4" w14:textId="77777777" w:rsidR="00382DB6" w:rsidRDefault="00382DB6" w:rsidP="00382DB6">
      <w:pPr>
        <w:pStyle w:val="aa"/>
        <w:spacing w:before="240" w:after="80" w:line="360" w:lineRule="auto"/>
        <w:ind w:left="357"/>
        <w:jc w:val="both"/>
        <w:rPr>
          <w:rtl/>
        </w:rPr>
      </w:pPr>
      <w:r>
        <w:rPr>
          <w:rFonts w:hint="cs"/>
          <w:rtl/>
        </w:rPr>
        <w:t>הנאשם צורך סם ברישיון אך מנהל אורח חיים נורמטיבי, התגייס לצבא ושירת שירות צבאי מלא על אף הפטור שקיבל, סיים בגרות מלאה והתקבל ללימודי רפואה אלטרנטיבית. כיום הנאשם עובד בבית ספר עם תלמידים ותורם לחברה והפגיעה הקונקרטית ברורה.</w:t>
      </w:r>
    </w:p>
    <w:p w14:paraId="1A512886" w14:textId="77777777" w:rsidR="00382DB6" w:rsidRDefault="00382DB6" w:rsidP="00382DB6">
      <w:pPr>
        <w:pStyle w:val="aa"/>
        <w:spacing w:before="240" w:after="80" w:line="360" w:lineRule="auto"/>
        <w:ind w:left="357"/>
        <w:jc w:val="both"/>
        <w:rPr>
          <w:rtl/>
        </w:rPr>
      </w:pPr>
      <w:r>
        <w:rPr>
          <w:rFonts w:hint="cs"/>
          <w:rtl/>
        </w:rPr>
        <w:t>לכן עתר הסנגור להותיר את הקביעה שהנאשם ביצע העבירה ומבלי להרשיעו.</w:t>
      </w:r>
    </w:p>
    <w:p w14:paraId="368C5E65" w14:textId="77777777" w:rsidR="00382DB6" w:rsidRDefault="00382DB6" w:rsidP="00382DB6">
      <w:pPr>
        <w:pStyle w:val="aa"/>
        <w:spacing w:after="80" w:line="360" w:lineRule="auto"/>
        <w:ind w:left="360"/>
        <w:jc w:val="both"/>
        <w:rPr>
          <w:noProof w:val="0"/>
          <w:rtl/>
        </w:rPr>
      </w:pPr>
      <w:r>
        <w:rPr>
          <w:rFonts w:hint="cs"/>
          <w:noProof w:val="0"/>
          <w:rtl/>
        </w:rPr>
        <w:t>הסנגור הגיש פסיקה.</w:t>
      </w:r>
    </w:p>
    <w:p w14:paraId="420E07A2" w14:textId="77777777" w:rsidR="00382DB6" w:rsidRDefault="00382DB6" w:rsidP="00382DB6">
      <w:pPr>
        <w:pStyle w:val="aa"/>
        <w:numPr>
          <w:ilvl w:val="0"/>
          <w:numId w:val="1"/>
        </w:numPr>
        <w:spacing w:before="240" w:after="80" w:line="360" w:lineRule="auto"/>
        <w:ind w:left="357" w:hanging="357"/>
        <w:jc w:val="both"/>
        <w:rPr>
          <w:b/>
          <w:bCs/>
          <w:rtl/>
        </w:rPr>
      </w:pPr>
      <w:r>
        <w:rPr>
          <w:rFonts w:hint="cs"/>
          <w:b/>
          <w:bCs/>
          <w:rtl/>
        </w:rPr>
        <w:t>התובעת המלומדת</w:t>
      </w:r>
      <w:r>
        <w:rPr>
          <w:rFonts w:hint="cs"/>
          <w:rtl/>
        </w:rPr>
        <w:t xml:space="preserve"> התייחסה לפסיקה שהגיש הסנגור ואיבחנה אותה מהמקרה שלפנינו.</w:t>
      </w:r>
    </w:p>
    <w:p w14:paraId="2F479B82" w14:textId="77777777" w:rsidR="00382DB6" w:rsidRDefault="00382DB6" w:rsidP="00382DB6">
      <w:pPr>
        <w:pStyle w:val="aa"/>
        <w:numPr>
          <w:ilvl w:val="0"/>
          <w:numId w:val="1"/>
        </w:numPr>
        <w:spacing w:before="240" w:after="80" w:line="360" w:lineRule="auto"/>
        <w:ind w:left="357" w:hanging="357"/>
        <w:jc w:val="both"/>
      </w:pPr>
      <w:r>
        <w:rPr>
          <w:rFonts w:hint="cs"/>
          <w:b/>
          <w:bCs/>
          <w:rtl/>
        </w:rPr>
        <w:t>הנאשם בדברו האחרון</w:t>
      </w:r>
      <w:r>
        <w:rPr>
          <w:rFonts w:hint="cs"/>
          <w:rtl/>
        </w:rPr>
        <w:t xml:space="preserve"> הביע חרטה על מעשיו.</w:t>
      </w:r>
    </w:p>
    <w:p w14:paraId="692592E8" w14:textId="77777777" w:rsidR="00382DB6" w:rsidRPr="00382DB6" w:rsidRDefault="00382DB6" w:rsidP="00382DB6">
      <w:pPr>
        <w:spacing w:before="240" w:after="80" w:line="360" w:lineRule="auto"/>
        <w:jc w:val="both"/>
        <w:rPr>
          <w:b/>
          <w:bCs/>
          <w:color w:val="000000"/>
          <w:sz w:val="28"/>
          <w:szCs w:val="28"/>
          <w:u w:val="single"/>
          <w:rtl/>
        </w:rPr>
      </w:pPr>
      <w:r w:rsidRPr="00382DB6">
        <w:rPr>
          <w:b/>
          <w:bCs/>
          <w:color w:val="000000"/>
          <w:sz w:val="28"/>
          <w:szCs w:val="28"/>
          <w:u w:val="single"/>
          <w:rtl/>
        </w:rPr>
        <w:t>דיון והכרעה</w:t>
      </w:r>
    </w:p>
    <w:p w14:paraId="6181AF76" w14:textId="77777777" w:rsidR="00382DB6" w:rsidRDefault="00382DB6" w:rsidP="00382DB6">
      <w:pPr>
        <w:pStyle w:val="aa"/>
        <w:spacing w:after="80" w:line="360" w:lineRule="auto"/>
        <w:ind w:left="360"/>
        <w:jc w:val="both"/>
        <w:rPr>
          <w:b/>
          <w:bCs/>
          <w:u w:val="single"/>
          <w:rtl/>
        </w:rPr>
      </w:pPr>
      <w:r>
        <w:rPr>
          <w:rFonts w:hint="cs"/>
          <w:b/>
          <w:bCs/>
          <w:u w:val="single"/>
          <w:rtl/>
        </w:rPr>
        <w:t>סוגיית ביטול ההרשעה</w:t>
      </w:r>
    </w:p>
    <w:p w14:paraId="47353242" w14:textId="77777777" w:rsidR="00382DB6" w:rsidRPr="00382DB6" w:rsidRDefault="00382DB6" w:rsidP="00382DB6">
      <w:pPr>
        <w:pStyle w:val="aa"/>
        <w:numPr>
          <w:ilvl w:val="0"/>
          <w:numId w:val="1"/>
        </w:numPr>
        <w:spacing w:before="240" w:after="80" w:line="360" w:lineRule="auto"/>
        <w:ind w:left="357" w:hanging="357"/>
        <w:jc w:val="both"/>
        <w:rPr>
          <w:color w:val="000000"/>
          <w:rtl/>
        </w:rPr>
      </w:pPr>
      <w:r w:rsidRPr="00382DB6">
        <w:rPr>
          <w:rFonts w:hint="cs"/>
          <w:color w:val="000000"/>
          <w:rtl/>
        </w:rPr>
        <w:t xml:space="preserve">בחינת סוגית ביטול הרשעה פלילית, בהתאם לפסיקה, קודמת לבחינת מדיניות הענישה בהתאם לתיקון </w:t>
      </w:r>
      <w:r>
        <w:rPr>
          <w:rFonts w:hint="cs"/>
          <w:rtl/>
        </w:rPr>
        <w:t>113</w:t>
      </w:r>
      <w:r w:rsidRPr="00382DB6">
        <w:rPr>
          <w:rFonts w:hint="cs"/>
          <w:color w:val="000000"/>
          <w:rtl/>
        </w:rPr>
        <w:t xml:space="preserve"> לחוק </w:t>
      </w:r>
      <w:r>
        <w:rPr>
          <w:rFonts w:hint="cs"/>
          <w:rtl/>
        </w:rPr>
        <w:t>(</w:t>
      </w:r>
      <w:hyperlink r:id="rId19" w:history="1">
        <w:r w:rsidR="00B458D6" w:rsidRPr="00B458D6">
          <w:rPr>
            <w:color w:val="0000FF"/>
            <w:u w:val="single"/>
            <w:rtl/>
          </w:rPr>
          <w:t>רע"פ 2327/19</w:t>
        </w:r>
      </w:hyperlink>
      <w:r>
        <w:rPr>
          <w:rtl/>
        </w:rPr>
        <w:t xml:space="preserve"> </w:t>
      </w:r>
      <w:r>
        <w:rPr>
          <w:rFonts w:hint="cs"/>
          <w:b/>
          <w:bCs/>
          <w:rtl/>
        </w:rPr>
        <w:t xml:space="preserve">גוז מרסלו אדוארדו נ' מדינת ישראל </w:t>
      </w:r>
      <w:r>
        <w:rPr>
          <w:rFonts w:hint="cs"/>
          <w:rtl/>
        </w:rPr>
        <w:t>פסקאות 8 ו-11 (19.5.2019)), ויש לבחון אותה בטרם התייחסות למתחם העונש ההולם.</w:t>
      </w:r>
    </w:p>
    <w:p w14:paraId="5ED5F97F" w14:textId="77777777" w:rsidR="00382DB6" w:rsidRPr="00382DB6" w:rsidRDefault="00382DB6" w:rsidP="00A53239">
      <w:pPr>
        <w:pStyle w:val="aa"/>
        <w:numPr>
          <w:ilvl w:val="0"/>
          <w:numId w:val="1"/>
        </w:numPr>
        <w:spacing w:before="240" w:after="80" w:line="360" w:lineRule="auto"/>
        <w:ind w:left="357" w:hanging="357"/>
        <w:jc w:val="both"/>
        <w:rPr>
          <w:color w:val="000000"/>
          <w:rtl/>
        </w:rPr>
      </w:pPr>
      <w:r w:rsidRPr="00382DB6">
        <w:rPr>
          <w:rFonts w:hint="cs"/>
          <w:color w:val="000000"/>
          <w:rtl/>
        </w:rPr>
        <w:t xml:space="preserve">הכלל הוא כי מי שהוכחה אשמתו, יש להרשיעו בדין (כעולה </w:t>
      </w:r>
      <w:hyperlink r:id="rId20" w:history="1">
        <w:r w:rsidR="00A53239" w:rsidRPr="00A53239">
          <w:rPr>
            <w:rStyle w:val="Hyperlink"/>
            <w:rtl/>
          </w:rPr>
          <w:t>מסעיף 182</w:t>
        </w:r>
      </w:hyperlink>
      <w:r w:rsidR="00A53239">
        <w:rPr>
          <w:color w:val="000000"/>
          <w:rtl/>
        </w:rPr>
        <w:t xml:space="preserve"> </w:t>
      </w:r>
      <w:r w:rsidRPr="00382DB6">
        <w:rPr>
          <w:rFonts w:hint="cs"/>
          <w:color w:val="000000"/>
          <w:rtl/>
        </w:rPr>
        <w:t>ל</w:t>
      </w:r>
      <w:hyperlink r:id="rId21" w:history="1">
        <w:r w:rsidR="00A53239" w:rsidRPr="00A53239">
          <w:rPr>
            <w:rStyle w:val="Hyperlink"/>
            <w:rtl/>
          </w:rPr>
          <w:t>חוק סדר הדין הפלילי</w:t>
        </w:r>
      </w:hyperlink>
      <w:r w:rsidR="00A53239">
        <w:rPr>
          <w:color w:val="000000"/>
          <w:rtl/>
        </w:rPr>
        <w:t xml:space="preserve"> </w:t>
      </w:r>
      <w:r w:rsidRPr="00382DB6">
        <w:rPr>
          <w:rFonts w:hint="cs"/>
          <w:color w:val="000000"/>
          <w:rtl/>
        </w:rPr>
        <w:t>, התשמ"ב-1982 (להלן: "</w:t>
      </w:r>
      <w:hyperlink w:history="1">
        <w:r w:rsidRPr="00B458D6">
          <w:rPr>
            <w:rFonts w:hint="cs"/>
            <w:b/>
            <w:bCs/>
            <w:color w:val="000000"/>
            <w:rtl/>
          </w:rPr>
          <w:t>חסד"פ</w:t>
        </w:r>
      </w:hyperlink>
      <w:r w:rsidRPr="00382DB6">
        <w:rPr>
          <w:rFonts w:hint="cs"/>
          <w:color w:val="000000"/>
          <w:rtl/>
        </w:rPr>
        <w:t>"), וחריגה מהכלל תעשה רק במקרים "החריגים", זאת בהתאם ל</w:t>
      </w:r>
      <w:r w:rsidRPr="00382DB6">
        <w:rPr>
          <w:rFonts w:hint="cs"/>
          <w:b/>
          <w:bCs/>
          <w:color w:val="000000"/>
          <w:rtl/>
        </w:rPr>
        <w:t>חריג לכלל</w:t>
      </w:r>
      <w:r w:rsidRPr="00382DB6">
        <w:rPr>
          <w:rFonts w:hint="cs"/>
          <w:color w:val="000000"/>
          <w:rtl/>
        </w:rPr>
        <w:t xml:space="preserve"> הקבוע</w:t>
      </w:r>
      <w:r w:rsidRPr="00382DB6">
        <w:rPr>
          <w:rFonts w:hint="cs"/>
          <w:b/>
          <w:bCs/>
          <w:color w:val="000000"/>
          <w:rtl/>
        </w:rPr>
        <w:t xml:space="preserve"> </w:t>
      </w:r>
      <w:r w:rsidR="00A53239">
        <w:rPr>
          <w:b/>
          <w:bCs/>
          <w:color w:val="000000"/>
          <w:rtl/>
        </w:rPr>
        <w:t xml:space="preserve">בסעיף </w:t>
      </w:r>
      <w:hyperlink r:id="rId22" w:history="1">
        <w:r w:rsidR="00A53239" w:rsidRPr="00A53239">
          <w:rPr>
            <w:rStyle w:val="Hyperlink"/>
            <w:b/>
            <w:bCs/>
            <w:rtl/>
          </w:rPr>
          <w:t>192א</w:t>
        </w:r>
      </w:hyperlink>
      <w:r w:rsidR="00A53239">
        <w:rPr>
          <w:b/>
          <w:bCs/>
          <w:color w:val="000000"/>
          <w:rtl/>
        </w:rPr>
        <w:t xml:space="preserve"> </w:t>
      </w:r>
      <w:r w:rsidRPr="00382DB6">
        <w:rPr>
          <w:rFonts w:hint="cs"/>
          <w:color w:val="000000"/>
          <w:rtl/>
        </w:rPr>
        <w:t>ל</w:t>
      </w:r>
      <w:hyperlink w:history="1">
        <w:r w:rsidRPr="00B458D6">
          <w:rPr>
            <w:rFonts w:hint="cs"/>
            <w:color w:val="000000"/>
            <w:rtl/>
          </w:rPr>
          <w:t>חסד"פ</w:t>
        </w:r>
      </w:hyperlink>
      <w:r w:rsidRPr="00382DB6">
        <w:rPr>
          <w:rFonts w:hint="cs"/>
          <w:color w:val="000000"/>
          <w:rtl/>
        </w:rPr>
        <w:t xml:space="preserve">, שלפיו בית משפט שהרשיע נאשם </w:t>
      </w:r>
      <w:r w:rsidRPr="00382DB6">
        <w:rPr>
          <w:rFonts w:hint="cs"/>
          <w:b/>
          <w:bCs/>
          <w:color w:val="000000"/>
          <w:rtl/>
        </w:rPr>
        <w:t>רשאי</w:t>
      </w:r>
      <w:r w:rsidRPr="00382DB6">
        <w:rPr>
          <w:rFonts w:hint="cs"/>
          <w:color w:val="000000"/>
          <w:rtl/>
        </w:rPr>
        <w:t xml:space="preserve"> </w:t>
      </w:r>
      <w:r w:rsidRPr="00382DB6">
        <w:rPr>
          <w:rFonts w:hint="cs"/>
          <w:b/>
          <w:bCs/>
          <w:color w:val="000000"/>
          <w:rtl/>
        </w:rPr>
        <w:t>לבטל את ההרשעה</w:t>
      </w:r>
      <w:r w:rsidRPr="00382DB6">
        <w:rPr>
          <w:rFonts w:hint="cs"/>
          <w:color w:val="000000"/>
          <w:rtl/>
        </w:rPr>
        <w:t xml:space="preserve"> </w:t>
      </w:r>
      <w:r w:rsidRPr="00382DB6">
        <w:rPr>
          <w:rFonts w:hint="cs"/>
          <w:b/>
          <w:bCs/>
          <w:color w:val="000000"/>
          <w:rtl/>
        </w:rPr>
        <w:t>במסגרת גזר הדין</w:t>
      </w:r>
      <w:r w:rsidRPr="00382DB6">
        <w:rPr>
          <w:rFonts w:hint="cs"/>
          <w:color w:val="000000"/>
          <w:rtl/>
        </w:rPr>
        <w:t xml:space="preserve"> ולהטיל עליו צו מבחן או צו שירות לתועלת הציבור ללא הרשעה.</w:t>
      </w:r>
    </w:p>
    <w:p w14:paraId="51D17013" w14:textId="77777777" w:rsidR="00382DB6" w:rsidRPr="00382DB6" w:rsidRDefault="00382DB6" w:rsidP="00382DB6">
      <w:pPr>
        <w:pStyle w:val="aa"/>
        <w:numPr>
          <w:ilvl w:val="0"/>
          <w:numId w:val="1"/>
        </w:numPr>
        <w:spacing w:before="240" w:after="80" w:line="360" w:lineRule="auto"/>
        <w:ind w:left="357" w:hanging="357"/>
        <w:jc w:val="both"/>
        <w:rPr>
          <w:color w:val="000000"/>
        </w:rPr>
      </w:pPr>
      <w:r w:rsidRPr="00382DB6">
        <w:rPr>
          <w:rFonts w:hint="cs"/>
          <w:color w:val="000000"/>
          <w:rtl/>
        </w:rPr>
        <w:t xml:space="preserve">במסגרת ההחלטה האם להחיל את הכלל של חובת ההרשעה או שמא את החריג בדבר הימנעות מהרשעה או בדבר ביטולה, נדרש </w:t>
      </w:r>
      <w:r w:rsidRPr="00382DB6">
        <w:rPr>
          <w:rFonts w:hint="cs"/>
          <w:b/>
          <w:bCs/>
          <w:color w:val="000000"/>
          <w:rtl/>
        </w:rPr>
        <w:t>איזון שיקולים</w:t>
      </w:r>
      <w:r w:rsidRPr="00382DB6">
        <w:rPr>
          <w:rFonts w:hint="cs"/>
          <w:color w:val="000000"/>
          <w:rtl/>
        </w:rPr>
        <w:t xml:space="preserve">, המעמיד את האינטרס הציבורי אל מול נסיבותיו האינדיבידואליות של הנאשם; וככלל, </w:t>
      </w:r>
      <w:r w:rsidRPr="00382DB6">
        <w:rPr>
          <w:rFonts w:hint="cs"/>
          <w:b/>
          <w:bCs/>
          <w:color w:val="000000"/>
          <w:rtl/>
        </w:rPr>
        <w:t>אין להימנע מלהרשיע</w:t>
      </w:r>
      <w:r w:rsidRPr="00382DB6">
        <w:rPr>
          <w:rFonts w:hint="cs"/>
          <w:color w:val="000000"/>
          <w:rtl/>
        </w:rPr>
        <w:t xml:space="preserve"> נאשם אשר המיוחס לו הוכח כדין – </w:t>
      </w:r>
      <w:r w:rsidRPr="00382DB6">
        <w:rPr>
          <w:rFonts w:hint="cs"/>
          <w:b/>
          <w:bCs/>
          <w:color w:val="000000"/>
          <w:rtl/>
        </w:rPr>
        <w:t>רק בנסיבות יוצאות דופן, שבהן אין יחס סביר בין הנזק הצפוי מן ההרשעה בדין לבין חומרתה של העבירה</w:t>
      </w:r>
      <w:r w:rsidRPr="00382DB6">
        <w:rPr>
          <w:rFonts w:hint="cs"/>
          <w:color w:val="000000"/>
          <w:rtl/>
        </w:rPr>
        <w:t>.</w:t>
      </w:r>
    </w:p>
    <w:p w14:paraId="6AC57B2A" w14:textId="77777777" w:rsidR="00382DB6" w:rsidRDefault="00382DB6" w:rsidP="00382DB6">
      <w:pPr>
        <w:spacing w:after="80" w:line="360" w:lineRule="auto"/>
        <w:ind w:left="360"/>
        <w:jc w:val="both"/>
        <w:rPr>
          <w:rtl/>
        </w:rPr>
      </w:pPr>
      <w:r>
        <w:rPr>
          <w:rtl/>
        </w:rPr>
        <w:t xml:space="preserve">על פי הלכת </w:t>
      </w:r>
      <w:r>
        <w:rPr>
          <w:b/>
          <w:bCs/>
          <w:rtl/>
        </w:rPr>
        <w:t>כתב</w:t>
      </w:r>
      <w:r>
        <w:rPr>
          <w:rtl/>
        </w:rPr>
        <w:t xml:space="preserve"> הידועה (</w:t>
      </w:r>
      <w:hyperlink w:history="1">
        <w:r w:rsidRPr="00B458D6">
          <w:rPr>
            <w:color w:val="000000"/>
            <w:rtl/>
          </w:rPr>
          <w:t>ע"פ 2083/96</w:t>
        </w:r>
      </w:hyperlink>
      <w:r>
        <w:rPr>
          <w:rtl/>
        </w:rPr>
        <w:t xml:space="preserve"> </w:t>
      </w:r>
      <w:r>
        <w:rPr>
          <w:rFonts w:hint="cs"/>
          <w:b/>
          <w:bCs/>
          <w:rtl/>
        </w:rPr>
        <w:t>כתב</w:t>
      </w:r>
      <w:r>
        <w:rPr>
          <w:rFonts w:hint="cs"/>
          <w:rtl/>
        </w:rPr>
        <w:t xml:space="preserve"> נ' </w:t>
      </w:r>
      <w:r>
        <w:rPr>
          <w:rFonts w:hint="cs"/>
          <w:b/>
          <w:bCs/>
          <w:rtl/>
        </w:rPr>
        <w:t>מדינת ישראל</w:t>
      </w:r>
      <w:r>
        <w:rPr>
          <w:rFonts w:hint="cs"/>
          <w:rtl/>
        </w:rPr>
        <w:t xml:space="preserve"> [פורסם בנבו] (21.8.97)), החריג המאפשר אי הרשעה שמור למקרים בהם מתקיימים שני תנאים מצטברים:</w:t>
      </w:r>
    </w:p>
    <w:p w14:paraId="3512FA89" w14:textId="77777777" w:rsidR="00382DB6" w:rsidRPr="00382DB6" w:rsidRDefault="00382DB6" w:rsidP="00382DB6">
      <w:pPr>
        <w:spacing w:after="80" w:line="360" w:lineRule="auto"/>
        <w:ind w:left="720" w:right="680"/>
        <w:jc w:val="both"/>
        <w:rPr>
          <w:bCs/>
          <w:color w:val="000000"/>
          <w:rtl/>
        </w:rPr>
      </w:pPr>
      <w:r w:rsidRPr="00382DB6">
        <w:rPr>
          <w:bCs/>
          <w:color w:val="000000"/>
          <w:rtl/>
        </w:rPr>
        <w:t>"ראשית, על ההרשעה לפגוע פגיעה חמורה בשיקום הנאשם, ושנית, סוג העבירה מאפשר לוותר בנסיבות המקרה המסוים על ההרשעה בלי לפגוע באופן מהותי בשיקולי הענישה האחרים המפורטים לעיל."</w:t>
      </w:r>
    </w:p>
    <w:p w14:paraId="34223269" w14:textId="77777777" w:rsidR="00382DB6" w:rsidRPr="00382DB6" w:rsidRDefault="00382DB6" w:rsidP="00382DB6">
      <w:pPr>
        <w:pStyle w:val="aa"/>
        <w:numPr>
          <w:ilvl w:val="0"/>
          <w:numId w:val="1"/>
        </w:numPr>
        <w:spacing w:before="240" w:after="80" w:line="360" w:lineRule="auto"/>
        <w:ind w:left="357" w:hanging="357"/>
        <w:jc w:val="both"/>
        <w:rPr>
          <w:color w:val="000000"/>
          <w:rtl/>
        </w:rPr>
      </w:pPr>
      <w:r w:rsidRPr="00382DB6">
        <w:rPr>
          <w:rFonts w:hint="cs"/>
          <w:color w:val="000000"/>
          <w:rtl/>
        </w:rPr>
        <w:t>ביטול ההרשעה תעשה אך במקרים חריגים ויוצאי דופן, בהתקיים חוסר פרופורציה קיצוני בין עוצמת פגיעה ההרשעה בנאשם לבין התועלת לאינטרס הציבורי כתוצאה מהרשעה.</w:t>
      </w:r>
    </w:p>
    <w:p w14:paraId="1EF4BB6A" w14:textId="77777777" w:rsidR="00382DB6" w:rsidRDefault="00382DB6" w:rsidP="00382DB6">
      <w:pPr>
        <w:pStyle w:val="aa"/>
        <w:numPr>
          <w:ilvl w:val="0"/>
          <w:numId w:val="1"/>
        </w:numPr>
        <w:spacing w:before="240" w:after="80" w:line="360" w:lineRule="auto"/>
        <w:ind w:left="357" w:hanging="357"/>
        <w:jc w:val="both"/>
      </w:pPr>
      <w:r>
        <w:rPr>
          <w:rFonts w:hint="cs"/>
          <w:rtl/>
        </w:rPr>
        <w:t>כפי שחזר וקבע כבוד בית המשפט העליון (השופט ג' קרא), ב</w:t>
      </w:r>
      <w:hyperlink r:id="rId23" w:history="1">
        <w:r w:rsidR="00B458D6" w:rsidRPr="00B458D6">
          <w:rPr>
            <w:color w:val="0000FF"/>
            <w:u w:val="single"/>
            <w:rtl/>
          </w:rPr>
          <w:t>רע"פ 5478/19</w:t>
        </w:r>
      </w:hyperlink>
      <w:r>
        <w:rPr>
          <w:rFonts w:hint="cs"/>
          <w:rtl/>
        </w:rPr>
        <w:t xml:space="preserve"> </w:t>
      </w:r>
      <w:r>
        <w:rPr>
          <w:rFonts w:hint="cs"/>
          <w:b/>
          <w:bCs/>
          <w:rtl/>
        </w:rPr>
        <w:t>נטע לוין נגד מדינת ישראל</w:t>
      </w:r>
      <w:r>
        <w:rPr>
          <w:rFonts w:hint="cs"/>
          <w:rtl/>
        </w:rPr>
        <w:t xml:space="preserve"> (2019), אי הרשעה בעבירות סחר בסמים צריכה להיות נדירה שבנדירות, נוכח חומרתה- חוטא ומחטיא את הזולת. השאלה היא האם המקרה שבפנינו עומד ברף הגבוה שנפסק. </w:t>
      </w:r>
    </w:p>
    <w:p w14:paraId="2DC6A01C" w14:textId="77777777" w:rsidR="00382DB6" w:rsidRDefault="00382DB6" w:rsidP="00382DB6">
      <w:pPr>
        <w:pStyle w:val="aa"/>
        <w:numPr>
          <w:ilvl w:val="0"/>
          <w:numId w:val="1"/>
        </w:numPr>
        <w:spacing w:before="240" w:after="80" w:line="360" w:lineRule="auto"/>
        <w:ind w:left="357" w:hanging="357"/>
        <w:jc w:val="both"/>
      </w:pPr>
      <w:r w:rsidRPr="00382DB6">
        <w:rPr>
          <w:rFonts w:hint="cs"/>
          <w:color w:val="000000"/>
          <w:rtl/>
        </w:rPr>
        <w:t>מדובר בשני אירועים של מכירת סם מסוג קנבוס בכמות של כ-10 גרם לשוטר. נסיבות אלה אינן מגלות עבירה ברמה נמוכה</w:t>
      </w:r>
      <w:r>
        <w:rPr>
          <w:rFonts w:hint="cs"/>
          <w:rtl/>
        </w:rPr>
        <w:t xml:space="preserve"> של סחר בסמים, זאת על האף הנסיבות הייחודיות, כמפורט בתסקיר שירות המבחן.</w:t>
      </w:r>
    </w:p>
    <w:p w14:paraId="37F91A67" w14:textId="77777777" w:rsidR="00382DB6" w:rsidRDefault="00382DB6" w:rsidP="00382DB6">
      <w:pPr>
        <w:pStyle w:val="aa"/>
        <w:spacing w:before="240" w:after="80" w:line="360" w:lineRule="auto"/>
        <w:ind w:left="357"/>
        <w:jc w:val="both"/>
      </w:pPr>
      <w:r>
        <w:rPr>
          <w:rFonts w:hint="cs"/>
          <w:rtl/>
        </w:rPr>
        <w:t>כפי שפורט בהרחבה בתסקיר שירות המבחן, הנאשם צעיר, אשר אורח חייו הינו נורמטיבי, עובד בתחום החינוך הבלתי פורמלי וחייו אינם פשוטים. הנאשם הביע חרטה מיידית ועמוקה, הבין את הפסול במעשיו, ומסלול חייו כפי העולה מתסקיר שירות המבחן מנבא עתיד חיובי.</w:t>
      </w:r>
    </w:p>
    <w:p w14:paraId="6A76BF27" w14:textId="77777777" w:rsidR="00382DB6" w:rsidRDefault="00382DB6" w:rsidP="00382DB6">
      <w:pPr>
        <w:pStyle w:val="aa"/>
        <w:numPr>
          <w:ilvl w:val="0"/>
          <w:numId w:val="1"/>
        </w:numPr>
        <w:spacing w:before="240" w:after="80" w:line="360" w:lineRule="auto"/>
        <w:ind w:left="357" w:hanging="357"/>
        <w:jc w:val="both"/>
      </w:pPr>
      <w:r>
        <w:rPr>
          <w:rFonts w:hint="cs"/>
          <w:rtl/>
        </w:rPr>
        <w:t xml:space="preserve">לאחר שעיינתי בתסקיר שירות המבחן, שמעתי את טיעוני הצדדים, התרשמתי מן הנאשם באופן בלתי אמצעי, וסקרתי את פסיקת בתי המשפט השונים הדנה בסוגיית אי ההרשעה בעבירות הסחר בסמים (וראו </w:t>
      </w:r>
      <w:hyperlink r:id="rId24" w:history="1">
        <w:r w:rsidR="00B458D6" w:rsidRPr="00B458D6">
          <w:rPr>
            <w:color w:val="0000FF"/>
            <w:u w:val="single"/>
            <w:rtl/>
          </w:rPr>
          <w:t>ע"פ (מחוזי י-ם) 11045-09-18</w:t>
        </w:r>
      </w:hyperlink>
      <w:r>
        <w:rPr>
          <w:rFonts w:hint="cs"/>
          <w:rtl/>
        </w:rPr>
        <w:t xml:space="preserve"> </w:t>
      </w:r>
      <w:r>
        <w:rPr>
          <w:rFonts w:hint="cs"/>
          <w:b/>
          <w:bCs/>
          <w:rtl/>
        </w:rPr>
        <w:t xml:space="preserve">יעקב ישראל אליאסין נ' מדינת ישראל; </w:t>
      </w:r>
      <w:hyperlink r:id="rId25" w:history="1">
        <w:r w:rsidR="00B458D6" w:rsidRPr="00B458D6">
          <w:rPr>
            <w:color w:val="0000FF"/>
            <w:u w:val="single"/>
            <w:rtl/>
          </w:rPr>
          <w:t>עפ"ג 67452-12-18</w:t>
        </w:r>
      </w:hyperlink>
      <w:r>
        <w:rPr>
          <w:rFonts w:hint="cs"/>
          <w:rtl/>
        </w:rPr>
        <w:t xml:space="preserve"> </w:t>
      </w:r>
      <w:r>
        <w:rPr>
          <w:rFonts w:hint="cs"/>
          <w:b/>
          <w:bCs/>
          <w:rtl/>
        </w:rPr>
        <w:t>מדינת ישראל נגד מתן בוזגלו</w:t>
      </w:r>
      <w:r>
        <w:rPr>
          <w:rFonts w:hint="cs"/>
          <w:rtl/>
        </w:rPr>
        <w:t xml:space="preserve"> (2019), לא מצאתי כי מדובר במקרה הנדיר בו על אף 2 עבירות סחר בסמים יש להמנע מהרשעת הנאשם, בעיקר אל מול השיקול כבד המשקל מנגד, חומרתה של עבירת הסחר בסמים. כמו כן, הנאשם לא צירף כל מסמך המעיד על פגיעה קונקרטית בהווה או בעתיד במישור כלשהו – תעסוקתי או אחר.</w:t>
      </w:r>
    </w:p>
    <w:p w14:paraId="68901DEC" w14:textId="77777777" w:rsidR="00382DB6" w:rsidRDefault="00382DB6" w:rsidP="00382DB6">
      <w:pPr>
        <w:pStyle w:val="aa"/>
        <w:numPr>
          <w:ilvl w:val="0"/>
          <w:numId w:val="1"/>
        </w:numPr>
        <w:spacing w:after="80" w:line="360" w:lineRule="auto"/>
        <w:ind w:left="357" w:hanging="357"/>
        <w:jc w:val="both"/>
      </w:pPr>
      <w:r>
        <w:rPr>
          <w:rFonts w:hint="cs"/>
          <w:rtl/>
        </w:rPr>
        <w:t>כאן המקום לציין כי הפסיקות השונות אותן הגיש הסנגור המלומד היו שונות מהאמור בענייננו, בהן נקבע נזק קונקרטי מסוגים שונים אשר היה מצדד בביטול הרשעה. עם זאת בענייננו – לא הוצג ולו מסמך אחד אשר מצביע על נזק קונקרטי שעלול להגרם לנאשם אם תוותר הרשעתו, תעסוקתי או אחר.</w:t>
      </w:r>
    </w:p>
    <w:p w14:paraId="7BD8D001" w14:textId="77777777" w:rsidR="00382DB6" w:rsidRDefault="00382DB6" w:rsidP="00382DB6">
      <w:pPr>
        <w:pStyle w:val="aa"/>
        <w:numPr>
          <w:ilvl w:val="0"/>
          <w:numId w:val="1"/>
        </w:numPr>
        <w:spacing w:before="240" w:after="80" w:line="360" w:lineRule="auto"/>
        <w:ind w:left="357" w:hanging="357"/>
        <w:jc w:val="both"/>
      </w:pPr>
      <w:r>
        <w:rPr>
          <w:rFonts w:hint="cs"/>
          <w:rtl/>
        </w:rPr>
        <w:t>לאור כל האמור, מצאתי להותיר את הרשעת הנאשם על כנה.</w:t>
      </w:r>
    </w:p>
    <w:p w14:paraId="47B0BE6F" w14:textId="77777777" w:rsidR="00382DB6" w:rsidRPr="00382DB6" w:rsidRDefault="00382DB6" w:rsidP="00382DB6">
      <w:pPr>
        <w:spacing w:after="80" w:line="360" w:lineRule="auto"/>
        <w:jc w:val="both"/>
        <w:rPr>
          <w:b/>
          <w:bCs/>
          <w:color w:val="000000"/>
          <w:u w:val="single"/>
          <w:rtl/>
        </w:rPr>
      </w:pPr>
    </w:p>
    <w:p w14:paraId="62867CC4" w14:textId="77777777" w:rsidR="00382DB6" w:rsidRDefault="00382DB6" w:rsidP="00382DB6">
      <w:pPr>
        <w:spacing w:after="80" w:line="360" w:lineRule="auto"/>
        <w:jc w:val="both"/>
        <w:rPr>
          <w:b/>
          <w:bCs/>
          <w:noProof w:val="0"/>
          <w:u w:val="single"/>
          <w:rtl/>
        </w:rPr>
      </w:pPr>
      <w:r w:rsidRPr="00382DB6">
        <w:rPr>
          <w:b/>
          <w:bCs/>
          <w:color w:val="000000"/>
          <w:u w:val="single"/>
          <w:rtl/>
        </w:rPr>
        <w:t>מתחם ענישה כולל</w:t>
      </w:r>
    </w:p>
    <w:p w14:paraId="5C6D603D" w14:textId="77777777" w:rsidR="00382DB6" w:rsidRDefault="00382DB6" w:rsidP="00382DB6">
      <w:pPr>
        <w:spacing w:after="160" w:line="360" w:lineRule="auto"/>
        <w:jc w:val="both"/>
        <w:rPr>
          <w:rFonts w:ascii="Calibri" w:hAnsi="Calibri"/>
        </w:rPr>
      </w:pPr>
      <w:r>
        <w:rPr>
          <w:rtl/>
        </w:rPr>
        <w:t>בענייננו</w:t>
      </w:r>
      <w:r>
        <w:rPr>
          <w:rFonts w:ascii="Calibri" w:hAnsi="Calibri"/>
          <w:rtl/>
        </w:rPr>
        <w:t xml:space="preserve"> עסקינן </w:t>
      </w:r>
      <w:r>
        <w:rPr>
          <w:rFonts w:ascii="Calibri" w:hAnsi="Calibri"/>
          <w:b/>
          <w:bCs/>
          <w:rtl/>
        </w:rPr>
        <w:t>בשני אירועים,</w:t>
      </w:r>
      <w:r>
        <w:rPr>
          <w:rFonts w:ascii="Calibri" w:hAnsi="Calibri"/>
          <w:rtl/>
        </w:rPr>
        <w:t xml:space="preserve"> בהתאם לכללים שנקבעו בפסיקת בית-המשפט העליון (ראו לעניין זה: </w:t>
      </w:r>
      <w:hyperlink r:id="rId26" w:history="1">
        <w:r w:rsidR="00B458D6" w:rsidRPr="00B458D6">
          <w:rPr>
            <w:rFonts w:ascii="Calibri" w:hAnsi="Calibri" w:hint="eastAsia"/>
            <w:color w:val="0000FF"/>
            <w:u w:val="single"/>
            <w:rtl/>
          </w:rPr>
          <w:t>ע</w:t>
        </w:r>
        <w:r w:rsidR="00B458D6" w:rsidRPr="00B458D6">
          <w:rPr>
            <w:rFonts w:ascii="Calibri" w:hAnsi="Calibri"/>
            <w:color w:val="0000FF"/>
            <w:u w:val="single"/>
            <w:rtl/>
          </w:rPr>
          <w:t>"</w:t>
        </w:r>
        <w:r w:rsidR="00B458D6" w:rsidRPr="00B458D6">
          <w:rPr>
            <w:rFonts w:ascii="Calibri" w:hAnsi="Calibri" w:hint="eastAsia"/>
            <w:color w:val="0000FF"/>
            <w:u w:val="single"/>
            <w:rtl/>
          </w:rPr>
          <w:t>פ</w:t>
        </w:r>
        <w:r w:rsidR="00B458D6" w:rsidRPr="00B458D6">
          <w:rPr>
            <w:rFonts w:ascii="Calibri" w:hAnsi="Calibri"/>
            <w:color w:val="0000FF"/>
            <w:u w:val="single"/>
            <w:rtl/>
          </w:rPr>
          <w:t xml:space="preserve"> 4910/13</w:t>
        </w:r>
      </w:hyperlink>
      <w:r>
        <w:rPr>
          <w:rFonts w:ascii="Calibri" w:hAnsi="Calibri"/>
          <w:rtl/>
        </w:rPr>
        <w:t xml:space="preserve"> </w:t>
      </w:r>
      <w:r>
        <w:rPr>
          <w:rFonts w:ascii="Calibri" w:hAnsi="Calibri" w:hint="cs"/>
          <w:b/>
          <w:bCs/>
          <w:rtl/>
        </w:rPr>
        <w:t xml:space="preserve">ג'אבר נ' מדינת ישראל, </w:t>
      </w:r>
      <w:r>
        <w:rPr>
          <w:rFonts w:ascii="Calibri" w:hAnsi="Calibri" w:hint="cs"/>
          <w:rtl/>
        </w:rPr>
        <w:t>מפי כב' השופטת ברק-ארז</w:t>
      </w:r>
      <w:r>
        <w:rPr>
          <w:rFonts w:ascii="Calibri" w:hAnsi="Calibri" w:hint="cs"/>
          <w:b/>
          <w:bCs/>
          <w:rtl/>
        </w:rPr>
        <w:t xml:space="preserve">, </w:t>
      </w:r>
      <w:r>
        <w:rPr>
          <w:rFonts w:ascii="Calibri" w:hAnsi="Calibri" w:hint="cs"/>
          <w:rtl/>
        </w:rPr>
        <w:t xml:space="preserve">ניתן ביום 29.10.14; </w:t>
      </w:r>
      <w:hyperlink r:id="rId27" w:history="1">
        <w:r w:rsidR="00B458D6" w:rsidRPr="00B458D6">
          <w:rPr>
            <w:rFonts w:ascii="Calibri" w:hAnsi="Calibri" w:hint="eastAsia"/>
            <w:color w:val="0000FF"/>
            <w:u w:val="single"/>
            <w:rtl/>
          </w:rPr>
          <w:t>ע</w:t>
        </w:r>
        <w:r w:rsidR="00B458D6" w:rsidRPr="00B458D6">
          <w:rPr>
            <w:rFonts w:ascii="Calibri" w:hAnsi="Calibri"/>
            <w:color w:val="0000FF"/>
            <w:u w:val="single"/>
            <w:rtl/>
          </w:rPr>
          <w:t>"</w:t>
        </w:r>
        <w:r w:rsidR="00B458D6" w:rsidRPr="00B458D6">
          <w:rPr>
            <w:rFonts w:ascii="Calibri" w:hAnsi="Calibri" w:hint="eastAsia"/>
            <w:color w:val="0000FF"/>
            <w:u w:val="single"/>
            <w:rtl/>
          </w:rPr>
          <w:t>פ</w:t>
        </w:r>
        <w:r w:rsidR="00B458D6" w:rsidRPr="00B458D6">
          <w:rPr>
            <w:rFonts w:ascii="Calibri" w:hAnsi="Calibri"/>
            <w:color w:val="0000FF"/>
            <w:u w:val="single"/>
            <w:rtl/>
          </w:rPr>
          <w:t xml:space="preserve"> 9308/12</w:t>
        </w:r>
      </w:hyperlink>
      <w:r>
        <w:rPr>
          <w:rFonts w:ascii="Calibri" w:hAnsi="Calibri"/>
          <w:rtl/>
        </w:rPr>
        <w:t xml:space="preserve"> </w:t>
      </w:r>
      <w:r>
        <w:rPr>
          <w:rFonts w:ascii="Calibri" w:hAnsi="Calibri" w:hint="cs"/>
          <w:b/>
          <w:bCs/>
          <w:rtl/>
        </w:rPr>
        <w:t>עיסא נ' מדינת ישראל,</w:t>
      </w:r>
      <w:r>
        <w:rPr>
          <w:rFonts w:ascii="Calibri" w:hAnsi="Calibri" w:hint="cs"/>
          <w:rtl/>
        </w:rPr>
        <w:t xml:space="preserve"> ניתן ביום 30.7.15). </w:t>
      </w:r>
    </w:p>
    <w:p w14:paraId="6B11F9B8" w14:textId="77777777" w:rsidR="00382DB6" w:rsidRDefault="00382DB6" w:rsidP="00382DB6">
      <w:pPr>
        <w:spacing w:after="160" w:line="360" w:lineRule="auto"/>
        <w:jc w:val="both"/>
        <w:rPr>
          <w:rFonts w:ascii="Calibri" w:hAnsi="Calibri"/>
          <w:rtl/>
        </w:rPr>
      </w:pPr>
      <w:r>
        <w:rPr>
          <w:rFonts w:ascii="Calibri" w:hAnsi="Calibri"/>
          <w:rtl/>
        </w:rPr>
        <w:t>על אף שמדובר בשני מועדים, מצאתי כי ראוי לקבוע מתחם עונש כולל אחד באשר לשני האירועים, וזאת לאור סמיכות הזמנים, הדמיון בין האירועים והעובדה שמדובר באותו שוטר אשר רכש את הסם מהנאשם.</w:t>
      </w:r>
    </w:p>
    <w:p w14:paraId="2BA607D3" w14:textId="77777777" w:rsidR="00382DB6" w:rsidRPr="00382DB6" w:rsidRDefault="00382DB6" w:rsidP="00382DB6">
      <w:pPr>
        <w:spacing w:after="160" w:line="360" w:lineRule="auto"/>
        <w:jc w:val="both"/>
        <w:rPr>
          <w:rFonts w:ascii="David" w:eastAsia="Calibri" w:hAnsi="David"/>
          <w:b/>
          <w:bCs/>
          <w:noProof w:val="0"/>
          <w:rtl/>
        </w:rPr>
      </w:pPr>
      <w:r w:rsidRPr="00382DB6">
        <w:rPr>
          <w:rFonts w:ascii="David" w:eastAsia="Calibri" w:hAnsi="David"/>
          <w:b/>
          <w:bCs/>
          <w:noProof w:val="0"/>
          <w:u w:val="single"/>
          <w:rtl/>
        </w:rPr>
        <w:t>מתחם העונש ההולם</w:t>
      </w:r>
      <w:r w:rsidRPr="00382DB6">
        <w:rPr>
          <w:rFonts w:ascii="David" w:eastAsia="Calibri" w:hAnsi="David"/>
          <w:b/>
          <w:bCs/>
          <w:noProof w:val="0"/>
          <w:rtl/>
        </w:rPr>
        <w:t>:</w:t>
      </w:r>
    </w:p>
    <w:p w14:paraId="1B86E66C" w14:textId="77777777" w:rsidR="00382DB6" w:rsidRPr="00382DB6" w:rsidRDefault="00382DB6" w:rsidP="00382DB6">
      <w:pPr>
        <w:pStyle w:val="aa"/>
        <w:numPr>
          <w:ilvl w:val="0"/>
          <w:numId w:val="1"/>
        </w:numPr>
        <w:spacing w:after="80" w:line="360" w:lineRule="auto"/>
        <w:ind w:left="357" w:hanging="357"/>
        <w:jc w:val="both"/>
      </w:pPr>
      <w:r>
        <w:rPr>
          <w:rFonts w:hint="cs"/>
          <w:rtl/>
        </w:rPr>
        <w:t xml:space="preserve">בהתאם לתיקון 113 לחוק, יש לקבוע, בטרם קביעת העונש המתאים,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21427CA0" w14:textId="77777777" w:rsidR="00382DB6" w:rsidRDefault="00382DB6" w:rsidP="00382DB6">
      <w:pPr>
        <w:pStyle w:val="aa"/>
        <w:numPr>
          <w:ilvl w:val="0"/>
          <w:numId w:val="1"/>
        </w:numPr>
        <w:spacing w:before="240" w:after="80" w:line="360" w:lineRule="auto"/>
        <w:ind w:left="357" w:hanging="357"/>
        <w:jc w:val="both"/>
        <w:rPr>
          <w:rtl/>
        </w:rPr>
      </w:pPr>
      <w:r>
        <w:rPr>
          <w:rFonts w:hint="cs"/>
          <w:rtl/>
        </w:rPr>
        <w:t xml:space="preserve">פסיקת בתי המשפט השונים שבה והדגישה את החומרה הרבה המיוחסת לעבירות סמים, עקב כובד משקלם של הערכים החברתיים המוגנים בעבירות סמים וחומרת הפגיעה בהם על ידי העבריינים. </w:t>
      </w:r>
    </w:p>
    <w:p w14:paraId="0EB3D33B" w14:textId="77777777" w:rsidR="00382DB6" w:rsidRDefault="00382DB6" w:rsidP="00382DB6">
      <w:pPr>
        <w:pStyle w:val="aa"/>
        <w:snapToGrid w:val="0"/>
        <w:spacing w:after="160" w:line="360" w:lineRule="auto"/>
        <w:ind w:left="360"/>
        <w:jc w:val="both"/>
      </w:pPr>
      <w:r>
        <w:rPr>
          <w:rFonts w:hint="cs"/>
          <w:rtl/>
        </w:rPr>
        <w:t>במעשיו, פגע בנאשם בערכים החברתיים של שמירה על בריאותו ושלומו הפיזי והנפשי של הציבור מפני 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זאת ההגנה על הביטחון האישי והרכוש הציבור.</w:t>
      </w:r>
    </w:p>
    <w:p w14:paraId="23BB2E64" w14:textId="77777777" w:rsidR="00382DB6" w:rsidRDefault="00382DB6" w:rsidP="00382DB6">
      <w:pPr>
        <w:pStyle w:val="aa"/>
        <w:spacing w:after="80" w:line="360" w:lineRule="auto"/>
        <w:ind w:left="360"/>
        <w:jc w:val="both"/>
      </w:pPr>
      <w:r>
        <w:rPr>
          <w:rFonts w:hint="cs"/>
          <w:rtl/>
        </w:rPr>
        <w:t>פעולתו של הנאשם כסוחר סמים הייתה חוזרת, וממחישה את מעורבותו בסחר בקנבוס. העבירות המתוכננות והחוזרות נעשו ממניעים כלכליים, כעולה מטיב העבירות ומאופן ביצוען.</w:t>
      </w:r>
    </w:p>
    <w:p w14:paraId="5EEF6F65" w14:textId="77777777" w:rsidR="00382DB6" w:rsidRDefault="00382DB6" w:rsidP="00382DB6">
      <w:pPr>
        <w:pStyle w:val="aa"/>
        <w:spacing w:after="160" w:line="360" w:lineRule="auto"/>
        <w:ind w:left="360"/>
        <w:jc w:val="both"/>
        <w:rPr>
          <w:rtl/>
        </w:rPr>
      </w:pPr>
      <w:r>
        <w:rPr>
          <w:rFonts w:hint="cs"/>
          <w:rtl/>
        </w:rPr>
        <w:t>הערך המוגן בעבירות הסמים הוא שלום הציבור ובטחונו כמו גם החוסן החברתי, ובריאות הפרט והציבור, והנזקים הישירים והעקיפים אשר נגרמים עקב השימוש בסמים.</w:t>
      </w:r>
    </w:p>
    <w:p w14:paraId="229150F5" w14:textId="77777777" w:rsidR="00382DB6" w:rsidRDefault="00382DB6" w:rsidP="00382DB6">
      <w:pPr>
        <w:pStyle w:val="1"/>
        <w:spacing w:line="360" w:lineRule="auto"/>
        <w:jc w:val="both"/>
        <w:rPr>
          <w:rFonts w:eastAsia="Times New Roman" w:cs="David"/>
          <w:b/>
          <w:bCs/>
          <w:sz w:val="24"/>
          <w:szCs w:val="24"/>
          <w:rtl/>
        </w:rPr>
      </w:pPr>
      <w:r>
        <w:rPr>
          <w:rFonts w:cs="David"/>
          <w:sz w:val="24"/>
          <w:szCs w:val="24"/>
          <w:rtl/>
        </w:rPr>
        <w:t>ב</w:t>
      </w:r>
      <w:hyperlink r:id="rId28" w:history="1">
        <w:r w:rsidR="00B458D6" w:rsidRPr="00B458D6">
          <w:rPr>
            <w:rFonts w:cs="David" w:hint="cs"/>
            <w:color w:val="0000FF"/>
            <w:sz w:val="24"/>
            <w:szCs w:val="24"/>
            <w:u w:val="single"/>
            <w:rtl/>
          </w:rPr>
          <w:t>ת</w:t>
        </w:r>
        <w:r w:rsidR="00B458D6" w:rsidRPr="00B458D6">
          <w:rPr>
            <w:rFonts w:cs="David"/>
            <w:color w:val="0000FF"/>
            <w:sz w:val="24"/>
            <w:szCs w:val="24"/>
            <w:u w:val="single"/>
            <w:rtl/>
          </w:rPr>
          <w:t>"</w:t>
        </w:r>
        <w:r w:rsidR="00B458D6" w:rsidRPr="00B458D6">
          <w:rPr>
            <w:rFonts w:cs="David" w:hint="cs"/>
            <w:color w:val="0000FF"/>
            <w:sz w:val="24"/>
            <w:szCs w:val="24"/>
            <w:u w:val="single"/>
            <w:rtl/>
          </w:rPr>
          <w:t>פ</w:t>
        </w:r>
        <w:r w:rsidR="00B458D6" w:rsidRPr="00B458D6">
          <w:rPr>
            <w:rFonts w:cs="David"/>
            <w:color w:val="0000FF"/>
            <w:sz w:val="24"/>
            <w:szCs w:val="24"/>
            <w:u w:val="single"/>
            <w:rtl/>
          </w:rPr>
          <w:t xml:space="preserve"> (</w:t>
        </w:r>
        <w:r w:rsidR="00B458D6" w:rsidRPr="00B458D6">
          <w:rPr>
            <w:rFonts w:cs="David" w:hint="cs"/>
            <w:color w:val="0000FF"/>
            <w:sz w:val="24"/>
            <w:szCs w:val="24"/>
            <w:u w:val="single"/>
            <w:rtl/>
          </w:rPr>
          <w:t>י</w:t>
        </w:r>
        <w:r w:rsidR="00B458D6" w:rsidRPr="00B458D6">
          <w:rPr>
            <w:rFonts w:cs="David"/>
            <w:color w:val="0000FF"/>
            <w:sz w:val="24"/>
            <w:szCs w:val="24"/>
            <w:u w:val="single"/>
            <w:rtl/>
          </w:rPr>
          <w:t>-</w:t>
        </w:r>
        <w:r w:rsidR="00B458D6" w:rsidRPr="00B458D6">
          <w:rPr>
            <w:rFonts w:cs="David" w:hint="cs"/>
            <w:color w:val="0000FF"/>
            <w:sz w:val="24"/>
            <w:szCs w:val="24"/>
            <w:u w:val="single"/>
            <w:rtl/>
          </w:rPr>
          <w:t>ם</w:t>
        </w:r>
        <w:r w:rsidR="00B458D6" w:rsidRPr="00B458D6">
          <w:rPr>
            <w:rFonts w:cs="David"/>
            <w:color w:val="0000FF"/>
            <w:sz w:val="24"/>
            <w:szCs w:val="24"/>
            <w:u w:val="single"/>
            <w:rtl/>
          </w:rPr>
          <w:t>) 48938-01-15</w:t>
        </w:r>
      </w:hyperlink>
      <w:r>
        <w:rPr>
          <w:rFonts w:cs="David"/>
          <w:sz w:val="24"/>
          <w:szCs w:val="24"/>
          <w:rtl/>
        </w:rPr>
        <w:t xml:space="preserve"> </w:t>
      </w:r>
      <w:r>
        <w:rPr>
          <w:rFonts w:cs="David" w:hint="cs"/>
          <w:b/>
          <w:bCs/>
          <w:sz w:val="24"/>
          <w:szCs w:val="24"/>
          <w:rtl/>
        </w:rPr>
        <w:t>מדינת ישראל נ' דוד קריכלי</w:t>
      </w:r>
      <w:r>
        <w:rPr>
          <w:rFonts w:cs="David" w:hint="cs"/>
          <w:sz w:val="24"/>
          <w:szCs w:val="24"/>
          <w:rtl/>
        </w:rPr>
        <w:t xml:space="preserve"> </w:t>
      </w:r>
      <w:r>
        <w:rPr>
          <w:rFonts w:ascii="Times New Roman" w:hAnsi="Times New Roman" w:cs="David"/>
          <w:sz w:val="24"/>
          <w:szCs w:val="24"/>
          <w:rtl/>
        </w:rPr>
        <w:t xml:space="preserve">[פורסם בנבו] </w:t>
      </w:r>
      <w:r>
        <w:rPr>
          <w:rFonts w:cs="David"/>
          <w:sz w:val="24"/>
          <w:szCs w:val="24"/>
          <w:rtl/>
        </w:rPr>
        <w:t xml:space="preserve">(6.6.2016) (להלן: </w:t>
      </w:r>
      <w:r>
        <w:rPr>
          <w:rFonts w:cs="David"/>
          <w:b/>
          <w:bCs/>
          <w:sz w:val="24"/>
          <w:szCs w:val="24"/>
          <w:rtl/>
        </w:rPr>
        <w:t>"עניין קריכלי"</w:t>
      </w:r>
      <w:r>
        <w:rPr>
          <w:rFonts w:cs="David"/>
          <w:sz w:val="24"/>
          <w:szCs w:val="24"/>
          <w:rtl/>
        </w:rPr>
        <w:t xml:space="preserve">) צוין: </w:t>
      </w:r>
    </w:p>
    <w:p w14:paraId="3BDB839F" w14:textId="77777777" w:rsidR="00382DB6" w:rsidRDefault="00382DB6" w:rsidP="00382DB6">
      <w:pPr>
        <w:pStyle w:val="1"/>
        <w:spacing w:after="240" w:line="360" w:lineRule="auto"/>
        <w:jc w:val="both"/>
        <w:rPr>
          <w:rFonts w:eastAsia="Times New Roman" w:cs="David"/>
          <w:b/>
          <w:bCs/>
          <w:sz w:val="24"/>
          <w:szCs w:val="24"/>
        </w:rPr>
      </w:pPr>
      <w:r>
        <w:rPr>
          <w:rFonts w:cs="David"/>
          <w:b/>
          <w:bCs/>
          <w:sz w:val="24"/>
          <w:szCs w:val="24"/>
          <w:rtl/>
        </w:rPr>
        <w:t>"</w:t>
      </w:r>
      <w:r>
        <w:rPr>
          <w:rFonts w:eastAsia="Times New Roman" w:cs="David"/>
          <w:b/>
          <w:bCs/>
          <w:sz w:val="24"/>
          <w:szCs w:val="24"/>
          <w:rtl/>
        </w:rPr>
        <w:t>כידוע, נגע הסמים פוגע קשות בחברה, משחית את הגוף ואת הנפש, וגורם בדרך עקיפה אך בטוחה לעבירות רכוש, לזנות וקלקלותיה ולצורות החמורות של עבירות הרכוש, המגיעות במקרים רבים לכלל אלימות; שכן, מעבר לפגיעה במתמכרים, פיזית ונפשית, נאלצים המכורים המשועבדים להשחית עצמם, בעבירות שונות, והופכים מקרבנות הסחר לפוגעים בציבור הרחב. בתי המשפט הציבו להם מטרה לבער את אותה מכת מדינה, המכלה כל חלקה טובה".</w:t>
      </w:r>
    </w:p>
    <w:p w14:paraId="6F554293" w14:textId="77777777" w:rsidR="00382DB6" w:rsidRPr="00382DB6" w:rsidRDefault="00382DB6" w:rsidP="00382DB6">
      <w:pPr>
        <w:pStyle w:val="aa"/>
        <w:numPr>
          <w:ilvl w:val="0"/>
          <w:numId w:val="1"/>
        </w:numPr>
        <w:spacing w:after="80" w:line="360" w:lineRule="auto"/>
        <w:ind w:left="357" w:hanging="357"/>
        <w:jc w:val="both"/>
        <w:rPr>
          <w:rtl/>
        </w:rPr>
      </w:pPr>
      <w:r>
        <w:rPr>
          <w:rFonts w:hint="cs"/>
          <w:rtl/>
        </w:rPr>
        <w:t>באשר ל</w:t>
      </w:r>
      <w:r>
        <w:rPr>
          <w:rFonts w:hint="cs"/>
          <w:b/>
          <w:bCs/>
          <w:rtl/>
        </w:rPr>
        <w:t>נסיבות ביצוע העבירה</w:t>
      </w:r>
      <w:r>
        <w:rPr>
          <w:rFonts w:hint="cs"/>
          <w:rtl/>
        </w:rPr>
        <w:t>, נתתי דעתי לתכנון שקדם לביצוע העבירה בעצם תיאום המפגשים, לביצוע העבירה בגפו ולנזק שנגרם מביצוע העבירה ושעוד היה צפוי להיגרם, באם הנאשם היה ממשיך ולסחור בסמים לציבור הרחב. עוד התייחסתי לגילו של הנאשם בעת ביצוע העבירה, ובחנתי את סוג הסם, מסוכנותו, היקף הכמות שהוחזקה והאופן בו הוחזקו הסמים.</w:t>
      </w:r>
    </w:p>
    <w:p w14:paraId="34E7FD1C" w14:textId="77777777" w:rsidR="00382DB6" w:rsidRDefault="00382DB6" w:rsidP="00382DB6">
      <w:pPr>
        <w:pStyle w:val="aa"/>
        <w:spacing w:after="80" w:line="360" w:lineRule="auto"/>
        <w:ind w:left="357"/>
        <w:jc w:val="both"/>
      </w:pPr>
      <w:r>
        <w:rPr>
          <w:rFonts w:hint="cs"/>
          <w:rtl/>
        </w:rPr>
        <w:t>מצאתי כי מעשי הנאשם מלמדים על חומרה לא מבוטלת.</w:t>
      </w:r>
    </w:p>
    <w:p w14:paraId="42E5F0D1" w14:textId="77777777" w:rsidR="00382DB6" w:rsidRDefault="00382DB6" w:rsidP="00382DB6">
      <w:pPr>
        <w:pStyle w:val="aa"/>
        <w:spacing w:after="80" w:line="360" w:lineRule="auto"/>
        <w:ind w:left="357"/>
        <w:jc w:val="both"/>
        <w:rPr>
          <w:rtl/>
        </w:rPr>
      </w:pPr>
      <w:r>
        <w:rPr>
          <w:rFonts w:hint="cs"/>
          <w:rtl/>
        </w:rPr>
        <w:t>הגם שבעניינינו מדובר בסחר בסם המכונה "קל", סם הוא סם ואין להקל ראש בדברים. מדובר בפגיעה של ממש בערכים החברתיים המוגנים, שכן הסוחרים בסמים הם המביאים את הסמים לכל דורש. זאת ועוד, מדובר בשני אירועי סחר.</w:t>
      </w:r>
    </w:p>
    <w:p w14:paraId="0A544D02" w14:textId="77777777" w:rsidR="00382DB6" w:rsidRDefault="00382DB6" w:rsidP="00382DB6">
      <w:pPr>
        <w:pStyle w:val="aa"/>
        <w:numPr>
          <w:ilvl w:val="0"/>
          <w:numId w:val="1"/>
        </w:numPr>
        <w:spacing w:before="240" w:after="80" w:line="360" w:lineRule="auto"/>
        <w:ind w:left="357" w:hanging="357"/>
        <w:jc w:val="both"/>
        <w:rPr>
          <w:rtl/>
        </w:rPr>
      </w:pPr>
      <w:r>
        <w:rPr>
          <w:rFonts w:hint="cs"/>
          <w:rtl/>
        </w:rPr>
        <w:t xml:space="preserve">מן הדברים האמורים לעיל, עולה כי </w:t>
      </w:r>
      <w:r>
        <w:rPr>
          <w:rFonts w:hint="cs"/>
          <w:b/>
          <w:bCs/>
          <w:rtl/>
        </w:rPr>
        <w:t>מידת הפגיעה</w:t>
      </w:r>
      <w:r>
        <w:rPr>
          <w:rFonts w:hint="cs"/>
          <w:rtl/>
        </w:rPr>
        <w:t xml:space="preserve"> בערך המוגן באשר לעבירות הסחר, היא ברף הבינוני, זאת בשים לב לסוג הסם ולכמותו מחד, ומאידך לכך שמדובר במספר אירועים, ולא ב"מעידה חד פעמית". </w:t>
      </w:r>
    </w:p>
    <w:p w14:paraId="5F1AF95A" w14:textId="77777777" w:rsidR="00382DB6" w:rsidRDefault="00382DB6" w:rsidP="00382DB6">
      <w:pPr>
        <w:pStyle w:val="aa"/>
        <w:numPr>
          <w:ilvl w:val="0"/>
          <w:numId w:val="1"/>
        </w:numPr>
        <w:snapToGrid w:val="0"/>
        <w:spacing w:after="240" w:line="360" w:lineRule="auto"/>
        <w:jc w:val="both"/>
        <w:rPr>
          <w:b/>
          <w:bCs/>
        </w:rPr>
      </w:pPr>
      <w:r>
        <w:rPr>
          <w:rFonts w:hint="cs"/>
          <w:rtl/>
        </w:rPr>
        <w:t>באשר ל</w:t>
      </w:r>
      <w:r>
        <w:rPr>
          <w:rFonts w:hint="cs"/>
          <w:b/>
          <w:bCs/>
          <w:rtl/>
        </w:rPr>
        <w:t>מדיניות הענישה הנוהגת</w:t>
      </w:r>
      <w:r>
        <w:rPr>
          <w:rFonts w:hint="cs"/>
          <w:rtl/>
        </w:rPr>
        <w:t>, כפי שצוין ב</w:t>
      </w:r>
      <w:r>
        <w:rPr>
          <w:rFonts w:hint="cs"/>
          <w:b/>
          <w:bCs/>
          <w:rtl/>
        </w:rPr>
        <w:t>עניין קריכלי</w:t>
      </w:r>
      <w:r>
        <w:rPr>
          <w:rFonts w:hint="cs"/>
          <w:rtl/>
        </w:rPr>
        <w:t>, ככלל, מדיניות הענישה בעבירות סמים היא מדיניות ענישה מחמירה. יחד עם זאת, מסקירת הפסיקה, עולה כי מדובר במנעד ענישה די רחב. לעיתים קרובות, נגזרים על נאשמים עונשי מאסר בגין ביצוע עבירות מהסוג הנדון, מאחורי סורג ובריח ממש, ולעיתים לריצוי בעבודות שירות.</w:t>
      </w:r>
    </w:p>
    <w:p w14:paraId="28DCD14E" w14:textId="77777777" w:rsidR="00382DB6" w:rsidRDefault="00382DB6" w:rsidP="00382DB6">
      <w:pPr>
        <w:pStyle w:val="aa"/>
        <w:snapToGrid w:val="0"/>
        <w:spacing w:after="240" w:line="360" w:lineRule="auto"/>
        <w:ind w:left="360"/>
        <w:jc w:val="both"/>
      </w:pPr>
      <w:r>
        <w:rPr>
          <w:rFonts w:hint="cs"/>
          <w:rtl/>
        </w:rPr>
        <w:t>להמחשה, ב</w:t>
      </w:r>
      <w:hyperlink r:id="rId29" w:history="1">
        <w:r w:rsidR="00B458D6" w:rsidRPr="00B458D6">
          <w:rPr>
            <w:color w:val="0000FF"/>
            <w:u w:val="single"/>
            <w:rtl/>
          </w:rPr>
          <w:t>ת"פ (תל-אביב) 56856-05-18</w:t>
        </w:r>
      </w:hyperlink>
      <w:r>
        <w:rPr>
          <w:rFonts w:hint="cs"/>
          <w:rtl/>
        </w:rPr>
        <w:t xml:space="preserve"> </w:t>
      </w:r>
      <w:r>
        <w:rPr>
          <w:rFonts w:hint="cs"/>
          <w:b/>
          <w:bCs/>
          <w:rtl/>
        </w:rPr>
        <w:t xml:space="preserve">מדינת ישראל נ' </w:t>
      </w:r>
      <w:r>
        <w:rPr>
          <w:b/>
          <w:bCs/>
        </w:rPr>
        <w:t>NADGMADIN</w:t>
      </w:r>
      <w:r>
        <w:rPr>
          <w:b/>
          <w:bCs/>
          <w:rtl/>
        </w:rPr>
        <w:t xml:space="preserve"> </w:t>
      </w:r>
      <w:r>
        <w:rPr>
          <w:rFonts w:hint="cs"/>
          <w:rtl/>
        </w:rPr>
        <w:t>(6.8.20), הנאשם הורשע על פי הודאתו בעבירה של סחר בסם. למקרא כתב האישום המתוקן עולה כי הנאשם סחר בסם מסוג חשיש במשקל 3.9 גרם אותו מכר לשוטר סמוי תמורת 200 ₪ בשדרות הר ציון בתל אביב. בית המשפט קבע מתחם עונשי הולם שנע בין מאסר ולו קצר שיכול וירוצה בעבודות שירות ועד ל-12 חודשי מאסר בפועל לצד ענישה נלוות. בית המשפט גזר על הנאשם, בן 37, רווק, נתין זר אזרח סודן, שהודה בפתח משפטו וחסך בזמן שיפוטי ניכר, תוך התייחסות לחלוף הזמן והעדר פתיחת תיקים חדשים כנגדו ועברו הפלילי הכולל הרשעה קודמת אחת ישנה, עונש של 60 ימי מאסר שירוצו בדרך של עבודות שירות, בניכוי ימי מעצרו, לצד מע"ת וקנס בסך 1,000 ₪.</w:t>
      </w:r>
    </w:p>
    <w:p w14:paraId="3A566E7C" w14:textId="77777777" w:rsidR="00382DB6" w:rsidRDefault="00382DB6" w:rsidP="00382DB6">
      <w:pPr>
        <w:pStyle w:val="aa"/>
        <w:snapToGrid w:val="0"/>
        <w:spacing w:after="240" w:line="360" w:lineRule="auto"/>
        <w:ind w:left="360"/>
        <w:jc w:val="both"/>
        <w:rPr>
          <w:rtl/>
        </w:rPr>
      </w:pPr>
      <w:r>
        <w:rPr>
          <w:rFonts w:hint="cs"/>
          <w:rtl/>
        </w:rPr>
        <w:t>ב</w:t>
      </w:r>
      <w:hyperlink r:id="rId30" w:history="1">
        <w:r w:rsidR="00B458D6" w:rsidRPr="00B458D6">
          <w:rPr>
            <w:color w:val="0000FF"/>
            <w:u w:val="single"/>
            <w:rtl/>
          </w:rPr>
          <w:t>ת"פ (ירושלים) 13667-09-17</w:t>
        </w:r>
      </w:hyperlink>
      <w:r>
        <w:rPr>
          <w:rFonts w:hint="cs"/>
          <w:rtl/>
        </w:rPr>
        <w:t xml:space="preserve"> </w:t>
      </w:r>
      <w:r>
        <w:rPr>
          <w:rFonts w:hint="cs"/>
          <w:b/>
          <w:bCs/>
          <w:rtl/>
        </w:rPr>
        <w:t xml:space="preserve">מדינת ישראל נ' אלבז </w:t>
      </w:r>
      <w:r>
        <w:rPr>
          <w:rFonts w:hint="cs"/>
          <w:rtl/>
        </w:rPr>
        <w:t>(8.7.9), הנאשם הודה והורשע ב-5 עבירות של סחר בסם מסוכן, כאשר בשני מקרים דובר גם בסחר בצוותא ובעבירות החזקת סמים לשימושו העצמי. המדובר ב-5 אירועים בהם מכר הנאשם לשוטר סמוי שאין ביניהם היכרות מוקדמת, סמים מסוכנים מסוג חשיש וקנביס במשקלים הנעים בין 1.67-1.8 גרם תמורת 100 ₪ בכל פעם.  בנוסף, במסגרת חיפוש על הנאשם וביצוע צו מעצר נגדו, נתפסו עליו ג'וינט של סם מסוג קנבוס לצריכתו העצמית. בית המשפט קבע כי מתחם העונש הכולל נע בין 3 חודשי מאסר לרבות לריצוי בדרך של עבודות שירות ועד ל-12 חודשי מאסר וענישה נלווית. בית המשפט חרג משיקולי שיקום ממתחם הענישה וגזר על הנאשם, שלחובתו עבר פלילי, אב לשתי בנות, שעבר טיפול משמעותי, ששהה במעצר ממש תקופה לא קצרה של כחודשיים וחצי, שהודה ללא הסדר טיעון ונטל אחריות מלאה על מעשיו, עונש של חידוש המאסר על תנאי בן 6 חודשים שנגזר עליו בתיק התנאי לשנתיים נוספות, קנס בסך 5,000 ₪, צו של"צ בהיקף של 400 שעות, צו מבחן והתחייבות בסך 5,000 ₪.</w:t>
      </w:r>
    </w:p>
    <w:p w14:paraId="20D95A06" w14:textId="77777777" w:rsidR="00382DB6" w:rsidRDefault="00382DB6" w:rsidP="00382DB6">
      <w:pPr>
        <w:pStyle w:val="aa"/>
        <w:snapToGrid w:val="0"/>
        <w:spacing w:after="240" w:line="360" w:lineRule="auto"/>
        <w:ind w:left="360"/>
        <w:jc w:val="both"/>
        <w:rPr>
          <w:u w:val="single"/>
          <w:rtl/>
        </w:rPr>
      </w:pPr>
      <w:r>
        <w:rPr>
          <w:rFonts w:hint="cs"/>
          <w:rtl/>
        </w:rPr>
        <w:t>ב</w:t>
      </w:r>
      <w:hyperlink r:id="rId31" w:history="1">
        <w:r w:rsidR="00B458D6" w:rsidRPr="00B458D6">
          <w:rPr>
            <w:color w:val="0000FF"/>
            <w:u w:val="single"/>
            <w:rtl/>
          </w:rPr>
          <w:t>ת"פ (תל-אביב) 54024-09-19</w:t>
        </w:r>
      </w:hyperlink>
      <w:r>
        <w:rPr>
          <w:rFonts w:hint="cs"/>
          <w:rtl/>
        </w:rPr>
        <w:t xml:space="preserve"> </w:t>
      </w:r>
      <w:r>
        <w:rPr>
          <w:rFonts w:hint="cs"/>
          <w:b/>
          <w:bCs/>
          <w:rtl/>
        </w:rPr>
        <w:t xml:space="preserve">מדינת ישראל נ' אבו שמיס </w:t>
      </w:r>
      <w:r>
        <w:rPr>
          <w:rFonts w:hint="cs"/>
          <w:rtl/>
        </w:rPr>
        <w:t xml:space="preserve">(20.10.20)- הנאשם הורשע על פי הודאתו ב-3 עבירות של סחר בסמים. אליבא דכתב האישום המתוקן, משטרת ישראל הפעילה שוטרת סמויה אשר התכתבה עם הנאשם ולאחר תיאום ביניהם, הנאשם הגיע באמצעות קורקינט לרחוב סלמה בתל אביב ומסר לידיה סם מסוכן מסוג קנאביס במשקל 4.59 גרם בתמורה ל-500 ₪ וזאת ביום 05.09.2019. ביום 11.09.2019, סחר הנאשם בסם מסוג קאנביס עם השוטרת הסמויה, עת מסר לידה ברחוב סלמה בתל אביב בשעת אחה"צ סם בהיקף של 4.13 גרם בתמורה ל-500 ₪.אליבא דאישום השני, ביום 15.09.2019, סחר הנאשם בסם מסוג קוקאין במשקל של 3.3 גרם נטו עם השוטרת הסמויה בכך שמסר לידה את הסם ברחוב סלמה בתל אביב בתמורה לסך של 3,000 ₪. </w:t>
      </w:r>
      <w:r>
        <w:rPr>
          <w:rFonts w:hint="cs"/>
          <w:b/>
          <w:bCs/>
          <w:rtl/>
        </w:rPr>
        <w:t xml:space="preserve">בית המשפט קבע כי מתחם העונש ההולם בעבירות סחר בסמים מסוג קאנביס וחשיש (האירוע הראשון- 2 עסקאות הסחר בסמים אותן רואים כאירוע אחד) נע בין מאסר קצר ולו בעבודות שירות ועד ל-12 חודשי מאסר לריצוי בפועל לצד ענישה נלווית </w:t>
      </w:r>
      <w:r>
        <w:rPr>
          <w:rFonts w:hint="cs"/>
          <w:rtl/>
        </w:rPr>
        <w:t>וכי מתחם העונש ההולם בעבירת הסחר בקוקאין נע בין 8 חודשים לבין 18 חודשים לצד ענישה נלווית</w:t>
      </w:r>
      <w:r>
        <w:rPr>
          <w:rFonts w:hint="cs"/>
          <w:b/>
          <w:bCs/>
          <w:rtl/>
        </w:rPr>
        <w:t xml:space="preserve">. </w:t>
      </w:r>
      <w:r>
        <w:rPr>
          <w:rFonts w:hint="cs"/>
          <w:rtl/>
        </w:rPr>
        <w:t>בית המשפט גזר על הנאשם, צעיר לימים, בן 20, נעדר עבר פלילי וללא תיקי מב"ד, תוך התחשבות בנסיבות חייו, הטיפול שעבר ודגימות השתן שנמצאו נקיות משרידי סם, עונש של 9 חודשי מאסר שירוצו בדרך של עבודות שירות בניכוי ימי מעצרו, לצד מע"ת וקנס בסך 2,000 ₪.</w:t>
      </w:r>
    </w:p>
    <w:p w14:paraId="4D5F5CE3" w14:textId="77777777" w:rsidR="00382DB6" w:rsidRDefault="00382DB6" w:rsidP="00382DB6">
      <w:pPr>
        <w:pStyle w:val="aa"/>
        <w:snapToGrid w:val="0"/>
        <w:spacing w:after="240" w:line="360" w:lineRule="auto"/>
        <w:ind w:left="360"/>
        <w:jc w:val="both"/>
      </w:pPr>
      <w:r>
        <w:rPr>
          <w:rFonts w:hint="cs"/>
          <w:rtl/>
        </w:rPr>
        <w:t>ב</w:t>
      </w:r>
      <w:hyperlink r:id="rId32" w:history="1">
        <w:r w:rsidR="00B458D6" w:rsidRPr="00B458D6">
          <w:rPr>
            <w:color w:val="0000FF"/>
            <w:u w:val="single"/>
            <w:rtl/>
          </w:rPr>
          <w:t>רע"פ 7858/19</w:t>
        </w:r>
      </w:hyperlink>
      <w:r>
        <w:rPr>
          <w:rFonts w:hint="cs"/>
          <w:rtl/>
        </w:rPr>
        <w:t xml:space="preserve"> </w:t>
      </w:r>
      <w:r>
        <w:rPr>
          <w:rFonts w:hint="cs"/>
          <w:b/>
          <w:bCs/>
          <w:rtl/>
        </w:rPr>
        <w:t xml:space="preserve">וקנין נ' מדינת ישראל </w:t>
      </w:r>
      <w:r>
        <w:rPr>
          <w:rFonts w:hint="cs"/>
          <w:rtl/>
        </w:rPr>
        <w:t xml:space="preserve">(28.11.19)- הנאשם הורשע על פי הודאת, בשתי עבירות של סחר בסמים. על פי עובדות כתב האישום המתוקן, מכר הנאשם בשני מועדים שונים סם מסוכן מסוג קנבוס וחשיש במשקל כולל של כ-5.8 גרם. בית המשפט השלום קבע כי בהתחשב שמדובר בכמויות סם קטנות ובסכומי כסף זעומים, </w:t>
      </w:r>
      <w:r>
        <w:rPr>
          <w:rFonts w:hint="cs"/>
          <w:b/>
          <w:bCs/>
          <w:rtl/>
        </w:rPr>
        <w:t>מתחם העונש ההולם נע ממאסר בפועל למספר חודשים ועד לשמונה חודשים שיכול וירוצו בדרך של עבודות שירות</w:t>
      </w:r>
      <w:r>
        <w:rPr>
          <w:rFonts w:hint="cs"/>
          <w:rtl/>
        </w:rPr>
        <w:t>.  בית המשפט גזר על הנאשם תוך התייחסות לנסיבות חייו הקשות, הרשעותיו הקודמות הרבות וההליך הטיפולי שעבר, עונש של 5 חודשי מאסר בפועל והפעיל את מאסריו המותנים בחופף זה לזה כך שסה"כ ירצה הנאשם עונש של 12 חודשי מאסר בפועל, זאת לצד מע"ת. בית המשפט המחוזי ובית המשפט העליון דחו את הערעורים שהוגשו.</w:t>
      </w:r>
    </w:p>
    <w:p w14:paraId="5E7B5FF5" w14:textId="77777777" w:rsidR="00382DB6" w:rsidRDefault="00382DB6" w:rsidP="00382DB6">
      <w:pPr>
        <w:pStyle w:val="aa"/>
        <w:snapToGrid w:val="0"/>
        <w:spacing w:before="240" w:after="80" w:line="360" w:lineRule="auto"/>
        <w:ind w:left="357"/>
        <w:jc w:val="both"/>
      </w:pPr>
      <w:r>
        <w:rPr>
          <w:rFonts w:hint="cs"/>
          <w:rtl/>
        </w:rPr>
        <w:t xml:space="preserve">וראו גם </w:t>
      </w:r>
      <w:hyperlink r:id="rId33" w:history="1">
        <w:r w:rsidR="00B458D6" w:rsidRPr="00B458D6">
          <w:rPr>
            <w:color w:val="0000FF"/>
            <w:u w:val="single"/>
            <w:rtl/>
          </w:rPr>
          <w:t>עפ"ג (תל-אביב) 13736-12-18</w:t>
        </w:r>
      </w:hyperlink>
      <w:r>
        <w:rPr>
          <w:rFonts w:hint="cs"/>
          <w:rtl/>
        </w:rPr>
        <w:t xml:space="preserve"> </w:t>
      </w:r>
      <w:r>
        <w:rPr>
          <w:rFonts w:hint="cs"/>
          <w:b/>
          <w:bCs/>
          <w:rtl/>
        </w:rPr>
        <w:t xml:space="preserve">מדינת ישראל נ' אשכנזי </w:t>
      </w:r>
      <w:r>
        <w:rPr>
          <w:rFonts w:hint="cs"/>
          <w:rtl/>
        </w:rPr>
        <w:t>(25.3.19) ו</w:t>
      </w:r>
      <w:hyperlink r:id="rId34" w:history="1">
        <w:r w:rsidR="00B458D6" w:rsidRPr="00B458D6">
          <w:rPr>
            <w:color w:val="0000FF"/>
            <w:u w:val="single"/>
            <w:rtl/>
          </w:rPr>
          <w:t>רע"פ 4687/15</w:t>
        </w:r>
      </w:hyperlink>
      <w:r>
        <w:rPr>
          <w:rFonts w:hint="cs"/>
          <w:rtl/>
        </w:rPr>
        <w:t xml:space="preserve"> </w:t>
      </w:r>
      <w:r>
        <w:rPr>
          <w:rFonts w:hint="cs"/>
          <w:b/>
          <w:bCs/>
          <w:rtl/>
        </w:rPr>
        <w:t xml:space="preserve">אייל פלג נ' מדינת ישראל </w:t>
      </w:r>
      <w:r>
        <w:rPr>
          <w:rFonts w:hint="cs"/>
          <w:rtl/>
        </w:rPr>
        <w:t>(13.8.15).</w:t>
      </w:r>
    </w:p>
    <w:p w14:paraId="3E1D1EA2" w14:textId="77777777" w:rsidR="00382DB6" w:rsidRDefault="00382DB6" w:rsidP="00382DB6">
      <w:pPr>
        <w:pStyle w:val="aa"/>
        <w:numPr>
          <w:ilvl w:val="0"/>
          <w:numId w:val="1"/>
        </w:numPr>
        <w:spacing w:after="80" w:line="360" w:lineRule="auto"/>
        <w:ind w:left="357" w:hanging="357"/>
        <w:jc w:val="both"/>
        <w:rPr>
          <w:rtl/>
        </w:rPr>
      </w:pPr>
      <w:r>
        <w:rPr>
          <w:rFonts w:hint="cs"/>
          <w:rtl/>
        </w:rPr>
        <w:t xml:space="preserve">לאחר שקילת נסיבות ביצוע העבירה, מצאתי כי </w:t>
      </w:r>
      <w:r>
        <w:rPr>
          <w:rFonts w:hint="cs"/>
          <w:b/>
          <w:bCs/>
          <w:rtl/>
        </w:rPr>
        <w:t>מתחם העונש ההולם, נע בין מאסר קצר לריצוי בעבודות שירות לבין עשרה חודשי מאסר בפועל, כעונש עיקרי</w:t>
      </w:r>
      <w:r>
        <w:rPr>
          <w:rFonts w:hint="cs"/>
          <w:rtl/>
        </w:rPr>
        <w:t>.</w:t>
      </w:r>
    </w:p>
    <w:p w14:paraId="7E2D0484" w14:textId="77777777" w:rsidR="00382DB6" w:rsidRDefault="00382DB6" w:rsidP="00382DB6">
      <w:pPr>
        <w:spacing w:line="360" w:lineRule="auto"/>
        <w:jc w:val="both"/>
        <w:rPr>
          <w:rtl/>
        </w:rPr>
      </w:pPr>
    </w:p>
    <w:p w14:paraId="201329BA" w14:textId="77777777" w:rsidR="00382DB6" w:rsidRDefault="00382DB6" w:rsidP="00382DB6">
      <w:pPr>
        <w:spacing w:line="360" w:lineRule="auto"/>
        <w:ind w:left="1077" w:hanging="720"/>
        <w:jc w:val="both"/>
        <w:rPr>
          <w:b/>
          <w:bCs/>
          <w:rtl/>
        </w:rPr>
      </w:pPr>
      <w:r>
        <w:rPr>
          <w:b/>
          <w:bCs/>
          <w:rtl/>
        </w:rPr>
        <w:t>מיקום הנאשם בתוך המתחם וסוגיית הסטייה ממנו</w:t>
      </w:r>
    </w:p>
    <w:p w14:paraId="1A347C18" w14:textId="77777777" w:rsidR="00382DB6" w:rsidRDefault="00382DB6" w:rsidP="00382DB6">
      <w:pPr>
        <w:pStyle w:val="aa"/>
        <w:numPr>
          <w:ilvl w:val="0"/>
          <w:numId w:val="1"/>
        </w:numPr>
        <w:spacing w:after="80" w:line="360" w:lineRule="auto"/>
        <w:ind w:left="357" w:hanging="357"/>
        <w:jc w:val="both"/>
        <w:rPr>
          <w:rtl/>
        </w:rPr>
      </w:pPr>
      <w:r>
        <w:rPr>
          <w:rFonts w:hint="cs"/>
          <w:rtl/>
        </w:rPr>
        <w:t xml:space="preserve">כמצוות המחוקק, </w:t>
      </w:r>
      <w:hyperlink r:id="rId35" w:history="1">
        <w:r w:rsidR="00A53239" w:rsidRPr="00A53239">
          <w:rPr>
            <w:rStyle w:val="Hyperlink"/>
            <w:rFonts w:hint="cs"/>
            <w:rtl/>
          </w:rPr>
          <w:t>בסעיף</w:t>
        </w:r>
        <w:r w:rsidR="00A53239" w:rsidRPr="00A53239">
          <w:rPr>
            <w:rStyle w:val="Hyperlink"/>
            <w:rtl/>
          </w:rPr>
          <w:t xml:space="preserve"> 40יא</w:t>
        </w:r>
      </w:hyperlink>
      <w:r>
        <w:rPr>
          <w:rFonts w:hint="cs"/>
          <w:rtl/>
        </w:rPr>
        <w:t xml:space="preserve"> לחוק, על בית המשפט לקחת בחשבון, בעת ענישת הנאשם, את נסיבותיו האישיות אשר אינן קשורות בביצוע העבירה. במקרה דנן נסיבות אלו נלמדות מטיעוני ההגנה, מתסקיר שירות המבחן ומדברי הנאשם.</w:t>
      </w:r>
    </w:p>
    <w:p w14:paraId="6A896F0C" w14:textId="77777777" w:rsidR="00382DB6" w:rsidRDefault="00382DB6" w:rsidP="00382DB6">
      <w:pPr>
        <w:pStyle w:val="aa"/>
        <w:spacing w:before="240" w:line="360" w:lineRule="auto"/>
        <w:ind w:left="360"/>
        <w:jc w:val="both"/>
        <w:rPr>
          <w:b/>
          <w:bCs/>
          <w:u w:val="single"/>
        </w:rPr>
      </w:pPr>
      <w:r>
        <w:rPr>
          <w:rFonts w:hint="cs"/>
          <w:b/>
          <w:bCs/>
          <w:u w:val="single"/>
          <w:rtl/>
        </w:rPr>
        <w:t>הנסיבות הקונקרטיות</w:t>
      </w:r>
    </w:p>
    <w:p w14:paraId="35760064" w14:textId="77777777" w:rsidR="00382DB6" w:rsidRDefault="00382DB6" w:rsidP="00382DB6">
      <w:pPr>
        <w:pStyle w:val="aa"/>
        <w:numPr>
          <w:ilvl w:val="0"/>
          <w:numId w:val="1"/>
        </w:numPr>
        <w:spacing w:before="120" w:after="80" w:line="360" w:lineRule="auto"/>
        <w:jc w:val="both"/>
        <w:rPr>
          <w:rtl/>
        </w:rPr>
      </w:pPr>
      <w:r>
        <w:rPr>
          <w:rFonts w:hint="cs"/>
          <w:rtl/>
        </w:rPr>
        <w:t xml:space="preserve">כמפורט בהרחבה בתסקיר שירות המבחן, הנאשם כבן 30, סובל </w:t>
      </w:r>
      <w:r>
        <w:rPr>
          <w:rFonts w:hint="cs"/>
          <w:noProof w:val="0"/>
          <w:rtl/>
        </w:rPr>
        <w:t>ממחלת נוירופיברומטוזיס</w:t>
      </w:r>
      <w:r>
        <w:rPr>
          <w:rFonts w:hint="cs"/>
          <w:rtl/>
        </w:rPr>
        <w:t xml:space="preserve">  ועובד מזה כשנה וחצי עובד באגף החינוך הבלתי פורמלי של עיריית רמת גן כמדריך בצהרונים.</w:t>
      </w:r>
    </w:p>
    <w:p w14:paraId="0AF9DECA" w14:textId="77777777" w:rsidR="00382DB6" w:rsidRDefault="00382DB6" w:rsidP="00382DB6">
      <w:pPr>
        <w:pStyle w:val="aa"/>
        <w:numPr>
          <w:ilvl w:val="0"/>
          <w:numId w:val="1"/>
        </w:numPr>
        <w:spacing w:before="240" w:after="80" w:line="360" w:lineRule="auto"/>
        <w:ind w:left="357" w:hanging="357"/>
        <w:jc w:val="both"/>
      </w:pPr>
      <w:r>
        <w:rPr>
          <w:rFonts w:hint="cs"/>
          <w:noProof w:val="0"/>
          <w:rtl/>
        </w:rPr>
        <w:t>זוהי מעורבותו הראשונה והיחידה בפלילים של הנאשם</w:t>
      </w:r>
      <w:r>
        <w:rPr>
          <w:rFonts w:hint="cs"/>
          <w:rtl/>
        </w:rPr>
        <w:t xml:space="preserve"> אשר הודה במסגרת הסדר טיעון בכתב האישום ובכך חסך בזמן שיפוטי ונטל אחריות על מעשיו. </w:t>
      </w:r>
    </w:p>
    <w:p w14:paraId="2EE4926C" w14:textId="77777777" w:rsidR="00382DB6" w:rsidRDefault="00382DB6" w:rsidP="00382DB6">
      <w:pPr>
        <w:pStyle w:val="aa"/>
        <w:numPr>
          <w:ilvl w:val="0"/>
          <w:numId w:val="1"/>
        </w:numPr>
        <w:spacing w:before="120" w:after="80" w:line="360" w:lineRule="auto"/>
        <w:ind w:left="357" w:hanging="357"/>
        <w:jc w:val="both"/>
      </w:pPr>
      <w:r>
        <w:rPr>
          <w:rFonts w:hint="cs"/>
          <w:rtl/>
        </w:rPr>
        <w:t>הנאשם מתמיד בטיפול פרטני פסיכולוגי ונכון להיום ולאור מצבו הרפואי והנפשי, יש ברשותו רישיון לצריכת קנאביס רפואי. שירות המבחן המליץ על העמדת הנאשם בצו מבחן לצד צו של"צ בהיקף של 250 שעות.</w:t>
      </w:r>
    </w:p>
    <w:p w14:paraId="11D20511" w14:textId="77777777" w:rsidR="00382DB6" w:rsidRDefault="00382DB6" w:rsidP="00382DB6">
      <w:pPr>
        <w:pStyle w:val="aa"/>
        <w:numPr>
          <w:ilvl w:val="0"/>
          <w:numId w:val="1"/>
        </w:numPr>
        <w:spacing w:before="120" w:after="80" w:line="360" w:lineRule="auto"/>
        <w:ind w:left="357" w:hanging="357"/>
        <w:jc w:val="both"/>
      </w:pPr>
      <w:r>
        <w:rPr>
          <w:rFonts w:hint="cs"/>
          <w:rtl/>
        </w:rPr>
        <w:t xml:space="preserve">לאור מכלול הנסיבות שאינן קשורות בביצוע העבירות אותן פירטתי לעיל, מצאתי לנכון כי המקרה שלפני מצדיק סטייה ממתחם העונש ההולם שקבעתי משיקולי שיקום, וזאת בהתאם להוראות </w:t>
      </w:r>
      <w:hyperlink r:id="rId36" w:history="1">
        <w:r w:rsidR="00A53239" w:rsidRPr="00A53239">
          <w:rPr>
            <w:rStyle w:val="Hyperlink"/>
            <w:rFonts w:hint="cs"/>
            <w:rtl/>
          </w:rPr>
          <w:t>סעיף</w:t>
        </w:r>
        <w:r w:rsidR="00A53239" w:rsidRPr="00A53239">
          <w:rPr>
            <w:rStyle w:val="Hyperlink"/>
            <w:rtl/>
          </w:rPr>
          <w:t xml:space="preserve"> 40ד'</w:t>
        </w:r>
      </w:hyperlink>
      <w:r>
        <w:rPr>
          <w:rFonts w:hint="cs"/>
          <w:rtl/>
        </w:rPr>
        <w:t xml:space="preserve"> לחוק.</w:t>
      </w:r>
    </w:p>
    <w:p w14:paraId="411909C2" w14:textId="77777777" w:rsidR="00382DB6" w:rsidRPr="00382DB6" w:rsidRDefault="00382DB6" w:rsidP="00382DB6">
      <w:pPr>
        <w:spacing w:after="80" w:line="360" w:lineRule="auto"/>
        <w:jc w:val="both"/>
        <w:rPr>
          <w:b/>
          <w:bCs/>
          <w:color w:val="000000"/>
          <w:u w:val="single"/>
          <w:rtl/>
        </w:rPr>
      </w:pPr>
    </w:p>
    <w:p w14:paraId="7898343C" w14:textId="77777777" w:rsidR="00382DB6" w:rsidRPr="00382DB6" w:rsidRDefault="00382DB6" w:rsidP="00382DB6">
      <w:pPr>
        <w:spacing w:after="80" w:line="360" w:lineRule="auto"/>
        <w:jc w:val="both"/>
        <w:rPr>
          <w:b/>
          <w:bCs/>
          <w:color w:val="000000"/>
          <w:u w:val="single"/>
          <w:rtl/>
        </w:rPr>
      </w:pPr>
      <w:r w:rsidRPr="00382DB6">
        <w:rPr>
          <w:b/>
          <w:bCs/>
          <w:color w:val="000000"/>
          <w:u w:val="single"/>
          <w:rtl/>
        </w:rPr>
        <w:t>סוף דבר</w:t>
      </w:r>
    </w:p>
    <w:p w14:paraId="0218DD0F" w14:textId="77777777" w:rsidR="00382DB6" w:rsidRPr="00382DB6" w:rsidRDefault="00382DB6" w:rsidP="00382DB6">
      <w:pPr>
        <w:pStyle w:val="aa"/>
        <w:numPr>
          <w:ilvl w:val="0"/>
          <w:numId w:val="1"/>
        </w:numPr>
        <w:snapToGrid w:val="0"/>
        <w:spacing w:line="360" w:lineRule="auto"/>
        <w:jc w:val="both"/>
        <w:rPr>
          <w:color w:val="000000"/>
          <w:rtl/>
        </w:rPr>
      </w:pPr>
      <w:r w:rsidRPr="00382DB6">
        <w:rPr>
          <w:rFonts w:hint="cs"/>
          <w:color w:val="000000"/>
          <w:rtl/>
        </w:rPr>
        <w:t xml:space="preserve">לצד האינטרס הציבורי הדורש ענישה מוחשית ומרתיעה בעבירות כגון דא, יש לזכור ולהזכיר כי הענישה, גם לאחר תיקון 113, היא לעולם </w:t>
      </w:r>
      <w:r w:rsidRPr="00382DB6">
        <w:rPr>
          <w:rFonts w:hint="cs"/>
          <w:b/>
          <w:bCs/>
          <w:color w:val="000000"/>
          <w:rtl/>
        </w:rPr>
        <w:t>אינדיבידואלית</w:t>
      </w:r>
      <w:r w:rsidRPr="00382DB6">
        <w:rPr>
          <w:rFonts w:hint="cs"/>
          <w:color w:val="000000"/>
          <w:rtl/>
        </w:rPr>
        <w:t>. לעניין זה יפים הדברים שנאמרו ב</w:t>
      </w:r>
      <w:hyperlink r:id="rId37" w:history="1">
        <w:r w:rsidR="00B458D6" w:rsidRPr="00B458D6">
          <w:rPr>
            <w:color w:val="0000FF"/>
            <w:u w:val="single"/>
            <w:rtl/>
          </w:rPr>
          <w:t>ע״פ 433/89</w:t>
        </w:r>
      </w:hyperlink>
      <w:r w:rsidRPr="00382DB6">
        <w:rPr>
          <w:rFonts w:hint="cs"/>
          <w:b/>
          <w:bCs/>
          <w:color w:val="000000"/>
          <w:rtl/>
        </w:rPr>
        <w:t xml:space="preserve"> אטיאס נגד מדינת ישראל</w:t>
      </w:r>
      <w:r w:rsidRPr="00382DB6">
        <w:rPr>
          <w:rFonts w:hint="cs"/>
          <w:color w:val="000000"/>
          <w:rtl/>
        </w:rPr>
        <w:t xml:space="preserve"> (פורסם במאגרים המשפטיים) (03.10.1989):</w:t>
      </w:r>
    </w:p>
    <w:p w14:paraId="0EE53449" w14:textId="77777777" w:rsidR="00382DB6" w:rsidRPr="00382DB6" w:rsidRDefault="00382DB6" w:rsidP="00382DB6">
      <w:pPr>
        <w:spacing w:after="80" w:line="360" w:lineRule="auto"/>
        <w:ind w:left="720" w:right="680"/>
        <w:jc w:val="both"/>
        <w:rPr>
          <w:b/>
          <w:bCs/>
          <w:color w:val="000000"/>
          <w:rtl/>
        </w:rPr>
      </w:pPr>
      <w:r w:rsidRPr="00382DB6">
        <w:rPr>
          <w:b/>
          <w:bCs/>
          <w:color w:val="000000"/>
          <w:rtl/>
        </w:rPr>
        <w:t>״זאת תורת הגישה האינדיווידואלית בתורת הענישה, המקובלת עלינו כקו מנחה בסוגיה קשה וסבוכה זו של 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ולעיצומם של דברים״</w:t>
      </w:r>
    </w:p>
    <w:p w14:paraId="0A1391F7" w14:textId="77777777" w:rsidR="00382DB6" w:rsidRPr="00382DB6" w:rsidRDefault="00382DB6" w:rsidP="00382DB6">
      <w:pPr>
        <w:pStyle w:val="aa"/>
        <w:numPr>
          <w:ilvl w:val="0"/>
          <w:numId w:val="1"/>
        </w:numPr>
        <w:snapToGrid w:val="0"/>
        <w:spacing w:line="360" w:lineRule="auto"/>
        <w:jc w:val="both"/>
        <w:rPr>
          <w:color w:val="000000"/>
        </w:rPr>
      </w:pPr>
      <w:r w:rsidRPr="00382DB6">
        <w:rPr>
          <w:rFonts w:hint="cs"/>
          <w:color w:val="000000"/>
          <w:rtl/>
        </w:rPr>
        <w:t xml:space="preserve">הנני </w:t>
      </w:r>
      <w:r>
        <w:rPr>
          <w:rFonts w:hint="cs"/>
          <w:rtl/>
        </w:rPr>
        <w:t>גוזרת</w:t>
      </w:r>
      <w:r w:rsidRPr="00382DB6">
        <w:rPr>
          <w:rFonts w:hint="cs"/>
          <w:color w:val="000000"/>
          <w:rtl/>
        </w:rPr>
        <w:t xml:space="preserve"> על הנאשם כדלקמן:</w:t>
      </w:r>
    </w:p>
    <w:p w14:paraId="2BD3791D" w14:textId="77777777" w:rsidR="00382DB6" w:rsidRDefault="00382DB6" w:rsidP="00382DB6">
      <w:pPr>
        <w:pStyle w:val="aa"/>
        <w:numPr>
          <w:ilvl w:val="1"/>
          <w:numId w:val="2"/>
        </w:numPr>
        <w:spacing w:before="240" w:after="80" w:line="360" w:lineRule="auto"/>
        <w:jc w:val="both"/>
      </w:pPr>
      <w:r w:rsidRPr="00382DB6">
        <w:rPr>
          <w:rFonts w:hint="cs"/>
          <w:color w:val="000000"/>
          <w:rtl/>
        </w:rPr>
        <w:t xml:space="preserve">צו של"צ בהיקף של 250 שעות, </w:t>
      </w:r>
      <w:r>
        <w:rPr>
          <w:rFonts w:hint="cs"/>
          <w:rtl/>
        </w:rPr>
        <w:t xml:space="preserve">בהתאם לתכנית שגובשה על ידי שירות המבחן בתסקיר </w:t>
      </w:r>
      <w:r w:rsidRPr="00382DB6">
        <w:rPr>
          <w:rFonts w:hint="cs"/>
          <w:color w:val="000000"/>
          <w:rtl/>
        </w:rPr>
        <w:t>שירות</w:t>
      </w:r>
      <w:r>
        <w:rPr>
          <w:rFonts w:hint="cs"/>
          <w:rtl/>
        </w:rPr>
        <w:t xml:space="preserve"> המבחן יפקח על עבודת הנאשם ויהיה רשאי לשנות את מקום ההשמה במידת הצורך, ללא צו שיפוטי נוסף.</w:t>
      </w:r>
    </w:p>
    <w:p w14:paraId="6ADA12D7" w14:textId="77777777" w:rsidR="00382DB6" w:rsidRDefault="00382DB6" w:rsidP="00382DB6">
      <w:pPr>
        <w:spacing w:before="240" w:after="240" w:line="360" w:lineRule="auto"/>
        <w:ind w:firstLine="720"/>
        <w:jc w:val="both"/>
        <w:rPr>
          <w:u w:val="single"/>
          <w:rtl/>
        </w:rPr>
      </w:pPr>
      <w:r>
        <w:rPr>
          <w:u w:val="single"/>
          <w:rtl/>
        </w:rPr>
        <w:t>מובהר לנאשם כי הפרת צו השל"צ עלולה להביא להפקעתו ולגזירת עונש חילופי</w:t>
      </w:r>
      <w:r>
        <w:rPr>
          <w:rtl/>
        </w:rPr>
        <w:t>.</w:t>
      </w:r>
    </w:p>
    <w:p w14:paraId="4B11C2FB" w14:textId="77777777" w:rsidR="00382DB6" w:rsidRDefault="00382DB6" w:rsidP="00382DB6">
      <w:pPr>
        <w:pStyle w:val="aa"/>
        <w:numPr>
          <w:ilvl w:val="1"/>
          <w:numId w:val="2"/>
        </w:numPr>
        <w:spacing w:before="240" w:after="80" w:line="360" w:lineRule="auto"/>
        <w:jc w:val="both"/>
      </w:pPr>
      <w:r>
        <w:rPr>
          <w:rFonts w:hint="cs"/>
          <w:rtl/>
        </w:rPr>
        <w:t xml:space="preserve">צו מבחן למשך </w:t>
      </w:r>
      <w:r>
        <w:rPr>
          <w:rFonts w:hint="cs"/>
          <w:color w:val="000000"/>
          <w:rtl/>
        </w:rPr>
        <w:t>שנה</w:t>
      </w:r>
      <w:r>
        <w:rPr>
          <w:rFonts w:hint="cs"/>
          <w:rtl/>
        </w:rPr>
        <w:t xml:space="preserve">, בהתאם להמלצת שירות המבחן בתסקירו. </w:t>
      </w:r>
    </w:p>
    <w:p w14:paraId="03720136" w14:textId="77777777" w:rsidR="00382DB6" w:rsidRDefault="00382DB6" w:rsidP="00382DB6">
      <w:pPr>
        <w:spacing w:after="80" w:line="360" w:lineRule="auto"/>
        <w:ind w:left="786"/>
        <w:contextualSpacing/>
        <w:jc w:val="both"/>
        <w:rPr>
          <w:b/>
          <w:bCs/>
          <w:rtl/>
        </w:rPr>
      </w:pPr>
      <w:r>
        <w:rPr>
          <w:b/>
          <w:bCs/>
          <w:rtl/>
        </w:rPr>
        <w:t xml:space="preserve">אני מזהירה את הנאשם כי אי עמידה בהוראות צו המבחן, עלולה להוביל להפקעתו, החזרתו לאולם בית המשפט וגזירת ענישה חלופית ונוספת. </w:t>
      </w:r>
    </w:p>
    <w:p w14:paraId="47A528EB" w14:textId="77777777" w:rsidR="00382DB6" w:rsidRPr="00382DB6" w:rsidRDefault="00382DB6" w:rsidP="00382DB6">
      <w:pPr>
        <w:pStyle w:val="aa"/>
        <w:numPr>
          <w:ilvl w:val="1"/>
          <w:numId w:val="2"/>
        </w:numPr>
        <w:spacing w:before="240" w:after="80" w:line="360" w:lineRule="auto"/>
        <w:jc w:val="both"/>
        <w:rPr>
          <w:color w:val="000000"/>
        </w:rPr>
      </w:pPr>
      <w:r w:rsidRPr="00382DB6">
        <w:rPr>
          <w:rFonts w:hint="cs"/>
          <w:color w:val="000000"/>
          <w:rtl/>
        </w:rPr>
        <w:t xml:space="preserve">מאסר למשך 5 חודשים ואולם הנאשם לא ישא בעונש זה אלא אם יעבור עבירת סמים מסוג פשע בתוך שלוש שנים מהיום. </w:t>
      </w:r>
    </w:p>
    <w:p w14:paraId="261F90F8" w14:textId="77777777" w:rsidR="00382DB6" w:rsidRPr="00382DB6" w:rsidRDefault="00382DB6" w:rsidP="00382DB6">
      <w:pPr>
        <w:pStyle w:val="aa"/>
        <w:numPr>
          <w:ilvl w:val="1"/>
          <w:numId w:val="2"/>
        </w:numPr>
        <w:spacing w:before="240" w:after="80" w:line="360" w:lineRule="auto"/>
        <w:jc w:val="both"/>
        <w:rPr>
          <w:color w:val="000000"/>
        </w:rPr>
      </w:pPr>
      <w:r>
        <w:rPr>
          <w:rFonts w:hint="cs"/>
          <w:rtl/>
        </w:rPr>
        <w:t>הנאשם</w:t>
      </w:r>
      <w:r w:rsidRPr="00382DB6">
        <w:rPr>
          <w:rFonts w:hint="cs"/>
          <w:color w:val="000000"/>
          <w:rtl/>
        </w:rPr>
        <w:t xml:space="preserve"> יחתום על התחייבות כספית בסך 5,000 ש״ח שלא לעבור עבירה בהן הורשע והכל תוך שנתיים מהיום. </w:t>
      </w:r>
    </w:p>
    <w:p w14:paraId="24094C84" w14:textId="77777777" w:rsidR="00382DB6" w:rsidRPr="00382DB6" w:rsidRDefault="00382DB6" w:rsidP="00382DB6">
      <w:pPr>
        <w:pStyle w:val="aa"/>
        <w:spacing w:after="80" w:line="360" w:lineRule="auto"/>
        <w:ind w:left="786"/>
        <w:jc w:val="both"/>
        <w:rPr>
          <w:color w:val="000000"/>
        </w:rPr>
      </w:pPr>
      <w:r w:rsidRPr="00382DB6">
        <w:rPr>
          <w:rFonts w:hint="cs"/>
          <w:b/>
          <w:bCs/>
          <w:color w:val="000000"/>
          <w:rtl/>
        </w:rPr>
        <w:t>רשמתי בפניי התחייבות הנאשם והיא מהווה חלף חתימה</w:t>
      </w:r>
      <w:r w:rsidRPr="00382DB6">
        <w:rPr>
          <w:rFonts w:hint="cs"/>
          <w:color w:val="000000"/>
          <w:rtl/>
        </w:rPr>
        <w:t>.</w:t>
      </w:r>
    </w:p>
    <w:p w14:paraId="13C9364D" w14:textId="77777777" w:rsidR="00382DB6" w:rsidRDefault="00382DB6" w:rsidP="00382DB6">
      <w:pPr>
        <w:spacing w:line="360" w:lineRule="auto"/>
        <w:jc w:val="both"/>
        <w:rPr>
          <w:b/>
          <w:bCs/>
          <w:u w:val="single"/>
        </w:rPr>
      </w:pPr>
    </w:p>
    <w:p w14:paraId="2934F35A" w14:textId="77777777" w:rsidR="00382DB6" w:rsidRDefault="00382DB6" w:rsidP="00382DB6">
      <w:pPr>
        <w:spacing w:after="160" w:line="360" w:lineRule="auto"/>
        <w:jc w:val="both"/>
        <w:rPr>
          <w:rtl/>
        </w:rPr>
      </w:pPr>
      <w:r>
        <w:rPr>
          <w:rtl/>
        </w:rPr>
        <w:t>צו כללי למוצגים – סמים יושמדו. מוצגים נוספים, ככל שישנם בתיק זה, יטופלו בהתאם להחלטת קצין משטרה מוסמך.</w:t>
      </w:r>
    </w:p>
    <w:p w14:paraId="6F689331" w14:textId="77777777" w:rsidR="00382DB6" w:rsidRDefault="00382DB6" w:rsidP="00382DB6">
      <w:pPr>
        <w:spacing w:line="360" w:lineRule="auto"/>
        <w:jc w:val="both"/>
        <w:rPr>
          <w:b/>
          <w:bCs/>
          <w:u w:val="single"/>
        </w:rPr>
      </w:pPr>
      <w:r>
        <w:rPr>
          <w:rtl/>
        </w:rPr>
        <w:t>ככל שקיימת הפקדה בתיק זה או בתיקים קשורים – מ"י/מ"ת, תושב לנאשם או למי מטעמו, בכפוף לכל דין או החלטה אחרת.</w:t>
      </w:r>
    </w:p>
    <w:p w14:paraId="19E3B44A" w14:textId="77777777" w:rsidR="00382DB6" w:rsidRDefault="00382DB6" w:rsidP="00382DB6">
      <w:pPr>
        <w:spacing w:line="360" w:lineRule="auto"/>
        <w:jc w:val="both"/>
        <w:rPr>
          <w:b/>
          <w:bCs/>
          <w:noProof w:val="0"/>
          <w:rtl/>
        </w:rPr>
      </w:pPr>
      <w:r>
        <w:rPr>
          <w:b/>
          <w:bCs/>
          <w:rtl/>
        </w:rPr>
        <w:t>זכות ערעור לבית המשפט המחוזי בתל-אביב בתוך 45 יום מהיום.</w:t>
      </w:r>
    </w:p>
    <w:p w14:paraId="4F884D87" w14:textId="77777777" w:rsidR="00382DB6" w:rsidRDefault="00382DB6" w:rsidP="00382DB6">
      <w:pPr>
        <w:spacing w:line="360" w:lineRule="auto"/>
        <w:jc w:val="both"/>
        <w:rPr>
          <w:b/>
          <w:bCs/>
          <w:noProof w:val="0"/>
          <w:u w:val="single"/>
          <w:rtl/>
        </w:rPr>
      </w:pPr>
    </w:p>
    <w:p w14:paraId="3B131B4B" w14:textId="77777777" w:rsidR="00382DB6" w:rsidRDefault="00382DB6" w:rsidP="00382DB6">
      <w:pPr>
        <w:spacing w:line="360" w:lineRule="auto"/>
        <w:jc w:val="both"/>
        <w:rPr>
          <w:b/>
          <w:bCs/>
          <w:u w:val="single"/>
          <w:rtl/>
        </w:rPr>
      </w:pPr>
      <w:r>
        <w:rPr>
          <w:b/>
          <w:bCs/>
          <w:u w:val="single"/>
          <w:rtl/>
        </w:rPr>
        <w:t>המזכירות תעביר העתק מגזר דין זה לשירות המבחן</w:t>
      </w:r>
      <w:r>
        <w:rPr>
          <w:rFonts w:hint="cs"/>
          <w:b/>
          <w:bCs/>
          <w:u w:val="single"/>
          <w:rtl/>
        </w:rPr>
        <w:t>.</w:t>
      </w:r>
    </w:p>
    <w:p w14:paraId="670AF19F" w14:textId="77777777" w:rsidR="00382DB6" w:rsidRDefault="00382DB6" w:rsidP="00382DB6">
      <w:pPr>
        <w:spacing w:line="360" w:lineRule="auto"/>
        <w:jc w:val="both"/>
        <w:rPr>
          <w:b/>
          <w:bCs/>
          <w:noProof w:val="0"/>
          <w:u w:val="single"/>
          <w:rtl/>
        </w:rPr>
      </w:pPr>
    </w:p>
    <w:p w14:paraId="29E457C0" w14:textId="77777777" w:rsidR="00382DB6" w:rsidRDefault="00382DB6" w:rsidP="00382DB6">
      <w:pPr>
        <w:spacing w:line="360" w:lineRule="auto"/>
        <w:jc w:val="both"/>
        <w:rPr>
          <w:rFonts w:ascii="Arial" w:hAnsi="Arial"/>
          <w:noProof w:val="0"/>
          <w:rtl/>
        </w:rPr>
      </w:pPr>
    </w:p>
    <w:p w14:paraId="3807254F" w14:textId="77777777" w:rsidR="00382DB6" w:rsidRDefault="00382DB6" w:rsidP="00382DB6">
      <w:pPr>
        <w:spacing w:line="360" w:lineRule="auto"/>
        <w:jc w:val="both"/>
        <w:rPr>
          <w:rFonts w:ascii="Arial" w:hAnsi="Arial"/>
          <w:noProof w:val="0"/>
          <w:rtl/>
        </w:rPr>
      </w:pPr>
    </w:p>
    <w:p w14:paraId="052F2943" w14:textId="77777777" w:rsidR="00382DB6" w:rsidRPr="00B458D6" w:rsidRDefault="00B458D6" w:rsidP="00382DB6">
      <w:pPr>
        <w:spacing w:line="360" w:lineRule="auto"/>
        <w:jc w:val="both"/>
        <w:rPr>
          <w:rFonts w:ascii="Arial" w:hAnsi="Arial"/>
          <w:noProof w:val="0"/>
          <w:color w:val="FFFFFF"/>
          <w:sz w:val="2"/>
          <w:szCs w:val="2"/>
          <w:rtl/>
        </w:rPr>
      </w:pPr>
      <w:r w:rsidRPr="00B458D6">
        <w:rPr>
          <w:rFonts w:ascii="Arial" w:hAnsi="Arial"/>
          <w:noProof w:val="0"/>
          <w:color w:val="FFFFFF"/>
          <w:sz w:val="2"/>
          <w:szCs w:val="2"/>
          <w:rtl/>
        </w:rPr>
        <w:t>5129371</w:t>
      </w:r>
    </w:p>
    <w:p w14:paraId="7D4E8F7B" w14:textId="77777777" w:rsidR="00382DB6" w:rsidRPr="00B458D6" w:rsidRDefault="00B458D6" w:rsidP="00382DB6">
      <w:pPr>
        <w:spacing w:line="360" w:lineRule="auto"/>
        <w:jc w:val="both"/>
        <w:rPr>
          <w:rFonts w:ascii="Arial" w:hAnsi="Arial"/>
          <w:noProof w:val="0"/>
          <w:color w:val="FFFFFF"/>
          <w:sz w:val="2"/>
          <w:szCs w:val="2"/>
          <w:rtl/>
        </w:rPr>
      </w:pPr>
      <w:r w:rsidRPr="00B458D6">
        <w:rPr>
          <w:rFonts w:ascii="Arial" w:hAnsi="Arial"/>
          <w:noProof w:val="0"/>
          <w:color w:val="FFFFFF"/>
          <w:sz w:val="2"/>
          <w:szCs w:val="2"/>
          <w:rtl/>
        </w:rPr>
        <w:t>54678313</w:t>
      </w:r>
    </w:p>
    <w:p w14:paraId="49E35EF7" w14:textId="77777777" w:rsidR="00382DB6" w:rsidRDefault="00382DB6" w:rsidP="00382DB6">
      <w:pPr>
        <w:spacing w:line="360" w:lineRule="auto"/>
        <w:jc w:val="both"/>
        <w:rPr>
          <w:rFonts w:ascii="Arial" w:hAnsi="Arial"/>
          <w:noProof w:val="0"/>
          <w:rtl/>
        </w:rPr>
      </w:pPr>
    </w:p>
    <w:p w14:paraId="32BEF82E" w14:textId="77777777" w:rsidR="00382DB6" w:rsidRDefault="00B458D6" w:rsidP="00382DB6">
      <w:pPr>
        <w:tabs>
          <w:tab w:val="left" w:pos="2553"/>
        </w:tabs>
        <w:ind w:left="5040"/>
        <w:rPr>
          <w:rtl/>
        </w:rPr>
      </w:pPr>
      <w:bookmarkStart w:id="7" w:name="Nitan"/>
      <w:r>
        <w:rPr>
          <w:rFonts w:ascii="Arial" w:hAnsi="Arial"/>
          <w:noProof w:val="0"/>
          <w:rtl/>
        </w:rPr>
        <w:t xml:space="preserve">ניתנה היום, ד' ניסן תשפ"ב, 05 אפריל 2022, בהעדר הצדדים. </w:t>
      </w:r>
      <w:bookmarkEnd w:id="7"/>
      <w:r w:rsidR="00382DB6">
        <w:rPr>
          <w:rFonts w:hint="cs"/>
          <w:rtl/>
        </w:rPr>
        <w:t xml:space="preserve">     </w:t>
      </w:r>
    </w:p>
    <w:p w14:paraId="6343DD5E" w14:textId="77777777" w:rsidR="00382DB6" w:rsidRDefault="00382DB6" w:rsidP="00B458D6">
      <w:pPr>
        <w:tabs>
          <w:tab w:val="left" w:pos="2553"/>
        </w:tabs>
      </w:pPr>
      <w:r>
        <w:rPr>
          <w:rFonts w:hint="cs"/>
          <w:rtl/>
        </w:rPr>
        <w:tab/>
      </w:r>
      <w:r>
        <w:rPr>
          <w:rFonts w:hint="cs"/>
          <w:rtl/>
        </w:rPr>
        <w:tab/>
      </w:r>
      <w:r>
        <w:rPr>
          <w:rFonts w:hint="cs"/>
          <w:rtl/>
        </w:rPr>
        <w:tab/>
      </w:r>
      <w:r>
        <w:rPr>
          <w:rFonts w:hint="cs"/>
          <w:rtl/>
        </w:rPr>
        <w:tab/>
        <w:t xml:space="preserve">        </w:t>
      </w:r>
    </w:p>
    <w:p w14:paraId="3D904520" w14:textId="77777777" w:rsidR="00382DB6" w:rsidRDefault="00382DB6" w:rsidP="00382DB6">
      <w:pPr>
        <w:tabs>
          <w:tab w:val="left" w:pos="2553"/>
        </w:tabs>
        <w:rPr>
          <w:rFonts w:ascii="Arial" w:hAnsi="Arial"/>
          <w:noProof w:val="0"/>
          <w:rtl/>
        </w:rPr>
      </w:pPr>
    </w:p>
    <w:p w14:paraId="62B8BEA1" w14:textId="77777777" w:rsidR="008E0269" w:rsidRPr="00B458D6" w:rsidRDefault="008E0269" w:rsidP="00B458D6">
      <w:pPr>
        <w:keepNext/>
        <w:rPr>
          <w:rFonts w:ascii="David" w:hAnsi="David" w:hint="cs"/>
          <w:color w:val="000000"/>
          <w:sz w:val="22"/>
          <w:szCs w:val="22"/>
          <w:rtl/>
        </w:rPr>
      </w:pPr>
    </w:p>
    <w:p w14:paraId="647616CE" w14:textId="77777777" w:rsidR="00B458D6" w:rsidRPr="00B458D6" w:rsidRDefault="00B458D6" w:rsidP="00B458D6">
      <w:pPr>
        <w:keepNext/>
        <w:rPr>
          <w:rFonts w:ascii="David" w:hAnsi="David"/>
          <w:color w:val="000000"/>
          <w:sz w:val="22"/>
          <w:szCs w:val="22"/>
          <w:rtl/>
        </w:rPr>
      </w:pPr>
      <w:r w:rsidRPr="00B458D6">
        <w:rPr>
          <w:rFonts w:ascii="David" w:hAnsi="David"/>
          <w:color w:val="000000"/>
          <w:sz w:val="22"/>
          <w:szCs w:val="22"/>
          <w:rtl/>
        </w:rPr>
        <w:t>עדי יעקובוביץ 54678313</w:t>
      </w:r>
    </w:p>
    <w:p w14:paraId="2155C164" w14:textId="77777777" w:rsidR="00B458D6" w:rsidRDefault="00B458D6" w:rsidP="00B458D6">
      <w:r w:rsidRPr="00B458D6">
        <w:rPr>
          <w:color w:val="000000"/>
          <w:rtl/>
        </w:rPr>
        <w:t>נוסח מסמך זה כפוף לשינויי ניסוח ועריכה</w:t>
      </w:r>
    </w:p>
    <w:p w14:paraId="71E8EA06" w14:textId="77777777" w:rsidR="00B458D6" w:rsidRDefault="00B458D6" w:rsidP="00B458D6">
      <w:pPr>
        <w:rPr>
          <w:rtl/>
        </w:rPr>
      </w:pPr>
    </w:p>
    <w:p w14:paraId="0F66DA13" w14:textId="77777777" w:rsidR="00B458D6" w:rsidRDefault="00B458D6" w:rsidP="00B458D6">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77C8C1F9" w14:textId="77777777" w:rsidR="00B458D6" w:rsidRPr="00B458D6" w:rsidRDefault="00B458D6" w:rsidP="00B458D6">
      <w:pPr>
        <w:jc w:val="center"/>
        <w:rPr>
          <w:rFonts w:hint="cs"/>
          <w:color w:val="0000FF"/>
          <w:u w:val="single"/>
        </w:rPr>
      </w:pPr>
    </w:p>
    <w:sectPr w:rsidR="00B458D6" w:rsidRPr="00B458D6" w:rsidSect="00B458D6">
      <w:headerReference w:type="even" r:id="rId39"/>
      <w:headerReference w:type="default" r:id="rId40"/>
      <w:footerReference w:type="even" r:id="rId41"/>
      <w:footerReference w:type="default" r:id="rId42"/>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37612" w14:textId="77777777" w:rsidR="00E33E61" w:rsidRDefault="00E33E61" w:rsidP="0011654F">
      <w:r>
        <w:separator/>
      </w:r>
    </w:p>
  </w:endnote>
  <w:endnote w:type="continuationSeparator" w:id="0">
    <w:p w14:paraId="62A030F0" w14:textId="77777777" w:rsidR="00E33E61" w:rsidRDefault="00E33E61" w:rsidP="00116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D3FF6" w14:textId="77777777" w:rsidR="00B458D6" w:rsidRDefault="00B458D6" w:rsidP="00B458D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9DB8A9E" w14:textId="77777777" w:rsidR="00B458D6" w:rsidRPr="00B458D6" w:rsidRDefault="00B458D6" w:rsidP="00B458D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EB862" w14:textId="77777777" w:rsidR="00B458D6" w:rsidRDefault="00B458D6" w:rsidP="00B458D6">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1B2D7F">
      <w:rPr>
        <w:rStyle w:val="a8"/>
        <w:rFonts w:ascii="FrankRuehl" w:hAnsi="FrankRuehl" w:cs="FrankRuehl"/>
        <w:rtl/>
      </w:rPr>
      <w:t>1</w:t>
    </w:r>
    <w:r>
      <w:rPr>
        <w:rStyle w:val="a8"/>
        <w:rFonts w:ascii="FrankRuehl" w:hAnsi="FrankRuehl" w:cs="FrankRuehl"/>
        <w:rtl/>
      </w:rPr>
      <w:fldChar w:fldCharType="end"/>
    </w:r>
  </w:p>
  <w:p w14:paraId="2FA43C47" w14:textId="77777777" w:rsidR="008B487C" w:rsidRPr="00B458D6" w:rsidRDefault="00B458D6" w:rsidP="00B458D6">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68CB06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27EF0" w14:textId="77777777" w:rsidR="00E33E61" w:rsidRDefault="00E33E61" w:rsidP="0011654F">
      <w:r>
        <w:separator/>
      </w:r>
    </w:p>
  </w:footnote>
  <w:footnote w:type="continuationSeparator" w:id="0">
    <w:p w14:paraId="5F28D840" w14:textId="77777777" w:rsidR="00E33E61" w:rsidRDefault="00E33E61" w:rsidP="00116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19C6F" w14:textId="77777777" w:rsidR="00B458D6" w:rsidRPr="00B458D6" w:rsidRDefault="00B458D6" w:rsidP="00B458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9705-01-21</w:t>
    </w:r>
    <w:r>
      <w:rPr>
        <w:rFonts w:ascii="David" w:hAnsi="David"/>
        <w:color w:val="000000"/>
        <w:sz w:val="22"/>
        <w:szCs w:val="22"/>
        <w:rtl/>
      </w:rPr>
      <w:tab/>
      <w:t xml:space="preserve"> מדינת ישראל נ' טל דוידי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D88FF" w14:textId="77777777" w:rsidR="00B458D6" w:rsidRPr="00B458D6" w:rsidRDefault="00B458D6" w:rsidP="00B458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9705-01-21</w:t>
    </w:r>
    <w:r>
      <w:rPr>
        <w:rFonts w:ascii="David" w:hAnsi="David"/>
        <w:color w:val="000000"/>
        <w:sz w:val="22"/>
        <w:szCs w:val="22"/>
        <w:rtl/>
      </w:rPr>
      <w:tab/>
      <w:t xml:space="preserve"> מדינת ישראל נ' טל דוידי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02087"/>
    <w:multiLevelType w:val="hybridMultilevel"/>
    <w:tmpl w:val="8E56FA1A"/>
    <w:lvl w:ilvl="0" w:tplc="3DC87532">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FF16A05"/>
    <w:multiLevelType w:val="hybridMultilevel"/>
    <w:tmpl w:val="39062A14"/>
    <w:lvl w:ilvl="0" w:tplc="5B064FCA">
      <w:start w:val="1"/>
      <w:numFmt w:val="decimal"/>
      <w:lvlText w:val="%1."/>
      <w:lvlJc w:val="left"/>
      <w:pPr>
        <w:ind w:left="360" w:hanging="360"/>
      </w:pPr>
      <w:rPr>
        <w:rFonts w:ascii="David" w:hAnsi="David" w:cs="David" w:hint="default"/>
        <w:b w:val="0"/>
        <w:bCs w:val="0"/>
        <w:sz w:val="24"/>
        <w:szCs w:val="24"/>
      </w:rPr>
    </w:lvl>
    <w:lvl w:ilvl="1" w:tplc="FFB0B8C6">
      <w:start w:val="1"/>
      <w:numFmt w:val="hebrew1"/>
      <w:lvlText w:val="%2."/>
      <w:lvlJc w:val="center"/>
      <w:pPr>
        <w:ind w:left="786" w:hanging="360"/>
      </w:pPr>
      <w:rPr>
        <w:b w:val="0"/>
        <w:bCs w:val="0"/>
        <w:sz w:val="24"/>
        <w:szCs w:val="24"/>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7415635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136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2DB6"/>
    <w:rsid w:val="0011654F"/>
    <w:rsid w:val="001B2D7F"/>
    <w:rsid w:val="001B5A3B"/>
    <w:rsid w:val="00382DB6"/>
    <w:rsid w:val="00467BA1"/>
    <w:rsid w:val="00560C0C"/>
    <w:rsid w:val="008154F8"/>
    <w:rsid w:val="0082596E"/>
    <w:rsid w:val="008B487C"/>
    <w:rsid w:val="008E0269"/>
    <w:rsid w:val="00A53239"/>
    <w:rsid w:val="00B458D6"/>
    <w:rsid w:val="00B478AF"/>
    <w:rsid w:val="00D44B56"/>
    <w:rsid w:val="00E33E61"/>
    <w:rsid w:val="00F76067"/>
    <w:rsid w:val="00FC5B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C58506"/>
  <w15:chartTrackingRefBased/>
  <w15:docId w15:val="{4D91B65D-CDA6-446E-B7B3-046E61BF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2DB6"/>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82DB6"/>
    <w:pPr>
      <w:tabs>
        <w:tab w:val="center" w:pos="4153"/>
        <w:tab w:val="right" w:pos="8306"/>
      </w:tabs>
    </w:pPr>
  </w:style>
  <w:style w:type="character" w:customStyle="1" w:styleId="a4">
    <w:name w:val="כותרת עליונה תו"/>
    <w:link w:val="a3"/>
    <w:rsid w:val="00382DB6"/>
    <w:rPr>
      <w:rFonts w:ascii="Times New Roman" w:eastAsia="Times New Roman" w:hAnsi="Times New Roman" w:cs="David"/>
      <w:noProof/>
      <w:sz w:val="24"/>
      <w:szCs w:val="24"/>
    </w:rPr>
  </w:style>
  <w:style w:type="paragraph" w:styleId="a5">
    <w:name w:val="footer"/>
    <w:basedOn w:val="a"/>
    <w:link w:val="a6"/>
    <w:rsid w:val="00382DB6"/>
    <w:pPr>
      <w:tabs>
        <w:tab w:val="center" w:pos="4153"/>
        <w:tab w:val="right" w:pos="8306"/>
      </w:tabs>
    </w:pPr>
  </w:style>
  <w:style w:type="character" w:customStyle="1" w:styleId="a6">
    <w:name w:val="כותרת תחתונה תו"/>
    <w:link w:val="a5"/>
    <w:rsid w:val="00382DB6"/>
    <w:rPr>
      <w:rFonts w:ascii="Times New Roman" w:eastAsia="Times New Roman" w:hAnsi="Times New Roman" w:cs="David"/>
      <w:noProof/>
      <w:sz w:val="24"/>
      <w:szCs w:val="24"/>
    </w:rPr>
  </w:style>
  <w:style w:type="table" w:styleId="a7">
    <w:name w:val="Table Grid"/>
    <w:basedOn w:val="a1"/>
    <w:rsid w:val="00382DB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82DB6"/>
  </w:style>
  <w:style w:type="character" w:styleId="Hyperlink">
    <w:name w:val="Hyperlink"/>
    <w:rsid w:val="00382DB6"/>
    <w:rPr>
      <w:color w:val="0000FF"/>
      <w:u w:val="single"/>
    </w:rPr>
  </w:style>
  <w:style w:type="character" w:customStyle="1" w:styleId="a9">
    <w:name w:val="פיסקת רשימה תו"/>
    <w:link w:val="aa"/>
    <w:locked/>
    <w:rsid w:val="00382DB6"/>
    <w:rPr>
      <w:rFonts w:ascii="David" w:hAnsi="David" w:cs="David"/>
      <w:noProof/>
      <w:sz w:val="24"/>
      <w:szCs w:val="24"/>
    </w:rPr>
  </w:style>
  <w:style w:type="paragraph" w:styleId="aa">
    <w:name w:val="List Paragraph"/>
    <w:basedOn w:val="a"/>
    <w:link w:val="a9"/>
    <w:qFormat/>
    <w:rsid w:val="00382DB6"/>
    <w:pPr>
      <w:ind w:left="720"/>
      <w:contextualSpacing/>
    </w:pPr>
    <w:rPr>
      <w:rFonts w:ascii="David" w:eastAsia="Calibri" w:hAnsi="David"/>
    </w:rPr>
  </w:style>
  <w:style w:type="paragraph" w:customStyle="1" w:styleId="1">
    <w:name w:val="פיסקת רשימה1"/>
    <w:basedOn w:val="a"/>
    <w:rsid w:val="00382DB6"/>
    <w:pPr>
      <w:ind w:left="720"/>
      <w:contextualSpacing/>
    </w:pPr>
    <w:rPr>
      <w:rFonts w:ascii="Calibri" w:eastAsia="Calibri" w:hAnsi="Calibri" w:cs="Times New Roman"/>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3093721" TargetMode="External"/><Relationship Id="rId39" Type="http://schemas.openxmlformats.org/officeDocument/2006/relationships/header" Target="header1.xml"/><Relationship Id="rId21" Type="http://schemas.openxmlformats.org/officeDocument/2006/relationships/hyperlink" Target="http://www.nevo.co.il/law/74903" TargetMode="External"/><Relationship Id="rId34" Type="http://schemas.openxmlformats.org/officeDocument/2006/relationships/hyperlink" Target="http://www.nevo.co.il/case/20420496"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74903/182" TargetMode="External"/><Relationship Id="rId29" Type="http://schemas.openxmlformats.org/officeDocument/2006/relationships/hyperlink" Target="http://www.nevo.co.il/case/2420956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03/182" TargetMode="External"/><Relationship Id="rId24" Type="http://schemas.openxmlformats.org/officeDocument/2006/relationships/hyperlink" Target="http://www.nevo.co.il/case/24971234" TargetMode="External"/><Relationship Id="rId32" Type="http://schemas.openxmlformats.org/officeDocument/2006/relationships/hyperlink" Target="http://www.nevo.co.il/case/26222649" TargetMode="External"/><Relationship Id="rId37" Type="http://schemas.openxmlformats.org/officeDocument/2006/relationships/hyperlink" Target="http://www.nevo.co.il/case/17941073"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25975844" TargetMode="External"/><Relationship Id="rId28" Type="http://schemas.openxmlformats.org/officeDocument/2006/relationships/hyperlink" Target="http://www.nevo.co.il/case/18841309" TargetMode="External"/><Relationship Id="rId36" Type="http://schemas.openxmlformats.org/officeDocument/2006/relationships/hyperlink" Target="http://www.nevo.co.il/law/70301/40d" TargetMode="External"/><Relationship Id="rId10" Type="http://schemas.openxmlformats.org/officeDocument/2006/relationships/hyperlink" Target="http://www.nevo.co.il/law/74903" TargetMode="External"/><Relationship Id="rId19" Type="http://schemas.openxmlformats.org/officeDocument/2006/relationships/hyperlink" Target="http://www.nevo.co.il/case/25585375" TargetMode="External"/><Relationship Id="rId31" Type="http://schemas.openxmlformats.org/officeDocument/2006/relationships/hyperlink" Target="http://www.nevo.co.il/case/2605963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4903/192a" TargetMode="External"/><Relationship Id="rId27" Type="http://schemas.openxmlformats.org/officeDocument/2006/relationships/hyperlink" Target="http://www.nevo.co.il/case/5576587" TargetMode="External"/><Relationship Id="rId30" Type="http://schemas.openxmlformats.org/officeDocument/2006/relationships/hyperlink" Target="http://www.nevo.co.il/case/22962985" TargetMode="External"/><Relationship Id="rId35" Type="http://schemas.openxmlformats.org/officeDocument/2006/relationships/hyperlink" Target="http://www.nevo.co.il/law/70301/40ja" TargetMode="External"/><Relationship Id="rId43"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4903/192a"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5271452" TargetMode="External"/><Relationship Id="rId33" Type="http://schemas.openxmlformats.org/officeDocument/2006/relationships/hyperlink" Target="http://www.nevo.co.il/case/25207995"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3084</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18471</CharactersWithSpaces>
  <SharedDoc>false</SharedDoc>
  <HLinks>
    <vt:vector size="192" baseType="variant">
      <vt:variant>
        <vt:i4>393283</vt:i4>
      </vt:variant>
      <vt:variant>
        <vt:i4>102</vt:i4>
      </vt:variant>
      <vt:variant>
        <vt:i4>0</vt:i4>
      </vt:variant>
      <vt:variant>
        <vt:i4>5</vt:i4>
      </vt:variant>
      <vt:variant>
        <vt:lpwstr>http://www.nevo.co.il/advertisements/nevo-100.doc</vt:lpwstr>
      </vt:variant>
      <vt:variant>
        <vt:lpwstr/>
      </vt:variant>
      <vt:variant>
        <vt:i4>4063351</vt:i4>
      </vt:variant>
      <vt:variant>
        <vt:i4>99</vt:i4>
      </vt:variant>
      <vt:variant>
        <vt:i4>0</vt:i4>
      </vt:variant>
      <vt:variant>
        <vt:i4>5</vt:i4>
      </vt:variant>
      <vt:variant>
        <vt:lpwstr>http://www.nevo.co.il/case/17941073</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4128882</vt:i4>
      </vt:variant>
      <vt:variant>
        <vt:i4>90</vt:i4>
      </vt:variant>
      <vt:variant>
        <vt:i4>0</vt:i4>
      </vt:variant>
      <vt:variant>
        <vt:i4>5</vt:i4>
      </vt:variant>
      <vt:variant>
        <vt:lpwstr>http://www.nevo.co.il/case/20420496</vt:lpwstr>
      </vt:variant>
      <vt:variant>
        <vt:lpwstr/>
      </vt:variant>
      <vt:variant>
        <vt:i4>4063352</vt:i4>
      </vt:variant>
      <vt:variant>
        <vt:i4>87</vt:i4>
      </vt:variant>
      <vt:variant>
        <vt:i4>0</vt:i4>
      </vt:variant>
      <vt:variant>
        <vt:i4>5</vt:i4>
      </vt:variant>
      <vt:variant>
        <vt:lpwstr>http://www.nevo.co.il/case/25207995</vt:lpwstr>
      </vt:variant>
      <vt:variant>
        <vt:lpwstr/>
      </vt:variant>
      <vt:variant>
        <vt:i4>3539062</vt:i4>
      </vt:variant>
      <vt:variant>
        <vt:i4>84</vt:i4>
      </vt:variant>
      <vt:variant>
        <vt:i4>0</vt:i4>
      </vt:variant>
      <vt:variant>
        <vt:i4>5</vt:i4>
      </vt:variant>
      <vt:variant>
        <vt:lpwstr>http://www.nevo.co.il/case/26222649</vt:lpwstr>
      </vt:variant>
      <vt:variant>
        <vt:lpwstr/>
      </vt:variant>
      <vt:variant>
        <vt:i4>3670129</vt:i4>
      </vt:variant>
      <vt:variant>
        <vt:i4>81</vt:i4>
      </vt:variant>
      <vt:variant>
        <vt:i4>0</vt:i4>
      </vt:variant>
      <vt:variant>
        <vt:i4>5</vt:i4>
      </vt:variant>
      <vt:variant>
        <vt:lpwstr>http://www.nevo.co.il/case/26059631</vt:lpwstr>
      </vt:variant>
      <vt:variant>
        <vt:lpwstr/>
      </vt:variant>
      <vt:variant>
        <vt:i4>3211385</vt:i4>
      </vt:variant>
      <vt:variant>
        <vt:i4>78</vt:i4>
      </vt:variant>
      <vt:variant>
        <vt:i4>0</vt:i4>
      </vt:variant>
      <vt:variant>
        <vt:i4>5</vt:i4>
      </vt:variant>
      <vt:variant>
        <vt:lpwstr>http://www.nevo.co.il/case/22962985</vt:lpwstr>
      </vt:variant>
      <vt:variant>
        <vt:lpwstr/>
      </vt:variant>
      <vt:variant>
        <vt:i4>4128885</vt:i4>
      </vt:variant>
      <vt:variant>
        <vt:i4>75</vt:i4>
      </vt:variant>
      <vt:variant>
        <vt:i4>0</vt:i4>
      </vt:variant>
      <vt:variant>
        <vt:i4>5</vt:i4>
      </vt:variant>
      <vt:variant>
        <vt:lpwstr>http://www.nevo.co.il/case/24209561</vt:lpwstr>
      </vt:variant>
      <vt:variant>
        <vt:lpwstr/>
      </vt:variant>
      <vt:variant>
        <vt:i4>3670139</vt:i4>
      </vt:variant>
      <vt:variant>
        <vt:i4>72</vt:i4>
      </vt:variant>
      <vt:variant>
        <vt:i4>0</vt:i4>
      </vt:variant>
      <vt:variant>
        <vt:i4>5</vt:i4>
      </vt:variant>
      <vt:variant>
        <vt:lpwstr>http://www.nevo.co.il/case/18841309</vt:lpwstr>
      </vt:variant>
      <vt:variant>
        <vt:lpwstr/>
      </vt:variant>
      <vt:variant>
        <vt:i4>3145855</vt:i4>
      </vt:variant>
      <vt:variant>
        <vt:i4>69</vt:i4>
      </vt:variant>
      <vt:variant>
        <vt:i4>0</vt:i4>
      </vt:variant>
      <vt:variant>
        <vt:i4>5</vt:i4>
      </vt:variant>
      <vt:variant>
        <vt:lpwstr>http://www.nevo.co.il/case/5576587</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3407986</vt:i4>
      </vt:variant>
      <vt:variant>
        <vt:i4>63</vt:i4>
      </vt:variant>
      <vt:variant>
        <vt:i4>0</vt:i4>
      </vt:variant>
      <vt:variant>
        <vt:i4>5</vt:i4>
      </vt:variant>
      <vt:variant>
        <vt:lpwstr>http://www.nevo.co.il/case/25271452</vt:lpwstr>
      </vt:variant>
      <vt:variant>
        <vt:lpwstr/>
      </vt:variant>
      <vt:variant>
        <vt:i4>3735669</vt:i4>
      </vt:variant>
      <vt:variant>
        <vt:i4>60</vt:i4>
      </vt:variant>
      <vt:variant>
        <vt:i4>0</vt:i4>
      </vt:variant>
      <vt:variant>
        <vt:i4>5</vt:i4>
      </vt:variant>
      <vt:variant>
        <vt:lpwstr>http://www.nevo.co.il/case/24971234</vt:lpwstr>
      </vt:variant>
      <vt:variant>
        <vt:lpwstr/>
      </vt:variant>
      <vt:variant>
        <vt:i4>3801214</vt:i4>
      </vt:variant>
      <vt:variant>
        <vt:i4>57</vt:i4>
      </vt:variant>
      <vt:variant>
        <vt:i4>0</vt:i4>
      </vt:variant>
      <vt:variant>
        <vt:i4>5</vt:i4>
      </vt:variant>
      <vt:variant>
        <vt:lpwstr>http://www.nevo.co.il/case/25975844</vt:lpwstr>
      </vt:variant>
      <vt:variant>
        <vt:lpwstr/>
      </vt:variant>
      <vt:variant>
        <vt:i4>589918</vt:i4>
      </vt:variant>
      <vt:variant>
        <vt:i4>48</vt:i4>
      </vt:variant>
      <vt:variant>
        <vt:i4>0</vt:i4>
      </vt:variant>
      <vt:variant>
        <vt:i4>5</vt:i4>
      </vt:variant>
      <vt:variant>
        <vt:lpwstr>http://www.nevo.co.il/law/74903/192a</vt:lpwstr>
      </vt:variant>
      <vt:variant>
        <vt:lpwstr/>
      </vt:variant>
      <vt:variant>
        <vt:i4>8257646</vt:i4>
      </vt:variant>
      <vt:variant>
        <vt:i4>42</vt:i4>
      </vt:variant>
      <vt:variant>
        <vt:i4>0</vt:i4>
      </vt:variant>
      <vt:variant>
        <vt:i4>5</vt:i4>
      </vt:variant>
      <vt:variant>
        <vt:lpwstr>http://www.nevo.co.il/law/74903</vt:lpwstr>
      </vt:variant>
      <vt:variant>
        <vt:lpwstr/>
      </vt:variant>
      <vt:variant>
        <vt:i4>6881388</vt:i4>
      </vt:variant>
      <vt:variant>
        <vt:i4>39</vt:i4>
      </vt:variant>
      <vt:variant>
        <vt:i4>0</vt:i4>
      </vt:variant>
      <vt:variant>
        <vt:i4>5</vt:i4>
      </vt:variant>
      <vt:variant>
        <vt:lpwstr>http://www.nevo.co.il/law/74903/182</vt:lpwstr>
      </vt:variant>
      <vt:variant>
        <vt:lpwstr/>
      </vt:variant>
      <vt:variant>
        <vt:i4>3473530</vt:i4>
      </vt:variant>
      <vt:variant>
        <vt:i4>36</vt:i4>
      </vt:variant>
      <vt:variant>
        <vt:i4>0</vt:i4>
      </vt:variant>
      <vt:variant>
        <vt:i4>5</vt:i4>
      </vt:variant>
      <vt:variant>
        <vt:lpwstr>http://www.nevo.co.il/case/25585375</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589918</vt:i4>
      </vt:variant>
      <vt:variant>
        <vt:i4>15</vt:i4>
      </vt:variant>
      <vt:variant>
        <vt:i4>0</vt:i4>
      </vt:variant>
      <vt:variant>
        <vt:i4>5</vt:i4>
      </vt:variant>
      <vt:variant>
        <vt:lpwstr>http://www.nevo.co.il/law/74903/192a</vt:lpwstr>
      </vt:variant>
      <vt:variant>
        <vt:lpwstr/>
      </vt:variant>
      <vt:variant>
        <vt:i4>6881388</vt:i4>
      </vt:variant>
      <vt:variant>
        <vt:i4>12</vt:i4>
      </vt:variant>
      <vt:variant>
        <vt:i4>0</vt:i4>
      </vt:variant>
      <vt:variant>
        <vt:i4>5</vt:i4>
      </vt:variant>
      <vt:variant>
        <vt:lpwstr>http://www.nevo.co.il/law/74903/182</vt:lpwstr>
      </vt:variant>
      <vt:variant>
        <vt:lpwstr/>
      </vt:variant>
      <vt:variant>
        <vt:i4>8257646</vt:i4>
      </vt:variant>
      <vt:variant>
        <vt:i4>9</vt:i4>
      </vt:variant>
      <vt:variant>
        <vt:i4>0</vt:i4>
      </vt:variant>
      <vt:variant>
        <vt:i4>5</vt:i4>
      </vt:variant>
      <vt:variant>
        <vt:lpwstr>http://www.nevo.co.il/law/74903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2025-04-23T00:53:00Z</dcterms:created>
  <dcterms:modified xsi:type="dcterms:W3CDTF">2025-04-23T00:53:00Z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9705</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טל דוידי</vt:lpwstr>
  </property>
  <property fmtid="{D5CDD505-2E9C-101B-9397-08002B2CF9AE}" pid="10" name="JUDGE">
    <vt:lpwstr>עדי יעקובוביץ</vt:lpwstr>
  </property>
  <property fmtid="{D5CDD505-2E9C-101B-9397-08002B2CF9AE}" pid="11" name="CITY">
    <vt:lpwstr>ת"א</vt:lpwstr>
  </property>
  <property fmtid="{D5CDD505-2E9C-101B-9397-08002B2CF9AE}" pid="12" name="DATE">
    <vt:lpwstr>20220405</vt:lpwstr>
  </property>
  <property fmtid="{D5CDD505-2E9C-101B-9397-08002B2CF9AE}" pid="13" name="TYPE_N_DATE">
    <vt:lpwstr>38020220405</vt:lpwstr>
  </property>
  <property fmtid="{D5CDD505-2E9C-101B-9397-08002B2CF9AE}" pid="14" name="WORDNUMPAGES">
    <vt:lpwstr>9</vt:lpwstr>
  </property>
  <property fmtid="{D5CDD505-2E9C-101B-9397-08002B2CF9AE}" pid="15" name="TYPE_ABS_DATE">
    <vt:lpwstr>380020220405</vt:lpwstr>
  </property>
  <property fmtid="{D5CDD505-2E9C-101B-9397-08002B2CF9AE}" pid="16" name="ISABSTRACT">
    <vt:lpwstr>Y</vt:lpwstr>
  </property>
  <property fmtid="{D5CDD505-2E9C-101B-9397-08002B2CF9AE}" pid="17" name="CASESLISTTMP1">
    <vt:lpwstr>25585375;25975844;24971234;25271452;13093721;5576587;18841309;24209561;22962985;26059631;26222649;25207995;20420496;17941073</vt:lpwstr>
  </property>
  <property fmtid="{D5CDD505-2E9C-101B-9397-08002B2CF9AE}" pid="18" name="LAWLISTTMP1">
    <vt:lpwstr>4216/013;019a</vt:lpwstr>
  </property>
  <property fmtid="{D5CDD505-2E9C-101B-9397-08002B2CF9AE}" pid="19" name="LAWLISTTMP2">
    <vt:lpwstr>74903/182;192a</vt:lpwstr>
  </property>
  <property fmtid="{D5CDD505-2E9C-101B-9397-08002B2CF9AE}" pid="20" name="LAWLISTTMP3">
    <vt:lpwstr>70301/40ja;040d</vt:lpwstr>
  </property>
</Properties>
</file>