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B7887" w:rsidRPr="0024453F" w14:paraId="190BB1DF" w14:textId="77777777" w:rsidTr="00EF401F">
        <w:trPr>
          <w:trHeight w:hRule="exact" w:val="418"/>
          <w:jc w:val="center"/>
        </w:trPr>
        <w:tc>
          <w:tcPr>
            <w:tcW w:w="8721" w:type="dxa"/>
            <w:gridSpan w:val="2"/>
          </w:tcPr>
          <w:p w14:paraId="24778A91" w14:textId="77777777" w:rsidR="00DB7887" w:rsidRPr="0024453F" w:rsidRDefault="00DB7887" w:rsidP="0093563E">
            <w:pPr>
              <w:pStyle w:val="a3"/>
              <w:jc w:val="center"/>
              <w:rPr>
                <w:rFonts w:ascii="Tahoma" w:hAnsi="Tahoma" w:cs="Tahoma"/>
                <w:color w:val="000080"/>
                <w:rtl/>
              </w:rPr>
            </w:pPr>
            <w:bookmarkStart w:id="0" w:name="FirstLawyer"/>
            <w:bookmarkStart w:id="1" w:name="LastJudge"/>
            <w:r w:rsidRPr="0024453F">
              <w:rPr>
                <w:rFonts w:ascii="Tahoma" w:hAnsi="Tahoma" w:cs="Tahoma"/>
                <w:b/>
                <w:bCs/>
                <w:color w:val="000080"/>
                <w:rtl/>
              </w:rPr>
              <w:t>בית משפט השלום בירושלים</w:t>
            </w:r>
          </w:p>
        </w:tc>
      </w:tr>
      <w:tr w:rsidR="00DB7887" w:rsidRPr="0024453F" w14:paraId="20E22375" w14:textId="77777777" w:rsidTr="00EF401F">
        <w:trPr>
          <w:trHeight w:val="337"/>
          <w:jc w:val="center"/>
        </w:trPr>
        <w:tc>
          <w:tcPr>
            <w:tcW w:w="5061" w:type="dxa"/>
          </w:tcPr>
          <w:p w14:paraId="70B37FA4" w14:textId="77777777" w:rsidR="00DB7887" w:rsidRPr="0024453F" w:rsidRDefault="00DB7887" w:rsidP="0093563E">
            <w:pPr>
              <w:rPr>
                <w:rFonts w:cs="FrankRuehl"/>
                <w:sz w:val="28"/>
                <w:szCs w:val="28"/>
                <w:rtl/>
              </w:rPr>
            </w:pPr>
            <w:r w:rsidRPr="0024453F">
              <w:rPr>
                <w:rFonts w:cs="FrankRuehl"/>
                <w:sz w:val="28"/>
                <w:szCs w:val="28"/>
                <w:rtl/>
              </w:rPr>
              <w:t>ת"פ</w:t>
            </w:r>
            <w:r w:rsidRPr="0024453F">
              <w:rPr>
                <w:rFonts w:cs="FrankRuehl" w:hint="cs"/>
                <w:sz w:val="28"/>
                <w:szCs w:val="28"/>
                <w:rtl/>
              </w:rPr>
              <w:t xml:space="preserve"> </w:t>
            </w:r>
            <w:r w:rsidRPr="0024453F">
              <w:rPr>
                <w:rFonts w:cs="FrankRuehl"/>
                <w:sz w:val="28"/>
                <w:szCs w:val="28"/>
                <w:rtl/>
              </w:rPr>
              <w:t>9758-01-21</w:t>
            </w:r>
            <w:r w:rsidRPr="0024453F">
              <w:rPr>
                <w:rFonts w:cs="FrankRuehl" w:hint="cs"/>
                <w:sz w:val="28"/>
                <w:szCs w:val="28"/>
                <w:rtl/>
              </w:rPr>
              <w:t xml:space="preserve"> </w:t>
            </w:r>
            <w:r w:rsidRPr="0024453F">
              <w:rPr>
                <w:rFonts w:cs="FrankRuehl"/>
                <w:sz w:val="28"/>
                <w:szCs w:val="28"/>
                <w:rtl/>
              </w:rPr>
              <w:t>מדינת ישראל נ' ציוני(אחר/נוסף)</w:t>
            </w:r>
          </w:p>
          <w:p w14:paraId="3134A94B" w14:textId="77777777" w:rsidR="00DB7887" w:rsidRPr="0024453F" w:rsidRDefault="00DB7887" w:rsidP="0093563E">
            <w:pPr>
              <w:pStyle w:val="a3"/>
              <w:rPr>
                <w:rFonts w:cs="FrankRuehl"/>
                <w:sz w:val="28"/>
                <w:szCs w:val="28"/>
                <w:rtl/>
              </w:rPr>
            </w:pPr>
          </w:p>
        </w:tc>
        <w:tc>
          <w:tcPr>
            <w:tcW w:w="3660" w:type="dxa"/>
          </w:tcPr>
          <w:p w14:paraId="4C4F7FAE" w14:textId="77777777" w:rsidR="00DB7887" w:rsidRPr="0024453F" w:rsidRDefault="00DB7887" w:rsidP="0093563E">
            <w:pPr>
              <w:pStyle w:val="a3"/>
              <w:jc w:val="right"/>
              <w:rPr>
                <w:rFonts w:cs="FrankRuehl"/>
                <w:sz w:val="28"/>
                <w:szCs w:val="28"/>
                <w:rtl/>
              </w:rPr>
            </w:pPr>
          </w:p>
        </w:tc>
      </w:tr>
    </w:tbl>
    <w:p w14:paraId="1E7712E7" w14:textId="77777777" w:rsidR="00DB7887" w:rsidRPr="0024453F" w:rsidRDefault="00DB7887" w:rsidP="00DB7887">
      <w:pPr>
        <w:pStyle w:val="a3"/>
        <w:rPr>
          <w:rtl/>
        </w:rPr>
      </w:pPr>
      <w:r w:rsidRPr="0024453F">
        <w:rPr>
          <w:rFonts w:hint="cs"/>
          <w:rtl/>
        </w:rPr>
        <w:t xml:space="preserve"> </w:t>
      </w:r>
    </w:p>
    <w:p w14:paraId="591CE1C3" w14:textId="77777777" w:rsidR="00DB7887" w:rsidRPr="0024453F" w:rsidRDefault="00DB7887" w:rsidP="00DB7887">
      <w:pPr>
        <w:rPr>
          <w:rFonts w:ascii="David" w:hAnsi="David"/>
          <w:sz w:val="26"/>
          <w:szCs w:val="26"/>
          <w:rtl/>
        </w:rPr>
      </w:pPr>
    </w:p>
    <w:p w14:paraId="440DD85F" w14:textId="77777777" w:rsidR="00DB7887" w:rsidRPr="0024453F" w:rsidRDefault="00DB7887" w:rsidP="00DB7887">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B7887" w:rsidRPr="0024453F" w14:paraId="2743523D" w14:textId="77777777" w:rsidTr="00DB7887">
        <w:trPr>
          <w:trHeight w:val="295"/>
          <w:jc w:val="center"/>
        </w:trPr>
        <w:tc>
          <w:tcPr>
            <w:tcW w:w="923" w:type="dxa"/>
            <w:tcBorders>
              <w:top w:val="nil"/>
              <w:left w:val="nil"/>
              <w:bottom w:val="nil"/>
              <w:right w:val="nil"/>
            </w:tcBorders>
            <w:shd w:val="clear" w:color="auto" w:fill="auto"/>
          </w:tcPr>
          <w:p w14:paraId="623288E1" w14:textId="77777777" w:rsidR="00DB7887" w:rsidRPr="0024453F" w:rsidRDefault="00DB7887" w:rsidP="00DB7887">
            <w:pPr>
              <w:jc w:val="both"/>
              <w:rPr>
                <w:rFonts w:ascii="David" w:hAnsi="David"/>
                <w:sz w:val="26"/>
                <w:szCs w:val="26"/>
              </w:rPr>
            </w:pPr>
            <w:r w:rsidRPr="0024453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7BA0DCF" w14:textId="77777777" w:rsidR="00DB7887" w:rsidRPr="0024453F" w:rsidRDefault="00DB7887" w:rsidP="0093563E">
            <w:pPr>
              <w:rPr>
                <w:rFonts w:ascii="David" w:hAnsi="David"/>
                <w:b/>
                <w:bCs/>
                <w:sz w:val="26"/>
                <w:szCs w:val="26"/>
                <w:rtl/>
              </w:rPr>
            </w:pPr>
            <w:r w:rsidRPr="0024453F">
              <w:rPr>
                <w:rFonts w:ascii="David" w:hAnsi="David"/>
                <w:b/>
                <w:bCs/>
                <w:sz w:val="26"/>
                <w:szCs w:val="26"/>
                <w:rtl/>
              </w:rPr>
              <w:t>כבוד השופטת  סיגל אלבו</w:t>
            </w:r>
          </w:p>
          <w:p w14:paraId="47B09185" w14:textId="77777777" w:rsidR="00DB7887" w:rsidRPr="0024453F" w:rsidRDefault="00DB7887" w:rsidP="0093563E">
            <w:pPr>
              <w:rPr>
                <w:rFonts w:ascii="David" w:hAnsi="David"/>
                <w:sz w:val="26"/>
                <w:szCs w:val="26"/>
                <w:rtl/>
              </w:rPr>
            </w:pPr>
          </w:p>
          <w:p w14:paraId="5BCB748E" w14:textId="77777777" w:rsidR="00DB7887" w:rsidRPr="0024453F" w:rsidRDefault="00DB7887" w:rsidP="00DB7887">
            <w:pPr>
              <w:jc w:val="both"/>
              <w:rPr>
                <w:rFonts w:ascii="David" w:hAnsi="David"/>
                <w:sz w:val="26"/>
                <w:szCs w:val="26"/>
              </w:rPr>
            </w:pPr>
          </w:p>
        </w:tc>
      </w:tr>
      <w:tr w:rsidR="00DB7887" w:rsidRPr="0024453F" w14:paraId="4E4ABA4D" w14:textId="77777777" w:rsidTr="00DB7887">
        <w:trPr>
          <w:trHeight w:val="355"/>
          <w:jc w:val="center"/>
        </w:trPr>
        <w:tc>
          <w:tcPr>
            <w:tcW w:w="923" w:type="dxa"/>
            <w:tcBorders>
              <w:top w:val="nil"/>
              <w:left w:val="nil"/>
              <w:bottom w:val="nil"/>
              <w:right w:val="nil"/>
            </w:tcBorders>
            <w:shd w:val="clear" w:color="auto" w:fill="auto"/>
          </w:tcPr>
          <w:p w14:paraId="5CB6C227" w14:textId="77777777" w:rsidR="00DB7887" w:rsidRPr="0024453F" w:rsidRDefault="00DB7887" w:rsidP="00DB7887">
            <w:pPr>
              <w:jc w:val="both"/>
              <w:rPr>
                <w:rFonts w:ascii="David" w:hAnsi="David"/>
                <w:sz w:val="26"/>
                <w:szCs w:val="26"/>
              </w:rPr>
            </w:pPr>
            <w:bookmarkStart w:id="2" w:name="FirstAppellant"/>
            <w:r w:rsidRPr="0024453F">
              <w:rPr>
                <w:rFonts w:ascii="David" w:hAnsi="David"/>
                <w:sz w:val="26"/>
                <w:szCs w:val="26"/>
                <w:rtl/>
              </w:rPr>
              <w:t>בעניין:</w:t>
            </w:r>
          </w:p>
        </w:tc>
        <w:tc>
          <w:tcPr>
            <w:tcW w:w="3219" w:type="dxa"/>
            <w:tcBorders>
              <w:top w:val="nil"/>
              <w:left w:val="nil"/>
              <w:bottom w:val="nil"/>
              <w:right w:val="nil"/>
            </w:tcBorders>
            <w:shd w:val="clear" w:color="auto" w:fill="auto"/>
          </w:tcPr>
          <w:p w14:paraId="6A4343C2" w14:textId="77777777" w:rsidR="00DB7887" w:rsidRPr="0024453F" w:rsidRDefault="00DB7887" w:rsidP="00DB7887">
            <w:pPr>
              <w:suppressLineNumbers/>
              <w:rPr>
                <w:rFonts w:ascii="David" w:hAnsi="David"/>
                <w:sz w:val="26"/>
                <w:szCs w:val="26"/>
              </w:rPr>
            </w:pPr>
            <w:r w:rsidRPr="0024453F">
              <w:rPr>
                <w:rFonts w:ascii="David" w:hAnsi="David"/>
                <w:b/>
                <w:bCs/>
                <w:sz w:val="26"/>
                <w:szCs w:val="26"/>
                <w:rtl/>
              </w:rPr>
              <w:t>המאשימה</w:t>
            </w:r>
          </w:p>
          <w:p w14:paraId="318B5167" w14:textId="77777777" w:rsidR="00DB7887" w:rsidRPr="0024453F" w:rsidRDefault="00DB7887" w:rsidP="0093563E">
            <w:pPr>
              <w:rPr>
                <w:rFonts w:ascii="David" w:hAnsi="David"/>
                <w:sz w:val="26"/>
                <w:szCs w:val="26"/>
              </w:rPr>
            </w:pPr>
          </w:p>
        </w:tc>
        <w:tc>
          <w:tcPr>
            <w:tcW w:w="4678" w:type="dxa"/>
            <w:tcBorders>
              <w:top w:val="nil"/>
              <w:left w:val="nil"/>
              <w:bottom w:val="nil"/>
              <w:right w:val="nil"/>
            </w:tcBorders>
            <w:shd w:val="clear" w:color="auto" w:fill="auto"/>
            <w:vAlign w:val="center"/>
          </w:tcPr>
          <w:p w14:paraId="48BEB3C9" w14:textId="77777777" w:rsidR="00DB7887" w:rsidRPr="0024453F" w:rsidRDefault="00DB7887" w:rsidP="00DB7887">
            <w:pPr>
              <w:suppressLineNumbers/>
              <w:rPr>
                <w:rFonts w:ascii="David" w:hAnsi="David"/>
                <w:sz w:val="26"/>
                <w:szCs w:val="26"/>
              </w:rPr>
            </w:pPr>
            <w:r w:rsidRPr="0024453F">
              <w:rPr>
                <w:rFonts w:ascii="David" w:hAnsi="David"/>
                <w:b/>
                <w:bCs/>
                <w:sz w:val="26"/>
                <w:szCs w:val="26"/>
                <w:rtl/>
              </w:rPr>
              <w:t xml:space="preserve">מדינת ישראל ע"י ב"כ </w:t>
            </w:r>
            <w:r w:rsidRPr="0024453F">
              <w:rPr>
                <w:rFonts w:ascii="David" w:hAnsi="David" w:hint="cs"/>
                <w:b/>
                <w:bCs/>
                <w:sz w:val="26"/>
                <w:szCs w:val="26"/>
                <w:rtl/>
              </w:rPr>
              <w:t>מר קובי אוחיון, מתמחה</w:t>
            </w:r>
          </w:p>
          <w:p w14:paraId="5703F7EA" w14:textId="77777777" w:rsidR="00DB7887" w:rsidRPr="0024453F" w:rsidRDefault="00DB7887" w:rsidP="0093563E">
            <w:pPr>
              <w:rPr>
                <w:rFonts w:ascii="David" w:hAnsi="David"/>
                <w:sz w:val="26"/>
                <w:szCs w:val="26"/>
              </w:rPr>
            </w:pPr>
          </w:p>
        </w:tc>
      </w:tr>
      <w:bookmarkEnd w:id="2"/>
      <w:tr w:rsidR="00DB7887" w:rsidRPr="0024453F" w14:paraId="31D1143B" w14:textId="77777777" w:rsidTr="00DB7887">
        <w:trPr>
          <w:trHeight w:val="854"/>
          <w:jc w:val="center"/>
        </w:trPr>
        <w:tc>
          <w:tcPr>
            <w:tcW w:w="923" w:type="dxa"/>
            <w:tcBorders>
              <w:top w:val="nil"/>
              <w:left w:val="nil"/>
              <w:bottom w:val="nil"/>
              <w:right w:val="nil"/>
            </w:tcBorders>
            <w:shd w:val="clear" w:color="auto" w:fill="auto"/>
          </w:tcPr>
          <w:p w14:paraId="23DA0433" w14:textId="77777777" w:rsidR="00DB7887" w:rsidRPr="0024453F" w:rsidRDefault="00DB7887" w:rsidP="00DB788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DDFE566" w14:textId="77777777" w:rsidR="00DB7887" w:rsidRPr="0024453F" w:rsidRDefault="00DB7887" w:rsidP="00DB7887">
            <w:pPr>
              <w:jc w:val="center"/>
              <w:rPr>
                <w:rFonts w:ascii="David" w:hAnsi="David"/>
                <w:b/>
                <w:bCs/>
                <w:sz w:val="26"/>
                <w:szCs w:val="26"/>
                <w:rtl/>
              </w:rPr>
            </w:pPr>
          </w:p>
          <w:p w14:paraId="11708832" w14:textId="77777777" w:rsidR="00DB7887" w:rsidRPr="0024453F" w:rsidRDefault="00DB7887" w:rsidP="00DB7887">
            <w:pPr>
              <w:jc w:val="center"/>
              <w:rPr>
                <w:rFonts w:ascii="David" w:hAnsi="David"/>
                <w:b/>
                <w:bCs/>
                <w:sz w:val="26"/>
                <w:szCs w:val="26"/>
                <w:rtl/>
              </w:rPr>
            </w:pPr>
            <w:r w:rsidRPr="0024453F">
              <w:rPr>
                <w:rFonts w:ascii="David" w:hAnsi="David"/>
                <w:b/>
                <w:bCs/>
                <w:sz w:val="26"/>
                <w:szCs w:val="26"/>
                <w:rtl/>
              </w:rPr>
              <w:t>נגד</w:t>
            </w:r>
          </w:p>
          <w:p w14:paraId="2525AFAC" w14:textId="77777777" w:rsidR="00DB7887" w:rsidRPr="0024453F" w:rsidRDefault="00DB7887" w:rsidP="00DB7887">
            <w:pPr>
              <w:jc w:val="both"/>
              <w:rPr>
                <w:rFonts w:ascii="David" w:hAnsi="David"/>
                <w:b/>
                <w:bCs/>
                <w:sz w:val="26"/>
                <w:szCs w:val="26"/>
              </w:rPr>
            </w:pPr>
          </w:p>
        </w:tc>
      </w:tr>
      <w:tr w:rsidR="00DB7887" w:rsidRPr="0024453F" w14:paraId="355CF6AC" w14:textId="77777777" w:rsidTr="00DB7887">
        <w:trPr>
          <w:trHeight w:val="355"/>
          <w:jc w:val="center"/>
        </w:trPr>
        <w:tc>
          <w:tcPr>
            <w:tcW w:w="923" w:type="dxa"/>
            <w:tcBorders>
              <w:top w:val="nil"/>
              <w:left w:val="nil"/>
              <w:bottom w:val="nil"/>
              <w:right w:val="nil"/>
            </w:tcBorders>
            <w:shd w:val="clear" w:color="auto" w:fill="auto"/>
          </w:tcPr>
          <w:p w14:paraId="3D01DE7F" w14:textId="77777777" w:rsidR="00DB7887" w:rsidRPr="0024453F" w:rsidRDefault="00DB7887" w:rsidP="0093563E">
            <w:pPr>
              <w:rPr>
                <w:rFonts w:ascii="David" w:hAnsi="David"/>
                <w:sz w:val="26"/>
                <w:szCs w:val="26"/>
                <w:rtl/>
              </w:rPr>
            </w:pPr>
          </w:p>
        </w:tc>
        <w:tc>
          <w:tcPr>
            <w:tcW w:w="3219" w:type="dxa"/>
            <w:tcBorders>
              <w:top w:val="nil"/>
              <w:left w:val="nil"/>
              <w:bottom w:val="nil"/>
              <w:right w:val="nil"/>
            </w:tcBorders>
            <w:shd w:val="clear" w:color="auto" w:fill="auto"/>
          </w:tcPr>
          <w:p w14:paraId="0BC1776C" w14:textId="77777777" w:rsidR="00DB7887" w:rsidRPr="0024453F" w:rsidRDefault="00DB7887" w:rsidP="0093563E">
            <w:pPr>
              <w:rPr>
                <w:rFonts w:ascii="David" w:hAnsi="David"/>
                <w:b/>
                <w:bCs/>
                <w:sz w:val="26"/>
                <w:szCs w:val="26"/>
                <w:rtl/>
              </w:rPr>
            </w:pPr>
            <w:r w:rsidRPr="0024453F">
              <w:rPr>
                <w:rFonts w:ascii="David" w:hAnsi="David"/>
                <w:b/>
                <w:bCs/>
                <w:sz w:val="26"/>
                <w:szCs w:val="26"/>
                <w:rtl/>
              </w:rPr>
              <w:t>הנאשם</w:t>
            </w:r>
          </w:p>
        </w:tc>
        <w:tc>
          <w:tcPr>
            <w:tcW w:w="4678" w:type="dxa"/>
            <w:tcBorders>
              <w:top w:val="nil"/>
              <w:left w:val="nil"/>
              <w:bottom w:val="nil"/>
              <w:right w:val="nil"/>
            </w:tcBorders>
            <w:shd w:val="clear" w:color="auto" w:fill="auto"/>
            <w:vAlign w:val="center"/>
          </w:tcPr>
          <w:p w14:paraId="180F1013" w14:textId="77777777" w:rsidR="00DB7887" w:rsidRPr="0024453F" w:rsidRDefault="00DB7887" w:rsidP="00DB7887">
            <w:pPr>
              <w:suppressLineNumbers/>
              <w:rPr>
                <w:rFonts w:ascii="David" w:hAnsi="David"/>
                <w:b/>
                <w:bCs/>
                <w:sz w:val="26"/>
                <w:szCs w:val="26"/>
              </w:rPr>
            </w:pPr>
            <w:r w:rsidRPr="0024453F">
              <w:rPr>
                <w:rFonts w:ascii="David" w:hAnsi="David"/>
                <w:b/>
                <w:bCs/>
                <w:sz w:val="26"/>
                <w:szCs w:val="26"/>
                <w:rtl/>
              </w:rPr>
              <w:t>נחמן ציוני  ע"י ב"כ עוה"ד</w:t>
            </w:r>
            <w:r w:rsidRPr="0024453F">
              <w:rPr>
                <w:rFonts w:ascii="David" w:hAnsi="David" w:hint="cs"/>
                <w:b/>
                <w:bCs/>
                <w:sz w:val="26"/>
                <w:szCs w:val="26"/>
                <w:rtl/>
              </w:rPr>
              <w:t xml:space="preserve"> לימור זקן</w:t>
            </w:r>
          </w:p>
          <w:p w14:paraId="14E87854" w14:textId="77777777" w:rsidR="00DB7887" w:rsidRPr="0024453F" w:rsidRDefault="00DB7887" w:rsidP="0093563E">
            <w:pPr>
              <w:rPr>
                <w:rFonts w:ascii="David" w:hAnsi="David"/>
                <w:b/>
                <w:bCs/>
                <w:sz w:val="26"/>
                <w:szCs w:val="26"/>
              </w:rPr>
            </w:pPr>
          </w:p>
        </w:tc>
      </w:tr>
    </w:tbl>
    <w:p w14:paraId="4A6FFB40" w14:textId="77777777" w:rsidR="0024453F" w:rsidRPr="0024453F" w:rsidRDefault="0024453F" w:rsidP="0024453F">
      <w:pPr>
        <w:spacing w:before="120" w:after="120" w:line="240" w:lineRule="exact"/>
        <w:ind w:left="283" w:hanging="283"/>
        <w:jc w:val="both"/>
        <w:rPr>
          <w:rFonts w:ascii="FrankRuehl" w:hAnsi="FrankRuehl" w:cs="FrankRuehl"/>
          <w:rtl/>
        </w:rPr>
      </w:pPr>
    </w:p>
    <w:p w14:paraId="4506AD20" w14:textId="77777777" w:rsidR="00051BC4" w:rsidRPr="00051BC4" w:rsidRDefault="00051BC4" w:rsidP="00051BC4">
      <w:pPr>
        <w:spacing w:before="120" w:after="120" w:line="240" w:lineRule="exact"/>
        <w:ind w:left="283" w:hanging="283"/>
        <w:jc w:val="both"/>
        <w:rPr>
          <w:rFonts w:ascii="FrankRuehl" w:hAnsi="FrankRuehl" w:cs="FrankRuehl"/>
          <w:rtl/>
        </w:rPr>
      </w:pPr>
    </w:p>
    <w:p w14:paraId="2C2C8D87" w14:textId="77777777" w:rsidR="005E5605" w:rsidRDefault="005E5605" w:rsidP="005E5605">
      <w:pPr>
        <w:rPr>
          <w:rFonts w:ascii="David" w:hAnsi="David"/>
          <w:sz w:val="26"/>
          <w:szCs w:val="26"/>
          <w:rtl/>
        </w:rPr>
      </w:pPr>
      <w:bookmarkStart w:id="3" w:name="LawTable"/>
      <w:bookmarkEnd w:id="3"/>
    </w:p>
    <w:p w14:paraId="443E32E8" w14:textId="77777777" w:rsidR="005E5605" w:rsidRPr="005E5605" w:rsidRDefault="005E5605" w:rsidP="005E5605">
      <w:pPr>
        <w:spacing w:before="120" w:after="120" w:line="240" w:lineRule="exact"/>
        <w:ind w:left="283" w:hanging="283"/>
        <w:jc w:val="both"/>
        <w:rPr>
          <w:rFonts w:ascii="FrankRuehl" w:hAnsi="FrankRuehl" w:cs="FrankRuehl"/>
          <w:rtl/>
        </w:rPr>
      </w:pPr>
    </w:p>
    <w:p w14:paraId="2133D755" w14:textId="77777777" w:rsidR="005E5605" w:rsidRPr="005E5605" w:rsidRDefault="005E5605" w:rsidP="005E5605">
      <w:pPr>
        <w:spacing w:before="120" w:after="120" w:line="240" w:lineRule="exact"/>
        <w:ind w:left="283" w:hanging="283"/>
        <w:jc w:val="both"/>
        <w:rPr>
          <w:rFonts w:ascii="FrankRuehl" w:hAnsi="FrankRuehl" w:cs="FrankRuehl"/>
          <w:rtl/>
        </w:rPr>
      </w:pPr>
    </w:p>
    <w:p w14:paraId="5CD8A4AE" w14:textId="77777777" w:rsidR="005E5605" w:rsidRPr="005E5605" w:rsidRDefault="005E5605" w:rsidP="005E5605">
      <w:pPr>
        <w:spacing w:before="120" w:after="120" w:line="240" w:lineRule="exact"/>
        <w:ind w:left="283" w:hanging="283"/>
        <w:jc w:val="both"/>
        <w:rPr>
          <w:rFonts w:ascii="FrankRuehl" w:hAnsi="FrankRuehl" w:cs="FrankRuehl"/>
          <w:rtl/>
        </w:rPr>
      </w:pPr>
      <w:r w:rsidRPr="005E5605">
        <w:rPr>
          <w:rFonts w:ascii="FrankRuehl" w:hAnsi="FrankRuehl" w:cs="FrankRuehl"/>
          <w:rtl/>
        </w:rPr>
        <w:t xml:space="preserve">חקיקה שאוזכרה: </w:t>
      </w:r>
    </w:p>
    <w:p w14:paraId="7E328804" w14:textId="77777777" w:rsidR="005E5605" w:rsidRPr="005E5605" w:rsidRDefault="005E5605" w:rsidP="005E5605">
      <w:pPr>
        <w:spacing w:before="120" w:after="120" w:line="240" w:lineRule="exact"/>
        <w:ind w:left="283" w:hanging="283"/>
        <w:jc w:val="both"/>
        <w:rPr>
          <w:rFonts w:ascii="FrankRuehl" w:hAnsi="FrankRuehl" w:cs="FrankRuehl"/>
          <w:rtl/>
        </w:rPr>
      </w:pPr>
      <w:hyperlink r:id="rId7" w:history="1">
        <w:r w:rsidRPr="005E5605">
          <w:rPr>
            <w:rFonts w:ascii="FrankRuehl" w:hAnsi="FrankRuehl" w:cs="FrankRuehl"/>
            <w:color w:val="0000FF"/>
            <w:rtl/>
          </w:rPr>
          <w:t>פקודת הסמים המסוכנים [נוסח חדש], תשל"ג-1973</w:t>
        </w:r>
      </w:hyperlink>
      <w:r w:rsidRPr="005E5605">
        <w:rPr>
          <w:rFonts w:ascii="FrankRuehl" w:hAnsi="FrankRuehl" w:cs="FrankRuehl"/>
          <w:rtl/>
        </w:rPr>
        <w:t xml:space="preserve">: סע'  </w:t>
      </w:r>
      <w:hyperlink r:id="rId8" w:history="1">
        <w:r w:rsidRPr="005E5605">
          <w:rPr>
            <w:rFonts w:ascii="FrankRuehl" w:hAnsi="FrankRuehl" w:cs="FrankRuehl"/>
            <w:color w:val="0000FF"/>
            <w:rtl/>
          </w:rPr>
          <w:t>13</w:t>
        </w:r>
      </w:hyperlink>
      <w:r w:rsidRPr="005E5605">
        <w:rPr>
          <w:rFonts w:ascii="FrankRuehl" w:hAnsi="FrankRuehl" w:cs="FrankRuehl"/>
          <w:rtl/>
        </w:rPr>
        <w:t xml:space="preserve">, </w:t>
      </w:r>
      <w:hyperlink r:id="rId9" w:history="1">
        <w:r w:rsidRPr="005E5605">
          <w:rPr>
            <w:rFonts w:ascii="FrankRuehl" w:hAnsi="FrankRuehl" w:cs="FrankRuehl"/>
            <w:color w:val="0000FF"/>
            <w:rtl/>
          </w:rPr>
          <w:t>19א</w:t>
        </w:r>
      </w:hyperlink>
      <w:r w:rsidRPr="005E5605">
        <w:rPr>
          <w:rFonts w:ascii="FrankRuehl" w:hAnsi="FrankRuehl" w:cs="FrankRuehl"/>
          <w:rtl/>
        </w:rPr>
        <w:t xml:space="preserve">, </w:t>
      </w:r>
      <w:hyperlink r:id="rId10" w:history="1">
        <w:r w:rsidRPr="005E5605">
          <w:rPr>
            <w:rFonts w:ascii="FrankRuehl" w:hAnsi="FrankRuehl" w:cs="FrankRuehl"/>
            <w:color w:val="0000FF"/>
            <w:rtl/>
          </w:rPr>
          <w:t>37א(א)</w:t>
        </w:r>
      </w:hyperlink>
    </w:p>
    <w:p w14:paraId="7398F55D" w14:textId="77777777" w:rsidR="005E5605" w:rsidRPr="005E5605" w:rsidRDefault="005E5605" w:rsidP="005E5605">
      <w:pPr>
        <w:spacing w:before="120" w:after="120" w:line="240" w:lineRule="exact"/>
        <w:ind w:left="283" w:hanging="283"/>
        <w:jc w:val="both"/>
        <w:rPr>
          <w:rFonts w:ascii="FrankRuehl" w:hAnsi="FrankRuehl" w:cs="FrankRuehl"/>
          <w:rtl/>
        </w:rPr>
      </w:pPr>
      <w:hyperlink r:id="rId11" w:history="1">
        <w:r w:rsidRPr="005E5605">
          <w:rPr>
            <w:rFonts w:ascii="FrankRuehl" w:hAnsi="FrankRuehl" w:cs="FrankRuehl"/>
            <w:color w:val="0000FF"/>
            <w:rtl/>
          </w:rPr>
          <w:t>חוק סדר הדין הפלילי [נוסח משולב], תשמ"ב-1982</w:t>
        </w:r>
      </w:hyperlink>
      <w:r w:rsidRPr="005E5605">
        <w:rPr>
          <w:rFonts w:ascii="FrankRuehl" w:hAnsi="FrankRuehl" w:cs="FrankRuehl"/>
          <w:rtl/>
        </w:rPr>
        <w:t xml:space="preserve">: סע'  </w:t>
      </w:r>
      <w:hyperlink r:id="rId12" w:history="1">
        <w:r w:rsidRPr="005E5605">
          <w:rPr>
            <w:rFonts w:ascii="FrankRuehl" w:hAnsi="FrankRuehl" w:cs="FrankRuehl"/>
            <w:color w:val="0000FF"/>
            <w:rtl/>
          </w:rPr>
          <w:t>192א</w:t>
        </w:r>
      </w:hyperlink>
    </w:p>
    <w:p w14:paraId="4E09F0FD" w14:textId="77777777" w:rsidR="005E5605" w:rsidRPr="005E5605" w:rsidRDefault="005E5605" w:rsidP="005E5605">
      <w:pPr>
        <w:spacing w:before="120" w:after="120" w:line="240" w:lineRule="exact"/>
        <w:ind w:left="283" w:hanging="283"/>
        <w:jc w:val="both"/>
        <w:rPr>
          <w:rFonts w:ascii="FrankRuehl" w:hAnsi="FrankRuehl" w:cs="FrankRuehl"/>
          <w:rtl/>
        </w:rPr>
      </w:pPr>
      <w:hyperlink r:id="rId13" w:history="1">
        <w:r w:rsidRPr="005E5605">
          <w:rPr>
            <w:rFonts w:ascii="FrankRuehl" w:hAnsi="FrankRuehl" w:cs="FrankRuehl"/>
            <w:color w:val="0000FF"/>
            <w:rtl/>
          </w:rPr>
          <w:t>חוק העונשין, תשל"ז-1977</w:t>
        </w:r>
      </w:hyperlink>
      <w:r w:rsidRPr="005E5605">
        <w:rPr>
          <w:rFonts w:ascii="FrankRuehl" w:hAnsi="FrankRuehl" w:cs="FrankRuehl"/>
          <w:rtl/>
        </w:rPr>
        <w:t xml:space="preserve">: סע'  </w:t>
      </w:r>
      <w:hyperlink r:id="rId14" w:history="1">
        <w:r w:rsidRPr="005E5605">
          <w:rPr>
            <w:rFonts w:ascii="FrankRuehl" w:hAnsi="FrankRuehl" w:cs="FrankRuehl"/>
            <w:color w:val="0000FF"/>
            <w:rtl/>
          </w:rPr>
          <w:t>71א(ה)</w:t>
        </w:r>
      </w:hyperlink>
      <w:r w:rsidRPr="005E5605">
        <w:rPr>
          <w:rFonts w:ascii="FrankRuehl" w:hAnsi="FrankRuehl" w:cs="FrankRuehl"/>
          <w:rtl/>
        </w:rPr>
        <w:t xml:space="preserve">, </w:t>
      </w:r>
      <w:hyperlink r:id="rId15" w:history="1">
        <w:r w:rsidRPr="005E5605">
          <w:rPr>
            <w:rFonts w:ascii="FrankRuehl" w:hAnsi="FrankRuehl" w:cs="FrankRuehl"/>
            <w:color w:val="0000FF"/>
            <w:rtl/>
          </w:rPr>
          <w:t>71ד</w:t>
        </w:r>
      </w:hyperlink>
    </w:p>
    <w:p w14:paraId="6E6EEBA8" w14:textId="77777777" w:rsidR="005E5605" w:rsidRPr="005E5605" w:rsidRDefault="005E5605" w:rsidP="005E5605">
      <w:pPr>
        <w:rPr>
          <w:rFonts w:ascii="David" w:hAnsi="David"/>
          <w:sz w:val="26"/>
          <w:szCs w:val="26"/>
          <w:rtl/>
        </w:rPr>
      </w:pPr>
      <w:bookmarkStart w:id="4" w:name="LawTable_End"/>
      <w:bookmarkEnd w:id="4"/>
    </w:p>
    <w:p w14:paraId="30536C64" w14:textId="77777777" w:rsidR="00DB7887" w:rsidRPr="00051BC4" w:rsidRDefault="00DB7887" w:rsidP="00051BC4">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7887" w:rsidRPr="000A6569" w14:paraId="55AD8660" w14:textId="77777777" w:rsidTr="00DB7887">
        <w:trPr>
          <w:trHeight w:val="355"/>
          <w:jc w:val="center"/>
        </w:trPr>
        <w:tc>
          <w:tcPr>
            <w:tcW w:w="8820" w:type="dxa"/>
            <w:tcBorders>
              <w:top w:val="nil"/>
              <w:left w:val="nil"/>
              <w:bottom w:val="nil"/>
              <w:right w:val="nil"/>
            </w:tcBorders>
            <w:shd w:val="clear" w:color="auto" w:fill="auto"/>
          </w:tcPr>
          <w:p w14:paraId="0B720296" w14:textId="77777777" w:rsidR="0024453F" w:rsidRPr="0024453F" w:rsidRDefault="0024453F" w:rsidP="0024453F">
            <w:pPr>
              <w:jc w:val="center"/>
              <w:rPr>
                <w:rFonts w:ascii="David" w:hAnsi="David"/>
                <w:b/>
                <w:bCs/>
                <w:sz w:val="26"/>
                <w:szCs w:val="26"/>
                <w:u w:val="single"/>
                <w:rtl/>
              </w:rPr>
            </w:pPr>
            <w:bookmarkStart w:id="5" w:name="PsakDin" w:colFirst="0" w:colLast="0"/>
            <w:bookmarkEnd w:id="0"/>
            <w:bookmarkEnd w:id="1"/>
            <w:r w:rsidRPr="0024453F">
              <w:rPr>
                <w:rFonts w:ascii="David" w:hAnsi="David"/>
                <w:b/>
                <w:bCs/>
                <w:sz w:val="26"/>
                <w:szCs w:val="26"/>
                <w:u w:val="single"/>
                <w:rtl/>
              </w:rPr>
              <w:t>גזר דין</w:t>
            </w:r>
          </w:p>
          <w:p w14:paraId="2FD9E832" w14:textId="77777777" w:rsidR="00DB7887" w:rsidRPr="0024453F" w:rsidRDefault="00DB7887" w:rsidP="0024453F">
            <w:pPr>
              <w:jc w:val="center"/>
              <w:rPr>
                <w:rFonts w:ascii="David" w:hAnsi="David"/>
                <w:bCs/>
                <w:sz w:val="26"/>
                <w:szCs w:val="26"/>
                <w:u w:val="single"/>
                <w:rtl/>
              </w:rPr>
            </w:pPr>
          </w:p>
        </w:tc>
      </w:tr>
      <w:bookmarkEnd w:id="5"/>
    </w:tbl>
    <w:p w14:paraId="7D090443" w14:textId="77777777" w:rsidR="00DB7887" w:rsidRPr="000A6569" w:rsidRDefault="00DB7887" w:rsidP="00DB7887">
      <w:pPr>
        <w:rPr>
          <w:rFonts w:ascii="David" w:hAnsi="David"/>
          <w:b/>
          <w:bCs/>
          <w:sz w:val="26"/>
          <w:szCs w:val="26"/>
          <w:rtl/>
        </w:rPr>
      </w:pPr>
    </w:p>
    <w:p w14:paraId="5DF5740D" w14:textId="77777777" w:rsidR="00DB7887" w:rsidRPr="000A6569" w:rsidRDefault="00DB7887" w:rsidP="00DB7887">
      <w:pPr>
        <w:spacing w:line="360" w:lineRule="auto"/>
        <w:jc w:val="both"/>
        <w:rPr>
          <w:rFonts w:ascii="David" w:hAnsi="David"/>
          <w:b/>
          <w:bCs/>
          <w:sz w:val="26"/>
          <w:szCs w:val="26"/>
        </w:rPr>
      </w:pPr>
      <w:r w:rsidRPr="000A6569">
        <w:rPr>
          <w:rFonts w:ascii="David" w:hAnsi="David"/>
          <w:b/>
          <w:bCs/>
          <w:sz w:val="26"/>
          <w:szCs w:val="26"/>
          <w:rtl/>
        </w:rPr>
        <w:t>כללי</w:t>
      </w:r>
    </w:p>
    <w:p w14:paraId="2C71FE5A" w14:textId="77777777" w:rsidR="00DB7887" w:rsidRPr="000A6569" w:rsidRDefault="00DB7887" w:rsidP="00DB7887">
      <w:pPr>
        <w:numPr>
          <w:ilvl w:val="0"/>
          <w:numId w:val="1"/>
        </w:numPr>
        <w:spacing w:line="360" w:lineRule="auto"/>
        <w:jc w:val="both"/>
        <w:rPr>
          <w:rFonts w:ascii="David" w:hAnsi="David"/>
          <w:sz w:val="26"/>
          <w:szCs w:val="26"/>
        </w:rPr>
      </w:pPr>
      <w:bookmarkStart w:id="6" w:name="ABSTRACT_START"/>
      <w:bookmarkEnd w:id="6"/>
      <w:r w:rsidRPr="000A6569">
        <w:rPr>
          <w:rFonts w:ascii="David" w:hAnsi="David"/>
          <w:sz w:val="26"/>
          <w:szCs w:val="26"/>
          <w:rtl/>
        </w:rPr>
        <w:t xml:space="preserve">הנאשם הורשע על פי הודאתו, ובמסגרת הסדר טיעון, בשלושה אישומים, שעניינם סחר בסם מסוכן, עבירות  לפי סעיף </w:t>
      </w:r>
      <w:hyperlink r:id="rId16" w:history="1">
        <w:r w:rsidR="00EF401F" w:rsidRPr="00EF401F">
          <w:rPr>
            <w:rStyle w:val="Hyperlink"/>
            <w:rFonts w:ascii="David" w:hAnsi="David"/>
            <w:sz w:val="26"/>
            <w:szCs w:val="26"/>
            <w:rtl/>
          </w:rPr>
          <w:t>13</w:t>
        </w:r>
      </w:hyperlink>
      <w:r w:rsidRPr="000A6569">
        <w:rPr>
          <w:rFonts w:ascii="David" w:hAnsi="David"/>
          <w:sz w:val="26"/>
          <w:szCs w:val="26"/>
          <w:rtl/>
        </w:rPr>
        <w:t xml:space="preserve">+סעיף </w:t>
      </w:r>
      <w:hyperlink r:id="rId17" w:history="1">
        <w:r w:rsidR="00EF401F" w:rsidRPr="00EF401F">
          <w:rPr>
            <w:rStyle w:val="Hyperlink"/>
            <w:rFonts w:ascii="David" w:hAnsi="David"/>
            <w:sz w:val="26"/>
            <w:szCs w:val="26"/>
            <w:rtl/>
          </w:rPr>
          <w:t>19א</w:t>
        </w:r>
      </w:hyperlink>
      <w:r w:rsidRPr="000A6569">
        <w:rPr>
          <w:rFonts w:ascii="David" w:hAnsi="David"/>
          <w:sz w:val="26"/>
          <w:szCs w:val="26"/>
          <w:rtl/>
        </w:rPr>
        <w:t xml:space="preserve"> ל</w:t>
      </w:r>
      <w:hyperlink r:id="rId18" w:history="1">
        <w:r w:rsidR="0024453F" w:rsidRPr="0024453F">
          <w:rPr>
            <w:rFonts w:ascii="David" w:hAnsi="David"/>
            <w:color w:val="0000FF"/>
            <w:sz w:val="26"/>
            <w:szCs w:val="26"/>
            <w:u w:val="single"/>
            <w:rtl/>
          </w:rPr>
          <w:t>פקודת הסמים המסוכנים</w:t>
        </w:r>
      </w:hyperlink>
      <w:r w:rsidRPr="000A6569">
        <w:rPr>
          <w:rFonts w:ascii="David" w:hAnsi="David"/>
          <w:sz w:val="26"/>
          <w:szCs w:val="26"/>
          <w:rtl/>
        </w:rPr>
        <w:t xml:space="preserve"> (נוסח חדש), התשל"ג-1973 </w:t>
      </w:r>
      <w:bookmarkStart w:id="7" w:name="ABSTRACT_END"/>
      <w:bookmarkEnd w:id="7"/>
      <w:r w:rsidRPr="000A6569">
        <w:rPr>
          <w:rFonts w:ascii="David" w:hAnsi="David"/>
          <w:sz w:val="26"/>
          <w:szCs w:val="26"/>
          <w:rtl/>
        </w:rPr>
        <w:t>(להלן: "</w:t>
      </w:r>
      <w:r w:rsidRPr="000A6569">
        <w:rPr>
          <w:rFonts w:ascii="David" w:hAnsi="David"/>
          <w:b/>
          <w:bCs/>
          <w:sz w:val="26"/>
          <w:szCs w:val="26"/>
          <w:rtl/>
        </w:rPr>
        <w:t>הפקודה</w:t>
      </w:r>
      <w:r>
        <w:rPr>
          <w:rFonts w:ascii="David" w:hAnsi="David" w:hint="cs"/>
          <w:b/>
          <w:bCs/>
          <w:sz w:val="26"/>
          <w:szCs w:val="26"/>
          <w:rtl/>
        </w:rPr>
        <w:t>"</w:t>
      </w:r>
      <w:r w:rsidRPr="000A6569">
        <w:rPr>
          <w:rFonts w:ascii="David" w:hAnsi="David"/>
          <w:b/>
          <w:bCs/>
          <w:sz w:val="26"/>
          <w:szCs w:val="26"/>
          <w:rtl/>
        </w:rPr>
        <w:t>)</w:t>
      </w:r>
      <w:r w:rsidRPr="000A6569">
        <w:rPr>
          <w:rFonts w:ascii="David" w:hAnsi="David"/>
          <w:sz w:val="26"/>
          <w:szCs w:val="26"/>
          <w:rtl/>
        </w:rPr>
        <w:t xml:space="preserve">. </w:t>
      </w:r>
    </w:p>
    <w:p w14:paraId="2C377E31" w14:textId="77777777" w:rsidR="00DB7887" w:rsidRPr="000A6569" w:rsidRDefault="00DB7887" w:rsidP="00DB7887">
      <w:pPr>
        <w:spacing w:line="360" w:lineRule="auto"/>
        <w:jc w:val="both"/>
        <w:rPr>
          <w:rFonts w:ascii="David" w:hAnsi="David"/>
          <w:sz w:val="26"/>
          <w:szCs w:val="26"/>
          <w:rtl/>
        </w:rPr>
      </w:pPr>
    </w:p>
    <w:p w14:paraId="67F0D9D1"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 xml:space="preserve">בהסדר הטיעון שנכרת בין הצדדים הוסכם שהנאשם יודה ויורשע בכתב אישום מתוקן. אשר לעונש הוסכם שהצדדים יטענו באופן חופשי. </w:t>
      </w:r>
    </w:p>
    <w:p w14:paraId="1DE113B9" w14:textId="77777777" w:rsidR="00DB7887" w:rsidRPr="000A6569" w:rsidRDefault="00DB7887" w:rsidP="00DB7887">
      <w:pPr>
        <w:spacing w:line="360" w:lineRule="auto"/>
        <w:ind w:left="720"/>
        <w:jc w:val="both"/>
        <w:rPr>
          <w:rFonts w:ascii="David" w:hAnsi="David"/>
          <w:sz w:val="26"/>
          <w:szCs w:val="26"/>
        </w:rPr>
      </w:pPr>
    </w:p>
    <w:p w14:paraId="5EBE7027" w14:textId="77777777" w:rsidR="00DB7887" w:rsidRPr="000A6569" w:rsidRDefault="00DB7887" w:rsidP="00DB7887">
      <w:pPr>
        <w:spacing w:line="360" w:lineRule="auto"/>
        <w:jc w:val="both"/>
        <w:rPr>
          <w:rFonts w:ascii="David" w:hAnsi="David"/>
          <w:b/>
          <w:bCs/>
          <w:sz w:val="26"/>
          <w:szCs w:val="26"/>
        </w:rPr>
      </w:pPr>
      <w:r w:rsidRPr="000A6569">
        <w:rPr>
          <w:rFonts w:ascii="David" w:hAnsi="David"/>
          <w:b/>
          <w:bCs/>
          <w:sz w:val="26"/>
          <w:szCs w:val="26"/>
          <w:rtl/>
        </w:rPr>
        <w:lastRenderedPageBreak/>
        <w:t>כתב האישום המתוקן</w:t>
      </w:r>
    </w:p>
    <w:p w14:paraId="4AE1811A" w14:textId="77777777" w:rsidR="00DB7887" w:rsidRPr="000A6569" w:rsidRDefault="00DB7887" w:rsidP="00DB7887">
      <w:pPr>
        <w:numPr>
          <w:ilvl w:val="0"/>
          <w:numId w:val="1"/>
        </w:numPr>
        <w:spacing w:line="360" w:lineRule="auto"/>
        <w:jc w:val="both"/>
        <w:rPr>
          <w:rFonts w:ascii="David" w:hAnsi="David"/>
          <w:sz w:val="26"/>
          <w:szCs w:val="26"/>
          <w:rtl/>
        </w:rPr>
      </w:pPr>
      <w:r w:rsidRPr="000A6569">
        <w:rPr>
          <w:rFonts w:ascii="David" w:hAnsi="David"/>
          <w:b/>
          <w:bCs/>
          <w:sz w:val="26"/>
          <w:szCs w:val="26"/>
          <w:rtl/>
        </w:rPr>
        <w:t>על פי עובדות האישום הראשון</w:t>
      </w:r>
      <w:r w:rsidRPr="000A6569">
        <w:rPr>
          <w:rFonts w:ascii="David" w:hAnsi="David"/>
          <w:sz w:val="26"/>
          <w:szCs w:val="26"/>
          <w:rtl/>
        </w:rPr>
        <w:t>, ביום 13.10.20 בוצע חיפוש בביתו של הנאשם ברחוב בן עזאי 19 בית שמש, ולאחריו עוכב הנאשם לתחנת המשטרה. עם סיום העיכוב, בשעה 15:40 בערך, פגש הנאשם בשוטרת מריה טרנובסקי (להלן: "</w:t>
      </w:r>
      <w:r w:rsidRPr="000A6569">
        <w:rPr>
          <w:rFonts w:ascii="David" w:hAnsi="David"/>
          <w:b/>
          <w:bCs/>
          <w:sz w:val="26"/>
          <w:szCs w:val="26"/>
          <w:rtl/>
        </w:rPr>
        <w:t>השוטרת</w:t>
      </w:r>
      <w:r w:rsidRPr="000A6569">
        <w:rPr>
          <w:rFonts w:ascii="David" w:hAnsi="David"/>
          <w:sz w:val="26"/>
          <w:szCs w:val="26"/>
          <w:rtl/>
        </w:rPr>
        <w:t>") והציע לה לרכוש ממנו סמים. השוטרת התקשרה לנאשם בערב, השניים קבעו להיפגש, ובפגישה זו מכר הנאשם לשוטרת 2 גרם נטו של סם מסוג קנבוס בתמורה ל-150 ש"ח.</w:t>
      </w:r>
    </w:p>
    <w:p w14:paraId="4822A2BA"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b/>
          <w:bCs/>
          <w:sz w:val="26"/>
          <w:szCs w:val="26"/>
          <w:rtl/>
        </w:rPr>
        <w:t>על פי עובדות האישום השני</w:t>
      </w:r>
      <w:r w:rsidRPr="000A6569">
        <w:rPr>
          <w:rFonts w:ascii="David" w:hAnsi="David"/>
          <w:sz w:val="26"/>
          <w:szCs w:val="26"/>
          <w:rtl/>
        </w:rPr>
        <w:t>, ביום 18.11.20 התחדש הקשר בין הנאשם לבין השוטרת באמצעות הודעת ווטסאפ, בה הציע הנאשם לשוטרת לרכוש 10 גרמים של סם מסוג קנבוס, תמורת 550 ₪. למחרת, קבעו השניים להיפגש, ובפגישה זו מכר הנאשם לשוטרת 8.97 גרם נטו של סם מסוג קנבוס בתמורה ל-500 ש"ח.</w:t>
      </w:r>
    </w:p>
    <w:p w14:paraId="73C9A311"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b/>
          <w:bCs/>
          <w:sz w:val="26"/>
          <w:szCs w:val="26"/>
          <w:rtl/>
        </w:rPr>
        <w:t>על פי עובדות האישום השלישי</w:t>
      </w:r>
      <w:r w:rsidRPr="000A6569">
        <w:rPr>
          <w:rFonts w:ascii="David" w:hAnsi="David"/>
          <w:sz w:val="26"/>
          <w:szCs w:val="26"/>
          <w:rtl/>
        </w:rPr>
        <w:t>, ביום 28.12.20 התחדש הקשר בין הנאשם לבין השוטרת באמצעות הודעת ווטסאפ</w:t>
      </w:r>
      <w:r w:rsidRPr="000A6569">
        <w:rPr>
          <w:rFonts w:ascii="David" w:hAnsi="David" w:hint="cs"/>
          <w:sz w:val="26"/>
          <w:szCs w:val="26"/>
          <w:rtl/>
        </w:rPr>
        <w:t>,</w:t>
      </w:r>
      <w:r w:rsidRPr="000A6569">
        <w:rPr>
          <w:rFonts w:ascii="David" w:hAnsi="David"/>
          <w:sz w:val="26"/>
          <w:szCs w:val="26"/>
          <w:rtl/>
        </w:rPr>
        <w:t xml:space="preserve"> בה ביקשה השוטרת לרכוש סם מסוג קנבוס. לאחר שתיאר הנאשם לשוטרת את טיב הסם ומחירו, קבעו השניים להיפגש בבית שמש, ובפגישה זו מכר הנאשם לשוטרת 19.74 גרם נטו של סם הקנבוס בתמורה ל-1,650 ש"ח.</w:t>
      </w:r>
    </w:p>
    <w:p w14:paraId="1981B9CA" w14:textId="77777777" w:rsidR="00DB7887" w:rsidRPr="000A6569" w:rsidRDefault="00DB7887" w:rsidP="00DB7887">
      <w:pPr>
        <w:spacing w:line="360" w:lineRule="auto"/>
        <w:jc w:val="both"/>
        <w:rPr>
          <w:rFonts w:ascii="David" w:hAnsi="David"/>
          <w:sz w:val="26"/>
          <w:szCs w:val="26"/>
        </w:rPr>
      </w:pPr>
    </w:p>
    <w:p w14:paraId="20C1428A" w14:textId="77777777" w:rsidR="00DB7887" w:rsidRPr="000A6569" w:rsidRDefault="00DB7887" w:rsidP="00DB7887">
      <w:pPr>
        <w:spacing w:line="360" w:lineRule="auto"/>
        <w:jc w:val="both"/>
        <w:rPr>
          <w:rFonts w:ascii="David" w:hAnsi="David"/>
          <w:b/>
          <w:bCs/>
          <w:sz w:val="26"/>
          <w:szCs w:val="26"/>
        </w:rPr>
      </w:pPr>
      <w:r w:rsidRPr="000A6569">
        <w:rPr>
          <w:rFonts w:ascii="David" w:hAnsi="David"/>
          <w:b/>
          <w:bCs/>
          <w:sz w:val="26"/>
          <w:szCs w:val="26"/>
          <w:rtl/>
        </w:rPr>
        <w:t>תסקירים מטעם שירות המבחן</w:t>
      </w:r>
    </w:p>
    <w:p w14:paraId="31227EE7"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תסקיר שירות המבחן הוגש ביום 3.3.22 (להלן: "</w:t>
      </w:r>
      <w:r w:rsidRPr="000A6569">
        <w:rPr>
          <w:rFonts w:ascii="David" w:hAnsi="David"/>
          <w:b/>
          <w:bCs/>
          <w:sz w:val="26"/>
          <w:szCs w:val="26"/>
          <w:rtl/>
        </w:rPr>
        <w:t>התסקיר</w:t>
      </w:r>
      <w:r w:rsidRPr="000A6569">
        <w:rPr>
          <w:rFonts w:ascii="David" w:hAnsi="David"/>
          <w:sz w:val="26"/>
          <w:szCs w:val="26"/>
          <w:rtl/>
        </w:rPr>
        <w:t xml:space="preserve">"). להלן, אפרט את עיקרי הדברים. </w:t>
      </w:r>
    </w:p>
    <w:p w14:paraId="136B246F" w14:textId="77777777" w:rsidR="00DB7887" w:rsidRPr="000A6569" w:rsidRDefault="00DB7887" w:rsidP="00DB7887">
      <w:pPr>
        <w:spacing w:line="360" w:lineRule="auto"/>
        <w:ind w:left="720"/>
        <w:jc w:val="both"/>
        <w:rPr>
          <w:rFonts w:ascii="David" w:hAnsi="David"/>
          <w:sz w:val="26"/>
          <w:szCs w:val="26"/>
          <w:rtl/>
        </w:rPr>
      </w:pPr>
    </w:p>
    <w:p w14:paraId="106178DD"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התסקיר סוקר את הרקע האישי, המשפחתי, והתעסוקתי של הנאשם. הנאשם יליד שנת 2002, רווק, מתגורר בבית הוריו בבית שמש ועובד בתחום השיפוצים. המשפחה מונה עשרה ילדים, כאשר הנאשם הוא הבן החמישי ביניהם. אביו של הנאשם אינו עובד שנים רבות, ומקבל קצבת נכות מביטוח לאומי בשל בעיות רפואיות. האב מוכר אף למערכת בריאות הנפש. האם עבדה בעבר בעבודות ניקיון, אך בשל התדרדרות במצבה הבריאותי</w:t>
      </w:r>
      <w:r>
        <w:rPr>
          <w:rFonts w:ascii="David" w:hAnsi="David" w:hint="cs"/>
          <w:sz w:val="26"/>
          <w:szCs w:val="26"/>
          <w:rtl/>
        </w:rPr>
        <w:t>,</w:t>
      </w:r>
      <w:r w:rsidRPr="000A6569">
        <w:rPr>
          <w:rFonts w:ascii="David" w:hAnsi="David"/>
          <w:sz w:val="26"/>
          <w:szCs w:val="26"/>
          <w:rtl/>
        </w:rPr>
        <w:t xml:space="preserve"> חדלה לעבוד ומקבלת קצבת נכות. הנאשם קיבל על עצמו חלק משמעותי בפרנסת המשפחה. אחיו של הנאשם משולבים במסגרות תעסוקה ועבודה על-פי גילם, מלבד אחות אחת, אשר היתה מוכרת בעבר לשירות המבחן בגין שימוש בסמים, ואינה נמצאת בקשר עם המשפחה שנים רבות. הנאשם שלל מעורבות פלילית כלשהי של בני המשפחה, ותאר מערכת יחסים טובה קרובה עם הוריו ואחיו. הנאשם עזב את המסגרת הלימודית בכיתה י' והחל לעבוד בעבודות מזדמנות על מנת לסייע בכלכלת המשפחה.      </w:t>
      </w:r>
    </w:p>
    <w:p w14:paraId="06667527" w14:textId="77777777" w:rsidR="00DB7887" w:rsidRPr="000A6569" w:rsidRDefault="00DB7887" w:rsidP="00DB7887">
      <w:pPr>
        <w:spacing w:line="360" w:lineRule="auto"/>
        <w:ind w:left="720"/>
        <w:jc w:val="both"/>
        <w:rPr>
          <w:rFonts w:ascii="David" w:hAnsi="David"/>
          <w:sz w:val="26"/>
          <w:szCs w:val="26"/>
        </w:rPr>
      </w:pPr>
      <w:r w:rsidRPr="000A6569">
        <w:rPr>
          <w:rFonts w:ascii="David" w:hAnsi="David"/>
          <w:sz w:val="26"/>
          <w:szCs w:val="26"/>
          <w:rtl/>
        </w:rPr>
        <w:lastRenderedPageBreak/>
        <w:t xml:space="preserve">הנאשם החל לצרוך סמים מסוג גראס בגיל 15, אך ציין כי היה מדובר בשימוש מזדמן שנשא אופי חברתי, לתקופה כוללת של שנתיים. ציין כי ניסה לעשן סמים מסוג קנבוס פעמים ספורות, אך תגובתו הגופנית היתה קשה, ומאז לא עשה שימוש בסמים. </w:t>
      </w:r>
    </w:p>
    <w:p w14:paraId="23A91BDB"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 xml:space="preserve">הנאשם נעדר הרשעות קודמות. עם זאת, בהיותו בן 17 הופנה לשירות המבחן לנוער בגין ביצוע עבירה של </w:t>
      </w:r>
      <w:r>
        <w:rPr>
          <w:rFonts w:ascii="David" w:hAnsi="David" w:hint="cs"/>
          <w:sz w:val="26"/>
          <w:szCs w:val="26"/>
          <w:rtl/>
        </w:rPr>
        <w:t>תגרה</w:t>
      </w:r>
      <w:r w:rsidRPr="000A6569">
        <w:rPr>
          <w:rFonts w:ascii="David" w:hAnsi="David"/>
          <w:sz w:val="26"/>
          <w:szCs w:val="26"/>
          <w:rtl/>
        </w:rPr>
        <w:t>. נעשו מספר ניסיונות לזמן את הנאשם לפגישה בשירות המבחן, אך הוא ומשפחתו סירבו. הנאשם התקשה להתגייס לתכנית טיפול, לא התייצב למפגשים פרטניים ולא מסר בדיקות שתן לגילוי שרידי סם. בהמשך הגיע לפגישה נוספת, נמצא בשל יותר להליך טיפולי, ומסר שתי בדיקות שתן שנמצאו נקיות משרידי סם.</w:t>
      </w:r>
    </w:p>
    <w:p w14:paraId="299E6D5D"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בהתייחס לעבירה שביצע הנאשם כקטין, תחילה התקשה לקחת אחריות על מעשיו ולראות עצמו "כפוגע" בהתנהגותו. לאחר עיבוד העבירה עמו, הצליח לזהות את מעגלי הפגיעה והשלכות מעשיו, והביע חרטה על מעשיו. באותו תיק נידון הנאשם להתחייבות כספית, פיצוי לנפגע עבירה וצו של"צ בהיקף של 60 שעות.</w:t>
      </w:r>
    </w:p>
    <w:p w14:paraId="3DD6433B"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b/>
          <w:bCs/>
          <w:sz w:val="26"/>
          <w:szCs w:val="26"/>
          <w:rtl/>
        </w:rPr>
        <w:t>באשר לעבירה מושא תיק זה</w:t>
      </w:r>
      <w:r w:rsidRPr="000A6569">
        <w:rPr>
          <w:rFonts w:ascii="David" w:hAnsi="David"/>
          <w:sz w:val="26"/>
          <w:szCs w:val="26"/>
          <w:rtl/>
        </w:rPr>
        <w:t xml:space="preserve">, טען הנאשם, כי באותה עת התחבר לחברה עבריינית, ותיאר את מעורבותו בעבירה כנובעת מרצון ליצור קשר חברי ורומנטי, ושלל ניסיון לקבל רווח כספי מעסקאות הסמים המתוארות בכתב האישום. הנאשם התקשה להכיר בהתנהלותו הבעייתית. הנאשם הביע נכונות להשתלב בטיפול בשירות המבחן וכן למסור בדיקות שתן לגילוי שרידי סם.  </w:t>
      </w:r>
    </w:p>
    <w:p w14:paraId="5FDDFBFC"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 xml:space="preserve">   </w:t>
      </w:r>
    </w:p>
    <w:p w14:paraId="6218CC4F" w14:textId="77777777" w:rsidR="00DB7887" w:rsidRPr="000A6569" w:rsidRDefault="00DB7887" w:rsidP="00DB7887">
      <w:pPr>
        <w:spacing w:line="360" w:lineRule="auto"/>
        <w:ind w:left="720"/>
        <w:jc w:val="both"/>
        <w:rPr>
          <w:rFonts w:ascii="David" w:hAnsi="David"/>
          <w:sz w:val="26"/>
          <w:szCs w:val="26"/>
        </w:rPr>
      </w:pPr>
      <w:r w:rsidRPr="000A6569">
        <w:rPr>
          <w:rFonts w:ascii="David" w:hAnsi="David"/>
          <w:b/>
          <w:bCs/>
          <w:sz w:val="26"/>
          <w:szCs w:val="26"/>
          <w:rtl/>
        </w:rPr>
        <w:t>כגורמי סיכון לעבריינות חוזרת</w:t>
      </w:r>
      <w:r w:rsidRPr="000A6569">
        <w:rPr>
          <w:rFonts w:ascii="David" w:hAnsi="David"/>
          <w:sz w:val="26"/>
          <w:szCs w:val="26"/>
          <w:rtl/>
        </w:rPr>
        <w:t xml:space="preserve">, צוינו: מעורבותו בפלילים בהיותו קטין, צריכת סמים, נשירה מהלימודים, חוסר יציבות, קשיים כלכליים בבית, שימוש בעיוותי חשיבה של טשטוש ומזעור, חשיפתו למצבי סיכון ולחברה שולית, ושיתוף פעולה חלקי עם שירות המבחן לנוער בעבר. כמו כן, מגיל צעיר הוטלו עליו משימות ותפקידים שלא תאמו את גילו והתפתחותו הנפשית, וייתכן כי ביקש לפצות על חוסר הנראות שחווה מהוריו בצריכת סמים ומעורבות פלילית. </w:t>
      </w:r>
    </w:p>
    <w:p w14:paraId="6C62E3C3" w14:textId="77777777" w:rsidR="00DB7887" w:rsidRPr="000A6569" w:rsidRDefault="00DB7887" w:rsidP="00DB7887">
      <w:pPr>
        <w:spacing w:line="360" w:lineRule="auto"/>
        <w:ind w:left="720"/>
        <w:jc w:val="both"/>
        <w:rPr>
          <w:rFonts w:ascii="David" w:hAnsi="David"/>
          <w:sz w:val="26"/>
          <w:szCs w:val="26"/>
          <w:rtl/>
        </w:rPr>
      </w:pPr>
    </w:p>
    <w:p w14:paraId="28C8B3B7"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b/>
          <w:bCs/>
          <w:sz w:val="26"/>
          <w:szCs w:val="26"/>
          <w:rtl/>
        </w:rPr>
        <w:t xml:space="preserve">כגורמי סיכוי לשיקום, </w:t>
      </w:r>
      <w:r w:rsidRPr="000A6569">
        <w:rPr>
          <w:rFonts w:ascii="David" w:hAnsi="David"/>
          <w:sz w:val="26"/>
          <w:szCs w:val="26"/>
          <w:rtl/>
        </w:rPr>
        <w:t xml:space="preserve">צוינו: התמדתו במישור התעסוקתי; שינוי שחל בנאשם בקשר עם שירות המבחן ושיתוף הפעולה עמם; ביטוי מודעות ראשונית להתנהלות בעייתית ורצון להשתלב בטיפול ולבדוק את מניעי התנהגותו.   </w:t>
      </w:r>
    </w:p>
    <w:p w14:paraId="36A34155" w14:textId="77777777" w:rsidR="00DB7887" w:rsidRPr="000A6569" w:rsidRDefault="00DB7887" w:rsidP="00DB7887">
      <w:pPr>
        <w:spacing w:line="360" w:lineRule="auto"/>
        <w:ind w:left="720"/>
        <w:jc w:val="both"/>
        <w:rPr>
          <w:rFonts w:ascii="David" w:hAnsi="David"/>
          <w:sz w:val="26"/>
          <w:szCs w:val="26"/>
          <w:rtl/>
        </w:rPr>
      </w:pPr>
    </w:p>
    <w:p w14:paraId="300E2928"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 xml:space="preserve">על מנת לבחון את יכולתו של הנאשם לשתף פעולה בהליך שיקומי, המליץ שירות המבחן על דחייה בת מספר חודשים שבמהלכה תיבדקנה האפשרויות הטיפוליות התואמות את צרכיו. </w:t>
      </w:r>
    </w:p>
    <w:p w14:paraId="2A4D9DC1" w14:textId="77777777" w:rsidR="00DB7887" w:rsidRPr="000A6569" w:rsidRDefault="00DB7887" w:rsidP="00DB7887">
      <w:pPr>
        <w:spacing w:line="360" w:lineRule="auto"/>
        <w:ind w:left="720"/>
        <w:jc w:val="both"/>
        <w:rPr>
          <w:rFonts w:ascii="David" w:hAnsi="David"/>
          <w:sz w:val="26"/>
          <w:szCs w:val="26"/>
        </w:rPr>
      </w:pPr>
    </w:p>
    <w:p w14:paraId="7EA9ADC1" w14:textId="77777777" w:rsidR="00DB7887" w:rsidRPr="000A6569" w:rsidRDefault="00DB7887" w:rsidP="00DB7887">
      <w:pPr>
        <w:spacing w:line="360" w:lineRule="auto"/>
        <w:ind w:left="360"/>
        <w:jc w:val="both"/>
        <w:rPr>
          <w:rFonts w:ascii="David" w:hAnsi="David"/>
          <w:b/>
          <w:bCs/>
          <w:sz w:val="26"/>
          <w:szCs w:val="26"/>
        </w:rPr>
      </w:pPr>
      <w:r w:rsidRPr="000A6569">
        <w:rPr>
          <w:rFonts w:ascii="David" w:hAnsi="David"/>
          <w:b/>
          <w:bCs/>
          <w:sz w:val="26"/>
          <w:szCs w:val="26"/>
          <w:rtl/>
        </w:rPr>
        <w:t>תסקיר משלים מיום 5.7.22</w:t>
      </w:r>
    </w:p>
    <w:p w14:paraId="4E7BD19A"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 xml:space="preserve">ביום 5.7.22 הוגש תסקיר משלים על ידי שירות המבחן. בתסקיר זה נכתב כי על מנת לסייע לנאשם בסלילת דרך חיים ישירה ונורמטיבית הופנה הנאשם לתכנית "יתד" בבית שמש, המיועדת לקידום נערים ונערות במצבי סיכון. בשל תקלה טכנית לא זומן הנאשם לפגישת בדיקת התאמתו לטיפול, והוא עתיד להיות מוזמן לפגישת הכרות בימים הקרובים. עוד צוין בתסקיר, כי בתקופת הדחייה, הוזמן הנאשם לצורך בדיקת מצבו בקשר לסמים, והוא מסר בדיקות לגילוי עקבות סם, אשר תוצאותיהן העידו על אי שימוש בסמים. כן מסר הנאשם, כי הוא ממשיך לעבוד כקבלן שיפוצים, כי ניתק קשר עם חברה שולית ושואף לנהל אורח חיים נורמטיבי. לאורך התקופה, שיתף הנאשם פעולה עם שירות המבחן והגיע לכל הפגישות. כמו כן, לא נפתחו לנאשם תיקים חדשים. לפיכך, התבקשה דחייה לצורך הפנייתו לטיפול בתכנית "יתד".     </w:t>
      </w:r>
    </w:p>
    <w:p w14:paraId="7F24F0F6" w14:textId="77777777" w:rsidR="00DB7887" w:rsidRPr="000A6569" w:rsidRDefault="00DB7887" w:rsidP="00DB7887">
      <w:pPr>
        <w:spacing w:line="360" w:lineRule="auto"/>
        <w:ind w:left="360"/>
        <w:jc w:val="both"/>
        <w:rPr>
          <w:rFonts w:ascii="David" w:hAnsi="David"/>
          <w:b/>
          <w:bCs/>
          <w:sz w:val="26"/>
          <w:szCs w:val="26"/>
        </w:rPr>
      </w:pPr>
    </w:p>
    <w:p w14:paraId="473CFC69" w14:textId="77777777" w:rsidR="00DB7887" w:rsidRPr="000A6569" w:rsidRDefault="00DB7887" w:rsidP="00DB7887">
      <w:pPr>
        <w:spacing w:line="360" w:lineRule="auto"/>
        <w:ind w:left="360"/>
        <w:jc w:val="both"/>
        <w:rPr>
          <w:rFonts w:ascii="David" w:hAnsi="David"/>
          <w:b/>
          <w:bCs/>
          <w:sz w:val="26"/>
          <w:szCs w:val="26"/>
          <w:rtl/>
        </w:rPr>
      </w:pPr>
      <w:r w:rsidRPr="000A6569">
        <w:rPr>
          <w:rFonts w:ascii="David" w:hAnsi="David"/>
          <w:b/>
          <w:bCs/>
          <w:sz w:val="26"/>
          <w:szCs w:val="26"/>
          <w:rtl/>
        </w:rPr>
        <w:t>תסקיר משלים מיום 4.4.23</w:t>
      </w:r>
    </w:p>
    <w:p w14:paraId="09AC297B"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ביום 4.4.23 הוגש תסקיר משלים נוסף על ידי שירות המבחן. בתסקיר זה ציין שירות המבחן, כי לאור התרשמותו כי הנאשם בעל כוחות ומוטיבציה לערוך שינוי חיובי בחייו, נבנתה עבורו תכנית שיקומית. בהתאם לתכנית זו, שולב הנאשם בהליך טיפולי קבוצתי בשירות המבחן, המיועדת לצעירים. מדיווח מנחי הקבוצה עולה, כי הנאשם מקפיד להגיע למפגשים ולוקח חלק פעיל בשיח קבוצתי, שומר על כללי הקבוצה וקשוב למשתתפים האחרים.  משיחה שקיים שירות המבחן עם הנאשם, עולה כי הוא ממשיך לעבוד בתחום השיפוצים, וכן הביע סיפוק מההליך הטיפולי בו היה מצוי. לדבריו, הוא מפיק תועלת מהשתתפותו בקבוצה, לומד לזהות מצבי סיכון וכן להביע רגשות, דבר שהיה זר לו עד כה. כן שיתף הנאשם כי היה במספר מפגשים בית"ד, מרכז לקידום תעסוקתי לצעירים, וכי לאחר חופשת הפסח אמור להתחיל קורס מקצועי לחשמל. משיחה עם צוות עמותת ית"ד עולה, כי הנאשם משתף פעולה באופן מלא.</w:t>
      </w:r>
    </w:p>
    <w:p w14:paraId="2CC0054A" w14:textId="77777777" w:rsidR="00DB7887" w:rsidRPr="000A6569" w:rsidRDefault="00DB7887" w:rsidP="00DB7887">
      <w:pPr>
        <w:spacing w:line="360" w:lineRule="auto"/>
        <w:ind w:left="720"/>
        <w:jc w:val="both"/>
        <w:rPr>
          <w:rFonts w:ascii="David" w:hAnsi="David"/>
          <w:sz w:val="26"/>
          <w:szCs w:val="26"/>
        </w:rPr>
      </w:pPr>
      <w:r w:rsidRPr="000A6569">
        <w:rPr>
          <w:rFonts w:ascii="David" w:hAnsi="David"/>
          <w:sz w:val="26"/>
          <w:szCs w:val="26"/>
          <w:rtl/>
        </w:rPr>
        <w:t>שירות המבחן ציין כי בתקופת הדחייה לא נפתחו לנאשם תיקים פלילים חדשים.</w:t>
      </w:r>
    </w:p>
    <w:p w14:paraId="5D97A4CC" w14:textId="77777777" w:rsidR="00DB7887" w:rsidRPr="000A6569" w:rsidRDefault="00DB7887" w:rsidP="00DB7887">
      <w:pPr>
        <w:spacing w:line="360" w:lineRule="auto"/>
        <w:ind w:left="720"/>
        <w:jc w:val="both"/>
        <w:rPr>
          <w:rFonts w:ascii="David" w:hAnsi="David"/>
          <w:sz w:val="26"/>
          <w:szCs w:val="26"/>
        </w:rPr>
      </w:pPr>
      <w:r w:rsidRPr="000A6569">
        <w:rPr>
          <w:rFonts w:ascii="David" w:hAnsi="David"/>
          <w:sz w:val="26"/>
          <w:szCs w:val="26"/>
          <w:rtl/>
        </w:rPr>
        <w:t xml:space="preserve">לאור האמור לעיל, המליץ שירות המבחן להעמיד את הנאשם במבחן במשך שנה, במהלכו ימשיך בטיפול קבוצתי בשירות המבחן וכן את הקשר עם ארגון ית"ד. כן המליץ שירות המבחן להטיל על הנאשם צו שירות לתועלת הציבור בהיקף של 180 שעות, וזאת לצד ענישה מותנית צופה פני עתיד.  </w:t>
      </w:r>
    </w:p>
    <w:p w14:paraId="1D9A19CD" w14:textId="77777777" w:rsidR="00DB7887" w:rsidRPr="000A6569" w:rsidRDefault="00DB7887" w:rsidP="00DB7887">
      <w:pPr>
        <w:spacing w:line="360" w:lineRule="auto"/>
        <w:ind w:left="360"/>
        <w:jc w:val="both"/>
        <w:rPr>
          <w:rFonts w:ascii="David" w:hAnsi="David"/>
          <w:sz w:val="26"/>
          <w:szCs w:val="26"/>
        </w:rPr>
      </w:pPr>
    </w:p>
    <w:p w14:paraId="3BDC9255" w14:textId="77777777" w:rsidR="00DB7887" w:rsidRPr="000A6569" w:rsidRDefault="00DB7887" w:rsidP="00DB7887">
      <w:pPr>
        <w:spacing w:line="360" w:lineRule="auto"/>
        <w:ind w:left="360"/>
        <w:jc w:val="both"/>
        <w:rPr>
          <w:rFonts w:ascii="David" w:hAnsi="David"/>
          <w:sz w:val="26"/>
          <w:szCs w:val="26"/>
          <w:rtl/>
        </w:rPr>
      </w:pPr>
      <w:r w:rsidRPr="000A6569">
        <w:rPr>
          <w:rFonts w:ascii="David" w:hAnsi="David"/>
          <w:b/>
          <w:bCs/>
          <w:sz w:val="26"/>
          <w:szCs w:val="26"/>
          <w:rtl/>
        </w:rPr>
        <w:t>תסקיר משלים מיום 2.5.23</w:t>
      </w:r>
    </w:p>
    <w:p w14:paraId="17E69DF3"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 xml:space="preserve">לבקשת ההגנה, התבקש שירות המבחן לבחון את שאלת ביטול הרשעה. בתסקיר משלים מיום 2.5.23 המליץ שירות המבחן לשקול בחיוב את שאלת ביטול ההרשעה. שירות המבחן ציין כי הביא בשיקוליו את גילו הצעיר של הנאשם, את נסיבות חייו, את העובדה כי מאז מעורבותו בעבירות הנוכחיות לא נרשמו לחובתו עבירות חדשות, ואת העובדה כי ההרשעה תפגע בסיכוייו של הנאשם להשתלב בשוק העבודה לאחר השלמת השתתפותו בתכנית ית"ד, שהיא חלק בלתי נפרד מהליך השיקום הכללי בו הוא מצוי כעת. עוד ציין שירות המבחן את קבלת האחריות ואת רצונו של הנאשם לשיקום חייו. לפיכך, המליץ שירות המבחן להטיל על הנאשם צו מבחן למשך שנה, במהלכו ימשיך בטיפול הקבוצתי ובקשר עם ארגון ית"ד, וכן המליץ להטיל על הנאשם צו של"צ בהיקף של 180 שעות והתחייבות.  </w:t>
      </w:r>
    </w:p>
    <w:p w14:paraId="0546294E" w14:textId="77777777" w:rsidR="00DB7887" w:rsidRPr="000A6569" w:rsidRDefault="00DB7887" w:rsidP="00DB7887">
      <w:pPr>
        <w:spacing w:line="360" w:lineRule="auto"/>
        <w:jc w:val="both"/>
        <w:rPr>
          <w:rFonts w:ascii="David" w:hAnsi="David"/>
          <w:sz w:val="26"/>
          <w:szCs w:val="26"/>
          <w:rtl/>
        </w:rPr>
      </w:pPr>
    </w:p>
    <w:p w14:paraId="6FAB4763" w14:textId="77777777" w:rsidR="00DB7887" w:rsidRPr="000A6569" w:rsidRDefault="00DB7887" w:rsidP="00DB7887">
      <w:pPr>
        <w:spacing w:line="360" w:lineRule="auto"/>
        <w:jc w:val="both"/>
        <w:rPr>
          <w:rFonts w:ascii="David" w:hAnsi="David"/>
          <w:sz w:val="26"/>
          <w:szCs w:val="26"/>
        </w:rPr>
      </w:pPr>
      <w:r w:rsidRPr="000A6569">
        <w:rPr>
          <w:rFonts w:ascii="David" w:hAnsi="David"/>
          <w:b/>
          <w:bCs/>
          <w:sz w:val="26"/>
          <w:szCs w:val="26"/>
          <w:rtl/>
        </w:rPr>
        <w:t xml:space="preserve">ראיות לעונש וטיעוני הצדדים </w:t>
      </w:r>
    </w:p>
    <w:p w14:paraId="18DE87B2"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sz w:val="26"/>
          <w:szCs w:val="26"/>
          <w:rtl/>
        </w:rPr>
        <w:t>כראיות לעונש מטעם המאשימה הוגש רישומו הפלילי של הנאשם (ת/1), ממנו עולה כי נקבעה אשמתו של הנאשם בבית משפט לנוער</w:t>
      </w:r>
      <w:r>
        <w:rPr>
          <w:rFonts w:ascii="David" w:hAnsi="David" w:hint="cs"/>
          <w:sz w:val="26"/>
          <w:szCs w:val="26"/>
          <w:rtl/>
        </w:rPr>
        <w:t xml:space="preserve"> </w:t>
      </w:r>
      <w:r w:rsidRPr="000A6569">
        <w:rPr>
          <w:rFonts w:ascii="David" w:hAnsi="David"/>
          <w:sz w:val="26"/>
          <w:szCs w:val="26"/>
          <w:rtl/>
        </w:rPr>
        <w:t>בעבירת תגרה</w:t>
      </w:r>
      <w:r>
        <w:rPr>
          <w:rFonts w:ascii="David" w:hAnsi="David" w:hint="cs"/>
          <w:sz w:val="26"/>
          <w:szCs w:val="26"/>
          <w:rtl/>
        </w:rPr>
        <w:t xml:space="preserve"> שבוצעה ביום 5.11.19</w:t>
      </w:r>
      <w:r w:rsidRPr="000A6569">
        <w:rPr>
          <w:rFonts w:ascii="David" w:hAnsi="David"/>
          <w:sz w:val="26"/>
          <w:szCs w:val="26"/>
          <w:rtl/>
        </w:rPr>
        <w:t xml:space="preserve">.  </w:t>
      </w:r>
    </w:p>
    <w:p w14:paraId="2C086C57" w14:textId="77777777" w:rsidR="00DB7887" w:rsidRPr="000A6569" w:rsidRDefault="00DB7887" w:rsidP="00DB7887">
      <w:pPr>
        <w:numPr>
          <w:ilvl w:val="0"/>
          <w:numId w:val="1"/>
        </w:numPr>
        <w:spacing w:line="360" w:lineRule="auto"/>
        <w:jc w:val="both"/>
        <w:rPr>
          <w:rFonts w:ascii="David" w:hAnsi="David"/>
          <w:sz w:val="26"/>
          <w:szCs w:val="26"/>
        </w:rPr>
      </w:pPr>
      <w:r w:rsidRPr="000A6569">
        <w:rPr>
          <w:rFonts w:ascii="David" w:hAnsi="David"/>
          <w:b/>
          <w:bCs/>
          <w:sz w:val="26"/>
          <w:szCs w:val="26"/>
          <w:rtl/>
        </w:rPr>
        <w:t>ב"כ המאשימה</w:t>
      </w:r>
      <w:r w:rsidRPr="000A6569">
        <w:rPr>
          <w:rFonts w:ascii="David" w:hAnsi="David"/>
          <w:sz w:val="26"/>
          <w:szCs w:val="26"/>
          <w:rtl/>
        </w:rPr>
        <w:t xml:space="preserve"> עתר להשית על הנאשם עונש בן 9 חודשי מאסר שלצדו מאסר על תנאי, </w:t>
      </w:r>
      <w:r>
        <w:rPr>
          <w:rFonts w:ascii="David" w:hAnsi="David" w:hint="cs"/>
          <w:sz w:val="26"/>
          <w:szCs w:val="26"/>
          <w:rtl/>
        </w:rPr>
        <w:t xml:space="preserve">קנס, </w:t>
      </w:r>
      <w:r w:rsidRPr="000A6569">
        <w:rPr>
          <w:rFonts w:ascii="David" w:hAnsi="David"/>
          <w:sz w:val="26"/>
          <w:szCs w:val="26"/>
          <w:rtl/>
        </w:rPr>
        <w:t>התחייבות, פסילת רישיון נהיגה בפועל ועל תנאי. כן ביקש להכריז על הנאשם סוחר סמים, ולהורות על השמ</w:t>
      </w:r>
      <w:r>
        <w:rPr>
          <w:rFonts w:ascii="David" w:hAnsi="David" w:hint="cs"/>
          <w:sz w:val="26"/>
          <w:szCs w:val="26"/>
          <w:rtl/>
        </w:rPr>
        <w:t>ד</w:t>
      </w:r>
      <w:r w:rsidRPr="000A6569">
        <w:rPr>
          <w:rFonts w:ascii="David" w:hAnsi="David"/>
          <w:sz w:val="26"/>
          <w:szCs w:val="26"/>
          <w:rtl/>
        </w:rPr>
        <w:t>ת הסמים וחילוט הטלפונים שנתפסו</w:t>
      </w:r>
      <w:r>
        <w:rPr>
          <w:rFonts w:ascii="David" w:hAnsi="David" w:hint="cs"/>
          <w:sz w:val="26"/>
          <w:szCs w:val="26"/>
          <w:rtl/>
        </w:rPr>
        <w:t xml:space="preserve">, ואשר </w:t>
      </w:r>
      <w:r w:rsidRPr="000A6569">
        <w:rPr>
          <w:rFonts w:ascii="David" w:hAnsi="David"/>
          <w:sz w:val="26"/>
          <w:szCs w:val="26"/>
          <w:rtl/>
        </w:rPr>
        <w:t>שימשו את הנאשם בעבירות המיוחסות לו. ב"כ המאשימה עמד על הערכים המוגנים שנפגעו, וטען כי יש לקבוע מתחם נפרד לכל אחד מן האישומים. אשר למתחם העונש ההולם, טען שלכל אישום יש לקבוע מתחם הנע בין 4 חודש</w:t>
      </w:r>
      <w:r>
        <w:rPr>
          <w:rFonts w:ascii="David" w:hAnsi="David" w:hint="cs"/>
          <w:sz w:val="26"/>
          <w:szCs w:val="26"/>
          <w:rtl/>
        </w:rPr>
        <w:t>י</w:t>
      </w:r>
      <w:r w:rsidRPr="000A6569">
        <w:rPr>
          <w:rFonts w:ascii="David" w:hAnsi="David"/>
          <w:sz w:val="26"/>
          <w:szCs w:val="26"/>
          <w:rtl/>
        </w:rPr>
        <w:t xml:space="preserve"> מאסר ל-12 חודשי מאסר בפועל. נטען שלחובת הנאשם קביעת אשמה מבית משפט לנוער בגין תגרה, וכי הנאשם טרם סיים את ההליך השיקומי. עוד נטען</w:t>
      </w:r>
      <w:r>
        <w:rPr>
          <w:rFonts w:ascii="David" w:hAnsi="David" w:hint="cs"/>
          <w:sz w:val="26"/>
          <w:szCs w:val="26"/>
          <w:rtl/>
        </w:rPr>
        <w:t>,</w:t>
      </w:r>
      <w:r w:rsidRPr="000A6569">
        <w:rPr>
          <w:rFonts w:ascii="David" w:hAnsi="David"/>
          <w:sz w:val="26"/>
          <w:szCs w:val="26"/>
          <w:rtl/>
        </w:rPr>
        <w:t xml:space="preserve"> כי אין מקום לבטל את הרשעת הנאשם, זאת משום שהנאשם אינו עומד בתנאים שנקבעו בהלכת כתב, שכן מתסקיר שירות המבחן עולה, כי לא הוכחה פגיעה ספציפית בעיסוקו של הנאשם. </w:t>
      </w:r>
      <w:r>
        <w:rPr>
          <w:rFonts w:ascii="David" w:hAnsi="David" w:hint="cs"/>
          <w:sz w:val="26"/>
          <w:szCs w:val="26"/>
          <w:rtl/>
        </w:rPr>
        <w:t>בנוסף</w:t>
      </w:r>
      <w:r w:rsidRPr="000A6569">
        <w:rPr>
          <w:rFonts w:ascii="David" w:hAnsi="David"/>
          <w:sz w:val="26"/>
          <w:szCs w:val="26"/>
          <w:rtl/>
        </w:rPr>
        <w:t xml:space="preserve"> נטען</w:t>
      </w:r>
      <w:r>
        <w:rPr>
          <w:rFonts w:ascii="David" w:hAnsi="David" w:hint="cs"/>
          <w:sz w:val="26"/>
          <w:szCs w:val="26"/>
          <w:rtl/>
        </w:rPr>
        <w:t>,</w:t>
      </w:r>
      <w:r w:rsidRPr="000A6569">
        <w:rPr>
          <w:rFonts w:ascii="David" w:hAnsi="David"/>
          <w:sz w:val="26"/>
          <w:szCs w:val="26"/>
          <w:rtl/>
        </w:rPr>
        <w:t xml:space="preserve"> כי סוג העבירה אינו מאפשר ביטול ההרשעה.  </w:t>
      </w:r>
    </w:p>
    <w:p w14:paraId="5A3113AE" w14:textId="77777777" w:rsidR="00DB7887" w:rsidRPr="000A6569" w:rsidRDefault="00DB7887" w:rsidP="00DB7887">
      <w:pPr>
        <w:spacing w:line="360" w:lineRule="auto"/>
        <w:jc w:val="both"/>
        <w:rPr>
          <w:rFonts w:ascii="David" w:hAnsi="David"/>
          <w:sz w:val="26"/>
          <w:szCs w:val="26"/>
          <w:rtl/>
        </w:rPr>
      </w:pPr>
    </w:p>
    <w:p w14:paraId="27CCDE64" w14:textId="77777777" w:rsidR="00DB7887" w:rsidRDefault="00DB7887" w:rsidP="00DB7887">
      <w:pPr>
        <w:numPr>
          <w:ilvl w:val="0"/>
          <w:numId w:val="1"/>
        </w:numPr>
        <w:spacing w:line="360" w:lineRule="auto"/>
        <w:jc w:val="both"/>
        <w:rPr>
          <w:rFonts w:ascii="David" w:hAnsi="David"/>
          <w:sz w:val="26"/>
          <w:szCs w:val="26"/>
        </w:rPr>
      </w:pPr>
      <w:r w:rsidRPr="000A6569">
        <w:rPr>
          <w:rFonts w:ascii="David" w:hAnsi="David"/>
          <w:b/>
          <w:bCs/>
          <w:sz w:val="26"/>
          <w:szCs w:val="26"/>
          <w:rtl/>
        </w:rPr>
        <w:t>ב"כ הנאשם</w:t>
      </w:r>
      <w:r w:rsidRPr="000A6569">
        <w:rPr>
          <w:rFonts w:ascii="David" w:hAnsi="David"/>
          <w:sz w:val="26"/>
          <w:szCs w:val="26"/>
          <w:rtl/>
        </w:rPr>
        <w:t xml:space="preserve"> עתרה לבטל את הרשעת הנאשם, לאמץ את המלצת שירות המבחן ולהסתפק בהטלת עונש של שירות לתועלת הציבור לצד התחייבות וצו מבחן. בטיעוניה הדגישה כי מדובר במקרה חריג הן לאור נסיבות ביצוע העבירה, והן בהתחשב בכך שהנאשם עבר את העבירה כשהוא בן 18 וחצי שנים, בהיותו על סף הקטינות.  </w:t>
      </w:r>
      <w:r>
        <w:rPr>
          <w:rFonts w:ascii="David" w:hAnsi="David" w:hint="cs"/>
          <w:sz w:val="26"/>
          <w:szCs w:val="26"/>
          <w:rtl/>
        </w:rPr>
        <w:t xml:space="preserve">אשר לנסיבות ביצוע העבירה, נטען כי </w:t>
      </w:r>
      <w:r w:rsidRPr="000A6569">
        <w:rPr>
          <w:rFonts w:ascii="David" w:hAnsi="David"/>
          <w:sz w:val="26"/>
          <w:szCs w:val="26"/>
          <w:rtl/>
        </w:rPr>
        <w:t>הנאשם הגיע לתחנת המשטרה כשהוא מעוכב בגין חיפוש שנערך אצלו בבית ואשר לא נתפס בו דבר. הנאשם המתין שעות בתחנת המשטרה, לא נחקר, ואז נשלחה שוטרת לחבור אלי</w:t>
      </w:r>
      <w:r>
        <w:rPr>
          <w:rFonts w:ascii="David" w:hAnsi="David" w:hint="cs"/>
          <w:sz w:val="26"/>
          <w:szCs w:val="26"/>
          <w:rtl/>
        </w:rPr>
        <w:t>ו</w:t>
      </w:r>
      <w:r w:rsidRPr="000A6569">
        <w:rPr>
          <w:rFonts w:ascii="David" w:hAnsi="David"/>
          <w:sz w:val="26"/>
          <w:szCs w:val="26"/>
          <w:rtl/>
        </w:rPr>
        <w:t>. הנאשם, שהיה אז בן 18 וחצי שנים, סבר כי השוטרת מנסה "להתחיל איתו" ו"נפל בפח"</w:t>
      </w:r>
      <w:r>
        <w:rPr>
          <w:rFonts w:ascii="David" w:hAnsi="David" w:hint="cs"/>
          <w:sz w:val="26"/>
          <w:szCs w:val="26"/>
          <w:rtl/>
        </w:rPr>
        <w:t>,</w:t>
      </w:r>
      <w:r w:rsidRPr="000A6569">
        <w:rPr>
          <w:rFonts w:ascii="David" w:hAnsi="David"/>
          <w:sz w:val="26"/>
          <w:szCs w:val="26"/>
          <w:rtl/>
        </w:rPr>
        <w:t xml:space="preserve"> לנוכח הדימוי העצמי הנמוך ממנו הוא סובל, וביצע את העבירות הואיל וסבר כי יתפתח קשר רומנטי בינו לבין השוטרת. השוטרת היא זו שיצרה </w:t>
      </w:r>
      <w:r>
        <w:rPr>
          <w:rFonts w:ascii="David" w:hAnsi="David" w:hint="cs"/>
          <w:sz w:val="26"/>
          <w:szCs w:val="26"/>
          <w:rtl/>
        </w:rPr>
        <w:t>ק</w:t>
      </w:r>
      <w:r w:rsidRPr="000A6569">
        <w:rPr>
          <w:rFonts w:ascii="David" w:hAnsi="David"/>
          <w:sz w:val="26"/>
          <w:szCs w:val="26"/>
          <w:rtl/>
        </w:rPr>
        <w:t>שר</w:t>
      </w:r>
      <w:r>
        <w:rPr>
          <w:rFonts w:ascii="David" w:hAnsi="David" w:hint="cs"/>
          <w:sz w:val="26"/>
          <w:szCs w:val="26"/>
          <w:rtl/>
        </w:rPr>
        <w:t xml:space="preserve"> עם הנאשם</w:t>
      </w:r>
      <w:r w:rsidRPr="000A6569">
        <w:rPr>
          <w:rFonts w:ascii="David" w:hAnsi="David"/>
          <w:sz w:val="26"/>
          <w:szCs w:val="26"/>
          <w:rtl/>
        </w:rPr>
        <w:t>, ואין המדובר ב</w:t>
      </w:r>
      <w:r>
        <w:rPr>
          <w:rFonts w:ascii="David" w:hAnsi="David" w:hint="cs"/>
          <w:sz w:val="26"/>
          <w:szCs w:val="26"/>
          <w:rtl/>
        </w:rPr>
        <w:t>מי שנהג לסחור ב</w:t>
      </w:r>
      <w:r w:rsidRPr="000A6569">
        <w:rPr>
          <w:rFonts w:ascii="David" w:hAnsi="David"/>
          <w:sz w:val="26"/>
          <w:szCs w:val="26"/>
          <w:rtl/>
        </w:rPr>
        <w:t xml:space="preserve">סמים. עוד ציינה </w:t>
      </w:r>
      <w:r>
        <w:rPr>
          <w:rFonts w:ascii="David" w:hAnsi="David" w:hint="cs"/>
          <w:sz w:val="26"/>
          <w:szCs w:val="26"/>
          <w:rtl/>
        </w:rPr>
        <w:t xml:space="preserve">ב"כ הנאשם </w:t>
      </w:r>
      <w:r w:rsidRPr="000A6569">
        <w:rPr>
          <w:rFonts w:ascii="David" w:hAnsi="David"/>
          <w:sz w:val="26"/>
          <w:szCs w:val="26"/>
          <w:rtl/>
        </w:rPr>
        <w:t>את ההליך הטיפולי והשיקומי שעבר הנאשם, והדגישה כי הנאשם נמצא בהליך טיפולי משמעותי משך למעלה משלוש שנים</w:t>
      </w:r>
      <w:r>
        <w:rPr>
          <w:rFonts w:ascii="David" w:hAnsi="David" w:hint="cs"/>
          <w:sz w:val="26"/>
          <w:szCs w:val="26"/>
          <w:rtl/>
        </w:rPr>
        <w:t xml:space="preserve">. ב"כ הנאשם ציינה גם </w:t>
      </w:r>
      <w:r w:rsidRPr="000A6569">
        <w:rPr>
          <w:rFonts w:ascii="David" w:hAnsi="David"/>
          <w:sz w:val="26"/>
          <w:szCs w:val="26"/>
          <w:rtl/>
        </w:rPr>
        <w:t xml:space="preserve">את נסיבותיו המשפחתיות והאישיות של הנאשם, כפי שפורטו בתסקיר שירות המבחן, ואת העובדה ששולב בתכנית "יתד" שמטרתה לאפשר לנאשם להשתלב בשוק העבודה. </w:t>
      </w:r>
      <w:r>
        <w:rPr>
          <w:rFonts w:ascii="David" w:hAnsi="David" w:hint="cs"/>
          <w:sz w:val="26"/>
          <w:szCs w:val="26"/>
          <w:rtl/>
        </w:rPr>
        <w:t xml:space="preserve">אשר לנזק שייגרם אם תיוותר הרשעתו על כנה, נטען </w:t>
      </w:r>
      <w:r w:rsidRPr="000A6569">
        <w:rPr>
          <w:rFonts w:ascii="David" w:hAnsi="David"/>
          <w:sz w:val="26"/>
          <w:szCs w:val="26"/>
          <w:rtl/>
        </w:rPr>
        <w:t xml:space="preserve">כי מדובר בצעיר הנמצא בראשית דרכו המקצועית, ובתקופה האחרונה עיקר המאמץ </w:t>
      </w:r>
      <w:r>
        <w:rPr>
          <w:rFonts w:ascii="David" w:hAnsi="David" w:hint="cs"/>
          <w:sz w:val="26"/>
          <w:szCs w:val="26"/>
          <w:rtl/>
        </w:rPr>
        <w:t xml:space="preserve">הוא </w:t>
      </w:r>
      <w:r w:rsidRPr="000A6569">
        <w:rPr>
          <w:rFonts w:ascii="David" w:hAnsi="David"/>
          <w:sz w:val="26"/>
          <w:szCs w:val="26"/>
          <w:rtl/>
        </w:rPr>
        <w:t xml:space="preserve">בשילובו בלימודים. </w:t>
      </w:r>
      <w:r>
        <w:rPr>
          <w:rFonts w:ascii="David" w:hAnsi="David" w:hint="cs"/>
          <w:sz w:val="26"/>
          <w:szCs w:val="26"/>
          <w:rtl/>
        </w:rPr>
        <w:t xml:space="preserve">על </w:t>
      </w:r>
      <w:r w:rsidRPr="000A6569">
        <w:rPr>
          <w:rFonts w:ascii="David" w:hAnsi="David"/>
          <w:sz w:val="26"/>
          <w:szCs w:val="26"/>
          <w:rtl/>
        </w:rPr>
        <w:t xml:space="preserve">מנת </w:t>
      </w:r>
      <w:r>
        <w:rPr>
          <w:rFonts w:ascii="David" w:hAnsi="David" w:hint="cs"/>
          <w:sz w:val="26"/>
          <w:szCs w:val="26"/>
          <w:rtl/>
        </w:rPr>
        <w:t xml:space="preserve">לאפשר לנאשם לצאת </w:t>
      </w:r>
      <w:r w:rsidRPr="000A6569">
        <w:rPr>
          <w:rFonts w:ascii="David" w:hAnsi="David"/>
          <w:sz w:val="26"/>
          <w:szCs w:val="26"/>
          <w:rtl/>
        </w:rPr>
        <w:t>מן המעגל המשפחתי הסביבתי המוחלש שנמצא בו</w:t>
      </w:r>
      <w:r>
        <w:rPr>
          <w:rFonts w:ascii="David" w:hAnsi="David" w:hint="cs"/>
          <w:sz w:val="26"/>
          <w:szCs w:val="26"/>
          <w:rtl/>
        </w:rPr>
        <w:t>, לאפשר לו להשתלב בשוק העבודה</w:t>
      </w:r>
      <w:r w:rsidRPr="000A6569">
        <w:rPr>
          <w:rFonts w:ascii="David" w:hAnsi="David"/>
          <w:sz w:val="26"/>
          <w:szCs w:val="26"/>
          <w:rtl/>
        </w:rPr>
        <w:t xml:space="preserve"> ולאפשר לו להמשיך את חייו</w:t>
      </w:r>
      <w:r>
        <w:rPr>
          <w:rFonts w:ascii="David" w:hAnsi="David" w:hint="cs"/>
          <w:sz w:val="26"/>
          <w:szCs w:val="26"/>
          <w:rtl/>
        </w:rPr>
        <w:t>,</w:t>
      </w:r>
      <w:r w:rsidRPr="000A6569">
        <w:rPr>
          <w:rFonts w:ascii="David" w:hAnsi="David"/>
          <w:sz w:val="26"/>
          <w:szCs w:val="26"/>
          <w:rtl/>
        </w:rPr>
        <w:t xml:space="preserve"> יש להורות על ביטול ההרשעה. בהתייחס לפסיקה, טענה שבעבירות סמים הפסיקה היא רחבה והפנתה לפסקי דין שבהם שבמקרים מתאימים  הכירה הפסיקה בנסיבות המצדיקות ביטול ההרשעה, משיקולי שיקום</w:t>
      </w:r>
      <w:r>
        <w:rPr>
          <w:rFonts w:ascii="David" w:hAnsi="David" w:hint="cs"/>
          <w:sz w:val="26"/>
          <w:szCs w:val="26"/>
          <w:rtl/>
        </w:rPr>
        <w:t>.</w:t>
      </w:r>
    </w:p>
    <w:p w14:paraId="797C768B" w14:textId="77777777" w:rsidR="00DB7887" w:rsidRPr="000A6569" w:rsidRDefault="00DB7887" w:rsidP="00DB7887">
      <w:pPr>
        <w:numPr>
          <w:ilvl w:val="0"/>
          <w:numId w:val="1"/>
        </w:numPr>
        <w:spacing w:line="360" w:lineRule="auto"/>
        <w:jc w:val="both"/>
        <w:rPr>
          <w:rFonts w:ascii="David" w:hAnsi="David"/>
          <w:sz w:val="26"/>
          <w:szCs w:val="26"/>
          <w:rtl/>
        </w:rPr>
      </w:pPr>
      <w:r w:rsidRPr="000A6569">
        <w:rPr>
          <w:rFonts w:ascii="David" w:hAnsi="David"/>
          <w:sz w:val="26"/>
          <w:szCs w:val="26"/>
          <w:rtl/>
        </w:rPr>
        <w:t xml:space="preserve">לחילופין, ככל שלא תבוטל הרשעתו של הנאשם, ביקשה ב"כ הנאשם לראות בשלושת האישומים אירוע אחד, שכן מדובר באותה סוכנת, באירועים סמוכים ובעבירות שבוצעו על רקע אותן נסיבות. כן טענה כי יש לסטות מן המתחם משיקולי שיקום לאור ההליך השיקומי המוצלח בו החל הנאשם, ולאמץ את המלצת שירות המבחן לעניין הענישה, וזאת על מנת שלא לפגוע בהליך השיקומי. אשר לקנס, ציינה את העובדה שהנאשם הוא המפרנס היחידי של משפחתו. עוד ציינה, כי אין מקום לפסילת רשיון נהיגה, שכן הנאשם לא ביצע את העבירה באמצעות רכב וממילא אף אינו בעל רישיון נהיגה. </w:t>
      </w:r>
    </w:p>
    <w:p w14:paraId="36DCB8FE" w14:textId="77777777" w:rsidR="00DB7887" w:rsidRPr="000A6569" w:rsidRDefault="00DB7887" w:rsidP="00DB7887">
      <w:pPr>
        <w:spacing w:line="360" w:lineRule="auto"/>
        <w:ind w:left="360"/>
        <w:jc w:val="both"/>
        <w:rPr>
          <w:rFonts w:ascii="David" w:hAnsi="David"/>
          <w:sz w:val="26"/>
          <w:szCs w:val="26"/>
        </w:rPr>
      </w:pPr>
      <w:r w:rsidRPr="000A6569">
        <w:rPr>
          <w:rFonts w:ascii="David" w:hAnsi="David"/>
          <w:sz w:val="26"/>
          <w:szCs w:val="26"/>
          <w:rtl/>
        </w:rPr>
        <w:t xml:space="preserve"> </w:t>
      </w:r>
    </w:p>
    <w:p w14:paraId="4CB1C3E9" w14:textId="77777777" w:rsidR="00DB7887" w:rsidRPr="000A6569" w:rsidRDefault="00DB7887" w:rsidP="00DB7887">
      <w:pPr>
        <w:spacing w:line="360" w:lineRule="auto"/>
        <w:jc w:val="both"/>
        <w:rPr>
          <w:rFonts w:ascii="David" w:hAnsi="David"/>
          <w:sz w:val="26"/>
          <w:szCs w:val="26"/>
        </w:rPr>
      </w:pPr>
      <w:r w:rsidRPr="000A6569">
        <w:rPr>
          <w:rFonts w:ascii="David" w:hAnsi="David"/>
          <w:b/>
          <w:bCs/>
          <w:sz w:val="26"/>
          <w:szCs w:val="26"/>
          <w:rtl/>
        </w:rPr>
        <w:t>דברי הנאשם</w:t>
      </w:r>
    </w:p>
    <w:p w14:paraId="5AB5A11A" w14:textId="77777777" w:rsidR="00DB7887" w:rsidRPr="000A6569" w:rsidRDefault="00DB7887" w:rsidP="00DB7887">
      <w:pPr>
        <w:numPr>
          <w:ilvl w:val="0"/>
          <w:numId w:val="1"/>
        </w:numPr>
        <w:spacing w:line="360" w:lineRule="auto"/>
        <w:jc w:val="both"/>
        <w:rPr>
          <w:rFonts w:ascii="David" w:hAnsi="David"/>
          <w:b/>
          <w:bCs/>
          <w:sz w:val="26"/>
          <w:szCs w:val="26"/>
          <w:rtl/>
        </w:rPr>
      </w:pPr>
      <w:r w:rsidRPr="000A6569">
        <w:rPr>
          <w:rFonts w:ascii="David" w:hAnsi="David"/>
          <w:sz w:val="26"/>
          <w:szCs w:val="26"/>
          <w:rtl/>
        </w:rPr>
        <w:t xml:space="preserve">הנאשם ניצל את זכותו למילה האחרונה. בדבריו </w:t>
      </w:r>
      <w:r>
        <w:rPr>
          <w:rFonts w:ascii="David" w:hAnsi="David" w:hint="cs"/>
          <w:sz w:val="26"/>
          <w:szCs w:val="26"/>
          <w:rtl/>
        </w:rPr>
        <w:t xml:space="preserve">לפני </w:t>
      </w:r>
      <w:r w:rsidRPr="000A6569">
        <w:rPr>
          <w:rFonts w:ascii="David" w:hAnsi="David"/>
          <w:sz w:val="26"/>
          <w:szCs w:val="26"/>
          <w:rtl/>
        </w:rPr>
        <w:t>ציין כי הוא מבין שעשה טעות גדולה</w:t>
      </w:r>
      <w:r>
        <w:rPr>
          <w:rFonts w:ascii="David" w:hAnsi="David" w:hint="cs"/>
          <w:sz w:val="26"/>
          <w:szCs w:val="26"/>
          <w:rtl/>
        </w:rPr>
        <w:t>,</w:t>
      </w:r>
      <w:r w:rsidRPr="000A6569">
        <w:rPr>
          <w:rFonts w:ascii="David" w:hAnsi="David"/>
          <w:sz w:val="26"/>
          <w:szCs w:val="26"/>
          <w:rtl/>
        </w:rPr>
        <w:t xml:space="preserve"> הביע שביעות רצון מהליך הטיפולי וכן הביע רצון להמשיך ולהשתקם. </w:t>
      </w:r>
    </w:p>
    <w:p w14:paraId="04F24C06" w14:textId="77777777" w:rsidR="00DB7887" w:rsidRPr="000A6569" w:rsidRDefault="00DB7887" w:rsidP="00DB7887">
      <w:pPr>
        <w:spacing w:line="360" w:lineRule="auto"/>
        <w:jc w:val="both"/>
        <w:rPr>
          <w:rFonts w:ascii="David" w:hAnsi="David"/>
          <w:b/>
          <w:bCs/>
          <w:sz w:val="26"/>
          <w:szCs w:val="26"/>
        </w:rPr>
      </w:pPr>
    </w:p>
    <w:p w14:paraId="5E5B3308" w14:textId="77777777" w:rsidR="00DB7887" w:rsidRPr="00586580" w:rsidRDefault="00DB7887" w:rsidP="00DB7887">
      <w:pPr>
        <w:spacing w:line="360" w:lineRule="auto"/>
        <w:jc w:val="both"/>
        <w:rPr>
          <w:rFonts w:ascii="David" w:hAnsi="David"/>
          <w:sz w:val="26"/>
          <w:szCs w:val="26"/>
          <w:u w:val="single"/>
          <w:rtl/>
        </w:rPr>
      </w:pPr>
      <w:r w:rsidRPr="00586580">
        <w:rPr>
          <w:rFonts w:ascii="David" w:hAnsi="David"/>
          <w:b/>
          <w:bCs/>
          <w:sz w:val="26"/>
          <w:szCs w:val="26"/>
          <w:u w:val="single"/>
          <w:rtl/>
        </w:rPr>
        <w:t>דיון והכרעה</w:t>
      </w:r>
    </w:p>
    <w:p w14:paraId="6BC1A43A" w14:textId="77777777" w:rsidR="00DB7887" w:rsidRPr="000A6569" w:rsidRDefault="00DB7887" w:rsidP="00DB7887">
      <w:pPr>
        <w:spacing w:line="360" w:lineRule="auto"/>
        <w:jc w:val="both"/>
        <w:rPr>
          <w:rFonts w:ascii="David" w:hAnsi="David"/>
          <w:b/>
          <w:bCs/>
          <w:sz w:val="26"/>
          <w:szCs w:val="26"/>
          <w:rtl/>
        </w:rPr>
      </w:pPr>
    </w:p>
    <w:p w14:paraId="7EC63B9A" w14:textId="77777777" w:rsidR="00DB7887" w:rsidRPr="000A6569" w:rsidRDefault="00DB7887" w:rsidP="00DB7887">
      <w:pPr>
        <w:spacing w:line="360" w:lineRule="auto"/>
        <w:ind w:left="360"/>
        <w:jc w:val="both"/>
        <w:rPr>
          <w:rFonts w:ascii="David" w:hAnsi="David"/>
          <w:sz w:val="26"/>
          <w:szCs w:val="26"/>
          <w:u w:val="single"/>
        </w:rPr>
      </w:pPr>
      <w:r w:rsidRPr="000A6569">
        <w:rPr>
          <w:rFonts w:ascii="David" w:hAnsi="David"/>
          <w:sz w:val="26"/>
          <w:szCs w:val="26"/>
          <w:u w:val="single"/>
          <w:rtl/>
        </w:rPr>
        <w:t>ביטול הרשעה</w:t>
      </w:r>
    </w:p>
    <w:p w14:paraId="15E990F0" w14:textId="77777777" w:rsidR="00DB7887" w:rsidRPr="000A6569" w:rsidRDefault="00DB7887" w:rsidP="00DB7887">
      <w:pPr>
        <w:pStyle w:val="a9"/>
        <w:numPr>
          <w:ilvl w:val="0"/>
          <w:numId w:val="1"/>
        </w:numPr>
        <w:spacing w:after="160" w:line="360" w:lineRule="auto"/>
        <w:jc w:val="both"/>
        <w:rPr>
          <w:rFonts w:ascii="David" w:hAnsi="David" w:cs="David"/>
          <w:sz w:val="26"/>
          <w:szCs w:val="26"/>
        </w:rPr>
      </w:pPr>
      <w:r w:rsidRPr="000A6569">
        <w:rPr>
          <w:rFonts w:ascii="David" w:hAnsi="David" w:cs="David"/>
          <w:sz w:val="26"/>
          <w:szCs w:val="26"/>
          <w:rtl/>
        </w:rPr>
        <w:t xml:space="preserve">הסמכות לבטל הרשעה קבועה </w:t>
      </w:r>
      <w:hyperlink r:id="rId19" w:history="1">
        <w:r w:rsidR="00EF401F" w:rsidRPr="00EF401F">
          <w:rPr>
            <w:rStyle w:val="Hyperlink"/>
            <w:rFonts w:ascii="David" w:hAnsi="David" w:cs="David"/>
            <w:sz w:val="26"/>
            <w:szCs w:val="26"/>
            <w:rtl/>
          </w:rPr>
          <w:t>בסעיף 192א</w:t>
        </w:r>
      </w:hyperlink>
      <w:r w:rsidRPr="000A6569">
        <w:rPr>
          <w:rFonts w:ascii="David" w:hAnsi="David" w:cs="David"/>
          <w:sz w:val="26"/>
          <w:szCs w:val="26"/>
          <w:rtl/>
        </w:rPr>
        <w:t xml:space="preserve"> ל</w:t>
      </w:r>
      <w:hyperlink r:id="rId20" w:history="1">
        <w:r w:rsidR="0024453F" w:rsidRPr="0024453F">
          <w:rPr>
            <w:rFonts w:ascii="David" w:hAnsi="David" w:cs="David"/>
            <w:color w:val="0000FF"/>
            <w:sz w:val="26"/>
            <w:szCs w:val="26"/>
            <w:u w:val="single"/>
            <w:rtl/>
          </w:rPr>
          <w:t>חוק סדר הדין הפלילי</w:t>
        </w:r>
      </w:hyperlink>
      <w:r w:rsidRPr="000A6569">
        <w:rPr>
          <w:rFonts w:ascii="David" w:hAnsi="David" w:cs="David"/>
          <w:sz w:val="26"/>
          <w:szCs w:val="26"/>
          <w:rtl/>
        </w:rPr>
        <w:t xml:space="preserve"> [נוסח משולב], תשמ"ב-1982 שזו לשונו:</w:t>
      </w:r>
    </w:p>
    <w:p w14:paraId="3C6A02C2" w14:textId="77777777" w:rsidR="00DB7887" w:rsidRPr="000A6569" w:rsidRDefault="00DB7887" w:rsidP="00DB7887">
      <w:pPr>
        <w:spacing w:line="360" w:lineRule="auto"/>
        <w:ind w:left="1080"/>
        <w:jc w:val="both"/>
        <w:rPr>
          <w:rFonts w:ascii="David" w:hAnsi="David"/>
          <w:b/>
          <w:bCs/>
          <w:sz w:val="26"/>
          <w:szCs w:val="26"/>
        </w:rPr>
      </w:pPr>
      <w:r w:rsidRPr="000A6569">
        <w:rPr>
          <w:rFonts w:ascii="David" w:hAnsi="David"/>
          <w:b/>
          <w:bCs/>
          <w:sz w:val="26"/>
          <w:szCs w:val="26"/>
          <w:rtl/>
        </w:rPr>
        <w:t>"הרשיע בית המשפט את הנאשם, ולפני מתן גזר הדין ראה שיש מקום לתת לגביו צו מבחן או צו שירות לתועלת הציבור ללא הרשעה או לצוות כי הנאשם ייתן התחייבות להימנע מעבירה, כאמור בסעיף 72(ב) ל</w:t>
      </w:r>
      <w:hyperlink r:id="rId21" w:history="1">
        <w:r w:rsidR="0024453F" w:rsidRPr="0024453F">
          <w:rPr>
            <w:rFonts w:ascii="David" w:hAnsi="David"/>
            <w:b/>
            <w:bCs/>
            <w:color w:val="0000FF"/>
            <w:sz w:val="26"/>
            <w:szCs w:val="26"/>
            <w:u w:val="single"/>
            <w:rtl/>
          </w:rPr>
          <w:t>חוק העונשין</w:t>
        </w:r>
      </w:hyperlink>
      <w:r w:rsidRPr="000A6569">
        <w:rPr>
          <w:rFonts w:ascii="David" w:hAnsi="David"/>
          <w:b/>
          <w:bCs/>
          <w:sz w:val="26"/>
          <w:szCs w:val="26"/>
          <w:rtl/>
        </w:rPr>
        <w:t>, בלא הרשעה, רשאי הוא לבטל את ההרשעה ולצוות כאמור".</w:t>
      </w:r>
    </w:p>
    <w:p w14:paraId="49F88F76" w14:textId="77777777" w:rsidR="00DB7887" w:rsidRPr="000A6569" w:rsidRDefault="00DB7887" w:rsidP="00DB7887">
      <w:pPr>
        <w:pStyle w:val="a9"/>
        <w:spacing w:line="360" w:lineRule="auto"/>
        <w:jc w:val="both"/>
        <w:rPr>
          <w:rFonts w:ascii="David" w:hAnsi="David" w:cs="David"/>
          <w:b/>
          <w:bCs/>
          <w:sz w:val="26"/>
          <w:szCs w:val="26"/>
        </w:rPr>
      </w:pPr>
    </w:p>
    <w:p w14:paraId="5FA48A8A" w14:textId="77777777" w:rsidR="00DB7887" w:rsidRPr="000A6569" w:rsidRDefault="00DB7887" w:rsidP="00DB7887">
      <w:pPr>
        <w:pStyle w:val="a9"/>
        <w:numPr>
          <w:ilvl w:val="0"/>
          <w:numId w:val="1"/>
        </w:numPr>
        <w:spacing w:after="160" w:line="360" w:lineRule="auto"/>
        <w:jc w:val="both"/>
        <w:rPr>
          <w:rFonts w:ascii="David" w:hAnsi="David" w:cs="David"/>
          <w:b/>
          <w:bCs/>
          <w:sz w:val="26"/>
          <w:szCs w:val="26"/>
        </w:rPr>
      </w:pPr>
      <w:r w:rsidRPr="000A6569">
        <w:rPr>
          <w:rFonts w:ascii="David" w:hAnsi="David" w:cs="David"/>
          <w:sz w:val="26"/>
          <w:szCs w:val="26"/>
          <w:rtl/>
        </w:rPr>
        <w:t xml:space="preserve">בפסיקה נקבע שהימנעות מהרשעה היא חריג לכלל שלפיו אדם שהוכחה אשמתו בפלילים יורשע בדין והיא שמורה לנסיבות יוצאות דופן שבהן אין יחס סביר בין הנזק שצפוי מן ההרשעה בדין ובין חומרתה של העבירה. התנאים להימנעות מהרשעה נקבעו בפסק הדין המנחה </w:t>
      </w:r>
      <w:hyperlink r:id="rId22" w:history="1">
        <w:r w:rsidR="0024453F" w:rsidRPr="0024453F">
          <w:rPr>
            <w:rFonts w:ascii="David" w:hAnsi="David" w:cs="David"/>
            <w:color w:val="0000FF"/>
            <w:sz w:val="26"/>
            <w:szCs w:val="26"/>
            <w:u w:val="single"/>
            <w:rtl/>
          </w:rPr>
          <w:t>ע"פ 2083/96</w:t>
        </w:r>
      </w:hyperlink>
      <w:r w:rsidRPr="000A6569">
        <w:rPr>
          <w:rFonts w:ascii="David" w:hAnsi="David" w:cs="David"/>
          <w:b/>
          <w:bCs/>
          <w:sz w:val="26"/>
          <w:szCs w:val="26"/>
          <w:rtl/>
        </w:rPr>
        <w:t xml:space="preserve"> כתב נגד מדינת ישראל </w:t>
      </w:r>
      <w:r w:rsidRPr="000A6569">
        <w:rPr>
          <w:rFonts w:ascii="David" w:hAnsi="David" w:cs="David"/>
          <w:sz w:val="26"/>
          <w:szCs w:val="26"/>
          <w:rtl/>
        </w:rPr>
        <w:t>(21.08.1997) (להלן:</w:t>
      </w:r>
      <w:r w:rsidRPr="000A6569">
        <w:rPr>
          <w:rFonts w:ascii="David" w:hAnsi="David" w:cs="David"/>
          <w:b/>
          <w:bCs/>
          <w:sz w:val="26"/>
          <w:szCs w:val="26"/>
          <w:rtl/>
        </w:rPr>
        <w:t xml:space="preserve"> "הלכת כתב"</w:t>
      </w:r>
      <w:r w:rsidRPr="000A6569">
        <w:rPr>
          <w:rFonts w:ascii="David" w:hAnsi="David" w:cs="David"/>
          <w:sz w:val="26"/>
          <w:szCs w:val="26"/>
          <w:rtl/>
        </w:rPr>
        <w:t>). נפסק שם שהימנעות מהרשעה אפשרית בהצטבר שני תנאים  – 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p>
    <w:p w14:paraId="4663C6D2" w14:textId="77777777" w:rsidR="00DB7887" w:rsidRPr="000A6569" w:rsidRDefault="00DB7887" w:rsidP="00DB7887">
      <w:pPr>
        <w:pStyle w:val="a9"/>
        <w:rPr>
          <w:rFonts w:ascii="David" w:hAnsi="David" w:cs="David"/>
          <w:b/>
          <w:bCs/>
          <w:sz w:val="26"/>
          <w:szCs w:val="26"/>
          <w:rtl/>
        </w:rPr>
      </w:pPr>
    </w:p>
    <w:p w14:paraId="7CCF3556" w14:textId="77777777" w:rsidR="00DB7887" w:rsidRPr="000A6569" w:rsidRDefault="00DB7887" w:rsidP="00DB7887">
      <w:pPr>
        <w:pStyle w:val="a9"/>
        <w:numPr>
          <w:ilvl w:val="0"/>
          <w:numId w:val="1"/>
        </w:numPr>
        <w:spacing w:after="160" w:line="360" w:lineRule="auto"/>
        <w:jc w:val="both"/>
        <w:rPr>
          <w:rFonts w:ascii="David" w:hAnsi="David" w:cs="David"/>
          <w:sz w:val="26"/>
          <w:szCs w:val="26"/>
        </w:rPr>
      </w:pPr>
      <w:r w:rsidRPr="000A6569">
        <w:rPr>
          <w:rFonts w:ascii="David" w:hAnsi="David" w:cs="David"/>
          <w:sz w:val="26"/>
          <w:szCs w:val="26"/>
          <w:rtl/>
        </w:rPr>
        <w:t xml:space="preserve">אשר לתנאי בדבר הפגיעה החמורה בשיקומו או בעתידו של הנאשם, פגיעה שעלולה להיגרם מעצם הרשעתו בדין, נפסק שעל בית-המשפט להשתכנע, כי: </w:t>
      </w:r>
      <w:r w:rsidRPr="000A6569">
        <w:rPr>
          <w:rFonts w:ascii="David" w:hAnsi="David" w:cs="David"/>
          <w:b/>
          <w:bCs/>
          <w:sz w:val="26"/>
          <w:szCs w:val="26"/>
          <w:rtl/>
        </w:rPr>
        <w:t xml:space="preserve">"הפגיעה בנאשם הכרוכה בהרשעה אינה שקולה כנגד מידת הפגיעה באינטרס הציבורי בשל ביטול ההרשעה" </w:t>
      </w:r>
      <w:r w:rsidRPr="000A6569">
        <w:rPr>
          <w:rFonts w:ascii="David" w:hAnsi="David" w:cs="David"/>
          <w:sz w:val="26"/>
          <w:szCs w:val="26"/>
          <w:rtl/>
        </w:rPr>
        <w:t>(</w:t>
      </w:r>
      <w:hyperlink r:id="rId23" w:history="1">
        <w:r w:rsidR="0024453F" w:rsidRPr="0024453F">
          <w:rPr>
            <w:rFonts w:ascii="David" w:hAnsi="David" w:cs="David"/>
            <w:color w:val="0000FF"/>
            <w:sz w:val="26"/>
            <w:szCs w:val="26"/>
            <w:u w:val="single"/>
            <w:rtl/>
          </w:rPr>
          <w:t>ע"פ 3554/16</w:t>
        </w:r>
      </w:hyperlink>
      <w:r w:rsidRPr="000A6569">
        <w:rPr>
          <w:rFonts w:ascii="David" w:hAnsi="David" w:cs="David"/>
          <w:sz w:val="26"/>
          <w:szCs w:val="26"/>
          <w:rtl/>
        </w:rPr>
        <w:t xml:space="preserve"> </w:t>
      </w:r>
      <w:r w:rsidRPr="000A6569">
        <w:rPr>
          <w:rFonts w:ascii="David" w:hAnsi="David" w:cs="David"/>
          <w:b/>
          <w:bCs/>
          <w:sz w:val="26"/>
          <w:szCs w:val="26"/>
          <w:rtl/>
        </w:rPr>
        <w:t>יעקובוביץ נגד מדינת ישראל</w:t>
      </w:r>
      <w:r w:rsidRPr="000A6569">
        <w:rPr>
          <w:rFonts w:ascii="David" w:hAnsi="David" w:cs="David"/>
          <w:sz w:val="26"/>
          <w:szCs w:val="26"/>
          <w:rtl/>
        </w:rPr>
        <w:t xml:space="preserve"> (11.06.2017).</w:t>
      </w:r>
      <w:r w:rsidRPr="000A6569">
        <w:rPr>
          <w:rFonts w:ascii="David" w:hAnsi="David" w:cs="David"/>
          <w:b/>
          <w:bCs/>
          <w:sz w:val="26"/>
          <w:szCs w:val="26"/>
          <w:rtl/>
        </w:rPr>
        <w:t xml:space="preserve"> </w:t>
      </w:r>
      <w:r w:rsidRPr="000A6569">
        <w:rPr>
          <w:rFonts w:ascii="David" w:hAnsi="David" w:cs="David"/>
          <w:sz w:val="26"/>
          <w:szCs w:val="26"/>
          <w:rtl/>
        </w:rPr>
        <w:t>עוד נקבע בפסיקה, כי על הטוען לאי הרשעה להצביע על נזק מוחשי וקונקרטי שעלול להיגרם לנאשם כתוצאה מהרשעתו ולעניין זה אין די באפשרויות תיאורטיות עתידיות</w:t>
      </w:r>
      <w:r w:rsidRPr="000A6569">
        <w:rPr>
          <w:rFonts w:ascii="David" w:hAnsi="David" w:cs="David"/>
          <w:b/>
          <w:bCs/>
          <w:sz w:val="26"/>
          <w:szCs w:val="26"/>
          <w:rtl/>
        </w:rPr>
        <w:t xml:space="preserve"> </w:t>
      </w:r>
      <w:r w:rsidRPr="000A6569">
        <w:rPr>
          <w:rFonts w:ascii="David" w:hAnsi="David" w:cs="David"/>
          <w:sz w:val="26"/>
          <w:szCs w:val="26"/>
          <w:rtl/>
        </w:rPr>
        <w:t>(</w:t>
      </w:r>
      <w:hyperlink r:id="rId24" w:history="1">
        <w:r w:rsidR="0024453F" w:rsidRPr="0024453F">
          <w:rPr>
            <w:rFonts w:ascii="David" w:hAnsi="David" w:cs="David"/>
            <w:color w:val="0000FF"/>
            <w:sz w:val="26"/>
            <w:szCs w:val="26"/>
            <w:u w:val="single"/>
            <w:rtl/>
          </w:rPr>
          <w:t>רע"פ 9118/12</w:t>
        </w:r>
      </w:hyperlink>
      <w:r w:rsidRPr="000A6569">
        <w:rPr>
          <w:rFonts w:ascii="David" w:hAnsi="David" w:cs="David"/>
          <w:sz w:val="26"/>
          <w:szCs w:val="26"/>
          <w:rtl/>
        </w:rPr>
        <w:t xml:space="preserve"> </w:t>
      </w:r>
      <w:r w:rsidRPr="000A6569">
        <w:rPr>
          <w:rFonts w:ascii="David" w:hAnsi="David" w:cs="David"/>
          <w:b/>
          <w:bCs/>
          <w:sz w:val="26"/>
          <w:szCs w:val="26"/>
          <w:rtl/>
        </w:rPr>
        <w:t>פריגין נגד מדינת ישראל</w:t>
      </w:r>
      <w:r w:rsidRPr="000A6569">
        <w:rPr>
          <w:rFonts w:ascii="David" w:hAnsi="David" w:cs="David"/>
          <w:sz w:val="26"/>
          <w:szCs w:val="26"/>
          <w:rtl/>
        </w:rPr>
        <w:t xml:space="preserve"> (01.01.2013)).</w:t>
      </w:r>
    </w:p>
    <w:p w14:paraId="343E1649" w14:textId="77777777" w:rsidR="00DB7887" w:rsidRPr="000A6569" w:rsidRDefault="00DB7887" w:rsidP="00DB7887">
      <w:pPr>
        <w:pStyle w:val="a9"/>
        <w:spacing w:line="360" w:lineRule="auto"/>
        <w:jc w:val="both"/>
        <w:rPr>
          <w:rFonts w:ascii="David" w:hAnsi="David" w:cs="David"/>
          <w:b/>
          <w:bCs/>
          <w:sz w:val="26"/>
          <w:szCs w:val="26"/>
        </w:rPr>
      </w:pPr>
    </w:p>
    <w:p w14:paraId="4CE9B3AE" w14:textId="77777777" w:rsidR="00DB7887" w:rsidRDefault="00DB7887" w:rsidP="00DB7887">
      <w:pPr>
        <w:pStyle w:val="a9"/>
        <w:numPr>
          <w:ilvl w:val="0"/>
          <w:numId w:val="1"/>
        </w:numPr>
        <w:spacing w:after="160" w:line="360" w:lineRule="auto"/>
        <w:jc w:val="both"/>
        <w:rPr>
          <w:rFonts w:ascii="David" w:hAnsi="David" w:cs="David"/>
          <w:sz w:val="26"/>
          <w:szCs w:val="26"/>
        </w:rPr>
      </w:pPr>
      <w:r w:rsidRPr="000A6569">
        <w:rPr>
          <w:rFonts w:ascii="David" w:hAnsi="David" w:cs="David"/>
          <w:sz w:val="26"/>
          <w:szCs w:val="26"/>
          <w:rtl/>
        </w:rPr>
        <w:t xml:space="preserve">עם זאת, יצוין, </w:t>
      </w:r>
      <w:r>
        <w:rPr>
          <w:rFonts w:ascii="David" w:hAnsi="David" w:cs="David" w:hint="cs"/>
          <w:sz w:val="26"/>
          <w:szCs w:val="26"/>
          <w:rtl/>
        </w:rPr>
        <w:t xml:space="preserve">כי </w:t>
      </w:r>
      <w:r w:rsidRPr="000A6569">
        <w:rPr>
          <w:rFonts w:ascii="David" w:hAnsi="David" w:cs="David"/>
          <w:sz w:val="26"/>
          <w:szCs w:val="26"/>
          <w:rtl/>
        </w:rPr>
        <w:t>פסיקת בתי המשפט הגמישה מעט את הדרישה להצבעה על נזק קונקרטי  והכירה במעין מקבילית כוחות המתקיימת בין שני המבחנים שנמנו בהלכת כתב, כך שככל שמעשי העבירה חמורים יותר, אין להסתפק בפגיעה כללית ועתידית אלא נדרשת פגיעה קונקרטית ברורה ומוחשית. וככל שמעשי העבירה קלים יותר, כך ניתן יהיה להסתפק בפגיעה כללית יותר  (</w:t>
      </w:r>
      <w:r>
        <w:rPr>
          <w:rFonts w:ascii="David" w:hAnsi="David" w:cs="David" w:hint="cs"/>
          <w:sz w:val="26"/>
          <w:szCs w:val="26"/>
          <w:rtl/>
        </w:rPr>
        <w:t>ראו:</w:t>
      </w:r>
      <w:hyperlink r:id="rId25" w:history="1">
        <w:r w:rsidR="0024453F" w:rsidRPr="0024453F">
          <w:rPr>
            <w:rFonts w:ascii="David" w:hAnsi="David" w:cs="David"/>
            <w:color w:val="0000FF"/>
            <w:sz w:val="26"/>
            <w:szCs w:val="26"/>
            <w:u w:val="single"/>
            <w:rtl/>
          </w:rPr>
          <w:t>ת"פ 36771-11-15</w:t>
        </w:r>
      </w:hyperlink>
      <w:r w:rsidRPr="000A6569">
        <w:rPr>
          <w:rFonts w:ascii="David" w:hAnsi="David" w:cs="David"/>
          <w:sz w:val="26"/>
          <w:szCs w:val="26"/>
          <w:rtl/>
        </w:rPr>
        <w:t xml:space="preserve"> </w:t>
      </w:r>
      <w:r w:rsidRPr="000A6569">
        <w:rPr>
          <w:rFonts w:ascii="David" w:hAnsi="David" w:cs="David"/>
          <w:b/>
          <w:bCs/>
          <w:sz w:val="26"/>
          <w:szCs w:val="26"/>
          <w:rtl/>
        </w:rPr>
        <w:t>מדינת ישראל נגד פנש ואח'</w:t>
      </w:r>
      <w:r w:rsidRPr="000A6569">
        <w:rPr>
          <w:rFonts w:ascii="David" w:hAnsi="David" w:cs="David"/>
          <w:sz w:val="26"/>
          <w:szCs w:val="26"/>
          <w:rtl/>
        </w:rPr>
        <w:t xml:space="preserve"> (14.06.2016); </w:t>
      </w:r>
      <w:hyperlink r:id="rId26" w:history="1">
        <w:r w:rsidR="0024453F" w:rsidRPr="0024453F">
          <w:rPr>
            <w:rFonts w:ascii="David" w:hAnsi="David" w:cs="David"/>
            <w:color w:val="0000FF"/>
            <w:sz w:val="26"/>
            <w:szCs w:val="26"/>
            <w:u w:val="single"/>
            <w:rtl/>
          </w:rPr>
          <w:t>ע"פ 24457-03-15</w:t>
        </w:r>
      </w:hyperlink>
      <w:r w:rsidRPr="000A6569">
        <w:rPr>
          <w:rFonts w:ascii="David" w:hAnsi="David" w:cs="David"/>
          <w:sz w:val="26"/>
          <w:szCs w:val="26"/>
          <w:rtl/>
        </w:rPr>
        <w:t xml:space="preserve"> </w:t>
      </w:r>
      <w:r w:rsidRPr="000A6569">
        <w:rPr>
          <w:rFonts w:ascii="David" w:hAnsi="David" w:cs="David"/>
          <w:b/>
          <w:bCs/>
          <w:sz w:val="26"/>
          <w:szCs w:val="26"/>
          <w:rtl/>
        </w:rPr>
        <w:t>גוטרמן נגד מדינת ישראל</w:t>
      </w:r>
      <w:r w:rsidRPr="000A6569">
        <w:rPr>
          <w:rFonts w:ascii="David" w:hAnsi="David" w:cs="David"/>
          <w:sz w:val="26"/>
          <w:szCs w:val="26"/>
          <w:rtl/>
        </w:rPr>
        <w:t xml:space="preserve"> (30.08.2015); </w:t>
      </w:r>
      <w:hyperlink r:id="rId27" w:history="1">
        <w:r w:rsidR="0024453F" w:rsidRPr="0024453F">
          <w:rPr>
            <w:rFonts w:ascii="David" w:hAnsi="David" w:cs="David"/>
            <w:color w:val="0000FF"/>
            <w:sz w:val="26"/>
            <w:szCs w:val="26"/>
            <w:u w:val="single"/>
            <w:rtl/>
          </w:rPr>
          <w:t>רע"פ 3515/12</w:t>
        </w:r>
      </w:hyperlink>
      <w:r w:rsidRPr="000A6569">
        <w:rPr>
          <w:rFonts w:ascii="David" w:hAnsi="David" w:cs="David"/>
          <w:sz w:val="26"/>
          <w:szCs w:val="26"/>
          <w:rtl/>
        </w:rPr>
        <w:t xml:space="preserve"> </w:t>
      </w:r>
      <w:r w:rsidRPr="000A6569">
        <w:rPr>
          <w:rFonts w:ascii="David" w:hAnsi="David" w:cs="David"/>
          <w:b/>
          <w:bCs/>
          <w:sz w:val="26"/>
          <w:szCs w:val="26"/>
          <w:rtl/>
        </w:rPr>
        <w:t>מדינת ישראל נגד שבתאי</w:t>
      </w:r>
      <w:r w:rsidRPr="000A6569">
        <w:rPr>
          <w:rFonts w:ascii="David" w:hAnsi="David" w:cs="David"/>
          <w:sz w:val="26"/>
          <w:szCs w:val="26"/>
          <w:rtl/>
        </w:rPr>
        <w:t xml:space="preserve"> (10.09.2013) (דעת כב' השופט ע' פוגלמן),  </w:t>
      </w:r>
      <w:hyperlink r:id="rId28" w:history="1">
        <w:r w:rsidR="0024453F" w:rsidRPr="0024453F">
          <w:rPr>
            <w:rFonts w:ascii="David" w:hAnsi="David" w:cs="David"/>
            <w:color w:val="0000FF"/>
            <w:sz w:val="26"/>
            <w:szCs w:val="26"/>
            <w:u w:val="single"/>
            <w:rtl/>
          </w:rPr>
          <w:t>עפ"ג 44406-12-11</w:t>
        </w:r>
      </w:hyperlink>
      <w:r w:rsidRPr="000A6569">
        <w:rPr>
          <w:rFonts w:ascii="David" w:hAnsi="David" w:cs="David"/>
          <w:sz w:val="26"/>
          <w:szCs w:val="26"/>
          <w:rtl/>
        </w:rPr>
        <w:t xml:space="preserve"> </w:t>
      </w:r>
      <w:r w:rsidRPr="000A6569">
        <w:rPr>
          <w:rFonts w:ascii="David" w:hAnsi="David" w:cs="David"/>
          <w:b/>
          <w:bCs/>
          <w:sz w:val="26"/>
          <w:szCs w:val="26"/>
          <w:rtl/>
        </w:rPr>
        <w:t>שואהנה נגד מדינת ישראל</w:t>
      </w:r>
      <w:r w:rsidRPr="000A6569">
        <w:rPr>
          <w:rFonts w:ascii="David" w:hAnsi="David" w:cs="David"/>
          <w:sz w:val="26"/>
          <w:szCs w:val="26"/>
          <w:rtl/>
        </w:rPr>
        <w:t xml:space="preserve"> (16.02.2012) (דעת כב' השופט ע' גרוסקופף)).</w:t>
      </w:r>
    </w:p>
    <w:p w14:paraId="3C9EE6CA" w14:textId="77777777" w:rsidR="00DB7887" w:rsidRPr="00ED7481" w:rsidRDefault="00DB7887" w:rsidP="00DB7887">
      <w:pPr>
        <w:pStyle w:val="a9"/>
        <w:rPr>
          <w:rFonts w:ascii="David" w:hAnsi="David" w:cs="David"/>
          <w:sz w:val="26"/>
          <w:szCs w:val="26"/>
          <w:rtl/>
        </w:rPr>
      </w:pPr>
    </w:p>
    <w:p w14:paraId="37089F49" w14:textId="77777777" w:rsidR="00DB7887" w:rsidRDefault="00DB7887" w:rsidP="00DB7887">
      <w:pPr>
        <w:pStyle w:val="a9"/>
        <w:numPr>
          <w:ilvl w:val="0"/>
          <w:numId w:val="1"/>
        </w:numPr>
        <w:spacing w:after="160" w:line="360" w:lineRule="auto"/>
        <w:jc w:val="both"/>
        <w:rPr>
          <w:rFonts w:ascii="David" w:hAnsi="David" w:cs="David"/>
          <w:sz w:val="26"/>
          <w:szCs w:val="26"/>
        </w:rPr>
      </w:pPr>
      <w:r>
        <w:rPr>
          <w:rFonts w:ascii="David" w:hAnsi="David" w:cs="David"/>
          <w:sz w:val="26"/>
          <w:szCs w:val="26"/>
          <w:rtl/>
        </w:rPr>
        <w:t>לפיכך, יש ל</w:t>
      </w:r>
      <w:r>
        <w:rPr>
          <w:rFonts w:ascii="David" w:hAnsi="David" w:cs="David" w:hint="cs"/>
          <w:sz w:val="26"/>
          <w:szCs w:val="26"/>
          <w:rtl/>
        </w:rPr>
        <w:t xml:space="preserve">בחון </w:t>
      </w:r>
      <w:r>
        <w:rPr>
          <w:rFonts w:ascii="David" w:hAnsi="David" w:cs="David"/>
          <w:sz w:val="26"/>
          <w:szCs w:val="26"/>
          <w:rtl/>
        </w:rPr>
        <w:t xml:space="preserve">תחילה </w:t>
      </w:r>
      <w:r>
        <w:rPr>
          <w:rFonts w:ascii="David" w:hAnsi="David" w:cs="David" w:hint="cs"/>
          <w:sz w:val="26"/>
          <w:szCs w:val="26"/>
          <w:rtl/>
        </w:rPr>
        <w:t xml:space="preserve">האם </w:t>
      </w:r>
      <w:r>
        <w:rPr>
          <w:rFonts w:ascii="David" w:hAnsi="David" w:cs="David"/>
          <w:sz w:val="26"/>
          <w:szCs w:val="26"/>
          <w:rtl/>
        </w:rPr>
        <w:t xml:space="preserve">סוג העבירה בה הורשע הנאשם </w:t>
      </w:r>
      <w:r>
        <w:rPr>
          <w:rFonts w:ascii="David" w:hAnsi="David" w:cs="David" w:hint="cs"/>
          <w:sz w:val="26"/>
          <w:szCs w:val="26"/>
          <w:rtl/>
        </w:rPr>
        <w:t xml:space="preserve">מאפשר את ביטול ההרשעה, </w:t>
      </w:r>
      <w:r>
        <w:rPr>
          <w:rFonts w:ascii="David" w:hAnsi="David" w:cs="David"/>
          <w:sz w:val="26"/>
          <w:szCs w:val="26"/>
          <w:rtl/>
        </w:rPr>
        <w:t>ולאחר מכן לבחון את מידת הפגיעה בהליכי שיקומו</w:t>
      </w:r>
      <w:r>
        <w:rPr>
          <w:rFonts w:ascii="David" w:hAnsi="David" w:cs="David" w:hint="cs"/>
          <w:sz w:val="26"/>
          <w:szCs w:val="26"/>
          <w:rtl/>
        </w:rPr>
        <w:t xml:space="preserve"> של הנאשם</w:t>
      </w:r>
      <w:r>
        <w:rPr>
          <w:rFonts w:ascii="David" w:hAnsi="David" w:cs="David"/>
          <w:sz w:val="26"/>
          <w:szCs w:val="26"/>
          <w:rtl/>
        </w:rPr>
        <w:t>.</w:t>
      </w:r>
    </w:p>
    <w:p w14:paraId="60D38D6F" w14:textId="77777777" w:rsidR="00DB7887" w:rsidRDefault="00DB7887" w:rsidP="00DB7887">
      <w:pPr>
        <w:spacing w:after="160" w:line="360" w:lineRule="auto"/>
        <w:ind w:left="360"/>
        <w:jc w:val="both"/>
        <w:rPr>
          <w:rFonts w:ascii="David" w:hAnsi="David"/>
          <w:b/>
          <w:bCs/>
          <w:sz w:val="26"/>
          <w:szCs w:val="26"/>
          <w:rtl/>
        </w:rPr>
      </w:pPr>
    </w:p>
    <w:p w14:paraId="2EE5B3F7" w14:textId="77777777" w:rsidR="00DB7887" w:rsidRDefault="00DB7887" w:rsidP="00DB7887">
      <w:pPr>
        <w:spacing w:after="160" w:line="360" w:lineRule="auto"/>
        <w:ind w:left="360"/>
        <w:jc w:val="both"/>
        <w:rPr>
          <w:rFonts w:ascii="David" w:hAnsi="David"/>
          <w:b/>
          <w:bCs/>
          <w:sz w:val="26"/>
          <w:szCs w:val="26"/>
          <w:rtl/>
        </w:rPr>
      </w:pPr>
    </w:p>
    <w:p w14:paraId="3D35E000" w14:textId="77777777" w:rsidR="00DB7887" w:rsidRPr="0028692D" w:rsidRDefault="00DB7887" w:rsidP="00DB7887">
      <w:pPr>
        <w:spacing w:after="160" w:line="360" w:lineRule="auto"/>
        <w:ind w:left="360"/>
        <w:jc w:val="both"/>
        <w:rPr>
          <w:rFonts w:ascii="David" w:hAnsi="David"/>
          <w:b/>
          <w:bCs/>
          <w:sz w:val="26"/>
          <w:szCs w:val="26"/>
        </w:rPr>
      </w:pPr>
      <w:r w:rsidRPr="0028692D">
        <w:rPr>
          <w:rFonts w:ascii="David" w:hAnsi="David" w:hint="cs"/>
          <w:b/>
          <w:bCs/>
          <w:sz w:val="26"/>
          <w:szCs w:val="26"/>
          <w:rtl/>
        </w:rPr>
        <w:t>סוג העבירה</w:t>
      </w:r>
    </w:p>
    <w:p w14:paraId="56DF2E99" w14:textId="77777777" w:rsidR="00DB7887" w:rsidRDefault="00DB7887" w:rsidP="00DB7887">
      <w:pPr>
        <w:pStyle w:val="a9"/>
        <w:numPr>
          <w:ilvl w:val="0"/>
          <w:numId w:val="1"/>
        </w:numPr>
        <w:spacing w:after="160" w:line="360" w:lineRule="auto"/>
        <w:jc w:val="both"/>
        <w:rPr>
          <w:rFonts w:ascii="David" w:hAnsi="David" w:cs="David"/>
          <w:sz w:val="26"/>
          <w:szCs w:val="26"/>
        </w:rPr>
      </w:pPr>
      <w:r>
        <w:rPr>
          <w:rFonts w:ascii="David" w:hAnsi="David" w:cs="David" w:hint="cs"/>
          <w:sz w:val="26"/>
          <w:szCs w:val="26"/>
          <w:rtl/>
        </w:rPr>
        <w:t xml:space="preserve">הנאשם הורשע בשלוש עבירות של סחר בסמים, לאחר שמכר בשלוש הזדמנויות שונות לסוכנת משטרתית סם מסוג קנבוס. בהקשר זה אציין, כי מדובר בעבירות שבוצעו בסמיכות זמנים יחסית ובמכירת סם לאותה סוכנת משטרתית. אכן, עבירות של סחר בסמים הן עבירות חמורות, המחייבות ענישה הולמת.  עם זאת, כשם שלא ניתן לחסות את כלל עבירות הסחר בסמים תחת מטריה עונשית אחת, אין מקום לומר כי כל עבירות הסחר בסמים יבואו בקהל סוגי העבירות שלא ניתן יהיה לוותר על ההרשעה בעניינן. </w:t>
      </w:r>
    </w:p>
    <w:p w14:paraId="4B0B922D" w14:textId="77777777" w:rsidR="00DB7887" w:rsidRPr="004D6DCE" w:rsidRDefault="00DB7887" w:rsidP="00DB7887">
      <w:pPr>
        <w:pStyle w:val="a9"/>
        <w:rPr>
          <w:rFonts w:ascii="David" w:hAnsi="David" w:cs="David"/>
          <w:sz w:val="26"/>
          <w:szCs w:val="26"/>
          <w:rtl/>
        </w:rPr>
      </w:pPr>
    </w:p>
    <w:p w14:paraId="15F3A616" w14:textId="77777777" w:rsidR="00DB7887" w:rsidRPr="00000A20" w:rsidRDefault="00DB7887" w:rsidP="00DB7887">
      <w:pPr>
        <w:pStyle w:val="a9"/>
        <w:numPr>
          <w:ilvl w:val="0"/>
          <w:numId w:val="1"/>
        </w:numPr>
        <w:spacing w:after="160" w:line="360" w:lineRule="auto"/>
        <w:jc w:val="both"/>
        <w:rPr>
          <w:rFonts w:ascii="David" w:hAnsi="David" w:cs="David"/>
          <w:sz w:val="26"/>
          <w:szCs w:val="26"/>
        </w:rPr>
      </w:pPr>
      <w:r>
        <w:rPr>
          <w:rFonts w:ascii="David" w:hAnsi="David" w:cs="David" w:hint="cs"/>
          <w:sz w:val="26"/>
          <w:szCs w:val="26"/>
          <w:rtl/>
        </w:rPr>
        <w:t xml:space="preserve">במקרה זה, מבלי להקל ראש בעבירות שביצע הנאשם, הרי שנסיבות ביצוען אינן ברף החומרה הגבוה של עבירות הסחר בסמים. אין המדובר בנאשם שהוא סוחר סמים, </w:t>
      </w:r>
      <w:r w:rsidRPr="000A6569">
        <w:rPr>
          <w:rFonts w:ascii="David" w:hAnsi="David" w:hint="cs"/>
          <w:sz w:val="26"/>
          <w:szCs w:val="26"/>
          <w:rtl/>
        </w:rPr>
        <w:t xml:space="preserve"> </w:t>
      </w:r>
      <w:r w:rsidRPr="00000A20">
        <w:rPr>
          <w:rFonts w:ascii="David" w:hAnsi="David" w:cs="David"/>
          <w:sz w:val="26"/>
          <w:szCs w:val="26"/>
          <w:rtl/>
        </w:rPr>
        <w:t>ואשר נהג כדרך קבע לבצע עסקאות של סחר בסמים. מדובר בנאשם</w:t>
      </w:r>
      <w:r>
        <w:rPr>
          <w:rFonts w:ascii="David" w:hAnsi="David" w:cs="David" w:hint="cs"/>
          <w:sz w:val="26"/>
          <w:szCs w:val="26"/>
          <w:rtl/>
        </w:rPr>
        <w:t xml:space="preserve">, אשר ביצע את העבירות בעקבות פנייה של סוכנת משטרתית אליו ומכר לה סמים, כדי לשאת חן בעיניה, ולא מתוך מניע כלכלי. מבדיקות שערך שירות המבחן לנאשם, עולה כי הנאשם אף אינו משתמש בסמים. לכך, יש להוסיף את העובדה שהנאשם היה כבן 18 וחצי שנים בעת ביצוע העבירות וכן את ה סוג הסם שאינו במדרג הגבוה של הסמים המסוכנים וכן את כמות הסם הכוללת בסך של כ-30 גרם.  </w:t>
      </w:r>
    </w:p>
    <w:p w14:paraId="3F375663" w14:textId="77777777" w:rsidR="00DB7887" w:rsidRPr="000A6569" w:rsidRDefault="00DB7887" w:rsidP="00DB7887">
      <w:pPr>
        <w:numPr>
          <w:ilvl w:val="0"/>
          <w:numId w:val="1"/>
        </w:numPr>
        <w:spacing w:after="160" w:line="360" w:lineRule="auto"/>
        <w:contextualSpacing/>
        <w:jc w:val="both"/>
        <w:rPr>
          <w:rFonts w:ascii="David" w:hAnsi="David"/>
          <w:sz w:val="26"/>
          <w:szCs w:val="26"/>
        </w:rPr>
      </w:pPr>
      <w:r>
        <w:rPr>
          <w:rFonts w:ascii="David" w:hAnsi="David" w:hint="cs"/>
          <w:sz w:val="26"/>
          <w:szCs w:val="26"/>
          <w:rtl/>
        </w:rPr>
        <w:t>הפסיקה הכירה בכך ש</w:t>
      </w:r>
      <w:r w:rsidRPr="000A6569">
        <w:rPr>
          <w:rFonts w:ascii="David" w:hAnsi="David" w:hint="cs"/>
          <w:sz w:val="26"/>
          <w:szCs w:val="26"/>
          <w:rtl/>
        </w:rPr>
        <w:t xml:space="preserve">במקרים מתאימים </w:t>
      </w:r>
      <w:r>
        <w:rPr>
          <w:rFonts w:ascii="David" w:hAnsi="David" w:hint="cs"/>
          <w:sz w:val="26"/>
          <w:szCs w:val="26"/>
          <w:rtl/>
        </w:rPr>
        <w:t xml:space="preserve">יש מקום לבטל את </w:t>
      </w:r>
      <w:r w:rsidRPr="000A6569">
        <w:rPr>
          <w:rFonts w:ascii="David" w:hAnsi="David" w:hint="cs"/>
          <w:sz w:val="26"/>
          <w:szCs w:val="26"/>
          <w:rtl/>
        </w:rPr>
        <w:t>הרשעתם של נאשמים בעבירות של סחר בסמים, גם במקרים בהם היה מדובר בעבירות שאינן נופלות בחומרתן מן העבירות בהן הורשע הנאשם</w:t>
      </w:r>
      <w:r>
        <w:rPr>
          <w:rFonts w:ascii="David" w:hAnsi="David" w:hint="cs"/>
          <w:sz w:val="26"/>
          <w:szCs w:val="26"/>
          <w:rtl/>
        </w:rPr>
        <w:t xml:space="preserve">. להלן, אסקור מספר פסקי דין: </w:t>
      </w:r>
    </w:p>
    <w:p w14:paraId="48F9D6E0" w14:textId="77777777" w:rsidR="00DB7887" w:rsidRDefault="00DB7887" w:rsidP="00DB7887">
      <w:pPr>
        <w:spacing w:line="360" w:lineRule="auto"/>
        <w:ind w:left="720"/>
        <w:jc w:val="both"/>
        <w:rPr>
          <w:sz w:val="26"/>
          <w:szCs w:val="26"/>
          <w:u w:val="single"/>
          <w:rtl/>
        </w:rPr>
      </w:pPr>
    </w:p>
    <w:p w14:paraId="33B53115" w14:textId="77777777" w:rsidR="00DB7887" w:rsidRPr="000A6569" w:rsidRDefault="00DB7887" w:rsidP="00DB7887">
      <w:pPr>
        <w:spacing w:line="360" w:lineRule="auto"/>
        <w:ind w:left="720"/>
        <w:jc w:val="both"/>
        <w:rPr>
          <w:rFonts w:ascii="David" w:hAnsi="David"/>
          <w:sz w:val="26"/>
          <w:szCs w:val="26"/>
        </w:rPr>
      </w:pPr>
      <w:r w:rsidRPr="000A6569">
        <w:rPr>
          <w:rFonts w:hint="cs"/>
          <w:sz w:val="26"/>
          <w:szCs w:val="26"/>
          <w:u w:val="single"/>
          <w:rtl/>
        </w:rPr>
        <w:t>ב</w:t>
      </w:r>
      <w:r w:rsidRPr="0024453F">
        <w:rPr>
          <w:rFonts w:ascii="David" w:hAnsi="David"/>
          <w:color w:val="000000"/>
          <w:sz w:val="26"/>
          <w:szCs w:val="26"/>
          <w:rtl/>
        </w:rPr>
        <w:t>ע</w:t>
      </w:r>
      <w:r w:rsidRPr="0024453F">
        <w:rPr>
          <w:rFonts w:ascii="David" w:hAnsi="David" w:hint="cs"/>
          <w:color w:val="000000"/>
          <w:sz w:val="26"/>
          <w:szCs w:val="26"/>
          <w:rtl/>
        </w:rPr>
        <w:t xml:space="preserve">פ"ג </w:t>
      </w:r>
      <w:r w:rsidRPr="0024453F">
        <w:rPr>
          <w:rFonts w:ascii="David" w:hAnsi="David"/>
          <w:color w:val="000000"/>
          <w:sz w:val="26"/>
          <w:szCs w:val="26"/>
          <w:rtl/>
        </w:rPr>
        <w:t xml:space="preserve">(י-ם) </w:t>
      </w:r>
      <w:hyperlink r:id="rId29" w:history="1">
        <w:r w:rsidR="00051BC4" w:rsidRPr="00051BC4">
          <w:rPr>
            <w:rFonts w:ascii="David" w:hAnsi="David"/>
            <w:color w:val="0000FF"/>
            <w:sz w:val="26"/>
            <w:szCs w:val="26"/>
            <w:u w:val="single"/>
            <w:rtl/>
          </w:rPr>
          <w:t xml:space="preserve">11045-09-18 </w:t>
        </w:r>
      </w:hyperlink>
      <w:r w:rsidRPr="00EB29F3">
        <w:rPr>
          <w:rFonts w:ascii="David" w:hAnsi="David"/>
          <w:sz w:val="26"/>
          <w:szCs w:val="26"/>
          <w:u w:val="single"/>
          <w:rtl/>
        </w:rPr>
        <w:t xml:space="preserve"> </w:t>
      </w:r>
      <w:r w:rsidRPr="00EB29F3">
        <w:rPr>
          <w:rFonts w:ascii="David" w:hAnsi="David"/>
          <w:b/>
          <w:bCs/>
          <w:sz w:val="26"/>
          <w:szCs w:val="26"/>
          <w:u w:val="single"/>
          <w:rtl/>
        </w:rPr>
        <w:t>יעקב ישראל אליאסין נ' מדינת ישראל</w:t>
      </w:r>
      <w:r w:rsidRPr="00EB29F3">
        <w:rPr>
          <w:rFonts w:ascii="David" w:hAnsi="David" w:hint="cs"/>
          <w:b/>
          <w:bCs/>
          <w:sz w:val="26"/>
          <w:szCs w:val="26"/>
          <w:u w:val="single"/>
          <w:rtl/>
        </w:rPr>
        <w:t xml:space="preserve"> </w:t>
      </w:r>
      <w:r w:rsidRPr="00EB29F3">
        <w:rPr>
          <w:rFonts w:ascii="David" w:hAnsi="David" w:hint="cs"/>
          <w:sz w:val="26"/>
          <w:szCs w:val="26"/>
          <w:u w:val="single"/>
          <w:rtl/>
        </w:rPr>
        <w:t>(3.3.2019</w:t>
      </w:r>
      <w:r w:rsidRPr="00EB29F3">
        <w:rPr>
          <w:rFonts w:ascii="David" w:hAnsi="David" w:hint="cs"/>
          <w:b/>
          <w:bCs/>
          <w:sz w:val="26"/>
          <w:szCs w:val="26"/>
          <w:u w:val="single"/>
          <w:rtl/>
        </w:rPr>
        <w:t>):</w:t>
      </w:r>
      <w:r w:rsidRPr="000A6569">
        <w:rPr>
          <w:rFonts w:ascii="David" w:hAnsi="David" w:hint="cs"/>
          <w:b/>
          <w:bCs/>
          <w:sz w:val="26"/>
          <w:szCs w:val="26"/>
          <w:rtl/>
        </w:rPr>
        <w:t xml:space="preserve"> </w:t>
      </w:r>
      <w:r w:rsidRPr="000A6569">
        <w:rPr>
          <w:rFonts w:ascii="David" w:hAnsi="David" w:hint="cs"/>
          <w:sz w:val="26"/>
          <w:szCs w:val="26"/>
          <w:rtl/>
        </w:rPr>
        <w:t xml:space="preserve">בית המשפט המחוזי קיבל את ערעורו של </w:t>
      </w:r>
      <w:r>
        <w:rPr>
          <w:rFonts w:ascii="David" w:hAnsi="David" w:hint="cs"/>
          <w:sz w:val="26"/>
          <w:szCs w:val="26"/>
          <w:rtl/>
        </w:rPr>
        <w:t xml:space="preserve">נאשם </w:t>
      </w:r>
      <w:r w:rsidRPr="000A6569">
        <w:rPr>
          <w:rFonts w:ascii="David" w:hAnsi="David"/>
          <w:sz w:val="26"/>
          <w:szCs w:val="26"/>
          <w:rtl/>
        </w:rPr>
        <w:t>שהורשע ב</w:t>
      </w:r>
      <w:r w:rsidRPr="000A6569">
        <w:rPr>
          <w:rFonts w:ascii="David" w:hAnsi="David" w:hint="cs"/>
          <w:sz w:val="26"/>
          <w:szCs w:val="26"/>
          <w:rtl/>
        </w:rPr>
        <w:t xml:space="preserve">שתי </w:t>
      </w:r>
      <w:r w:rsidRPr="000A6569">
        <w:rPr>
          <w:rFonts w:ascii="David" w:hAnsi="David"/>
          <w:sz w:val="26"/>
          <w:szCs w:val="26"/>
          <w:rtl/>
        </w:rPr>
        <w:t>עביר</w:t>
      </w:r>
      <w:r w:rsidRPr="000A6569">
        <w:rPr>
          <w:rFonts w:ascii="David" w:hAnsi="David" w:hint="cs"/>
          <w:sz w:val="26"/>
          <w:szCs w:val="26"/>
          <w:rtl/>
        </w:rPr>
        <w:t>ות</w:t>
      </w:r>
      <w:r w:rsidRPr="000A6569">
        <w:rPr>
          <w:rFonts w:ascii="David" w:hAnsi="David"/>
          <w:sz w:val="26"/>
          <w:szCs w:val="26"/>
          <w:rtl/>
        </w:rPr>
        <w:t xml:space="preserve"> של סחר בסם מסוכן בצוותא ובעבירה של עשיית עסקה אחרת בסם</w:t>
      </w:r>
      <w:r w:rsidRPr="000A6569">
        <w:rPr>
          <w:rFonts w:ascii="David" w:hAnsi="David" w:hint="cs"/>
          <w:sz w:val="26"/>
          <w:szCs w:val="26"/>
          <w:rtl/>
        </w:rPr>
        <w:t xml:space="preserve">, והורה על ביטול הרשעתו. באותו מקרה, </w:t>
      </w:r>
      <w:r w:rsidRPr="000A6569">
        <w:rPr>
          <w:rFonts w:ascii="David" w:hAnsi="David"/>
          <w:sz w:val="26"/>
          <w:szCs w:val="26"/>
          <w:rtl/>
        </w:rPr>
        <w:t xml:space="preserve"> הנאשם תיאם עם סוכן משטרתי מכירה של סם מסוג חשיש במשקל 192.01 גרם תמורת 4,800 ₪, בהזדמנות נוספת הנאשם יחד עם נאשם אחר מכר לסוכן משטרתי סם מסוג חשיש במשקל כולל של 12.3.29 גרם תמורת 2,200 ₪ ובעוד הזדמנות מכר הנאשם לסוכן 97.83 גרם סם מוג קנבוס תמורת 4,500 ₪.  בית משפט השלום </w:t>
      </w:r>
      <w:r w:rsidRPr="000A6569">
        <w:rPr>
          <w:rFonts w:ascii="David" w:hAnsi="David" w:hint="cs"/>
          <w:sz w:val="26"/>
          <w:szCs w:val="26"/>
          <w:rtl/>
        </w:rPr>
        <w:t xml:space="preserve">גזר </w:t>
      </w:r>
      <w:r w:rsidRPr="000A6569">
        <w:rPr>
          <w:rFonts w:ascii="David" w:hAnsi="David"/>
          <w:sz w:val="26"/>
          <w:szCs w:val="26"/>
          <w:rtl/>
        </w:rPr>
        <w:t>על הנאשם עונש בדמות של"צ, מאסר על תנאי פסילת רישיון וקנס. הנאשם הגיש ערעור על הרשעת</w:t>
      </w:r>
      <w:r w:rsidRPr="000A6569">
        <w:rPr>
          <w:rFonts w:ascii="David" w:hAnsi="David" w:hint="cs"/>
          <w:sz w:val="26"/>
          <w:szCs w:val="26"/>
          <w:rtl/>
        </w:rPr>
        <w:t>ו</w:t>
      </w:r>
      <w:r w:rsidRPr="000A6569">
        <w:rPr>
          <w:rFonts w:ascii="David" w:hAnsi="David"/>
          <w:sz w:val="26"/>
          <w:szCs w:val="26"/>
          <w:rtl/>
        </w:rPr>
        <w:t xml:space="preserve"> בדין וטען כי עניינו נופל בגדר המקרים החריגים והנדירים שמצדיקים הימנעות מהרשעה. ביהמ"ש המחוזי קיבל את הערעור וביטל את ההרשעה לאור הליך השיקום המשמעותי שעבר הנאשם. </w:t>
      </w:r>
    </w:p>
    <w:p w14:paraId="4928C713" w14:textId="77777777" w:rsidR="00DB7887" w:rsidRPr="000A6569" w:rsidRDefault="00DB7887" w:rsidP="00DB7887">
      <w:pPr>
        <w:spacing w:line="360" w:lineRule="auto"/>
        <w:ind w:left="720"/>
        <w:jc w:val="both"/>
        <w:rPr>
          <w:rFonts w:ascii="David" w:hAnsi="David"/>
          <w:sz w:val="26"/>
          <w:szCs w:val="26"/>
          <w:rtl/>
        </w:rPr>
      </w:pPr>
    </w:p>
    <w:p w14:paraId="3C69F294"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ב</w:t>
      </w:r>
      <w:hyperlink r:id="rId30" w:history="1">
        <w:r w:rsidR="0024453F" w:rsidRPr="0024453F">
          <w:rPr>
            <w:rFonts w:ascii="David" w:hAnsi="David"/>
            <w:color w:val="0000FF"/>
            <w:sz w:val="26"/>
            <w:szCs w:val="26"/>
            <w:u w:val="single"/>
            <w:rtl/>
          </w:rPr>
          <w:t>עפ"ג 67452-12-18</w:t>
        </w:r>
      </w:hyperlink>
      <w:r w:rsidRPr="000A6569">
        <w:rPr>
          <w:rFonts w:ascii="David" w:hAnsi="David"/>
          <w:sz w:val="26"/>
          <w:szCs w:val="26"/>
          <w:u w:val="single"/>
          <w:rtl/>
        </w:rPr>
        <w:t xml:space="preserve"> </w:t>
      </w:r>
      <w:r w:rsidRPr="000A6569">
        <w:rPr>
          <w:rFonts w:ascii="David" w:hAnsi="David"/>
          <w:b/>
          <w:bCs/>
          <w:sz w:val="26"/>
          <w:szCs w:val="26"/>
          <w:u w:val="single"/>
          <w:rtl/>
        </w:rPr>
        <w:t>מדינת ישראל נגד מתן בוזגלו</w:t>
      </w:r>
      <w:r w:rsidRPr="000A6569">
        <w:rPr>
          <w:rFonts w:ascii="David" w:hAnsi="David"/>
          <w:sz w:val="26"/>
          <w:szCs w:val="26"/>
          <w:u w:val="single"/>
          <w:rtl/>
        </w:rPr>
        <w:t xml:space="preserve"> (</w:t>
      </w:r>
      <w:r w:rsidRPr="000A6569">
        <w:rPr>
          <w:rFonts w:ascii="David" w:hAnsi="David" w:hint="cs"/>
          <w:sz w:val="26"/>
          <w:szCs w:val="26"/>
          <w:u w:val="single"/>
          <w:rtl/>
        </w:rPr>
        <w:t>7.4.2019</w:t>
      </w:r>
      <w:r w:rsidRPr="000A6569">
        <w:rPr>
          <w:rFonts w:ascii="David" w:hAnsi="David"/>
          <w:sz w:val="26"/>
          <w:szCs w:val="26"/>
          <w:rtl/>
        </w:rPr>
        <w:t>)</w:t>
      </w:r>
      <w:r w:rsidRPr="000A6569">
        <w:rPr>
          <w:rFonts w:ascii="David" w:hAnsi="David" w:hint="cs"/>
          <w:sz w:val="26"/>
          <w:szCs w:val="26"/>
          <w:rtl/>
        </w:rPr>
        <w:t>:</w:t>
      </w:r>
      <w:r w:rsidRPr="000A6569">
        <w:rPr>
          <w:rFonts w:ascii="David" w:hAnsi="David"/>
          <w:sz w:val="26"/>
          <w:szCs w:val="26"/>
          <w:rtl/>
        </w:rPr>
        <w:t xml:space="preserve"> הנאשם </w:t>
      </w:r>
      <w:r w:rsidRPr="000A6569">
        <w:rPr>
          <w:rFonts w:ascii="David" w:hAnsi="David" w:hint="cs"/>
          <w:sz w:val="26"/>
          <w:szCs w:val="26"/>
          <w:rtl/>
        </w:rPr>
        <w:t xml:space="preserve">הורשע </w:t>
      </w:r>
      <w:r w:rsidRPr="000A6569">
        <w:rPr>
          <w:rFonts w:ascii="David" w:hAnsi="David"/>
          <w:sz w:val="26"/>
          <w:szCs w:val="26"/>
          <w:rtl/>
        </w:rPr>
        <w:t xml:space="preserve">בשני כתבי אישום בעבירות של החזקת סמים לצריכה עצמית, בהספקת סם מסוכן ובסחר בסם מסוכן. </w:t>
      </w:r>
      <w:r w:rsidRPr="000A6569">
        <w:rPr>
          <w:rFonts w:ascii="David" w:hAnsi="David" w:hint="cs"/>
          <w:sz w:val="26"/>
          <w:szCs w:val="26"/>
          <w:rtl/>
        </w:rPr>
        <w:t xml:space="preserve">באותו מקרה, הנאשם </w:t>
      </w:r>
      <w:r w:rsidRPr="000A6569">
        <w:rPr>
          <w:rFonts w:ascii="David" w:hAnsi="David"/>
          <w:sz w:val="26"/>
          <w:szCs w:val="26"/>
          <w:rtl/>
        </w:rPr>
        <w:t xml:space="preserve">סיפק סמים לסוכן משטרתי. בהמשך בוצעו 3 עסקאות סחר בסמים נוספות לסוכן (בכמויות גדולות יחסית ובתמורה לסכומי כספים לא מבוטלים). </w:t>
      </w:r>
      <w:r w:rsidRPr="000A6569">
        <w:rPr>
          <w:rFonts w:ascii="David" w:hAnsi="David" w:hint="cs"/>
          <w:sz w:val="26"/>
          <w:szCs w:val="26"/>
          <w:rtl/>
        </w:rPr>
        <w:t>בית משפט השלום הורה על ביטול הרשעתו של הנאשם והטיל עליו של"צ בהיקף של 420 שעות והתחייבות. ערעור המדינה על ביטול ההרשעה נדחה, תוך ש</w:t>
      </w:r>
      <w:r w:rsidRPr="000A6569">
        <w:rPr>
          <w:rFonts w:ascii="David" w:hAnsi="David"/>
          <w:sz w:val="26"/>
          <w:szCs w:val="26"/>
          <w:rtl/>
        </w:rPr>
        <w:t xml:space="preserve">בית המשפט המחוזי קבע כי: </w:t>
      </w:r>
    </w:p>
    <w:p w14:paraId="478BE6F7" w14:textId="77777777" w:rsidR="00DB7887" w:rsidRPr="000A6569" w:rsidRDefault="00DB7887" w:rsidP="00DB7887">
      <w:pPr>
        <w:spacing w:line="360" w:lineRule="auto"/>
        <w:ind w:left="1800"/>
        <w:jc w:val="both"/>
        <w:rPr>
          <w:rFonts w:ascii="David" w:hAnsi="David"/>
          <w:sz w:val="26"/>
          <w:szCs w:val="26"/>
          <w:rtl/>
        </w:rPr>
      </w:pPr>
      <w:r w:rsidRPr="000A6569">
        <w:rPr>
          <w:rFonts w:ascii="David" w:hAnsi="David"/>
          <w:b/>
          <w:bCs/>
          <w:sz w:val="26"/>
          <w:szCs w:val="26"/>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 במקרה שלפנינו, המשיב הודה בביצוע העבירות, המשיב שומר על ניקיון מסמים. המשיב השקיע מאמצים גם בתחום התעסוקתי, החל ללמוד תיווך מקרקעין, עבר את הבחינה המסכמת, למד קורס בשיווק נדל"ן ולימודי העשרה באנגלית ואף התנדב בקביעות באגודה למלחמה בסרטן. בנסיבות דנן התנהלותו של המשיב מלמדת כי הוא עלה על הפסים הנכונים ועבר הליך שיקומי לאורך זמן, באופן המעיד על שיקום ממשי. לפיכך, ונוכח גילו הצעיר של המשיב בעת ביצוע העבירות, ואף אם בית משפט קמא מצא לנכון להקל עם המשיב, לא מצאנו מקום להתערב בביטול הרשעתו של המשיב בבית משפט קמא, וכך גם לגבי העונשים שהוטלו עליו"</w:t>
      </w:r>
      <w:r w:rsidRPr="000A6569">
        <w:rPr>
          <w:rFonts w:ascii="David" w:hAnsi="David"/>
          <w:sz w:val="26"/>
          <w:szCs w:val="26"/>
          <w:rtl/>
        </w:rPr>
        <w:t>.</w:t>
      </w:r>
    </w:p>
    <w:p w14:paraId="5D286B58" w14:textId="77777777" w:rsidR="00DB7887" w:rsidRPr="000A6569" w:rsidRDefault="00DB7887" w:rsidP="00DB7887">
      <w:pPr>
        <w:spacing w:line="360" w:lineRule="auto"/>
        <w:ind w:left="720"/>
        <w:jc w:val="both"/>
        <w:rPr>
          <w:rFonts w:ascii="David" w:hAnsi="David"/>
          <w:sz w:val="26"/>
          <w:szCs w:val="26"/>
          <w:rtl/>
        </w:rPr>
      </w:pPr>
    </w:p>
    <w:p w14:paraId="72AAF219"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sz w:val="26"/>
          <w:szCs w:val="26"/>
          <w:rtl/>
        </w:rPr>
        <w:t>ב</w:t>
      </w:r>
      <w:hyperlink r:id="rId31" w:history="1">
        <w:r w:rsidR="0024453F" w:rsidRPr="0024453F">
          <w:rPr>
            <w:rFonts w:ascii="David" w:hAnsi="David"/>
            <w:color w:val="0000FF"/>
            <w:sz w:val="26"/>
            <w:szCs w:val="26"/>
            <w:u w:val="single"/>
            <w:rtl/>
          </w:rPr>
          <w:t>עפ"ג (חיפה)   28110-10-15</w:t>
        </w:r>
      </w:hyperlink>
      <w:r w:rsidRPr="000A6569">
        <w:rPr>
          <w:rFonts w:ascii="David" w:hAnsi="David"/>
          <w:sz w:val="26"/>
          <w:szCs w:val="26"/>
          <w:u w:val="single"/>
          <w:rtl/>
        </w:rPr>
        <w:t xml:space="preserve"> </w:t>
      </w:r>
      <w:r w:rsidRPr="000A6569">
        <w:rPr>
          <w:rFonts w:ascii="David" w:hAnsi="David"/>
          <w:b/>
          <w:bCs/>
          <w:sz w:val="26"/>
          <w:szCs w:val="26"/>
          <w:u w:val="single"/>
          <w:rtl/>
        </w:rPr>
        <w:t>מדינת ישראל נגד עידן דוד</w:t>
      </w:r>
      <w:r w:rsidRPr="000A6569">
        <w:rPr>
          <w:rFonts w:ascii="David" w:hAnsi="David"/>
          <w:sz w:val="26"/>
          <w:szCs w:val="26"/>
          <w:u w:val="single"/>
          <w:rtl/>
        </w:rPr>
        <w:t xml:space="preserve"> (</w:t>
      </w:r>
      <w:r w:rsidRPr="000A6569">
        <w:rPr>
          <w:rFonts w:ascii="David" w:hAnsi="David" w:hint="cs"/>
          <w:sz w:val="26"/>
          <w:szCs w:val="26"/>
          <w:u w:val="single"/>
          <w:rtl/>
        </w:rPr>
        <w:t>17.12.2015</w:t>
      </w:r>
      <w:r w:rsidRPr="000A6569">
        <w:rPr>
          <w:rFonts w:ascii="David" w:hAnsi="David"/>
          <w:sz w:val="26"/>
          <w:szCs w:val="26"/>
          <w:rtl/>
        </w:rPr>
        <w:t>)</w:t>
      </w:r>
      <w:r w:rsidRPr="000A6569">
        <w:rPr>
          <w:rFonts w:ascii="David" w:hAnsi="David" w:hint="cs"/>
          <w:sz w:val="26"/>
          <w:szCs w:val="26"/>
          <w:rtl/>
        </w:rPr>
        <w:t>:</w:t>
      </w:r>
      <w:r w:rsidRPr="000A6569">
        <w:rPr>
          <w:rFonts w:ascii="David" w:hAnsi="David"/>
          <w:sz w:val="26"/>
          <w:szCs w:val="26"/>
          <w:rtl/>
        </w:rPr>
        <w:t xml:space="preserve"> נדון עניינו של נאשם שהודה בעבירות של גידול סמים ובית משפט השלום נמנע מהרשעתו. </w:t>
      </w:r>
      <w:r w:rsidRPr="000A6569">
        <w:rPr>
          <w:rFonts w:ascii="David" w:hAnsi="David" w:hint="cs"/>
          <w:sz w:val="26"/>
          <w:szCs w:val="26"/>
          <w:rtl/>
        </w:rPr>
        <w:t xml:space="preserve">מדובר </w:t>
      </w:r>
      <w:r w:rsidRPr="000A6569">
        <w:rPr>
          <w:rFonts w:ascii="David" w:hAnsi="David"/>
          <w:sz w:val="26"/>
          <w:szCs w:val="26"/>
          <w:rtl/>
        </w:rPr>
        <w:t xml:space="preserve">היה </w:t>
      </w:r>
      <w:r w:rsidRPr="000A6569">
        <w:rPr>
          <w:rFonts w:ascii="David" w:hAnsi="David" w:hint="cs"/>
          <w:sz w:val="26"/>
          <w:szCs w:val="26"/>
          <w:rtl/>
        </w:rPr>
        <w:t>בג</w:t>
      </w:r>
      <w:r w:rsidRPr="000A6569">
        <w:rPr>
          <w:rFonts w:ascii="David" w:hAnsi="David"/>
          <w:sz w:val="26"/>
          <w:szCs w:val="26"/>
          <w:rtl/>
        </w:rPr>
        <w:t>ידול סמים מסוג קנביס במשקל ש</w:t>
      </w:r>
      <w:r w:rsidRPr="000A6569">
        <w:rPr>
          <w:rFonts w:ascii="David" w:hAnsi="David" w:hint="cs"/>
          <w:sz w:val="26"/>
          <w:szCs w:val="26"/>
          <w:rtl/>
        </w:rPr>
        <w:t>ל</w:t>
      </w:r>
      <w:r w:rsidRPr="000A6569">
        <w:rPr>
          <w:rFonts w:ascii="David" w:hAnsi="David"/>
          <w:sz w:val="26"/>
          <w:szCs w:val="26"/>
          <w:rtl/>
        </w:rPr>
        <w:t xml:space="preserve"> 3,600 גרם (21 שתילים) בתוך מעבדה מצוידת היטב. בית המשפט המחוזי הותיר את ההחלטה להימנע מהרשעה על כנה, תוך שציין את מסקנות שירות המבחן, המלצתם החיובית, שיקומו של הנאשם, ואפשרות הפגיעה הממשית בסיכויו לחזור לעבוד בנמל חיפה ככל שיורשע. </w:t>
      </w:r>
    </w:p>
    <w:p w14:paraId="23168ED6" w14:textId="77777777" w:rsidR="00DB7887" w:rsidRPr="000A6569" w:rsidRDefault="00DB7887" w:rsidP="00DB7887">
      <w:pPr>
        <w:spacing w:line="360" w:lineRule="auto"/>
        <w:ind w:left="720"/>
        <w:jc w:val="both"/>
        <w:rPr>
          <w:rFonts w:ascii="David" w:hAnsi="David"/>
          <w:sz w:val="26"/>
          <w:szCs w:val="26"/>
          <w:rtl/>
        </w:rPr>
      </w:pPr>
    </w:p>
    <w:p w14:paraId="337274FF" w14:textId="77777777" w:rsidR="00DB7887" w:rsidRPr="000A6569" w:rsidRDefault="00DB7887" w:rsidP="00DB7887">
      <w:pPr>
        <w:spacing w:line="360" w:lineRule="auto"/>
        <w:ind w:left="720"/>
        <w:jc w:val="both"/>
        <w:rPr>
          <w:rFonts w:ascii="David" w:hAnsi="David"/>
          <w:sz w:val="26"/>
          <w:szCs w:val="26"/>
          <w:rtl/>
        </w:rPr>
      </w:pPr>
      <w:r w:rsidRPr="000A6569">
        <w:rPr>
          <w:rFonts w:ascii="David" w:hAnsi="David" w:hint="cs"/>
          <w:sz w:val="26"/>
          <w:szCs w:val="26"/>
          <w:u w:val="single"/>
          <w:rtl/>
        </w:rPr>
        <w:t>ב</w:t>
      </w:r>
      <w:r w:rsidRPr="000A6569">
        <w:rPr>
          <w:rFonts w:ascii="David" w:hAnsi="David"/>
          <w:sz w:val="26"/>
          <w:szCs w:val="26"/>
          <w:u w:val="single"/>
          <w:rtl/>
        </w:rPr>
        <w:t>עפ"ג</w:t>
      </w:r>
      <w:r w:rsidRPr="000A6569">
        <w:rPr>
          <w:rFonts w:ascii="David" w:hAnsi="David" w:hint="cs"/>
          <w:sz w:val="26"/>
          <w:szCs w:val="26"/>
          <w:u w:val="single"/>
          <w:rtl/>
        </w:rPr>
        <w:t xml:space="preserve"> (י-ם)</w:t>
      </w:r>
      <w:r w:rsidRPr="000A6569">
        <w:rPr>
          <w:rFonts w:ascii="David" w:hAnsi="David"/>
          <w:sz w:val="26"/>
          <w:szCs w:val="26"/>
          <w:u w:val="single"/>
          <w:rtl/>
        </w:rPr>
        <w:t xml:space="preserve"> </w:t>
      </w:r>
      <w:hyperlink r:id="rId32" w:history="1">
        <w:r w:rsidR="00051BC4" w:rsidRPr="00051BC4">
          <w:rPr>
            <w:rFonts w:ascii="David" w:hAnsi="David"/>
            <w:color w:val="0000FF"/>
            <w:sz w:val="26"/>
            <w:szCs w:val="26"/>
            <w:u w:val="single"/>
            <w:rtl/>
          </w:rPr>
          <w:t xml:space="preserve">33947-10-17 </w:t>
        </w:r>
      </w:hyperlink>
      <w:r w:rsidRPr="000A6569">
        <w:rPr>
          <w:rFonts w:ascii="David" w:hAnsi="David" w:hint="cs"/>
          <w:sz w:val="26"/>
          <w:szCs w:val="26"/>
          <w:u w:val="single"/>
          <w:rtl/>
        </w:rPr>
        <w:t xml:space="preserve"> </w:t>
      </w:r>
      <w:r w:rsidRPr="000A6569">
        <w:rPr>
          <w:rFonts w:ascii="David" w:hAnsi="David"/>
          <w:b/>
          <w:bCs/>
          <w:sz w:val="26"/>
          <w:szCs w:val="26"/>
          <w:u w:val="single"/>
          <w:rtl/>
        </w:rPr>
        <w:t>מדינת ישראל נגד שלמה קרוקוצקי</w:t>
      </w:r>
      <w:r w:rsidRPr="000A6569">
        <w:rPr>
          <w:rFonts w:ascii="David" w:hAnsi="David"/>
          <w:sz w:val="26"/>
          <w:szCs w:val="26"/>
          <w:u w:val="single"/>
          <w:rtl/>
        </w:rPr>
        <w:t xml:space="preserve"> (</w:t>
      </w:r>
      <w:r w:rsidRPr="000A6569">
        <w:rPr>
          <w:rFonts w:ascii="David" w:hAnsi="David" w:hint="cs"/>
          <w:sz w:val="26"/>
          <w:szCs w:val="26"/>
          <w:u w:val="single"/>
          <w:rtl/>
        </w:rPr>
        <w:t>20.3.2018</w:t>
      </w:r>
      <w:r w:rsidRPr="000A6569">
        <w:rPr>
          <w:rFonts w:ascii="David" w:hAnsi="David"/>
          <w:sz w:val="26"/>
          <w:szCs w:val="26"/>
          <w:u w:val="single"/>
          <w:rtl/>
        </w:rPr>
        <w:t>)</w:t>
      </w:r>
      <w:r w:rsidRPr="000A6569">
        <w:rPr>
          <w:rFonts w:ascii="David" w:hAnsi="David"/>
          <w:sz w:val="26"/>
          <w:szCs w:val="26"/>
          <w:rtl/>
        </w:rPr>
        <w:t xml:space="preserve">: </w:t>
      </w:r>
      <w:r w:rsidRPr="000A6569">
        <w:rPr>
          <w:rFonts w:ascii="David" w:hAnsi="David" w:hint="cs"/>
          <w:sz w:val="26"/>
          <w:szCs w:val="26"/>
          <w:rtl/>
        </w:rPr>
        <w:t>היה מדובר ב</w:t>
      </w:r>
      <w:r w:rsidRPr="000A6569">
        <w:rPr>
          <w:rFonts w:ascii="David" w:hAnsi="David"/>
          <w:sz w:val="26"/>
          <w:szCs w:val="26"/>
          <w:rtl/>
        </w:rPr>
        <w:t xml:space="preserve">נאשם </w:t>
      </w:r>
      <w:r w:rsidRPr="000A6569">
        <w:rPr>
          <w:rFonts w:ascii="David" w:hAnsi="David" w:hint="cs"/>
          <w:sz w:val="26"/>
          <w:szCs w:val="26"/>
          <w:rtl/>
        </w:rPr>
        <w:t>ש</w:t>
      </w:r>
      <w:r w:rsidRPr="000A6569">
        <w:rPr>
          <w:rFonts w:ascii="David" w:hAnsi="David"/>
          <w:sz w:val="26"/>
          <w:szCs w:val="26"/>
          <w:rtl/>
        </w:rPr>
        <w:t>הורשע ב- 6 עבירות של סחר בסמים ו</w:t>
      </w:r>
      <w:r w:rsidRPr="000A6569">
        <w:rPr>
          <w:rFonts w:ascii="David" w:hAnsi="David" w:hint="cs"/>
          <w:sz w:val="26"/>
          <w:szCs w:val="26"/>
          <w:rtl/>
        </w:rPr>
        <w:t xml:space="preserve">בעבירה של </w:t>
      </w:r>
      <w:r w:rsidRPr="000A6569">
        <w:rPr>
          <w:rFonts w:ascii="David" w:hAnsi="David"/>
          <w:sz w:val="26"/>
          <w:szCs w:val="26"/>
          <w:rtl/>
        </w:rPr>
        <w:t xml:space="preserve">החזקת סם. בית משפט השלום ביטל את הרשעתו של הנאשם. ערעור המדינה כנגד ביטול ההרשעה נדחה, תוך שבית המשפט ציין: </w:t>
      </w:r>
    </w:p>
    <w:p w14:paraId="48FF1887" w14:textId="77777777" w:rsidR="00DB7887" w:rsidRPr="000A6569" w:rsidRDefault="00DB7887" w:rsidP="00DB7887">
      <w:pPr>
        <w:spacing w:line="360" w:lineRule="auto"/>
        <w:ind w:left="1800"/>
        <w:jc w:val="both"/>
        <w:rPr>
          <w:rFonts w:ascii="David" w:hAnsi="David"/>
          <w:b/>
          <w:bCs/>
          <w:sz w:val="26"/>
          <w:szCs w:val="26"/>
          <w:rtl/>
        </w:rPr>
      </w:pPr>
      <w:r w:rsidRPr="000A6569">
        <w:rPr>
          <w:rFonts w:ascii="David" w:hAnsi="David"/>
          <w:b/>
          <w:bCs/>
          <w:sz w:val="26"/>
          <w:szCs w:val="26"/>
          <w:rtl/>
        </w:rPr>
        <w:t xml:space="preserve">"אכן, מדובר בעבירות סחר בסם מסוכן. עם זאת, מדובר בעבירות שנעשו על פני פרק זמן קצר, בסמים קלים. ברגיל, בהעדר נסיבות מיוחדות או חריגות, וחרף שמדובר בבחור צעיר ללא הרשעות קודמות, לא היה מקום להימנע מהרשעה. יחד עם זאת, ובעיקר לאור הליך השיקום הארוך והמוצלח אותו עבר המשיב, הליך אותו ליווה בית משפט קמא באורח צמוד, ביצוע העבירות על רקע משברי ונראה כי מדובר באירוע חולף, שקלול כלל הנתונים מוליך למסקנה כי לא מצאנו שנפלה טעות בהחלטתו של בית משפט קמא". </w:t>
      </w:r>
    </w:p>
    <w:p w14:paraId="7D5CCE3A" w14:textId="77777777" w:rsidR="00DB7887" w:rsidRPr="000A6569" w:rsidRDefault="00DB7887" w:rsidP="00DB7887">
      <w:pPr>
        <w:spacing w:line="360" w:lineRule="auto"/>
        <w:ind w:left="720"/>
        <w:jc w:val="both"/>
        <w:rPr>
          <w:sz w:val="26"/>
          <w:szCs w:val="26"/>
          <w:u w:val="single"/>
          <w:rtl/>
        </w:rPr>
      </w:pPr>
    </w:p>
    <w:p w14:paraId="6C608971" w14:textId="77777777" w:rsidR="00DB7887" w:rsidRPr="000A6569" w:rsidRDefault="00DB7887" w:rsidP="00DB7887">
      <w:pPr>
        <w:spacing w:line="360" w:lineRule="auto"/>
        <w:ind w:left="720"/>
        <w:jc w:val="both"/>
        <w:rPr>
          <w:sz w:val="26"/>
          <w:szCs w:val="26"/>
          <w:rtl/>
        </w:rPr>
      </w:pPr>
      <w:r w:rsidRPr="000A6569">
        <w:rPr>
          <w:rFonts w:hint="cs"/>
          <w:sz w:val="26"/>
          <w:szCs w:val="26"/>
          <w:u w:val="single"/>
          <w:rtl/>
        </w:rPr>
        <w:t>ב</w:t>
      </w:r>
      <w:hyperlink r:id="rId33" w:history="1">
        <w:r w:rsidR="0024453F" w:rsidRPr="0024453F">
          <w:rPr>
            <w:color w:val="0000FF"/>
            <w:sz w:val="26"/>
            <w:szCs w:val="26"/>
            <w:u w:val="single"/>
            <w:rtl/>
          </w:rPr>
          <w:t>עפ"ג (ת"א) 33377-03-20</w:t>
        </w:r>
      </w:hyperlink>
      <w:r w:rsidRPr="000A6569">
        <w:rPr>
          <w:sz w:val="26"/>
          <w:szCs w:val="26"/>
          <w:u w:val="single"/>
          <w:rtl/>
        </w:rPr>
        <w:t xml:space="preserve"> </w:t>
      </w:r>
      <w:r w:rsidRPr="000A6569">
        <w:rPr>
          <w:b/>
          <w:bCs/>
          <w:sz w:val="26"/>
          <w:szCs w:val="26"/>
          <w:u w:val="single"/>
          <w:rtl/>
        </w:rPr>
        <w:t>מדינת ישראל נ' אלשיך</w:t>
      </w:r>
      <w:r w:rsidRPr="000A6569">
        <w:rPr>
          <w:rFonts w:hint="cs"/>
          <w:sz w:val="26"/>
          <w:szCs w:val="26"/>
          <w:u w:val="single"/>
          <w:rtl/>
        </w:rPr>
        <w:t xml:space="preserve"> (16.12.2020)</w:t>
      </w:r>
      <w:r w:rsidRPr="000A6569">
        <w:rPr>
          <w:rFonts w:hint="cs"/>
          <w:sz w:val="26"/>
          <w:szCs w:val="26"/>
          <w:rtl/>
        </w:rPr>
        <w:t xml:space="preserve">: מדובר היה בנאשמת שהורשעה </w:t>
      </w:r>
      <w:r w:rsidRPr="000A6569">
        <w:rPr>
          <w:rFonts w:ascii="David" w:hAnsi="David" w:hint="cs"/>
          <w:sz w:val="26"/>
          <w:szCs w:val="26"/>
          <w:rtl/>
        </w:rPr>
        <w:t xml:space="preserve">בעבירה של </w:t>
      </w:r>
      <w:r w:rsidRPr="000A6569">
        <w:rPr>
          <w:rFonts w:ascii="David" w:hAnsi="David"/>
          <w:sz w:val="26"/>
          <w:szCs w:val="26"/>
          <w:rtl/>
        </w:rPr>
        <w:t xml:space="preserve"> החזקת סם מסוכן שלא לצריכה עצמית (ו</w:t>
      </w:r>
      <w:r w:rsidRPr="000A6569">
        <w:rPr>
          <w:rFonts w:ascii="David" w:hAnsi="David" w:hint="cs"/>
          <w:sz w:val="26"/>
          <w:szCs w:val="26"/>
          <w:rtl/>
        </w:rPr>
        <w:t>ב</w:t>
      </w:r>
      <w:r w:rsidRPr="000A6569">
        <w:rPr>
          <w:rFonts w:ascii="David" w:hAnsi="David"/>
          <w:sz w:val="26"/>
          <w:szCs w:val="26"/>
          <w:rtl/>
        </w:rPr>
        <w:t xml:space="preserve">שתי עבירות של </w:t>
      </w:r>
      <w:r w:rsidRPr="000A6569">
        <w:rPr>
          <w:rFonts w:ascii="David" w:hAnsi="David" w:hint="cs"/>
          <w:sz w:val="26"/>
          <w:szCs w:val="26"/>
          <w:rtl/>
        </w:rPr>
        <w:t>סיוע ל</w:t>
      </w:r>
      <w:r w:rsidRPr="000A6569">
        <w:rPr>
          <w:rFonts w:ascii="David" w:hAnsi="David"/>
          <w:sz w:val="26"/>
          <w:szCs w:val="26"/>
          <w:rtl/>
        </w:rPr>
        <w:t>סחר בסם מסוכן</w:t>
      </w:r>
      <w:r w:rsidRPr="000A6569">
        <w:rPr>
          <w:rFonts w:ascii="David" w:hAnsi="David" w:hint="cs"/>
          <w:sz w:val="26"/>
          <w:szCs w:val="26"/>
          <w:rtl/>
        </w:rPr>
        <w:t xml:space="preserve">. בית משפט השלום הורה על ביטול הרשעת הנאשמת משיקולי שיקום. ערעור המדינה לבית המשפט המחוזי על ביטול ההרשעה נדחה. </w:t>
      </w:r>
    </w:p>
    <w:p w14:paraId="4E85B65A" w14:textId="77777777" w:rsidR="00DB7887" w:rsidRDefault="00DB7887" w:rsidP="00DB7887">
      <w:pPr>
        <w:pStyle w:val="a9"/>
        <w:numPr>
          <w:ilvl w:val="0"/>
          <w:numId w:val="1"/>
        </w:numPr>
        <w:spacing w:after="160" w:line="360" w:lineRule="auto"/>
        <w:jc w:val="both"/>
        <w:rPr>
          <w:rFonts w:ascii="David" w:hAnsi="David" w:cs="David"/>
          <w:sz w:val="26"/>
          <w:szCs w:val="26"/>
        </w:rPr>
      </w:pPr>
      <w:r>
        <w:rPr>
          <w:rFonts w:ascii="David" w:hAnsi="David" w:cs="David" w:hint="cs"/>
          <w:sz w:val="26"/>
          <w:szCs w:val="26"/>
          <w:rtl/>
        </w:rPr>
        <w:t xml:space="preserve">לאור מסקנתי, כי סוג העבירה אינו סותם את הגולל אפריורית על בחינת היתכנות ביטול הרשעת הנאשם, הרי שיש לבחון אם ההרשעה תפגע בסיכויי שיקומו של הנאשם. </w:t>
      </w:r>
    </w:p>
    <w:p w14:paraId="7AB16FBC" w14:textId="77777777" w:rsidR="00DB7887" w:rsidRPr="0028692D" w:rsidRDefault="00DB7887" w:rsidP="00DB7887">
      <w:pPr>
        <w:tabs>
          <w:tab w:val="center" w:pos="4153"/>
          <w:tab w:val="right" w:pos="8306"/>
        </w:tabs>
        <w:spacing w:line="360" w:lineRule="auto"/>
        <w:ind w:left="360"/>
        <w:jc w:val="both"/>
        <w:rPr>
          <w:rFonts w:ascii="David" w:hAnsi="David"/>
          <w:b/>
          <w:bCs/>
          <w:sz w:val="26"/>
          <w:szCs w:val="26"/>
        </w:rPr>
      </w:pPr>
      <w:r w:rsidRPr="0028692D">
        <w:rPr>
          <w:rFonts w:ascii="David" w:hAnsi="David" w:hint="cs"/>
          <w:b/>
          <w:bCs/>
          <w:sz w:val="26"/>
          <w:szCs w:val="26"/>
          <w:rtl/>
        </w:rPr>
        <w:t>הפגיעה בשיקומו או עתידו של הנאשם</w:t>
      </w:r>
    </w:p>
    <w:p w14:paraId="041885B9" w14:textId="77777777" w:rsidR="00DB7887" w:rsidRPr="00B91233" w:rsidRDefault="00DB7887" w:rsidP="00DB7887">
      <w:pPr>
        <w:numPr>
          <w:ilvl w:val="0"/>
          <w:numId w:val="1"/>
        </w:numPr>
        <w:tabs>
          <w:tab w:val="center" w:pos="4153"/>
          <w:tab w:val="right" w:pos="8306"/>
        </w:tabs>
        <w:spacing w:line="360" w:lineRule="auto"/>
        <w:jc w:val="both"/>
        <w:rPr>
          <w:rFonts w:ascii="David" w:hAnsi="David"/>
          <w:sz w:val="26"/>
          <w:szCs w:val="26"/>
        </w:rPr>
      </w:pPr>
      <w:r w:rsidRPr="00B91233">
        <w:rPr>
          <w:rFonts w:ascii="David" w:hAnsi="David"/>
          <w:sz w:val="26"/>
          <w:szCs w:val="26"/>
          <w:rtl/>
        </w:rPr>
        <w:t xml:space="preserve">מדובר </w:t>
      </w:r>
      <w:r w:rsidRPr="00B91233">
        <w:rPr>
          <w:rFonts w:ascii="David" w:hAnsi="David" w:hint="cs"/>
          <w:sz w:val="26"/>
          <w:szCs w:val="26"/>
          <w:rtl/>
        </w:rPr>
        <w:t xml:space="preserve">בבחור שהיה כבן 18 וחצי שנים בעת ביצוע העבירות וכיום הוא בן 21 שנים. </w:t>
      </w:r>
      <w:r w:rsidRPr="00B91233">
        <w:rPr>
          <w:rFonts w:ascii="David" w:hAnsi="David"/>
          <w:sz w:val="26"/>
          <w:szCs w:val="26"/>
          <w:rtl/>
        </w:rPr>
        <w:t>ב</w:t>
      </w:r>
      <w:hyperlink r:id="rId34" w:history="1">
        <w:r w:rsidR="0024453F" w:rsidRPr="0024453F">
          <w:rPr>
            <w:rFonts w:ascii="David" w:hAnsi="David"/>
            <w:color w:val="0000FF"/>
            <w:sz w:val="26"/>
            <w:szCs w:val="26"/>
            <w:u w:val="single"/>
            <w:rtl/>
          </w:rPr>
          <w:t>ע"פ  7781/12</w:t>
        </w:r>
      </w:hyperlink>
      <w:r w:rsidRPr="00B91233">
        <w:rPr>
          <w:rFonts w:ascii="David" w:hAnsi="David"/>
          <w:sz w:val="26"/>
          <w:szCs w:val="26"/>
          <w:rtl/>
        </w:rPr>
        <w:t xml:space="preserve"> </w:t>
      </w:r>
      <w:r w:rsidRPr="00B91233">
        <w:rPr>
          <w:rFonts w:ascii="David" w:hAnsi="David"/>
          <w:bCs/>
          <w:sz w:val="26"/>
          <w:szCs w:val="26"/>
          <w:rtl/>
        </w:rPr>
        <w:t>פלוני נ' מדינת ישראל</w:t>
      </w:r>
      <w:r w:rsidRPr="00B91233">
        <w:rPr>
          <w:rFonts w:ascii="David" w:hAnsi="David"/>
          <w:sz w:val="26"/>
          <w:szCs w:val="26"/>
          <w:rtl/>
        </w:rPr>
        <w:t xml:space="preserve"> (25.6.2013) (להלן: "</w:t>
      </w:r>
      <w:r w:rsidRPr="00B91233">
        <w:rPr>
          <w:rFonts w:ascii="David" w:hAnsi="David"/>
          <w:b/>
          <w:bCs/>
          <w:sz w:val="26"/>
          <w:szCs w:val="26"/>
          <w:rtl/>
        </w:rPr>
        <w:t>עניין פלוני")</w:t>
      </w:r>
      <w:r w:rsidRPr="00B91233">
        <w:rPr>
          <w:rFonts w:ascii="David" w:hAnsi="David"/>
          <w:sz w:val="26"/>
          <w:szCs w:val="26"/>
          <w:rtl/>
        </w:rPr>
        <w:t xml:space="preserve">. עמד בית המשפט העליון המאפיינים הייחודיים של קבוצת "הבגירים צעירים", אשר ברובם דומים למאפייני קבוצת הקטינים. נפסק, כי שיקולי שיקום מובהקים בקבוצת הבגירים צעירים הרבה יותר מבגירים רגילים, דבר המחייב בחינה שונה של אוכלוסייה זו. כך, נאמר: </w:t>
      </w:r>
    </w:p>
    <w:p w14:paraId="3BCEB897" w14:textId="77777777" w:rsidR="00DB7887" w:rsidRPr="000A6569" w:rsidRDefault="00DB7887" w:rsidP="00DB7887">
      <w:pPr>
        <w:spacing w:line="360" w:lineRule="auto"/>
        <w:ind w:left="1980" w:right="1134"/>
        <w:jc w:val="both"/>
        <w:rPr>
          <w:rFonts w:ascii="David" w:hAnsi="David"/>
          <w:sz w:val="26"/>
          <w:szCs w:val="26"/>
        </w:rPr>
      </w:pPr>
      <w:r w:rsidRPr="000A6569">
        <w:rPr>
          <w:rFonts w:ascii="David" w:hAnsi="David"/>
          <w:sz w:val="26"/>
          <w:szCs w:val="26"/>
          <w:rtl/>
        </w:rPr>
        <w:t>"יש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הכל כעולה מתסקיר המבחן שיוגש בפניו בטרם גזירת העונש".</w:t>
      </w:r>
    </w:p>
    <w:p w14:paraId="048C3D0B" w14:textId="77777777" w:rsidR="00DB7887" w:rsidRPr="000A6569" w:rsidRDefault="00DB7887" w:rsidP="00DB7887">
      <w:pPr>
        <w:spacing w:line="360" w:lineRule="auto"/>
        <w:ind w:left="360"/>
        <w:jc w:val="both"/>
        <w:rPr>
          <w:rFonts w:ascii="David" w:hAnsi="David"/>
          <w:sz w:val="26"/>
          <w:szCs w:val="26"/>
          <w:rtl/>
        </w:rPr>
      </w:pPr>
    </w:p>
    <w:p w14:paraId="130E8DB7" w14:textId="77777777" w:rsidR="00DB7887" w:rsidRPr="000A6569" w:rsidRDefault="00DB7887" w:rsidP="00DB7887">
      <w:pPr>
        <w:pStyle w:val="a9"/>
        <w:numPr>
          <w:ilvl w:val="0"/>
          <w:numId w:val="1"/>
        </w:numPr>
        <w:spacing w:line="360" w:lineRule="auto"/>
        <w:jc w:val="both"/>
        <w:rPr>
          <w:rFonts w:ascii="David" w:hAnsi="David" w:cs="David"/>
          <w:sz w:val="26"/>
          <w:szCs w:val="26"/>
        </w:rPr>
      </w:pPr>
      <w:r w:rsidRPr="000A6569">
        <w:rPr>
          <w:rFonts w:ascii="David" w:hAnsi="David" w:cs="David"/>
          <w:sz w:val="26"/>
          <w:szCs w:val="26"/>
          <w:rtl/>
        </w:rPr>
        <w:t>אציין, כי פסק הדין ב</w:t>
      </w:r>
      <w:r w:rsidRPr="000A6569">
        <w:rPr>
          <w:rFonts w:ascii="David" w:hAnsi="David" w:cs="David"/>
          <w:b/>
          <w:bCs/>
          <w:sz w:val="26"/>
          <w:szCs w:val="26"/>
          <w:rtl/>
        </w:rPr>
        <w:t>עניין פלוני</w:t>
      </w:r>
      <w:r w:rsidRPr="000A6569">
        <w:rPr>
          <w:rFonts w:ascii="David" w:hAnsi="David" w:cs="David"/>
          <w:sz w:val="26"/>
          <w:szCs w:val="26"/>
          <w:rtl/>
        </w:rPr>
        <w:t xml:space="preserve"> לא יצר הקלה אוטומטית בעונשם של בגירים צעירים, אלא ביקש להוות כלי פרשני, אשר בוחן את כלל הנסיבות הייחודיות העולות במקרים בהם נדונים נאשמים בגירים צעירים. דוקטרינת הבגירים הצעירים אינה מסתכמת בבדיקת גילו הצעיר של הנאשם, אלא בוחנת את כלל מאפייניו, ההליך השיקומי שעבר ומאפייניו האישיותיים. נוכח חוסר הבהירות סביב מטרת הדוקטרינה ואופן שימושה, בחר כב' השופט ג'ובראן לחדד את פסיקתו בעניין זה, וכך עשה ב</w:t>
      </w:r>
      <w:hyperlink r:id="rId35" w:history="1">
        <w:r w:rsidR="0024453F" w:rsidRPr="0024453F">
          <w:rPr>
            <w:rFonts w:ascii="David" w:hAnsi="David" w:cs="David"/>
            <w:color w:val="0000FF"/>
            <w:sz w:val="26"/>
            <w:szCs w:val="26"/>
            <w:u w:val="single"/>
            <w:rtl/>
          </w:rPr>
          <w:t>ע"פ 2420/15</w:t>
        </w:r>
      </w:hyperlink>
      <w:r w:rsidRPr="000A6569">
        <w:rPr>
          <w:rFonts w:ascii="David" w:hAnsi="David" w:cs="David"/>
          <w:sz w:val="26"/>
          <w:szCs w:val="26"/>
          <w:rtl/>
        </w:rPr>
        <w:t xml:space="preserve"> </w:t>
      </w:r>
      <w:r w:rsidRPr="000A6569">
        <w:rPr>
          <w:rFonts w:ascii="David" w:hAnsi="David" w:cs="David"/>
          <w:b/>
          <w:bCs/>
          <w:sz w:val="26"/>
          <w:szCs w:val="26"/>
          <w:rtl/>
        </w:rPr>
        <w:t>אברהם אבטליון נ' מדינת ישראל</w:t>
      </w:r>
      <w:r w:rsidRPr="000A6569">
        <w:rPr>
          <w:rFonts w:ascii="David" w:hAnsi="David" w:cs="David"/>
          <w:sz w:val="26"/>
          <w:szCs w:val="26"/>
          <w:rtl/>
        </w:rPr>
        <w:t xml:space="preserve"> (פורסם בנבו, 29.11.15):</w:t>
      </w:r>
    </w:p>
    <w:p w14:paraId="305F5A3B" w14:textId="77777777" w:rsidR="00DB7887" w:rsidRPr="000A6569" w:rsidRDefault="00DB7887" w:rsidP="00DB7887">
      <w:pPr>
        <w:spacing w:line="360" w:lineRule="auto"/>
        <w:ind w:left="1980" w:right="1134"/>
        <w:jc w:val="both"/>
        <w:rPr>
          <w:rFonts w:ascii="David" w:hAnsi="David"/>
          <w:sz w:val="26"/>
          <w:szCs w:val="26"/>
          <w:rtl/>
        </w:rPr>
      </w:pPr>
      <w:r w:rsidRPr="000A6569">
        <w:rPr>
          <w:rFonts w:ascii="David" w:hAnsi="David"/>
          <w:sz w:val="26"/>
          <w:szCs w:val="26"/>
          <w:rtl/>
        </w:rPr>
        <w:t>"במילים אחרות, פסק הדין בעניין פלוני לא יצר עילה "פסיקתית" נפרדת להקלה בעונשם של בגירים צעירים, אלא יצק תוכן המבוסס על המאפיינים המיוחדים אשר עשויים להתקיים בקבוצה זו, לתוך הכללים הקבועים בסימן א'1 לפרק ו' ל</w:t>
      </w:r>
      <w:r w:rsidR="0024453F" w:rsidRPr="00EF401F">
        <w:rPr>
          <w:rFonts w:ascii="David" w:hAnsi="David"/>
          <w:sz w:val="26"/>
          <w:szCs w:val="26"/>
          <w:rtl/>
        </w:rPr>
        <w:t>חוק העונשין</w:t>
      </w:r>
      <w:r w:rsidRPr="000A6569">
        <w:rPr>
          <w:rFonts w:ascii="David" w:hAnsi="David"/>
          <w:sz w:val="26"/>
          <w:szCs w:val="26"/>
          <w:rtl/>
        </w:rPr>
        <w:t xml:space="preserve"> – אשר מאפשרים לייחס משמעות לגילו של נאשם, להתפתחותו, לבשלותו ולפוטנציאל השיקומי שלו בעת גזירת עונשו."</w:t>
      </w:r>
    </w:p>
    <w:p w14:paraId="55155E7A" w14:textId="77777777" w:rsidR="00DB7887" w:rsidRPr="000A6569" w:rsidRDefault="00DB7887" w:rsidP="00DB7887">
      <w:pPr>
        <w:spacing w:line="360" w:lineRule="auto"/>
        <w:ind w:left="1980" w:right="1134"/>
        <w:jc w:val="both"/>
        <w:rPr>
          <w:rFonts w:ascii="David" w:hAnsi="David"/>
          <w:sz w:val="26"/>
          <w:szCs w:val="26"/>
          <w:rtl/>
        </w:rPr>
      </w:pPr>
      <w:r w:rsidRPr="000A6569">
        <w:rPr>
          <w:rFonts w:ascii="David" w:hAnsi="David"/>
          <w:sz w:val="26"/>
          <w:szCs w:val="26"/>
          <w:rtl/>
        </w:rPr>
        <w:t>.......</w:t>
      </w:r>
    </w:p>
    <w:p w14:paraId="2FD64E61" w14:textId="77777777" w:rsidR="00DB7887" w:rsidRPr="000A6569" w:rsidRDefault="00DB7887" w:rsidP="00DB7887">
      <w:pPr>
        <w:spacing w:line="360" w:lineRule="auto"/>
        <w:ind w:left="1980" w:right="1134"/>
        <w:jc w:val="both"/>
        <w:rPr>
          <w:rFonts w:ascii="David" w:hAnsi="David"/>
          <w:sz w:val="26"/>
          <w:szCs w:val="26"/>
          <w:rtl/>
        </w:rPr>
      </w:pPr>
      <w:r w:rsidRPr="000A6569">
        <w:rPr>
          <w:rFonts w:ascii="David" w:hAnsi="David"/>
          <w:sz w:val="26"/>
          <w:szCs w:val="26"/>
          <w:rtl/>
        </w:rPr>
        <w:t>"הקלה בעונשו של בגיר צעיר לא תיעשה, אלא אם בית המשפט השתכנע על יסוד החומר המונח בפניו, כי מתקיימות בבגיר הצעיר אותן נסיבות מיוחדות העשויות להצדיק מתן הקלה מסוימת בעונשו – וזאת, במסגרת הכללים הקבועים בדין</w:t>
      </w:r>
      <w:r>
        <w:rPr>
          <w:rFonts w:ascii="David" w:hAnsi="David" w:hint="cs"/>
          <w:sz w:val="26"/>
          <w:szCs w:val="26"/>
          <w:rtl/>
        </w:rPr>
        <w:t>"</w:t>
      </w:r>
      <w:r w:rsidRPr="000A6569">
        <w:rPr>
          <w:rFonts w:ascii="David" w:hAnsi="David"/>
          <w:sz w:val="26"/>
          <w:szCs w:val="26"/>
          <w:rtl/>
        </w:rPr>
        <w:t xml:space="preserve">. </w:t>
      </w:r>
    </w:p>
    <w:p w14:paraId="4B89B3D5" w14:textId="77777777" w:rsidR="00DB7887" w:rsidRPr="000A6569" w:rsidRDefault="00DB7887" w:rsidP="00DB7887">
      <w:pPr>
        <w:spacing w:line="360" w:lineRule="auto"/>
        <w:jc w:val="both"/>
        <w:rPr>
          <w:rFonts w:ascii="David" w:hAnsi="David"/>
          <w:sz w:val="26"/>
          <w:szCs w:val="26"/>
          <w:rtl/>
        </w:rPr>
      </w:pPr>
    </w:p>
    <w:p w14:paraId="7CC4CEFD" w14:textId="77777777" w:rsidR="00DB7887" w:rsidRPr="00B91233" w:rsidRDefault="00DB7887" w:rsidP="00DB7887">
      <w:pPr>
        <w:numPr>
          <w:ilvl w:val="0"/>
          <w:numId w:val="1"/>
        </w:numPr>
        <w:tabs>
          <w:tab w:val="center" w:pos="4153"/>
          <w:tab w:val="right" w:pos="8306"/>
        </w:tabs>
        <w:spacing w:line="360" w:lineRule="auto"/>
        <w:jc w:val="both"/>
        <w:rPr>
          <w:rFonts w:ascii="David" w:hAnsi="David"/>
          <w:sz w:val="26"/>
          <w:szCs w:val="26"/>
        </w:rPr>
      </w:pPr>
      <w:r w:rsidRPr="00B91233">
        <w:rPr>
          <w:rFonts w:ascii="David" w:hAnsi="David" w:hint="cs"/>
          <w:sz w:val="26"/>
          <w:szCs w:val="26"/>
          <w:rtl/>
        </w:rPr>
        <w:t xml:space="preserve">מתסקיר שירות המבחן עולה, כי במסגרת הליך השיקום בשירות המבחן שולב הנאשם בתכנית ית"ד שמטרתה לאפשר את השתלבותו של הנאשם בשוק העבודה, וזאת כחלק מההליך השיקומי בו הוא נוטל חלק, ולאחרונה החל </w:t>
      </w:r>
      <w:r>
        <w:rPr>
          <w:rFonts w:ascii="David" w:hAnsi="David" w:hint="cs"/>
          <w:sz w:val="26"/>
          <w:szCs w:val="26"/>
          <w:rtl/>
        </w:rPr>
        <w:t xml:space="preserve">הנאשם </w:t>
      </w:r>
      <w:r w:rsidRPr="00B91233">
        <w:rPr>
          <w:rFonts w:ascii="David" w:hAnsi="David" w:hint="cs"/>
          <w:sz w:val="26"/>
          <w:szCs w:val="26"/>
          <w:rtl/>
        </w:rPr>
        <w:t xml:space="preserve">בלימודי מקצוע החשמל. מדובר במי </w:t>
      </w:r>
      <w:r w:rsidRPr="00B91233">
        <w:rPr>
          <w:rFonts w:ascii="David" w:hAnsi="David"/>
          <w:sz w:val="26"/>
          <w:szCs w:val="26"/>
          <w:rtl/>
        </w:rPr>
        <w:t>שעתידו המקצועי עוד לפניו ולא ניתן להעריך כדבעי בשלב זה את נזקי הרשעתו בדין. מכל מקום ניתן לומר כבר עתה</w:t>
      </w:r>
      <w:r w:rsidRPr="00B91233">
        <w:rPr>
          <w:rFonts w:ascii="David" w:hAnsi="David" w:hint="cs"/>
          <w:sz w:val="26"/>
          <w:szCs w:val="26"/>
          <w:rtl/>
        </w:rPr>
        <w:t>,</w:t>
      </w:r>
      <w:r w:rsidRPr="00B91233">
        <w:rPr>
          <w:rFonts w:ascii="David" w:hAnsi="David"/>
          <w:sz w:val="26"/>
          <w:szCs w:val="26"/>
          <w:rtl/>
        </w:rPr>
        <w:t xml:space="preserve"> שהרשעתו בדין תסב לו נזק עת יחפוץ להשתלב בעולם העבודה לאחר סיום תכנית ית"ד בה השתלב, אשר היא חלק בלתי נפרד מהליך השיקום הכללי בו הוא מצוי. </w:t>
      </w:r>
    </w:p>
    <w:p w14:paraId="2545AD3C" w14:textId="77777777" w:rsidR="00DB7887" w:rsidRPr="000A6569" w:rsidRDefault="00DB7887" w:rsidP="00DB7887">
      <w:pPr>
        <w:numPr>
          <w:ilvl w:val="0"/>
          <w:numId w:val="1"/>
        </w:numPr>
        <w:tabs>
          <w:tab w:val="center" w:pos="4153"/>
          <w:tab w:val="right" w:pos="8306"/>
        </w:tabs>
        <w:spacing w:line="360" w:lineRule="auto"/>
        <w:jc w:val="both"/>
        <w:rPr>
          <w:rFonts w:ascii="David" w:hAnsi="David"/>
          <w:sz w:val="26"/>
          <w:szCs w:val="26"/>
          <w:rtl/>
        </w:rPr>
      </w:pPr>
      <w:r w:rsidRPr="000A6569">
        <w:rPr>
          <w:rFonts w:ascii="David" w:hAnsi="David" w:hint="cs"/>
          <w:sz w:val="26"/>
          <w:szCs w:val="26"/>
          <w:rtl/>
        </w:rPr>
        <w:t xml:space="preserve">עוד יש להביא בחשבון את ההליך השיקומי המוצלח שעבר הנאשם במסגרת שירות המבחן והרצון להביא לשינוי באורחות חייו. הנאשם החל בהליך שיקומי בגין העבירות בהן הורשע בתיק זה </w:t>
      </w:r>
      <w:r>
        <w:rPr>
          <w:rFonts w:ascii="David" w:hAnsi="David" w:hint="cs"/>
          <w:sz w:val="26"/>
          <w:szCs w:val="26"/>
          <w:rtl/>
        </w:rPr>
        <w:t xml:space="preserve">בחודש </w:t>
      </w:r>
      <w:r w:rsidRPr="000A6569">
        <w:rPr>
          <w:rFonts w:ascii="David" w:hAnsi="David" w:hint="cs"/>
          <w:sz w:val="26"/>
          <w:szCs w:val="26"/>
          <w:rtl/>
        </w:rPr>
        <w:t xml:space="preserve">ינואר 2021, היינו </w:t>
      </w:r>
      <w:r>
        <w:rPr>
          <w:rFonts w:ascii="David" w:hAnsi="David" w:hint="cs"/>
          <w:sz w:val="26"/>
          <w:szCs w:val="26"/>
          <w:rtl/>
        </w:rPr>
        <w:t xml:space="preserve">לפני </w:t>
      </w:r>
      <w:r w:rsidRPr="000A6569">
        <w:rPr>
          <w:rFonts w:ascii="David" w:hAnsi="David" w:hint="cs"/>
          <w:sz w:val="26"/>
          <w:szCs w:val="26"/>
          <w:rtl/>
        </w:rPr>
        <w:t xml:space="preserve">למעלה משנתיים.  מתסקירי שירות המבחן עולה כי </w:t>
      </w:r>
      <w:r>
        <w:rPr>
          <w:rFonts w:ascii="David" w:hAnsi="David" w:hint="cs"/>
          <w:sz w:val="26"/>
          <w:szCs w:val="26"/>
          <w:rtl/>
        </w:rPr>
        <w:t>ה</w:t>
      </w:r>
      <w:r w:rsidRPr="000A6569">
        <w:rPr>
          <w:rFonts w:ascii="David" w:hAnsi="David"/>
          <w:sz w:val="26"/>
          <w:szCs w:val="26"/>
          <w:rtl/>
        </w:rPr>
        <w:t xml:space="preserve">נאשם </w:t>
      </w:r>
      <w:r>
        <w:rPr>
          <w:rFonts w:ascii="David" w:hAnsi="David" w:hint="cs"/>
          <w:sz w:val="26"/>
          <w:szCs w:val="26"/>
          <w:rtl/>
        </w:rPr>
        <w:t xml:space="preserve">שולב </w:t>
      </w:r>
      <w:r w:rsidRPr="000A6569">
        <w:rPr>
          <w:rFonts w:ascii="David" w:hAnsi="David"/>
          <w:sz w:val="26"/>
          <w:szCs w:val="26"/>
          <w:rtl/>
        </w:rPr>
        <w:t xml:space="preserve">בהליך טיפולי קבוצתי בשירות המבחן, המיועדת לצעירים. מדיווח מנחי הקבוצה עולה, כי </w:t>
      </w:r>
      <w:r w:rsidRPr="000A6569">
        <w:rPr>
          <w:rFonts w:ascii="David" w:hAnsi="David" w:hint="cs"/>
          <w:sz w:val="26"/>
          <w:szCs w:val="26"/>
          <w:rtl/>
        </w:rPr>
        <w:t xml:space="preserve">הנאשם נוטל חלק פעיל ההליך השיקום, משתף פעולה באופן מלא, </w:t>
      </w:r>
      <w:r w:rsidRPr="000A6569">
        <w:rPr>
          <w:rFonts w:ascii="David" w:hAnsi="David"/>
          <w:sz w:val="26"/>
          <w:szCs w:val="26"/>
          <w:rtl/>
        </w:rPr>
        <w:t xml:space="preserve">והביע רצון ומוטיבציה להשתלב בקבוצה טיפולית נוספת. שירות המבחן מצא שהנאשם הצליח להתבונן התבוננות פנימית ולבחון לעומק את השלכות מעשיו וכי עבר תהליך חיובי של שינוי דפוסי חשיבה. </w:t>
      </w:r>
    </w:p>
    <w:p w14:paraId="7D138ADE" w14:textId="77777777" w:rsidR="00DB7887" w:rsidRDefault="00DB7887" w:rsidP="00DB7887">
      <w:pPr>
        <w:numPr>
          <w:ilvl w:val="0"/>
          <w:numId w:val="1"/>
        </w:numPr>
        <w:tabs>
          <w:tab w:val="center" w:pos="4153"/>
          <w:tab w:val="right" w:pos="8306"/>
        </w:tabs>
        <w:spacing w:line="360" w:lineRule="auto"/>
        <w:jc w:val="both"/>
        <w:rPr>
          <w:rFonts w:ascii="David" w:hAnsi="David"/>
          <w:sz w:val="26"/>
          <w:szCs w:val="26"/>
        </w:rPr>
      </w:pPr>
      <w:r w:rsidRPr="007101BE">
        <w:rPr>
          <w:rFonts w:ascii="David" w:hAnsi="David" w:hint="cs"/>
          <w:sz w:val="26"/>
          <w:szCs w:val="26"/>
          <w:rtl/>
        </w:rPr>
        <w:t>לכך מתווספות נסיבות חייו האישיות של הנאשם, אשר</w:t>
      </w:r>
      <w:r>
        <w:rPr>
          <w:rFonts w:ascii="David" w:hAnsi="David" w:hint="cs"/>
          <w:sz w:val="26"/>
          <w:szCs w:val="26"/>
          <w:rtl/>
        </w:rPr>
        <w:t xml:space="preserve"> גדל במשפחה מוחלשת. </w:t>
      </w:r>
      <w:r w:rsidRPr="007101BE">
        <w:rPr>
          <w:rFonts w:ascii="David" w:hAnsi="David" w:hint="cs"/>
          <w:sz w:val="26"/>
          <w:szCs w:val="26"/>
          <w:rtl/>
        </w:rPr>
        <w:t xml:space="preserve">הוריו </w:t>
      </w:r>
      <w:r>
        <w:rPr>
          <w:rFonts w:ascii="David" w:hAnsi="David" w:hint="cs"/>
          <w:sz w:val="26"/>
          <w:szCs w:val="26"/>
          <w:rtl/>
        </w:rPr>
        <w:t xml:space="preserve">של הנאשם </w:t>
      </w:r>
      <w:r w:rsidRPr="007101BE">
        <w:rPr>
          <w:rFonts w:ascii="David" w:hAnsi="David" w:hint="cs"/>
          <w:sz w:val="26"/>
          <w:szCs w:val="26"/>
          <w:rtl/>
        </w:rPr>
        <w:t xml:space="preserve">מתקיימים מקצבת נכות ומאז היות בכיתה י' הוא נושא בפרנסת המשפחה. </w:t>
      </w:r>
      <w:r w:rsidRPr="007101BE">
        <w:rPr>
          <w:rFonts w:ascii="David" w:hAnsi="David"/>
          <w:sz w:val="26"/>
          <w:szCs w:val="26"/>
          <w:rtl/>
        </w:rPr>
        <w:t>הנאשם הביע את רצונו לנהל אורח חיים נורמטיבי ולהשתלב בשוק העבודה</w:t>
      </w:r>
      <w:r>
        <w:rPr>
          <w:rFonts w:ascii="David" w:hAnsi="David" w:hint="cs"/>
          <w:sz w:val="26"/>
          <w:szCs w:val="26"/>
          <w:rtl/>
        </w:rPr>
        <w:t>.</w:t>
      </w:r>
    </w:p>
    <w:p w14:paraId="71C37010" w14:textId="77777777" w:rsidR="00DB7887" w:rsidRPr="002A6337" w:rsidRDefault="00DB7887" w:rsidP="00DB7887">
      <w:pPr>
        <w:numPr>
          <w:ilvl w:val="0"/>
          <w:numId w:val="1"/>
        </w:numPr>
        <w:tabs>
          <w:tab w:val="center" w:pos="4153"/>
          <w:tab w:val="right" w:pos="8306"/>
        </w:tabs>
        <w:spacing w:line="360" w:lineRule="auto"/>
        <w:jc w:val="both"/>
        <w:rPr>
          <w:rFonts w:ascii="David" w:hAnsi="David"/>
          <w:sz w:val="26"/>
          <w:szCs w:val="26"/>
        </w:rPr>
      </w:pPr>
      <w:r w:rsidRPr="002A6337">
        <w:rPr>
          <w:rFonts w:ascii="David" w:hAnsi="David" w:hint="cs"/>
          <w:sz w:val="26"/>
          <w:szCs w:val="26"/>
          <w:rtl/>
        </w:rPr>
        <w:t xml:space="preserve">עוד יש להביא בחשבון את העובדה כי הנאשם נטל אחריות מלאה על מעשיו והביע רצון מילולי ומעשי לשיקום חייו. גם לפני הודה הנאשם בטעותו והתרשמתי כי מדובר בחרטה אמיתית </w:t>
      </w:r>
      <w:r>
        <w:rPr>
          <w:rFonts w:ascii="David" w:hAnsi="David" w:hint="cs"/>
          <w:sz w:val="26"/>
          <w:szCs w:val="26"/>
          <w:rtl/>
        </w:rPr>
        <w:t xml:space="preserve">וכנה, </w:t>
      </w:r>
      <w:r w:rsidRPr="002A6337">
        <w:rPr>
          <w:rFonts w:ascii="David" w:hAnsi="David" w:hint="cs"/>
          <w:sz w:val="26"/>
          <w:szCs w:val="26"/>
          <w:rtl/>
        </w:rPr>
        <w:t xml:space="preserve">וכי הנאשם חפץ לפתוח דף חדש בחייו. יצוין, כי </w:t>
      </w:r>
      <w:r w:rsidRPr="002A6337">
        <w:rPr>
          <w:rFonts w:ascii="David" w:hAnsi="David"/>
          <w:sz w:val="26"/>
          <w:szCs w:val="26"/>
          <w:rtl/>
        </w:rPr>
        <w:t>מאז מעורבותו בעבירות הנוכחיות חלפו קרוב לשלוש שנים בהן לא נרשמו לחובתו עבירות חדשות</w:t>
      </w:r>
      <w:r>
        <w:rPr>
          <w:rFonts w:ascii="David" w:hAnsi="David" w:hint="cs"/>
          <w:sz w:val="26"/>
          <w:szCs w:val="26"/>
          <w:rtl/>
        </w:rPr>
        <w:t xml:space="preserve">. לבסוף, יש להביא בחשבון </w:t>
      </w:r>
      <w:r w:rsidRPr="002A6337">
        <w:rPr>
          <w:rFonts w:ascii="David" w:hAnsi="David" w:hint="cs"/>
          <w:sz w:val="26"/>
          <w:szCs w:val="26"/>
          <w:rtl/>
        </w:rPr>
        <w:t xml:space="preserve">את </w:t>
      </w:r>
      <w:r w:rsidRPr="002A6337">
        <w:rPr>
          <w:rFonts w:ascii="David" w:hAnsi="David"/>
          <w:sz w:val="26"/>
          <w:szCs w:val="26"/>
          <w:rtl/>
        </w:rPr>
        <w:t>המלצת שירות המבחן להימנע מהרשעתו.</w:t>
      </w:r>
    </w:p>
    <w:p w14:paraId="71AF1B1B" w14:textId="77777777" w:rsidR="00DB7887" w:rsidRPr="000A6569" w:rsidRDefault="00DB7887" w:rsidP="00DB7887">
      <w:pPr>
        <w:pStyle w:val="a9"/>
        <w:numPr>
          <w:ilvl w:val="0"/>
          <w:numId w:val="1"/>
        </w:numPr>
        <w:tabs>
          <w:tab w:val="center" w:pos="4153"/>
          <w:tab w:val="right" w:pos="8306"/>
        </w:tabs>
        <w:spacing w:line="360" w:lineRule="auto"/>
        <w:jc w:val="both"/>
        <w:rPr>
          <w:rFonts w:ascii="David" w:hAnsi="David" w:cs="David"/>
          <w:sz w:val="26"/>
          <w:szCs w:val="26"/>
        </w:rPr>
      </w:pPr>
      <w:r w:rsidRPr="000A6569">
        <w:rPr>
          <w:rFonts w:ascii="David" w:hAnsi="David" w:cs="David"/>
          <w:sz w:val="26"/>
          <w:szCs w:val="26"/>
          <w:rtl/>
        </w:rPr>
        <w:t xml:space="preserve">אני סבורה כי גילו הצעיר של הנאשם, השינוי שערך באורחות חייו,  ההליך השיקומי המוצלח אותו עבר במסגרת שירות המבחן, </w:t>
      </w:r>
      <w:r>
        <w:rPr>
          <w:rFonts w:ascii="David" w:hAnsi="David" w:cs="David" w:hint="cs"/>
          <w:sz w:val="26"/>
          <w:szCs w:val="26"/>
          <w:rtl/>
        </w:rPr>
        <w:t xml:space="preserve">ורצונו לקיים אורח חיים נורמטיבי, </w:t>
      </w:r>
      <w:r w:rsidRPr="000A6569">
        <w:rPr>
          <w:rFonts w:ascii="David" w:hAnsi="David" w:cs="David"/>
          <w:sz w:val="26"/>
          <w:szCs w:val="26"/>
          <w:rtl/>
        </w:rPr>
        <w:t xml:space="preserve">מחייבים הסתכלות ובחינה שונה במסגרת דוקטרינת הבגירים הצעירים. נוכח גילו הצעיר </w:t>
      </w:r>
      <w:r w:rsidRPr="000A6569">
        <w:rPr>
          <w:rFonts w:ascii="David" w:hAnsi="David" w:cs="David" w:hint="cs"/>
          <w:sz w:val="26"/>
          <w:szCs w:val="26"/>
          <w:rtl/>
        </w:rPr>
        <w:t xml:space="preserve">של הנאשם </w:t>
      </w:r>
      <w:r w:rsidRPr="000A6569">
        <w:rPr>
          <w:rFonts w:ascii="David" w:hAnsi="David" w:cs="David"/>
          <w:sz w:val="26"/>
          <w:szCs w:val="26"/>
          <w:rtl/>
        </w:rPr>
        <w:t>ונסיבות חייו, קיים חשש שאם יורשע הנאשם תיקטע המגמה החיובית בחייו הכוללת שילוב בטיפול ו</w:t>
      </w:r>
      <w:r>
        <w:rPr>
          <w:rFonts w:ascii="David" w:hAnsi="David" w:cs="David" w:hint="cs"/>
          <w:sz w:val="26"/>
          <w:szCs w:val="26"/>
          <w:rtl/>
        </w:rPr>
        <w:t xml:space="preserve">השתלבות </w:t>
      </w:r>
      <w:r w:rsidRPr="000A6569">
        <w:rPr>
          <w:rFonts w:ascii="David" w:hAnsi="David" w:cs="David"/>
          <w:sz w:val="26"/>
          <w:szCs w:val="26"/>
          <w:rtl/>
        </w:rPr>
        <w:t>בשוק העבודה</w:t>
      </w:r>
      <w:r>
        <w:rPr>
          <w:rFonts w:ascii="David" w:hAnsi="David" w:cs="David" w:hint="cs"/>
          <w:sz w:val="26"/>
          <w:szCs w:val="26"/>
          <w:rtl/>
        </w:rPr>
        <w:t>,</w:t>
      </w:r>
      <w:r w:rsidRPr="000A6569">
        <w:rPr>
          <w:rFonts w:ascii="David" w:hAnsi="David" w:cs="David"/>
          <w:sz w:val="26"/>
          <w:szCs w:val="26"/>
          <w:rtl/>
        </w:rPr>
        <w:t xml:space="preserve"> וזאת מעבר להכבדה המובנית שיש בהרשעתו בדין על המשך חייו.</w:t>
      </w:r>
    </w:p>
    <w:p w14:paraId="65AFE067" w14:textId="77777777" w:rsidR="00DB7887" w:rsidRPr="00BA0C3B" w:rsidRDefault="00DB7887" w:rsidP="00DB7887">
      <w:pPr>
        <w:numPr>
          <w:ilvl w:val="0"/>
          <w:numId w:val="1"/>
        </w:numPr>
        <w:tabs>
          <w:tab w:val="center" w:pos="4153"/>
          <w:tab w:val="right" w:pos="8306"/>
        </w:tabs>
        <w:spacing w:after="160" w:line="360" w:lineRule="auto"/>
        <w:ind w:left="708"/>
        <w:contextualSpacing/>
        <w:jc w:val="both"/>
        <w:rPr>
          <w:rFonts w:ascii="David" w:hAnsi="David"/>
          <w:b/>
          <w:bCs/>
          <w:sz w:val="26"/>
          <w:szCs w:val="26"/>
        </w:rPr>
      </w:pPr>
      <w:r w:rsidRPr="00BA0C3B">
        <w:rPr>
          <w:rFonts w:ascii="David" w:hAnsi="David" w:hint="cs"/>
          <w:sz w:val="26"/>
          <w:szCs w:val="26"/>
          <w:rtl/>
        </w:rPr>
        <w:t xml:space="preserve">מצאתי אפוא כי הותרת הרשעתו של הנאשם על כנה עלולה </w:t>
      </w:r>
      <w:r w:rsidRPr="00BA0C3B">
        <w:rPr>
          <w:rFonts w:ascii="David" w:hAnsi="David"/>
          <w:sz w:val="26"/>
          <w:szCs w:val="26"/>
          <w:rtl/>
        </w:rPr>
        <w:t>להסב לו נזק כבד שעומד בדיספרופורציה לתועלת שתצמח לאינטרס הציבורי כתוצאה מההרשעה</w:t>
      </w:r>
      <w:r w:rsidRPr="00BA0C3B">
        <w:rPr>
          <w:rFonts w:ascii="David" w:hAnsi="David" w:hint="cs"/>
          <w:sz w:val="26"/>
          <w:szCs w:val="26"/>
          <w:rtl/>
        </w:rPr>
        <w:t xml:space="preserve">, וכי הפגיעה באינטרס הציבורי בנסיבות המקרה תהיה מדודה ומתונה, ועל כן יש מקום לבטל את הרשעתו של הנאשם בדין.  </w:t>
      </w:r>
      <w:r w:rsidRPr="00BA0C3B">
        <w:rPr>
          <w:rFonts w:ascii="David" w:hAnsi="David"/>
          <w:sz w:val="26"/>
          <w:szCs w:val="26"/>
          <w:rtl/>
        </w:rPr>
        <w:t>תחת זאת תיוותר על מכונה הקביעה שהנאשם עבר את העביר</w:t>
      </w:r>
      <w:r w:rsidRPr="00BA0C3B">
        <w:rPr>
          <w:rFonts w:ascii="David" w:hAnsi="David" w:hint="cs"/>
          <w:sz w:val="26"/>
          <w:szCs w:val="26"/>
          <w:rtl/>
        </w:rPr>
        <w:t>ות</w:t>
      </w:r>
      <w:r w:rsidRPr="00BA0C3B">
        <w:rPr>
          <w:rFonts w:ascii="David" w:hAnsi="David"/>
          <w:sz w:val="26"/>
          <w:szCs w:val="26"/>
          <w:rtl/>
        </w:rPr>
        <w:t xml:space="preserve"> </w:t>
      </w:r>
      <w:r w:rsidRPr="00BA0C3B">
        <w:rPr>
          <w:rFonts w:ascii="David" w:hAnsi="David" w:hint="cs"/>
          <w:sz w:val="26"/>
          <w:szCs w:val="26"/>
          <w:rtl/>
        </w:rPr>
        <w:t>ה</w:t>
      </w:r>
      <w:r w:rsidRPr="00BA0C3B">
        <w:rPr>
          <w:rFonts w:ascii="David" w:hAnsi="David"/>
          <w:sz w:val="26"/>
          <w:szCs w:val="26"/>
          <w:rtl/>
        </w:rPr>
        <w:t>מיוחסת ל</w:t>
      </w:r>
      <w:r w:rsidRPr="00BA0C3B">
        <w:rPr>
          <w:rFonts w:ascii="David" w:hAnsi="David" w:hint="cs"/>
          <w:sz w:val="26"/>
          <w:szCs w:val="26"/>
          <w:rtl/>
        </w:rPr>
        <w:t>ו</w:t>
      </w:r>
      <w:r w:rsidRPr="00BA0C3B">
        <w:rPr>
          <w:rFonts w:ascii="David" w:hAnsi="David"/>
          <w:sz w:val="26"/>
          <w:szCs w:val="26"/>
          <w:rtl/>
        </w:rPr>
        <w:t xml:space="preserve"> בכתב האישום. </w:t>
      </w:r>
    </w:p>
    <w:p w14:paraId="2740CA87" w14:textId="77777777" w:rsidR="00DB7887" w:rsidRDefault="00DB7887" w:rsidP="00DB7887">
      <w:pPr>
        <w:spacing w:after="160" w:line="360" w:lineRule="auto"/>
        <w:ind w:left="720"/>
        <w:jc w:val="both"/>
        <w:rPr>
          <w:rFonts w:ascii="David" w:hAnsi="David"/>
          <w:sz w:val="26"/>
          <w:szCs w:val="26"/>
          <w:rtl/>
        </w:rPr>
      </w:pPr>
      <w:r w:rsidRPr="000A6569">
        <w:rPr>
          <w:rFonts w:ascii="David" w:hAnsi="David"/>
          <w:sz w:val="26"/>
          <w:szCs w:val="26"/>
          <w:rtl/>
        </w:rPr>
        <w:t xml:space="preserve">משקבעתי כי יש מקום להורות על ביטול ההרשעה, הרי שאין מקום לקבוע את מתחם העונש ההולם </w:t>
      </w:r>
      <w:r w:rsidRPr="000A6569">
        <w:rPr>
          <w:rFonts w:ascii="David" w:hAnsi="David" w:hint="cs"/>
          <w:sz w:val="26"/>
          <w:szCs w:val="26"/>
          <w:rtl/>
        </w:rPr>
        <w:t xml:space="preserve">בגין </w:t>
      </w:r>
      <w:r w:rsidRPr="000A6569">
        <w:rPr>
          <w:rFonts w:ascii="David" w:hAnsi="David"/>
          <w:sz w:val="26"/>
          <w:szCs w:val="26"/>
          <w:rtl/>
        </w:rPr>
        <w:t xml:space="preserve">המעשים שביצע הנאשם (ראו: </w:t>
      </w:r>
      <w:hyperlink r:id="rId36" w:history="1">
        <w:r w:rsidR="0024453F" w:rsidRPr="0024453F">
          <w:rPr>
            <w:rFonts w:ascii="David" w:hAnsi="David"/>
            <w:color w:val="0000FF"/>
            <w:sz w:val="26"/>
            <w:szCs w:val="26"/>
            <w:u w:val="single"/>
            <w:rtl/>
          </w:rPr>
          <w:t>רע"פ 547/21</w:t>
        </w:r>
      </w:hyperlink>
      <w:r w:rsidRPr="000A6569">
        <w:rPr>
          <w:rFonts w:ascii="David" w:hAnsi="David"/>
          <w:sz w:val="26"/>
          <w:szCs w:val="26"/>
          <w:rtl/>
        </w:rPr>
        <w:t xml:space="preserve">  </w:t>
      </w:r>
      <w:r w:rsidRPr="000A6569">
        <w:rPr>
          <w:rFonts w:ascii="David" w:hAnsi="David"/>
          <w:b/>
          <w:bCs/>
          <w:sz w:val="26"/>
          <w:szCs w:val="26"/>
          <w:rtl/>
        </w:rPr>
        <w:t>סיטניק נ' מדינת ישראל</w:t>
      </w:r>
      <w:r w:rsidRPr="000A6569">
        <w:rPr>
          <w:rFonts w:ascii="David" w:hAnsi="David"/>
          <w:sz w:val="26"/>
          <w:szCs w:val="26"/>
          <w:rtl/>
        </w:rPr>
        <w:t xml:space="preserve">  (פורסם בנבו, 17.3.21);  </w:t>
      </w:r>
      <w:hyperlink r:id="rId37" w:history="1">
        <w:r w:rsidR="0024453F" w:rsidRPr="0024453F">
          <w:rPr>
            <w:rFonts w:ascii="David" w:hAnsi="David"/>
            <w:color w:val="0000FF"/>
            <w:sz w:val="26"/>
            <w:szCs w:val="26"/>
            <w:u w:val="single"/>
            <w:rtl/>
          </w:rPr>
          <w:t>רע"פ 3195/19</w:t>
        </w:r>
      </w:hyperlink>
      <w:r w:rsidRPr="000A6569">
        <w:rPr>
          <w:rFonts w:ascii="David" w:hAnsi="David"/>
          <w:sz w:val="26"/>
          <w:szCs w:val="26"/>
          <w:rtl/>
        </w:rPr>
        <w:t xml:space="preserve"> </w:t>
      </w:r>
      <w:r w:rsidRPr="000A6569">
        <w:rPr>
          <w:rFonts w:ascii="David" w:hAnsi="David"/>
          <w:bCs/>
          <w:sz w:val="26"/>
          <w:szCs w:val="26"/>
          <w:rtl/>
        </w:rPr>
        <w:t xml:space="preserve">אגוזי נ' מדינת ישראל </w:t>
      </w:r>
      <w:r w:rsidRPr="000A6569">
        <w:rPr>
          <w:rFonts w:ascii="David" w:hAnsi="David"/>
          <w:sz w:val="26"/>
          <w:szCs w:val="26"/>
          <w:rtl/>
        </w:rPr>
        <w:t>(פורסם בנבו, (4.7.2019)</w:t>
      </w:r>
    </w:p>
    <w:p w14:paraId="7BA66139" w14:textId="77777777" w:rsidR="00DB7887" w:rsidRDefault="00DB7887" w:rsidP="00DB7887">
      <w:pPr>
        <w:spacing w:after="160" w:line="360" w:lineRule="auto"/>
        <w:ind w:left="720"/>
        <w:jc w:val="both"/>
        <w:rPr>
          <w:rFonts w:ascii="David" w:hAnsi="David"/>
          <w:sz w:val="26"/>
          <w:szCs w:val="26"/>
          <w:rtl/>
        </w:rPr>
      </w:pPr>
      <w:r>
        <w:rPr>
          <w:rFonts w:ascii="David" w:hAnsi="David" w:hint="cs"/>
          <w:sz w:val="26"/>
          <w:szCs w:val="26"/>
          <w:rtl/>
        </w:rPr>
        <w:t>טרם קביעת העונשים שיוטלו על הנאשם, אתייחס לבקשת המאשימה להטיל על הנאשם עונש של פסילת רישיון נהיגה בפועל ועל תנאי.</w:t>
      </w:r>
    </w:p>
    <w:p w14:paraId="38ECD326" w14:textId="77777777" w:rsidR="00DB7887" w:rsidRDefault="00EF401F" w:rsidP="00DB7887">
      <w:pPr>
        <w:spacing w:after="160" w:line="360" w:lineRule="auto"/>
        <w:ind w:left="720"/>
        <w:jc w:val="both"/>
        <w:rPr>
          <w:rFonts w:ascii="David" w:hAnsi="David"/>
          <w:sz w:val="26"/>
          <w:szCs w:val="26"/>
          <w:rtl/>
        </w:rPr>
      </w:pPr>
      <w:hyperlink r:id="rId38" w:history="1">
        <w:r w:rsidRPr="00EF401F">
          <w:rPr>
            <w:rStyle w:val="Hyperlink"/>
            <w:rFonts w:ascii="David" w:hAnsi="David" w:hint="eastAsia"/>
            <w:sz w:val="26"/>
            <w:szCs w:val="26"/>
            <w:rtl/>
          </w:rPr>
          <w:t>סעיף</w:t>
        </w:r>
        <w:r w:rsidRPr="00EF401F">
          <w:rPr>
            <w:rStyle w:val="Hyperlink"/>
            <w:rFonts w:ascii="David" w:hAnsi="David"/>
            <w:sz w:val="26"/>
            <w:szCs w:val="26"/>
            <w:rtl/>
          </w:rPr>
          <w:t xml:space="preserve"> 37א(א)</w:t>
        </w:r>
      </w:hyperlink>
      <w:r w:rsidR="00DB7887">
        <w:rPr>
          <w:rFonts w:ascii="David" w:hAnsi="David" w:hint="cs"/>
          <w:sz w:val="26"/>
          <w:szCs w:val="26"/>
          <w:rtl/>
        </w:rPr>
        <w:t xml:space="preserve"> ל</w:t>
      </w:r>
      <w:hyperlink r:id="rId39" w:history="1">
        <w:r w:rsidR="0024453F" w:rsidRPr="0024453F">
          <w:rPr>
            <w:rFonts w:ascii="David" w:hAnsi="David"/>
            <w:color w:val="0000FF"/>
            <w:sz w:val="26"/>
            <w:szCs w:val="26"/>
            <w:u w:val="single"/>
            <w:rtl/>
          </w:rPr>
          <w:t>פקודת הסמים המסוכנים</w:t>
        </w:r>
      </w:hyperlink>
      <w:r w:rsidR="00DB7887">
        <w:rPr>
          <w:rFonts w:ascii="David" w:hAnsi="David" w:hint="cs"/>
          <w:sz w:val="26"/>
          <w:szCs w:val="26"/>
          <w:rtl/>
        </w:rPr>
        <w:t xml:space="preserve"> מעניק לבית המשפט סמכות נאשם ביצע עבירה לפי הפקודה לפסול אותו מלקבל או להחזיק רישיון נהיגה לתקופה שלא תעלה על חמש שנים.</w:t>
      </w:r>
    </w:p>
    <w:p w14:paraId="706D33FD" w14:textId="77777777" w:rsidR="00DB7887" w:rsidRDefault="00DB7887" w:rsidP="00DB7887">
      <w:pPr>
        <w:spacing w:after="160" w:line="360" w:lineRule="auto"/>
        <w:ind w:left="720"/>
        <w:jc w:val="both"/>
        <w:rPr>
          <w:rFonts w:ascii="David" w:hAnsi="David"/>
          <w:sz w:val="26"/>
          <w:szCs w:val="26"/>
          <w:rtl/>
        </w:rPr>
      </w:pPr>
      <w:r>
        <w:rPr>
          <w:rFonts w:ascii="David" w:hAnsi="David" w:hint="cs"/>
          <w:sz w:val="26"/>
          <w:szCs w:val="26"/>
          <w:rtl/>
        </w:rPr>
        <w:t xml:space="preserve">מטרת סעיף זה היא, בין היתר, להגן על הציבור מפני הנוהגים תחת השפעת סמים מסוכנים. </w:t>
      </w:r>
    </w:p>
    <w:p w14:paraId="2870734A" w14:textId="77777777" w:rsidR="00DB7887" w:rsidRPr="0008787A" w:rsidRDefault="00DB7887" w:rsidP="00DB7887">
      <w:pPr>
        <w:spacing w:after="160" w:line="360" w:lineRule="auto"/>
        <w:ind w:left="720"/>
        <w:jc w:val="both"/>
        <w:rPr>
          <w:rFonts w:ascii="Arial" w:hAnsi="Arial"/>
          <w:sz w:val="26"/>
          <w:szCs w:val="26"/>
          <w:rtl/>
        </w:rPr>
      </w:pPr>
      <w:r w:rsidRPr="0008787A">
        <w:rPr>
          <w:rFonts w:ascii="David" w:hAnsi="David" w:hint="cs"/>
          <w:sz w:val="26"/>
          <w:szCs w:val="26"/>
          <w:rtl/>
        </w:rPr>
        <w:t xml:space="preserve">במקרה זה, הנאשם אינו בעל רישיון נהיגה. החלטתי </w:t>
      </w:r>
      <w:r w:rsidRPr="0008787A">
        <w:rPr>
          <w:rFonts w:ascii="Arial" w:hAnsi="Arial" w:hint="cs"/>
          <w:sz w:val="26"/>
          <w:szCs w:val="26"/>
          <w:rtl/>
        </w:rPr>
        <w:t xml:space="preserve">להימנע </w:t>
      </w:r>
      <w:r w:rsidRPr="0008787A">
        <w:rPr>
          <w:rFonts w:ascii="Arial" w:hAnsi="Arial"/>
          <w:sz w:val="26"/>
          <w:szCs w:val="26"/>
          <w:rtl/>
        </w:rPr>
        <w:t xml:space="preserve">מלפסול </w:t>
      </w:r>
      <w:r w:rsidRPr="0008787A">
        <w:rPr>
          <w:rFonts w:ascii="Arial" w:hAnsi="Arial" w:hint="cs"/>
          <w:sz w:val="26"/>
          <w:szCs w:val="26"/>
          <w:rtl/>
        </w:rPr>
        <w:t xml:space="preserve">אותו לקבל רישיון נהיגה, </w:t>
      </w:r>
      <w:r w:rsidRPr="0008787A">
        <w:rPr>
          <w:rFonts w:ascii="Arial" w:hAnsi="Arial"/>
          <w:sz w:val="26"/>
          <w:szCs w:val="26"/>
          <w:rtl/>
        </w:rPr>
        <w:t xml:space="preserve"> </w:t>
      </w:r>
      <w:r w:rsidRPr="0008787A">
        <w:rPr>
          <w:rFonts w:ascii="Arial" w:hAnsi="Arial" w:hint="cs"/>
          <w:sz w:val="26"/>
          <w:szCs w:val="26"/>
          <w:rtl/>
        </w:rPr>
        <w:t xml:space="preserve">משתי סיבות: האחת, </w:t>
      </w:r>
      <w:r w:rsidRPr="0008787A">
        <w:rPr>
          <w:rFonts w:ascii="Arial" w:hAnsi="Arial"/>
          <w:sz w:val="26"/>
          <w:szCs w:val="26"/>
          <w:rtl/>
        </w:rPr>
        <w:t xml:space="preserve"> התחשבות בנאשם אשר הכיר בטעותו, הצטער עליה, התחרט חרטה כנה, גילה מוטיבציה לשינוי התנהגותו, והביע את הסכמתו ליטול חלק בהליך טיפולי שהוצע לו במסגרת שירות המבחן. דומני שיש בכך להעביר מסר חיובי לנאשם ולעודדו להמשיך ולפסוע בנתיב החיים הנורמטיבי</w:t>
      </w:r>
      <w:r w:rsidRPr="0008787A">
        <w:rPr>
          <w:rFonts w:ascii="Arial" w:hAnsi="Arial" w:hint="cs"/>
          <w:sz w:val="26"/>
          <w:szCs w:val="26"/>
          <w:rtl/>
        </w:rPr>
        <w:t>.</w:t>
      </w:r>
    </w:p>
    <w:p w14:paraId="7D039374" w14:textId="77777777" w:rsidR="00DB7887" w:rsidRPr="0008787A" w:rsidRDefault="00DB7887" w:rsidP="00DB7887">
      <w:pPr>
        <w:spacing w:after="160" w:line="360" w:lineRule="auto"/>
        <w:ind w:left="720"/>
        <w:jc w:val="both"/>
        <w:rPr>
          <w:rFonts w:ascii="David" w:hAnsi="David"/>
          <w:sz w:val="26"/>
          <w:szCs w:val="26"/>
        </w:rPr>
      </w:pPr>
      <w:r w:rsidRPr="0008787A">
        <w:rPr>
          <w:rFonts w:ascii="Arial" w:hAnsi="Arial" w:hint="cs"/>
          <w:sz w:val="26"/>
          <w:szCs w:val="26"/>
          <w:rtl/>
        </w:rPr>
        <w:t xml:space="preserve">השני, מדובר בנאשם שאינו משתמש בסמים מסוכנים (כפי שעולה מתסקיר שירות המבחן), כך שתכלית החוק </w:t>
      </w:r>
      <w:r>
        <w:rPr>
          <w:rFonts w:ascii="Arial" w:hAnsi="Arial" w:hint="cs"/>
          <w:sz w:val="26"/>
          <w:szCs w:val="26"/>
          <w:rtl/>
        </w:rPr>
        <w:t>-</w:t>
      </w:r>
      <w:r w:rsidRPr="0008787A">
        <w:rPr>
          <w:rFonts w:ascii="Arial" w:hAnsi="Arial" w:hint="cs"/>
          <w:sz w:val="26"/>
          <w:szCs w:val="26"/>
          <w:rtl/>
        </w:rPr>
        <w:t xml:space="preserve"> הגנה על הציבור מפני הנוהגים תחת השפעת סמים מסוכנים </w:t>
      </w:r>
      <w:r>
        <w:rPr>
          <w:rFonts w:ascii="Arial" w:hAnsi="Arial" w:hint="cs"/>
          <w:sz w:val="26"/>
          <w:szCs w:val="26"/>
          <w:rtl/>
        </w:rPr>
        <w:t>-</w:t>
      </w:r>
      <w:r w:rsidRPr="0008787A">
        <w:rPr>
          <w:rFonts w:ascii="Arial" w:hAnsi="Arial" w:hint="cs"/>
          <w:sz w:val="26"/>
          <w:szCs w:val="26"/>
          <w:rtl/>
        </w:rPr>
        <w:t xml:space="preserve">אינה מתקיימת.  </w:t>
      </w:r>
    </w:p>
    <w:p w14:paraId="0D3CC47A" w14:textId="77777777" w:rsidR="00DB7887" w:rsidRPr="000A6569" w:rsidRDefault="00DB7887" w:rsidP="00DB7887">
      <w:pPr>
        <w:spacing w:after="160" w:line="360" w:lineRule="auto"/>
        <w:ind w:left="720"/>
        <w:jc w:val="both"/>
        <w:rPr>
          <w:rFonts w:ascii="David" w:hAnsi="David"/>
          <w:sz w:val="26"/>
          <w:szCs w:val="26"/>
        </w:rPr>
      </w:pPr>
      <w:r w:rsidRPr="000A6569">
        <w:rPr>
          <w:rFonts w:ascii="David" w:hAnsi="David"/>
          <w:sz w:val="26"/>
          <w:szCs w:val="26"/>
          <w:rtl/>
        </w:rPr>
        <w:t xml:space="preserve">לצד </w:t>
      </w:r>
      <w:r>
        <w:rPr>
          <w:rFonts w:ascii="David" w:hAnsi="David" w:hint="cs"/>
          <w:sz w:val="26"/>
          <w:szCs w:val="26"/>
          <w:rtl/>
        </w:rPr>
        <w:t>ה</w:t>
      </w:r>
      <w:r w:rsidRPr="000A6569">
        <w:rPr>
          <w:rFonts w:ascii="David" w:hAnsi="David"/>
          <w:sz w:val="26"/>
          <w:szCs w:val="26"/>
          <w:rtl/>
        </w:rPr>
        <w:t>קביעה כי הנאשם עבר את העביר</w:t>
      </w:r>
      <w:r w:rsidRPr="000A6569">
        <w:rPr>
          <w:rFonts w:ascii="David" w:hAnsi="David" w:hint="cs"/>
          <w:sz w:val="26"/>
          <w:szCs w:val="26"/>
          <w:rtl/>
        </w:rPr>
        <w:t>ות בכתב האישום המתוקן</w:t>
      </w:r>
      <w:r w:rsidRPr="000A6569">
        <w:rPr>
          <w:rFonts w:ascii="David" w:hAnsi="David"/>
          <w:sz w:val="26"/>
          <w:szCs w:val="26"/>
          <w:rtl/>
        </w:rPr>
        <w:t>, יוטלו על הנאשם העונשים הבאים:</w:t>
      </w:r>
    </w:p>
    <w:p w14:paraId="6F4A2F32" w14:textId="77777777" w:rsidR="00DB7887" w:rsidRPr="000A6569" w:rsidRDefault="00DB7887" w:rsidP="00DB7887">
      <w:pPr>
        <w:numPr>
          <w:ilvl w:val="0"/>
          <w:numId w:val="2"/>
        </w:numPr>
        <w:spacing w:after="160" w:line="360" w:lineRule="auto"/>
        <w:contextualSpacing/>
        <w:jc w:val="both"/>
        <w:rPr>
          <w:rFonts w:ascii="David" w:hAnsi="David"/>
          <w:b/>
          <w:bCs/>
          <w:sz w:val="26"/>
          <w:szCs w:val="26"/>
          <w:rtl/>
        </w:rPr>
      </w:pPr>
      <w:r w:rsidRPr="000A6569">
        <w:rPr>
          <w:rFonts w:ascii="David" w:hAnsi="David"/>
          <w:b/>
          <w:bCs/>
          <w:sz w:val="26"/>
          <w:szCs w:val="26"/>
          <w:rtl/>
        </w:rPr>
        <w:t xml:space="preserve">צו מבחן למשך </w:t>
      </w:r>
      <w:r w:rsidRPr="000A6569">
        <w:rPr>
          <w:rFonts w:ascii="David" w:hAnsi="David" w:hint="cs"/>
          <w:b/>
          <w:bCs/>
          <w:sz w:val="26"/>
          <w:szCs w:val="26"/>
          <w:rtl/>
        </w:rPr>
        <w:t>18 חודשים.</w:t>
      </w:r>
    </w:p>
    <w:p w14:paraId="0C0177D2" w14:textId="77777777" w:rsidR="00DB7887" w:rsidRPr="000A6569" w:rsidRDefault="00DB7887" w:rsidP="00DB7887">
      <w:pPr>
        <w:numPr>
          <w:ilvl w:val="0"/>
          <w:numId w:val="2"/>
        </w:numPr>
        <w:spacing w:after="160" w:line="360" w:lineRule="auto"/>
        <w:contextualSpacing/>
        <w:jc w:val="both"/>
        <w:rPr>
          <w:rFonts w:ascii="David" w:hAnsi="David"/>
          <w:b/>
          <w:bCs/>
          <w:sz w:val="26"/>
          <w:szCs w:val="26"/>
        </w:rPr>
      </w:pPr>
      <w:r w:rsidRPr="000A6569">
        <w:rPr>
          <w:rFonts w:ascii="David" w:hAnsi="David"/>
          <w:b/>
          <w:bCs/>
          <w:sz w:val="26"/>
          <w:szCs w:val="26"/>
          <w:rtl/>
        </w:rPr>
        <w:t xml:space="preserve">צו שירות לתועלת הציבור בן </w:t>
      </w:r>
      <w:r w:rsidRPr="000A6569">
        <w:rPr>
          <w:rFonts w:ascii="David" w:hAnsi="David" w:hint="cs"/>
          <w:b/>
          <w:bCs/>
          <w:sz w:val="26"/>
          <w:szCs w:val="26"/>
          <w:rtl/>
        </w:rPr>
        <w:t>25</w:t>
      </w:r>
      <w:r w:rsidRPr="000A6569">
        <w:rPr>
          <w:rFonts w:ascii="David" w:hAnsi="David"/>
          <w:b/>
          <w:bCs/>
          <w:sz w:val="26"/>
          <w:szCs w:val="26"/>
          <w:rtl/>
        </w:rPr>
        <w:t xml:space="preserve">0 שעות, </w:t>
      </w:r>
      <w:r w:rsidRPr="000A6569">
        <w:rPr>
          <w:rFonts w:ascii="David" w:hAnsi="David"/>
          <w:sz w:val="26"/>
          <w:szCs w:val="26"/>
          <w:rtl/>
        </w:rPr>
        <w:t>בהתאם לתכנית שיגיש שירות המבחן בתוך 30 יום מהיום.</w:t>
      </w:r>
      <w:r w:rsidRPr="000A6569">
        <w:rPr>
          <w:rFonts w:ascii="David" w:hAnsi="David"/>
          <w:b/>
          <w:bCs/>
          <w:sz w:val="26"/>
          <w:szCs w:val="26"/>
          <w:rtl/>
        </w:rPr>
        <w:t xml:space="preserve"> </w:t>
      </w:r>
    </w:p>
    <w:p w14:paraId="2F5E6112" w14:textId="77777777" w:rsidR="00DB7887" w:rsidRPr="000A6569" w:rsidRDefault="00DB7887" w:rsidP="00DB7887">
      <w:pPr>
        <w:spacing w:after="160" w:line="360" w:lineRule="auto"/>
        <w:ind w:left="1080"/>
        <w:jc w:val="both"/>
        <w:rPr>
          <w:rFonts w:ascii="David" w:hAnsi="David"/>
          <w:sz w:val="26"/>
          <w:szCs w:val="26"/>
          <w:rtl/>
        </w:rPr>
      </w:pPr>
      <w:r w:rsidRPr="000A6569">
        <w:rPr>
          <w:rFonts w:ascii="David" w:hAnsi="David"/>
          <w:sz w:val="26"/>
          <w:szCs w:val="26"/>
          <w:rtl/>
        </w:rPr>
        <w:t xml:space="preserve">שירות המבחן יהא רשאי לשנות את מקום ההשמה ללא צורך בפנייה לבית המשפט. </w:t>
      </w:r>
    </w:p>
    <w:p w14:paraId="52BEC8B4" w14:textId="77777777" w:rsidR="00DB7887" w:rsidRPr="000A6569" w:rsidRDefault="00DB7887" w:rsidP="00DB7887">
      <w:pPr>
        <w:spacing w:after="160" w:line="360" w:lineRule="auto"/>
        <w:ind w:left="1080"/>
        <w:jc w:val="both"/>
        <w:rPr>
          <w:rFonts w:ascii="David" w:hAnsi="David"/>
          <w:sz w:val="26"/>
          <w:szCs w:val="26"/>
          <w:rtl/>
        </w:rPr>
      </w:pPr>
      <w:r w:rsidRPr="000A6569">
        <w:rPr>
          <w:rFonts w:ascii="David" w:hAnsi="David"/>
          <w:sz w:val="26"/>
          <w:szCs w:val="26"/>
          <w:rtl/>
        </w:rPr>
        <w:t xml:space="preserve">בהתאם לאמור </w:t>
      </w:r>
      <w:hyperlink r:id="rId40" w:history="1">
        <w:r w:rsidR="00EF401F" w:rsidRPr="00EF401F">
          <w:rPr>
            <w:rStyle w:val="Hyperlink"/>
            <w:rFonts w:ascii="David" w:hAnsi="David"/>
            <w:sz w:val="26"/>
            <w:szCs w:val="26"/>
            <w:rtl/>
          </w:rPr>
          <w:t>בסעיף 71א(ה)</w:t>
        </w:r>
      </w:hyperlink>
      <w:r w:rsidRPr="000A6569">
        <w:rPr>
          <w:rFonts w:ascii="David" w:hAnsi="David"/>
          <w:sz w:val="26"/>
          <w:szCs w:val="26"/>
          <w:rtl/>
        </w:rPr>
        <w:t xml:space="preserve"> ל</w:t>
      </w:r>
      <w:hyperlink r:id="rId41" w:history="1">
        <w:r w:rsidR="0024453F" w:rsidRPr="0024453F">
          <w:rPr>
            <w:rFonts w:ascii="David" w:hAnsi="David"/>
            <w:color w:val="0000FF"/>
            <w:sz w:val="26"/>
            <w:szCs w:val="26"/>
            <w:u w:val="single"/>
            <w:rtl/>
          </w:rPr>
          <w:t>חוק העונשין</w:t>
        </w:r>
      </w:hyperlink>
      <w:r w:rsidRPr="000A6569">
        <w:rPr>
          <w:rFonts w:ascii="David" w:hAnsi="David"/>
          <w:sz w:val="26"/>
          <w:szCs w:val="26"/>
          <w:rtl/>
        </w:rPr>
        <w:t xml:space="preserve">, הנאשם מוזהר כי עליו למלא אחר הוראות צו השל"צ שאם לא כן, יהיה צפוי לתוצאות האמורות </w:t>
      </w:r>
      <w:hyperlink r:id="rId42" w:history="1">
        <w:r w:rsidR="00EF401F" w:rsidRPr="00EF401F">
          <w:rPr>
            <w:rStyle w:val="Hyperlink"/>
            <w:rFonts w:ascii="David" w:hAnsi="David"/>
            <w:sz w:val="26"/>
            <w:szCs w:val="26"/>
            <w:rtl/>
          </w:rPr>
          <w:t>בסעיף 71ד</w:t>
        </w:r>
      </w:hyperlink>
      <w:r w:rsidRPr="000A6569">
        <w:rPr>
          <w:rFonts w:ascii="David" w:hAnsi="David"/>
          <w:sz w:val="26"/>
          <w:szCs w:val="26"/>
          <w:rtl/>
        </w:rPr>
        <w:t xml:space="preserve"> לחוק העונשין, קרי, בית המשפט יהיה רשאי לבטל את צו השל"צ, להרשיעו, ולהטיל עליו עונש אחר תחתיו.</w:t>
      </w:r>
    </w:p>
    <w:p w14:paraId="7C268112" w14:textId="77777777" w:rsidR="00DB7887" w:rsidRDefault="00DB7887" w:rsidP="00DB7887">
      <w:pPr>
        <w:numPr>
          <w:ilvl w:val="0"/>
          <w:numId w:val="2"/>
        </w:numPr>
        <w:spacing w:line="360" w:lineRule="auto"/>
        <w:jc w:val="both"/>
        <w:rPr>
          <w:rFonts w:ascii="David" w:hAnsi="David"/>
          <w:b/>
          <w:bCs/>
          <w:sz w:val="26"/>
          <w:szCs w:val="26"/>
        </w:rPr>
      </w:pPr>
      <w:r>
        <w:rPr>
          <w:rFonts w:ascii="David" w:hAnsi="David"/>
          <w:b/>
          <w:bCs/>
          <w:sz w:val="26"/>
          <w:szCs w:val="26"/>
          <w:rtl/>
        </w:rPr>
        <w:t>הנאש</w:t>
      </w:r>
      <w:r>
        <w:rPr>
          <w:rFonts w:ascii="David" w:hAnsi="David" w:hint="cs"/>
          <w:b/>
          <w:bCs/>
          <w:sz w:val="26"/>
          <w:szCs w:val="26"/>
          <w:rtl/>
        </w:rPr>
        <w:t>ם</w:t>
      </w:r>
      <w:r>
        <w:rPr>
          <w:rFonts w:ascii="David" w:hAnsi="David"/>
          <w:b/>
          <w:bCs/>
          <w:sz w:val="26"/>
          <w:szCs w:val="26"/>
          <w:rtl/>
        </w:rPr>
        <w:t xml:space="preserve"> </w:t>
      </w:r>
      <w:r>
        <w:rPr>
          <w:rFonts w:ascii="David" w:hAnsi="David" w:hint="cs"/>
          <w:b/>
          <w:bCs/>
          <w:sz w:val="26"/>
          <w:szCs w:val="26"/>
          <w:rtl/>
        </w:rPr>
        <w:t>י</w:t>
      </w:r>
      <w:r>
        <w:rPr>
          <w:rFonts w:ascii="David" w:hAnsi="David"/>
          <w:b/>
          <w:bCs/>
          <w:sz w:val="26"/>
          <w:szCs w:val="26"/>
          <w:rtl/>
        </w:rPr>
        <w:t xml:space="preserve">תחייב  בסכום של  5,000 ₪ למשך שנתיים </w:t>
      </w:r>
      <w:r>
        <w:rPr>
          <w:rFonts w:ascii="David" w:hAnsi="David" w:hint="cs"/>
          <w:b/>
          <w:bCs/>
          <w:sz w:val="26"/>
          <w:szCs w:val="26"/>
          <w:rtl/>
        </w:rPr>
        <w:t xml:space="preserve">מהיום </w:t>
      </w:r>
      <w:r>
        <w:rPr>
          <w:rFonts w:ascii="David" w:hAnsi="David"/>
          <w:b/>
          <w:bCs/>
          <w:sz w:val="26"/>
          <w:szCs w:val="26"/>
          <w:rtl/>
        </w:rPr>
        <w:t xml:space="preserve">שלא </w:t>
      </w:r>
      <w:r>
        <w:rPr>
          <w:rFonts w:ascii="David" w:hAnsi="David" w:hint="cs"/>
          <w:b/>
          <w:bCs/>
          <w:sz w:val="26"/>
          <w:szCs w:val="26"/>
          <w:rtl/>
        </w:rPr>
        <w:t>י</w:t>
      </w:r>
      <w:r>
        <w:rPr>
          <w:rFonts w:ascii="David" w:hAnsi="David"/>
          <w:b/>
          <w:bCs/>
          <w:sz w:val="26"/>
          <w:szCs w:val="26"/>
          <w:rtl/>
        </w:rPr>
        <w:t xml:space="preserve">עבור עבירה מסוג עוון או פשע על </w:t>
      </w:r>
      <w:hyperlink r:id="rId43" w:history="1">
        <w:r w:rsidR="0024453F" w:rsidRPr="0024453F">
          <w:rPr>
            <w:rFonts w:ascii="David" w:hAnsi="David"/>
            <w:b/>
            <w:bCs/>
            <w:color w:val="0000FF"/>
            <w:sz w:val="26"/>
            <w:szCs w:val="26"/>
            <w:u w:val="single"/>
            <w:rtl/>
          </w:rPr>
          <w:t>פקודת הסמים המסוכנים</w:t>
        </w:r>
      </w:hyperlink>
      <w:r>
        <w:rPr>
          <w:rFonts w:ascii="David" w:hAnsi="David"/>
          <w:b/>
          <w:bCs/>
          <w:sz w:val="26"/>
          <w:szCs w:val="26"/>
          <w:rtl/>
        </w:rPr>
        <w:t>.</w:t>
      </w:r>
    </w:p>
    <w:p w14:paraId="6C328E04" w14:textId="77777777" w:rsidR="00DB7887" w:rsidRPr="008A00D3" w:rsidRDefault="00DB7887" w:rsidP="00DB7887">
      <w:pPr>
        <w:rPr>
          <w:rFonts w:ascii="David" w:hAnsi="David"/>
          <w:b/>
          <w:bCs/>
          <w:sz w:val="26"/>
          <w:szCs w:val="26"/>
          <w:rtl/>
        </w:rPr>
      </w:pPr>
    </w:p>
    <w:p w14:paraId="6A7F20AB" w14:textId="77777777" w:rsidR="00DB7887" w:rsidRPr="000A6569" w:rsidRDefault="00DB7887" w:rsidP="00DB7887">
      <w:pPr>
        <w:rPr>
          <w:rFonts w:ascii="David" w:hAnsi="David"/>
          <w:b/>
          <w:bCs/>
          <w:sz w:val="26"/>
          <w:szCs w:val="26"/>
          <w:rtl/>
        </w:rPr>
      </w:pPr>
    </w:p>
    <w:p w14:paraId="2A152BA5" w14:textId="77777777" w:rsidR="00DB7887" w:rsidRPr="000A6569" w:rsidRDefault="00DB7887" w:rsidP="00DB7887">
      <w:pPr>
        <w:spacing w:line="360" w:lineRule="auto"/>
        <w:ind w:left="1080"/>
        <w:jc w:val="both"/>
        <w:rPr>
          <w:rFonts w:ascii="David" w:hAnsi="David"/>
          <w:b/>
          <w:bCs/>
          <w:sz w:val="26"/>
          <w:szCs w:val="26"/>
          <w:rtl/>
        </w:rPr>
      </w:pPr>
      <w:r w:rsidRPr="000A6569">
        <w:rPr>
          <w:rFonts w:ascii="David" w:hAnsi="David"/>
          <w:b/>
          <w:bCs/>
          <w:sz w:val="26"/>
          <w:szCs w:val="26"/>
          <w:rtl/>
        </w:rPr>
        <w:t>סמים שנתפסו בחקירה , יושמדו.</w:t>
      </w:r>
    </w:p>
    <w:p w14:paraId="09382586" w14:textId="77777777" w:rsidR="00DB7887" w:rsidRPr="000A6569" w:rsidRDefault="00DB7887" w:rsidP="00DB7887">
      <w:pPr>
        <w:spacing w:line="360" w:lineRule="auto"/>
        <w:ind w:left="1080"/>
        <w:jc w:val="both"/>
        <w:rPr>
          <w:rFonts w:ascii="David" w:hAnsi="David"/>
          <w:b/>
          <w:bCs/>
          <w:sz w:val="26"/>
          <w:szCs w:val="26"/>
        </w:rPr>
      </w:pPr>
      <w:r w:rsidRPr="000A6569">
        <w:rPr>
          <w:rFonts w:ascii="David" w:hAnsi="David" w:hint="cs"/>
          <w:b/>
          <w:bCs/>
          <w:sz w:val="26"/>
          <w:szCs w:val="26"/>
          <w:rtl/>
        </w:rPr>
        <w:t>כן אני מורה על חילוט מכשירי הטלפון של הנאשם שנתפסו</w:t>
      </w:r>
      <w:r>
        <w:rPr>
          <w:rFonts w:ascii="David" w:hAnsi="David" w:hint="cs"/>
          <w:b/>
          <w:bCs/>
          <w:sz w:val="26"/>
          <w:szCs w:val="26"/>
          <w:rtl/>
        </w:rPr>
        <w:t>,</w:t>
      </w:r>
      <w:r w:rsidRPr="000A6569">
        <w:rPr>
          <w:rFonts w:ascii="David" w:hAnsi="David" w:hint="cs"/>
          <w:b/>
          <w:bCs/>
          <w:sz w:val="26"/>
          <w:szCs w:val="26"/>
          <w:rtl/>
        </w:rPr>
        <w:t xml:space="preserve"> </w:t>
      </w:r>
      <w:r>
        <w:rPr>
          <w:rFonts w:ascii="David" w:hAnsi="David" w:hint="cs"/>
          <w:b/>
          <w:bCs/>
          <w:sz w:val="26"/>
          <w:szCs w:val="26"/>
          <w:rtl/>
        </w:rPr>
        <w:t xml:space="preserve">לטובת המאשימה. </w:t>
      </w:r>
    </w:p>
    <w:p w14:paraId="4A042B38" w14:textId="77777777" w:rsidR="00DB7887" w:rsidRPr="000A6569" w:rsidRDefault="00DB7887" w:rsidP="00DB7887">
      <w:pPr>
        <w:spacing w:line="360" w:lineRule="auto"/>
        <w:jc w:val="both"/>
        <w:rPr>
          <w:rFonts w:ascii="David" w:hAnsi="David"/>
          <w:b/>
          <w:bCs/>
          <w:sz w:val="26"/>
          <w:szCs w:val="26"/>
        </w:rPr>
      </w:pPr>
    </w:p>
    <w:p w14:paraId="1CFADD43" w14:textId="77777777" w:rsidR="00DB7887" w:rsidRDefault="00DB7887" w:rsidP="00DB7887">
      <w:pPr>
        <w:spacing w:line="360" w:lineRule="auto"/>
        <w:jc w:val="both"/>
        <w:rPr>
          <w:rFonts w:ascii="David" w:hAnsi="David"/>
          <w:sz w:val="26"/>
          <w:szCs w:val="26"/>
          <w:rtl/>
        </w:rPr>
      </w:pPr>
      <w:r w:rsidRPr="000A6569">
        <w:rPr>
          <w:rFonts w:ascii="David" w:hAnsi="David"/>
          <w:sz w:val="26"/>
          <w:szCs w:val="26"/>
          <w:rtl/>
        </w:rPr>
        <w:t>מזכירות בית המשפט תמציא את העתק גזר דין לשירות המבחן למבוגרים</w:t>
      </w:r>
      <w:r>
        <w:rPr>
          <w:rFonts w:ascii="David" w:hAnsi="David" w:hint="cs"/>
          <w:sz w:val="26"/>
          <w:szCs w:val="26"/>
          <w:rtl/>
        </w:rPr>
        <w:t>.</w:t>
      </w:r>
    </w:p>
    <w:p w14:paraId="5F07059D" w14:textId="77777777" w:rsidR="00DB7887" w:rsidRPr="000A6569" w:rsidRDefault="00DB7887" w:rsidP="00DB7887">
      <w:pPr>
        <w:spacing w:line="360" w:lineRule="auto"/>
        <w:jc w:val="both"/>
        <w:rPr>
          <w:rFonts w:ascii="David" w:hAnsi="David"/>
          <w:b/>
          <w:bCs/>
          <w:sz w:val="26"/>
          <w:szCs w:val="26"/>
          <w:rtl/>
        </w:rPr>
      </w:pPr>
      <w:r w:rsidRPr="000A6569">
        <w:rPr>
          <w:rFonts w:ascii="David" w:hAnsi="David"/>
          <w:sz w:val="26"/>
          <w:szCs w:val="26"/>
          <w:rtl/>
        </w:rPr>
        <w:t xml:space="preserve"> </w:t>
      </w:r>
    </w:p>
    <w:p w14:paraId="2B6F53AB" w14:textId="77777777" w:rsidR="00DB7887" w:rsidRPr="000A6569" w:rsidRDefault="0024453F" w:rsidP="00DB7887">
      <w:pPr>
        <w:spacing w:line="360" w:lineRule="auto"/>
        <w:jc w:val="both"/>
        <w:rPr>
          <w:rFonts w:ascii="David" w:hAnsi="David"/>
          <w:sz w:val="26"/>
          <w:szCs w:val="26"/>
          <w:rtl/>
        </w:rPr>
      </w:pPr>
      <w:r w:rsidRPr="0024453F">
        <w:rPr>
          <w:rFonts w:ascii="David" w:hAnsi="David"/>
          <w:color w:val="FFFFFF"/>
          <w:sz w:val="2"/>
          <w:szCs w:val="2"/>
          <w:rtl/>
        </w:rPr>
        <w:t>5129371</w:t>
      </w:r>
      <w:r w:rsidR="00DB7887" w:rsidRPr="000A6569">
        <w:rPr>
          <w:rFonts w:ascii="David" w:hAnsi="David"/>
          <w:sz w:val="26"/>
          <w:szCs w:val="26"/>
          <w:rtl/>
        </w:rPr>
        <w:t>זכות ערעור לבית המשפט המחוזי בירושלים בתוך 45 יום מהיום.</w:t>
      </w:r>
    </w:p>
    <w:p w14:paraId="68E995B8" w14:textId="77777777" w:rsidR="00DB7887" w:rsidRPr="0024453F" w:rsidRDefault="0024453F" w:rsidP="00DB7887">
      <w:pPr>
        <w:rPr>
          <w:rFonts w:ascii="David" w:hAnsi="David"/>
          <w:b/>
          <w:bCs/>
          <w:color w:val="FFFFFF"/>
          <w:sz w:val="2"/>
          <w:szCs w:val="2"/>
          <w:rtl/>
        </w:rPr>
      </w:pPr>
      <w:r w:rsidRPr="0024453F">
        <w:rPr>
          <w:rFonts w:ascii="David" w:hAnsi="David"/>
          <w:b/>
          <w:bCs/>
          <w:color w:val="FFFFFF"/>
          <w:sz w:val="2"/>
          <w:szCs w:val="2"/>
          <w:rtl/>
        </w:rPr>
        <w:t>54678313</w:t>
      </w:r>
    </w:p>
    <w:p w14:paraId="6421A270" w14:textId="77777777" w:rsidR="00DB7887" w:rsidRPr="000A6569" w:rsidRDefault="00DB7887" w:rsidP="00DB7887">
      <w:pPr>
        <w:rPr>
          <w:rFonts w:ascii="David" w:hAnsi="David"/>
          <w:b/>
          <w:bCs/>
          <w:sz w:val="26"/>
          <w:szCs w:val="26"/>
          <w:rtl/>
        </w:rPr>
      </w:pPr>
    </w:p>
    <w:p w14:paraId="7961806B" w14:textId="77777777" w:rsidR="00DB7887" w:rsidRPr="000A6569" w:rsidRDefault="0024453F" w:rsidP="00DB7887">
      <w:pPr>
        <w:spacing w:line="360" w:lineRule="auto"/>
        <w:jc w:val="both"/>
        <w:rPr>
          <w:rFonts w:ascii="David" w:hAnsi="David"/>
          <w:b/>
          <w:bCs/>
          <w:sz w:val="26"/>
          <w:szCs w:val="26"/>
          <w:rtl/>
        </w:rPr>
      </w:pPr>
      <w:bookmarkStart w:id="8" w:name="Nitan"/>
      <w:r>
        <w:rPr>
          <w:rFonts w:ascii="David" w:hAnsi="David"/>
          <w:b/>
          <w:bCs/>
          <w:sz w:val="26"/>
          <w:szCs w:val="26"/>
          <w:rtl/>
        </w:rPr>
        <w:t xml:space="preserve">ניתן היום,  ג' סיוון תשפ"ג, 23 מאי 2023, בהעדר הצדדים. </w:t>
      </w:r>
      <w:bookmarkEnd w:id="8"/>
      <w:r w:rsidR="00DB7887" w:rsidRPr="000A6569">
        <w:rPr>
          <w:rFonts w:ascii="David" w:hAnsi="David"/>
          <w:b/>
          <w:bCs/>
          <w:sz w:val="26"/>
          <w:szCs w:val="26"/>
          <w:rtl/>
        </w:rPr>
        <w:tab/>
      </w:r>
      <w:r w:rsidR="00DB7887" w:rsidRPr="000A6569">
        <w:rPr>
          <w:rFonts w:ascii="David" w:hAnsi="David"/>
          <w:b/>
          <w:bCs/>
          <w:sz w:val="26"/>
          <w:szCs w:val="26"/>
          <w:rtl/>
        </w:rPr>
        <w:tab/>
      </w:r>
      <w:r w:rsidR="00DB7887" w:rsidRPr="000A6569">
        <w:rPr>
          <w:rFonts w:ascii="David" w:hAnsi="David"/>
          <w:b/>
          <w:bCs/>
          <w:sz w:val="26"/>
          <w:szCs w:val="26"/>
          <w:rtl/>
        </w:rPr>
        <w:tab/>
      </w:r>
      <w:r w:rsidR="00DB7887" w:rsidRPr="000A6569">
        <w:rPr>
          <w:rFonts w:ascii="David" w:hAnsi="David"/>
          <w:b/>
          <w:bCs/>
          <w:sz w:val="26"/>
          <w:szCs w:val="26"/>
          <w:rtl/>
        </w:rPr>
        <w:tab/>
      </w:r>
      <w:r w:rsidR="00DB7887" w:rsidRPr="000A6569">
        <w:rPr>
          <w:rFonts w:ascii="David" w:hAnsi="David"/>
          <w:b/>
          <w:bCs/>
          <w:sz w:val="26"/>
          <w:szCs w:val="26"/>
          <w:rtl/>
        </w:rPr>
        <w:tab/>
      </w:r>
      <w:r w:rsidR="00DB7887" w:rsidRPr="000A6569">
        <w:rPr>
          <w:rFonts w:ascii="David" w:hAnsi="David"/>
          <w:b/>
          <w:bCs/>
          <w:sz w:val="26"/>
          <w:szCs w:val="26"/>
          <w:rtl/>
        </w:rPr>
        <w:tab/>
      </w:r>
      <w:r w:rsidR="00DB7887" w:rsidRPr="000A6569">
        <w:rPr>
          <w:rFonts w:ascii="David" w:hAnsi="David"/>
          <w:b/>
          <w:bCs/>
          <w:sz w:val="26"/>
          <w:szCs w:val="26"/>
          <w:rtl/>
        </w:rPr>
        <w:tab/>
        <w:t xml:space="preserve">         </w:t>
      </w:r>
    </w:p>
    <w:p w14:paraId="2C8891FE" w14:textId="77777777" w:rsidR="00DB7887" w:rsidRPr="000A6569" w:rsidRDefault="00DB7887" w:rsidP="0024453F">
      <w:pPr>
        <w:jc w:val="center"/>
      </w:pPr>
      <w:r w:rsidRPr="000A6569">
        <w:rPr>
          <w:rFonts w:ascii="David" w:hAnsi="David"/>
          <w:b/>
          <w:bCs/>
          <w:sz w:val="26"/>
          <w:szCs w:val="26"/>
          <w:rtl/>
        </w:rPr>
        <w:t xml:space="preserve">   </w:t>
      </w:r>
      <w:r w:rsidRPr="000A6569">
        <w:rPr>
          <w:rFonts w:ascii="David" w:hAnsi="David"/>
          <w:b/>
          <w:bCs/>
          <w:sz w:val="26"/>
          <w:szCs w:val="26"/>
          <w:rtl/>
        </w:rPr>
        <w:tab/>
      </w:r>
      <w:r w:rsidRPr="000A6569">
        <w:rPr>
          <w:rFonts w:ascii="David" w:hAnsi="David"/>
          <w:b/>
          <w:bCs/>
          <w:sz w:val="26"/>
          <w:szCs w:val="26"/>
          <w:rtl/>
        </w:rPr>
        <w:tab/>
      </w:r>
      <w:r w:rsidRPr="000A6569">
        <w:rPr>
          <w:rFonts w:ascii="David" w:hAnsi="David"/>
          <w:b/>
          <w:bCs/>
          <w:sz w:val="26"/>
          <w:szCs w:val="26"/>
          <w:rtl/>
        </w:rPr>
        <w:tab/>
      </w:r>
      <w:r w:rsidRPr="000A6569">
        <w:rPr>
          <w:rFonts w:ascii="David" w:hAnsi="David"/>
          <w:b/>
          <w:bCs/>
          <w:sz w:val="26"/>
          <w:szCs w:val="26"/>
          <w:rtl/>
        </w:rPr>
        <w:tab/>
      </w:r>
      <w:r w:rsidRPr="000A6569">
        <w:rPr>
          <w:rFonts w:ascii="David" w:hAnsi="David"/>
          <w:b/>
          <w:bCs/>
          <w:sz w:val="26"/>
          <w:szCs w:val="26"/>
          <w:rtl/>
        </w:rPr>
        <w:tab/>
      </w:r>
    </w:p>
    <w:p w14:paraId="0E558056" w14:textId="77777777" w:rsidR="00DB7887" w:rsidRPr="000A6569" w:rsidRDefault="00DB7887" w:rsidP="00DB7887">
      <w:pPr>
        <w:jc w:val="center"/>
        <w:rPr>
          <w:rFonts w:ascii="David" w:hAnsi="David"/>
          <w:b/>
          <w:bCs/>
          <w:sz w:val="26"/>
          <w:szCs w:val="26"/>
          <w:rtl/>
        </w:rPr>
      </w:pPr>
    </w:p>
    <w:p w14:paraId="01292C87" w14:textId="77777777" w:rsidR="00282BA8" w:rsidRPr="0024453F" w:rsidRDefault="00282BA8" w:rsidP="0024453F">
      <w:pPr>
        <w:keepNext/>
        <w:rPr>
          <w:rFonts w:ascii="David" w:hAnsi="David"/>
          <w:color w:val="000000"/>
          <w:sz w:val="22"/>
          <w:szCs w:val="22"/>
          <w:rtl/>
        </w:rPr>
      </w:pPr>
    </w:p>
    <w:p w14:paraId="239DDCE2" w14:textId="77777777" w:rsidR="0024453F" w:rsidRPr="0024453F" w:rsidRDefault="0024453F" w:rsidP="0024453F">
      <w:pPr>
        <w:keepNext/>
        <w:rPr>
          <w:rFonts w:ascii="David" w:hAnsi="David"/>
          <w:color w:val="000000"/>
          <w:sz w:val="22"/>
          <w:szCs w:val="22"/>
          <w:rtl/>
        </w:rPr>
      </w:pPr>
      <w:r w:rsidRPr="0024453F">
        <w:rPr>
          <w:rFonts w:ascii="David" w:hAnsi="David"/>
          <w:color w:val="000000"/>
          <w:sz w:val="22"/>
          <w:szCs w:val="22"/>
          <w:rtl/>
        </w:rPr>
        <w:t>סיגל אלבו 54678313</w:t>
      </w:r>
    </w:p>
    <w:p w14:paraId="7A2F9986" w14:textId="77777777" w:rsidR="0024453F" w:rsidRDefault="0024453F" w:rsidP="0024453F">
      <w:r w:rsidRPr="0024453F">
        <w:rPr>
          <w:color w:val="000000"/>
          <w:rtl/>
        </w:rPr>
        <w:t>נוסח מסמך זה כפוף לשינויי ניסוח ועריכה</w:t>
      </w:r>
    </w:p>
    <w:p w14:paraId="0F21A3B4" w14:textId="77777777" w:rsidR="0024453F" w:rsidRDefault="0024453F" w:rsidP="0024453F">
      <w:pPr>
        <w:rPr>
          <w:rtl/>
        </w:rPr>
      </w:pPr>
    </w:p>
    <w:p w14:paraId="1891EF8F" w14:textId="77777777" w:rsidR="0024453F" w:rsidRDefault="0024453F" w:rsidP="0024453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19FF926" w14:textId="77777777" w:rsidR="0024453F" w:rsidRPr="0024453F" w:rsidRDefault="0024453F" w:rsidP="0024453F">
      <w:pPr>
        <w:jc w:val="center"/>
        <w:rPr>
          <w:color w:val="0000FF"/>
          <w:u w:val="single"/>
        </w:rPr>
      </w:pPr>
    </w:p>
    <w:sectPr w:rsidR="0024453F" w:rsidRPr="0024453F" w:rsidSect="0024453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6C0A0" w14:textId="77777777" w:rsidR="00AA7FB1" w:rsidRDefault="00AA7FB1" w:rsidP="00494FBE">
      <w:r>
        <w:separator/>
      </w:r>
    </w:p>
  </w:endnote>
  <w:endnote w:type="continuationSeparator" w:id="0">
    <w:p w14:paraId="45A1023D" w14:textId="77777777" w:rsidR="00AA7FB1" w:rsidRDefault="00AA7FB1" w:rsidP="0049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94D01" w14:textId="77777777" w:rsidR="0024453F" w:rsidRDefault="0024453F" w:rsidP="002445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2C0040" w14:textId="77777777" w:rsidR="0093563E" w:rsidRPr="0024453F" w:rsidRDefault="0024453F" w:rsidP="002445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D7C6E" w14:textId="77777777" w:rsidR="0024453F" w:rsidRDefault="0024453F" w:rsidP="002445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289E">
      <w:rPr>
        <w:rFonts w:ascii="FrankRuehl" w:hAnsi="FrankRuehl" w:cs="FrankRuehl"/>
        <w:noProof/>
        <w:rtl/>
      </w:rPr>
      <w:t>1</w:t>
    </w:r>
    <w:r>
      <w:rPr>
        <w:rFonts w:ascii="FrankRuehl" w:hAnsi="FrankRuehl" w:cs="FrankRuehl"/>
        <w:rtl/>
      </w:rPr>
      <w:fldChar w:fldCharType="end"/>
    </w:r>
  </w:p>
  <w:p w14:paraId="749B2CAC" w14:textId="77777777" w:rsidR="0093563E" w:rsidRPr="0024453F" w:rsidRDefault="0024453F" w:rsidP="002445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ADA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6FE92" w14:textId="77777777" w:rsidR="00AA7FB1" w:rsidRDefault="00AA7FB1" w:rsidP="00494FBE">
      <w:r>
        <w:separator/>
      </w:r>
    </w:p>
  </w:footnote>
  <w:footnote w:type="continuationSeparator" w:id="0">
    <w:p w14:paraId="1CF7B6EF" w14:textId="77777777" w:rsidR="00AA7FB1" w:rsidRDefault="00AA7FB1" w:rsidP="0049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2A9AC" w14:textId="77777777" w:rsidR="0024453F" w:rsidRPr="0024453F" w:rsidRDefault="0024453F" w:rsidP="002445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9758-01-21</w:t>
    </w:r>
    <w:r>
      <w:rPr>
        <w:rFonts w:ascii="David" w:hAnsi="David"/>
        <w:color w:val="000000"/>
        <w:sz w:val="22"/>
        <w:szCs w:val="22"/>
        <w:rtl/>
      </w:rPr>
      <w:tab/>
      <w:t xml:space="preserve"> מדינת ישראל נ' נחמן ציוני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BD39A" w14:textId="77777777" w:rsidR="0024453F" w:rsidRPr="0024453F" w:rsidRDefault="0024453F" w:rsidP="002445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9758-01-21</w:t>
    </w:r>
    <w:r>
      <w:rPr>
        <w:rFonts w:ascii="David" w:hAnsi="David"/>
        <w:color w:val="000000"/>
        <w:sz w:val="22"/>
        <w:szCs w:val="22"/>
        <w:rtl/>
      </w:rPr>
      <w:tab/>
      <w:t xml:space="preserve"> מדינת ישראל נ' נחמן ציוני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21FE88A8"/>
    <w:lvl w:ilvl="0" w:tplc="DE305AAE">
      <w:start w:val="1"/>
      <w:numFmt w:val="decimal"/>
      <w:lvlText w:val="%1."/>
      <w:lvlJc w:val="left"/>
      <w:pPr>
        <w:ind w:left="720" w:hanging="360"/>
      </w:pPr>
      <w:rPr>
        <w:rFonts w:cs="Times New Roman"/>
        <w:b w:val="0"/>
        <w:bCs w:val="0"/>
      </w:rPr>
    </w:lvl>
    <w:lvl w:ilvl="1" w:tplc="41F49742">
      <w:start w:val="1"/>
      <w:numFmt w:val="lowerLetter"/>
      <w:lvlText w:val="%2."/>
      <w:lvlJc w:val="left"/>
      <w:pPr>
        <w:ind w:left="1440" w:hanging="360"/>
      </w:pPr>
      <w:rPr>
        <w:rFonts w:cs="Times New Roman"/>
      </w:rPr>
    </w:lvl>
    <w:lvl w:ilvl="2" w:tplc="2048C276">
      <w:start w:val="1"/>
      <w:numFmt w:val="lowerRoman"/>
      <w:lvlText w:val="%3."/>
      <w:lvlJc w:val="right"/>
      <w:pPr>
        <w:ind w:left="2160" w:hanging="180"/>
      </w:pPr>
      <w:rPr>
        <w:rFonts w:cs="Times New Roman"/>
        <w:lang w:val="en-US"/>
      </w:rPr>
    </w:lvl>
    <w:lvl w:ilvl="3" w:tplc="60041364">
      <w:start w:val="1"/>
      <w:numFmt w:val="decimal"/>
      <w:lvlText w:val="%4."/>
      <w:lvlJc w:val="left"/>
      <w:pPr>
        <w:ind w:left="2880" w:hanging="360"/>
      </w:pPr>
      <w:rPr>
        <w:rFonts w:cs="Times New Roman"/>
      </w:rPr>
    </w:lvl>
    <w:lvl w:ilvl="4" w:tplc="2AB6FFCC">
      <w:start w:val="1"/>
      <w:numFmt w:val="lowerLetter"/>
      <w:lvlText w:val="%5."/>
      <w:lvlJc w:val="left"/>
      <w:pPr>
        <w:ind w:left="3600" w:hanging="360"/>
      </w:pPr>
      <w:rPr>
        <w:rFonts w:cs="Times New Roman"/>
      </w:rPr>
    </w:lvl>
    <w:lvl w:ilvl="5" w:tplc="DD34907A">
      <w:start w:val="1"/>
      <w:numFmt w:val="lowerRoman"/>
      <w:lvlText w:val="%6."/>
      <w:lvlJc w:val="right"/>
      <w:pPr>
        <w:ind w:left="4320" w:hanging="180"/>
      </w:pPr>
      <w:rPr>
        <w:rFonts w:cs="Times New Roman"/>
      </w:rPr>
    </w:lvl>
    <w:lvl w:ilvl="6" w:tplc="1D6E5A36">
      <w:start w:val="1"/>
      <w:numFmt w:val="decimal"/>
      <w:lvlText w:val="%7."/>
      <w:lvlJc w:val="left"/>
      <w:pPr>
        <w:ind w:left="5040" w:hanging="360"/>
      </w:pPr>
      <w:rPr>
        <w:rFonts w:cs="Times New Roman"/>
      </w:rPr>
    </w:lvl>
    <w:lvl w:ilvl="7" w:tplc="46688E9A">
      <w:start w:val="1"/>
      <w:numFmt w:val="lowerLetter"/>
      <w:lvlText w:val="%8."/>
      <w:lvlJc w:val="left"/>
      <w:pPr>
        <w:ind w:left="5760" w:hanging="360"/>
      </w:pPr>
      <w:rPr>
        <w:rFonts w:cs="Times New Roman"/>
      </w:rPr>
    </w:lvl>
    <w:lvl w:ilvl="8" w:tplc="1206B358">
      <w:start w:val="1"/>
      <w:numFmt w:val="lowerRoman"/>
      <w:lvlText w:val="%9."/>
      <w:lvlJc w:val="right"/>
      <w:pPr>
        <w:ind w:left="6480" w:hanging="180"/>
      </w:pPr>
      <w:rPr>
        <w:rFonts w:cs="Times New Roman"/>
      </w:rPr>
    </w:lvl>
  </w:abstractNum>
  <w:abstractNum w:abstractNumId="1" w15:restartNumberingAfterBreak="0">
    <w:nsid w:val="307F3395"/>
    <w:multiLevelType w:val="hybridMultilevel"/>
    <w:tmpl w:val="4AF2737C"/>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05948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822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7887"/>
    <w:rsid w:val="00014985"/>
    <w:rsid w:val="00051BC4"/>
    <w:rsid w:val="001B5A3B"/>
    <w:rsid w:val="0024453F"/>
    <w:rsid w:val="00282BA8"/>
    <w:rsid w:val="0048766B"/>
    <w:rsid w:val="00494FBE"/>
    <w:rsid w:val="005178D8"/>
    <w:rsid w:val="005E5605"/>
    <w:rsid w:val="00677563"/>
    <w:rsid w:val="008757D2"/>
    <w:rsid w:val="0093563E"/>
    <w:rsid w:val="00AA7FB1"/>
    <w:rsid w:val="00C6289E"/>
    <w:rsid w:val="00DB7887"/>
    <w:rsid w:val="00E0240D"/>
    <w:rsid w:val="00EF4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B615D5"/>
  <w15:chartTrackingRefBased/>
  <w15:docId w15:val="{E7545431-F3A2-4EAB-B64E-A286F371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78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7887"/>
    <w:pPr>
      <w:tabs>
        <w:tab w:val="center" w:pos="4153"/>
        <w:tab w:val="right" w:pos="8306"/>
      </w:tabs>
    </w:pPr>
  </w:style>
  <w:style w:type="character" w:customStyle="1" w:styleId="a4">
    <w:name w:val="כותרת עליונה תו"/>
    <w:link w:val="a3"/>
    <w:rsid w:val="00DB7887"/>
    <w:rPr>
      <w:rFonts w:ascii="Times New Roman" w:eastAsia="Times New Roman" w:hAnsi="Times New Roman" w:cs="David"/>
      <w:sz w:val="24"/>
      <w:szCs w:val="24"/>
    </w:rPr>
  </w:style>
  <w:style w:type="paragraph" w:styleId="a5">
    <w:name w:val="footer"/>
    <w:basedOn w:val="a"/>
    <w:link w:val="a6"/>
    <w:rsid w:val="00DB7887"/>
    <w:pPr>
      <w:tabs>
        <w:tab w:val="center" w:pos="4153"/>
        <w:tab w:val="right" w:pos="8306"/>
      </w:tabs>
    </w:pPr>
  </w:style>
  <w:style w:type="character" w:customStyle="1" w:styleId="a6">
    <w:name w:val="כותרת תחתונה תו"/>
    <w:link w:val="a5"/>
    <w:rsid w:val="00DB7887"/>
    <w:rPr>
      <w:rFonts w:ascii="Times New Roman" w:eastAsia="Times New Roman" w:hAnsi="Times New Roman" w:cs="David"/>
      <w:sz w:val="24"/>
      <w:szCs w:val="24"/>
    </w:rPr>
  </w:style>
  <w:style w:type="table" w:styleId="a7">
    <w:name w:val="Table Grid"/>
    <w:basedOn w:val="a1"/>
    <w:rsid w:val="00DB78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7887"/>
  </w:style>
  <w:style w:type="character" w:styleId="Hyperlink">
    <w:name w:val="Hyperlink"/>
    <w:rsid w:val="00DB7887"/>
    <w:rPr>
      <w:color w:val="0000FF"/>
      <w:u w:val="single"/>
    </w:rPr>
  </w:style>
  <w:style w:type="paragraph" w:styleId="a9">
    <w:name w:val="List Paragraph"/>
    <w:basedOn w:val="a"/>
    <w:qFormat/>
    <w:rsid w:val="00DB7887"/>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114120"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248029" TargetMode="External"/><Relationship Id="rId42" Type="http://schemas.openxmlformats.org/officeDocument/2006/relationships/hyperlink" Target="http://www.nevo.co.il/law/70301/71d"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4971234"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5611948" TargetMode="External"/><Relationship Id="rId32" Type="http://schemas.openxmlformats.org/officeDocument/2006/relationships/hyperlink" Target="http://www.nevo.co.il/case/23158178" TargetMode="External"/><Relationship Id="rId37" Type="http://schemas.openxmlformats.org/officeDocument/2006/relationships/hyperlink" Target="http://www.nevo.co.il/case/25685411" TargetMode="External"/><Relationship Id="rId40" Type="http://schemas.openxmlformats.org/officeDocument/2006/relationships/hyperlink" Target="http://www.nevo.co.il/law/70301/71a.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71d" TargetMode="External"/><Relationship Id="rId23" Type="http://schemas.openxmlformats.org/officeDocument/2006/relationships/hyperlink" Target="http://www.nevo.co.il/case/21473702" TargetMode="External"/><Relationship Id="rId28" Type="http://schemas.openxmlformats.org/officeDocument/2006/relationships/hyperlink" Target="http://www.nevo.co.il/case/4175255" TargetMode="External"/><Relationship Id="rId36" Type="http://schemas.openxmlformats.org/officeDocument/2006/relationships/hyperlink" Target="http://www.nevo.co.il/case/27351133" TargetMode="External"/><Relationship Id="rId49" Type="http://schemas.openxmlformats.org/officeDocument/2006/relationships/fontTable" Target="fontTable.xml"/><Relationship Id="rId10" Type="http://schemas.openxmlformats.org/officeDocument/2006/relationships/hyperlink" Target="http://www.nevo.co.il/law/4216/37a.a" TargetMode="External"/><Relationship Id="rId19" Type="http://schemas.openxmlformats.org/officeDocument/2006/relationships/hyperlink" Target="http://www.nevo.co.il/law/74903/192a" TargetMode="External"/><Relationship Id="rId31" Type="http://schemas.openxmlformats.org/officeDocument/2006/relationships/hyperlink" Target="http://www.nevo.co.il/case/20632055"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71a.e"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5583699" TargetMode="External"/><Relationship Id="rId30" Type="http://schemas.openxmlformats.org/officeDocument/2006/relationships/hyperlink" Target="http://www.nevo.co.il/case/25271452" TargetMode="External"/><Relationship Id="rId35" Type="http://schemas.openxmlformats.org/officeDocument/2006/relationships/hyperlink" Target="http://www.nevo.co.il/case/20157961"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4903/192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0732711" TargetMode="External"/><Relationship Id="rId33" Type="http://schemas.openxmlformats.org/officeDocument/2006/relationships/hyperlink" Target="http://www.nevo.co.il/case/26542736" TargetMode="External"/><Relationship Id="rId38" Type="http://schemas.openxmlformats.org/officeDocument/2006/relationships/hyperlink" Target="http://www.nevo.co.il/law/4216/37a.a" TargetMode="External"/><Relationship Id="rId46" Type="http://schemas.openxmlformats.org/officeDocument/2006/relationships/header" Target="header2.xml"/><Relationship Id="rId20" Type="http://schemas.openxmlformats.org/officeDocument/2006/relationships/hyperlink" Target="http://www.nevo.co.il/law/7490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4175</Words>
  <Characters>20879</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25004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6553698</vt:i4>
      </vt:variant>
      <vt:variant>
        <vt:i4>105</vt:i4>
      </vt:variant>
      <vt:variant>
        <vt:i4>0</vt:i4>
      </vt:variant>
      <vt:variant>
        <vt:i4>5</vt:i4>
      </vt:variant>
      <vt:variant>
        <vt:lpwstr>http://www.nevo.co.il/law/70301/71d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4849667</vt:i4>
      </vt:variant>
      <vt:variant>
        <vt:i4>99</vt:i4>
      </vt:variant>
      <vt:variant>
        <vt:i4>0</vt:i4>
      </vt:variant>
      <vt:variant>
        <vt:i4>5</vt:i4>
      </vt:variant>
      <vt:variant>
        <vt:lpwstr>http://www.nevo.co.il/law/70301/71a.e</vt:lpwstr>
      </vt:variant>
      <vt:variant>
        <vt:lpwstr/>
      </vt:variant>
      <vt:variant>
        <vt:i4>8257637</vt:i4>
      </vt:variant>
      <vt:variant>
        <vt:i4>96</vt:i4>
      </vt:variant>
      <vt:variant>
        <vt:i4>0</vt:i4>
      </vt:variant>
      <vt:variant>
        <vt:i4>5</vt:i4>
      </vt:variant>
      <vt:variant>
        <vt:lpwstr>http://www.nevo.co.il/law/4216</vt:lpwstr>
      </vt:variant>
      <vt:variant>
        <vt:lpwstr/>
      </vt:variant>
      <vt:variant>
        <vt:i4>5046355</vt:i4>
      </vt:variant>
      <vt:variant>
        <vt:i4>93</vt:i4>
      </vt:variant>
      <vt:variant>
        <vt:i4>0</vt:i4>
      </vt:variant>
      <vt:variant>
        <vt:i4>5</vt:i4>
      </vt:variant>
      <vt:variant>
        <vt:lpwstr>http://www.nevo.co.il/law/4216/37a.a</vt:lpwstr>
      </vt:variant>
      <vt:variant>
        <vt:lpwstr/>
      </vt:variant>
      <vt:variant>
        <vt:i4>3145853</vt:i4>
      </vt:variant>
      <vt:variant>
        <vt:i4>90</vt:i4>
      </vt:variant>
      <vt:variant>
        <vt:i4>0</vt:i4>
      </vt:variant>
      <vt:variant>
        <vt:i4>5</vt:i4>
      </vt:variant>
      <vt:variant>
        <vt:lpwstr>http://www.nevo.co.il/case/25685411</vt:lpwstr>
      </vt:variant>
      <vt:variant>
        <vt:lpwstr/>
      </vt:variant>
      <vt:variant>
        <vt:i4>3342455</vt:i4>
      </vt:variant>
      <vt:variant>
        <vt:i4>87</vt:i4>
      </vt:variant>
      <vt:variant>
        <vt:i4>0</vt:i4>
      </vt:variant>
      <vt:variant>
        <vt:i4>5</vt:i4>
      </vt:variant>
      <vt:variant>
        <vt:lpwstr>http://www.nevo.co.il/case/27351133</vt:lpwstr>
      </vt:variant>
      <vt:variant>
        <vt:lpwstr/>
      </vt:variant>
      <vt:variant>
        <vt:i4>3276920</vt:i4>
      </vt:variant>
      <vt:variant>
        <vt:i4>84</vt:i4>
      </vt:variant>
      <vt:variant>
        <vt:i4>0</vt:i4>
      </vt:variant>
      <vt:variant>
        <vt:i4>5</vt:i4>
      </vt:variant>
      <vt:variant>
        <vt:lpwstr>http://www.nevo.co.il/case/20157961</vt:lpwstr>
      </vt:variant>
      <vt:variant>
        <vt:lpwstr/>
      </vt:variant>
      <vt:variant>
        <vt:i4>3866748</vt:i4>
      </vt:variant>
      <vt:variant>
        <vt:i4>81</vt:i4>
      </vt:variant>
      <vt:variant>
        <vt:i4>0</vt:i4>
      </vt:variant>
      <vt:variant>
        <vt:i4>5</vt:i4>
      </vt:variant>
      <vt:variant>
        <vt:lpwstr>http://www.nevo.co.il/case/6248029</vt:lpwstr>
      </vt:variant>
      <vt:variant>
        <vt:lpwstr/>
      </vt:variant>
      <vt:variant>
        <vt:i4>3539057</vt:i4>
      </vt:variant>
      <vt:variant>
        <vt:i4>78</vt:i4>
      </vt:variant>
      <vt:variant>
        <vt:i4>0</vt:i4>
      </vt:variant>
      <vt:variant>
        <vt:i4>5</vt:i4>
      </vt:variant>
      <vt:variant>
        <vt:lpwstr>http://www.nevo.co.il/case/26542736</vt:lpwstr>
      </vt:variant>
      <vt:variant>
        <vt:lpwstr/>
      </vt:variant>
      <vt:variant>
        <vt:i4>3932275</vt:i4>
      </vt:variant>
      <vt:variant>
        <vt:i4>75</vt:i4>
      </vt:variant>
      <vt:variant>
        <vt:i4>0</vt:i4>
      </vt:variant>
      <vt:variant>
        <vt:i4>5</vt:i4>
      </vt:variant>
      <vt:variant>
        <vt:lpwstr>http://www.nevo.co.il/case/23158178</vt:lpwstr>
      </vt:variant>
      <vt:variant>
        <vt:lpwstr/>
      </vt:variant>
      <vt:variant>
        <vt:i4>3342455</vt:i4>
      </vt:variant>
      <vt:variant>
        <vt:i4>72</vt:i4>
      </vt:variant>
      <vt:variant>
        <vt:i4>0</vt:i4>
      </vt:variant>
      <vt:variant>
        <vt:i4>5</vt:i4>
      </vt:variant>
      <vt:variant>
        <vt:lpwstr>http://www.nevo.co.il/case/20632055</vt:lpwstr>
      </vt:variant>
      <vt:variant>
        <vt:lpwstr/>
      </vt:variant>
      <vt:variant>
        <vt:i4>3407986</vt:i4>
      </vt:variant>
      <vt:variant>
        <vt:i4>69</vt:i4>
      </vt:variant>
      <vt:variant>
        <vt:i4>0</vt:i4>
      </vt:variant>
      <vt:variant>
        <vt:i4>5</vt:i4>
      </vt:variant>
      <vt:variant>
        <vt:lpwstr>http://www.nevo.co.il/case/25271452</vt:lpwstr>
      </vt:variant>
      <vt:variant>
        <vt:lpwstr/>
      </vt:variant>
      <vt:variant>
        <vt:i4>3735669</vt:i4>
      </vt:variant>
      <vt:variant>
        <vt:i4>66</vt:i4>
      </vt:variant>
      <vt:variant>
        <vt:i4>0</vt:i4>
      </vt:variant>
      <vt:variant>
        <vt:i4>5</vt:i4>
      </vt:variant>
      <vt:variant>
        <vt:lpwstr>http://www.nevo.co.il/case/24971234</vt:lpwstr>
      </vt:variant>
      <vt:variant>
        <vt:lpwstr/>
      </vt:variant>
      <vt:variant>
        <vt:i4>3407989</vt:i4>
      </vt:variant>
      <vt:variant>
        <vt:i4>63</vt:i4>
      </vt:variant>
      <vt:variant>
        <vt:i4>0</vt:i4>
      </vt:variant>
      <vt:variant>
        <vt:i4>5</vt:i4>
      </vt:variant>
      <vt:variant>
        <vt:lpwstr>http://www.nevo.co.il/case/4175255</vt:lpwstr>
      </vt:variant>
      <vt:variant>
        <vt:lpwstr/>
      </vt:variant>
      <vt:variant>
        <vt:i4>3276923</vt:i4>
      </vt:variant>
      <vt:variant>
        <vt:i4>60</vt:i4>
      </vt:variant>
      <vt:variant>
        <vt:i4>0</vt:i4>
      </vt:variant>
      <vt:variant>
        <vt:i4>5</vt:i4>
      </vt:variant>
      <vt:variant>
        <vt:lpwstr>http://www.nevo.co.il/case/5583699</vt:lpwstr>
      </vt:variant>
      <vt:variant>
        <vt:lpwstr/>
      </vt:variant>
      <vt:variant>
        <vt:i4>3473524</vt:i4>
      </vt:variant>
      <vt:variant>
        <vt:i4>57</vt:i4>
      </vt:variant>
      <vt:variant>
        <vt:i4>0</vt:i4>
      </vt:variant>
      <vt:variant>
        <vt:i4>5</vt:i4>
      </vt:variant>
      <vt:variant>
        <vt:lpwstr>http://www.nevo.co.il/case/20114120</vt:lpwstr>
      </vt:variant>
      <vt:variant>
        <vt:lpwstr/>
      </vt:variant>
      <vt:variant>
        <vt:i4>3539056</vt:i4>
      </vt:variant>
      <vt:variant>
        <vt:i4>54</vt:i4>
      </vt:variant>
      <vt:variant>
        <vt:i4>0</vt:i4>
      </vt:variant>
      <vt:variant>
        <vt:i4>5</vt:i4>
      </vt:variant>
      <vt:variant>
        <vt:lpwstr>http://www.nevo.co.il/case/20732711</vt:lpwstr>
      </vt:variant>
      <vt:variant>
        <vt:lpwstr/>
      </vt:variant>
      <vt:variant>
        <vt:i4>3473527</vt:i4>
      </vt:variant>
      <vt:variant>
        <vt:i4>51</vt:i4>
      </vt:variant>
      <vt:variant>
        <vt:i4>0</vt:i4>
      </vt:variant>
      <vt:variant>
        <vt:i4>5</vt:i4>
      </vt:variant>
      <vt:variant>
        <vt:lpwstr>http://www.nevo.co.il/case/5611948</vt:lpwstr>
      </vt:variant>
      <vt:variant>
        <vt:lpwstr/>
      </vt:variant>
      <vt:variant>
        <vt:i4>3473525</vt:i4>
      </vt:variant>
      <vt:variant>
        <vt:i4>48</vt:i4>
      </vt:variant>
      <vt:variant>
        <vt:i4>0</vt:i4>
      </vt:variant>
      <vt:variant>
        <vt:i4>5</vt:i4>
      </vt:variant>
      <vt:variant>
        <vt:lpwstr>http://www.nevo.co.il/case/21473702</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8257646</vt:i4>
      </vt:variant>
      <vt:variant>
        <vt:i4>39</vt:i4>
      </vt:variant>
      <vt:variant>
        <vt:i4>0</vt:i4>
      </vt:variant>
      <vt:variant>
        <vt:i4>5</vt:i4>
      </vt:variant>
      <vt:variant>
        <vt:lpwstr>http://www.nevo.co.il/law/74903</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6553698</vt:i4>
      </vt:variant>
      <vt:variant>
        <vt:i4>24</vt:i4>
      </vt:variant>
      <vt:variant>
        <vt:i4>0</vt:i4>
      </vt:variant>
      <vt:variant>
        <vt:i4>5</vt:i4>
      </vt:variant>
      <vt:variant>
        <vt:lpwstr>http://www.nevo.co.il/law/70301/71d</vt:lpwstr>
      </vt:variant>
      <vt:variant>
        <vt:lpwstr/>
      </vt:variant>
      <vt:variant>
        <vt:i4>4849667</vt:i4>
      </vt:variant>
      <vt:variant>
        <vt:i4>21</vt:i4>
      </vt:variant>
      <vt:variant>
        <vt:i4>0</vt:i4>
      </vt:variant>
      <vt:variant>
        <vt:i4>5</vt:i4>
      </vt:variant>
      <vt:variant>
        <vt:lpwstr>http://www.nevo.co.il/law/70301/71a.e</vt:lpwstr>
      </vt:variant>
      <vt:variant>
        <vt:lpwstr/>
      </vt:variant>
      <vt:variant>
        <vt:i4>7995492</vt:i4>
      </vt:variant>
      <vt:variant>
        <vt:i4>18</vt:i4>
      </vt:variant>
      <vt:variant>
        <vt:i4>0</vt:i4>
      </vt:variant>
      <vt:variant>
        <vt:i4>5</vt:i4>
      </vt:variant>
      <vt:variant>
        <vt:lpwstr>http://www.nevo.co.il/law/70301</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8257646</vt:i4>
      </vt:variant>
      <vt:variant>
        <vt:i4>12</vt:i4>
      </vt:variant>
      <vt:variant>
        <vt:i4>0</vt:i4>
      </vt:variant>
      <vt:variant>
        <vt:i4>5</vt:i4>
      </vt:variant>
      <vt:variant>
        <vt:lpwstr>http://www.nevo.co.il/law/74903</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9758</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נחמן ציוני</vt:lpwstr>
  </property>
  <property fmtid="{D5CDD505-2E9C-101B-9397-08002B2CF9AE}" pid="10" name="LAWYER">
    <vt:lpwstr>קובי אוחיון;לימור זקן</vt:lpwstr>
  </property>
  <property fmtid="{D5CDD505-2E9C-101B-9397-08002B2CF9AE}" pid="11" name="JUDGE">
    <vt:lpwstr>סיגל אלבו</vt:lpwstr>
  </property>
  <property fmtid="{D5CDD505-2E9C-101B-9397-08002B2CF9AE}" pid="12" name="CITY">
    <vt:lpwstr>י-ם</vt:lpwstr>
  </property>
  <property fmtid="{D5CDD505-2E9C-101B-9397-08002B2CF9AE}" pid="13" name="DATE">
    <vt:lpwstr>20230523</vt:lpwstr>
  </property>
  <property fmtid="{D5CDD505-2E9C-101B-9397-08002B2CF9AE}" pid="14" name="TYPE_N_DATE">
    <vt:lpwstr>38020230523</vt:lpwstr>
  </property>
  <property fmtid="{D5CDD505-2E9C-101B-9397-08002B2CF9AE}" pid="15" name="WORDNUMPAGES">
    <vt:lpwstr>14</vt:lpwstr>
  </property>
  <property fmtid="{D5CDD505-2E9C-101B-9397-08002B2CF9AE}" pid="16" name="TYPE_ABS_DATE">
    <vt:lpwstr>380020230523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5810781;21473702;5611948;20732711;20114120;5583699;4175255;24971234;25271452;20632055;23158178;26542736;6248029;20157961;27351133;25685411</vt:lpwstr>
  </property>
  <property fmtid="{D5CDD505-2E9C-101B-9397-08002B2CF9AE}" pid="36" name="LAWLISTTMP1">
    <vt:lpwstr>4216/013;019a;037a.a</vt:lpwstr>
  </property>
  <property fmtid="{D5CDD505-2E9C-101B-9397-08002B2CF9AE}" pid="37" name="LAWLISTTMP2">
    <vt:lpwstr>74903/192a</vt:lpwstr>
  </property>
  <property fmtid="{D5CDD505-2E9C-101B-9397-08002B2CF9AE}" pid="38" name="LAWLISTTMP3">
    <vt:lpwstr>70301/071a.e;071d</vt:lpwstr>
  </property>
</Properties>
</file>