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F5B6C" w:rsidRPr="00C13FC3" w14:paraId="792DB8EE" w14:textId="77777777" w:rsidTr="00C01EBB">
        <w:trPr>
          <w:gridAfter w:val="1"/>
          <w:wAfter w:w="99" w:type="dxa"/>
          <w:trHeight w:hRule="exact" w:val="418"/>
          <w:jc w:val="center"/>
        </w:trPr>
        <w:tc>
          <w:tcPr>
            <w:tcW w:w="8721" w:type="dxa"/>
            <w:gridSpan w:val="4"/>
          </w:tcPr>
          <w:p w14:paraId="0D2C57B7" w14:textId="77777777" w:rsidR="00DF5B6C" w:rsidRPr="00C13FC3" w:rsidRDefault="00DF5B6C" w:rsidP="00BA587F">
            <w:pPr>
              <w:pStyle w:val="a3"/>
              <w:jc w:val="center"/>
              <w:rPr>
                <w:rFonts w:ascii="David" w:hAnsi="David"/>
                <w:b/>
                <w:bCs/>
                <w:color w:val="000080"/>
                <w:rtl/>
              </w:rPr>
            </w:pPr>
            <w:bookmarkStart w:id="0" w:name="FirstLawyer"/>
            <w:bookmarkStart w:id="1" w:name="LastJudge"/>
            <w:r w:rsidRPr="00C13FC3">
              <w:rPr>
                <w:rFonts w:ascii="David" w:hAnsi="David"/>
                <w:b/>
                <w:bCs/>
                <w:color w:val="000080"/>
                <w:rtl/>
              </w:rPr>
              <w:t>בית משפט השלום בירושלים</w:t>
            </w:r>
          </w:p>
        </w:tc>
      </w:tr>
      <w:tr w:rsidR="00DF5B6C" w:rsidRPr="00C13FC3" w14:paraId="015236A6" w14:textId="77777777" w:rsidTr="00C01EBB">
        <w:trPr>
          <w:gridAfter w:val="1"/>
          <w:wAfter w:w="99" w:type="dxa"/>
          <w:trHeight w:val="337"/>
          <w:jc w:val="center"/>
        </w:trPr>
        <w:tc>
          <w:tcPr>
            <w:tcW w:w="5054" w:type="dxa"/>
            <w:gridSpan w:val="3"/>
          </w:tcPr>
          <w:p w14:paraId="6A1C7E2A" w14:textId="77777777" w:rsidR="00DF5B6C" w:rsidRPr="00C13FC3" w:rsidRDefault="00DF5B6C" w:rsidP="00BA587F">
            <w:pPr>
              <w:rPr>
                <w:rFonts w:ascii="David" w:hAnsi="David"/>
                <w:b/>
                <w:bCs/>
                <w:rtl/>
              </w:rPr>
            </w:pPr>
            <w:r w:rsidRPr="00C13FC3">
              <w:rPr>
                <w:rFonts w:ascii="David" w:hAnsi="David"/>
                <w:b/>
                <w:bCs/>
                <w:rtl/>
              </w:rPr>
              <w:t>ת"פ 13412-02-21 מדינת ישראל נ' פהלבני</w:t>
            </w:r>
          </w:p>
          <w:p w14:paraId="62210D43" w14:textId="77777777" w:rsidR="00DF5B6C" w:rsidRPr="00C13FC3" w:rsidRDefault="00DF5B6C" w:rsidP="00BA587F">
            <w:pPr>
              <w:pStyle w:val="a3"/>
              <w:rPr>
                <w:rFonts w:ascii="David" w:hAnsi="David"/>
                <w:b/>
                <w:bCs/>
                <w:rtl/>
              </w:rPr>
            </w:pPr>
          </w:p>
        </w:tc>
        <w:tc>
          <w:tcPr>
            <w:tcW w:w="3667" w:type="dxa"/>
          </w:tcPr>
          <w:p w14:paraId="2906B4C8" w14:textId="77777777" w:rsidR="00DF5B6C" w:rsidRPr="00C13FC3" w:rsidRDefault="00DF5B6C" w:rsidP="00BA587F">
            <w:pPr>
              <w:pStyle w:val="a3"/>
              <w:jc w:val="right"/>
              <w:rPr>
                <w:rFonts w:cs="FrankRuehl"/>
                <w:sz w:val="28"/>
                <w:szCs w:val="28"/>
                <w:rtl/>
              </w:rPr>
            </w:pPr>
          </w:p>
        </w:tc>
      </w:tr>
      <w:tr w:rsidR="00DF5B6C" w:rsidRPr="00C13FC3" w14:paraId="38B17BD0" w14:textId="77777777" w:rsidTr="00C01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A07378D" w14:textId="77777777" w:rsidR="00DF5B6C" w:rsidRPr="00C13FC3" w:rsidRDefault="00DF5B6C" w:rsidP="00DF5B6C">
            <w:pPr>
              <w:jc w:val="both"/>
              <w:rPr>
                <w:rFonts w:ascii="David" w:hAnsi="David"/>
                <w:b/>
                <w:bCs/>
                <w:sz w:val="26"/>
                <w:szCs w:val="26"/>
              </w:rPr>
            </w:pPr>
            <w:r w:rsidRPr="00C13FC3">
              <w:rPr>
                <w:rFonts w:hint="cs"/>
                <w:rtl/>
              </w:rPr>
              <w:t xml:space="preserve"> </w:t>
            </w:r>
            <w:r w:rsidRPr="00C13FC3">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11EAED60" w14:textId="77777777" w:rsidR="00DF5B6C" w:rsidRPr="00C13FC3" w:rsidRDefault="00DF5B6C" w:rsidP="00BA587F">
            <w:pPr>
              <w:rPr>
                <w:rFonts w:ascii="David" w:hAnsi="David"/>
                <w:b/>
                <w:bCs/>
                <w:sz w:val="26"/>
                <w:szCs w:val="26"/>
                <w:rtl/>
              </w:rPr>
            </w:pPr>
            <w:r w:rsidRPr="00C13FC3">
              <w:rPr>
                <w:rFonts w:ascii="David" w:hAnsi="David"/>
                <w:b/>
                <w:bCs/>
                <w:sz w:val="26"/>
                <w:szCs w:val="26"/>
                <w:rtl/>
              </w:rPr>
              <w:t>כבוד השופט  דוד שאול גבאי ריכטר</w:t>
            </w:r>
          </w:p>
          <w:p w14:paraId="7CA12FF2" w14:textId="77777777" w:rsidR="00DF5B6C" w:rsidRPr="00C13FC3" w:rsidRDefault="00DF5B6C" w:rsidP="00BA587F">
            <w:pPr>
              <w:rPr>
                <w:rFonts w:ascii="David" w:hAnsi="David"/>
                <w:b/>
                <w:bCs/>
                <w:sz w:val="26"/>
                <w:szCs w:val="26"/>
                <w:rtl/>
              </w:rPr>
            </w:pPr>
          </w:p>
          <w:p w14:paraId="4EB96055" w14:textId="77777777" w:rsidR="00DF5B6C" w:rsidRPr="00C13FC3" w:rsidRDefault="00DF5B6C" w:rsidP="00DF5B6C">
            <w:pPr>
              <w:jc w:val="both"/>
              <w:rPr>
                <w:rFonts w:ascii="David" w:hAnsi="David"/>
                <w:b/>
                <w:bCs/>
                <w:sz w:val="26"/>
                <w:szCs w:val="26"/>
              </w:rPr>
            </w:pPr>
          </w:p>
        </w:tc>
      </w:tr>
      <w:tr w:rsidR="00DF5B6C" w:rsidRPr="00C13FC3" w14:paraId="64BB0A96" w14:textId="77777777" w:rsidTr="00C01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E7B9BA" w14:textId="77777777" w:rsidR="00DF5B6C" w:rsidRPr="00C13FC3" w:rsidRDefault="00DF5B6C" w:rsidP="00DF5B6C">
            <w:pPr>
              <w:jc w:val="both"/>
              <w:rPr>
                <w:rFonts w:ascii="David" w:hAnsi="David"/>
                <w:b/>
                <w:bCs/>
                <w:sz w:val="26"/>
                <w:szCs w:val="26"/>
              </w:rPr>
            </w:pPr>
            <w:bookmarkStart w:id="2" w:name="FirstAppellant"/>
            <w:r w:rsidRPr="00C13FC3">
              <w:rPr>
                <w:rFonts w:ascii="David" w:hAnsi="David"/>
                <w:b/>
                <w:bCs/>
                <w:sz w:val="26"/>
                <w:szCs w:val="26"/>
                <w:rtl/>
              </w:rPr>
              <w:t>בעניין:</w:t>
            </w:r>
          </w:p>
        </w:tc>
        <w:tc>
          <w:tcPr>
            <w:tcW w:w="3219" w:type="dxa"/>
            <w:tcBorders>
              <w:top w:val="nil"/>
              <w:left w:val="nil"/>
              <w:bottom w:val="nil"/>
              <w:right w:val="nil"/>
            </w:tcBorders>
            <w:shd w:val="clear" w:color="auto" w:fill="auto"/>
          </w:tcPr>
          <w:p w14:paraId="53CCBBE8" w14:textId="77777777" w:rsidR="00DF5B6C" w:rsidRPr="00C13FC3" w:rsidRDefault="00DF5B6C" w:rsidP="00DF5B6C">
            <w:pPr>
              <w:suppressLineNumbers/>
              <w:rPr>
                <w:rFonts w:ascii="David" w:hAnsi="David"/>
                <w:b/>
                <w:bCs/>
                <w:sz w:val="26"/>
                <w:szCs w:val="26"/>
              </w:rPr>
            </w:pPr>
            <w:r w:rsidRPr="00C13FC3">
              <w:rPr>
                <w:rFonts w:ascii="David" w:hAnsi="David"/>
                <w:b/>
                <w:bCs/>
                <w:sz w:val="26"/>
                <w:szCs w:val="26"/>
                <w:rtl/>
              </w:rPr>
              <w:t>המאשימה</w:t>
            </w:r>
          </w:p>
          <w:p w14:paraId="70519AFB" w14:textId="77777777" w:rsidR="00DF5B6C" w:rsidRPr="00C13FC3" w:rsidRDefault="00DF5B6C" w:rsidP="00BA587F">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05B37803" w14:textId="77777777" w:rsidR="00DF5B6C" w:rsidRPr="00C13FC3" w:rsidRDefault="00DF5B6C" w:rsidP="00DF5B6C">
            <w:pPr>
              <w:suppressLineNumbers/>
              <w:rPr>
                <w:rFonts w:ascii="David" w:hAnsi="David"/>
                <w:b/>
                <w:bCs/>
                <w:sz w:val="26"/>
                <w:szCs w:val="26"/>
              </w:rPr>
            </w:pPr>
            <w:r w:rsidRPr="00C13FC3">
              <w:rPr>
                <w:rFonts w:ascii="David" w:hAnsi="David"/>
                <w:b/>
                <w:bCs/>
                <w:sz w:val="26"/>
                <w:szCs w:val="26"/>
                <w:rtl/>
              </w:rPr>
              <w:t>מדינת ישראל</w:t>
            </w:r>
            <w:r w:rsidRPr="00C13FC3">
              <w:rPr>
                <w:rFonts w:ascii="David" w:hAnsi="David"/>
                <w:b/>
                <w:bCs/>
                <w:sz w:val="26"/>
                <w:szCs w:val="26"/>
                <w:rtl/>
              </w:rPr>
              <w:br/>
              <w:t xml:space="preserve">ע"י </w:t>
            </w:r>
            <w:r w:rsidRPr="00C13FC3">
              <w:rPr>
                <w:rFonts w:ascii="David" w:hAnsi="David" w:hint="cs"/>
                <w:b/>
                <w:bCs/>
                <w:sz w:val="26"/>
                <w:szCs w:val="26"/>
                <w:rtl/>
              </w:rPr>
              <w:t>ב"כ עו"ד שירלי אוחיון מ</w:t>
            </w:r>
            <w:r w:rsidRPr="00C13FC3">
              <w:rPr>
                <w:rFonts w:ascii="David" w:hAnsi="David"/>
                <w:b/>
                <w:bCs/>
                <w:sz w:val="26"/>
                <w:szCs w:val="26"/>
                <w:rtl/>
              </w:rPr>
              <w:t>תביעות ירושלים</w:t>
            </w:r>
          </w:p>
          <w:p w14:paraId="510FC310" w14:textId="77777777" w:rsidR="00DF5B6C" w:rsidRPr="00C13FC3" w:rsidRDefault="00DF5B6C" w:rsidP="00BA587F">
            <w:pPr>
              <w:rPr>
                <w:rFonts w:ascii="David" w:hAnsi="David"/>
                <w:b/>
                <w:bCs/>
                <w:sz w:val="26"/>
                <w:szCs w:val="26"/>
              </w:rPr>
            </w:pPr>
          </w:p>
        </w:tc>
      </w:tr>
      <w:bookmarkEnd w:id="2"/>
      <w:tr w:rsidR="00DF5B6C" w:rsidRPr="00C13FC3" w14:paraId="47647DAC" w14:textId="77777777" w:rsidTr="00C01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6920B29" w14:textId="77777777" w:rsidR="00DF5B6C" w:rsidRPr="00C13FC3" w:rsidRDefault="00DF5B6C" w:rsidP="00DF5B6C">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BC30899" w14:textId="77777777" w:rsidR="00DF5B6C" w:rsidRPr="00C13FC3" w:rsidRDefault="00DF5B6C" w:rsidP="00DF5B6C">
            <w:pPr>
              <w:jc w:val="center"/>
              <w:rPr>
                <w:rFonts w:ascii="David" w:hAnsi="David"/>
                <w:b/>
                <w:bCs/>
                <w:sz w:val="26"/>
                <w:szCs w:val="26"/>
                <w:rtl/>
              </w:rPr>
            </w:pPr>
          </w:p>
          <w:p w14:paraId="642DB437" w14:textId="77777777" w:rsidR="00DF5B6C" w:rsidRPr="00C13FC3" w:rsidRDefault="00DF5B6C" w:rsidP="00DF5B6C">
            <w:pPr>
              <w:jc w:val="center"/>
              <w:rPr>
                <w:rFonts w:ascii="David" w:hAnsi="David"/>
                <w:b/>
                <w:bCs/>
                <w:sz w:val="26"/>
                <w:szCs w:val="26"/>
                <w:rtl/>
              </w:rPr>
            </w:pPr>
            <w:r w:rsidRPr="00C13FC3">
              <w:rPr>
                <w:rFonts w:ascii="David" w:hAnsi="David"/>
                <w:b/>
                <w:bCs/>
                <w:sz w:val="26"/>
                <w:szCs w:val="26"/>
                <w:rtl/>
              </w:rPr>
              <w:t>נגד</w:t>
            </w:r>
          </w:p>
          <w:p w14:paraId="48678BA1" w14:textId="77777777" w:rsidR="00DF5B6C" w:rsidRPr="00C13FC3" w:rsidRDefault="00DF5B6C" w:rsidP="00DF5B6C">
            <w:pPr>
              <w:jc w:val="both"/>
              <w:rPr>
                <w:rFonts w:ascii="David" w:hAnsi="David"/>
                <w:b/>
                <w:bCs/>
                <w:sz w:val="26"/>
                <w:szCs w:val="26"/>
              </w:rPr>
            </w:pPr>
          </w:p>
        </w:tc>
      </w:tr>
      <w:tr w:rsidR="00DF5B6C" w:rsidRPr="00C13FC3" w14:paraId="5F038A3C" w14:textId="77777777" w:rsidTr="00C01EB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53615AF" w14:textId="77777777" w:rsidR="00DF5B6C" w:rsidRPr="00C13FC3" w:rsidRDefault="00DF5B6C" w:rsidP="00BA587F">
            <w:pPr>
              <w:rPr>
                <w:rFonts w:ascii="David" w:hAnsi="David"/>
                <w:b/>
                <w:bCs/>
                <w:sz w:val="26"/>
                <w:szCs w:val="26"/>
                <w:rtl/>
              </w:rPr>
            </w:pPr>
          </w:p>
        </w:tc>
        <w:tc>
          <w:tcPr>
            <w:tcW w:w="3219" w:type="dxa"/>
            <w:tcBorders>
              <w:top w:val="nil"/>
              <w:left w:val="nil"/>
              <w:bottom w:val="nil"/>
              <w:right w:val="nil"/>
            </w:tcBorders>
            <w:shd w:val="clear" w:color="auto" w:fill="auto"/>
          </w:tcPr>
          <w:p w14:paraId="36EAD17C" w14:textId="77777777" w:rsidR="00DF5B6C" w:rsidRPr="00C13FC3" w:rsidRDefault="00DF5B6C" w:rsidP="00BA587F">
            <w:pPr>
              <w:rPr>
                <w:rFonts w:ascii="David" w:hAnsi="David"/>
                <w:b/>
                <w:bCs/>
                <w:sz w:val="26"/>
                <w:szCs w:val="26"/>
                <w:rtl/>
              </w:rPr>
            </w:pPr>
            <w:r w:rsidRPr="00C13FC3">
              <w:rPr>
                <w:rFonts w:ascii="David" w:hAnsi="David"/>
                <w:b/>
                <w:bCs/>
                <w:sz w:val="26"/>
                <w:szCs w:val="26"/>
                <w:rtl/>
              </w:rPr>
              <w:t>הנאשם</w:t>
            </w:r>
          </w:p>
        </w:tc>
        <w:tc>
          <w:tcPr>
            <w:tcW w:w="4678" w:type="dxa"/>
            <w:gridSpan w:val="3"/>
            <w:tcBorders>
              <w:top w:val="nil"/>
              <w:left w:val="nil"/>
              <w:bottom w:val="nil"/>
              <w:right w:val="nil"/>
            </w:tcBorders>
            <w:shd w:val="clear" w:color="auto" w:fill="auto"/>
            <w:vAlign w:val="center"/>
          </w:tcPr>
          <w:p w14:paraId="69736613" w14:textId="77777777" w:rsidR="00DF5B6C" w:rsidRPr="00C13FC3" w:rsidRDefault="00DF5B6C" w:rsidP="00DF5B6C">
            <w:pPr>
              <w:suppressLineNumbers/>
              <w:rPr>
                <w:rFonts w:ascii="David" w:hAnsi="David"/>
                <w:b/>
                <w:bCs/>
                <w:sz w:val="26"/>
                <w:szCs w:val="26"/>
              </w:rPr>
            </w:pPr>
            <w:r w:rsidRPr="00C13FC3">
              <w:rPr>
                <w:rFonts w:ascii="David" w:hAnsi="David"/>
                <w:b/>
                <w:bCs/>
                <w:sz w:val="26"/>
                <w:szCs w:val="26"/>
                <w:rtl/>
              </w:rPr>
              <w:t xml:space="preserve">אלירן פהלבני </w:t>
            </w:r>
            <w:r w:rsidRPr="00C13FC3">
              <w:rPr>
                <w:rFonts w:ascii="David" w:hAnsi="David"/>
                <w:b/>
                <w:bCs/>
                <w:sz w:val="26"/>
                <w:szCs w:val="26"/>
                <w:rtl/>
              </w:rPr>
              <w:br/>
              <w:t>ע"י ב"כ עוה"ד בר צבי</w:t>
            </w:r>
          </w:p>
          <w:p w14:paraId="0B1FD38D" w14:textId="77777777" w:rsidR="00DF5B6C" w:rsidRPr="00C13FC3" w:rsidRDefault="00DF5B6C" w:rsidP="00BA587F">
            <w:pPr>
              <w:rPr>
                <w:rFonts w:ascii="David" w:hAnsi="David"/>
                <w:b/>
                <w:bCs/>
                <w:sz w:val="26"/>
                <w:szCs w:val="26"/>
              </w:rPr>
            </w:pPr>
          </w:p>
        </w:tc>
      </w:tr>
    </w:tbl>
    <w:p w14:paraId="25DAFA9D" w14:textId="77777777" w:rsidR="00C01EBB" w:rsidRDefault="00C01EBB" w:rsidP="00C13FC3">
      <w:pPr>
        <w:rPr>
          <w:rFonts w:ascii="FrankRuehl" w:hAnsi="FrankRuehl" w:cs="FrankRuehl"/>
          <w:sz w:val="28"/>
          <w:szCs w:val="28"/>
          <w:rtl/>
        </w:rPr>
      </w:pPr>
    </w:p>
    <w:p w14:paraId="5CCD1234" w14:textId="77777777" w:rsidR="00C01EBB" w:rsidRPr="00C01EBB" w:rsidRDefault="00C01EBB" w:rsidP="00C01EBB">
      <w:pPr>
        <w:spacing w:after="120" w:line="240" w:lineRule="exact"/>
        <w:ind w:left="283" w:hanging="283"/>
        <w:jc w:val="both"/>
        <w:rPr>
          <w:rFonts w:ascii="FrankRuehl" w:hAnsi="FrankRuehl" w:cs="FrankRuehl"/>
          <w:rtl/>
        </w:rPr>
      </w:pPr>
    </w:p>
    <w:p w14:paraId="4240456F" w14:textId="77777777" w:rsidR="00425606" w:rsidRPr="00425606" w:rsidRDefault="00425606" w:rsidP="00425606">
      <w:pPr>
        <w:spacing w:before="120" w:after="120" w:line="240" w:lineRule="exact"/>
        <w:ind w:left="283" w:hanging="283"/>
        <w:jc w:val="both"/>
        <w:rPr>
          <w:rFonts w:ascii="FrankRuehl" w:hAnsi="FrankRuehl" w:cs="FrankRuehl"/>
          <w:rtl/>
        </w:rPr>
      </w:pPr>
    </w:p>
    <w:p w14:paraId="36B4866C" w14:textId="77777777" w:rsidR="004D64F9" w:rsidRDefault="004D64F9" w:rsidP="004D64F9">
      <w:pPr>
        <w:rPr>
          <w:rFonts w:ascii="FrankRuehl" w:hAnsi="FrankRuehl" w:cs="FrankRuehl"/>
          <w:sz w:val="28"/>
          <w:szCs w:val="28"/>
          <w:rtl/>
        </w:rPr>
      </w:pPr>
      <w:bookmarkStart w:id="3" w:name="LawTable"/>
      <w:bookmarkEnd w:id="3"/>
    </w:p>
    <w:p w14:paraId="4695A192" w14:textId="77777777" w:rsidR="004D64F9" w:rsidRPr="004D64F9" w:rsidRDefault="004D64F9" w:rsidP="004D64F9">
      <w:pPr>
        <w:spacing w:before="120" w:after="120" w:line="240" w:lineRule="exact"/>
        <w:ind w:left="283" w:hanging="283"/>
        <w:jc w:val="both"/>
        <w:rPr>
          <w:rFonts w:ascii="FrankRuehl" w:hAnsi="FrankRuehl" w:cs="FrankRuehl"/>
          <w:rtl/>
        </w:rPr>
      </w:pPr>
    </w:p>
    <w:p w14:paraId="75642AB0" w14:textId="77777777" w:rsidR="004D64F9" w:rsidRPr="004D64F9" w:rsidRDefault="004D64F9" w:rsidP="004D64F9">
      <w:pPr>
        <w:spacing w:before="120" w:after="120" w:line="240" w:lineRule="exact"/>
        <w:ind w:left="283" w:hanging="283"/>
        <w:jc w:val="both"/>
        <w:rPr>
          <w:rFonts w:ascii="FrankRuehl" w:hAnsi="FrankRuehl" w:cs="FrankRuehl"/>
          <w:rtl/>
        </w:rPr>
      </w:pPr>
    </w:p>
    <w:p w14:paraId="1EC69B2D" w14:textId="77777777" w:rsidR="004D64F9" w:rsidRPr="004D64F9" w:rsidRDefault="004D64F9" w:rsidP="004D64F9">
      <w:pPr>
        <w:spacing w:before="120" w:after="120" w:line="240" w:lineRule="exact"/>
        <w:ind w:left="283" w:hanging="283"/>
        <w:jc w:val="both"/>
        <w:rPr>
          <w:rFonts w:ascii="FrankRuehl" w:hAnsi="FrankRuehl" w:cs="FrankRuehl"/>
          <w:rtl/>
        </w:rPr>
      </w:pPr>
      <w:r w:rsidRPr="004D64F9">
        <w:rPr>
          <w:rFonts w:ascii="FrankRuehl" w:hAnsi="FrankRuehl" w:cs="FrankRuehl"/>
          <w:rtl/>
        </w:rPr>
        <w:t xml:space="preserve">חקיקה שאוזכרה: </w:t>
      </w:r>
    </w:p>
    <w:p w14:paraId="443BBCED" w14:textId="77777777" w:rsidR="004D64F9" w:rsidRPr="004D64F9" w:rsidRDefault="004D64F9" w:rsidP="004D64F9">
      <w:pPr>
        <w:spacing w:before="120" w:after="120" w:line="240" w:lineRule="exact"/>
        <w:ind w:left="283" w:hanging="283"/>
        <w:jc w:val="both"/>
        <w:rPr>
          <w:rFonts w:ascii="FrankRuehl" w:hAnsi="FrankRuehl" w:cs="FrankRuehl"/>
          <w:rtl/>
        </w:rPr>
      </w:pPr>
      <w:hyperlink r:id="rId7" w:history="1">
        <w:r w:rsidRPr="004D64F9">
          <w:rPr>
            <w:rFonts w:ascii="FrankRuehl" w:hAnsi="FrankRuehl" w:cs="FrankRuehl"/>
            <w:color w:val="0000FF"/>
            <w:rtl/>
          </w:rPr>
          <w:t>פקודת הסמים המסוכנים [נוסח חדש], תשל"ג-1973</w:t>
        </w:r>
      </w:hyperlink>
      <w:r w:rsidRPr="004D64F9">
        <w:rPr>
          <w:rFonts w:ascii="FrankRuehl" w:hAnsi="FrankRuehl" w:cs="FrankRuehl"/>
          <w:rtl/>
        </w:rPr>
        <w:t xml:space="preserve">: סע'  </w:t>
      </w:r>
      <w:hyperlink r:id="rId8" w:history="1">
        <w:r w:rsidRPr="004D64F9">
          <w:rPr>
            <w:rFonts w:ascii="FrankRuehl" w:hAnsi="FrankRuehl" w:cs="FrankRuehl"/>
            <w:color w:val="0000FF"/>
            <w:rtl/>
          </w:rPr>
          <w:t>13</w:t>
        </w:r>
      </w:hyperlink>
      <w:r w:rsidRPr="004D64F9">
        <w:rPr>
          <w:rFonts w:ascii="FrankRuehl" w:hAnsi="FrankRuehl" w:cs="FrankRuehl"/>
          <w:rtl/>
        </w:rPr>
        <w:t xml:space="preserve">, </w:t>
      </w:r>
      <w:hyperlink r:id="rId9" w:history="1">
        <w:r w:rsidRPr="004D64F9">
          <w:rPr>
            <w:rFonts w:ascii="FrankRuehl" w:hAnsi="FrankRuehl" w:cs="FrankRuehl"/>
            <w:color w:val="0000FF"/>
            <w:rtl/>
          </w:rPr>
          <w:t>19א</w:t>
        </w:r>
      </w:hyperlink>
    </w:p>
    <w:p w14:paraId="42CBB70D" w14:textId="77777777" w:rsidR="004D64F9" w:rsidRPr="004D64F9" w:rsidRDefault="004D64F9" w:rsidP="004D64F9">
      <w:pPr>
        <w:rPr>
          <w:rFonts w:ascii="FrankRuehl" w:hAnsi="FrankRuehl" w:cs="FrankRuehl"/>
          <w:sz w:val="28"/>
          <w:szCs w:val="28"/>
          <w:rtl/>
        </w:rPr>
      </w:pPr>
      <w:bookmarkStart w:id="4" w:name="LawTable_End"/>
      <w:bookmarkEnd w:id="4"/>
    </w:p>
    <w:p w14:paraId="1C3A373B" w14:textId="77777777" w:rsidR="00DF5B6C" w:rsidRPr="00425606" w:rsidRDefault="00DF5B6C" w:rsidP="00425606">
      <w:pPr>
        <w:rPr>
          <w:rFonts w:ascii="FrankRuehl" w:hAnsi="FrankRuehl" w:cs="FrankRuehl"/>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F5B6C" w:rsidRPr="00713DD0" w14:paraId="57ECD536" w14:textId="77777777" w:rsidTr="00DF5B6C">
        <w:trPr>
          <w:trHeight w:val="355"/>
          <w:jc w:val="center"/>
        </w:trPr>
        <w:tc>
          <w:tcPr>
            <w:tcW w:w="8820" w:type="dxa"/>
            <w:tcBorders>
              <w:top w:val="nil"/>
              <w:left w:val="nil"/>
              <w:bottom w:val="nil"/>
              <w:right w:val="nil"/>
            </w:tcBorders>
            <w:shd w:val="clear" w:color="auto" w:fill="auto"/>
          </w:tcPr>
          <w:p w14:paraId="00658D2E" w14:textId="77777777" w:rsidR="00C13FC3" w:rsidRPr="00C13FC3" w:rsidRDefault="00C13FC3" w:rsidP="00C13FC3">
            <w:pPr>
              <w:jc w:val="center"/>
              <w:rPr>
                <w:rFonts w:ascii="David" w:hAnsi="David"/>
                <w:b/>
                <w:bCs/>
                <w:sz w:val="32"/>
                <w:szCs w:val="32"/>
                <w:u w:val="single"/>
                <w:rtl/>
              </w:rPr>
            </w:pPr>
            <w:bookmarkStart w:id="5" w:name="PsakDin" w:colFirst="0" w:colLast="0"/>
            <w:bookmarkEnd w:id="0"/>
            <w:bookmarkEnd w:id="1"/>
            <w:r w:rsidRPr="00C13FC3">
              <w:rPr>
                <w:rFonts w:ascii="David" w:hAnsi="David"/>
                <w:b/>
                <w:bCs/>
                <w:sz w:val="32"/>
                <w:szCs w:val="32"/>
                <w:u w:val="single"/>
                <w:rtl/>
              </w:rPr>
              <w:t>גזר דין</w:t>
            </w:r>
          </w:p>
          <w:p w14:paraId="52E5E0C5" w14:textId="77777777" w:rsidR="00DF5B6C" w:rsidRPr="00C13FC3" w:rsidRDefault="00DF5B6C" w:rsidP="00C13FC3">
            <w:pPr>
              <w:jc w:val="center"/>
              <w:rPr>
                <w:rFonts w:ascii="David" w:hAnsi="David"/>
                <w:bCs/>
                <w:sz w:val="28"/>
                <w:szCs w:val="28"/>
                <w:u w:val="single"/>
                <w:rtl/>
              </w:rPr>
            </w:pPr>
          </w:p>
        </w:tc>
      </w:tr>
      <w:bookmarkEnd w:id="5"/>
    </w:tbl>
    <w:p w14:paraId="33BC5335" w14:textId="77777777" w:rsidR="00DF5B6C" w:rsidRPr="000F2247" w:rsidRDefault="00DF5B6C" w:rsidP="00DF5B6C">
      <w:pPr>
        <w:rPr>
          <w:rFonts w:ascii="Arial" w:hAnsi="Arial"/>
          <w:b/>
          <w:bCs/>
          <w:sz w:val="26"/>
          <w:szCs w:val="26"/>
          <w:rtl/>
        </w:rPr>
      </w:pPr>
    </w:p>
    <w:p w14:paraId="5AD0E2E2" w14:textId="77777777" w:rsidR="00DF5B6C" w:rsidRPr="00893D83" w:rsidRDefault="00DF5B6C" w:rsidP="00DF5B6C">
      <w:pPr>
        <w:spacing w:line="360" w:lineRule="auto"/>
        <w:jc w:val="both"/>
        <w:rPr>
          <w:rFonts w:ascii="David" w:hAnsi="David"/>
          <w:b/>
          <w:bCs/>
          <w:sz w:val="26"/>
          <w:szCs w:val="26"/>
          <w:u w:val="single"/>
        </w:rPr>
      </w:pPr>
      <w:r w:rsidRPr="00893D83">
        <w:rPr>
          <w:rFonts w:ascii="David" w:hAnsi="David"/>
          <w:b/>
          <w:bCs/>
          <w:sz w:val="26"/>
          <w:szCs w:val="26"/>
          <w:u w:val="single"/>
          <w:rtl/>
        </w:rPr>
        <w:t>כתב האישום המתוקן</w:t>
      </w:r>
    </w:p>
    <w:p w14:paraId="1A9CCEA5" w14:textId="77777777" w:rsidR="00DF5B6C" w:rsidRPr="00893D83" w:rsidRDefault="00DF5B6C" w:rsidP="00DF5B6C">
      <w:pPr>
        <w:pStyle w:val="a9"/>
        <w:numPr>
          <w:ilvl w:val="0"/>
          <w:numId w:val="3"/>
        </w:numPr>
        <w:spacing w:line="360" w:lineRule="auto"/>
        <w:jc w:val="both"/>
        <w:rPr>
          <w:rFonts w:ascii="David" w:hAnsi="David" w:cs="David"/>
          <w:sz w:val="26"/>
          <w:szCs w:val="26"/>
        </w:rPr>
      </w:pPr>
      <w:bookmarkStart w:id="6" w:name="ABSTRACT_START"/>
      <w:bookmarkEnd w:id="6"/>
      <w:r w:rsidRPr="00893D83">
        <w:rPr>
          <w:rFonts w:ascii="David" w:hAnsi="David" w:cs="David"/>
          <w:sz w:val="26"/>
          <w:szCs w:val="26"/>
          <w:rtl/>
        </w:rPr>
        <w:t xml:space="preserve">הנאשם הורשע על-פי הודאתו בכתב אישום מתוקן ב-12 עבירות של </w:t>
      </w:r>
      <w:r w:rsidRPr="00893D83">
        <w:rPr>
          <w:rFonts w:ascii="David" w:hAnsi="David" w:cs="David"/>
          <w:b/>
          <w:bCs/>
          <w:sz w:val="26"/>
          <w:szCs w:val="26"/>
          <w:rtl/>
        </w:rPr>
        <w:t>סחר בסמים</w:t>
      </w:r>
      <w:r w:rsidRPr="00893D83">
        <w:rPr>
          <w:rFonts w:ascii="David" w:hAnsi="David" w:cs="David"/>
          <w:sz w:val="26"/>
          <w:szCs w:val="26"/>
          <w:rtl/>
        </w:rPr>
        <w:t xml:space="preserve">, לפי </w:t>
      </w:r>
      <w:hyperlink r:id="rId10" w:history="1">
        <w:r w:rsidR="00C01EBB" w:rsidRPr="00C01EBB">
          <w:rPr>
            <w:rStyle w:val="Hyperlink"/>
            <w:rFonts w:ascii="David" w:hAnsi="David" w:cs="David"/>
            <w:sz w:val="26"/>
            <w:szCs w:val="26"/>
            <w:rtl/>
          </w:rPr>
          <w:t>סעיפים 13</w:t>
        </w:r>
      </w:hyperlink>
      <w:r w:rsidRPr="00893D83">
        <w:rPr>
          <w:rFonts w:ascii="David" w:hAnsi="David" w:cs="David"/>
          <w:sz w:val="26"/>
          <w:szCs w:val="26"/>
          <w:rtl/>
        </w:rPr>
        <w:t xml:space="preserve"> ו-</w:t>
      </w:r>
      <w:hyperlink r:id="rId11" w:history="1">
        <w:r w:rsidR="00C01EBB" w:rsidRPr="00C01EBB">
          <w:rPr>
            <w:rStyle w:val="Hyperlink"/>
            <w:rFonts w:ascii="David" w:hAnsi="David" w:cs="David"/>
            <w:sz w:val="26"/>
            <w:szCs w:val="26"/>
            <w:rtl/>
          </w:rPr>
          <w:t>19א</w:t>
        </w:r>
      </w:hyperlink>
      <w:r w:rsidRPr="00893D83">
        <w:rPr>
          <w:rFonts w:ascii="David" w:hAnsi="David" w:cs="David"/>
          <w:sz w:val="26"/>
          <w:szCs w:val="26"/>
          <w:rtl/>
        </w:rPr>
        <w:t xml:space="preserve"> ל</w:t>
      </w:r>
      <w:hyperlink r:id="rId12" w:history="1">
        <w:r w:rsidR="00C13FC3" w:rsidRPr="00C13FC3">
          <w:rPr>
            <w:rFonts w:ascii="David" w:hAnsi="David" w:cs="David"/>
            <w:color w:val="0000FF"/>
            <w:sz w:val="26"/>
            <w:szCs w:val="26"/>
            <w:u w:val="single"/>
            <w:rtl/>
          </w:rPr>
          <w:t>פקודת הסמים המסוכנים</w:t>
        </w:r>
      </w:hyperlink>
      <w:r w:rsidRPr="00893D83">
        <w:rPr>
          <w:rFonts w:ascii="David" w:hAnsi="David" w:cs="David"/>
          <w:sz w:val="26"/>
          <w:szCs w:val="26"/>
          <w:rtl/>
        </w:rPr>
        <w:t xml:space="preserve"> (נוסח חדש), תשל"ג – 1973. על פי עובדות כתב האישום, במועדים הרלבנטיים לכתב האישום (24.1.2021 – 26.1.2021), תיאם הנאשם באמצעות יישומון ה"טלגרס" עסקאות סחר בסמים, במסגרתן שלח לצרכני סמים הודעות טקסט ו/או הודעות קוליות ובהן פרטים כגון מקום המפגש, כמות הסם המבוקש, הסכום הכספי הנדרש, הכתובת למשלוח הסם ועוד. כתב האישום המתוקן מפרט 12 מועדים שונים בהם ביצע הנאשם סחר בסם מסוג קנבוס במשקל שבין 5 ל-22 גרם נטו לצרכנים שונים באמצעות ה"טלגרס" תמורת סכום מצטבר של כחמשת אלפים ש"ח.</w:t>
      </w:r>
    </w:p>
    <w:p w14:paraId="0CB061EB" w14:textId="77777777" w:rsidR="00DF5B6C" w:rsidRPr="00893D83" w:rsidRDefault="00DF5B6C" w:rsidP="00DF5B6C">
      <w:pPr>
        <w:spacing w:line="360" w:lineRule="auto"/>
        <w:jc w:val="both"/>
        <w:rPr>
          <w:rFonts w:ascii="David" w:hAnsi="David"/>
          <w:b/>
          <w:bCs/>
          <w:sz w:val="26"/>
          <w:szCs w:val="26"/>
          <w:u w:val="single"/>
          <w:rtl/>
        </w:rPr>
      </w:pPr>
      <w:bookmarkStart w:id="7" w:name="ABSTRACT_END"/>
      <w:bookmarkEnd w:id="7"/>
    </w:p>
    <w:p w14:paraId="65A91CE8" w14:textId="77777777" w:rsidR="00DF5B6C" w:rsidRPr="00893D83" w:rsidRDefault="00DF5B6C" w:rsidP="00DF5B6C">
      <w:pPr>
        <w:spacing w:line="360" w:lineRule="auto"/>
        <w:jc w:val="both"/>
        <w:rPr>
          <w:rFonts w:ascii="David" w:hAnsi="David"/>
          <w:b/>
          <w:bCs/>
          <w:sz w:val="26"/>
          <w:szCs w:val="26"/>
          <w:u w:val="single"/>
          <w:rtl/>
        </w:rPr>
      </w:pPr>
      <w:r w:rsidRPr="00893D83">
        <w:rPr>
          <w:rFonts w:ascii="David" w:hAnsi="David"/>
          <w:b/>
          <w:bCs/>
          <w:sz w:val="26"/>
          <w:szCs w:val="26"/>
          <w:u w:val="single"/>
          <w:rtl/>
        </w:rPr>
        <w:lastRenderedPageBreak/>
        <w:t>מהלך הדיון</w:t>
      </w:r>
    </w:p>
    <w:p w14:paraId="23C6D463" w14:textId="77777777" w:rsidR="00DF5B6C" w:rsidRPr="00893D83" w:rsidRDefault="00DF5B6C" w:rsidP="00DF5B6C">
      <w:pPr>
        <w:pStyle w:val="a9"/>
        <w:numPr>
          <w:ilvl w:val="0"/>
          <w:numId w:val="3"/>
        </w:numPr>
        <w:spacing w:line="360" w:lineRule="auto"/>
        <w:jc w:val="both"/>
        <w:rPr>
          <w:rFonts w:ascii="David" w:hAnsi="David" w:cs="David"/>
          <w:sz w:val="26"/>
          <w:szCs w:val="26"/>
          <w:rtl/>
        </w:rPr>
      </w:pPr>
      <w:r w:rsidRPr="00893D83">
        <w:rPr>
          <w:rFonts w:ascii="David" w:hAnsi="David" w:cs="David"/>
          <w:sz w:val="26"/>
          <w:szCs w:val="26"/>
          <w:rtl/>
        </w:rPr>
        <w:t xml:space="preserve">הנאשם היה עצור בין התאריכים 7.2.2021 ועד ליום 7.3.2021 עת שוחרר על-ידִי למעצר בית בבית הוריו, שם שהה בתנאי מעצר בית מלא במשך למעלה משנה. בהמשך הוקלו התנאים. </w:t>
      </w:r>
    </w:p>
    <w:p w14:paraId="1DCEA738" w14:textId="77777777" w:rsidR="00DF5B6C" w:rsidRPr="00893D83" w:rsidRDefault="00DF5B6C" w:rsidP="00DF5B6C">
      <w:pPr>
        <w:spacing w:line="360" w:lineRule="auto"/>
        <w:jc w:val="both"/>
        <w:rPr>
          <w:rFonts w:ascii="David" w:hAnsi="David"/>
          <w:sz w:val="26"/>
          <w:szCs w:val="26"/>
          <w:rtl/>
        </w:rPr>
      </w:pPr>
    </w:p>
    <w:p w14:paraId="1BF1CD3D" w14:textId="77777777" w:rsidR="00DF5B6C" w:rsidRPr="00893D83" w:rsidRDefault="00DF5B6C" w:rsidP="00DF5B6C">
      <w:pPr>
        <w:spacing w:line="360" w:lineRule="auto"/>
        <w:jc w:val="both"/>
        <w:rPr>
          <w:rFonts w:ascii="David" w:hAnsi="David"/>
          <w:b/>
          <w:bCs/>
          <w:sz w:val="26"/>
          <w:szCs w:val="26"/>
          <w:u w:val="single"/>
          <w:rtl/>
        </w:rPr>
      </w:pPr>
      <w:r w:rsidRPr="00893D83">
        <w:rPr>
          <w:rFonts w:ascii="David" w:hAnsi="David"/>
          <w:b/>
          <w:bCs/>
          <w:sz w:val="26"/>
          <w:szCs w:val="26"/>
          <w:u w:val="single"/>
          <w:rtl/>
        </w:rPr>
        <w:t>רישום פלילי</w:t>
      </w:r>
    </w:p>
    <w:p w14:paraId="265B51FD" w14:textId="77777777" w:rsidR="00DF5B6C" w:rsidRPr="00893D83" w:rsidRDefault="00DF5B6C" w:rsidP="00DF5B6C">
      <w:pPr>
        <w:pStyle w:val="a9"/>
        <w:numPr>
          <w:ilvl w:val="0"/>
          <w:numId w:val="3"/>
        </w:numPr>
        <w:spacing w:line="360" w:lineRule="auto"/>
        <w:jc w:val="both"/>
        <w:rPr>
          <w:rFonts w:ascii="David" w:hAnsi="David" w:cs="David"/>
          <w:sz w:val="26"/>
          <w:szCs w:val="26"/>
          <w:rtl/>
        </w:rPr>
      </w:pPr>
      <w:r w:rsidRPr="00893D83">
        <w:rPr>
          <w:rFonts w:ascii="David" w:hAnsi="David" w:cs="David"/>
          <w:sz w:val="26"/>
          <w:szCs w:val="26"/>
          <w:rtl/>
        </w:rPr>
        <w:t>בעברו של הנאשם שתי הרשעות קודמות בעבירות של סיוע לתקיפת שוטר ושימוש בכח למניעת מעצר, בגינן נידון לעונש מאסר על תנאי, צו מבחן ושל"ץ.</w:t>
      </w:r>
    </w:p>
    <w:p w14:paraId="18650C90" w14:textId="77777777" w:rsidR="00DF5B6C" w:rsidRPr="00893D83" w:rsidRDefault="00DF5B6C" w:rsidP="00DF5B6C">
      <w:pPr>
        <w:spacing w:line="360" w:lineRule="auto"/>
        <w:jc w:val="both"/>
        <w:rPr>
          <w:rFonts w:ascii="David" w:hAnsi="David"/>
          <w:sz w:val="26"/>
          <w:szCs w:val="26"/>
          <w:rtl/>
        </w:rPr>
      </w:pPr>
    </w:p>
    <w:p w14:paraId="779FA5E2" w14:textId="77777777" w:rsidR="00DF5B6C" w:rsidRPr="00893D83" w:rsidRDefault="00DF5B6C" w:rsidP="00DF5B6C">
      <w:pPr>
        <w:spacing w:line="360" w:lineRule="auto"/>
        <w:jc w:val="both"/>
        <w:rPr>
          <w:rFonts w:ascii="David" w:hAnsi="David"/>
          <w:sz w:val="26"/>
          <w:szCs w:val="26"/>
          <w:rtl/>
        </w:rPr>
      </w:pPr>
    </w:p>
    <w:p w14:paraId="42ABCA6F" w14:textId="77777777" w:rsidR="00DF5B6C" w:rsidRPr="00893D83" w:rsidRDefault="00DF5B6C" w:rsidP="00DF5B6C">
      <w:pPr>
        <w:spacing w:line="360" w:lineRule="auto"/>
        <w:jc w:val="both"/>
        <w:rPr>
          <w:rFonts w:ascii="David" w:hAnsi="David"/>
          <w:sz w:val="26"/>
          <w:szCs w:val="26"/>
          <w:rtl/>
        </w:rPr>
      </w:pPr>
    </w:p>
    <w:p w14:paraId="5381DD90" w14:textId="77777777" w:rsidR="00DF5B6C" w:rsidRPr="00893D83" w:rsidRDefault="00DF5B6C" w:rsidP="00DF5B6C">
      <w:pPr>
        <w:jc w:val="both"/>
        <w:rPr>
          <w:rFonts w:ascii="David" w:hAnsi="David"/>
          <w:b/>
          <w:bCs/>
          <w:sz w:val="26"/>
          <w:szCs w:val="26"/>
          <w:u w:val="single"/>
          <w:rtl/>
        </w:rPr>
      </w:pPr>
      <w:r w:rsidRPr="00893D83">
        <w:rPr>
          <w:rFonts w:ascii="David" w:hAnsi="David"/>
          <w:b/>
          <w:bCs/>
          <w:sz w:val="26"/>
          <w:szCs w:val="26"/>
          <w:u w:val="single"/>
          <w:rtl/>
        </w:rPr>
        <w:t>תסקירי שירות המבחן</w:t>
      </w:r>
    </w:p>
    <w:p w14:paraId="381DC3F7" w14:textId="77777777" w:rsidR="00DF5B6C" w:rsidRDefault="00DF5B6C" w:rsidP="00DF5B6C">
      <w:pPr>
        <w:pStyle w:val="a9"/>
        <w:numPr>
          <w:ilvl w:val="0"/>
          <w:numId w:val="3"/>
        </w:numPr>
        <w:spacing w:before="240" w:line="360" w:lineRule="auto"/>
        <w:jc w:val="both"/>
        <w:rPr>
          <w:rFonts w:ascii="David" w:hAnsi="David" w:cs="David"/>
          <w:sz w:val="26"/>
          <w:szCs w:val="26"/>
        </w:rPr>
      </w:pPr>
      <w:r w:rsidRPr="00893D83">
        <w:rPr>
          <w:rFonts w:ascii="David" w:hAnsi="David" w:cs="David"/>
          <w:sz w:val="26"/>
          <w:szCs w:val="26"/>
          <w:rtl/>
        </w:rPr>
        <w:t>בעניינו של הנאשם הוגשו שני תסקירים, ב</w:t>
      </w:r>
      <w:r>
        <w:rPr>
          <w:rFonts w:ascii="David" w:hAnsi="David" w:cs="David" w:hint="cs"/>
          <w:sz w:val="26"/>
          <w:szCs w:val="26"/>
          <w:rtl/>
        </w:rPr>
        <w:t xml:space="preserve">חודש </w:t>
      </w:r>
      <w:r w:rsidRPr="00893D83">
        <w:rPr>
          <w:rFonts w:ascii="David" w:hAnsi="David" w:cs="David"/>
          <w:sz w:val="26"/>
          <w:szCs w:val="26"/>
          <w:rtl/>
        </w:rPr>
        <w:t xml:space="preserve">יוני ובחודש נובמבר השנה. מהתסקירים עולה כי הנאשם, כבן 34, נשוי ואב לשלושה ילדים. כיום הנאשם עובד בעבודת ניהול בתחום הקבלנות. הנאשם גדל והתחנך במסגרות חינוך חרדיות וסיים 12 שנות לימוד עם תעודת בגרות חלקית. הנאשם לא גויס לצה"ל בשל אי התאמה. לאורך השנים, הקים הנאשם עסקים שונים בתחום הניקיון והמזון המהיר, כאשר לדבריו לפני כארבע שנים חווה משבר כלכלי. שירות המבחן תיאר כי במסגרת </w:t>
      </w:r>
      <w:r>
        <w:rPr>
          <w:rFonts w:ascii="David" w:hAnsi="David" w:cs="David" w:hint="cs"/>
          <w:sz w:val="26"/>
          <w:szCs w:val="26"/>
          <w:rtl/>
        </w:rPr>
        <w:t>ת</w:t>
      </w:r>
      <w:r w:rsidRPr="00893D83">
        <w:rPr>
          <w:rFonts w:ascii="David" w:hAnsi="David" w:cs="David"/>
          <w:sz w:val="26"/>
          <w:szCs w:val="26"/>
          <w:rtl/>
        </w:rPr>
        <w:t xml:space="preserve">הליך המעצר, שולב הנאשם בטיפול קבוצתי אליו התמיד להגיע, </w:t>
      </w:r>
      <w:r>
        <w:rPr>
          <w:rFonts w:ascii="David" w:hAnsi="David" w:cs="David" w:hint="cs"/>
          <w:sz w:val="26"/>
          <w:szCs w:val="26"/>
          <w:rtl/>
        </w:rPr>
        <w:t>ו</w:t>
      </w:r>
      <w:r w:rsidRPr="00893D83">
        <w:rPr>
          <w:rFonts w:ascii="David" w:hAnsi="David" w:cs="David"/>
          <w:sz w:val="26"/>
          <w:szCs w:val="26"/>
          <w:rtl/>
        </w:rPr>
        <w:t xml:space="preserve">השתתף באופן פעיל ושירות המבחן התרשם כי הנאשם נתרם מהתהליך הקבוצתי. בנוסף, השתתף הנאשם בקבוצת "פעמונים" – סדנה לניהול כלכלי נכון, גם שם התמיד להגיע וניכר כי רכש מיומנויות במסגרת השתתפותו. ביחס לעבירות בהן הורשע, שירות המבחן התרשם, כי הנאשם קיבל על עצמו אחריות מלאה וייחס את העבירות למצוקה כלכלית עמה התמודד באותה עת. במכלול הנסיבות המליץ שירות המבחן, על ענישה טיפולית בדמות 250 שעות של"ץ, הטלת צו מבחן והתחייבות. השירות התרשם כי הנאשם הביע מחויבות גבוהה לענישה מסוג זה, באשר הוא מודאג מהשלכת עונש אחר כגון עבודות שירות, על תפקוד </w:t>
      </w:r>
      <w:r>
        <w:rPr>
          <w:rFonts w:ascii="David" w:hAnsi="David" w:cs="David" w:hint="cs"/>
          <w:sz w:val="26"/>
          <w:szCs w:val="26"/>
          <w:rtl/>
        </w:rPr>
        <w:t>בעבודה</w:t>
      </w:r>
      <w:r w:rsidRPr="00893D83">
        <w:rPr>
          <w:rFonts w:ascii="David" w:hAnsi="David" w:cs="David"/>
          <w:sz w:val="26"/>
          <w:szCs w:val="26"/>
          <w:rtl/>
        </w:rPr>
        <w:t xml:space="preserve">. </w:t>
      </w:r>
    </w:p>
    <w:p w14:paraId="68F3AEB9" w14:textId="77777777" w:rsidR="00DF5B6C" w:rsidRPr="00893D83" w:rsidRDefault="00DF5B6C" w:rsidP="00DF5B6C">
      <w:pPr>
        <w:pStyle w:val="a9"/>
        <w:spacing w:before="240" w:line="360" w:lineRule="auto"/>
        <w:ind w:left="360"/>
        <w:jc w:val="both"/>
        <w:rPr>
          <w:rFonts w:ascii="David" w:hAnsi="David" w:cs="David"/>
          <w:sz w:val="26"/>
          <w:szCs w:val="26"/>
        </w:rPr>
      </w:pPr>
    </w:p>
    <w:p w14:paraId="6782E0CC"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t xml:space="preserve">בתסקיר הנוסף שהוגש לבקשתי, התמיד הנאשם בתהליך הטיפולי ושירות המבחן חזר על המלצתו. </w:t>
      </w:r>
    </w:p>
    <w:p w14:paraId="22F6DA09" w14:textId="77777777" w:rsidR="00DF5B6C" w:rsidRPr="00893D83" w:rsidRDefault="00DF5B6C" w:rsidP="00DF5B6C">
      <w:pPr>
        <w:spacing w:before="240"/>
        <w:jc w:val="both"/>
        <w:rPr>
          <w:rFonts w:ascii="David" w:hAnsi="David"/>
          <w:b/>
          <w:bCs/>
          <w:sz w:val="26"/>
          <w:szCs w:val="26"/>
          <w:u w:val="single"/>
          <w:rtl/>
        </w:rPr>
      </w:pPr>
      <w:r w:rsidRPr="00893D83">
        <w:rPr>
          <w:rFonts w:ascii="David" w:hAnsi="David"/>
          <w:b/>
          <w:bCs/>
          <w:sz w:val="26"/>
          <w:szCs w:val="26"/>
          <w:u w:val="single"/>
          <w:rtl/>
        </w:rPr>
        <w:t>חוות דעת הממונה על עבודות השירות</w:t>
      </w:r>
    </w:p>
    <w:p w14:paraId="731762A2"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lastRenderedPageBreak/>
        <w:t>הממונה מצא את הנאשם כשיר לבצע עבודות שירות במפעל חיים בירושלים החל מיום 16.1.2023.</w:t>
      </w:r>
    </w:p>
    <w:p w14:paraId="632FD91C" w14:textId="77777777" w:rsidR="00DF5B6C" w:rsidRPr="00893D83" w:rsidRDefault="00DF5B6C" w:rsidP="00DF5B6C">
      <w:pPr>
        <w:spacing w:before="240"/>
        <w:jc w:val="both"/>
        <w:rPr>
          <w:rFonts w:ascii="David" w:hAnsi="David"/>
          <w:b/>
          <w:bCs/>
          <w:sz w:val="26"/>
          <w:szCs w:val="26"/>
          <w:u w:val="single"/>
          <w:rtl/>
        </w:rPr>
      </w:pPr>
      <w:r w:rsidRPr="00893D83">
        <w:rPr>
          <w:rFonts w:ascii="David" w:hAnsi="David"/>
          <w:b/>
          <w:bCs/>
          <w:sz w:val="26"/>
          <w:szCs w:val="26"/>
          <w:u w:val="single"/>
          <w:rtl/>
        </w:rPr>
        <w:t>טיעונים לעונש</w:t>
      </w:r>
    </w:p>
    <w:p w14:paraId="3DA8F58B" w14:textId="77777777" w:rsidR="00DF5B6C" w:rsidRPr="00893D83" w:rsidRDefault="00DF5B6C" w:rsidP="00DF5B6C">
      <w:pPr>
        <w:pStyle w:val="a9"/>
        <w:numPr>
          <w:ilvl w:val="0"/>
          <w:numId w:val="3"/>
        </w:numPr>
        <w:spacing w:before="240" w:line="360" w:lineRule="auto"/>
        <w:jc w:val="both"/>
        <w:rPr>
          <w:rFonts w:ascii="David" w:hAnsi="David" w:cs="David"/>
          <w:sz w:val="26"/>
          <w:szCs w:val="26"/>
        </w:rPr>
      </w:pPr>
      <w:r w:rsidRPr="00893D83">
        <w:rPr>
          <w:rFonts w:ascii="David" w:hAnsi="David" w:cs="David"/>
          <w:sz w:val="26"/>
          <w:szCs w:val="26"/>
          <w:rtl/>
        </w:rPr>
        <w:t>ב"כ המאשימה סקרה את חומרת העבירות ואת נסיבותיו של הנאשם וסברה כי מתחמי הענישה הנפרדים לאישומים צריכ</w:t>
      </w:r>
      <w:r>
        <w:rPr>
          <w:rFonts w:ascii="David" w:hAnsi="David" w:cs="David" w:hint="cs"/>
          <w:sz w:val="26"/>
          <w:szCs w:val="26"/>
          <w:rtl/>
        </w:rPr>
        <w:t>ים</w:t>
      </w:r>
      <w:r w:rsidRPr="00893D83">
        <w:rPr>
          <w:rFonts w:ascii="David" w:hAnsi="David" w:cs="David"/>
          <w:sz w:val="26"/>
          <w:szCs w:val="26"/>
          <w:rtl/>
        </w:rPr>
        <w:t xml:space="preserve"> להתחיל מארבעה חודשים ולהגיע לשנתיים. ב"כ המאשימה סברה</w:t>
      </w:r>
      <w:r>
        <w:rPr>
          <w:rFonts w:ascii="David" w:hAnsi="David" w:cs="David" w:hint="cs"/>
          <w:sz w:val="26"/>
          <w:szCs w:val="26"/>
          <w:rtl/>
        </w:rPr>
        <w:t>,</w:t>
      </w:r>
      <w:r w:rsidRPr="00893D83">
        <w:rPr>
          <w:rFonts w:ascii="David" w:hAnsi="David" w:cs="David"/>
          <w:sz w:val="26"/>
          <w:szCs w:val="26"/>
          <w:rtl/>
        </w:rPr>
        <w:t xml:space="preserve"> כי הנאשם לא עבר תהליך שיקומי המצדיק חריגה מהמתחמים להם טענה באופן מצטבר, ולכן עתרה להטיל על הנאשם מאסר בפועל משמעותי וכן עמדה על בקשת החילוט שהופיעה בכתב האישום.</w:t>
      </w:r>
      <w:r>
        <w:rPr>
          <w:rFonts w:ascii="David" w:hAnsi="David" w:cs="David" w:hint="cs"/>
          <w:sz w:val="26"/>
          <w:szCs w:val="26"/>
          <w:rtl/>
        </w:rPr>
        <w:t xml:space="preserve"> המאשימה חזרה על עמדתה גם היום. </w:t>
      </w:r>
    </w:p>
    <w:p w14:paraId="15E09E54" w14:textId="77777777" w:rsidR="00DF5B6C" w:rsidRPr="00893D83" w:rsidRDefault="00DF5B6C" w:rsidP="00DF5B6C">
      <w:pPr>
        <w:pStyle w:val="a9"/>
        <w:spacing w:before="240" w:line="360" w:lineRule="auto"/>
        <w:ind w:left="360"/>
        <w:jc w:val="both"/>
        <w:rPr>
          <w:rFonts w:ascii="David" w:hAnsi="David" w:cs="David"/>
          <w:sz w:val="26"/>
          <w:szCs w:val="26"/>
          <w:rtl/>
        </w:rPr>
      </w:pPr>
    </w:p>
    <w:p w14:paraId="6526C545"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t>ב"כ הנאשם ביקש להיעתר להמלצת שירות המבחן. הוא הדגיש כי הנאשם עבר שיקום, והודות למאמציו של הנאשם ומציאת דרכו בכוחות עצמו, הצליח לעלות על דרך המלך. הדברים נאמרו ביתר שאת שעה שהנאשם המשיך להתמיד בכך גם בתקופת הדחיה.</w:t>
      </w:r>
    </w:p>
    <w:p w14:paraId="1B6AD038" w14:textId="77777777" w:rsidR="00DF5B6C" w:rsidRPr="00893D83" w:rsidRDefault="00DF5B6C" w:rsidP="00DF5B6C">
      <w:pPr>
        <w:spacing w:before="240"/>
        <w:jc w:val="both"/>
        <w:rPr>
          <w:rFonts w:ascii="David" w:hAnsi="David"/>
          <w:b/>
          <w:bCs/>
          <w:sz w:val="26"/>
          <w:szCs w:val="26"/>
          <w:u w:val="single"/>
          <w:rtl/>
        </w:rPr>
      </w:pPr>
    </w:p>
    <w:p w14:paraId="6BC2BA40" w14:textId="77777777" w:rsidR="00DF5B6C" w:rsidRPr="00893D83" w:rsidRDefault="00DF5B6C" w:rsidP="00DF5B6C">
      <w:pPr>
        <w:spacing w:before="240"/>
        <w:jc w:val="both"/>
        <w:rPr>
          <w:rFonts w:ascii="David" w:hAnsi="David"/>
          <w:b/>
          <w:bCs/>
          <w:sz w:val="26"/>
          <w:szCs w:val="26"/>
          <w:u w:val="single"/>
          <w:rtl/>
        </w:rPr>
      </w:pPr>
      <w:r w:rsidRPr="00893D83">
        <w:rPr>
          <w:rFonts w:ascii="David" w:hAnsi="David"/>
          <w:b/>
          <w:bCs/>
          <w:sz w:val="26"/>
          <w:szCs w:val="26"/>
          <w:u w:val="single"/>
          <w:rtl/>
        </w:rPr>
        <w:t>קביעת מתחם הענישה ההולם</w:t>
      </w:r>
    </w:p>
    <w:p w14:paraId="28701526" w14:textId="77777777" w:rsidR="00DF5B6C" w:rsidRPr="00893D83" w:rsidRDefault="00DF5B6C" w:rsidP="00DF5B6C">
      <w:pPr>
        <w:pStyle w:val="a9"/>
        <w:numPr>
          <w:ilvl w:val="0"/>
          <w:numId w:val="3"/>
        </w:numPr>
        <w:spacing w:before="240" w:line="360" w:lineRule="auto"/>
        <w:jc w:val="both"/>
        <w:rPr>
          <w:rFonts w:ascii="David" w:hAnsi="David" w:cs="David"/>
          <w:sz w:val="26"/>
          <w:szCs w:val="26"/>
        </w:rPr>
      </w:pPr>
      <w:r w:rsidRPr="00893D83">
        <w:rPr>
          <w:rFonts w:ascii="David" w:hAnsi="David" w:cs="David"/>
          <w:b/>
          <w:bCs/>
          <w:sz w:val="26"/>
          <w:szCs w:val="26"/>
          <w:rtl/>
        </w:rPr>
        <w:t>עקרון ההלימה</w:t>
      </w:r>
      <w:r w:rsidRPr="00893D83">
        <w:rPr>
          <w:rFonts w:ascii="David" w:hAnsi="David" w:cs="David"/>
          <w:sz w:val="26"/>
          <w:szCs w:val="26"/>
          <w:rtl/>
        </w:rPr>
        <w:t>, הוא העקרון המנחה את בית המשפט בבואו לקבוע את מתחם הענישה ההולם. מתחם זה הוא נגזרת של הערכים המוגנים, מידת הפגיעה בהם, נסיבות ביצוע העבירה ומידת אשמו של הנאשם וכן מדיניות הענישה הנוהגת.</w:t>
      </w:r>
    </w:p>
    <w:p w14:paraId="6EE81BDB" w14:textId="77777777" w:rsidR="00DF5B6C" w:rsidRPr="00893D83" w:rsidRDefault="00DF5B6C" w:rsidP="00DF5B6C">
      <w:pPr>
        <w:pStyle w:val="a9"/>
        <w:spacing w:before="240" w:line="360" w:lineRule="auto"/>
        <w:ind w:left="360"/>
        <w:jc w:val="both"/>
        <w:rPr>
          <w:rFonts w:ascii="David" w:hAnsi="David" w:cs="David"/>
          <w:sz w:val="26"/>
          <w:szCs w:val="26"/>
          <w:rtl/>
        </w:rPr>
      </w:pPr>
    </w:p>
    <w:p w14:paraId="5981A495" w14:textId="77777777" w:rsidR="00DF5B6C" w:rsidRPr="00893D83" w:rsidRDefault="00DF5B6C" w:rsidP="00DF5B6C">
      <w:pPr>
        <w:pStyle w:val="a9"/>
        <w:numPr>
          <w:ilvl w:val="0"/>
          <w:numId w:val="3"/>
        </w:numPr>
        <w:spacing w:before="240" w:line="360" w:lineRule="auto"/>
        <w:jc w:val="both"/>
        <w:rPr>
          <w:rFonts w:ascii="David" w:hAnsi="David" w:cs="David"/>
          <w:sz w:val="26"/>
          <w:szCs w:val="26"/>
        </w:rPr>
      </w:pPr>
      <w:r w:rsidRPr="00893D83">
        <w:rPr>
          <w:rFonts w:ascii="David" w:hAnsi="David" w:cs="David"/>
          <w:b/>
          <w:bCs/>
          <w:sz w:val="26"/>
          <w:szCs w:val="26"/>
          <w:rtl/>
        </w:rPr>
        <w:t>אשר לערכים המוגנים</w:t>
      </w:r>
      <w:r w:rsidRPr="00893D83">
        <w:rPr>
          <w:rFonts w:ascii="David" w:hAnsi="David" w:cs="David"/>
          <w:sz w:val="26"/>
          <w:szCs w:val="26"/>
          <w:rtl/>
        </w:rPr>
        <w:t xml:space="preserve"> – עבירות של סחר בסמים פוגעות במרקם החיים התקין, בביטחון הציבור ובבריאותו, ופגיעתם קשה עד מאוד. בענייננו, מידת הפגיעה בערכים המוגנים בינונית.</w:t>
      </w:r>
    </w:p>
    <w:p w14:paraId="5D93C410" w14:textId="77777777" w:rsidR="00DF5B6C" w:rsidRPr="00893D83" w:rsidRDefault="00DF5B6C" w:rsidP="00DF5B6C">
      <w:pPr>
        <w:pStyle w:val="a9"/>
        <w:rPr>
          <w:rFonts w:ascii="David" w:hAnsi="David" w:cs="David"/>
          <w:sz w:val="26"/>
          <w:szCs w:val="26"/>
          <w:rtl/>
        </w:rPr>
      </w:pPr>
    </w:p>
    <w:p w14:paraId="08D59526" w14:textId="77777777" w:rsidR="00DF5B6C" w:rsidRPr="00893D83" w:rsidRDefault="00DF5B6C" w:rsidP="00DF5B6C">
      <w:pPr>
        <w:pStyle w:val="a9"/>
        <w:numPr>
          <w:ilvl w:val="0"/>
          <w:numId w:val="3"/>
        </w:numPr>
        <w:spacing w:before="240" w:line="360" w:lineRule="auto"/>
        <w:jc w:val="both"/>
        <w:rPr>
          <w:rFonts w:ascii="David" w:hAnsi="David" w:cs="David"/>
          <w:sz w:val="26"/>
          <w:szCs w:val="26"/>
        </w:rPr>
      </w:pPr>
      <w:r w:rsidRPr="00893D83">
        <w:rPr>
          <w:rFonts w:ascii="David" w:hAnsi="David" w:cs="David"/>
          <w:b/>
          <w:bCs/>
          <w:sz w:val="26"/>
          <w:szCs w:val="26"/>
          <w:rtl/>
        </w:rPr>
        <w:t>אשר לנסיבות ביצוע העבירה</w:t>
      </w:r>
      <w:r w:rsidRPr="00893D83">
        <w:rPr>
          <w:rFonts w:ascii="David" w:hAnsi="David" w:cs="David"/>
          <w:sz w:val="26"/>
          <w:szCs w:val="26"/>
          <w:rtl/>
        </w:rPr>
        <w:t xml:space="preserve"> – בכל האישומים מדובר בעבירות מתוכננות שבוצעו בתחכום, תוך תיאום עם אנשים זרים לנאשם תוך שימוש ביישומון מתקדם מבחינה טכנולוגית. הרקע לביצוע המעשים הוא בצע כסף והנאשם אחראי למעשים באופן מלא. הנזק ממכירת סמים לכל דכפין ידוע ואלמלא נתפס, הנזק עלול היה להיות רב. הנאשם הספיק לבצע עבירות רבות בזמן קצר יחסית, דבר המעיד על ידיעותיו בתחום. העובדה שמדובר בסחר בקנביס, אינה מקהה מחומרת העבירות, שכן סחר בסם הוא סחר בסם מסוכן ואסור, והחומרה ידועה. </w:t>
      </w:r>
    </w:p>
    <w:p w14:paraId="04C78589" w14:textId="77777777" w:rsidR="00DF5B6C" w:rsidRPr="00893D83" w:rsidRDefault="00DF5B6C" w:rsidP="00DF5B6C">
      <w:pPr>
        <w:pStyle w:val="a9"/>
        <w:spacing w:before="240" w:line="360" w:lineRule="auto"/>
        <w:ind w:left="360"/>
        <w:jc w:val="both"/>
        <w:rPr>
          <w:rFonts w:ascii="David" w:hAnsi="David" w:cs="David"/>
          <w:sz w:val="26"/>
          <w:szCs w:val="26"/>
          <w:rtl/>
        </w:rPr>
      </w:pPr>
    </w:p>
    <w:p w14:paraId="755A8B1E"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b/>
          <w:bCs/>
          <w:sz w:val="26"/>
          <w:szCs w:val="26"/>
          <w:rtl/>
        </w:rPr>
        <w:t>אשר למדיניות הענישה הנוהגת</w:t>
      </w:r>
      <w:r w:rsidRPr="00893D83">
        <w:rPr>
          <w:rFonts w:ascii="David" w:hAnsi="David" w:cs="David"/>
          <w:sz w:val="26"/>
          <w:szCs w:val="26"/>
          <w:rtl/>
        </w:rPr>
        <w:t xml:space="preserve"> – בעבירות סחר בסמים הכלל הוא כי יש לתת בכורה לשיקולי הרתעה וגמול. לצד זאת הענישה לעולם תהא פרטנית.</w:t>
      </w:r>
    </w:p>
    <w:p w14:paraId="2D980080" w14:textId="77777777" w:rsidR="00DF5B6C" w:rsidRPr="00893D83" w:rsidRDefault="00DF5B6C" w:rsidP="00DF5B6C">
      <w:pPr>
        <w:pStyle w:val="a9"/>
        <w:numPr>
          <w:ilvl w:val="0"/>
          <w:numId w:val="1"/>
        </w:numPr>
        <w:spacing w:before="240" w:line="360" w:lineRule="auto"/>
        <w:jc w:val="both"/>
        <w:rPr>
          <w:rFonts w:ascii="David" w:hAnsi="David" w:cs="David"/>
          <w:sz w:val="26"/>
          <w:szCs w:val="26"/>
          <w:rtl/>
        </w:rPr>
      </w:pPr>
      <w:r w:rsidRPr="00893D83">
        <w:rPr>
          <w:rFonts w:ascii="David" w:hAnsi="David" w:cs="David"/>
          <w:sz w:val="26"/>
          <w:szCs w:val="26"/>
          <w:rtl/>
        </w:rPr>
        <w:t>ב</w:t>
      </w:r>
      <w:hyperlink r:id="rId13" w:history="1">
        <w:r w:rsidR="00C13FC3" w:rsidRPr="00C13FC3">
          <w:rPr>
            <w:rFonts w:ascii="David" w:hAnsi="David" w:cs="David"/>
            <w:color w:val="0000FF"/>
            <w:sz w:val="26"/>
            <w:szCs w:val="26"/>
            <w:u w:val="single"/>
            <w:rtl/>
          </w:rPr>
          <w:t>רע"פ 2139/16</w:t>
        </w:r>
      </w:hyperlink>
      <w:r w:rsidRPr="00893D83">
        <w:rPr>
          <w:rFonts w:ascii="David" w:hAnsi="David" w:cs="David"/>
          <w:sz w:val="26"/>
          <w:szCs w:val="26"/>
          <w:rtl/>
        </w:rPr>
        <w:t xml:space="preserve"> </w:t>
      </w:r>
      <w:r w:rsidRPr="00893D83">
        <w:rPr>
          <w:rFonts w:ascii="David" w:hAnsi="David" w:cs="David"/>
          <w:b/>
          <w:bCs/>
          <w:sz w:val="26"/>
          <w:szCs w:val="26"/>
          <w:u w:val="single"/>
          <w:rtl/>
        </w:rPr>
        <w:t>אברמס</w:t>
      </w:r>
      <w:r w:rsidRPr="00893D83">
        <w:rPr>
          <w:rFonts w:ascii="David" w:hAnsi="David" w:cs="David"/>
          <w:sz w:val="26"/>
          <w:szCs w:val="26"/>
          <w:rtl/>
        </w:rPr>
        <w:t xml:space="preserve"> נ' </w:t>
      </w:r>
      <w:r w:rsidRPr="00893D83">
        <w:rPr>
          <w:rFonts w:ascii="David" w:hAnsi="David" w:cs="David"/>
          <w:b/>
          <w:bCs/>
          <w:sz w:val="26"/>
          <w:szCs w:val="26"/>
          <w:u w:val="single"/>
          <w:rtl/>
        </w:rPr>
        <w:t>מ"י</w:t>
      </w:r>
      <w:r w:rsidRPr="00893D83">
        <w:rPr>
          <w:rFonts w:ascii="David" w:hAnsi="David" w:cs="David"/>
          <w:sz w:val="26"/>
          <w:szCs w:val="26"/>
          <w:rtl/>
        </w:rPr>
        <w:t xml:space="preserve"> (מיום 18.5.2016) אושר מתחם ענישה שבין 8 ל-27 חודשים ביחס לריבוי מקרים של סחר בחשיש בכמויות גדולות מאוד ושם התיק הסתיים ב-8 חודשי מאסר בפועל. </w:t>
      </w:r>
    </w:p>
    <w:p w14:paraId="3B57F90E" w14:textId="77777777" w:rsidR="00DF5B6C" w:rsidRPr="00893D83" w:rsidRDefault="00DF5B6C" w:rsidP="00DF5B6C">
      <w:pPr>
        <w:pStyle w:val="a9"/>
        <w:numPr>
          <w:ilvl w:val="0"/>
          <w:numId w:val="1"/>
        </w:numPr>
        <w:spacing w:before="240" w:line="360" w:lineRule="auto"/>
        <w:jc w:val="both"/>
        <w:rPr>
          <w:rFonts w:ascii="David" w:hAnsi="David" w:cs="David"/>
          <w:sz w:val="26"/>
          <w:szCs w:val="26"/>
        </w:rPr>
      </w:pPr>
      <w:r w:rsidRPr="00893D83">
        <w:rPr>
          <w:rFonts w:ascii="David" w:hAnsi="David" w:cs="David"/>
          <w:sz w:val="26"/>
          <w:szCs w:val="26"/>
          <w:rtl/>
        </w:rPr>
        <w:t xml:space="preserve">בעפ"ג (י-ם) 10715-02-16 </w:t>
      </w:r>
      <w:r w:rsidRPr="00893D83">
        <w:rPr>
          <w:rFonts w:ascii="David" w:hAnsi="David" w:cs="David"/>
          <w:b/>
          <w:bCs/>
          <w:sz w:val="26"/>
          <w:szCs w:val="26"/>
          <w:u w:val="single"/>
          <w:rtl/>
        </w:rPr>
        <w:t>מ"י</w:t>
      </w:r>
      <w:r w:rsidRPr="00893D83">
        <w:rPr>
          <w:rFonts w:ascii="David" w:hAnsi="David" w:cs="David"/>
          <w:sz w:val="26"/>
          <w:szCs w:val="26"/>
          <w:rtl/>
        </w:rPr>
        <w:t xml:space="preserve"> נ' </w:t>
      </w:r>
      <w:r w:rsidRPr="00893D83">
        <w:rPr>
          <w:rFonts w:ascii="David" w:hAnsi="David" w:cs="David"/>
          <w:b/>
          <w:bCs/>
          <w:sz w:val="26"/>
          <w:szCs w:val="26"/>
          <w:u w:val="single"/>
          <w:rtl/>
        </w:rPr>
        <w:t>דייני</w:t>
      </w:r>
      <w:r w:rsidRPr="00893D83">
        <w:rPr>
          <w:rFonts w:ascii="David" w:hAnsi="David" w:cs="David"/>
          <w:sz w:val="26"/>
          <w:szCs w:val="26"/>
          <w:rtl/>
        </w:rPr>
        <w:t xml:space="preserve"> (מיום 14.6.2016) הסתיים ההליך בעבודות שירות בשל שיקולי שיקום, ונקבע מתחם שבין 5 ל-15 חודשי מאסר בנסיבות של ריבוי מכירות קנביס בגרמים בודדים, כשברקע הדחת קטינים. הנסיבות חמורות ממקרנו.</w:t>
      </w:r>
    </w:p>
    <w:p w14:paraId="38FA5DA9" w14:textId="77777777" w:rsidR="00DF5B6C" w:rsidRPr="00893D83" w:rsidRDefault="00DF5B6C" w:rsidP="00DF5B6C">
      <w:pPr>
        <w:pStyle w:val="a9"/>
        <w:numPr>
          <w:ilvl w:val="0"/>
          <w:numId w:val="1"/>
        </w:numPr>
        <w:spacing w:before="240" w:line="360" w:lineRule="auto"/>
        <w:jc w:val="both"/>
        <w:rPr>
          <w:rFonts w:ascii="David" w:hAnsi="David" w:cs="David"/>
          <w:sz w:val="26"/>
          <w:szCs w:val="26"/>
        </w:rPr>
      </w:pPr>
      <w:r w:rsidRPr="00893D83">
        <w:rPr>
          <w:rFonts w:ascii="David" w:hAnsi="David" w:cs="David"/>
          <w:sz w:val="26"/>
          <w:szCs w:val="26"/>
          <w:rtl/>
        </w:rPr>
        <w:t>ב</w:t>
      </w:r>
      <w:hyperlink r:id="rId14" w:history="1">
        <w:r w:rsidR="00C13FC3" w:rsidRPr="00C13FC3">
          <w:rPr>
            <w:rFonts w:ascii="David" w:hAnsi="David" w:cs="David"/>
            <w:color w:val="0000FF"/>
            <w:sz w:val="26"/>
            <w:szCs w:val="26"/>
            <w:u w:val="single"/>
            <w:rtl/>
          </w:rPr>
          <w:t>עפ"ג (י-ם) 21958-07-16</w:t>
        </w:r>
      </w:hyperlink>
      <w:r w:rsidRPr="00893D83">
        <w:rPr>
          <w:rFonts w:ascii="David" w:hAnsi="David" w:cs="David"/>
          <w:sz w:val="26"/>
          <w:szCs w:val="26"/>
          <w:rtl/>
        </w:rPr>
        <w:t xml:space="preserve"> </w:t>
      </w:r>
      <w:r w:rsidRPr="00893D83">
        <w:rPr>
          <w:rFonts w:ascii="David" w:hAnsi="David" w:cs="David"/>
          <w:b/>
          <w:bCs/>
          <w:sz w:val="26"/>
          <w:szCs w:val="26"/>
          <w:u w:val="single"/>
          <w:rtl/>
        </w:rPr>
        <w:t>שם טוב</w:t>
      </w:r>
      <w:r w:rsidRPr="00893D83">
        <w:rPr>
          <w:rFonts w:ascii="David" w:hAnsi="David" w:cs="David"/>
          <w:sz w:val="26"/>
          <w:szCs w:val="26"/>
          <w:rtl/>
        </w:rPr>
        <w:t xml:space="preserve"> נ' </w:t>
      </w:r>
      <w:r w:rsidRPr="00893D83">
        <w:rPr>
          <w:rFonts w:ascii="David" w:hAnsi="David" w:cs="David"/>
          <w:b/>
          <w:bCs/>
          <w:sz w:val="26"/>
          <w:szCs w:val="26"/>
          <w:u w:val="single"/>
          <w:rtl/>
        </w:rPr>
        <w:t>מ"י</w:t>
      </w:r>
      <w:r w:rsidRPr="00893D83">
        <w:rPr>
          <w:rFonts w:ascii="David" w:hAnsi="David" w:cs="David"/>
          <w:sz w:val="26"/>
          <w:szCs w:val="26"/>
          <w:rtl/>
        </w:rPr>
        <w:t xml:space="preserve"> (מיום 9.4.2018) הסתיים הליך בעבודות שירות במקום 10 חודשי מאסר שנגזרו בערכאה הדיונית, מטעמי שיקום. אושר שם מתחם שבין 10 ל-30 חודשי מאסר בנסיבות של הדחת קטין לשימוש בסם ומכירה לקטינים על רקע חברתי במספר הזדמנויות. גם מקרה זה חמור ממקרנו. </w:t>
      </w:r>
    </w:p>
    <w:p w14:paraId="77E7F27C" w14:textId="77777777" w:rsidR="00DF5B6C" w:rsidRPr="00893D83" w:rsidRDefault="00DF5B6C" w:rsidP="00DF5B6C">
      <w:pPr>
        <w:pStyle w:val="a9"/>
        <w:numPr>
          <w:ilvl w:val="0"/>
          <w:numId w:val="1"/>
        </w:numPr>
        <w:spacing w:before="240" w:line="360" w:lineRule="auto"/>
        <w:jc w:val="both"/>
        <w:rPr>
          <w:rFonts w:ascii="David" w:hAnsi="David" w:cs="David"/>
          <w:sz w:val="26"/>
          <w:szCs w:val="26"/>
        </w:rPr>
      </w:pPr>
      <w:r w:rsidRPr="00893D83">
        <w:rPr>
          <w:rFonts w:ascii="David" w:hAnsi="David" w:cs="David"/>
          <w:sz w:val="26"/>
          <w:szCs w:val="26"/>
          <w:rtl/>
        </w:rPr>
        <w:t>ב</w:t>
      </w:r>
      <w:hyperlink r:id="rId15" w:history="1">
        <w:r w:rsidR="00C13FC3" w:rsidRPr="00C13FC3">
          <w:rPr>
            <w:rFonts w:ascii="David" w:hAnsi="David" w:cs="David"/>
            <w:color w:val="0000FF"/>
            <w:sz w:val="26"/>
            <w:szCs w:val="26"/>
            <w:u w:val="single"/>
            <w:rtl/>
          </w:rPr>
          <w:t>ת"פ 24627-10-16</w:t>
        </w:r>
      </w:hyperlink>
      <w:r w:rsidRPr="00893D83">
        <w:rPr>
          <w:rFonts w:ascii="David" w:hAnsi="David" w:cs="David"/>
          <w:sz w:val="26"/>
          <w:szCs w:val="26"/>
          <w:rtl/>
        </w:rPr>
        <w:t xml:space="preserve"> </w:t>
      </w:r>
      <w:r w:rsidRPr="00893D83">
        <w:rPr>
          <w:rFonts w:ascii="David" w:hAnsi="David" w:cs="David"/>
          <w:b/>
          <w:bCs/>
          <w:sz w:val="26"/>
          <w:szCs w:val="26"/>
          <w:u w:val="single"/>
          <w:rtl/>
        </w:rPr>
        <w:t>מ"י</w:t>
      </w:r>
      <w:r w:rsidRPr="00893D83">
        <w:rPr>
          <w:rFonts w:ascii="David" w:hAnsi="David" w:cs="David"/>
          <w:sz w:val="26"/>
          <w:szCs w:val="26"/>
          <w:rtl/>
        </w:rPr>
        <w:t xml:space="preserve"> נ' </w:t>
      </w:r>
      <w:r w:rsidRPr="00893D83">
        <w:rPr>
          <w:rFonts w:ascii="David" w:hAnsi="David" w:cs="David"/>
          <w:b/>
          <w:bCs/>
          <w:sz w:val="26"/>
          <w:szCs w:val="26"/>
          <w:u w:val="single"/>
          <w:rtl/>
        </w:rPr>
        <w:t>דיוויס</w:t>
      </w:r>
      <w:r w:rsidRPr="00893D83">
        <w:rPr>
          <w:rFonts w:ascii="David" w:hAnsi="David" w:cs="David"/>
          <w:sz w:val="26"/>
          <w:szCs w:val="26"/>
          <w:rtl/>
        </w:rPr>
        <w:t xml:space="preserve"> (מיום 17.7.2017) דנתי במקרה חמוד ממקרנו של מספר מקרי סחר בכמויות גדולות יותר. שם קבעתי מתחם שבין מאסר מותנה ל-12 חודשי מאסר, ובסופו של דבר חרגתי מטעמי שיקום ממתחם הענישה והטלתי עונש של 300 שעות של"ץ וענישה נלווית. לא הוגש ערעור.</w:t>
      </w:r>
    </w:p>
    <w:p w14:paraId="184E73F0" w14:textId="77777777" w:rsidR="00DF5B6C" w:rsidRPr="00893D83" w:rsidRDefault="00DF5B6C" w:rsidP="00DF5B6C">
      <w:pPr>
        <w:pStyle w:val="a9"/>
        <w:spacing w:before="240" w:line="360" w:lineRule="auto"/>
        <w:jc w:val="both"/>
        <w:rPr>
          <w:rFonts w:ascii="David" w:hAnsi="David" w:cs="David"/>
          <w:sz w:val="26"/>
          <w:szCs w:val="26"/>
        </w:rPr>
      </w:pPr>
    </w:p>
    <w:p w14:paraId="14C27F74"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b/>
          <w:bCs/>
          <w:sz w:val="26"/>
          <w:szCs w:val="26"/>
          <w:rtl/>
        </w:rPr>
        <w:t>מתחם הענישה</w:t>
      </w:r>
      <w:r w:rsidRPr="00893D83">
        <w:rPr>
          <w:rFonts w:ascii="David" w:hAnsi="David" w:cs="David"/>
          <w:sz w:val="26"/>
          <w:szCs w:val="26"/>
          <w:rtl/>
        </w:rPr>
        <w:t xml:space="preserve"> – יש לקבוע מתחם אחד לכל האישומים נוכח הדמיון בשיטת הפעולה, סוג הסם, כמותו והקרבה בזמן שכן מתקיים ביניהם מבחן הקשר ההדוק. יש לקבוע מתחם שבין חודשיים  ל-14  חודשי מאסר. </w:t>
      </w:r>
    </w:p>
    <w:p w14:paraId="04A040A3" w14:textId="77777777" w:rsidR="00DF5B6C" w:rsidRPr="00893D83" w:rsidRDefault="00DF5B6C" w:rsidP="00DF5B6C">
      <w:pPr>
        <w:spacing w:before="240" w:line="360" w:lineRule="auto"/>
        <w:jc w:val="both"/>
        <w:rPr>
          <w:rFonts w:ascii="David" w:hAnsi="David"/>
          <w:b/>
          <w:bCs/>
          <w:sz w:val="26"/>
          <w:szCs w:val="26"/>
          <w:u w:val="single"/>
          <w:rtl/>
        </w:rPr>
      </w:pPr>
    </w:p>
    <w:p w14:paraId="12DC693C" w14:textId="77777777" w:rsidR="00DF5B6C" w:rsidRPr="00893D83" w:rsidRDefault="00DF5B6C" w:rsidP="00DF5B6C">
      <w:pPr>
        <w:spacing w:before="240"/>
        <w:jc w:val="both"/>
        <w:rPr>
          <w:rFonts w:ascii="David" w:hAnsi="David"/>
          <w:b/>
          <w:bCs/>
          <w:sz w:val="26"/>
          <w:szCs w:val="26"/>
          <w:u w:val="single"/>
          <w:rtl/>
        </w:rPr>
      </w:pPr>
      <w:r w:rsidRPr="00893D83">
        <w:rPr>
          <w:rFonts w:ascii="David" w:hAnsi="David"/>
          <w:b/>
          <w:bCs/>
          <w:sz w:val="26"/>
          <w:szCs w:val="26"/>
          <w:u w:val="single"/>
          <w:rtl/>
        </w:rPr>
        <w:t>נסיבות שאינן קשורות לביצוע העבירה</w:t>
      </w:r>
    </w:p>
    <w:p w14:paraId="2CBDE93B"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t xml:space="preserve">במסגרת הנסיבות שאינן קשורות בביצוע עבירה ושיש להן השפעה על המיקום במתחם, ניתן למנות את אלה: הנאשם בתחילת שנות השלושים לחייו, נשוי ואב לשלוש בנות, כאשר הקטנה מביניהן בת שנה ונמסר </w:t>
      </w:r>
      <w:r>
        <w:rPr>
          <w:rFonts w:ascii="David" w:hAnsi="David" w:cs="David" w:hint="cs"/>
          <w:sz w:val="26"/>
          <w:szCs w:val="26"/>
          <w:rtl/>
        </w:rPr>
        <w:t xml:space="preserve">לי </w:t>
      </w:r>
      <w:r w:rsidRPr="00893D83">
        <w:rPr>
          <w:rFonts w:ascii="David" w:hAnsi="David" w:cs="David"/>
          <w:sz w:val="26"/>
          <w:szCs w:val="26"/>
          <w:rtl/>
        </w:rPr>
        <w:t xml:space="preserve">כי אמורה לעבור ניתוח בקרוב. הנאשם קיבל אחריות מלאה על מעשיו והביע חרטה מלאה. עברו הפלילי אינו רלבנטי ואינו מכביד. דרכו הטיפולית בתיק זה הייתה טובה תוך שיתוף פעולה מלא גם בתקופת המבחן שניתנה לו על-ידי. הנאשם אדם חרוץ ויוזם בתחום התעסוקה ומתמודד באופן חזיתי עם מחויבויותיו ואינו משתמט מהן. ליציבות התעסוקתית והעובדה שכרגע מחזיק במקום עבודה שם מעסיקיו מרוצים ממנו יש משמעות רבה להמשך שיקומו. מעבר לכך, יש לקחת בחשבון את העובדה שהנאשם היה עצור ממש בתיק זה תקופה לא קצרה וכן היה נתון בתנאים מגבילים לאורך זמן, אותם לא הפר. </w:t>
      </w:r>
    </w:p>
    <w:p w14:paraId="0CA94C63" w14:textId="77777777" w:rsidR="00DF5B6C" w:rsidRPr="00893D83" w:rsidRDefault="00DF5B6C" w:rsidP="00DF5B6C">
      <w:pPr>
        <w:spacing w:before="240" w:line="360" w:lineRule="auto"/>
        <w:jc w:val="both"/>
        <w:rPr>
          <w:rFonts w:ascii="David" w:hAnsi="David"/>
          <w:b/>
          <w:bCs/>
          <w:sz w:val="26"/>
          <w:szCs w:val="26"/>
          <w:u w:val="single"/>
          <w:rtl/>
        </w:rPr>
      </w:pPr>
      <w:r w:rsidRPr="00893D83">
        <w:rPr>
          <w:rFonts w:ascii="David" w:hAnsi="David"/>
          <w:b/>
          <w:bCs/>
          <w:sz w:val="26"/>
          <w:szCs w:val="26"/>
          <w:u w:val="single"/>
          <w:rtl/>
        </w:rPr>
        <w:t>המיקום במתחם והחריגה ממנו מטעמי שיקום</w:t>
      </w:r>
    </w:p>
    <w:p w14:paraId="55E41E2C"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t>אלמלא שיקולי שיקום, היה מקום להעמיד את הנאשם עד לתחילת השליש העליון של המתחם. אלא שסברתי שמכלול הנסיבות מאפשר לסטות לקול</w:t>
      </w:r>
      <w:r>
        <w:rPr>
          <w:rFonts w:ascii="David" w:hAnsi="David" w:cs="David" w:hint="cs"/>
          <w:sz w:val="26"/>
          <w:szCs w:val="26"/>
          <w:rtl/>
        </w:rPr>
        <w:t>ה</w:t>
      </w:r>
      <w:r w:rsidRPr="00893D83">
        <w:rPr>
          <w:rFonts w:ascii="David" w:hAnsi="David" w:cs="David"/>
          <w:sz w:val="26"/>
          <w:szCs w:val="26"/>
          <w:rtl/>
        </w:rPr>
        <w:t xml:space="preserve"> ממתחם העונש, שכן הנאשם הוכיח בתקופת משפטו יכולת להשתקם, שיתף פעולה באופן עקבי עם שירות המבחן ולא פתח תיקים חדשים. בנוסף, הוא מחויב להמשך הטיפול, ואף עלה על דרך המלך בתחום התעסוקתי המהווה עבורו מוקד מייצב משמעותי, עליו יש לשמור, כערובה להפחתת הסיכון להישנות עבירות. </w:t>
      </w:r>
    </w:p>
    <w:p w14:paraId="2B665E45" w14:textId="77777777" w:rsidR="00DF5B6C" w:rsidRPr="00893D83" w:rsidRDefault="00DF5B6C" w:rsidP="00DF5B6C">
      <w:pPr>
        <w:spacing w:before="240" w:line="360" w:lineRule="auto"/>
        <w:jc w:val="both"/>
        <w:rPr>
          <w:rFonts w:ascii="David" w:hAnsi="David"/>
          <w:b/>
          <w:bCs/>
          <w:sz w:val="26"/>
          <w:szCs w:val="26"/>
          <w:u w:val="single"/>
          <w:rtl/>
        </w:rPr>
      </w:pPr>
    </w:p>
    <w:p w14:paraId="113B4035" w14:textId="77777777" w:rsidR="00DF5B6C" w:rsidRPr="00893D83" w:rsidRDefault="00DF5B6C" w:rsidP="00DF5B6C">
      <w:pPr>
        <w:spacing w:before="240" w:line="360" w:lineRule="auto"/>
        <w:jc w:val="both"/>
        <w:rPr>
          <w:rFonts w:ascii="David" w:hAnsi="David"/>
          <w:b/>
          <w:bCs/>
          <w:sz w:val="26"/>
          <w:szCs w:val="26"/>
          <w:u w:val="single"/>
          <w:rtl/>
        </w:rPr>
      </w:pPr>
      <w:r w:rsidRPr="00893D83">
        <w:rPr>
          <w:rFonts w:ascii="David" w:hAnsi="David"/>
          <w:b/>
          <w:bCs/>
          <w:sz w:val="26"/>
          <w:szCs w:val="26"/>
          <w:u w:val="single"/>
          <w:rtl/>
        </w:rPr>
        <w:t>גזירת הדין</w:t>
      </w:r>
    </w:p>
    <w:p w14:paraId="291ADB24" w14:textId="77777777" w:rsidR="00DF5B6C" w:rsidRPr="00893D83" w:rsidRDefault="00DF5B6C" w:rsidP="00DF5B6C">
      <w:pPr>
        <w:pStyle w:val="a9"/>
        <w:numPr>
          <w:ilvl w:val="0"/>
          <w:numId w:val="3"/>
        </w:numPr>
        <w:spacing w:before="240" w:line="360" w:lineRule="auto"/>
        <w:jc w:val="both"/>
        <w:rPr>
          <w:rFonts w:ascii="David" w:hAnsi="David" w:cs="David"/>
          <w:sz w:val="26"/>
          <w:szCs w:val="26"/>
          <w:rtl/>
        </w:rPr>
      </w:pPr>
      <w:r w:rsidRPr="00893D83">
        <w:rPr>
          <w:rFonts w:ascii="David" w:hAnsi="David" w:cs="David"/>
          <w:sz w:val="26"/>
          <w:szCs w:val="26"/>
          <w:rtl/>
        </w:rPr>
        <w:t>נוכח כל האמור, מטיל על הנאשם את העונשים הבאים:</w:t>
      </w:r>
    </w:p>
    <w:p w14:paraId="0655BC2A" w14:textId="77777777" w:rsidR="00DF5B6C" w:rsidRPr="00893D83" w:rsidRDefault="00DF5B6C" w:rsidP="00DF5B6C">
      <w:pPr>
        <w:pStyle w:val="a9"/>
        <w:numPr>
          <w:ilvl w:val="0"/>
          <w:numId w:val="2"/>
        </w:numPr>
        <w:spacing w:before="240" w:line="360" w:lineRule="auto"/>
        <w:jc w:val="both"/>
        <w:rPr>
          <w:rFonts w:ascii="David" w:hAnsi="David" w:cs="David"/>
          <w:sz w:val="26"/>
          <w:szCs w:val="26"/>
        </w:rPr>
      </w:pPr>
      <w:r w:rsidRPr="00893D83">
        <w:rPr>
          <w:rFonts w:ascii="David" w:hAnsi="David" w:cs="David"/>
          <w:sz w:val="26"/>
          <w:szCs w:val="26"/>
          <w:rtl/>
        </w:rPr>
        <w:t>450 שעות שירות לתועלת הציבור. תוכנית של"ץ תוגש עד ליום 1.1.2023;</w:t>
      </w:r>
    </w:p>
    <w:p w14:paraId="222040B2" w14:textId="77777777" w:rsidR="00DF5B6C" w:rsidRPr="00893D83" w:rsidRDefault="00DF5B6C" w:rsidP="00DF5B6C">
      <w:pPr>
        <w:pStyle w:val="a9"/>
        <w:numPr>
          <w:ilvl w:val="0"/>
          <w:numId w:val="2"/>
        </w:numPr>
        <w:spacing w:before="240" w:line="360" w:lineRule="auto"/>
        <w:jc w:val="both"/>
        <w:rPr>
          <w:rFonts w:ascii="David" w:hAnsi="David" w:cs="David"/>
          <w:sz w:val="26"/>
          <w:szCs w:val="26"/>
          <w:rtl/>
        </w:rPr>
      </w:pPr>
      <w:r w:rsidRPr="00893D83">
        <w:rPr>
          <w:rFonts w:ascii="David" w:hAnsi="David" w:cs="David"/>
          <w:sz w:val="26"/>
          <w:szCs w:val="26"/>
          <w:rtl/>
        </w:rPr>
        <w:t>צו מבחן לתקופה של 18 חודשים מהיום;</w:t>
      </w:r>
    </w:p>
    <w:p w14:paraId="4A5EB14C" w14:textId="77777777" w:rsidR="00DF5B6C" w:rsidRPr="00893D83" w:rsidRDefault="00DF5B6C" w:rsidP="00DF5B6C">
      <w:pPr>
        <w:pStyle w:val="a9"/>
        <w:numPr>
          <w:ilvl w:val="0"/>
          <w:numId w:val="2"/>
        </w:numPr>
        <w:spacing w:before="240" w:line="360" w:lineRule="auto"/>
        <w:jc w:val="both"/>
        <w:rPr>
          <w:rFonts w:ascii="David" w:hAnsi="David" w:cs="David"/>
          <w:sz w:val="26"/>
          <w:szCs w:val="26"/>
        </w:rPr>
      </w:pPr>
      <w:r w:rsidRPr="00893D83">
        <w:rPr>
          <w:rFonts w:ascii="David" w:hAnsi="David" w:cs="David"/>
          <w:sz w:val="26"/>
          <w:szCs w:val="26"/>
          <w:rtl/>
        </w:rPr>
        <w:t xml:space="preserve">9 חודשי מאסר וזאת על-תנאי למשך 3 שנים מהיום, שלא יעבור כל עבירת פשע לפי </w:t>
      </w:r>
      <w:hyperlink r:id="rId16" w:history="1">
        <w:r w:rsidR="00C13FC3" w:rsidRPr="00C13FC3">
          <w:rPr>
            <w:rFonts w:ascii="David" w:hAnsi="David" w:cs="David"/>
            <w:color w:val="0000FF"/>
            <w:sz w:val="26"/>
            <w:szCs w:val="26"/>
            <w:u w:val="single"/>
            <w:rtl/>
          </w:rPr>
          <w:t>פקודת הסמים המסוכנים</w:t>
        </w:r>
      </w:hyperlink>
      <w:r w:rsidRPr="00893D83">
        <w:rPr>
          <w:rFonts w:ascii="David" w:hAnsi="David" w:cs="David"/>
          <w:sz w:val="26"/>
          <w:szCs w:val="26"/>
          <w:rtl/>
        </w:rPr>
        <w:t>;</w:t>
      </w:r>
    </w:p>
    <w:p w14:paraId="2DC49923" w14:textId="77777777" w:rsidR="00DF5B6C" w:rsidRPr="00893D83" w:rsidRDefault="00DF5B6C" w:rsidP="00DF5B6C">
      <w:pPr>
        <w:pStyle w:val="a9"/>
        <w:numPr>
          <w:ilvl w:val="0"/>
          <w:numId w:val="2"/>
        </w:numPr>
        <w:spacing w:before="240" w:line="360" w:lineRule="auto"/>
        <w:jc w:val="both"/>
        <w:rPr>
          <w:rFonts w:ascii="David" w:hAnsi="David" w:cs="David"/>
          <w:sz w:val="26"/>
          <w:szCs w:val="26"/>
        </w:rPr>
      </w:pPr>
      <w:r w:rsidRPr="00893D83">
        <w:rPr>
          <w:rFonts w:ascii="David" w:hAnsi="David" w:cs="David"/>
          <w:sz w:val="26"/>
          <w:szCs w:val="26"/>
          <w:rtl/>
        </w:rPr>
        <w:t xml:space="preserve">חודשיים מאסר וזאת על-תנאי למשך 3 שנים מהיום, שלא יעבור כל עבירת עוון לפי </w:t>
      </w:r>
      <w:hyperlink r:id="rId17" w:history="1">
        <w:r w:rsidR="00C13FC3" w:rsidRPr="00C13FC3">
          <w:rPr>
            <w:rFonts w:ascii="David" w:hAnsi="David" w:cs="David"/>
            <w:color w:val="0000FF"/>
            <w:sz w:val="26"/>
            <w:szCs w:val="26"/>
            <w:u w:val="single"/>
            <w:rtl/>
          </w:rPr>
          <w:t>פקודת הסמים המסוכנים</w:t>
        </w:r>
      </w:hyperlink>
      <w:r w:rsidRPr="00893D83">
        <w:rPr>
          <w:rFonts w:ascii="David" w:hAnsi="David" w:cs="David"/>
          <w:sz w:val="26"/>
          <w:szCs w:val="26"/>
          <w:rtl/>
        </w:rPr>
        <w:t>;</w:t>
      </w:r>
    </w:p>
    <w:p w14:paraId="6A339619" w14:textId="77777777" w:rsidR="00DF5B6C" w:rsidRDefault="00DF5B6C" w:rsidP="00DF5B6C">
      <w:pPr>
        <w:pStyle w:val="a9"/>
        <w:numPr>
          <w:ilvl w:val="0"/>
          <w:numId w:val="2"/>
        </w:numPr>
        <w:spacing w:before="240" w:line="360" w:lineRule="auto"/>
        <w:jc w:val="both"/>
        <w:rPr>
          <w:rFonts w:ascii="David" w:hAnsi="David" w:cs="David"/>
          <w:sz w:val="26"/>
          <w:szCs w:val="26"/>
        </w:rPr>
      </w:pPr>
      <w:r w:rsidRPr="00893D83">
        <w:rPr>
          <w:rFonts w:ascii="David" w:hAnsi="David" w:cs="David"/>
          <w:sz w:val="26"/>
          <w:szCs w:val="26"/>
          <w:rtl/>
        </w:rPr>
        <w:t>3,000 ₪ קנס או 10 ימי מאסר תמורתו אם לא ישולם. הקנס ישולם ב-10 תשלומים שווים ורצופים החל מיום 1.1.2023 ובכל 1 לחודש רציף ועוקב;</w:t>
      </w:r>
    </w:p>
    <w:p w14:paraId="58123ABC" w14:textId="77777777" w:rsidR="00DF5B6C" w:rsidRPr="00893D83" w:rsidRDefault="00DF5B6C" w:rsidP="00DF5B6C">
      <w:pPr>
        <w:pStyle w:val="a9"/>
        <w:numPr>
          <w:ilvl w:val="0"/>
          <w:numId w:val="2"/>
        </w:numPr>
        <w:spacing w:before="240" w:line="360" w:lineRule="auto"/>
        <w:jc w:val="both"/>
        <w:rPr>
          <w:rFonts w:ascii="David" w:hAnsi="David" w:cs="David"/>
          <w:sz w:val="26"/>
          <w:szCs w:val="26"/>
        </w:rPr>
      </w:pPr>
      <w:r>
        <w:rPr>
          <w:rFonts w:ascii="David" w:hAnsi="David" w:cs="David" w:hint="cs"/>
          <w:sz w:val="26"/>
          <w:szCs w:val="26"/>
          <w:rtl/>
        </w:rPr>
        <w:t>התחייבות בסך 5,000 ₪ שלא לעבור בתוך שנתיים מהיום כל עבירת פשע לפי פקודת הסמים.</w:t>
      </w:r>
    </w:p>
    <w:p w14:paraId="4E642F97" w14:textId="77777777" w:rsidR="00DF5B6C" w:rsidRDefault="00DF5B6C" w:rsidP="00DF5B6C">
      <w:pPr>
        <w:spacing w:before="240" w:line="360" w:lineRule="auto"/>
        <w:jc w:val="both"/>
        <w:rPr>
          <w:rFonts w:ascii="David" w:hAnsi="David"/>
          <w:sz w:val="26"/>
          <w:szCs w:val="26"/>
          <w:rtl/>
        </w:rPr>
      </w:pPr>
      <w:r w:rsidRPr="00893D83">
        <w:rPr>
          <w:rFonts w:ascii="David" w:hAnsi="David"/>
          <w:sz w:val="26"/>
          <w:szCs w:val="26"/>
          <w:rtl/>
        </w:rPr>
        <w:t>אני מורה על השמדת הסמים והמוצגים.</w:t>
      </w:r>
    </w:p>
    <w:p w14:paraId="74827FE8" w14:textId="77777777" w:rsidR="00DF5B6C" w:rsidRPr="00893D83" w:rsidRDefault="00DF5B6C" w:rsidP="00DF5B6C">
      <w:pPr>
        <w:spacing w:before="240" w:line="360" w:lineRule="auto"/>
        <w:jc w:val="both"/>
        <w:rPr>
          <w:rFonts w:ascii="David" w:hAnsi="David"/>
          <w:sz w:val="26"/>
          <w:szCs w:val="26"/>
          <w:rtl/>
        </w:rPr>
      </w:pPr>
      <w:r w:rsidRPr="000537A4">
        <w:rPr>
          <w:rFonts w:ascii="David" w:hAnsi="David" w:hint="cs"/>
          <w:b/>
          <w:bCs/>
          <w:sz w:val="26"/>
          <w:szCs w:val="26"/>
          <w:rtl/>
        </w:rPr>
        <w:t>אשר לרכב</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הבנתי מב"כ הנאשם כי הרכב הוחזר ולכן הבקשה לחלטו מתייתרת.</w:t>
      </w:r>
    </w:p>
    <w:p w14:paraId="4D71CF22" w14:textId="77777777" w:rsidR="00DF5B6C" w:rsidRPr="00893D83" w:rsidRDefault="00DF5B6C" w:rsidP="00DF5B6C">
      <w:pPr>
        <w:spacing w:line="360" w:lineRule="auto"/>
        <w:jc w:val="both"/>
        <w:rPr>
          <w:rFonts w:ascii="David" w:hAnsi="David"/>
          <w:sz w:val="26"/>
          <w:szCs w:val="26"/>
        </w:rPr>
      </w:pPr>
    </w:p>
    <w:p w14:paraId="22241BE7" w14:textId="77777777" w:rsidR="00DF5B6C" w:rsidRPr="00893D83" w:rsidRDefault="00DF5B6C" w:rsidP="00DF5B6C">
      <w:pPr>
        <w:spacing w:line="360" w:lineRule="auto"/>
        <w:jc w:val="both"/>
        <w:rPr>
          <w:rFonts w:ascii="David" w:hAnsi="David"/>
          <w:b/>
          <w:bCs/>
          <w:sz w:val="26"/>
          <w:szCs w:val="26"/>
        </w:rPr>
      </w:pPr>
      <w:r w:rsidRPr="00893D83">
        <w:rPr>
          <w:rFonts w:ascii="David" w:hAnsi="David"/>
          <w:b/>
          <w:bCs/>
          <w:sz w:val="26"/>
          <w:szCs w:val="26"/>
          <w:rtl/>
        </w:rPr>
        <w:t xml:space="preserve">תשומת לב לכך שאי ביצוע צו המבחן או צו השל"ץ עלול להוביל להפקעתם ולגזירת העונש מחדש, לרבות הטלת מאסר בפועל. </w:t>
      </w:r>
    </w:p>
    <w:p w14:paraId="5E4F2A82" w14:textId="77777777" w:rsidR="00DF5B6C" w:rsidRPr="00893D83" w:rsidRDefault="00DF5B6C" w:rsidP="00DF5B6C">
      <w:pPr>
        <w:spacing w:line="360" w:lineRule="auto"/>
        <w:jc w:val="both"/>
        <w:rPr>
          <w:rFonts w:ascii="David" w:hAnsi="David"/>
          <w:b/>
          <w:bCs/>
          <w:sz w:val="26"/>
          <w:szCs w:val="26"/>
        </w:rPr>
      </w:pPr>
    </w:p>
    <w:p w14:paraId="1E1EA2E8" w14:textId="77777777" w:rsidR="00DF5B6C" w:rsidRPr="00893D83" w:rsidRDefault="00DF5B6C" w:rsidP="00DF5B6C">
      <w:pPr>
        <w:spacing w:line="360" w:lineRule="auto"/>
        <w:jc w:val="both"/>
        <w:rPr>
          <w:rFonts w:ascii="David" w:hAnsi="David"/>
          <w:b/>
          <w:bCs/>
          <w:sz w:val="26"/>
          <w:szCs w:val="26"/>
          <w:rtl/>
        </w:rPr>
      </w:pPr>
      <w:r w:rsidRPr="00893D83">
        <w:rPr>
          <w:rFonts w:ascii="David" w:hAnsi="David"/>
          <w:b/>
          <w:bCs/>
          <w:sz w:val="26"/>
          <w:szCs w:val="26"/>
          <w:rtl/>
        </w:rPr>
        <w:t>קנסות ופיצויים ניתן לשלם כעבור 3 ימים מיום מתן גזר הדין בחשבון המרכז לגביית קנסות בדרכים הבאות:</w:t>
      </w:r>
    </w:p>
    <w:p w14:paraId="185C646B" w14:textId="77777777" w:rsidR="00DF5B6C" w:rsidRPr="00893D83" w:rsidRDefault="00DF5B6C" w:rsidP="00DF5B6C">
      <w:pPr>
        <w:pStyle w:val="a9"/>
        <w:numPr>
          <w:ilvl w:val="0"/>
          <w:numId w:val="4"/>
        </w:numPr>
        <w:spacing w:after="0" w:line="360" w:lineRule="auto"/>
        <w:jc w:val="both"/>
        <w:rPr>
          <w:rFonts w:ascii="David" w:hAnsi="David" w:cs="David"/>
          <w:b/>
          <w:bCs/>
          <w:sz w:val="26"/>
          <w:szCs w:val="26"/>
          <w:rtl/>
          <w:lang w:bidi="ar-JO"/>
        </w:rPr>
      </w:pPr>
      <w:r w:rsidRPr="00893D83">
        <w:rPr>
          <w:rFonts w:ascii="David" w:hAnsi="David" w:cs="David"/>
          <w:b/>
          <w:bCs/>
          <w:sz w:val="26"/>
          <w:szCs w:val="26"/>
          <w:rtl/>
        </w:rPr>
        <w:t xml:space="preserve">בכרטיס אשראי באתר </w:t>
      </w:r>
      <w:hyperlink r:id="rId18" w:history="1">
        <w:r w:rsidRPr="00893D83">
          <w:rPr>
            <w:rStyle w:val="Hyperlink"/>
            <w:rFonts w:ascii="David" w:hAnsi="David" w:cs="David"/>
            <w:b/>
            <w:bCs/>
            <w:sz w:val="26"/>
            <w:szCs w:val="26"/>
            <w:lang w:bidi="ar-JO"/>
          </w:rPr>
          <w:t>www.eca.gov.il</w:t>
        </w:r>
      </w:hyperlink>
      <w:r w:rsidRPr="00893D83">
        <w:rPr>
          <w:rFonts w:ascii="David" w:hAnsi="David" w:cs="David"/>
          <w:b/>
          <w:bCs/>
          <w:sz w:val="26"/>
          <w:szCs w:val="26"/>
          <w:lang w:bidi="ar-JO"/>
        </w:rPr>
        <w:t xml:space="preserve"> </w:t>
      </w:r>
    </w:p>
    <w:p w14:paraId="2B8510F3" w14:textId="77777777" w:rsidR="00DF5B6C" w:rsidRPr="00893D83" w:rsidRDefault="00DF5B6C" w:rsidP="00DF5B6C">
      <w:pPr>
        <w:pStyle w:val="a9"/>
        <w:numPr>
          <w:ilvl w:val="0"/>
          <w:numId w:val="4"/>
        </w:numPr>
        <w:spacing w:after="0" w:line="360" w:lineRule="auto"/>
        <w:jc w:val="both"/>
        <w:rPr>
          <w:rFonts w:ascii="David" w:hAnsi="David" w:cs="David"/>
          <w:b/>
          <w:bCs/>
          <w:sz w:val="26"/>
          <w:szCs w:val="26"/>
          <w:rtl/>
        </w:rPr>
      </w:pPr>
      <w:r w:rsidRPr="00893D83">
        <w:rPr>
          <w:rFonts w:ascii="David" w:hAnsi="David" w:cs="David"/>
          <w:b/>
          <w:bCs/>
          <w:sz w:val="26"/>
          <w:szCs w:val="26"/>
          <w:rtl/>
        </w:rPr>
        <w:t>בטלפון: 35592* או 073-2055000</w:t>
      </w:r>
    </w:p>
    <w:p w14:paraId="2AE7F6F9" w14:textId="77777777" w:rsidR="00DF5B6C" w:rsidRPr="00893D83" w:rsidRDefault="00DF5B6C" w:rsidP="00DF5B6C">
      <w:pPr>
        <w:pStyle w:val="a9"/>
        <w:numPr>
          <w:ilvl w:val="0"/>
          <w:numId w:val="4"/>
        </w:numPr>
        <w:spacing w:after="0" w:line="360" w:lineRule="auto"/>
        <w:jc w:val="both"/>
        <w:rPr>
          <w:rFonts w:ascii="David" w:hAnsi="David" w:cs="David"/>
          <w:b/>
          <w:bCs/>
          <w:sz w:val="26"/>
          <w:szCs w:val="26"/>
        </w:rPr>
      </w:pPr>
      <w:r w:rsidRPr="00893D83">
        <w:rPr>
          <w:rFonts w:ascii="David" w:hAnsi="David" w:cs="David"/>
          <w:b/>
          <w:bCs/>
          <w:sz w:val="26"/>
          <w:szCs w:val="26"/>
          <w:rtl/>
        </w:rPr>
        <w:t>במזומן בכל סניף של בנק הדואר בהצגת תעודת זהות בלבד</w:t>
      </w:r>
    </w:p>
    <w:p w14:paraId="1FFA66E1" w14:textId="77777777" w:rsidR="00DF5B6C" w:rsidRPr="00893D83" w:rsidRDefault="00DF5B6C" w:rsidP="00DF5B6C">
      <w:pPr>
        <w:spacing w:line="360" w:lineRule="auto"/>
        <w:jc w:val="both"/>
        <w:rPr>
          <w:rFonts w:ascii="David" w:hAnsi="David"/>
          <w:b/>
          <w:bCs/>
          <w:sz w:val="26"/>
          <w:szCs w:val="26"/>
          <w:rtl/>
        </w:rPr>
      </w:pPr>
      <w:r w:rsidRPr="00893D83">
        <w:rPr>
          <w:rFonts w:ascii="David" w:hAnsi="David"/>
          <w:b/>
          <w:bCs/>
          <w:sz w:val="26"/>
          <w:szCs w:val="26"/>
          <w:rtl/>
        </w:rPr>
        <w:t>לא יונפקו שוברי תשלום.</w:t>
      </w:r>
    </w:p>
    <w:p w14:paraId="644996F5" w14:textId="77777777" w:rsidR="00DF5B6C" w:rsidRPr="00893D83" w:rsidRDefault="00DF5B6C" w:rsidP="00DF5B6C">
      <w:pPr>
        <w:spacing w:line="360" w:lineRule="auto"/>
        <w:jc w:val="both"/>
        <w:rPr>
          <w:rFonts w:ascii="David" w:hAnsi="David"/>
          <w:b/>
          <w:bCs/>
          <w:sz w:val="26"/>
          <w:szCs w:val="26"/>
        </w:rPr>
      </w:pPr>
      <w:r w:rsidRPr="00893D83">
        <w:rPr>
          <w:rFonts w:ascii="David" w:hAnsi="David"/>
          <w:b/>
          <w:bCs/>
          <w:sz w:val="26"/>
          <w:szCs w:val="26"/>
          <w:rtl/>
        </w:rPr>
        <w:t>תשלומים ניתן לקזז מכל הפקדה שבתיק או בתיק קשור על אף הודעת עיקול, וככל שקיימת יתרת זכות ולא קיים עיקול, ניתן להשיב ההפקדה למפקידים.</w:t>
      </w:r>
    </w:p>
    <w:p w14:paraId="7631314F" w14:textId="77777777" w:rsidR="00DF5B6C" w:rsidRPr="00893D83" w:rsidRDefault="00DF5B6C" w:rsidP="00DF5B6C">
      <w:pPr>
        <w:rPr>
          <w:rFonts w:ascii="David" w:hAnsi="David"/>
          <w:sz w:val="26"/>
          <w:szCs w:val="26"/>
          <w:rtl/>
        </w:rPr>
      </w:pPr>
    </w:p>
    <w:p w14:paraId="583D8AA6" w14:textId="77777777" w:rsidR="00DF5B6C" w:rsidRPr="00893D83" w:rsidRDefault="00C13FC3" w:rsidP="00DF5B6C">
      <w:pPr>
        <w:rPr>
          <w:rFonts w:ascii="David" w:hAnsi="David"/>
          <w:b/>
          <w:bCs/>
          <w:sz w:val="26"/>
          <w:szCs w:val="26"/>
          <w:rtl/>
        </w:rPr>
      </w:pPr>
      <w:r w:rsidRPr="00C13FC3">
        <w:rPr>
          <w:rFonts w:ascii="David" w:hAnsi="David"/>
          <w:b/>
          <w:bCs/>
          <w:color w:val="FFFFFF"/>
          <w:sz w:val="2"/>
          <w:szCs w:val="2"/>
          <w:rtl/>
        </w:rPr>
        <w:t>5129371</w:t>
      </w:r>
      <w:r w:rsidR="00DF5B6C" w:rsidRPr="00893D83">
        <w:rPr>
          <w:rFonts w:ascii="David" w:hAnsi="David"/>
          <w:b/>
          <w:bCs/>
          <w:sz w:val="26"/>
          <w:szCs w:val="26"/>
          <w:rtl/>
        </w:rPr>
        <w:t>יש לשלוח לשירות המבחן</w:t>
      </w:r>
      <w:r w:rsidR="00DF5B6C">
        <w:rPr>
          <w:rFonts w:ascii="David" w:hAnsi="David" w:hint="cs"/>
          <w:b/>
          <w:bCs/>
          <w:sz w:val="26"/>
          <w:szCs w:val="26"/>
          <w:rtl/>
        </w:rPr>
        <w:t xml:space="preserve"> ולממונה על עבודות השירות</w:t>
      </w:r>
      <w:r w:rsidR="00DF5B6C" w:rsidRPr="00893D83">
        <w:rPr>
          <w:rFonts w:ascii="David" w:hAnsi="David"/>
          <w:b/>
          <w:bCs/>
          <w:sz w:val="26"/>
          <w:szCs w:val="26"/>
          <w:rtl/>
        </w:rPr>
        <w:t>.</w:t>
      </w:r>
    </w:p>
    <w:p w14:paraId="4BFCF252" w14:textId="77777777" w:rsidR="00DF5B6C" w:rsidRPr="00893D83" w:rsidRDefault="00C13FC3" w:rsidP="00DF5B6C">
      <w:pPr>
        <w:rPr>
          <w:rFonts w:ascii="David" w:hAnsi="David"/>
          <w:b/>
          <w:bCs/>
          <w:sz w:val="26"/>
          <w:szCs w:val="26"/>
          <w:rtl/>
        </w:rPr>
      </w:pPr>
      <w:r w:rsidRPr="00C13FC3">
        <w:rPr>
          <w:rFonts w:ascii="David" w:hAnsi="David"/>
          <w:b/>
          <w:bCs/>
          <w:color w:val="FFFFFF"/>
          <w:sz w:val="2"/>
          <w:szCs w:val="2"/>
          <w:rtl/>
        </w:rPr>
        <w:t>54678313</w:t>
      </w:r>
      <w:r w:rsidR="00DF5B6C" w:rsidRPr="00893D83">
        <w:rPr>
          <w:rFonts w:ascii="David" w:hAnsi="David"/>
          <w:b/>
          <w:bCs/>
          <w:sz w:val="26"/>
          <w:szCs w:val="26"/>
          <w:rtl/>
        </w:rPr>
        <w:t>זכות ערעור כחוק.</w:t>
      </w:r>
    </w:p>
    <w:p w14:paraId="41E922D5" w14:textId="77777777" w:rsidR="00DF5B6C" w:rsidRPr="000F2247" w:rsidRDefault="00DF5B6C" w:rsidP="00DF5B6C">
      <w:pPr>
        <w:rPr>
          <w:rFonts w:ascii="Arial" w:hAnsi="Arial"/>
          <w:b/>
          <w:bCs/>
          <w:sz w:val="26"/>
          <w:szCs w:val="26"/>
          <w:rtl/>
        </w:rPr>
      </w:pPr>
    </w:p>
    <w:p w14:paraId="27EA2690" w14:textId="77777777" w:rsidR="00DF5B6C" w:rsidRPr="000F2247" w:rsidRDefault="00C13FC3" w:rsidP="00DF5B6C">
      <w:pPr>
        <w:rPr>
          <w:rFonts w:ascii="Arial" w:hAnsi="Arial"/>
          <w:b/>
          <w:bCs/>
          <w:sz w:val="26"/>
          <w:szCs w:val="26"/>
          <w:rtl/>
        </w:rPr>
      </w:pPr>
      <w:bookmarkStart w:id="8" w:name="Nitan"/>
      <w:r>
        <w:rPr>
          <w:rFonts w:ascii="Arial" w:hAnsi="Arial"/>
          <w:b/>
          <w:bCs/>
          <w:sz w:val="26"/>
          <w:szCs w:val="26"/>
          <w:rtl/>
        </w:rPr>
        <w:t xml:space="preserve">ניתן היום,  י"ט חשוון תשפ"ג, 13 נובמבר 2022, במעמד הצדדים. </w:t>
      </w:r>
      <w:bookmarkEnd w:id="8"/>
    </w:p>
    <w:p w14:paraId="5CD62C57" w14:textId="77777777" w:rsidR="00DF5B6C" w:rsidRPr="000F2247" w:rsidRDefault="00DF5B6C" w:rsidP="00C13FC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6FF121" w14:textId="77777777" w:rsidR="00DF5B6C" w:rsidRPr="00C01EBB" w:rsidRDefault="00C01EBB" w:rsidP="00DF5B6C">
      <w:pPr>
        <w:jc w:val="center"/>
        <w:rPr>
          <w:rFonts w:ascii="Arial" w:hAnsi="Arial"/>
          <w:b/>
          <w:bCs/>
          <w:color w:val="FFFFFF"/>
          <w:sz w:val="2"/>
          <w:szCs w:val="2"/>
          <w:rtl/>
        </w:rPr>
      </w:pPr>
      <w:r w:rsidRPr="00C01EBB">
        <w:rPr>
          <w:rFonts w:ascii="Arial" w:hAnsi="Arial"/>
          <w:b/>
          <w:bCs/>
          <w:color w:val="FFFFFF"/>
          <w:sz w:val="2"/>
          <w:szCs w:val="2"/>
          <w:rtl/>
        </w:rPr>
        <w:t>5129371</w:t>
      </w:r>
    </w:p>
    <w:p w14:paraId="24824B91" w14:textId="77777777" w:rsidR="00C063A4" w:rsidRPr="00C01EBB" w:rsidRDefault="00C01EBB" w:rsidP="00C13FC3">
      <w:pPr>
        <w:keepNext/>
        <w:rPr>
          <w:rFonts w:ascii="David" w:hAnsi="David"/>
          <w:color w:val="FFFFFF"/>
          <w:sz w:val="2"/>
          <w:szCs w:val="2"/>
          <w:rtl/>
        </w:rPr>
      </w:pPr>
      <w:r w:rsidRPr="00C01EBB">
        <w:rPr>
          <w:rFonts w:ascii="David" w:hAnsi="David"/>
          <w:color w:val="FFFFFF"/>
          <w:sz w:val="2"/>
          <w:szCs w:val="2"/>
          <w:rtl/>
        </w:rPr>
        <w:t>54678313</w:t>
      </w:r>
    </w:p>
    <w:p w14:paraId="3599C594" w14:textId="77777777" w:rsidR="00C13FC3" w:rsidRDefault="00C13FC3" w:rsidP="00C13FC3">
      <w:pPr>
        <w:rPr>
          <w:rtl/>
        </w:rPr>
      </w:pPr>
    </w:p>
    <w:p w14:paraId="673D98AD" w14:textId="77777777" w:rsidR="00C13FC3" w:rsidRDefault="00C13FC3" w:rsidP="00C13FC3">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411723DA" w14:textId="77777777" w:rsidR="00C01EBB" w:rsidRPr="00C01EBB" w:rsidRDefault="00C01EBB" w:rsidP="00C01EBB">
      <w:pPr>
        <w:keepNext/>
        <w:rPr>
          <w:rFonts w:ascii="David" w:hAnsi="David"/>
          <w:color w:val="000000"/>
          <w:sz w:val="22"/>
          <w:szCs w:val="22"/>
          <w:rtl/>
        </w:rPr>
      </w:pPr>
    </w:p>
    <w:p w14:paraId="2FC73777" w14:textId="77777777" w:rsidR="00C01EBB" w:rsidRPr="00C01EBB" w:rsidRDefault="00C01EBB" w:rsidP="00C01EBB">
      <w:pPr>
        <w:keepNext/>
        <w:rPr>
          <w:rFonts w:ascii="David" w:hAnsi="David"/>
          <w:color w:val="000000"/>
          <w:sz w:val="22"/>
          <w:szCs w:val="22"/>
          <w:rtl/>
        </w:rPr>
      </w:pPr>
      <w:r w:rsidRPr="00C01EBB">
        <w:rPr>
          <w:rFonts w:ascii="David" w:hAnsi="David"/>
          <w:color w:val="000000"/>
          <w:sz w:val="22"/>
          <w:szCs w:val="22"/>
          <w:rtl/>
        </w:rPr>
        <w:t>דוד שאול גבאי ריכטר 54678313-/</w:t>
      </w:r>
    </w:p>
    <w:p w14:paraId="08A79ED5" w14:textId="77777777" w:rsidR="00C13FC3" w:rsidRPr="00C13FC3" w:rsidRDefault="00C01EBB" w:rsidP="00C01EBB">
      <w:pPr>
        <w:rPr>
          <w:color w:val="0000FF"/>
          <w:u w:val="single"/>
        </w:rPr>
      </w:pPr>
      <w:r w:rsidRPr="00C01EBB">
        <w:rPr>
          <w:color w:val="000000"/>
          <w:u w:val="single"/>
          <w:rtl/>
        </w:rPr>
        <w:t>נוסח מסמך זה כפוף לשינויי ניסוח ועריכה</w:t>
      </w:r>
    </w:p>
    <w:sectPr w:rsidR="00C13FC3" w:rsidRPr="00C13FC3" w:rsidSect="00C01EBB">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2ACD5" w14:textId="77777777" w:rsidR="00D31F6F" w:rsidRDefault="00D31F6F" w:rsidP="00A26511">
      <w:r>
        <w:separator/>
      </w:r>
    </w:p>
  </w:endnote>
  <w:endnote w:type="continuationSeparator" w:id="0">
    <w:p w14:paraId="5ECF4412" w14:textId="77777777" w:rsidR="00D31F6F" w:rsidRDefault="00D31F6F" w:rsidP="00A2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DD5DE" w14:textId="77777777" w:rsidR="00C01EBB" w:rsidRDefault="00C01EBB" w:rsidP="00C01E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2281BB" w14:textId="77777777" w:rsidR="00BA587F" w:rsidRPr="00C01EBB" w:rsidRDefault="00C01EBB" w:rsidP="00C01EBB">
    <w:pPr>
      <w:pStyle w:val="a5"/>
      <w:pBdr>
        <w:top w:val="single" w:sz="4" w:space="1" w:color="auto"/>
        <w:between w:val="single" w:sz="4" w:space="0" w:color="auto"/>
      </w:pBdr>
      <w:spacing w:after="60"/>
      <w:jc w:val="center"/>
      <w:rPr>
        <w:rFonts w:ascii="FrankRuehl" w:hAnsi="FrankRuehl" w:cs="FrankRuehl"/>
        <w:color w:val="000000"/>
      </w:rPr>
    </w:pPr>
    <w:r w:rsidRPr="00C01E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D57BE" w14:textId="77777777" w:rsidR="00C01EBB" w:rsidRDefault="00C01EBB" w:rsidP="00C01EB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F7621">
      <w:rPr>
        <w:rFonts w:ascii="FrankRuehl" w:hAnsi="FrankRuehl" w:cs="FrankRuehl"/>
        <w:noProof/>
        <w:rtl/>
      </w:rPr>
      <w:t>1</w:t>
    </w:r>
    <w:r>
      <w:rPr>
        <w:rFonts w:ascii="FrankRuehl" w:hAnsi="FrankRuehl" w:cs="FrankRuehl"/>
        <w:rtl/>
      </w:rPr>
      <w:fldChar w:fldCharType="end"/>
    </w:r>
  </w:p>
  <w:p w14:paraId="186BC721" w14:textId="77777777" w:rsidR="00BA587F" w:rsidRPr="00C01EBB" w:rsidRDefault="00C01EBB" w:rsidP="00C01EBB">
    <w:pPr>
      <w:pStyle w:val="a5"/>
      <w:pBdr>
        <w:top w:val="single" w:sz="4" w:space="1" w:color="auto"/>
        <w:between w:val="single" w:sz="4" w:space="0" w:color="auto"/>
      </w:pBdr>
      <w:spacing w:after="60"/>
      <w:jc w:val="center"/>
      <w:rPr>
        <w:rFonts w:ascii="FrankRuehl" w:hAnsi="FrankRuehl" w:cs="FrankRuehl"/>
        <w:color w:val="000000"/>
      </w:rPr>
    </w:pPr>
    <w:r w:rsidRPr="00C01EBB">
      <w:rPr>
        <w:rFonts w:ascii="FrankRuehl" w:hAnsi="FrankRuehl" w:cs="FrankRuehl"/>
        <w:color w:val="000000"/>
      </w:rPr>
      <w:pict w14:anchorId="62269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45369" w14:textId="77777777" w:rsidR="00D31F6F" w:rsidRDefault="00D31F6F" w:rsidP="00A26511">
      <w:r>
        <w:separator/>
      </w:r>
    </w:p>
  </w:footnote>
  <w:footnote w:type="continuationSeparator" w:id="0">
    <w:p w14:paraId="3FA5340B" w14:textId="77777777" w:rsidR="00D31F6F" w:rsidRDefault="00D31F6F" w:rsidP="00A2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0FB4C" w14:textId="77777777" w:rsidR="00C13FC3" w:rsidRPr="00C01EBB" w:rsidRDefault="00C01EBB" w:rsidP="00C01E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13412-02-21</w:t>
    </w:r>
    <w:r>
      <w:rPr>
        <w:rFonts w:ascii="David" w:hAnsi="David"/>
        <w:color w:val="000000"/>
        <w:sz w:val="22"/>
        <w:szCs w:val="22"/>
        <w:rtl/>
      </w:rPr>
      <w:tab/>
      <w:t xml:space="preserve"> מדינת ישראל נ' אלירן פהלבני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7550A" w14:textId="77777777" w:rsidR="00C13FC3" w:rsidRPr="00C01EBB" w:rsidRDefault="00C01EBB" w:rsidP="00C01E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13412-02-21</w:t>
    </w:r>
    <w:r>
      <w:rPr>
        <w:rFonts w:ascii="David" w:hAnsi="David"/>
        <w:color w:val="000000"/>
        <w:sz w:val="22"/>
        <w:szCs w:val="22"/>
        <w:rtl/>
      </w:rPr>
      <w:tab/>
      <w:t xml:space="preserve"> מדינת ישראל נ' אלירן פהלבני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A460AF3"/>
    <w:multiLevelType w:val="hybridMultilevel"/>
    <w:tmpl w:val="05944E80"/>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C895C76"/>
    <w:multiLevelType w:val="hybridMultilevel"/>
    <w:tmpl w:val="F2A0A6E6"/>
    <w:lvl w:ilvl="0" w:tplc="575CDFDA">
      <w:start w:val="1"/>
      <w:numFmt w:val="decimal"/>
      <w:lvlText w:val="%1."/>
      <w:lvlJc w:val="left"/>
      <w:pPr>
        <w:ind w:left="360" w:hanging="360"/>
      </w:pPr>
      <w:rPr>
        <w:rFonts w:ascii="David" w:hAnsi="David" w:cs="Davi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83B4B42"/>
    <w:multiLevelType w:val="hybridMultilevel"/>
    <w:tmpl w:val="D40C7238"/>
    <w:lvl w:ilvl="0" w:tplc="1D4E8472">
      <w:start w:val="1"/>
      <w:numFmt w:val="hebrew1"/>
      <w:lvlText w:val="%1."/>
      <w:lvlJc w:val="left"/>
      <w:pPr>
        <w:ind w:left="720" w:hanging="360"/>
      </w:pPr>
    </w:lvl>
    <w:lvl w:ilvl="1" w:tplc="67886342">
      <w:start w:val="1"/>
      <w:numFmt w:val="lowerLetter"/>
      <w:lvlText w:val="%2."/>
      <w:lvlJc w:val="left"/>
      <w:pPr>
        <w:ind w:left="1440" w:hanging="360"/>
      </w:pPr>
    </w:lvl>
    <w:lvl w:ilvl="2" w:tplc="71FEAFF0">
      <w:start w:val="1"/>
      <w:numFmt w:val="lowerRoman"/>
      <w:lvlText w:val="%3."/>
      <w:lvlJc w:val="right"/>
      <w:pPr>
        <w:ind w:left="2160" w:hanging="180"/>
      </w:pPr>
    </w:lvl>
    <w:lvl w:ilvl="3" w:tplc="41745138">
      <w:start w:val="1"/>
      <w:numFmt w:val="decimal"/>
      <w:lvlText w:val="%4."/>
      <w:lvlJc w:val="left"/>
      <w:pPr>
        <w:ind w:left="2880" w:hanging="360"/>
      </w:pPr>
    </w:lvl>
    <w:lvl w:ilvl="4" w:tplc="52760620">
      <w:start w:val="1"/>
      <w:numFmt w:val="lowerLetter"/>
      <w:lvlText w:val="%5."/>
      <w:lvlJc w:val="left"/>
      <w:pPr>
        <w:ind w:left="3600" w:hanging="360"/>
      </w:pPr>
    </w:lvl>
    <w:lvl w:ilvl="5" w:tplc="44748164">
      <w:start w:val="1"/>
      <w:numFmt w:val="lowerRoman"/>
      <w:lvlText w:val="%6."/>
      <w:lvlJc w:val="right"/>
      <w:pPr>
        <w:ind w:left="4320" w:hanging="180"/>
      </w:pPr>
    </w:lvl>
    <w:lvl w:ilvl="6" w:tplc="472CE5FE">
      <w:start w:val="1"/>
      <w:numFmt w:val="decimal"/>
      <w:lvlText w:val="%7."/>
      <w:lvlJc w:val="left"/>
      <w:pPr>
        <w:ind w:left="5040" w:hanging="360"/>
      </w:pPr>
    </w:lvl>
    <w:lvl w:ilvl="7" w:tplc="F66C3130">
      <w:start w:val="1"/>
      <w:numFmt w:val="lowerLetter"/>
      <w:lvlText w:val="%8."/>
      <w:lvlJc w:val="left"/>
      <w:pPr>
        <w:ind w:left="5760" w:hanging="360"/>
      </w:pPr>
    </w:lvl>
    <w:lvl w:ilvl="8" w:tplc="5B5E831A">
      <w:start w:val="1"/>
      <w:numFmt w:val="lowerRoman"/>
      <w:lvlText w:val="%9."/>
      <w:lvlJc w:val="right"/>
      <w:pPr>
        <w:ind w:left="6480" w:hanging="180"/>
      </w:pPr>
    </w:lvl>
  </w:abstractNum>
  <w:num w:numId="1" w16cid:durableId="13019552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11809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2369393">
    <w:abstractNumId w:val="2"/>
  </w:num>
  <w:num w:numId="4" w16cid:durableId="37245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F5B6C"/>
    <w:rsid w:val="001310F6"/>
    <w:rsid w:val="001B5A3B"/>
    <w:rsid w:val="00425606"/>
    <w:rsid w:val="004D64F9"/>
    <w:rsid w:val="00980206"/>
    <w:rsid w:val="00A26511"/>
    <w:rsid w:val="00AD3CFE"/>
    <w:rsid w:val="00BA587F"/>
    <w:rsid w:val="00C01EBB"/>
    <w:rsid w:val="00C063A4"/>
    <w:rsid w:val="00C13FC3"/>
    <w:rsid w:val="00C22F81"/>
    <w:rsid w:val="00CF7621"/>
    <w:rsid w:val="00D31F6F"/>
    <w:rsid w:val="00DF5B6C"/>
    <w:rsid w:val="00FF67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A657F9"/>
  <w15:chartTrackingRefBased/>
  <w15:docId w15:val="{AA832C74-0ED3-4719-AE55-AD93DC2A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5B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F5B6C"/>
    <w:pPr>
      <w:tabs>
        <w:tab w:val="center" w:pos="4153"/>
        <w:tab w:val="right" w:pos="8306"/>
      </w:tabs>
    </w:pPr>
  </w:style>
  <w:style w:type="character" w:customStyle="1" w:styleId="a4">
    <w:name w:val="כותרת עליונה תו"/>
    <w:link w:val="a3"/>
    <w:rsid w:val="00DF5B6C"/>
    <w:rPr>
      <w:rFonts w:ascii="Times New Roman" w:eastAsia="Times New Roman" w:hAnsi="Times New Roman" w:cs="David"/>
      <w:sz w:val="24"/>
      <w:szCs w:val="24"/>
    </w:rPr>
  </w:style>
  <w:style w:type="paragraph" w:styleId="a5">
    <w:name w:val="footer"/>
    <w:basedOn w:val="a"/>
    <w:link w:val="a6"/>
    <w:rsid w:val="00DF5B6C"/>
    <w:pPr>
      <w:tabs>
        <w:tab w:val="center" w:pos="4153"/>
        <w:tab w:val="right" w:pos="8306"/>
      </w:tabs>
    </w:pPr>
  </w:style>
  <w:style w:type="character" w:customStyle="1" w:styleId="a6">
    <w:name w:val="כותרת תחתונה תו"/>
    <w:link w:val="a5"/>
    <w:rsid w:val="00DF5B6C"/>
    <w:rPr>
      <w:rFonts w:ascii="Times New Roman" w:eastAsia="Times New Roman" w:hAnsi="Times New Roman" w:cs="David"/>
      <w:sz w:val="24"/>
      <w:szCs w:val="24"/>
    </w:rPr>
  </w:style>
  <w:style w:type="table" w:styleId="a7">
    <w:name w:val="Table Grid"/>
    <w:basedOn w:val="a1"/>
    <w:rsid w:val="00DF5B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F5B6C"/>
  </w:style>
  <w:style w:type="paragraph" w:styleId="a9">
    <w:name w:val="List Paragraph"/>
    <w:basedOn w:val="a"/>
    <w:qFormat/>
    <w:rsid w:val="00DF5B6C"/>
    <w:pPr>
      <w:spacing w:after="160" w:line="254" w:lineRule="auto"/>
      <w:ind w:left="720"/>
      <w:contextualSpacing/>
    </w:pPr>
    <w:rPr>
      <w:rFonts w:ascii="Calibri" w:eastAsia="Calibri" w:hAnsi="Calibri" w:cs="Arial"/>
      <w:sz w:val="22"/>
      <w:szCs w:val="22"/>
    </w:rPr>
  </w:style>
  <w:style w:type="character" w:styleId="Hyperlink">
    <w:name w:val="Hyperlink"/>
    <w:rsid w:val="00DF5B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case/21035570" TargetMode="External"/><Relationship Id="rId18" Type="http://schemas.openxmlformats.org/officeDocument/2006/relationships/hyperlink" Target="http://www.eca.gov.il"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1568432" TargetMode="External"/><Relationship Id="rId23" Type="http://schemas.openxmlformats.org/officeDocument/2006/relationships/footer" Target="footer2.xml"/><Relationship Id="rId10" Type="http://schemas.openxmlformats.org/officeDocument/2006/relationships/hyperlink" Target="http://www.nevo.co.il/law/4216/13"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case/21980458"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1399</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8378</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7864368</vt:i4>
      </vt:variant>
      <vt:variant>
        <vt:i4>33</vt:i4>
      </vt:variant>
      <vt:variant>
        <vt:i4>0</vt:i4>
      </vt:variant>
      <vt:variant>
        <vt:i4>5</vt:i4>
      </vt:variant>
      <vt:variant>
        <vt:lpwstr>http://www.eca.gov.il/</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8257637</vt:i4>
      </vt:variant>
      <vt:variant>
        <vt:i4>27</vt:i4>
      </vt:variant>
      <vt:variant>
        <vt:i4>0</vt:i4>
      </vt:variant>
      <vt:variant>
        <vt:i4>5</vt:i4>
      </vt:variant>
      <vt:variant>
        <vt:lpwstr>http://www.nevo.co.il/law/4216</vt:lpwstr>
      </vt:variant>
      <vt:variant>
        <vt:lpwstr/>
      </vt:variant>
      <vt:variant>
        <vt:i4>3932279</vt:i4>
      </vt:variant>
      <vt:variant>
        <vt:i4>24</vt:i4>
      </vt:variant>
      <vt:variant>
        <vt:i4>0</vt:i4>
      </vt:variant>
      <vt:variant>
        <vt:i4>5</vt:i4>
      </vt:variant>
      <vt:variant>
        <vt:lpwstr>http://www.nevo.co.il/case/21568432</vt:lpwstr>
      </vt:variant>
      <vt:variant>
        <vt:lpwstr/>
      </vt:variant>
      <vt:variant>
        <vt:i4>4063353</vt:i4>
      </vt:variant>
      <vt:variant>
        <vt:i4>21</vt:i4>
      </vt:variant>
      <vt:variant>
        <vt:i4>0</vt:i4>
      </vt:variant>
      <vt:variant>
        <vt:i4>5</vt:i4>
      </vt:variant>
      <vt:variant>
        <vt:lpwstr>http://www.nevo.co.il/case/21980458</vt:lpwstr>
      </vt:variant>
      <vt:variant>
        <vt:lpwstr/>
      </vt:variant>
      <vt:variant>
        <vt:i4>3145843</vt:i4>
      </vt:variant>
      <vt:variant>
        <vt:i4>18</vt:i4>
      </vt:variant>
      <vt:variant>
        <vt:i4>0</vt:i4>
      </vt:variant>
      <vt:variant>
        <vt:i4>5</vt:i4>
      </vt:variant>
      <vt:variant>
        <vt:lpwstr>http://www.nevo.co.il/case/21035570</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2025-04-23T00:53:00Z</dcterms:created>
  <dcterms:modified xsi:type="dcterms:W3CDTF">2025-04-23T00:53:00Z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13412</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אלירן פהלבני</vt:lpwstr>
  </property>
  <property fmtid="{D5CDD505-2E9C-101B-9397-08002B2CF9AE}" pid="10" name="LAWYER">
    <vt:lpwstr>שירלי אוחיון;בר צבי</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20221113</vt:lpwstr>
  </property>
  <property fmtid="{D5CDD505-2E9C-101B-9397-08002B2CF9AE}" pid="14" name="TYPE_N_DATE">
    <vt:lpwstr>38020221113</vt:lpwstr>
  </property>
  <property fmtid="{D5CDD505-2E9C-101B-9397-08002B2CF9AE}" pid="15" name="WORDNUMPAGES">
    <vt:lpwstr>6</vt:lpwstr>
  </property>
  <property fmtid="{D5CDD505-2E9C-101B-9397-08002B2CF9AE}" pid="16" name="TYPE_ABS_DATE">
    <vt:lpwstr>380020221113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21035570;21980458;21568432</vt:lpwstr>
  </property>
  <property fmtid="{D5CDD505-2E9C-101B-9397-08002B2CF9AE}" pid="36" name="LAWLISTTMP1">
    <vt:lpwstr>4216/013;019a</vt:lpwstr>
  </property>
</Properties>
</file>