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7A6627" w:rsidRPr="00C733AC" w14:paraId="3C1AA6EB" w14:textId="77777777" w:rsidTr="00276F26">
        <w:trPr>
          <w:trHeight w:hRule="exact" w:val="418"/>
          <w:jc w:val="center"/>
        </w:trPr>
        <w:tc>
          <w:tcPr>
            <w:tcW w:w="8721" w:type="dxa"/>
            <w:gridSpan w:val="2"/>
          </w:tcPr>
          <w:p w14:paraId="3E541E49" w14:textId="77777777" w:rsidR="007A6627" w:rsidRPr="00C733AC" w:rsidRDefault="007A6627" w:rsidP="001F4C2C">
            <w:pPr>
              <w:pStyle w:val="a3"/>
              <w:jc w:val="center"/>
              <w:rPr>
                <w:rFonts w:ascii="Tahoma" w:hAnsi="Tahoma" w:cs="Tahoma"/>
                <w:color w:val="000080"/>
                <w:rtl/>
              </w:rPr>
            </w:pPr>
            <w:bookmarkStart w:id="0" w:name="FirstLawyer"/>
            <w:bookmarkStart w:id="1" w:name="LastJudge"/>
            <w:r w:rsidRPr="00C733AC">
              <w:rPr>
                <w:rFonts w:ascii="Tahoma" w:hAnsi="Tahoma" w:cs="Tahoma"/>
                <w:b/>
                <w:bCs/>
                <w:color w:val="000080"/>
                <w:rtl/>
              </w:rPr>
              <w:t>בית משפט השלום בעכו</w:t>
            </w:r>
          </w:p>
        </w:tc>
      </w:tr>
      <w:tr w:rsidR="007A6627" w:rsidRPr="00C733AC" w14:paraId="05694D51" w14:textId="77777777" w:rsidTr="00276F26">
        <w:trPr>
          <w:trHeight w:val="337"/>
          <w:jc w:val="center"/>
        </w:trPr>
        <w:tc>
          <w:tcPr>
            <w:tcW w:w="5059" w:type="dxa"/>
          </w:tcPr>
          <w:p w14:paraId="65825B63" w14:textId="77777777" w:rsidR="007A6627" w:rsidRPr="00C733AC" w:rsidRDefault="007A6627" w:rsidP="001F4C2C">
            <w:pPr>
              <w:rPr>
                <w:rFonts w:cs="FrankRuehl"/>
                <w:sz w:val="28"/>
                <w:szCs w:val="28"/>
                <w:rtl/>
              </w:rPr>
            </w:pPr>
            <w:r w:rsidRPr="00C733AC">
              <w:rPr>
                <w:rFonts w:cs="FrankRuehl"/>
                <w:sz w:val="28"/>
                <w:szCs w:val="28"/>
                <w:rtl/>
              </w:rPr>
              <w:t>ת"פ</w:t>
            </w:r>
            <w:r w:rsidRPr="00C733AC">
              <w:rPr>
                <w:rFonts w:cs="FrankRuehl" w:hint="cs"/>
                <w:sz w:val="28"/>
                <w:szCs w:val="28"/>
                <w:rtl/>
              </w:rPr>
              <w:t xml:space="preserve"> </w:t>
            </w:r>
            <w:r w:rsidRPr="00C733AC">
              <w:rPr>
                <w:rFonts w:cs="FrankRuehl"/>
                <w:sz w:val="28"/>
                <w:szCs w:val="28"/>
                <w:rtl/>
              </w:rPr>
              <w:t>16363-02-21</w:t>
            </w:r>
            <w:r w:rsidRPr="00C733AC">
              <w:rPr>
                <w:rFonts w:cs="FrankRuehl" w:hint="cs"/>
                <w:sz w:val="28"/>
                <w:szCs w:val="28"/>
                <w:rtl/>
              </w:rPr>
              <w:t xml:space="preserve"> </w:t>
            </w:r>
            <w:r w:rsidRPr="00C733AC">
              <w:rPr>
                <w:rFonts w:cs="FrankRuehl"/>
                <w:sz w:val="28"/>
                <w:szCs w:val="28"/>
                <w:rtl/>
              </w:rPr>
              <w:t>מדינת ישראל נ' רובינוב(עציר)</w:t>
            </w:r>
          </w:p>
          <w:p w14:paraId="54F8D2E2" w14:textId="77777777" w:rsidR="007A6627" w:rsidRPr="00C733AC" w:rsidRDefault="007A6627" w:rsidP="001F4C2C">
            <w:pPr>
              <w:pStyle w:val="a3"/>
              <w:rPr>
                <w:rFonts w:cs="FrankRuehl"/>
                <w:sz w:val="28"/>
                <w:szCs w:val="28"/>
                <w:rtl/>
              </w:rPr>
            </w:pPr>
          </w:p>
        </w:tc>
        <w:tc>
          <w:tcPr>
            <w:tcW w:w="3662" w:type="dxa"/>
          </w:tcPr>
          <w:p w14:paraId="68BF13D9" w14:textId="77777777" w:rsidR="007A6627" w:rsidRPr="00C733AC" w:rsidRDefault="007A6627" w:rsidP="001F4C2C">
            <w:pPr>
              <w:pStyle w:val="a3"/>
              <w:jc w:val="right"/>
              <w:rPr>
                <w:rFonts w:cs="FrankRuehl"/>
                <w:sz w:val="28"/>
                <w:szCs w:val="28"/>
                <w:rtl/>
              </w:rPr>
            </w:pPr>
          </w:p>
        </w:tc>
      </w:tr>
    </w:tbl>
    <w:p w14:paraId="33C7DBF7" w14:textId="77777777" w:rsidR="007A6627" w:rsidRPr="00C733AC" w:rsidRDefault="007A6627" w:rsidP="007A6627">
      <w:pPr>
        <w:pStyle w:val="a3"/>
        <w:rPr>
          <w:rtl/>
        </w:rPr>
      </w:pPr>
      <w:r w:rsidRPr="00C733AC">
        <w:rPr>
          <w:rFonts w:hint="cs"/>
          <w:rtl/>
        </w:rPr>
        <w:t xml:space="preserve"> </w:t>
      </w:r>
    </w:p>
    <w:p w14:paraId="154E6DC5" w14:textId="77777777" w:rsidR="007A6627" w:rsidRPr="00C733AC" w:rsidRDefault="007A6627" w:rsidP="007A6627">
      <w:pPr>
        <w:rPr>
          <w:rtl/>
        </w:rPr>
      </w:pPr>
    </w:p>
    <w:p w14:paraId="7CD5ECA3" w14:textId="77777777" w:rsidR="007A6627" w:rsidRPr="00C733AC" w:rsidRDefault="007A6627" w:rsidP="007A662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7A6627" w:rsidRPr="00C733AC" w14:paraId="6D24952D" w14:textId="77777777" w:rsidTr="007A6627">
        <w:trPr>
          <w:trHeight w:val="295"/>
          <w:jc w:val="center"/>
        </w:trPr>
        <w:tc>
          <w:tcPr>
            <w:tcW w:w="923" w:type="dxa"/>
            <w:tcBorders>
              <w:top w:val="nil"/>
              <w:left w:val="nil"/>
              <w:bottom w:val="nil"/>
              <w:right w:val="nil"/>
            </w:tcBorders>
            <w:shd w:val="clear" w:color="auto" w:fill="auto"/>
          </w:tcPr>
          <w:p w14:paraId="35E433C2" w14:textId="77777777" w:rsidR="007A6627" w:rsidRPr="00C733AC" w:rsidRDefault="007A6627" w:rsidP="007A6627">
            <w:pPr>
              <w:jc w:val="both"/>
              <w:rPr>
                <w:rFonts w:ascii="David" w:hAnsi="David"/>
                <w:sz w:val="26"/>
                <w:szCs w:val="26"/>
              </w:rPr>
            </w:pPr>
            <w:r w:rsidRPr="00C733AC">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0EA26DC6" w14:textId="77777777" w:rsidR="007A6627" w:rsidRPr="00C733AC" w:rsidRDefault="007A6627" w:rsidP="001F4C2C">
            <w:pPr>
              <w:rPr>
                <w:rFonts w:ascii="David" w:hAnsi="David"/>
                <w:b/>
                <w:bCs/>
                <w:sz w:val="26"/>
                <w:szCs w:val="26"/>
                <w:rtl/>
              </w:rPr>
            </w:pPr>
            <w:r w:rsidRPr="00C733AC">
              <w:rPr>
                <w:rFonts w:ascii="David" w:hAnsi="David"/>
                <w:b/>
                <w:bCs/>
                <w:sz w:val="26"/>
                <w:szCs w:val="26"/>
                <w:rtl/>
              </w:rPr>
              <w:t>כבוד השופטת  שושנה פיינסוד-כהן</w:t>
            </w:r>
          </w:p>
          <w:p w14:paraId="085A05AC" w14:textId="77777777" w:rsidR="007A6627" w:rsidRPr="00C733AC" w:rsidRDefault="007A6627" w:rsidP="001F4C2C">
            <w:pPr>
              <w:rPr>
                <w:rFonts w:ascii="David" w:hAnsi="David"/>
                <w:sz w:val="26"/>
                <w:szCs w:val="26"/>
                <w:rtl/>
              </w:rPr>
            </w:pPr>
          </w:p>
          <w:p w14:paraId="00984891" w14:textId="77777777" w:rsidR="007A6627" w:rsidRPr="00C733AC" w:rsidRDefault="007A6627" w:rsidP="007A6627">
            <w:pPr>
              <w:jc w:val="both"/>
              <w:rPr>
                <w:rFonts w:ascii="David" w:hAnsi="David"/>
                <w:sz w:val="26"/>
                <w:szCs w:val="26"/>
              </w:rPr>
            </w:pPr>
          </w:p>
        </w:tc>
      </w:tr>
      <w:tr w:rsidR="007A6627" w:rsidRPr="00C733AC" w14:paraId="67FFE61C" w14:textId="77777777" w:rsidTr="007A6627">
        <w:trPr>
          <w:trHeight w:val="355"/>
          <w:jc w:val="center"/>
        </w:trPr>
        <w:tc>
          <w:tcPr>
            <w:tcW w:w="923" w:type="dxa"/>
            <w:tcBorders>
              <w:top w:val="nil"/>
              <w:left w:val="nil"/>
              <w:bottom w:val="nil"/>
              <w:right w:val="nil"/>
            </w:tcBorders>
            <w:shd w:val="clear" w:color="auto" w:fill="auto"/>
          </w:tcPr>
          <w:p w14:paraId="2F7BC986" w14:textId="77777777" w:rsidR="007A6627" w:rsidRPr="00C733AC" w:rsidRDefault="007A6627" w:rsidP="007A6627">
            <w:pPr>
              <w:jc w:val="both"/>
              <w:rPr>
                <w:rFonts w:ascii="David" w:hAnsi="David"/>
                <w:sz w:val="26"/>
                <w:szCs w:val="26"/>
              </w:rPr>
            </w:pPr>
            <w:bookmarkStart w:id="2" w:name="FirstAppellant"/>
            <w:r w:rsidRPr="00C733AC">
              <w:rPr>
                <w:rFonts w:ascii="David" w:hAnsi="David"/>
                <w:sz w:val="26"/>
                <w:szCs w:val="26"/>
                <w:rtl/>
              </w:rPr>
              <w:t>בעניין:</w:t>
            </w:r>
          </w:p>
        </w:tc>
        <w:tc>
          <w:tcPr>
            <w:tcW w:w="3219" w:type="dxa"/>
            <w:tcBorders>
              <w:top w:val="nil"/>
              <w:left w:val="nil"/>
              <w:bottom w:val="nil"/>
              <w:right w:val="nil"/>
            </w:tcBorders>
            <w:shd w:val="clear" w:color="auto" w:fill="auto"/>
          </w:tcPr>
          <w:p w14:paraId="3AEEE788" w14:textId="77777777" w:rsidR="007A6627" w:rsidRPr="00C733AC" w:rsidRDefault="007A6627" w:rsidP="007A6627">
            <w:pPr>
              <w:suppressLineNumbers/>
            </w:pPr>
            <w:r w:rsidRPr="00C733AC">
              <w:rPr>
                <w:rFonts w:ascii="Arial" w:hAnsi="Arial" w:hint="cs"/>
                <w:b/>
                <w:bCs/>
                <w:sz w:val="26"/>
                <w:szCs w:val="26"/>
                <w:rtl/>
              </w:rPr>
              <w:t>ה</w:t>
            </w:r>
            <w:r w:rsidRPr="00C733AC">
              <w:rPr>
                <w:rFonts w:ascii="Arial" w:hAnsi="Arial"/>
                <w:b/>
                <w:bCs/>
                <w:sz w:val="26"/>
                <w:szCs w:val="26"/>
                <w:rtl/>
              </w:rPr>
              <w:t>מאשימה</w:t>
            </w:r>
          </w:p>
          <w:p w14:paraId="7A351BAD" w14:textId="77777777" w:rsidR="007A6627" w:rsidRPr="00C733AC" w:rsidRDefault="007A6627" w:rsidP="001F4C2C">
            <w:pPr>
              <w:rPr>
                <w:rFonts w:ascii="David" w:hAnsi="David"/>
                <w:sz w:val="26"/>
                <w:szCs w:val="26"/>
              </w:rPr>
            </w:pPr>
          </w:p>
        </w:tc>
        <w:tc>
          <w:tcPr>
            <w:tcW w:w="4678" w:type="dxa"/>
            <w:tcBorders>
              <w:top w:val="nil"/>
              <w:left w:val="nil"/>
              <w:bottom w:val="nil"/>
              <w:right w:val="nil"/>
            </w:tcBorders>
            <w:shd w:val="clear" w:color="auto" w:fill="auto"/>
            <w:vAlign w:val="center"/>
          </w:tcPr>
          <w:p w14:paraId="6273C2CB" w14:textId="77777777" w:rsidR="007A6627" w:rsidRPr="00C733AC" w:rsidRDefault="007A6627" w:rsidP="007A6627">
            <w:pPr>
              <w:suppressLineNumbers/>
            </w:pPr>
            <w:r w:rsidRPr="00C733AC">
              <w:rPr>
                <w:rFonts w:ascii="Arial" w:hAnsi="Arial"/>
                <w:b/>
                <w:bCs/>
                <w:sz w:val="26"/>
                <w:szCs w:val="26"/>
                <w:rtl/>
              </w:rPr>
              <w:t>מדינת ישראל</w:t>
            </w:r>
            <w:r w:rsidRPr="00C733AC">
              <w:rPr>
                <w:rFonts w:ascii="Arial" w:hAnsi="Arial"/>
                <w:b/>
                <w:bCs/>
                <w:sz w:val="26"/>
                <w:szCs w:val="26"/>
                <w:rtl/>
              </w:rPr>
              <w:br/>
            </w:r>
            <w:r w:rsidRPr="00C733AC">
              <w:rPr>
                <w:rFonts w:ascii="Arial" w:hAnsi="Arial" w:hint="cs"/>
                <w:b/>
                <w:bCs/>
                <w:sz w:val="26"/>
                <w:szCs w:val="26"/>
                <w:rtl/>
              </w:rPr>
              <w:t>ע"י שולחת התביעות גליל ורישוי עסקים</w:t>
            </w:r>
          </w:p>
          <w:p w14:paraId="0E04C4D5" w14:textId="77777777" w:rsidR="007A6627" w:rsidRPr="00C733AC" w:rsidRDefault="007A6627" w:rsidP="001F4C2C">
            <w:pPr>
              <w:rPr>
                <w:rFonts w:ascii="David" w:hAnsi="David"/>
                <w:sz w:val="26"/>
                <w:szCs w:val="26"/>
              </w:rPr>
            </w:pPr>
          </w:p>
        </w:tc>
      </w:tr>
      <w:bookmarkEnd w:id="2"/>
      <w:tr w:rsidR="007A6627" w:rsidRPr="00C733AC" w14:paraId="1E8E28B5" w14:textId="77777777" w:rsidTr="007A6627">
        <w:trPr>
          <w:trHeight w:val="355"/>
          <w:jc w:val="center"/>
        </w:trPr>
        <w:tc>
          <w:tcPr>
            <w:tcW w:w="923" w:type="dxa"/>
            <w:tcBorders>
              <w:top w:val="nil"/>
              <w:left w:val="nil"/>
              <w:bottom w:val="nil"/>
              <w:right w:val="nil"/>
            </w:tcBorders>
            <w:shd w:val="clear" w:color="auto" w:fill="auto"/>
          </w:tcPr>
          <w:p w14:paraId="5F2BABFE" w14:textId="77777777" w:rsidR="007A6627" w:rsidRPr="00C733AC" w:rsidRDefault="007A6627" w:rsidP="007A6627">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97217BA" w14:textId="77777777" w:rsidR="007A6627" w:rsidRPr="00C733AC" w:rsidRDefault="007A6627" w:rsidP="007A6627">
            <w:pPr>
              <w:jc w:val="center"/>
              <w:rPr>
                <w:rFonts w:ascii="David" w:hAnsi="David"/>
                <w:b/>
                <w:bCs/>
                <w:sz w:val="26"/>
                <w:szCs w:val="26"/>
                <w:rtl/>
              </w:rPr>
            </w:pPr>
          </w:p>
          <w:p w14:paraId="1904F5FE" w14:textId="77777777" w:rsidR="007A6627" w:rsidRPr="00C733AC" w:rsidRDefault="007A6627" w:rsidP="007A6627">
            <w:pPr>
              <w:jc w:val="center"/>
              <w:rPr>
                <w:rFonts w:ascii="David" w:hAnsi="David"/>
                <w:b/>
                <w:bCs/>
                <w:sz w:val="26"/>
                <w:szCs w:val="26"/>
                <w:rtl/>
              </w:rPr>
            </w:pPr>
            <w:r w:rsidRPr="00C733AC">
              <w:rPr>
                <w:rFonts w:ascii="David" w:hAnsi="David"/>
                <w:b/>
                <w:bCs/>
                <w:sz w:val="26"/>
                <w:szCs w:val="26"/>
                <w:rtl/>
              </w:rPr>
              <w:t>נגד</w:t>
            </w:r>
          </w:p>
          <w:p w14:paraId="6E5DC652" w14:textId="77777777" w:rsidR="007A6627" w:rsidRPr="00C733AC" w:rsidRDefault="007A6627" w:rsidP="007A6627">
            <w:pPr>
              <w:jc w:val="both"/>
              <w:rPr>
                <w:rFonts w:ascii="David" w:hAnsi="David"/>
                <w:sz w:val="26"/>
                <w:szCs w:val="26"/>
              </w:rPr>
            </w:pPr>
          </w:p>
        </w:tc>
      </w:tr>
      <w:tr w:rsidR="007A6627" w:rsidRPr="00C733AC" w14:paraId="79EBD99B" w14:textId="77777777" w:rsidTr="007A6627">
        <w:trPr>
          <w:trHeight w:val="355"/>
          <w:jc w:val="center"/>
        </w:trPr>
        <w:tc>
          <w:tcPr>
            <w:tcW w:w="923" w:type="dxa"/>
            <w:tcBorders>
              <w:top w:val="nil"/>
              <w:left w:val="nil"/>
              <w:bottom w:val="nil"/>
              <w:right w:val="nil"/>
            </w:tcBorders>
            <w:shd w:val="clear" w:color="auto" w:fill="auto"/>
          </w:tcPr>
          <w:p w14:paraId="4EBC7767" w14:textId="77777777" w:rsidR="007A6627" w:rsidRPr="00C733AC" w:rsidRDefault="007A6627" w:rsidP="001F4C2C">
            <w:pPr>
              <w:rPr>
                <w:rFonts w:ascii="David" w:hAnsi="David"/>
                <w:sz w:val="26"/>
                <w:szCs w:val="26"/>
                <w:rtl/>
              </w:rPr>
            </w:pPr>
          </w:p>
        </w:tc>
        <w:tc>
          <w:tcPr>
            <w:tcW w:w="3219" w:type="dxa"/>
            <w:tcBorders>
              <w:top w:val="nil"/>
              <w:left w:val="nil"/>
              <w:bottom w:val="nil"/>
              <w:right w:val="nil"/>
            </w:tcBorders>
            <w:shd w:val="clear" w:color="auto" w:fill="auto"/>
          </w:tcPr>
          <w:p w14:paraId="2F3D877B" w14:textId="77777777" w:rsidR="007A6627" w:rsidRPr="00C733AC" w:rsidRDefault="007A6627" w:rsidP="001F4C2C">
            <w:pPr>
              <w:rPr>
                <w:rFonts w:ascii="Arial" w:hAnsi="Arial"/>
                <w:b/>
                <w:bCs/>
                <w:sz w:val="26"/>
                <w:szCs w:val="26"/>
                <w:rtl/>
              </w:rPr>
            </w:pPr>
            <w:r w:rsidRPr="00C733AC">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66834416" w14:textId="77777777" w:rsidR="007A6627" w:rsidRPr="00C733AC" w:rsidRDefault="007A6627" w:rsidP="007A6627">
            <w:pPr>
              <w:suppressLineNumbers/>
            </w:pPr>
            <w:r w:rsidRPr="00C733AC">
              <w:rPr>
                <w:rFonts w:ascii="Arial" w:hAnsi="Arial"/>
                <w:b/>
                <w:bCs/>
                <w:sz w:val="26"/>
                <w:szCs w:val="26"/>
                <w:rtl/>
              </w:rPr>
              <w:t>דניאל רובינוב</w:t>
            </w:r>
            <w:r w:rsidRPr="00C733AC">
              <w:rPr>
                <w:rFonts w:ascii="Arial" w:hAnsi="Arial"/>
                <w:b/>
                <w:bCs/>
                <w:sz w:val="26"/>
                <w:szCs w:val="26"/>
                <w:rtl/>
              </w:rPr>
              <w:br/>
            </w:r>
            <w:r w:rsidRPr="00C733AC">
              <w:rPr>
                <w:rFonts w:ascii="Arial" w:hAnsi="Arial" w:hint="cs"/>
                <w:b/>
                <w:bCs/>
                <w:sz w:val="26"/>
                <w:szCs w:val="26"/>
                <w:rtl/>
              </w:rPr>
              <w:t>ע"י ב"כ עוה"ד שאדי דבאח</w:t>
            </w:r>
          </w:p>
          <w:p w14:paraId="54D7E7FE" w14:textId="77777777" w:rsidR="007A6627" w:rsidRPr="00C733AC" w:rsidRDefault="007A6627" w:rsidP="001F4C2C">
            <w:pPr>
              <w:rPr>
                <w:rFonts w:ascii="David" w:hAnsi="David"/>
                <w:sz w:val="26"/>
                <w:szCs w:val="26"/>
              </w:rPr>
            </w:pPr>
          </w:p>
        </w:tc>
      </w:tr>
    </w:tbl>
    <w:p w14:paraId="68080372" w14:textId="77777777" w:rsidR="00C82A05" w:rsidRPr="00C82A05" w:rsidRDefault="00C82A05" w:rsidP="00C82A05">
      <w:pPr>
        <w:spacing w:before="120" w:after="120" w:line="240" w:lineRule="exact"/>
        <w:ind w:left="283" w:hanging="283"/>
        <w:jc w:val="both"/>
        <w:rPr>
          <w:rFonts w:ascii="FrankRuehl" w:hAnsi="FrankRuehl" w:cs="FrankRuehl"/>
          <w:rtl/>
        </w:rPr>
      </w:pPr>
    </w:p>
    <w:p w14:paraId="16791B3C" w14:textId="77777777" w:rsidR="00A524E1" w:rsidRDefault="00A524E1" w:rsidP="00A524E1">
      <w:pPr>
        <w:rPr>
          <w:sz w:val="26"/>
          <w:szCs w:val="26"/>
          <w:rtl/>
        </w:rPr>
      </w:pPr>
      <w:bookmarkStart w:id="3" w:name="LawTable"/>
      <w:bookmarkEnd w:id="3"/>
    </w:p>
    <w:p w14:paraId="3F169913" w14:textId="77777777" w:rsidR="00A524E1" w:rsidRPr="00A524E1" w:rsidRDefault="00A524E1" w:rsidP="00A524E1">
      <w:pPr>
        <w:spacing w:before="120" w:after="120" w:line="240" w:lineRule="exact"/>
        <w:ind w:left="283" w:hanging="283"/>
        <w:jc w:val="both"/>
        <w:rPr>
          <w:rFonts w:ascii="FrankRuehl" w:hAnsi="FrankRuehl" w:cs="FrankRuehl"/>
          <w:rtl/>
        </w:rPr>
      </w:pPr>
    </w:p>
    <w:p w14:paraId="60FB444B" w14:textId="77777777" w:rsidR="00A524E1" w:rsidRPr="00A524E1" w:rsidRDefault="00A524E1" w:rsidP="00A524E1">
      <w:pPr>
        <w:spacing w:before="120" w:after="120" w:line="240" w:lineRule="exact"/>
        <w:ind w:left="283" w:hanging="283"/>
        <w:jc w:val="both"/>
        <w:rPr>
          <w:rFonts w:ascii="FrankRuehl" w:hAnsi="FrankRuehl" w:cs="FrankRuehl"/>
          <w:rtl/>
        </w:rPr>
      </w:pPr>
    </w:p>
    <w:p w14:paraId="2277DBA5" w14:textId="77777777" w:rsidR="00A524E1" w:rsidRPr="00A524E1" w:rsidRDefault="00A524E1" w:rsidP="00A524E1">
      <w:pPr>
        <w:spacing w:before="120" w:after="120" w:line="240" w:lineRule="exact"/>
        <w:ind w:left="283" w:hanging="283"/>
        <w:jc w:val="both"/>
        <w:rPr>
          <w:rFonts w:ascii="FrankRuehl" w:hAnsi="FrankRuehl" w:cs="FrankRuehl"/>
          <w:rtl/>
        </w:rPr>
      </w:pPr>
      <w:r w:rsidRPr="00A524E1">
        <w:rPr>
          <w:rFonts w:ascii="FrankRuehl" w:hAnsi="FrankRuehl" w:cs="FrankRuehl"/>
          <w:rtl/>
        </w:rPr>
        <w:t xml:space="preserve">חקיקה שאוזכרה: </w:t>
      </w:r>
    </w:p>
    <w:p w14:paraId="6B322015" w14:textId="77777777" w:rsidR="00A524E1" w:rsidRPr="00A524E1" w:rsidRDefault="00A524E1" w:rsidP="00A524E1">
      <w:pPr>
        <w:spacing w:before="120" w:after="120" w:line="240" w:lineRule="exact"/>
        <w:ind w:left="283" w:hanging="283"/>
        <w:jc w:val="both"/>
        <w:rPr>
          <w:rFonts w:ascii="FrankRuehl" w:hAnsi="FrankRuehl" w:cs="FrankRuehl"/>
          <w:rtl/>
        </w:rPr>
      </w:pPr>
      <w:hyperlink r:id="rId7" w:history="1">
        <w:r w:rsidRPr="00A524E1">
          <w:rPr>
            <w:rFonts w:ascii="FrankRuehl" w:hAnsi="FrankRuehl" w:cs="FrankRuehl"/>
            <w:color w:val="0000FF"/>
            <w:rtl/>
          </w:rPr>
          <w:t>פקודת הסמים המסוכנים [נוסח חדש], תשל"ג-1973</w:t>
        </w:r>
      </w:hyperlink>
      <w:r w:rsidRPr="00A524E1">
        <w:rPr>
          <w:rFonts w:ascii="FrankRuehl" w:hAnsi="FrankRuehl" w:cs="FrankRuehl"/>
          <w:rtl/>
        </w:rPr>
        <w:t xml:space="preserve">: סע'  </w:t>
      </w:r>
      <w:hyperlink r:id="rId8" w:history="1">
        <w:r w:rsidRPr="00A524E1">
          <w:rPr>
            <w:rFonts w:ascii="FrankRuehl" w:hAnsi="FrankRuehl" w:cs="FrankRuehl"/>
            <w:color w:val="0000FF"/>
            <w:rtl/>
          </w:rPr>
          <w:t>7.א.</w:t>
        </w:r>
      </w:hyperlink>
      <w:r w:rsidRPr="00A524E1">
        <w:rPr>
          <w:rFonts w:ascii="FrankRuehl" w:hAnsi="FrankRuehl" w:cs="FrankRuehl"/>
          <w:rtl/>
        </w:rPr>
        <w:t xml:space="preserve">, </w:t>
      </w:r>
      <w:hyperlink r:id="rId9" w:history="1">
        <w:r w:rsidRPr="00A524E1">
          <w:rPr>
            <w:rFonts w:ascii="FrankRuehl" w:hAnsi="FrankRuehl" w:cs="FrankRuehl"/>
            <w:color w:val="0000FF"/>
            <w:rtl/>
          </w:rPr>
          <w:t>7.ג</w:t>
        </w:r>
      </w:hyperlink>
      <w:r w:rsidRPr="00A524E1">
        <w:rPr>
          <w:rFonts w:ascii="FrankRuehl" w:hAnsi="FrankRuehl" w:cs="FrankRuehl"/>
          <w:rtl/>
        </w:rPr>
        <w:t xml:space="preserve">, </w:t>
      </w:r>
      <w:hyperlink r:id="rId10" w:history="1">
        <w:r w:rsidRPr="00A524E1">
          <w:rPr>
            <w:rFonts w:ascii="FrankRuehl" w:hAnsi="FrankRuehl" w:cs="FrankRuehl"/>
            <w:color w:val="0000FF"/>
            <w:rtl/>
          </w:rPr>
          <w:t>13</w:t>
        </w:r>
      </w:hyperlink>
      <w:r w:rsidRPr="00A524E1">
        <w:rPr>
          <w:rFonts w:ascii="FrankRuehl" w:hAnsi="FrankRuehl" w:cs="FrankRuehl"/>
          <w:rtl/>
        </w:rPr>
        <w:t xml:space="preserve">, </w:t>
      </w:r>
      <w:hyperlink r:id="rId11" w:history="1">
        <w:r w:rsidRPr="00A524E1">
          <w:rPr>
            <w:rFonts w:ascii="FrankRuehl" w:hAnsi="FrankRuehl" w:cs="FrankRuehl"/>
            <w:color w:val="0000FF"/>
            <w:rtl/>
          </w:rPr>
          <w:t>19א</w:t>
        </w:r>
      </w:hyperlink>
    </w:p>
    <w:p w14:paraId="7D05A8FB" w14:textId="77777777" w:rsidR="00A524E1" w:rsidRPr="00A524E1" w:rsidRDefault="00A524E1" w:rsidP="00A524E1">
      <w:pPr>
        <w:spacing w:before="120" w:after="120" w:line="240" w:lineRule="exact"/>
        <w:ind w:left="283" w:hanging="283"/>
        <w:jc w:val="both"/>
        <w:rPr>
          <w:rFonts w:ascii="FrankRuehl" w:hAnsi="FrankRuehl" w:cs="FrankRuehl"/>
          <w:rtl/>
        </w:rPr>
      </w:pPr>
      <w:hyperlink r:id="rId12" w:history="1">
        <w:r w:rsidRPr="00A524E1">
          <w:rPr>
            <w:rFonts w:ascii="FrankRuehl" w:hAnsi="FrankRuehl" w:cs="FrankRuehl"/>
            <w:color w:val="0000FF"/>
            <w:rtl/>
          </w:rPr>
          <w:t>חוק רישוי עסקים, תשכ"ח-1968</w:t>
        </w:r>
      </w:hyperlink>
      <w:r w:rsidRPr="00A524E1">
        <w:rPr>
          <w:rFonts w:ascii="FrankRuehl" w:hAnsi="FrankRuehl" w:cs="FrankRuehl"/>
          <w:rtl/>
        </w:rPr>
        <w:t xml:space="preserve">: סע'  </w:t>
      </w:r>
      <w:hyperlink r:id="rId13" w:history="1">
        <w:r w:rsidRPr="00A524E1">
          <w:rPr>
            <w:rFonts w:ascii="FrankRuehl" w:hAnsi="FrankRuehl" w:cs="FrankRuehl"/>
            <w:color w:val="0000FF"/>
            <w:rtl/>
          </w:rPr>
          <w:t>4</w:t>
        </w:r>
      </w:hyperlink>
      <w:r w:rsidRPr="00A524E1">
        <w:rPr>
          <w:rFonts w:ascii="FrankRuehl" w:hAnsi="FrankRuehl" w:cs="FrankRuehl"/>
          <w:rtl/>
        </w:rPr>
        <w:t xml:space="preserve">, </w:t>
      </w:r>
      <w:hyperlink r:id="rId14" w:history="1">
        <w:r w:rsidRPr="00A524E1">
          <w:rPr>
            <w:rFonts w:ascii="FrankRuehl" w:hAnsi="FrankRuehl" w:cs="FrankRuehl"/>
            <w:color w:val="0000FF"/>
            <w:rtl/>
          </w:rPr>
          <w:t>14(א)</w:t>
        </w:r>
      </w:hyperlink>
      <w:r w:rsidRPr="00A524E1">
        <w:rPr>
          <w:rFonts w:ascii="FrankRuehl" w:hAnsi="FrankRuehl" w:cs="FrankRuehl"/>
          <w:rtl/>
        </w:rPr>
        <w:t xml:space="preserve">, </w:t>
      </w:r>
      <w:hyperlink r:id="rId15" w:history="1">
        <w:r w:rsidRPr="00A524E1">
          <w:rPr>
            <w:rFonts w:ascii="FrankRuehl" w:hAnsi="FrankRuehl" w:cs="FrankRuehl"/>
            <w:color w:val="0000FF"/>
            <w:rtl/>
          </w:rPr>
          <w:t>14(א)/3</w:t>
        </w:r>
      </w:hyperlink>
    </w:p>
    <w:p w14:paraId="5D309FFD" w14:textId="77777777" w:rsidR="00A524E1" w:rsidRPr="00A524E1" w:rsidRDefault="00A524E1" w:rsidP="00A524E1">
      <w:pPr>
        <w:spacing w:before="120" w:after="120" w:line="240" w:lineRule="exact"/>
        <w:ind w:left="283" w:hanging="283"/>
        <w:jc w:val="both"/>
        <w:rPr>
          <w:rFonts w:ascii="FrankRuehl" w:hAnsi="FrankRuehl" w:cs="FrankRuehl"/>
          <w:rtl/>
        </w:rPr>
      </w:pPr>
      <w:hyperlink r:id="rId16" w:history="1">
        <w:r w:rsidRPr="00A524E1">
          <w:rPr>
            <w:rFonts w:ascii="FrankRuehl" w:hAnsi="FrankRuehl" w:cs="FrankRuehl"/>
            <w:color w:val="0000FF"/>
            <w:rtl/>
          </w:rPr>
          <w:t>חוק העונשין, תשל"ז-1977</w:t>
        </w:r>
      </w:hyperlink>
      <w:r w:rsidRPr="00A524E1">
        <w:rPr>
          <w:rFonts w:ascii="FrankRuehl" w:hAnsi="FrankRuehl" w:cs="FrankRuehl"/>
          <w:rtl/>
        </w:rPr>
        <w:t xml:space="preserve">: סע'  </w:t>
      </w:r>
      <w:hyperlink r:id="rId17" w:history="1">
        <w:r w:rsidRPr="00A524E1">
          <w:rPr>
            <w:rFonts w:ascii="FrankRuehl" w:hAnsi="FrankRuehl" w:cs="FrankRuehl"/>
            <w:color w:val="0000FF"/>
            <w:rtl/>
          </w:rPr>
          <w:t>40ג</w:t>
        </w:r>
      </w:hyperlink>
      <w:r w:rsidRPr="00A524E1">
        <w:rPr>
          <w:rFonts w:ascii="FrankRuehl" w:hAnsi="FrankRuehl" w:cs="FrankRuehl"/>
          <w:rtl/>
        </w:rPr>
        <w:t xml:space="preserve">, </w:t>
      </w:r>
      <w:hyperlink r:id="rId18" w:history="1">
        <w:r w:rsidRPr="00A524E1">
          <w:rPr>
            <w:rFonts w:ascii="FrankRuehl" w:hAnsi="FrankRuehl" w:cs="FrankRuehl"/>
            <w:color w:val="0000FF"/>
            <w:rtl/>
          </w:rPr>
          <w:t>61(א)(4)</w:t>
        </w:r>
      </w:hyperlink>
      <w:r w:rsidRPr="00A524E1">
        <w:rPr>
          <w:rFonts w:ascii="FrankRuehl" w:hAnsi="FrankRuehl" w:cs="FrankRuehl"/>
          <w:rtl/>
        </w:rPr>
        <w:t xml:space="preserve">, </w:t>
      </w:r>
      <w:hyperlink r:id="rId19" w:history="1">
        <w:r w:rsidRPr="00A524E1">
          <w:rPr>
            <w:rFonts w:ascii="FrankRuehl" w:hAnsi="FrankRuehl" w:cs="FrankRuehl"/>
            <w:color w:val="0000FF"/>
            <w:rtl/>
          </w:rPr>
          <w:t>40יג(א)</w:t>
        </w:r>
      </w:hyperlink>
    </w:p>
    <w:p w14:paraId="2D76A206" w14:textId="77777777" w:rsidR="00A524E1" w:rsidRPr="00A524E1" w:rsidRDefault="00A524E1" w:rsidP="00A524E1">
      <w:pPr>
        <w:rPr>
          <w:sz w:val="26"/>
          <w:szCs w:val="26"/>
          <w:rtl/>
        </w:rPr>
      </w:pPr>
      <w:bookmarkStart w:id="4" w:name="LawTable_End"/>
      <w:bookmarkEnd w:id="4"/>
    </w:p>
    <w:p w14:paraId="3B329659" w14:textId="77777777" w:rsidR="007A6627" w:rsidRPr="00C82A05" w:rsidRDefault="007A6627" w:rsidP="00C82A05">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A6627" w14:paraId="1301CBC4" w14:textId="77777777" w:rsidTr="007A6627">
        <w:trPr>
          <w:trHeight w:val="355"/>
          <w:jc w:val="center"/>
        </w:trPr>
        <w:tc>
          <w:tcPr>
            <w:tcW w:w="8820" w:type="dxa"/>
            <w:tcBorders>
              <w:top w:val="nil"/>
              <w:left w:val="nil"/>
              <w:bottom w:val="nil"/>
              <w:right w:val="nil"/>
            </w:tcBorders>
            <w:shd w:val="clear" w:color="auto" w:fill="auto"/>
          </w:tcPr>
          <w:p w14:paraId="1EBEA9D4" w14:textId="77777777" w:rsidR="00C733AC" w:rsidRPr="00C733AC" w:rsidRDefault="00C733AC" w:rsidP="00C733AC">
            <w:pPr>
              <w:jc w:val="center"/>
              <w:rPr>
                <w:rFonts w:ascii="David" w:hAnsi="David"/>
                <w:b/>
                <w:bCs/>
                <w:sz w:val="32"/>
                <w:szCs w:val="32"/>
                <w:u w:val="single"/>
                <w:rtl/>
              </w:rPr>
            </w:pPr>
            <w:bookmarkStart w:id="5" w:name="PsakDin" w:colFirst="0" w:colLast="0"/>
            <w:bookmarkEnd w:id="0"/>
            <w:bookmarkEnd w:id="1"/>
            <w:r w:rsidRPr="00C733AC">
              <w:rPr>
                <w:rFonts w:ascii="David" w:hAnsi="David"/>
                <w:b/>
                <w:bCs/>
                <w:sz w:val="32"/>
                <w:szCs w:val="32"/>
                <w:u w:val="single"/>
                <w:rtl/>
              </w:rPr>
              <w:t>גזר דין</w:t>
            </w:r>
          </w:p>
          <w:p w14:paraId="1385E729" w14:textId="77777777" w:rsidR="007A6627" w:rsidRPr="00C733AC" w:rsidRDefault="007A6627" w:rsidP="00C733AC">
            <w:pPr>
              <w:jc w:val="center"/>
              <w:rPr>
                <w:rFonts w:ascii="David" w:hAnsi="David"/>
                <w:bCs/>
                <w:sz w:val="32"/>
                <w:szCs w:val="32"/>
                <w:u w:val="single"/>
                <w:rtl/>
              </w:rPr>
            </w:pPr>
          </w:p>
        </w:tc>
      </w:tr>
      <w:bookmarkEnd w:id="5"/>
    </w:tbl>
    <w:p w14:paraId="46F2D6B3" w14:textId="77777777" w:rsidR="007A6627" w:rsidRPr="000F2247" w:rsidRDefault="007A6627" w:rsidP="007A6627">
      <w:pPr>
        <w:rPr>
          <w:rFonts w:ascii="Arial" w:hAnsi="Arial"/>
          <w:b/>
          <w:bCs/>
          <w:sz w:val="26"/>
          <w:szCs w:val="26"/>
          <w:rtl/>
        </w:rPr>
      </w:pPr>
    </w:p>
    <w:p w14:paraId="6D236937" w14:textId="77777777" w:rsidR="007A6627" w:rsidRPr="000F2247" w:rsidRDefault="007A6627" w:rsidP="007A6627">
      <w:pPr>
        <w:rPr>
          <w:rFonts w:ascii="Arial" w:hAnsi="Arial"/>
          <w:b/>
          <w:bCs/>
          <w:sz w:val="26"/>
          <w:szCs w:val="26"/>
          <w:rtl/>
        </w:rPr>
      </w:pPr>
    </w:p>
    <w:p w14:paraId="02885B2B" w14:textId="77777777" w:rsidR="007A6627" w:rsidRDefault="007A6627" w:rsidP="007A6627">
      <w:pPr>
        <w:pStyle w:val="a9"/>
        <w:numPr>
          <w:ilvl w:val="0"/>
          <w:numId w:val="1"/>
        </w:numPr>
        <w:spacing w:line="360" w:lineRule="auto"/>
        <w:ind w:hanging="635"/>
        <w:jc w:val="both"/>
        <w:rPr>
          <w:rFonts w:ascii="Arial" w:hAnsi="Arial"/>
        </w:rPr>
      </w:pPr>
      <w:bookmarkStart w:id="6" w:name="ABSTRACT_START"/>
      <w:bookmarkEnd w:id="6"/>
      <w:r>
        <w:rPr>
          <w:rFonts w:ascii="Arial" w:hAnsi="Arial"/>
          <w:rtl/>
        </w:rPr>
        <w:t>שהנאשם הורשע על פי הודאתו, בעבירת</w:t>
      </w:r>
      <w:r>
        <w:rPr>
          <w:rFonts w:ascii="Arial" w:hAnsi="Arial"/>
          <w:b/>
          <w:bCs/>
          <w:rtl/>
        </w:rPr>
        <w:t xml:space="preserve"> החזקה/ שימוש בסמים שלא לצריכה עצמית-</w:t>
      </w:r>
      <w:r>
        <w:rPr>
          <w:rFonts w:ascii="Arial" w:hAnsi="Arial"/>
          <w:rtl/>
        </w:rPr>
        <w:t xml:space="preserve"> עבירה לפי </w:t>
      </w:r>
      <w:hyperlink r:id="rId20" w:history="1">
        <w:r w:rsidR="00276F26" w:rsidRPr="00276F26">
          <w:rPr>
            <w:rStyle w:val="Hyperlink"/>
            <w:rFonts w:ascii="Arial" w:hAnsi="Arial"/>
            <w:rtl/>
          </w:rPr>
          <w:t>סעיף 7(א)+ 7(ג)</w:t>
        </w:r>
      </w:hyperlink>
      <w:r>
        <w:rPr>
          <w:rFonts w:ascii="Arial" w:hAnsi="Arial"/>
          <w:rtl/>
        </w:rPr>
        <w:t xml:space="preserve"> רישא ל</w:t>
      </w:r>
      <w:hyperlink r:id="rId21" w:history="1">
        <w:r w:rsidR="00C733AC" w:rsidRPr="00C733AC">
          <w:rPr>
            <w:rFonts w:ascii="Arial" w:hAnsi="Arial"/>
            <w:color w:val="0000FF"/>
            <w:u w:val="single"/>
            <w:rtl/>
          </w:rPr>
          <w:t>פקודת הסמים המסוכנים</w:t>
        </w:r>
      </w:hyperlink>
      <w:r>
        <w:rPr>
          <w:rFonts w:ascii="Arial" w:hAnsi="Arial"/>
          <w:rtl/>
        </w:rPr>
        <w:t xml:space="preserve"> (נוסח חדש) תשל"ג- 1973 (להלן: </w:t>
      </w:r>
      <w:r>
        <w:rPr>
          <w:rFonts w:ascii="Arial" w:hAnsi="Arial"/>
          <w:b/>
          <w:bCs/>
          <w:rtl/>
        </w:rPr>
        <w:t>"פקודת הסמים המסוכנים"</w:t>
      </w:r>
      <w:r>
        <w:rPr>
          <w:rFonts w:ascii="Arial" w:hAnsi="Arial"/>
          <w:rtl/>
        </w:rPr>
        <w:t>); בעבירות</w:t>
      </w:r>
      <w:r>
        <w:rPr>
          <w:rFonts w:ascii="Arial" w:hAnsi="Arial"/>
          <w:b/>
          <w:bCs/>
          <w:rtl/>
        </w:rPr>
        <w:t xml:space="preserve"> ניהול עסק ללא רישיון (5 עבירות)</w:t>
      </w:r>
      <w:r>
        <w:rPr>
          <w:rFonts w:ascii="Arial" w:hAnsi="Arial"/>
          <w:rtl/>
        </w:rPr>
        <w:t xml:space="preserve">- עבירה לפי </w:t>
      </w:r>
      <w:hyperlink r:id="rId22" w:history="1">
        <w:r w:rsidR="00276F26" w:rsidRPr="00276F26">
          <w:rPr>
            <w:rStyle w:val="Hyperlink"/>
            <w:rFonts w:ascii="Arial" w:hAnsi="Arial"/>
            <w:rtl/>
          </w:rPr>
          <w:t>סעיף 4</w:t>
        </w:r>
      </w:hyperlink>
      <w:r>
        <w:rPr>
          <w:rFonts w:ascii="Arial" w:hAnsi="Arial"/>
          <w:rtl/>
        </w:rPr>
        <w:t xml:space="preserve"> +</w:t>
      </w:r>
      <w:hyperlink r:id="rId23" w:history="1">
        <w:r w:rsidR="00276F26" w:rsidRPr="00276F26">
          <w:rPr>
            <w:rStyle w:val="Hyperlink"/>
            <w:rFonts w:ascii="Arial" w:hAnsi="Arial"/>
            <w:rtl/>
          </w:rPr>
          <w:t>14(א)</w:t>
        </w:r>
      </w:hyperlink>
      <w:r>
        <w:rPr>
          <w:rFonts w:ascii="Arial" w:hAnsi="Arial"/>
          <w:rtl/>
        </w:rPr>
        <w:t xml:space="preserve"> ל</w:t>
      </w:r>
      <w:hyperlink r:id="rId24" w:history="1">
        <w:r w:rsidR="00C733AC" w:rsidRPr="00C733AC">
          <w:rPr>
            <w:rFonts w:ascii="Arial" w:hAnsi="Arial"/>
            <w:color w:val="0000FF"/>
            <w:u w:val="single"/>
            <w:rtl/>
          </w:rPr>
          <w:t>חוק רישוי עסקים</w:t>
        </w:r>
      </w:hyperlink>
      <w:r>
        <w:rPr>
          <w:rFonts w:ascii="Arial" w:hAnsi="Arial"/>
          <w:rtl/>
        </w:rPr>
        <w:t xml:space="preserve"> תשכ"ח- 1968 (להלן: </w:t>
      </w:r>
      <w:r>
        <w:rPr>
          <w:rFonts w:ascii="Arial" w:hAnsi="Arial"/>
          <w:b/>
          <w:bCs/>
          <w:rtl/>
        </w:rPr>
        <w:t>"חוק רישוי עסקים"</w:t>
      </w:r>
      <w:r>
        <w:rPr>
          <w:rFonts w:ascii="Arial" w:hAnsi="Arial"/>
          <w:rtl/>
        </w:rPr>
        <w:t xml:space="preserve">); </w:t>
      </w:r>
      <w:r>
        <w:rPr>
          <w:rFonts w:ascii="Arial" w:hAnsi="Arial"/>
          <w:b/>
          <w:bCs/>
          <w:rtl/>
        </w:rPr>
        <w:t xml:space="preserve">בעבירות עיסוק בעסק בניגוד לתנאי הרישיון </w:t>
      </w:r>
      <w:r>
        <w:rPr>
          <w:rFonts w:ascii="Arial" w:hAnsi="Arial"/>
          <w:rtl/>
        </w:rPr>
        <w:t>(</w:t>
      </w:r>
      <w:r>
        <w:rPr>
          <w:rFonts w:ascii="Arial" w:hAnsi="Arial"/>
          <w:b/>
          <w:bCs/>
          <w:rtl/>
        </w:rPr>
        <w:t>5 עבירות</w:t>
      </w:r>
      <w:r>
        <w:rPr>
          <w:rFonts w:ascii="Arial" w:hAnsi="Arial"/>
          <w:rtl/>
        </w:rPr>
        <w:t xml:space="preserve">)- עבירה לפי </w:t>
      </w:r>
      <w:hyperlink r:id="rId25" w:history="1">
        <w:r w:rsidR="00276F26" w:rsidRPr="00276F26">
          <w:rPr>
            <w:rStyle w:val="Hyperlink"/>
            <w:rFonts w:ascii="Arial" w:hAnsi="Arial"/>
            <w:rtl/>
          </w:rPr>
          <w:t>סעיף 14(א)/3</w:t>
        </w:r>
      </w:hyperlink>
      <w:r>
        <w:rPr>
          <w:rFonts w:ascii="Arial" w:hAnsi="Arial"/>
          <w:rtl/>
        </w:rPr>
        <w:t xml:space="preserve"> לחוק רישוי עסקים. כן הורשע ב</w:t>
      </w:r>
      <w:r>
        <w:rPr>
          <w:rFonts w:ascii="Arial" w:hAnsi="Arial"/>
          <w:b/>
          <w:bCs/>
          <w:rtl/>
        </w:rPr>
        <w:t>עבירות יצוא, יבוא, מסחר, הספקה סמים מסוכנים</w:t>
      </w:r>
      <w:r>
        <w:rPr>
          <w:rFonts w:ascii="Arial" w:hAnsi="Arial"/>
          <w:rtl/>
        </w:rPr>
        <w:t xml:space="preserve"> (</w:t>
      </w:r>
      <w:r>
        <w:rPr>
          <w:rFonts w:ascii="Arial" w:hAnsi="Arial"/>
          <w:b/>
          <w:bCs/>
          <w:rtl/>
        </w:rPr>
        <w:t>4 עבירות</w:t>
      </w:r>
      <w:r>
        <w:rPr>
          <w:rFonts w:ascii="Arial" w:hAnsi="Arial"/>
          <w:rtl/>
        </w:rPr>
        <w:t xml:space="preserve">)- עבירה לפי </w:t>
      </w:r>
      <w:hyperlink r:id="rId26" w:history="1">
        <w:r w:rsidR="00276F26" w:rsidRPr="00276F26">
          <w:rPr>
            <w:rStyle w:val="Hyperlink"/>
            <w:rFonts w:ascii="Arial" w:hAnsi="Arial"/>
            <w:rtl/>
          </w:rPr>
          <w:t>סעיף 13</w:t>
        </w:r>
      </w:hyperlink>
      <w:r>
        <w:rPr>
          <w:rFonts w:ascii="Arial" w:hAnsi="Arial"/>
          <w:rtl/>
        </w:rPr>
        <w:t xml:space="preserve"> + </w:t>
      </w:r>
      <w:hyperlink r:id="rId27" w:history="1">
        <w:r w:rsidR="00276F26" w:rsidRPr="00276F26">
          <w:rPr>
            <w:rStyle w:val="Hyperlink"/>
            <w:rFonts w:ascii="Arial" w:hAnsi="Arial"/>
            <w:rtl/>
          </w:rPr>
          <w:t>19א</w:t>
        </w:r>
      </w:hyperlink>
      <w:r>
        <w:rPr>
          <w:rFonts w:ascii="Arial" w:hAnsi="Arial"/>
          <w:rtl/>
        </w:rPr>
        <w:t xml:space="preserve"> ל</w:t>
      </w:r>
      <w:hyperlink r:id="rId28" w:history="1">
        <w:r w:rsidR="00C733AC" w:rsidRPr="00C733AC">
          <w:rPr>
            <w:rFonts w:ascii="Arial" w:hAnsi="Arial"/>
            <w:color w:val="0000FF"/>
            <w:u w:val="single"/>
            <w:rtl/>
          </w:rPr>
          <w:t>פקודת הסמים המסוכנים</w:t>
        </w:r>
      </w:hyperlink>
      <w:r>
        <w:rPr>
          <w:rFonts w:ascii="Arial" w:hAnsi="Arial"/>
          <w:rtl/>
        </w:rPr>
        <w:t>.</w:t>
      </w:r>
    </w:p>
    <w:p w14:paraId="441E4196" w14:textId="77777777" w:rsidR="007A6627" w:rsidRDefault="007A6627" w:rsidP="007A6627">
      <w:pPr>
        <w:spacing w:line="360" w:lineRule="auto"/>
        <w:jc w:val="both"/>
        <w:rPr>
          <w:rFonts w:ascii="Arial" w:hAnsi="Arial"/>
          <w:rtl/>
        </w:rPr>
      </w:pPr>
      <w:bookmarkStart w:id="7" w:name="ABSTRACT_END"/>
      <w:bookmarkEnd w:id="7"/>
    </w:p>
    <w:p w14:paraId="57C6DD7A" w14:textId="77777777" w:rsidR="007A6627" w:rsidRDefault="007A6627" w:rsidP="007A6627">
      <w:pPr>
        <w:pStyle w:val="a9"/>
        <w:numPr>
          <w:ilvl w:val="0"/>
          <w:numId w:val="1"/>
        </w:numPr>
        <w:spacing w:line="360" w:lineRule="auto"/>
        <w:ind w:hanging="635"/>
        <w:jc w:val="both"/>
        <w:rPr>
          <w:rFonts w:ascii="Arial" w:hAnsi="Arial"/>
        </w:rPr>
      </w:pPr>
      <w:r>
        <w:rPr>
          <w:rFonts w:ascii="Arial" w:hAnsi="Arial"/>
          <w:rtl/>
        </w:rPr>
        <w:lastRenderedPageBreak/>
        <w:t>כתב האישום המתוקן בעניינו של הנאשם, בו הודה, מונה 5 אישומים כ</w:t>
      </w:r>
      <w:r>
        <w:rPr>
          <w:rFonts w:ascii="Arial" w:hAnsi="Arial" w:hint="cs"/>
          <w:rtl/>
        </w:rPr>
        <w:t>מפורט-</w:t>
      </w:r>
      <w:r>
        <w:rPr>
          <w:rFonts w:ascii="Arial" w:hAnsi="Arial"/>
          <w:rtl/>
        </w:rPr>
        <w:t xml:space="preserve"> </w:t>
      </w:r>
    </w:p>
    <w:p w14:paraId="032B74D4" w14:textId="77777777" w:rsidR="007A6627" w:rsidRDefault="007A6627" w:rsidP="007A6627">
      <w:pPr>
        <w:pStyle w:val="a9"/>
        <w:spacing w:line="360" w:lineRule="auto"/>
        <w:jc w:val="both"/>
        <w:rPr>
          <w:rFonts w:ascii="Arial" w:hAnsi="Arial"/>
          <w:rtl/>
        </w:rPr>
      </w:pPr>
    </w:p>
    <w:p w14:paraId="352DA4E2" w14:textId="77777777" w:rsidR="007A6627" w:rsidRDefault="007A6627" w:rsidP="007A6627">
      <w:pPr>
        <w:pStyle w:val="a9"/>
        <w:spacing w:line="360" w:lineRule="auto"/>
        <w:jc w:val="both"/>
        <w:rPr>
          <w:rFonts w:ascii="Arial" w:hAnsi="Arial"/>
        </w:rPr>
      </w:pPr>
      <w:r>
        <w:rPr>
          <w:rFonts w:ascii="Arial" w:hAnsi="Arial"/>
          <w:b/>
          <w:bCs/>
          <w:rtl/>
        </w:rPr>
        <w:t>על פי עובדות האישום הראשון</w:t>
      </w:r>
      <w:r>
        <w:rPr>
          <w:rFonts w:ascii="Arial" w:hAnsi="Arial"/>
          <w:rtl/>
        </w:rPr>
        <w:t xml:space="preserve">, ביום 27.1.21 בעת עריכת חיפוש בעסקו של הנאשם, נמצא כי החזיק </w:t>
      </w:r>
      <w:r>
        <w:rPr>
          <w:rFonts w:ascii="Arial" w:hAnsi="Arial" w:hint="cs"/>
          <w:rtl/>
        </w:rPr>
        <w:t xml:space="preserve">על </w:t>
      </w:r>
      <w:r>
        <w:rPr>
          <w:rFonts w:ascii="Arial" w:hAnsi="Arial"/>
          <w:rtl/>
        </w:rPr>
        <w:t>מדף מתחת לדלפק המכירה סם מסוכן מסוג קנבוס במש</w:t>
      </w:r>
      <w:r>
        <w:rPr>
          <w:rFonts w:ascii="Arial" w:hAnsi="Arial" w:hint="cs"/>
          <w:rtl/>
        </w:rPr>
        <w:t>ק</w:t>
      </w:r>
      <w:r>
        <w:rPr>
          <w:rFonts w:ascii="Arial" w:hAnsi="Arial"/>
          <w:rtl/>
        </w:rPr>
        <w:t xml:space="preserve">ל של 0.1954 גרם נטו. באותן נסיבות, החזיק הנאשם בתוך קרטון חום בסמוך למקררים בעסק שקית ניילון שחורה ובה 11 שקיות שקופות קטנות ובהן סם מסוכן מסוג קנבוס במשקל של 9.26 גרם נטו וכן כמות גדולה של שקיות שקופות קטנות ריקות ומשקל דיגיטלי. עוד ובאותו קרטון החזיק הנאשם שקית שחורה נוספת אשר הכילה 12 אריזות ובהן סם מסוכן מסוג קנבוס, כשבכל אריזה כ-10 גרם סם קנבוס במשקל כולל של 120.63 גרם נטו. </w:t>
      </w:r>
    </w:p>
    <w:p w14:paraId="331B50F7" w14:textId="77777777" w:rsidR="007A6627" w:rsidRDefault="007A6627" w:rsidP="007A6627">
      <w:pPr>
        <w:pStyle w:val="a9"/>
        <w:spacing w:line="360" w:lineRule="auto"/>
        <w:jc w:val="both"/>
        <w:rPr>
          <w:rFonts w:ascii="Arial" w:hAnsi="Arial"/>
          <w:b/>
          <w:bCs/>
          <w:rtl/>
        </w:rPr>
      </w:pPr>
    </w:p>
    <w:p w14:paraId="39FDDC90" w14:textId="77777777" w:rsidR="007A6627" w:rsidRDefault="007A6627" w:rsidP="007A6627">
      <w:pPr>
        <w:pStyle w:val="a9"/>
        <w:spacing w:line="360" w:lineRule="auto"/>
        <w:jc w:val="both"/>
        <w:rPr>
          <w:rFonts w:ascii="Arial" w:hAnsi="Arial"/>
          <w:rtl/>
        </w:rPr>
      </w:pPr>
      <w:r>
        <w:rPr>
          <w:rFonts w:ascii="Arial" w:hAnsi="Arial"/>
          <w:b/>
          <w:bCs/>
          <w:rtl/>
        </w:rPr>
        <w:t>על פי עובדות האישום השני,</w:t>
      </w:r>
      <w:r>
        <w:rPr>
          <w:rFonts w:ascii="Arial" w:hAnsi="Arial"/>
          <w:rtl/>
        </w:rPr>
        <w:t xml:space="preserve"> בצהרי יום 27.1.21 מסר לולדימר חייט אשר הגיע לעסקו שקית שקופה קטנה ובה סם מסוג קנבוס אשר הוצא משקית שחורה מתחת לדלפק המכירה ואשר תמורתו שילם ולדימר 200 ₪. </w:t>
      </w:r>
    </w:p>
    <w:p w14:paraId="5B034911" w14:textId="77777777" w:rsidR="007A6627" w:rsidRDefault="007A6627" w:rsidP="007A6627">
      <w:pPr>
        <w:pStyle w:val="a9"/>
        <w:spacing w:line="360" w:lineRule="auto"/>
        <w:jc w:val="both"/>
        <w:rPr>
          <w:rFonts w:ascii="Arial" w:hAnsi="Arial"/>
          <w:rtl/>
        </w:rPr>
      </w:pPr>
    </w:p>
    <w:p w14:paraId="2816F954" w14:textId="77777777" w:rsidR="007A6627" w:rsidRDefault="007A6627" w:rsidP="007A6627">
      <w:pPr>
        <w:pStyle w:val="a9"/>
        <w:spacing w:line="360" w:lineRule="auto"/>
        <w:jc w:val="both"/>
        <w:rPr>
          <w:rFonts w:ascii="Arial" w:hAnsi="Arial"/>
          <w:rtl/>
        </w:rPr>
      </w:pPr>
      <w:r>
        <w:rPr>
          <w:rFonts w:ascii="Arial" w:hAnsi="Arial"/>
          <w:b/>
          <w:bCs/>
          <w:rtl/>
        </w:rPr>
        <w:t xml:space="preserve">על פי עובדות האישום השלישי, </w:t>
      </w:r>
      <w:r>
        <w:rPr>
          <w:rFonts w:ascii="Arial" w:hAnsi="Arial"/>
          <w:rtl/>
        </w:rPr>
        <w:t>ביום 26.1.21</w:t>
      </w:r>
      <w:r>
        <w:rPr>
          <w:rFonts w:ascii="Arial" w:hAnsi="Arial"/>
          <w:b/>
          <w:bCs/>
          <w:rtl/>
        </w:rPr>
        <w:t xml:space="preserve"> </w:t>
      </w:r>
      <w:r>
        <w:rPr>
          <w:rFonts w:ascii="Arial" w:hAnsi="Arial"/>
          <w:rtl/>
        </w:rPr>
        <w:t>מסר לשמיל מישייב שהגיע לעסקו שקית שקופה קטנה ובה סם מסוג קנבוס תמורת 100 ₪. הסם הוצא משקית שחורה מתחת לדלפק המכירה ונמסר לרוכש אחר שפתח הנאשם את השקית והריחה בפניו.</w:t>
      </w:r>
    </w:p>
    <w:p w14:paraId="1467D16D" w14:textId="77777777" w:rsidR="007A6627" w:rsidRDefault="007A6627" w:rsidP="007A6627">
      <w:pPr>
        <w:pStyle w:val="a9"/>
        <w:spacing w:line="360" w:lineRule="auto"/>
        <w:jc w:val="both"/>
        <w:rPr>
          <w:rFonts w:ascii="Arial" w:hAnsi="Arial"/>
          <w:rtl/>
        </w:rPr>
      </w:pPr>
    </w:p>
    <w:p w14:paraId="6DDA0821" w14:textId="77777777" w:rsidR="007A6627" w:rsidRDefault="007A6627" w:rsidP="007A6627">
      <w:pPr>
        <w:pStyle w:val="a9"/>
        <w:spacing w:line="360" w:lineRule="auto"/>
        <w:jc w:val="both"/>
        <w:rPr>
          <w:rFonts w:ascii="Arial" w:hAnsi="Arial"/>
          <w:rtl/>
        </w:rPr>
      </w:pPr>
      <w:r>
        <w:rPr>
          <w:rFonts w:ascii="Arial" w:hAnsi="Arial"/>
          <w:b/>
          <w:bCs/>
          <w:rtl/>
        </w:rPr>
        <w:t xml:space="preserve">על פי עובדות האישום הרביעי, </w:t>
      </w:r>
      <w:r>
        <w:rPr>
          <w:rFonts w:ascii="Arial" w:hAnsi="Arial"/>
          <w:rtl/>
        </w:rPr>
        <w:t xml:space="preserve">ביום 25.1.21, מסר לולדימר חייט אשר הגיע לעסקו שקית שקופה קטנה ובה סם מסוג קנבוס אשר הוצא משקית שחורה מתחת לדלפק המכירה ואשר תמורתו שילם ולדימר 100 ₪. </w:t>
      </w:r>
    </w:p>
    <w:p w14:paraId="6076C968" w14:textId="77777777" w:rsidR="007A6627" w:rsidRDefault="007A6627" w:rsidP="007A6627">
      <w:pPr>
        <w:pStyle w:val="a9"/>
        <w:spacing w:line="360" w:lineRule="auto"/>
        <w:jc w:val="both"/>
        <w:rPr>
          <w:rFonts w:ascii="Arial" w:hAnsi="Arial"/>
          <w:rtl/>
        </w:rPr>
      </w:pPr>
    </w:p>
    <w:p w14:paraId="48197884" w14:textId="77777777" w:rsidR="007A6627" w:rsidRDefault="007A6627" w:rsidP="007A6627">
      <w:pPr>
        <w:pStyle w:val="a9"/>
        <w:spacing w:line="360" w:lineRule="auto"/>
        <w:jc w:val="both"/>
        <w:rPr>
          <w:rFonts w:ascii="Arial" w:hAnsi="Arial"/>
          <w:rtl/>
        </w:rPr>
      </w:pPr>
      <w:r>
        <w:rPr>
          <w:rFonts w:ascii="Arial" w:hAnsi="Arial"/>
          <w:b/>
          <w:bCs/>
          <w:rtl/>
        </w:rPr>
        <w:t xml:space="preserve">על פי עובדות האישום החמישי, </w:t>
      </w:r>
      <w:r>
        <w:rPr>
          <w:rFonts w:ascii="Arial" w:hAnsi="Arial"/>
          <w:rtl/>
        </w:rPr>
        <w:t>ביום 28.12.20 ובשני מועדים נוספים מסר לאולגה בורדבצקי  סם מסוג קנבוס ותמורתו קיבל 100 ₪ עבור כל מכירה</w:t>
      </w:r>
      <w:r>
        <w:rPr>
          <w:rFonts w:ascii="Arial" w:hAnsi="Arial" w:hint="cs"/>
          <w:rtl/>
        </w:rPr>
        <w:t>,</w:t>
      </w:r>
      <w:r>
        <w:rPr>
          <w:rFonts w:ascii="Arial" w:hAnsi="Arial"/>
          <w:rtl/>
        </w:rPr>
        <w:t xml:space="preserve"> שקית שקופה קטנה ובה סם מסוג קנבוס אשר הוצא משקית שחורה מתחת לדלפק המכירה ואשר תמורתו שילם ולדימר 100 ₪. </w:t>
      </w:r>
    </w:p>
    <w:p w14:paraId="143142B6" w14:textId="77777777" w:rsidR="007A6627" w:rsidRDefault="007A6627" w:rsidP="007A6627">
      <w:pPr>
        <w:pStyle w:val="a9"/>
        <w:spacing w:line="360" w:lineRule="auto"/>
        <w:jc w:val="both"/>
        <w:rPr>
          <w:rFonts w:ascii="Arial" w:hAnsi="Arial"/>
          <w:b/>
          <w:bCs/>
          <w:rtl/>
        </w:rPr>
      </w:pPr>
    </w:p>
    <w:p w14:paraId="40D90307" w14:textId="77777777" w:rsidR="007A6627" w:rsidRDefault="007A6627" w:rsidP="007A6627">
      <w:pPr>
        <w:pStyle w:val="a9"/>
        <w:numPr>
          <w:ilvl w:val="0"/>
          <w:numId w:val="1"/>
        </w:numPr>
        <w:spacing w:line="360" w:lineRule="auto"/>
        <w:ind w:hanging="635"/>
        <w:jc w:val="both"/>
        <w:rPr>
          <w:rFonts w:ascii="Arial" w:hAnsi="Arial"/>
        </w:rPr>
      </w:pPr>
      <w:r>
        <w:rPr>
          <w:rFonts w:ascii="Arial" w:hAnsi="Arial"/>
          <w:rtl/>
        </w:rPr>
        <w:t xml:space="preserve">בעניינו של הנאשם נערכו שני תסקירים מטעם שירות המבחן. </w:t>
      </w:r>
    </w:p>
    <w:p w14:paraId="6056053F" w14:textId="77777777" w:rsidR="007A6627" w:rsidRDefault="007A6627" w:rsidP="007A6627">
      <w:pPr>
        <w:pStyle w:val="a9"/>
        <w:spacing w:line="360" w:lineRule="auto"/>
        <w:jc w:val="both"/>
        <w:rPr>
          <w:rFonts w:ascii="Arial" w:hAnsi="Arial"/>
        </w:rPr>
      </w:pPr>
      <w:r>
        <w:rPr>
          <w:rFonts w:ascii="Arial" w:hAnsi="Arial"/>
          <w:b/>
          <w:bCs/>
          <w:rtl/>
        </w:rPr>
        <w:t>בתסקירו הראשון</w:t>
      </w:r>
      <w:r>
        <w:rPr>
          <w:rFonts w:ascii="Arial" w:hAnsi="Arial"/>
          <w:rtl/>
        </w:rPr>
        <w:t xml:space="preserve"> מיום 19.12.21 עמד שירות המבחן על קורותיו של הנאשם ועל ביצוע העבירות </w:t>
      </w:r>
      <w:r>
        <w:rPr>
          <w:rFonts w:ascii="Arial" w:hAnsi="Arial" w:hint="cs"/>
          <w:rtl/>
        </w:rPr>
        <w:t>כאשר ב</w:t>
      </w:r>
      <w:r>
        <w:rPr>
          <w:rFonts w:ascii="Arial" w:hAnsi="Arial"/>
          <w:rtl/>
        </w:rPr>
        <w:t xml:space="preserve">רקע מצוקתו הכלכלית וקשריו השוליים בשל מעורבותו בהימורים בעבר. שירות המבחן התרשם, כי הנאשם מודע לבעייתיות בהתנהלותו ולהשלכות החמורות הנלוות שהובילו למעצרו והעריך כי הסיכון לחזרה על העבירות הנו בינוני- נמוך. שירות המבחן עמד בתסקירו על שילובו של הנאשם בקבוצה לעצורי בית ושיתוף הפעולה מצדו, על נטילת אחריות, הבעת חרטה וגילויי נכונות להמשך טיפול. שירות המבחן התרשם, כי בהעדר טיפול ממוקד בבעיית ההימורים, לא ניתן יהא לשלול הסיכון להישנות העבירות. </w:t>
      </w:r>
      <w:r>
        <w:rPr>
          <w:rFonts w:ascii="Arial" w:hAnsi="Arial"/>
          <w:rtl/>
        </w:rPr>
        <w:lastRenderedPageBreak/>
        <w:t xml:space="preserve">נתבקשה דחייה בת שלושה חודשים לצורך  עריכת הליך אבחון מעמיק במרכז לטיפול בהימורים.  </w:t>
      </w:r>
    </w:p>
    <w:p w14:paraId="5F143CB1" w14:textId="77777777" w:rsidR="007A6627" w:rsidRDefault="007A6627" w:rsidP="007A6627">
      <w:pPr>
        <w:pStyle w:val="a9"/>
        <w:spacing w:line="360" w:lineRule="auto"/>
        <w:jc w:val="both"/>
        <w:rPr>
          <w:rFonts w:ascii="Arial" w:hAnsi="Arial"/>
          <w:rtl/>
        </w:rPr>
      </w:pPr>
    </w:p>
    <w:p w14:paraId="26694757" w14:textId="77777777" w:rsidR="007A6627" w:rsidRDefault="007A6627" w:rsidP="007A6627">
      <w:pPr>
        <w:pStyle w:val="a9"/>
        <w:spacing w:line="360" w:lineRule="auto"/>
        <w:jc w:val="both"/>
        <w:rPr>
          <w:rFonts w:ascii="Arial" w:hAnsi="Arial"/>
        </w:rPr>
      </w:pPr>
      <w:r>
        <w:rPr>
          <w:rFonts w:ascii="Arial" w:hAnsi="Arial"/>
          <w:b/>
          <w:bCs/>
          <w:rtl/>
        </w:rPr>
        <w:t>בתסקירו המשלים</w:t>
      </w:r>
      <w:r>
        <w:rPr>
          <w:rFonts w:ascii="Arial" w:hAnsi="Arial"/>
          <w:rtl/>
        </w:rPr>
        <w:t xml:space="preserve"> מיום 3.4.22 צוין שילובו של הנאשם בהליך טיפולי במרכז גמילה מהימורים</w:t>
      </w:r>
      <w:r>
        <w:rPr>
          <w:rFonts w:ascii="Arial" w:hAnsi="Arial" w:hint="cs"/>
          <w:rtl/>
        </w:rPr>
        <w:t>, ניקיון</w:t>
      </w:r>
      <w:r>
        <w:rPr>
          <w:rFonts w:ascii="Arial" w:hAnsi="Arial"/>
          <w:rtl/>
        </w:rPr>
        <w:t xml:space="preserve"> בדיקת השתן שנערכה לנאשם. שירות המבחן התרשם ממאמציו של הנאשם לשקם את חייו בייחוד בהיבט הנפשי, הכלכלי ויחסיו עם ילדיו. שירות המבחן התרשם מבשלותו של הנאשם לערוך שינוי, מלקיחת אחריות מצדו, מהיות ההליך המשפטי גורם מרתיע עבורו ומנכונותו לערוך שינוי בחייו. שירות המבחן התרשם מסיכויי שיקום משמעותיים בעניינו של הנאשם והמליץ על העמדתו בצו מבחן ל12 חודשים תחת פיקוחו. זאת לצד הטלת מאסר לריצוי בעבודות שירות, לצד ענישה הרתעתית כדוגמת מאסר על תנאי והתחייבות. </w:t>
      </w:r>
    </w:p>
    <w:p w14:paraId="2FE2A3CE" w14:textId="77777777" w:rsidR="007A6627" w:rsidRDefault="007A6627" w:rsidP="007A6627">
      <w:pPr>
        <w:spacing w:line="360" w:lineRule="auto"/>
        <w:jc w:val="both"/>
        <w:rPr>
          <w:rFonts w:ascii="Arial" w:hAnsi="Arial"/>
          <w:rtl/>
        </w:rPr>
      </w:pPr>
    </w:p>
    <w:p w14:paraId="24B2EF74" w14:textId="77777777" w:rsidR="007A6627" w:rsidRDefault="007A6627" w:rsidP="007A6627">
      <w:pPr>
        <w:pStyle w:val="a9"/>
        <w:numPr>
          <w:ilvl w:val="0"/>
          <w:numId w:val="1"/>
        </w:numPr>
        <w:spacing w:line="360" w:lineRule="auto"/>
        <w:ind w:hanging="635"/>
        <w:jc w:val="both"/>
        <w:rPr>
          <w:rFonts w:ascii="Arial" w:hAnsi="Arial"/>
          <w:rtl/>
        </w:rPr>
      </w:pPr>
      <w:r>
        <w:rPr>
          <w:rFonts w:ascii="Arial" w:hAnsi="Arial"/>
          <w:rtl/>
        </w:rPr>
        <w:t xml:space="preserve">הצדדים טענו לעונש בפניי. במסגרת הראיות לעונש הגישה המאשימה תקליטורים </w:t>
      </w:r>
      <w:r>
        <w:rPr>
          <w:rFonts w:ascii="Arial" w:hAnsi="Arial"/>
          <w:b/>
          <w:bCs/>
          <w:rtl/>
        </w:rPr>
        <w:t>ת/1</w:t>
      </w:r>
      <w:r>
        <w:rPr>
          <w:rFonts w:ascii="Arial" w:hAnsi="Arial"/>
          <w:rtl/>
        </w:rPr>
        <w:t xml:space="preserve"> עד </w:t>
      </w:r>
      <w:r>
        <w:rPr>
          <w:rFonts w:ascii="Arial" w:hAnsi="Arial"/>
          <w:b/>
          <w:bCs/>
          <w:rtl/>
        </w:rPr>
        <w:t>ת/3</w:t>
      </w:r>
      <w:r>
        <w:rPr>
          <w:rFonts w:ascii="Arial" w:hAnsi="Arial"/>
          <w:rtl/>
        </w:rPr>
        <w:t xml:space="preserve"> לראיה בדבר היות בית העסק שקיים הנאשם כבית עסק לממכר מזון לכאורה</w:t>
      </w:r>
      <w:r>
        <w:rPr>
          <w:rFonts w:ascii="Arial" w:hAnsi="Arial" w:hint="cs"/>
          <w:rtl/>
        </w:rPr>
        <w:t xml:space="preserve"> ושמש לממכר הסם</w:t>
      </w:r>
      <w:r>
        <w:rPr>
          <w:rFonts w:ascii="Arial" w:hAnsi="Arial"/>
          <w:rtl/>
        </w:rPr>
        <w:t xml:space="preserve">. </w:t>
      </w:r>
    </w:p>
    <w:p w14:paraId="7F98F1E7" w14:textId="77777777" w:rsidR="007A6627" w:rsidRDefault="007A6627" w:rsidP="007A6627">
      <w:pPr>
        <w:spacing w:line="360" w:lineRule="auto"/>
        <w:ind w:left="85"/>
        <w:jc w:val="both"/>
        <w:rPr>
          <w:rFonts w:ascii="Arial" w:hAnsi="Arial"/>
        </w:rPr>
      </w:pPr>
    </w:p>
    <w:p w14:paraId="29853709" w14:textId="77777777" w:rsidR="007A6627" w:rsidRDefault="007A6627" w:rsidP="007A6627">
      <w:pPr>
        <w:spacing w:line="360" w:lineRule="auto"/>
        <w:ind w:left="720"/>
        <w:jc w:val="both"/>
        <w:rPr>
          <w:rFonts w:ascii="Arial" w:hAnsi="Arial"/>
          <w:u w:val="single"/>
          <w:rtl/>
        </w:rPr>
      </w:pPr>
      <w:r>
        <w:rPr>
          <w:rFonts w:ascii="Arial" w:hAnsi="Arial"/>
          <w:u w:val="single"/>
          <w:rtl/>
        </w:rPr>
        <w:t xml:space="preserve">הערכים המוגנים </w:t>
      </w:r>
    </w:p>
    <w:p w14:paraId="769D2185" w14:textId="77777777" w:rsidR="007A6627" w:rsidRDefault="007A6627" w:rsidP="007A6627">
      <w:pPr>
        <w:pStyle w:val="a9"/>
        <w:numPr>
          <w:ilvl w:val="0"/>
          <w:numId w:val="1"/>
        </w:numPr>
        <w:spacing w:line="360" w:lineRule="auto"/>
        <w:ind w:hanging="635"/>
        <w:jc w:val="both"/>
        <w:rPr>
          <w:rFonts w:ascii="Arial" w:hAnsi="Arial"/>
        </w:rPr>
      </w:pPr>
      <w:r w:rsidRPr="0037243B">
        <w:rPr>
          <w:rFonts w:ascii="Arial" w:hAnsi="Arial"/>
          <w:rtl/>
        </w:rPr>
        <w:t xml:space="preserve">מעשי הנאשם פוגעים בערכים המוגנים של הגנה על בטחון הציבור מפני התפשטות נגע הסמים ושמירה על בריאותו ושלומו של הציבור. </w:t>
      </w:r>
    </w:p>
    <w:p w14:paraId="051BCF93" w14:textId="77777777" w:rsidR="007A6627" w:rsidRPr="0037243B" w:rsidRDefault="007A6627" w:rsidP="007A6627">
      <w:pPr>
        <w:pStyle w:val="a9"/>
        <w:spacing w:line="360" w:lineRule="auto"/>
        <w:jc w:val="both"/>
        <w:rPr>
          <w:rFonts w:ascii="Arial" w:hAnsi="Arial"/>
        </w:rPr>
      </w:pPr>
    </w:p>
    <w:p w14:paraId="16F6EF61" w14:textId="77777777" w:rsidR="007A6627" w:rsidRDefault="007A6627" w:rsidP="007A6627">
      <w:pPr>
        <w:pStyle w:val="a9"/>
        <w:numPr>
          <w:ilvl w:val="0"/>
          <w:numId w:val="1"/>
        </w:numPr>
        <w:spacing w:line="360" w:lineRule="auto"/>
        <w:ind w:hanging="635"/>
        <w:jc w:val="both"/>
        <w:rPr>
          <w:rFonts w:ascii="Arial" w:hAnsi="Arial"/>
        </w:rPr>
      </w:pPr>
      <w:r>
        <w:rPr>
          <w:rFonts w:ascii="Arial" w:hAnsi="Arial"/>
          <w:rtl/>
        </w:rPr>
        <w:t>בתי המשפט עמדו על חומרת עבירות הסמים בפסיקות שונות [ולמשל ב</w:t>
      </w:r>
      <w:hyperlink r:id="rId29" w:history="1">
        <w:r w:rsidR="00C733AC" w:rsidRPr="00C733AC">
          <w:rPr>
            <w:rFonts w:ascii="Arial" w:hAnsi="Arial"/>
            <w:color w:val="0000FF"/>
            <w:u w:val="single"/>
            <w:rtl/>
          </w:rPr>
          <w:t>ע"פ 972/11</w:t>
        </w:r>
      </w:hyperlink>
      <w:r>
        <w:rPr>
          <w:rFonts w:ascii="Arial" w:hAnsi="Arial"/>
          <w:rtl/>
        </w:rPr>
        <w:t xml:space="preserve"> </w:t>
      </w:r>
      <w:r>
        <w:rPr>
          <w:rFonts w:ascii="Arial" w:hAnsi="Arial"/>
          <w:u w:val="single"/>
          <w:rtl/>
        </w:rPr>
        <w:t>מדינת ישראל נגד אמארה</w:t>
      </w:r>
      <w:r>
        <w:rPr>
          <w:rFonts w:ascii="Arial" w:hAnsi="Arial"/>
          <w:rtl/>
        </w:rPr>
        <w:t xml:space="preserve"> (פורסם בנבו); </w:t>
      </w:r>
      <w:hyperlink r:id="rId30" w:history="1">
        <w:r w:rsidR="00C733AC" w:rsidRPr="00C733AC">
          <w:rPr>
            <w:rFonts w:ascii="Arial" w:hAnsi="Arial"/>
            <w:color w:val="0000FF"/>
            <w:u w:val="single"/>
            <w:rtl/>
          </w:rPr>
          <w:t>ע"פ 3117/12</w:t>
        </w:r>
      </w:hyperlink>
      <w:r>
        <w:rPr>
          <w:rFonts w:ascii="Arial" w:hAnsi="Arial"/>
          <w:rtl/>
        </w:rPr>
        <w:t xml:space="preserve"> </w:t>
      </w:r>
      <w:r>
        <w:rPr>
          <w:rFonts w:ascii="Arial" w:hAnsi="Arial"/>
          <w:u w:val="single"/>
          <w:rtl/>
        </w:rPr>
        <w:t>ארביב נגד מדינת ישראל</w:t>
      </w:r>
      <w:r>
        <w:rPr>
          <w:rFonts w:ascii="Arial" w:hAnsi="Arial"/>
          <w:rtl/>
        </w:rPr>
        <w:t xml:space="preserve"> (פורסם בנבו). מגמת הפסיקה הנה, כי יש לשרש את התופעה אשר הפכה למכת מדינה, נוכח פוטנציאל הנזק הגלום בה (למשל בע"פ </w:t>
      </w:r>
      <w:hyperlink r:id="rId31" w:history="1">
        <w:r w:rsidR="00C82A05" w:rsidRPr="00C82A05">
          <w:rPr>
            <w:rFonts w:ascii="Arial" w:hAnsi="Arial"/>
            <w:color w:val="0000FF"/>
            <w:u w:val="single"/>
            <w:rtl/>
          </w:rPr>
          <w:t xml:space="preserve">14676-04-19 </w:t>
        </w:r>
      </w:hyperlink>
      <w:r>
        <w:rPr>
          <w:rFonts w:ascii="Arial" w:hAnsi="Arial"/>
          <w:rtl/>
        </w:rPr>
        <w:t xml:space="preserve"> </w:t>
      </w:r>
      <w:r>
        <w:rPr>
          <w:rFonts w:ascii="Arial" w:hAnsi="Arial"/>
          <w:u w:val="single"/>
          <w:rtl/>
        </w:rPr>
        <w:t xml:space="preserve">פרקליטות מחוז מרכז- פלילי נגד דוד אלקיים </w:t>
      </w:r>
      <w:r>
        <w:rPr>
          <w:rFonts w:ascii="Arial" w:hAnsi="Arial"/>
          <w:rtl/>
        </w:rPr>
        <w:t>(פורסם בנבו, ניתן ב 24.9.19) חומרה מיוחדת נודעה לעבירת הסחר בסמים בהיותה חלק בלתי נפרד מנפיצותו ותפוצתו של הסם בהיקפים נרחבים.</w:t>
      </w:r>
    </w:p>
    <w:p w14:paraId="1A4A1FD4" w14:textId="77777777" w:rsidR="007A6627" w:rsidRDefault="007A6627" w:rsidP="007A6627">
      <w:pPr>
        <w:pStyle w:val="a9"/>
        <w:spacing w:line="360" w:lineRule="auto"/>
        <w:jc w:val="both"/>
        <w:rPr>
          <w:rFonts w:ascii="Arial" w:hAnsi="Arial"/>
        </w:rPr>
      </w:pPr>
    </w:p>
    <w:p w14:paraId="28B3B559" w14:textId="77777777" w:rsidR="007A6627" w:rsidRDefault="007A6627" w:rsidP="007A6627">
      <w:pPr>
        <w:pStyle w:val="a9"/>
        <w:numPr>
          <w:ilvl w:val="0"/>
          <w:numId w:val="1"/>
        </w:numPr>
        <w:spacing w:line="360" w:lineRule="auto"/>
        <w:ind w:hanging="635"/>
        <w:jc w:val="both"/>
        <w:rPr>
          <w:rFonts w:ascii="Arial" w:hAnsi="Arial"/>
        </w:rPr>
      </w:pPr>
      <w:r>
        <w:rPr>
          <w:rFonts w:ascii="Arial" w:hAnsi="Arial"/>
          <w:rtl/>
        </w:rPr>
        <w:t xml:space="preserve">כן פוגעים מעשי הנאשם בערכים המוגנים של חובת ההגנה על שלום הציבור המתחייבת ממערך פיקוח הולם על ניהול עסקים, שמירה על בריאות הציבור, מניעת מפגעים ומטרדים. ניהול עסק בלא רישיון ובלא פיקוח, אף פוגע בערכי השוויון והתחרות בשוק החופשי. </w:t>
      </w:r>
    </w:p>
    <w:p w14:paraId="1140ED0E" w14:textId="77777777" w:rsidR="007A6627" w:rsidRDefault="007A6627" w:rsidP="007A6627">
      <w:pPr>
        <w:pStyle w:val="a9"/>
        <w:spacing w:line="360" w:lineRule="auto"/>
        <w:jc w:val="both"/>
        <w:rPr>
          <w:rFonts w:ascii="Arial" w:hAnsi="Arial"/>
        </w:rPr>
      </w:pPr>
    </w:p>
    <w:p w14:paraId="02D2DDC6" w14:textId="77777777" w:rsidR="007A6627" w:rsidRDefault="007A6627" w:rsidP="007A6627">
      <w:pPr>
        <w:pStyle w:val="a9"/>
        <w:spacing w:line="360" w:lineRule="auto"/>
        <w:jc w:val="both"/>
        <w:rPr>
          <w:rFonts w:ascii="Arial" w:hAnsi="Arial"/>
          <w:u w:val="single"/>
        </w:rPr>
      </w:pPr>
      <w:r>
        <w:rPr>
          <w:rFonts w:ascii="Arial" w:hAnsi="Arial"/>
          <w:u w:val="single"/>
          <w:rtl/>
        </w:rPr>
        <w:t>מתחם העונש ההולם</w:t>
      </w:r>
    </w:p>
    <w:p w14:paraId="6E92A46F" w14:textId="77777777" w:rsidR="007A6627" w:rsidRDefault="007A6627" w:rsidP="007A6627">
      <w:pPr>
        <w:pStyle w:val="a9"/>
        <w:numPr>
          <w:ilvl w:val="0"/>
          <w:numId w:val="1"/>
        </w:numPr>
        <w:spacing w:line="360" w:lineRule="auto"/>
        <w:ind w:hanging="635"/>
        <w:jc w:val="both"/>
        <w:rPr>
          <w:rFonts w:ascii="Arial" w:hAnsi="Arial"/>
        </w:rPr>
      </w:pPr>
      <w:r>
        <w:rPr>
          <w:rFonts w:ascii="Arial" w:hAnsi="Arial"/>
          <w:rtl/>
        </w:rPr>
        <w:t>חומרת מעשי העבירות נלמדת מעצם הצטרפותן זו לזו, העובדה כי בית עסקו של הנאשם שימש בין היתר, לממכר סמים בכסות של בית עסק מסוג מרכול ומכירת משקאות משכרים. עובדות כתב האישום מלמדות על כי חלק מהלקוחות הגיעו לבית העסק במטרה לרכוש סם בלבד ולמעשה ניתן להסיק על ידיעתם בדבר מכירת סמים בעסק, מבעוד מועד. מעשי הנאשם מלמדים על כך כי תרומתו להרחבת מעגל הסמים.</w:t>
      </w:r>
    </w:p>
    <w:p w14:paraId="0ABB1650" w14:textId="77777777" w:rsidR="007A6627" w:rsidRPr="0037243B" w:rsidRDefault="007A6627" w:rsidP="007A6627">
      <w:pPr>
        <w:pStyle w:val="a9"/>
        <w:spacing w:line="360" w:lineRule="auto"/>
        <w:jc w:val="both"/>
        <w:rPr>
          <w:rFonts w:ascii="Arial" w:hAnsi="Arial"/>
        </w:rPr>
      </w:pPr>
    </w:p>
    <w:p w14:paraId="4653B954" w14:textId="77777777" w:rsidR="007A6627" w:rsidRDefault="007A6627" w:rsidP="007A6627">
      <w:pPr>
        <w:pStyle w:val="a9"/>
        <w:numPr>
          <w:ilvl w:val="0"/>
          <w:numId w:val="1"/>
        </w:numPr>
        <w:spacing w:line="360" w:lineRule="auto"/>
        <w:ind w:hanging="635"/>
        <w:jc w:val="both"/>
        <w:rPr>
          <w:rFonts w:ascii="Arial" w:hAnsi="Arial"/>
        </w:rPr>
      </w:pPr>
      <w:r>
        <w:rPr>
          <w:rFonts w:ascii="Arial" w:hAnsi="Arial"/>
          <w:rtl/>
        </w:rPr>
        <w:t xml:space="preserve">יש לקבוע, כי למעשי הנאשם קדם תכנון. בפרט יש לקבוע, כי לניהול עסקי הסמים האסורים, בבית העסק של הנאשם, קדם תכנון מדוקדק לפרטים. הנאשם החזיק בסמים בשקיות מחולקות, משקל דיגיטלי ושקיות שקופות קטנות המיועדות לחלוקת סמים נוספים שהוחזקו אצל הנאשם. חלק מהסמים הוחזקו תחת דלפק המכירה וחלקם בתוך שתי שקיות שחורות בקרטון, באופן שניתן להיווכח בדבר הצפנתם, שקילת הסמים והיות השקיות ערוכות לסחר, כפי שאף הוכח בפועל. </w:t>
      </w:r>
    </w:p>
    <w:p w14:paraId="14F9A32F" w14:textId="77777777" w:rsidR="007A6627" w:rsidRDefault="007A6627" w:rsidP="007A6627">
      <w:pPr>
        <w:pStyle w:val="a9"/>
        <w:spacing w:line="360" w:lineRule="auto"/>
        <w:jc w:val="both"/>
        <w:rPr>
          <w:rFonts w:ascii="Arial" w:hAnsi="Arial"/>
        </w:rPr>
      </w:pPr>
    </w:p>
    <w:p w14:paraId="47F6097B" w14:textId="77777777" w:rsidR="007A6627" w:rsidRDefault="007A6627" w:rsidP="007A6627">
      <w:pPr>
        <w:pStyle w:val="a9"/>
        <w:numPr>
          <w:ilvl w:val="0"/>
          <w:numId w:val="1"/>
        </w:numPr>
        <w:spacing w:line="360" w:lineRule="auto"/>
        <w:ind w:hanging="635"/>
        <w:jc w:val="both"/>
        <w:rPr>
          <w:rFonts w:ascii="Arial" w:hAnsi="Arial"/>
        </w:rPr>
      </w:pPr>
      <w:r>
        <w:rPr>
          <w:rFonts w:ascii="Arial" w:hAnsi="Arial"/>
          <w:rtl/>
        </w:rPr>
        <w:t>סוג הסם בו סחר הנאשם, קנבוס אינו נמנה על הסמים ה</w:t>
      </w:r>
      <w:r>
        <w:rPr>
          <w:rFonts w:ascii="Arial" w:hAnsi="Arial" w:hint="cs"/>
          <w:rtl/>
        </w:rPr>
        <w:t>נחשבים כקשים יותר</w:t>
      </w:r>
      <w:r>
        <w:rPr>
          <w:rFonts w:ascii="Arial" w:hAnsi="Arial"/>
          <w:rtl/>
        </w:rPr>
        <w:t xml:space="preserve">, אך אין להקל ראש בכמות הסם שנתפסה אצל הנאשם במשקל כולל של 130.3254 גרם נטו והעובדה, כי נמכרו בבית עסק.  </w:t>
      </w:r>
    </w:p>
    <w:p w14:paraId="44D6917E" w14:textId="77777777" w:rsidR="007A6627" w:rsidRDefault="007A6627" w:rsidP="007A6627">
      <w:pPr>
        <w:pStyle w:val="a9"/>
        <w:spacing w:line="360" w:lineRule="auto"/>
        <w:jc w:val="both"/>
        <w:rPr>
          <w:rFonts w:ascii="Arial" w:hAnsi="Arial"/>
        </w:rPr>
      </w:pPr>
    </w:p>
    <w:p w14:paraId="7698787F" w14:textId="77777777" w:rsidR="007A6627" w:rsidRDefault="007A6627" w:rsidP="007A6627">
      <w:pPr>
        <w:pStyle w:val="a9"/>
        <w:numPr>
          <w:ilvl w:val="0"/>
          <w:numId w:val="1"/>
        </w:numPr>
        <w:spacing w:line="360" w:lineRule="auto"/>
        <w:ind w:hanging="635"/>
        <w:jc w:val="both"/>
        <w:rPr>
          <w:rFonts w:ascii="Arial" w:hAnsi="Arial"/>
        </w:rPr>
      </w:pPr>
      <w:r>
        <w:rPr>
          <w:rFonts w:ascii="Arial" w:hAnsi="Arial"/>
          <w:rtl/>
        </w:rPr>
        <w:t xml:space="preserve">נסיבות ביצוע העבירות הנן </w:t>
      </w:r>
      <w:r>
        <w:rPr>
          <w:rFonts w:ascii="Arial" w:hAnsi="Arial" w:hint="cs"/>
          <w:rtl/>
        </w:rPr>
        <w:t xml:space="preserve">כעולה מן התסקירים, </w:t>
      </w:r>
      <w:r>
        <w:rPr>
          <w:rFonts w:ascii="Arial" w:hAnsi="Arial"/>
          <w:rtl/>
        </w:rPr>
        <w:t xml:space="preserve">מצוקתו הכלכלית של הנאשם </w:t>
      </w:r>
      <w:r>
        <w:rPr>
          <w:rFonts w:ascii="Arial" w:hAnsi="Arial" w:hint="cs"/>
          <w:rtl/>
        </w:rPr>
        <w:t>ו</w:t>
      </w:r>
      <w:r>
        <w:rPr>
          <w:rFonts w:ascii="Arial" w:hAnsi="Arial"/>
          <w:rtl/>
        </w:rPr>
        <w:t xml:space="preserve">קשריו </w:t>
      </w:r>
      <w:r>
        <w:rPr>
          <w:rFonts w:ascii="Arial" w:hAnsi="Arial" w:hint="cs"/>
          <w:rtl/>
        </w:rPr>
        <w:t>של הנאשם עם אנשי שוליים.</w:t>
      </w:r>
      <w:r>
        <w:rPr>
          <w:rFonts w:ascii="Arial" w:hAnsi="Arial"/>
          <w:rtl/>
        </w:rPr>
        <w:t xml:space="preserve"> אין לאמוד את הנזקים אשר היו צפויים בעקבות מעשי הנאשם, עבירות הסמים והרחבת מעגלי הפשיעה, זאת נוסף לסיכונים הכרוכים בניהולו של עסק לממכר מזון ללא רישוי, החשש לאי עמידה בתקנים וגרימת סיכון לבריאות הציבור.</w:t>
      </w:r>
    </w:p>
    <w:p w14:paraId="5253854A" w14:textId="77777777" w:rsidR="007A6627" w:rsidRDefault="007A6627" w:rsidP="007A6627">
      <w:pPr>
        <w:pStyle w:val="a9"/>
        <w:spacing w:line="360" w:lineRule="auto"/>
        <w:jc w:val="both"/>
        <w:rPr>
          <w:rFonts w:ascii="Arial" w:hAnsi="Arial"/>
        </w:rPr>
      </w:pPr>
      <w:r>
        <w:rPr>
          <w:rFonts w:ascii="Arial" w:hAnsi="Arial"/>
        </w:rPr>
        <w:t xml:space="preserve"> </w:t>
      </w:r>
    </w:p>
    <w:p w14:paraId="692D4A1D" w14:textId="77777777" w:rsidR="007A6627" w:rsidRDefault="007A6627" w:rsidP="007A6627">
      <w:pPr>
        <w:pStyle w:val="a9"/>
        <w:numPr>
          <w:ilvl w:val="0"/>
          <w:numId w:val="1"/>
        </w:numPr>
        <w:spacing w:line="360" w:lineRule="auto"/>
        <w:ind w:hanging="635"/>
        <w:jc w:val="both"/>
        <w:rPr>
          <w:rFonts w:ascii="Arial" w:hAnsi="Arial"/>
        </w:rPr>
      </w:pPr>
      <w:r>
        <w:rPr>
          <w:rFonts w:ascii="Arial" w:hAnsi="Arial"/>
          <w:rtl/>
        </w:rPr>
        <w:t xml:space="preserve">המאשימה עותרת למתחם עונש הולם כולל בגין מכלול מעשי העבירה הנע בין 10-24 חודשי מאסר בפועל. לעניין מדיניות הענישה הנוהגת בעבירות סחר בסמים, מפנה המאשימה לפסיקה: </w:t>
      </w:r>
    </w:p>
    <w:p w14:paraId="09811966" w14:textId="77777777" w:rsidR="007A6627" w:rsidRDefault="007A6627" w:rsidP="007A6627">
      <w:pPr>
        <w:pStyle w:val="a9"/>
        <w:spacing w:line="360" w:lineRule="auto"/>
        <w:jc w:val="both"/>
        <w:rPr>
          <w:rFonts w:ascii="Arial" w:hAnsi="Arial"/>
        </w:rPr>
      </w:pPr>
      <w:r>
        <w:rPr>
          <w:rFonts w:ascii="Arial" w:hAnsi="Arial"/>
          <w:rtl/>
        </w:rPr>
        <w:t xml:space="preserve">עפ"ג </w:t>
      </w:r>
      <w:hyperlink r:id="rId32" w:history="1">
        <w:r w:rsidR="00C82A05" w:rsidRPr="00C82A05">
          <w:rPr>
            <w:rFonts w:ascii="Arial" w:hAnsi="Arial"/>
            <w:color w:val="0000FF"/>
            <w:u w:val="single"/>
            <w:rtl/>
          </w:rPr>
          <w:t xml:space="preserve">5698/17 </w:t>
        </w:r>
      </w:hyperlink>
      <w:r>
        <w:rPr>
          <w:rFonts w:ascii="Arial" w:hAnsi="Arial"/>
          <w:rtl/>
        </w:rPr>
        <w:t xml:space="preserve"> </w:t>
      </w:r>
      <w:r>
        <w:rPr>
          <w:rFonts w:ascii="Arial" w:hAnsi="Arial"/>
          <w:u w:val="single"/>
          <w:rtl/>
        </w:rPr>
        <w:t>ליפצר</w:t>
      </w:r>
      <w:r>
        <w:rPr>
          <w:rFonts w:ascii="Arial" w:hAnsi="Arial"/>
          <w:rtl/>
        </w:rPr>
        <w:t xml:space="preserve"> נ. </w:t>
      </w:r>
      <w:r>
        <w:rPr>
          <w:rFonts w:ascii="Arial" w:hAnsi="Arial"/>
          <w:u w:val="single"/>
          <w:rtl/>
        </w:rPr>
        <w:t>מדינת ישראל</w:t>
      </w:r>
      <w:r>
        <w:rPr>
          <w:rFonts w:ascii="Arial" w:hAnsi="Arial"/>
          <w:rtl/>
        </w:rPr>
        <w:t xml:space="preserve"> (פורסם בנבו, ניתן ביום 4.9.17) נדחתה בר"ע של נאשם אשר הורשע ב15 אישומים</w:t>
      </w:r>
      <w:r>
        <w:rPr>
          <w:rFonts w:ascii="Arial" w:hAnsi="Arial"/>
        </w:rPr>
        <w:t xml:space="preserve"> </w:t>
      </w:r>
      <w:r>
        <w:rPr>
          <w:rFonts w:ascii="Arial" w:hAnsi="Arial"/>
          <w:rtl/>
        </w:rPr>
        <w:t xml:space="preserve">של סחר בסם מסוג קנביס ל8 קונים, הוכרז כ"סוחר סמים" ונדון ל30 חודשי מאסר בפועל. נקבע מתחם עונש הולם הנע בין 6-12 חודשי מאסר לכל קונה. סה"כ הושתו על הנאשם 30 חודשי מאסר בפועל. ערעור ובר"ע נדחו. </w:t>
      </w:r>
    </w:p>
    <w:p w14:paraId="38B80FE2" w14:textId="77777777" w:rsidR="007A6627" w:rsidRDefault="007A6627" w:rsidP="007A6627">
      <w:pPr>
        <w:pStyle w:val="a9"/>
        <w:spacing w:line="360" w:lineRule="auto"/>
        <w:jc w:val="both"/>
        <w:rPr>
          <w:rFonts w:ascii="Arial" w:hAnsi="Arial"/>
          <w:rtl/>
        </w:rPr>
      </w:pPr>
    </w:p>
    <w:p w14:paraId="084622ED" w14:textId="77777777" w:rsidR="007A6627" w:rsidRDefault="00C733AC" w:rsidP="007A6627">
      <w:pPr>
        <w:pStyle w:val="a9"/>
        <w:spacing w:line="360" w:lineRule="auto"/>
        <w:jc w:val="both"/>
        <w:rPr>
          <w:rFonts w:ascii="Arial" w:hAnsi="Arial"/>
          <w:rtl/>
        </w:rPr>
      </w:pPr>
      <w:hyperlink r:id="rId33" w:history="1">
        <w:r w:rsidRPr="00C733AC">
          <w:rPr>
            <w:rFonts w:ascii="Arial" w:hAnsi="Arial"/>
            <w:color w:val="0000FF"/>
            <w:u w:val="single"/>
            <w:rtl/>
          </w:rPr>
          <w:t>רע"פ 6087/16</w:t>
        </w:r>
      </w:hyperlink>
      <w:r w:rsidR="007A6627">
        <w:rPr>
          <w:rFonts w:ascii="Arial" w:hAnsi="Arial"/>
          <w:rtl/>
        </w:rPr>
        <w:t xml:space="preserve"> </w:t>
      </w:r>
      <w:r w:rsidR="007A6627">
        <w:rPr>
          <w:rFonts w:ascii="Arial" w:hAnsi="Arial"/>
          <w:u w:val="single"/>
          <w:rtl/>
        </w:rPr>
        <w:t>אבו דיאב</w:t>
      </w:r>
      <w:r w:rsidR="007A6627">
        <w:rPr>
          <w:rFonts w:ascii="Arial" w:hAnsi="Arial"/>
          <w:rtl/>
        </w:rPr>
        <w:t xml:space="preserve"> נ. </w:t>
      </w:r>
      <w:r w:rsidR="007A6627">
        <w:rPr>
          <w:rFonts w:ascii="Arial" w:hAnsi="Arial"/>
          <w:u w:val="single"/>
          <w:rtl/>
        </w:rPr>
        <w:t>מדינת ישראל</w:t>
      </w:r>
      <w:r w:rsidR="007A6627">
        <w:rPr>
          <w:rFonts w:ascii="Arial" w:hAnsi="Arial"/>
          <w:rtl/>
        </w:rPr>
        <w:t xml:space="preserve"> (פורסם בנבו, ניתן ביום 11.8.16) בגין 3 עסקאות של סחר בסם מסוג חשיש נקבע מתחם כולל הנע בין 27-40 חודשי מאסר בפועל. בערעור הפחית בית המשפט המחוזי את עונשו של המבקש והעמידו על 24 חודשים. בר"ע נדחתה.</w:t>
      </w:r>
    </w:p>
    <w:p w14:paraId="05B69F10" w14:textId="77777777" w:rsidR="007A6627" w:rsidRDefault="007A6627" w:rsidP="007A6627">
      <w:pPr>
        <w:pStyle w:val="a9"/>
        <w:spacing w:line="360" w:lineRule="auto"/>
        <w:jc w:val="both"/>
        <w:rPr>
          <w:rFonts w:ascii="Arial" w:hAnsi="Arial"/>
          <w:rtl/>
        </w:rPr>
      </w:pPr>
    </w:p>
    <w:p w14:paraId="4A00EECC" w14:textId="77777777" w:rsidR="007A6627" w:rsidRDefault="00C733AC" w:rsidP="007A6627">
      <w:pPr>
        <w:pStyle w:val="a9"/>
        <w:spacing w:line="360" w:lineRule="auto"/>
        <w:jc w:val="both"/>
        <w:rPr>
          <w:rFonts w:ascii="Arial" w:hAnsi="Arial"/>
          <w:rtl/>
        </w:rPr>
      </w:pPr>
      <w:hyperlink r:id="rId34" w:history="1">
        <w:r w:rsidRPr="00C733AC">
          <w:rPr>
            <w:rFonts w:ascii="Arial" w:hAnsi="Arial"/>
            <w:color w:val="0000FF"/>
            <w:u w:val="single"/>
            <w:rtl/>
          </w:rPr>
          <w:t>עפ"ג 58296-05-19</w:t>
        </w:r>
      </w:hyperlink>
      <w:r w:rsidR="007A6627">
        <w:rPr>
          <w:rFonts w:ascii="Arial" w:hAnsi="Arial"/>
          <w:rtl/>
        </w:rPr>
        <w:t xml:space="preserve"> </w:t>
      </w:r>
      <w:r w:rsidR="007A6627">
        <w:rPr>
          <w:rFonts w:ascii="Arial" w:hAnsi="Arial"/>
          <w:u w:val="single"/>
          <w:rtl/>
        </w:rPr>
        <w:t>אלהואשלה</w:t>
      </w:r>
      <w:r w:rsidR="007A6627">
        <w:rPr>
          <w:rFonts w:ascii="Arial" w:hAnsi="Arial"/>
          <w:rtl/>
        </w:rPr>
        <w:t xml:space="preserve"> נ.</w:t>
      </w:r>
      <w:r w:rsidR="007A6627">
        <w:rPr>
          <w:rFonts w:ascii="Arial" w:hAnsi="Arial"/>
          <w:u w:val="single"/>
          <w:rtl/>
        </w:rPr>
        <w:t xml:space="preserve"> מדינת ישראל</w:t>
      </w:r>
      <w:r w:rsidR="007A6627">
        <w:rPr>
          <w:rFonts w:ascii="Arial" w:hAnsi="Arial"/>
          <w:rtl/>
        </w:rPr>
        <w:t xml:space="preserve"> (פורסם בנבו, מיום 10.7.19) סחר בסם קנביס במשקל של 7.3 ג' בפסטיבל בנגב לשוטר סמוי תמורת 300 ש"ח. נקבע מתחם בין 7-18 חודשי מאסר בפועל למקרה בודד. ערעור נדחה. בהתחשב בגילו הצעיר, עברו הנקי, התמדתו בעבודה והודאתו נדון ל9 חודשי מאסר בעבודות שירות לצד ענישה נלווית. בית משפט המחוזי הפחית מעט את עונשו ל7 חודשי מאסר בעבודות שירות. </w:t>
      </w:r>
    </w:p>
    <w:p w14:paraId="20D5D49D" w14:textId="77777777" w:rsidR="007A6627" w:rsidRDefault="007A6627" w:rsidP="007A6627">
      <w:pPr>
        <w:pStyle w:val="a9"/>
        <w:spacing w:line="360" w:lineRule="auto"/>
        <w:jc w:val="both"/>
        <w:rPr>
          <w:rFonts w:ascii="Arial" w:hAnsi="Arial"/>
        </w:rPr>
      </w:pPr>
    </w:p>
    <w:p w14:paraId="464A4FF8" w14:textId="77777777" w:rsidR="007A6627" w:rsidRDefault="007A6627" w:rsidP="007A6627">
      <w:pPr>
        <w:pStyle w:val="a9"/>
        <w:numPr>
          <w:ilvl w:val="0"/>
          <w:numId w:val="1"/>
        </w:numPr>
        <w:spacing w:line="360" w:lineRule="auto"/>
        <w:ind w:hanging="635"/>
        <w:jc w:val="both"/>
        <w:rPr>
          <w:rFonts w:ascii="Arial" w:hAnsi="Arial"/>
        </w:rPr>
      </w:pPr>
      <w:r>
        <w:rPr>
          <w:rFonts w:ascii="Arial" w:hAnsi="Arial"/>
          <w:rtl/>
        </w:rPr>
        <w:t>לעניין מדיניות הענישה הנוהגת בעבירת ניהול עסק ללא רישיון עסק טוענת המאשימה לענישה בדמות מאסר מותנה, התחייבות כספי וקנס כספי הנע בין אלפי שקלים לעשרות אלפי שקלים.</w:t>
      </w:r>
    </w:p>
    <w:p w14:paraId="2BEABB21" w14:textId="77777777" w:rsidR="007A6627" w:rsidRDefault="007A6627" w:rsidP="007A6627">
      <w:pPr>
        <w:pStyle w:val="a9"/>
        <w:spacing w:line="360" w:lineRule="auto"/>
        <w:jc w:val="both"/>
        <w:rPr>
          <w:rFonts w:ascii="Arial" w:hAnsi="Arial"/>
        </w:rPr>
      </w:pPr>
    </w:p>
    <w:p w14:paraId="6719B940" w14:textId="77777777" w:rsidR="007A6627" w:rsidRDefault="007A6627" w:rsidP="007A6627">
      <w:pPr>
        <w:pStyle w:val="a9"/>
        <w:numPr>
          <w:ilvl w:val="0"/>
          <w:numId w:val="1"/>
        </w:numPr>
        <w:spacing w:line="360" w:lineRule="auto"/>
        <w:ind w:hanging="635"/>
        <w:jc w:val="both"/>
        <w:rPr>
          <w:rFonts w:ascii="Arial" w:hAnsi="Arial"/>
        </w:rPr>
      </w:pPr>
      <w:r>
        <w:rPr>
          <w:rFonts w:ascii="Arial" w:hAnsi="Arial"/>
          <w:rtl/>
        </w:rPr>
        <w:t>הסנגור עותר לקביעת מתחם עונש כולל למכלול מעשי העבירה ובעניינו של הנאשם לאמץ את המלצות שירות המבחן ולעניין זה מפנה לפסיקה.</w:t>
      </w:r>
    </w:p>
    <w:p w14:paraId="60E4CB67" w14:textId="77777777" w:rsidR="007A6627" w:rsidRDefault="007A6627" w:rsidP="007A6627">
      <w:pPr>
        <w:pStyle w:val="a9"/>
        <w:spacing w:line="360" w:lineRule="auto"/>
        <w:jc w:val="both"/>
        <w:rPr>
          <w:rFonts w:ascii="Arial" w:hAnsi="Arial"/>
        </w:rPr>
      </w:pPr>
    </w:p>
    <w:p w14:paraId="445C11A0" w14:textId="77777777" w:rsidR="007A6627" w:rsidRDefault="00276F26" w:rsidP="007A6627">
      <w:pPr>
        <w:pStyle w:val="a9"/>
        <w:numPr>
          <w:ilvl w:val="0"/>
          <w:numId w:val="1"/>
        </w:numPr>
        <w:spacing w:line="360" w:lineRule="auto"/>
        <w:ind w:hanging="635"/>
        <w:jc w:val="both"/>
        <w:rPr>
          <w:rFonts w:ascii="Arial" w:hAnsi="Arial"/>
        </w:rPr>
      </w:pPr>
      <w:hyperlink r:id="rId35" w:history="1">
        <w:r w:rsidRPr="00276F26">
          <w:rPr>
            <w:rStyle w:val="Hyperlink"/>
            <w:rFonts w:ascii="Arial" w:hAnsi="Arial"/>
            <w:rtl/>
          </w:rPr>
          <w:t>סעיף 14(א)</w:t>
        </w:r>
      </w:hyperlink>
      <w:r w:rsidR="007A6627">
        <w:rPr>
          <w:rFonts w:ascii="Arial" w:hAnsi="Arial"/>
          <w:rtl/>
        </w:rPr>
        <w:t xml:space="preserve"> ל</w:t>
      </w:r>
      <w:hyperlink r:id="rId36" w:history="1">
        <w:r w:rsidR="00C733AC" w:rsidRPr="00C733AC">
          <w:rPr>
            <w:rFonts w:ascii="Arial" w:hAnsi="Arial"/>
            <w:color w:val="0000FF"/>
            <w:u w:val="single"/>
            <w:rtl/>
          </w:rPr>
          <w:t>חוק רישוי עסקים</w:t>
        </w:r>
      </w:hyperlink>
      <w:r w:rsidR="007A6627">
        <w:rPr>
          <w:rFonts w:ascii="Arial" w:hAnsi="Arial"/>
          <w:rtl/>
        </w:rPr>
        <w:t xml:space="preserve">, בו הורשע הנאשם, מורה כדלקמן; </w:t>
      </w:r>
    </w:p>
    <w:p w14:paraId="1B1CED7C" w14:textId="77777777" w:rsidR="007A6627" w:rsidRDefault="007A6627" w:rsidP="007A6627">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936" w:right="1134"/>
        <w:jc w:val="both"/>
        <w:rPr>
          <w:rFonts w:ascii="David" w:hAnsi="David"/>
          <w:b/>
          <w:bCs/>
          <w:lang w:eastAsia="he-IL"/>
        </w:rPr>
      </w:pPr>
      <w:r>
        <w:rPr>
          <w:rFonts w:ascii="David" w:hAnsi="David"/>
          <w:b/>
          <w:bCs/>
          <w:rtl/>
          <w:lang w:eastAsia="he-IL"/>
        </w:rPr>
        <w:t>14.</w:t>
      </w:r>
      <w:r>
        <w:rPr>
          <w:rFonts w:ascii="David" w:hAnsi="David"/>
          <w:b/>
          <w:bCs/>
          <w:rtl/>
          <w:lang w:eastAsia="he-IL"/>
        </w:rPr>
        <w:tab/>
        <w:t>(א)</w:t>
      </w:r>
      <w:r>
        <w:rPr>
          <w:rFonts w:ascii="David" w:hAnsi="David"/>
          <w:b/>
          <w:bCs/>
          <w:rtl/>
          <w:lang w:eastAsia="he-IL"/>
        </w:rPr>
        <w:tab/>
        <w:t>העושה אחד מאלה, דינו – מאסר 18 חודשים או קנס כאמור בסעיף 61(א)(4) ל</w:t>
      </w:r>
      <w:hyperlink r:id="rId37" w:history="1">
        <w:r w:rsidR="00C733AC" w:rsidRPr="00C733AC">
          <w:rPr>
            <w:rFonts w:ascii="David" w:hAnsi="David"/>
            <w:b/>
            <w:bCs/>
            <w:color w:val="0000FF"/>
            <w:u w:val="single"/>
            <w:rtl/>
            <w:lang w:eastAsia="he-IL"/>
          </w:rPr>
          <w:t>חוק העונשין</w:t>
        </w:r>
      </w:hyperlink>
      <w:r>
        <w:rPr>
          <w:rFonts w:ascii="David" w:hAnsi="David"/>
          <w:b/>
          <w:bCs/>
          <w:rtl/>
          <w:lang w:eastAsia="he-IL"/>
        </w:rPr>
        <w:t>, התשל"ז-1977 (בחוק זה – חוק העונשין), ואם הוא תאגיד, דינו – כפל הקנס האמור:</w:t>
      </w:r>
    </w:p>
    <w:p w14:paraId="3FCF7707" w14:textId="77777777" w:rsidR="007A6627" w:rsidRDefault="007A6627" w:rsidP="007A6627">
      <w:pPr>
        <w:widowControl w:val="0"/>
        <w:tabs>
          <w:tab w:val="left" w:pos="1474"/>
          <w:tab w:val="left" w:pos="1928"/>
          <w:tab w:val="left" w:pos="2381"/>
          <w:tab w:val="left" w:pos="2835"/>
          <w:tab w:val="right" w:leader="dot" w:pos="6259"/>
        </w:tabs>
        <w:suppressAutoHyphens/>
        <w:autoSpaceDE w:val="0"/>
        <w:autoSpaceDN w:val="0"/>
        <w:spacing w:before="72" w:line="360" w:lineRule="auto"/>
        <w:ind w:left="936" w:right="1134"/>
        <w:jc w:val="both"/>
        <w:rPr>
          <w:rFonts w:ascii="David" w:hAnsi="David"/>
          <w:b/>
          <w:bCs/>
          <w:rtl/>
          <w:lang w:eastAsia="he-IL"/>
        </w:rPr>
      </w:pPr>
      <w:r>
        <w:rPr>
          <w:rFonts w:ascii="David" w:hAnsi="David"/>
          <w:b/>
          <w:bCs/>
          <w:rtl/>
          <w:lang w:eastAsia="he-IL"/>
        </w:rPr>
        <w:t>(1)</w:t>
      </w:r>
      <w:r>
        <w:rPr>
          <w:rFonts w:ascii="David" w:hAnsi="David"/>
          <w:b/>
          <w:bCs/>
          <w:rtl/>
          <w:lang w:eastAsia="he-IL"/>
        </w:rPr>
        <w:tab/>
        <w:t>עסק בעסק טעון רישוי בלא רישיון, היתר זמני או היתר מזורז, או בניגוד לתנאי הרישיון, ההיתר הזמני או ההיתר המזורז, בניגוד להוראות סעיף 4;</w:t>
      </w:r>
    </w:p>
    <w:p w14:paraId="15161E3D" w14:textId="77777777" w:rsidR="007A6627" w:rsidRDefault="007A6627" w:rsidP="007A6627">
      <w:pPr>
        <w:widowControl w:val="0"/>
        <w:tabs>
          <w:tab w:val="left" w:pos="1474"/>
          <w:tab w:val="left" w:pos="1928"/>
          <w:tab w:val="left" w:pos="2381"/>
          <w:tab w:val="left" w:pos="2835"/>
          <w:tab w:val="right" w:leader="dot" w:pos="6259"/>
        </w:tabs>
        <w:suppressAutoHyphens/>
        <w:autoSpaceDE w:val="0"/>
        <w:autoSpaceDN w:val="0"/>
        <w:spacing w:before="72" w:line="360" w:lineRule="auto"/>
        <w:ind w:left="936" w:right="1134"/>
        <w:jc w:val="both"/>
        <w:rPr>
          <w:rFonts w:ascii="David" w:hAnsi="David"/>
          <w:b/>
          <w:bCs/>
          <w:rtl/>
          <w:lang w:eastAsia="he-IL"/>
        </w:rPr>
      </w:pPr>
      <w:r>
        <w:rPr>
          <w:rFonts w:ascii="David" w:hAnsi="David"/>
          <w:b/>
          <w:bCs/>
          <w:rtl/>
          <w:lang w:eastAsia="he-IL"/>
        </w:rPr>
        <w:t>...</w:t>
      </w:r>
    </w:p>
    <w:p w14:paraId="0C92C3B5" w14:textId="77777777" w:rsidR="007A6627" w:rsidRDefault="007A6627" w:rsidP="007A6627">
      <w:pPr>
        <w:pStyle w:val="a9"/>
        <w:spacing w:line="360" w:lineRule="auto"/>
        <w:jc w:val="both"/>
        <w:rPr>
          <w:rFonts w:ascii="Arial" w:hAnsi="Arial"/>
          <w:rtl/>
        </w:rPr>
      </w:pPr>
    </w:p>
    <w:p w14:paraId="756ABD69" w14:textId="77777777" w:rsidR="007A6627" w:rsidRDefault="007A6627" w:rsidP="007A6627">
      <w:pPr>
        <w:pStyle w:val="a9"/>
        <w:numPr>
          <w:ilvl w:val="0"/>
          <w:numId w:val="1"/>
        </w:numPr>
        <w:spacing w:line="360" w:lineRule="auto"/>
        <w:ind w:hanging="635"/>
        <w:jc w:val="both"/>
        <w:rPr>
          <w:rFonts w:ascii="Arial" w:hAnsi="Arial"/>
        </w:rPr>
      </w:pPr>
      <w:r>
        <w:rPr>
          <w:rFonts w:ascii="Arial" w:hAnsi="Arial"/>
          <w:rtl/>
        </w:rPr>
        <w:t xml:space="preserve">מתחם העונש ההולם נגזר בראש וראשונה מהמסגרת החוקית אותה התווה המחוקק. לעניין עיסוק בעסק בלא רישיון, קובע החוק רף ענישה עליון בן 18 חודשי מאסר ולחלופין קנס בסכום המירבי כקבוע בהוראת </w:t>
      </w:r>
      <w:hyperlink r:id="rId38" w:history="1">
        <w:r w:rsidR="00276F26" w:rsidRPr="00276F26">
          <w:rPr>
            <w:rStyle w:val="Hyperlink"/>
            <w:rFonts w:ascii="Arial" w:hAnsi="Arial"/>
            <w:rtl/>
          </w:rPr>
          <w:t>סעיף 61(א)(4)</w:t>
        </w:r>
      </w:hyperlink>
      <w:r>
        <w:rPr>
          <w:rFonts w:ascii="Arial" w:hAnsi="Arial"/>
          <w:rtl/>
        </w:rPr>
        <w:t xml:space="preserve"> ל</w:t>
      </w:r>
      <w:hyperlink r:id="rId39" w:history="1">
        <w:r w:rsidR="00C733AC" w:rsidRPr="00C733AC">
          <w:rPr>
            <w:rFonts w:ascii="Arial" w:hAnsi="Arial"/>
            <w:color w:val="0000FF"/>
            <w:u w:val="single"/>
            <w:rtl/>
          </w:rPr>
          <w:t>חוק העונשין</w:t>
        </w:r>
      </w:hyperlink>
      <w:r>
        <w:rPr>
          <w:rFonts w:ascii="Arial" w:hAnsi="Arial"/>
          <w:rtl/>
        </w:rPr>
        <w:t xml:space="preserve">, ברף מקסימלי של עד 226,000 ₪. </w:t>
      </w:r>
    </w:p>
    <w:p w14:paraId="1AF14A00" w14:textId="77777777" w:rsidR="007A6627" w:rsidRDefault="007A6627" w:rsidP="007A6627">
      <w:pPr>
        <w:pStyle w:val="a9"/>
        <w:spacing w:line="360" w:lineRule="auto"/>
        <w:jc w:val="both"/>
        <w:rPr>
          <w:rFonts w:ascii="Arial" w:hAnsi="Arial"/>
        </w:rPr>
      </w:pPr>
    </w:p>
    <w:p w14:paraId="35B0A85C" w14:textId="77777777" w:rsidR="007A6627" w:rsidRDefault="007A6627" w:rsidP="007A6627">
      <w:pPr>
        <w:pStyle w:val="a9"/>
        <w:numPr>
          <w:ilvl w:val="0"/>
          <w:numId w:val="1"/>
        </w:numPr>
        <w:spacing w:line="360" w:lineRule="auto"/>
        <w:ind w:hanging="635"/>
        <w:jc w:val="both"/>
        <w:rPr>
          <w:rFonts w:ascii="Arial" w:hAnsi="Arial"/>
        </w:rPr>
      </w:pPr>
      <w:r>
        <w:rPr>
          <w:rFonts w:ascii="Arial" w:hAnsi="Arial"/>
          <w:rtl/>
        </w:rPr>
        <w:t xml:space="preserve">מדיניות הענישה הנוהגת בעבירות מסוג זה הנה ככלל בדגש על הרכיבים הכלכליים של הענישה [ר' למשל </w:t>
      </w:r>
      <w:hyperlink r:id="rId40" w:history="1">
        <w:r w:rsidR="00C733AC" w:rsidRPr="00C733AC">
          <w:rPr>
            <w:rFonts w:ascii="Arial" w:hAnsi="Arial"/>
            <w:color w:val="0000FF"/>
            <w:u w:val="single"/>
            <w:rtl/>
          </w:rPr>
          <w:t>תפ (טב') 47006-11-15</w:t>
        </w:r>
      </w:hyperlink>
      <w:r>
        <w:rPr>
          <w:rFonts w:ascii="Arial" w:hAnsi="Arial"/>
          <w:rtl/>
        </w:rPr>
        <w:t xml:space="preserve"> </w:t>
      </w:r>
      <w:r>
        <w:rPr>
          <w:rFonts w:ascii="Arial" w:hAnsi="Arial"/>
          <w:u w:val="single"/>
          <w:rtl/>
        </w:rPr>
        <w:t xml:space="preserve">מדינת ישראל </w:t>
      </w:r>
      <w:r>
        <w:rPr>
          <w:rFonts w:ascii="Arial" w:hAnsi="Arial"/>
          <w:rtl/>
        </w:rPr>
        <w:t>נ.</w:t>
      </w:r>
      <w:r>
        <w:rPr>
          <w:rFonts w:ascii="Arial" w:hAnsi="Arial"/>
          <w:u w:val="single"/>
          <w:rtl/>
        </w:rPr>
        <w:t xml:space="preserve"> בעז גולדשמידט</w:t>
      </w:r>
      <w:r>
        <w:rPr>
          <w:rFonts w:ascii="Arial" w:hAnsi="Arial"/>
          <w:rtl/>
        </w:rPr>
        <w:t xml:space="preserve"> (פורסם בנבו, ניתן ביום 17.5.16) על כלל אזכוריו].</w:t>
      </w:r>
    </w:p>
    <w:p w14:paraId="55379A67" w14:textId="77777777" w:rsidR="007A6627" w:rsidRDefault="007A6627" w:rsidP="007A6627">
      <w:pPr>
        <w:pStyle w:val="a9"/>
        <w:spacing w:line="360" w:lineRule="auto"/>
        <w:jc w:val="both"/>
        <w:rPr>
          <w:rFonts w:ascii="Arial" w:hAnsi="Arial"/>
        </w:rPr>
      </w:pPr>
    </w:p>
    <w:p w14:paraId="512B381C" w14:textId="77777777" w:rsidR="007A6627" w:rsidRDefault="007A6627" w:rsidP="007A6627">
      <w:pPr>
        <w:pStyle w:val="a9"/>
        <w:numPr>
          <w:ilvl w:val="0"/>
          <w:numId w:val="1"/>
        </w:numPr>
        <w:spacing w:line="360" w:lineRule="auto"/>
        <w:ind w:hanging="635"/>
        <w:jc w:val="both"/>
        <w:rPr>
          <w:rFonts w:ascii="Arial" w:hAnsi="Arial"/>
        </w:rPr>
      </w:pPr>
      <w:r>
        <w:rPr>
          <w:rFonts w:ascii="Arial" w:hAnsi="Arial"/>
          <w:rtl/>
        </w:rPr>
        <w:t>מדיניות הענישה הנוהגת בגין עבירת סחר בסמים, ככלל, כוללת רכיב מאסר וקל וחומר הרשעה בדין. ניתן להיווכח מן הפסיקה ומתכלית החוק, כי על בית המשפט הנדרש לקבוע מתחם הענישה בעבירת סחר בסמים, לשקול מספר מרכיבים-</w:t>
      </w:r>
    </w:p>
    <w:p w14:paraId="02146A16" w14:textId="77777777" w:rsidR="007A6627" w:rsidRDefault="007A6627" w:rsidP="007A6627">
      <w:pPr>
        <w:pStyle w:val="a9"/>
        <w:spacing w:line="360" w:lineRule="auto"/>
        <w:jc w:val="both"/>
        <w:rPr>
          <w:rFonts w:ascii="Arial" w:hAnsi="Arial"/>
        </w:rPr>
      </w:pPr>
      <w:r>
        <w:rPr>
          <w:rFonts w:ascii="Arial" w:hAnsi="Arial"/>
          <w:rtl/>
        </w:rPr>
        <w:t>א. סוג הסם.</w:t>
      </w:r>
    </w:p>
    <w:p w14:paraId="64366E49" w14:textId="77777777" w:rsidR="007A6627" w:rsidRDefault="007A6627" w:rsidP="007A6627">
      <w:pPr>
        <w:pStyle w:val="a9"/>
        <w:spacing w:line="360" w:lineRule="auto"/>
        <w:jc w:val="both"/>
        <w:rPr>
          <w:rFonts w:ascii="Arial" w:hAnsi="Arial"/>
          <w:rtl/>
        </w:rPr>
      </w:pPr>
      <w:r>
        <w:rPr>
          <w:rFonts w:ascii="Arial" w:hAnsi="Arial"/>
          <w:rtl/>
        </w:rPr>
        <w:t xml:space="preserve">ב. מספר העסקאות </w:t>
      </w:r>
    </w:p>
    <w:p w14:paraId="1731CB61" w14:textId="77777777" w:rsidR="007A6627" w:rsidRDefault="007A6627" w:rsidP="007A6627">
      <w:pPr>
        <w:pStyle w:val="a9"/>
        <w:spacing w:line="360" w:lineRule="auto"/>
        <w:jc w:val="both"/>
        <w:rPr>
          <w:rFonts w:ascii="Arial" w:hAnsi="Arial"/>
          <w:rtl/>
        </w:rPr>
      </w:pPr>
      <w:r>
        <w:rPr>
          <w:rFonts w:ascii="Arial" w:hAnsi="Arial"/>
          <w:rtl/>
        </w:rPr>
        <w:t xml:space="preserve">ג. משקלו של הסם בכל עסקה והמשקל הכולל של הסם. </w:t>
      </w:r>
    </w:p>
    <w:p w14:paraId="6C53FF15" w14:textId="77777777" w:rsidR="007A6627" w:rsidRDefault="007A6627" w:rsidP="007A6627">
      <w:pPr>
        <w:pStyle w:val="a9"/>
        <w:spacing w:line="360" w:lineRule="auto"/>
        <w:jc w:val="both"/>
        <w:rPr>
          <w:rFonts w:ascii="Arial" w:hAnsi="Arial"/>
          <w:rtl/>
        </w:rPr>
      </w:pPr>
      <w:r>
        <w:rPr>
          <w:rFonts w:ascii="Arial" w:hAnsi="Arial"/>
          <w:rtl/>
        </w:rPr>
        <w:t>ד. תקופת ביצוע העסקאות.</w:t>
      </w:r>
    </w:p>
    <w:p w14:paraId="6D6DC755" w14:textId="77777777" w:rsidR="007A6627" w:rsidRDefault="007A6627" w:rsidP="007A6627">
      <w:pPr>
        <w:pStyle w:val="a9"/>
        <w:spacing w:line="360" w:lineRule="auto"/>
        <w:jc w:val="both"/>
        <w:rPr>
          <w:rFonts w:ascii="Arial" w:hAnsi="Arial"/>
          <w:rtl/>
        </w:rPr>
      </w:pPr>
      <w:r>
        <w:rPr>
          <w:rFonts w:ascii="Arial" w:hAnsi="Arial"/>
          <w:rtl/>
        </w:rPr>
        <w:t>ה. זהות הקונים. למשל- האם ישנם קטינים, לקוחות מזדמנים, לקוחות חוזרים, מספר הלקוחות.</w:t>
      </w:r>
    </w:p>
    <w:p w14:paraId="2784E7B7" w14:textId="77777777" w:rsidR="007A6627" w:rsidRDefault="007A6627" w:rsidP="007A6627">
      <w:pPr>
        <w:pStyle w:val="a9"/>
        <w:spacing w:line="360" w:lineRule="auto"/>
        <w:jc w:val="both"/>
        <w:rPr>
          <w:rFonts w:ascii="Arial" w:hAnsi="Arial"/>
          <w:rtl/>
        </w:rPr>
      </w:pPr>
      <w:r>
        <w:rPr>
          <w:rFonts w:ascii="Arial" w:hAnsi="Arial"/>
          <w:rtl/>
        </w:rPr>
        <w:t xml:space="preserve">ו. רמת התחכום של מנגנון הפצת הסם שהנאשם ניהל או נטל בו חלק </w:t>
      </w:r>
    </w:p>
    <w:p w14:paraId="30BA173F" w14:textId="77777777" w:rsidR="007A6627" w:rsidRDefault="007A6627" w:rsidP="007A6627">
      <w:pPr>
        <w:pStyle w:val="a9"/>
        <w:spacing w:line="360" w:lineRule="auto"/>
        <w:jc w:val="both"/>
        <w:rPr>
          <w:rFonts w:ascii="Arial" w:hAnsi="Arial"/>
          <w:rtl/>
        </w:rPr>
      </w:pPr>
      <w:r>
        <w:rPr>
          <w:rFonts w:ascii="Arial" w:hAnsi="Arial"/>
          <w:rtl/>
        </w:rPr>
        <w:t>ז. התמורה שהתקבלה בכל עסקה והרווח הכולל.</w:t>
      </w:r>
    </w:p>
    <w:p w14:paraId="6E1A9577" w14:textId="77777777" w:rsidR="007A6627" w:rsidRDefault="007A6627" w:rsidP="007A6627">
      <w:pPr>
        <w:spacing w:line="360" w:lineRule="auto"/>
        <w:jc w:val="both"/>
        <w:rPr>
          <w:rFonts w:ascii="Arial" w:hAnsi="Arial"/>
          <w:rtl/>
        </w:rPr>
      </w:pPr>
    </w:p>
    <w:p w14:paraId="0CE4DE4F" w14:textId="77777777" w:rsidR="007A6627" w:rsidRDefault="007A6627" w:rsidP="007A6627">
      <w:pPr>
        <w:pStyle w:val="a9"/>
        <w:numPr>
          <w:ilvl w:val="0"/>
          <w:numId w:val="1"/>
        </w:numPr>
        <w:spacing w:line="360" w:lineRule="auto"/>
        <w:ind w:hanging="635"/>
        <w:jc w:val="both"/>
        <w:rPr>
          <w:rFonts w:ascii="Arial" w:hAnsi="Arial"/>
          <w:rtl/>
        </w:rPr>
      </w:pPr>
      <w:r>
        <w:rPr>
          <w:rFonts w:ascii="Arial" w:hAnsi="Arial"/>
          <w:rtl/>
        </w:rPr>
        <w:t xml:space="preserve">בענייננו הסם אשר בו סחר הנאשם אינו מן החמורים שבספר החוקים. כמות הסם שנתפסה אינה מבוטלת. כתב האישום מייחס לנאשם 4 עסקאות סחר בסמים, האחת מהן עם אותו אדם, זאת בנוסף להחזקת סמים שלא לצריכה עצמית וניהול עסק ללא רישיון. החומרה המיוחסת למעשי הנאשם הנה בעיקר בנסיבות של קיומו של מנגנון הפצת הסם וביודעם של הלקוחות להגיע לבית עסק זה לצורך רכישת סם. אין הדבר דומה למכירה אקראית או חד פעמית. הנאשם קיבל תמורה בעבור עסקאות הסחר בסמים. </w:t>
      </w:r>
    </w:p>
    <w:p w14:paraId="43313BB7" w14:textId="77777777" w:rsidR="007A6627" w:rsidRDefault="007A6627" w:rsidP="007A6627">
      <w:pPr>
        <w:pStyle w:val="a9"/>
        <w:spacing w:line="360" w:lineRule="auto"/>
        <w:jc w:val="both"/>
        <w:rPr>
          <w:rFonts w:ascii="Arial" w:hAnsi="Arial"/>
        </w:rPr>
      </w:pPr>
    </w:p>
    <w:p w14:paraId="52CCAC1A" w14:textId="77777777" w:rsidR="007A6627" w:rsidRDefault="007A6627" w:rsidP="007A6627">
      <w:pPr>
        <w:spacing w:line="360" w:lineRule="auto"/>
        <w:ind w:left="720"/>
        <w:jc w:val="both"/>
        <w:rPr>
          <w:rFonts w:ascii="Arial" w:hAnsi="Arial"/>
          <w:u w:val="single"/>
        </w:rPr>
      </w:pPr>
      <w:r>
        <w:rPr>
          <w:rFonts w:ascii="Arial" w:hAnsi="Arial"/>
          <w:u w:val="single"/>
          <w:rtl/>
        </w:rPr>
        <w:t xml:space="preserve">ריבוי עבירות </w:t>
      </w:r>
    </w:p>
    <w:p w14:paraId="10F34C5F" w14:textId="77777777" w:rsidR="007A6627" w:rsidRDefault="00276F26" w:rsidP="007A6627">
      <w:pPr>
        <w:pStyle w:val="a9"/>
        <w:numPr>
          <w:ilvl w:val="0"/>
          <w:numId w:val="1"/>
        </w:numPr>
        <w:spacing w:line="360" w:lineRule="auto"/>
        <w:ind w:hanging="635"/>
        <w:jc w:val="both"/>
        <w:rPr>
          <w:rFonts w:ascii="Arial" w:hAnsi="Arial"/>
        </w:rPr>
      </w:pPr>
      <w:hyperlink r:id="rId41" w:history="1">
        <w:r w:rsidRPr="00276F26">
          <w:rPr>
            <w:rStyle w:val="Hyperlink"/>
            <w:rFonts w:ascii="Arial" w:hAnsi="Arial"/>
            <w:rtl/>
          </w:rPr>
          <w:t>סעיף 40יג(א)</w:t>
        </w:r>
      </w:hyperlink>
      <w:r w:rsidR="007A6627">
        <w:rPr>
          <w:rFonts w:ascii="Arial" w:hAnsi="Arial"/>
          <w:rtl/>
        </w:rPr>
        <w:t xml:space="preserve"> שכותרתו "ריבוי עבירות" מורה, כי </w:t>
      </w:r>
    </w:p>
    <w:p w14:paraId="60C593B4" w14:textId="77777777" w:rsidR="007A6627" w:rsidRDefault="007A6627" w:rsidP="007A6627">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794" w:right="1134"/>
        <w:jc w:val="both"/>
        <w:rPr>
          <w:rFonts w:ascii="David" w:hAnsi="David"/>
          <w:b/>
          <w:bCs/>
          <w:lang w:eastAsia="he-IL"/>
        </w:rPr>
      </w:pPr>
      <w:r>
        <w:rPr>
          <w:rFonts w:ascii="David" w:hAnsi="David"/>
          <w:b/>
          <w:bCs/>
          <w:rtl/>
          <w:lang w:eastAsia="he-IL"/>
        </w:rPr>
        <w:t>40יג.</w:t>
      </w:r>
      <w:r>
        <w:rPr>
          <w:rFonts w:ascii="David" w:hAnsi="David"/>
          <w:b/>
          <w:bCs/>
          <w:rtl/>
          <w:lang w:eastAsia="he-IL"/>
        </w:rPr>
        <w:tab/>
        <w:t>(א)</w:t>
      </w:r>
      <w:r>
        <w:rPr>
          <w:rFonts w:ascii="David" w:hAnsi="David"/>
          <w:b/>
          <w:bCs/>
          <w:rtl/>
          <w:lang w:eastAsia="he-IL"/>
        </w:rPr>
        <w:tab/>
        <w:t>הרשיע בית המשפט נאשם בכמה עבירות המהוות אירוע אחד, יקבע מתחם עונש הולם כאמור בסעיף 40ג(א) לאירוע כולו, ויגזור עונש כולל לכל העבירות בשל אותו אירוע.</w:t>
      </w:r>
    </w:p>
    <w:p w14:paraId="16C04D44" w14:textId="77777777" w:rsidR="007A6627" w:rsidRDefault="007A6627" w:rsidP="007A6627">
      <w:pPr>
        <w:pStyle w:val="a9"/>
        <w:spacing w:line="360" w:lineRule="auto"/>
        <w:jc w:val="both"/>
        <w:rPr>
          <w:rFonts w:ascii="Arial" w:hAnsi="Arial"/>
          <w:rtl/>
        </w:rPr>
      </w:pPr>
    </w:p>
    <w:p w14:paraId="6A60DA41" w14:textId="77777777" w:rsidR="007A6627" w:rsidRDefault="007A6627" w:rsidP="007A6627">
      <w:pPr>
        <w:pStyle w:val="a9"/>
        <w:numPr>
          <w:ilvl w:val="0"/>
          <w:numId w:val="1"/>
        </w:numPr>
        <w:spacing w:line="360" w:lineRule="auto"/>
        <w:ind w:hanging="635"/>
        <w:jc w:val="both"/>
        <w:rPr>
          <w:rFonts w:ascii="Arial" w:hAnsi="Arial"/>
        </w:rPr>
      </w:pPr>
      <w:r>
        <w:rPr>
          <w:rtl/>
        </w:rPr>
        <w:t>ב</w:t>
      </w:r>
      <w:hyperlink r:id="rId42" w:history="1">
        <w:r w:rsidR="00C733AC" w:rsidRPr="00C733AC">
          <w:rPr>
            <w:rFonts w:ascii="Arial" w:hAnsi="Arial"/>
            <w:color w:val="0000FF"/>
            <w:u w:val="single"/>
            <w:rtl/>
          </w:rPr>
          <w:t>ע"פ 3164/14</w:t>
        </w:r>
      </w:hyperlink>
      <w:r>
        <w:rPr>
          <w:rFonts w:ascii="Arial" w:hAnsi="Arial"/>
          <w:rtl/>
        </w:rPr>
        <w:t xml:space="preserve"> </w:t>
      </w:r>
      <w:r>
        <w:rPr>
          <w:rFonts w:ascii="Arial" w:hAnsi="Arial" w:hint="cs"/>
          <w:u w:val="single"/>
          <w:rtl/>
        </w:rPr>
        <w:t>גיא פן</w:t>
      </w:r>
      <w:r>
        <w:rPr>
          <w:rFonts w:ascii="Arial" w:hAnsi="Arial" w:hint="cs"/>
          <w:rtl/>
        </w:rPr>
        <w:t xml:space="preserve"> נ. </w:t>
      </w:r>
      <w:r>
        <w:rPr>
          <w:rFonts w:ascii="Arial" w:hAnsi="Arial" w:hint="cs"/>
          <w:u w:val="single"/>
          <w:rtl/>
        </w:rPr>
        <w:t>מדינת ישראל</w:t>
      </w:r>
      <w:r>
        <w:rPr>
          <w:rFonts w:ascii="Arial" w:hAnsi="Arial" w:hint="cs"/>
          <w:rtl/>
        </w:rPr>
        <w:t xml:space="preserve"> </w:t>
      </w:r>
      <w:r>
        <w:rPr>
          <w:sz w:val="22"/>
          <w:rtl/>
        </w:rPr>
        <w:t xml:space="preserve">[פורסם בנבו] </w:t>
      </w:r>
      <w:r>
        <w:rPr>
          <w:rFonts w:ascii="Arial" w:hAnsi="Arial"/>
          <w:rtl/>
        </w:rPr>
        <w:t xml:space="preserve">(29.6.2015) סוכמה מפי כבוד השופט מלצר ההלכה, כך שתחילה על בית המשפט להכריע בשאלה האם מדובר באירוע אחד או מספר אירועים על פי מבחן הקשר ההדוק. לאחר מכן, כי על בית המשפט לבחון ביחס לכל אירוע, האם הוא מורכב מ"מעשה אחד" או ממספר מעשים וזאת על פי המבחן הצורני עובדתי ועל פי המבחן המהותי- מוסרי ולבסוף יקבע בית המשפט מתחם הענישה ההולם על פי </w:t>
      </w:r>
      <w:hyperlink r:id="rId43" w:history="1">
        <w:r w:rsidR="00276F26" w:rsidRPr="00276F26">
          <w:rPr>
            <w:rStyle w:val="Hyperlink"/>
            <w:rFonts w:ascii="Arial" w:hAnsi="Arial"/>
            <w:rtl/>
          </w:rPr>
          <w:t>סעיף 40ג</w:t>
        </w:r>
      </w:hyperlink>
      <w:r>
        <w:rPr>
          <w:rFonts w:ascii="Arial" w:hAnsi="Arial"/>
          <w:rtl/>
        </w:rPr>
        <w:t xml:space="preserve"> ל</w:t>
      </w:r>
      <w:hyperlink r:id="rId44" w:history="1">
        <w:r w:rsidR="00C733AC" w:rsidRPr="00C733AC">
          <w:rPr>
            <w:rFonts w:ascii="Arial" w:hAnsi="Arial"/>
            <w:color w:val="0000FF"/>
            <w:u w:val="single"/>
            <w:rtl/>
          </w:rPr>
          <w:t>חוק העונשין</w:t>
        </w:r>
      </w:hyperlink>
      <w:r>
        <w:rPr>
          <w:rFonts w:ascii="Arial" w:hAnsi="Arial"/>
          <w:rtl/>
        </w:rPr>
        <w:t xml:space="preserve">. בית המשפט קבע שם, כי-   </w:t>
      </w:r>
    </w:p>
    <w:p w14:paraId="20A1E46E" w14:textId="77777777" w:rsidR="007A6627" w:rsidRDefault="007A6627" w:rsidP="007A6627">
      <w:pPr>
        <w:pStyle w:val="a9"/>
        <w:overflowPunct w:val="0"/>
        <w:autoSpaceDE w:val="0"/>
        <w:autoSpaceDN w:val="0"/>
        <w:adjustRightInd w:val="0"/>
        <w:spacing w:line="336" w:lineRule="auto"/>
        <w:rPr>
          <w:rFonts w:ascii="Century" w:hAnsi="Century"/>
          <w:spacing w:val="10"/>
          <w:rtl/>
        </w:rPr>
      </w:pPr>
    </w:p>
    <w:p w14:paraId="7DC50A40" w14:textId="77777777" w:rsidR="007A6627" w:rsidRDefault="007A6627" w:rsidP="007A6627">
      <w:pPr>
        <w:pStyle w:val="a9"/>
        <w:spacing w:line="360" w:lineRule="auto"/>
        <w:ind w:left="1503" w:right="1134"/>
        <w:jc w:val="both"/>
        <w:rPr>
          <w:rFonts w:ascii="Arial" w:hAnsi="Arial"/>
        </w:rPr>
      </w:pPr>
      <w:r>
        <w:rPr>
          <w:b/>
          <w:bCs/>
          <w:spacing w:val="10"/>
          <w:rtl/>
        </w:rPr>
        <w:t xml:space="preserve">"..במצב הדברים הרגיל, בו קיים "אירוע אחד" וכן "מעשה אחד" – לא יוכל בית המשפט לחרוג ממגבלה זו בקביעת הגבול העליון למתחם העונש ההולם לפי </w:t>
      </w:r>
      <w:r>
        <w:rPr>
          <w:b/>
          <w:bCs/>
          <w:color w:val="000000"/>
          <w:spacing w:val="10"/>
          <w:rtl/>
        </w:rPr>
        <w:t>סעיפים 40ג</w:t>
      </w:r>
      <w:r>
        <w:rPr>
          <w:b/>
          <w:bCs/>
          <w:spacing w:val="10"/>
          <w:rtl/>
        </w:rPr>
        <w:t xml:space="preserve"> ו-</w:t>
      </w:r>
      <w:r>
        <w:rPr>
          <w:b/>
          <w:bCs/>
          <w:color w:val="000000"/>
          <w:spacing w:val="10"/>
          <w:rtl/>
        </w:rPr>
        <w:t>40יג</w:t>
      </w:r>
      <w:r>
        <w:rPr>
          <w:b/>
          <w:bCs/>
          <w:spacing w:val="10"/>
          <w:rtl/>
        </w:rPr>
        <w:t xml:space="preserve"> ל</w:t>
      </w:r>
      <w:hyperlink r:id="rId45" w:history="1">
        <w:r w:rsidR="00C733AC" w:rsidRPr="00C733AC">
          <w:rPr>
            <w:rFonts w:ascii="Century" w:hAnsi="Century" w:hint="eastAsia"/>
            <w:b/>
            <w:bCs/>
            <w:color w:val="0000FF"/>
            <w:u w:val="single"/>
            <w:rtl/>
          </w:rPr>
          <w:t>חוק</w:t>
        </w:r>
        <w:r w:rsidR="00C733AC" w:rsidRPr="00C733AC">
          <w:rPr>
            <w:rFonts w:ascii="Century" w:hAnsi="Century"/>
            <w:b/>
            <w:bCs/>
            <w:color w:val="0000FF"/>
            <w:u w:val="single"/>
            <w:rtl/>
          </w:rPr>
          <w:t xml:space="preserve"> </w:t>
        </w:r>
        <w:r w:rsidR="00C733AC" w:rsidRPr="00C733AC">
          <w:rPr>
            <w:rFonts w:ascii="Century" w:hAnsi="Century" w:hint="eastAsia"/>
            <w:b/>
            <w:bCs/>
            <w:color w:val="0000FF"/>
            <w:u w:val="single"/>
            <w:rtl/>
          </w:rPr>
          <w:t>העונשין</w:t>
        </w:r>
      </w:hyperlink>
      <w:r>
        <w:rPr>
          <w:b/>
          <w:bCs/>
          <w:spacing w:val="10"/>
          <w:rtl/>
        </w:rPr>
        <w:t xml:space="preserve">, ואולם כאשר מדובר ב"אירוע אחד" שכולל "מספר מעשים" – </w:t>
      </w:r>
      <w:r>
        <w:rPr>
          <w:rFonts w:ascii="Century" w:hAnsi="Century"/>
          <w:b/>
          <w:bCs/>
          <w:spacing w:val="10"/>
          <w:rtl/>
        </w:rPr>
        <w:t xml:space="preserve">התקרה העליונה האפשרית למתחם העונש ההולם בגין אותו אירוע מתקבלת מצירוף עונשי המקסימום, שניתן להשית בגין כל אחד מהמעשים הנכללים באותו אירוע (ראו: </w:t>
      </w:r>
      <w:r>
        <w:rPr>
          <w:rFonts w:ascii="Century" w:hAnsi="Century"/>
          <w:b/>
          <w:bCs/>
          <w:color w:val="000000"/>
          <w:spacing w:val="10"/>
          <w:rtl/>
        </w:rPr>
        <w:t>סעיף 40יג</w:t>
      </w:r>
      <w:r>
        <w:rPr>
          <w:rFonts w:ascii="Century" w:hAnsi="Century"/>
          <w:b/>
          <w:bCs/>
          <w:spacing w:val="10"/>
          <w:rtl/>
        </w:rPr>
        <w:t xml:space="preserve"> ל</w:t>
      </w:r>
      <w:r>
        <w:rPr>
          <w:b/>
          <w:bCs/>
          <w:rtl/>
        </w:rPr>
        <w:t>חוק העונשין</w:t>
      </w:r>
      <w:r>
        <w:rPr>
          <w:rFonts w:ascii="Century" w:hAnsi="Century"/>
          <w:b/>
          <w:bCs/>
          <w:spacing w:val="10"/>
          <w:rtl/>
        </w:rPr>
        <w:t xml:space="preserve">, ועיינו בפסקאות 9-8 לחוות דעתה של השופטת </w:t>
      </w:r>
      <w:r>
        <w:rPr>
          <w:rFonts w:ascii="Century" w:hAnsi="Century"/>
          <w:b/>
          <w:bCs/>
          <w:rtl/>
        </w:rPr>
        <w:t>ד' ברק-ארז</w:t>
      </w:r>
      <w:r>
        <w:rPr>
          <w:rFonts w:ascii="Century" w:hAnsi="Century"/>
          <w:b/>
          <w:bCs/>
          <w:spacing w:val="10"/>
          <w:rtl/>
        </w:rPr>
        <w:t xml:space="preserve"> </w:t>
      </w:r>
      <w:r>
        <w:rPr>
          <w:b/>
          <w:bCs/>
          <w:spacing w:val="10"/>
          <w:rtl/>
        </w:rPr>
        <w:t>ב</w:t>
      </w:r>
      <w:r>
        <w:rPr>
          <w:b/>
          <w:bCs/>
          <w:rtl/>
        </w:rPr>
        <w:t>עניין ג'אבר</w:t>
      </w:r>
      <w:r>
        <w:rPr>
          <w:rFonts w:ascii="Century" w:hAnsi="Century"/>
          <w:b/>
          <w:bCs/>
          <w:spacing w:val="10"/>
          <w:rtl/>
        </w:rPr>
        <w:t>)."</w:t>
      </w:r>
    </w:p>
    <w:p w14:paraId="0B274598" w14:textId="77777777" w:rsidR="007A6627" w:rsidRDefault="007A6627" w:rsidP="007A6627">
      <w:pPr>
        <w:pStyle w:val="a9"/>
        <w:spacing w:line="360" w:lineRule="auto"/>
        <w:jc w:val="both"/>
        <w:rPr>
          <w:rFonts w:ascii="Arial" w:hAnsi="Arial"/>
        </w:rPr>
      </w:pPr>
    </w:p>
    <w:p w14:paraId="7CA593EF" w14:textId="77777777" w:rsidR="007A6627" w:rsidRDefault="007A6627" w:rsidP="007A6627">
      <w:pPr>
        <w:pStyle w:val="a9"/>
        <w:numPr>
          <w:ilvl w:val="0"/>
          <w:numId w:val="1"/>
        </w:numPr>
        <w:spacing w:line="360" w:lineRule="auto"/>
        <w:ind w:hanging="635"/>
        <w:jc w:val="both"/>
        <w:rPr>
          <w:rFonts w:ascii="Arial TUR" w:hAnsi="Arial TUR"/>
          <w:b/>
          <w:bCs/>
          <w:spacing w:val="10"/>
        </w:rPr>
      </w:pPr>
      <w:r>
        <w:rPr>
          <w:rFonts w:ascii="Arial" w:hAnsi="Arial"/>
          <w:rtl/>
        </w:rPr>
        <w:t>יישום "מבחן הקשר ההדוק" מוליך לטעמי למסקנה, כי קיים קשר עניינני בין כלל עבירות הסחר, באופן כזה שניתן לראות בהם אירוע אחד. המחשבה הפלילית משותפת לכלל המעשים, המעשים המוזכרים בפרוט בכתב האישום התרחשו בטווח של ימים אחדים. הקשר הענייני בין העבירות הדוק וכך גם מיקום ביצוע העבירות, שיטת הפעולה.  אין בכל פעם תכנית עבריינית נפרדת. לאור כל האמור הרי יש לראות במכלול עבירות הסחר בסמים אירוע אחד ולקבוע מתחם כולל ביחס אליהן. יש לגזור מתחם נפרד ביחס לעבירת ניהול עסק בלא רישיון, שכן הגם שקיים קשר ענייני בין עבירה זו לעבירות הסחר בסמים, הרי שאין המדובר בעסק שייעודו לסמים בלבד ואשר הוצעו בו מוצרים נוספים לממכר, אשר אף מכירתם לא הוסדרה תחת רישיון כדין וכל זאת במטרה לחמוק מפיקוח נאות והסדרת תשלום רישיון כדין</w:t>
      </w:r>
      <w:r>
        <w:rPr>
          <w:rFonts w:ascii="Arial TUR" w:hAnsi="Arial TUR"/>
          <w:b/>
          <w:bCs/>
          <w:spacing w:val="10"/>
          <w:rtl/>
        </w:rPr>
        <w:t>.</w:t>
      </w:r>
    </w:p>
    <w:p w14:paraId="77292F1B" w14:textId="77777777" w:rsidR="007A6627" w:rsidRDefault="007A6627" w:rsidP="007A6627">
      <w:pPr>
        <w:pStyle w:val="a9"/>
        <w:spacing w:line="360" w:lineRule="auto"/>
        <w:jc w:val="both"/>
        <w:rPr>
          <w:rFonts w:ascii="Arial TUR" w:hAnsi="Arial TUR"/>
          <w:b/>
          <w:bCs/>
          <w:spacing w:val="10"/>
        </w:rPr>
      </w:pPr>
    </w:p>
    <w:p w14:paraId="0201259C" w14:textId="77777777" w:rsidR="007A6627" w:rsidRDefault="007A6627" w:rsidP="007A6627">
      <w:pPr>
        <w:pStyle w:val="a9"/>
        <w:numPr>
          <w:ilvl w:val="0"/>
          <w:numId w:val="1"/>
        </w:numPr>
        <w:spacing w:line="360" w:lineRule="auto"/>
        <w:ind w:hanging="635"/>
        <w:jc w:val="both"/>
        <w:rPr>
          <w:rFonts w:ascii="Arial TUR" w:hAnsi="Arial TUR"/>
          <w:spacing w:val="10"/>
        </w:rPr>
      </w:pPr>
      <w:r w:rsidRPr="00AF7871">
        <w:rPr>
          <w:rFonts w:ascii="Arial TUR" w:hAnsi="Arial TUR"/>
          <w:spacing w:val="10"/>
          <w:rtl/>
        </w:rPr>
        <w:t>בנסיבות ביצוע העבירות מוצאת אני כי יש ל</w:t>
      </w:r>
      <w:r w:rsidRPr="00AF7871">
        <w:rPr>
          <w:rFonts w:ascii="Arial TUR" w:hAnsi="Arial TUR" w:hint="cs"/>
          <w:spacing w:val="10"/>
          <w:rtl/>
        </w:rPr>
        <w:t xml:space="preserve">קבוע את </w:t>
      </w:r>
      <w:r w:rsidRPr="00AF7871">
        <w:rPr>
          <w:rFonts w:ascii="Arial TUR" w:hAnsi="Arial TUR"/>
          <w:spacing w:val="10"/>
          <w:rtl/>
        </w:rPr>
        <w:t xml:space="preserve">מתחם העונש ההולם </w:t>
      </w:r>
      <w:r w:rsidRPr="00AF7871">
        <w:rPr>
          <w:rFonts w:ascii="Arial TUR" w:hAnsi="Arial TUR" w:hint="cs"/>
          <w:spacing w:val="10"/>
          <w:rtl/>
        </w:rPr>
        <w:t>מעט נמוך יותר מזה לו עותרת המאשי</w:t>
      </w:r>
      <w:r w:rsidRPr="00AF7871">
        <w:rPr>
          <w:rFonts w:ascii="Arial TUR" w:hAnsi="Arial TUR"/>
          <w:spacing w:val="10"/>
          <w:rtl/>
        </w:rPr>
        <w:t>מה</w:t>
      </w:r>
      <w:r>
        <w:rPr>
          <w:rFonts w:ascii="Arial TUR" w:hAnsi="Arial TUR" w:hint="cs"/>
          <w:spacing w:val="10"/>
          <w:rtl/>
        </w:rPr>
        <w:t>.</w:t>
      </w:r>
    </w:p>
    <w:p w14:paraId="010C7C76" w14:textId="77777777" w:rsidR="007A6627" w:rsidRPr="00AF7871" w:rsidRDefault="007A6627" w:rsidP="007A6627">
      <w:pPr>
        <w:pStyle w:val="a9"/>
        <w:spacing w:line="360" w:lineRule="auto"/>
        <w:jc w:val="both"/>
        <w:rPr>
          <w:rFonts w:ascii="Arial TUR" w:hAnsi="Arial TUR"/>
          <w:spacing w:val="10"/>
        </w:rPr>
      </w:pPr>
      <w:r w:rsidRPr="00AF7871">
        <w:rPr>
          <w:rFonts w:ascii="Arial TUR" w:hAnsi="Arial TUR"/>
          <w:spacing w:val="10"/>
          <w:rtl/>
        </w:rPr>
        <w:t xml:space="preserve">בגין עבירות הסחר הנני מורה על מתחם עונש הולם הנע בין 10-24 חודשי מאסר בפועל. </w:t>
      </w:r>
    </w:p>
    <w:p w14:paraId="570F637B" w14:textId="77777777" w:rsidR="007A6627" w:rsidRDefault="007A6627" w:rsidP="007A6627">
      <w:pPr>
        <w:pStyle w:val="a9"/>
        <w:spacing w:line="360" w:lineRule="auto"/>
        <w:jc w:val="both"/>
        <w:rPr>
          <w:rFonts w:ascii="Arial TUR" w:hAnsi="Arial TUR"/>
          <w:spacing w:val="10"/>
          <w:rtl/>
        </w:rPr>
      </w:pPr>
      <w:r>
        <w:rPr>
          <w:rFonts w:ascii="Arial TUR" w:hAnsi="Arial TUR"/>
          <w:spacing w:val="10"/>
          <w:rtl/>
        </w:rPr>
        <w:t xml:space="preserve">בגין עבירת ניהול עסק בלא רישיון הנני מורה על מתחם עונש הולם </w:t>
      </w:r>
      <w:r>
        <w:rPr>
          <w:rFonts w:ascii="Arial TUR" w:hAnsi="Arial TUR" w:hint="cs"/>
          <w:spacing w:val="10"/>
          <w:rtl/>
        </w:rPr>
        <w:t>הכולל</w:t>
      </w:r>
      <w:r>
        <w:rPr>
          <w:rFonts w:ascii="Arial TUR" w:hAnsi="Arial TUR"/>
          <w:spacing w:val="10"/>
          <w:rtl/>
        </w:rPr>
        <w:t xml:space="preserve"> קנס מוחשי ומרתיע הנע בין </w:t>
      </w:r>
      <w:r>
        <w:rPr>
          <w:rFonts w:ascii="Arial TUR" w:hAnsi="Arial TUR" w:hint="cs"/>
          <w:spacing w:val="10"/>
          <w:rtl/>
        </w:rPr>
        <w:t>5,000</w:t>
      </w:r>
      <w:r>
        <w:rPr>
          <w:rFonts w:ascii="Arial TUR" w:hAnsi="Arial TUR"/>
          <w:spacing w:val="10"/>
          <w:rtl/>
        </w:rPr>
        <w:t xml:space="preserve"> עד 40,000 ₪ בגין עבירות ניהול עסק ללא רישיון ועיסוק בעסק בניגוד לתנאי הרישיון, אשר יש לראות אף בהן כאירוע אחד</w:t>
      </w:r>
      <w:r>
        <w:rPr>
          <w:rFonts w:ascii="Arial TUR" w:hAnsi="Arial TUR" w:hint="cs"/>
          <w:spacing w:val="10"/>
          <w:rtl/>
        </w:rPr>
        <w:t>, התחייבות וצו סגירה נדחה.</w:t>
      </w:r>
    </w:p>
    <w:p w14:paraId="04684165" w14:textId="77777777" w:rsidR="007A6627" w:rsidRDefault="007A6627" w:rsidP="007A6627">
      <w:pPr>
        <w:pStyle w:val="a9"/>
        <w:spacing w:line="360" w:lineRule="auto"/>
        <w:jc w:val="both"/>
        <w:rPr>
          <w:rFonts w:ascii="Arial" w:hAnsi="Arial"/>
          <w:rtl/>
        </w:rPr>
      </w:pPr>
    </w:p>
    <w:p w14:paraId="2EA16CA6" w14:textId="77777777" w:rsidR="007A6627" w:rsidRDefault="007A6627" w:rsidP="007A6627">
      <w:pPr>
        <w:pStyle w:val="a9"/>
        <w:spacing w:line="360" w:lineRule="auto"/>
        <w:jc w:val="both"/>
        <w:rPr>
          <w:rFonts w:ascii="Arial" w:hAnsi="Arial"/>
          <w:u w:val="single"/>
          <w:rtl/>
        </w:rPr>
      </w:pPr>
      <w:r>
        <w:rPr>
          <w:rFonts w:ascii="Arial" w:hAnsi="Arial"/>
          <w:u w:val="single"/>
          <w:rtl/>
        </w:rPr>
        <w:t xml:space="preserve">נסיבות שאינן קשורות לביצוע העבירות </w:t>
      </w:r>
    </w:p>
    <w:p w14:paraId="01D1F58C" w14:textId="77777777" w:rsidR="007A6627" w:rsidRDefault="007A6627" w:rsidP="007A6627">
      <w:pPr>
        <w:pStyle w:val="a9"/>
        <w:numPr>
          <w:ilvl w:val="0"/>
          <w:numId w:val="1"/>
        </w:numPr>
        <w:spacing w:line="360" w:lineRule="auto"/>
        <w:ind w:hanging="635"/>
        <w:jc w:val="both"/>
        <w:rPr>
          <w:rFonts w:ascii="Arial" w:hAnsi="Arial"/>
          <w:rtl/>
        </w:rPr>
      </w:pPr>
      <w:r>
        <w:rPr>
          <w:rFonts w:ascii="Arial" w:hAnsi="Arial"/>
          <w:rtl/>
        </w:rPr>
        <w:t xml:space="preserve">הנאשם כבן 38, גרוש ואב לשלושה קטינים. עד למועד ביצוע העבירות התפרנס מניהול עסק. כיום ובנסיבות מעצר הבית אינו עובד. </w:t>
      </w:r>
    </w:p>
    <w:p w14:paraId="6EC5BC25" w14:textId="77777777" w:rsidR="007A6627" w:rsidRDefault="007A6627" w:rsidP="007A6627">
      <w:pPr>
        <w:pStyle w:val="a9"/>
        <w:spacing w:line="360" w:lineRule="auto"/>
        <w:jc w:val="both"/>
        <w:rPr>
          <w:rFonts w:ascii="Arial" w:hAnsi="Arial"/>
        </w:rPr>
      </w:pPr>
    </w:p>
    <w:p w14:paraId="32CFD1CE" w14:textId="77777777" w:rsidR="007A6627" w:rsidRDefault="007A6627" w:rsidP="007A6627">
      <w:pPr>
        <w:pStyle w:val="a9"/>
        <w:numPr>
          <w:ilvl w:val="0"/>
          <w:numId w:val="1"/>
        </w:numPr>
        <w:spacing w:line="360" w:lineRule="auto"/>
        <w:ind w:hanging="635"/>
        <w:jc w:val="both"/>
        <w:rPr>
          <w:rFonts w:ascii="Arial" w:hAnsi="Arial"/>
        </w:rPr>
      </w:pPr>
      <w:r>
        <w:rPr>
          <w:rFonts w:ascii="Arial" w:hAnsi="Arial"/>
          <w:rtl/>
        </w:rPr>
        <w:t>הנאשם נטל אחריות, הביע צער וחרטה והודה בהזדמנות הראשונה. בכך חסך זמן שיפוטי יקר.</w:t>
      </w:r>
    </w:p>
    <w:p w14:paraId="69B087B4" w14:textId="77777777" w:rsidR="007A6627" w:rsidRDefault="007A6627" w:rsidP="007A6627">
      <w:pPr>
        <w:pStyle w:val="a9"/>
        <w:spacing w:line="360" w:lineRule="auto"/>
        <w:jc w:val="both"/>
        <w:rPr>
          <w:rFonts w:ascii="Arial" w:hAnsi="Arial"/>
        </w:rPr>
      </w:pPr>
    </w:p>
    <w:p w14:paraId="3452E340" w14:textId="77777777" w:rsidR="007A6627" w:rsidRDefault="007A6627" w:rsidP="007A6627">
      <w:pPr>
        <w:pStyle w:val="a9"/>
        <w:numPr>
          <w:ilvl w:val="0"/>
          <w:numId w:val="1"/>
        </w:numPr>
        <w:spacing w:line="360" w:lineRule="auto"/>
        <w:ind w:hanging="635"/>
        <w:jc w:val="both"/>
        <w:rPr>
          <w:rFonts w:ascii="Arial" w:hAnsi="Arial"/>
        </w:rPr>
      </w:pPr>
      <w:r>
        <w:rPr>
          <w:rFonts w:ascii="Arial" w:hAnsi="Arial"/>
          <w:rtl/>
        </w:rPr>
        <w:t xml:space="preserve">הנאשם נעדר עבר פלילי. </w:t>
      </w:r>
    </w:p>
    <w:p w14:paraId="6AE4E670" w14:textId="77777777" w:rsidR="007A6627" w:rsidRPr="00AF7871" w:rsidRDefault="007A6627" w:rsidP="007A6627">
      <w:pPr>
        <w:pStyle w:val="a9"/>
        <w:rPr>
          <w:rFonts w:ascii="Arial" w:hAnsi="Arial"/>
          <w:rtl/>
        </w:rPr>
      </w:pPr>
    </w:p>
    <w:p w14:paraId="6A694EDF" w14:textId="77777777" w:rsidR="007A6627" w:rsidRDefault="007A6627" w:rsidP="007A6627">
      <w:pPr>
        <w:pStyle w:val="a9"/>
        <w:numPr>
          <w:ilvl w:val="0"/>
          <w:numId w:val="1"/>
        </w:numPr>
        <w:spacing w:line="360" w:lineRule="auto"/>
        <w:ind w:hanging="635"/>
        <w:jc w:val="both"/>
        <w:rPr>
          <w:rFonts w:ascii="Arial" w:hAnsi="Arial"/>
        </w:rPr>
      </w:pPr>
      <w:r>
        <w:rPr>
          <w:rFonts w:ascii="Arial" w:hAnsi="Arial"/>
          <w:rtl/>
        </w:rPr>
        <w:t xml:space="preserve">בעניינו של הנאשם הונח אפיק שיקומי טיפולי. בדיקת השתן שמסר הנאשם יצאה נקיה בהתאם לדיווחיו, כי הוא אינו צורך סמים וכי ביצוע העבירות נבע ממצוקה כלכלית, בין היתר בשל מעורבותו בעברו בהימורים. שירות המבחן העריך, כי סיכויי שיקומו של הנאשם הנם משמעותיים וטובים והנאשם הוכיח צעדים ראשונים לשילובו המוצלח בהליך שיקומי. </w:t>
      </w:r>
    </w:p>
    <w:p w14:paraId="6503A856" w14:textId="77777777" w:rsidR="007A6627" w:rsidRDefault="007A6627" w:rsidP="007A6627">
      <w:pPr>
        <w:pStyle w:val="a9"/>
        <w:spacing w:line="360" w:lineRule="auto"/>
        <w:jc w:val="both"/>
        <w:rPr>
          <w:rFonts w:ascii="Arial" w:hAnsi="Arial"/>
        </w:rPr>
      </w:pPr>
    </w:p>
    <w:p w14:paraId="585DD796" w14:textId="77777777" w:rsidR="007A6627" w:rsidRDefault="007A6627" w:rsidP="007A6627">
      <w:pPr>
        <w:pStyle w:val="a9"/>
        <w:numPr>
          <w:ilvl w:val="0"/>
          <w:numId w:val="1"/>
        </w:numPr>
        <w:spacing w:line="360" w:lineRule="auto"/>
        <w:ind w:hanging="635"/>
        <w:jc w:val="both"/>
        <w:rPr>
          <w:rFonts w:ascii="Arial" w:hAnsi="Arial"/>
        </w:rPr>
      </w:pPr>
      <w:r>
        <w:rPr>
          <w:rFonts w:ascii="Arial" w:hAnsi="Arial"/>
          <w:rtl/>
        </w:rPr>
        <w:t xml:space="preserve">הונח בפניי, כי משמעות הפגיעה של העונש בנאשם ובמשפחתו, ילדיו הקטינים בפרט, תהא רבה. כמתואר בתסקיר שירות המבחן, גירושי הנאשם התרחשו בסמוך יחסית למעורבותו בביצוע העבירות. הנאשם אשר חש בושה, לא שיתף את ילדיו בדבר מעצרו וסיפר אודות נסיעה לחו"ל לצרכי עסקים. על פי דיווחי הנאשם, </w:t>
      </w:r>
      <w:r>
        <w:rPr>
          <w:rFonts w:ascii="Arial" w:hAnsi="Arial" w:hint="cs"/>
          <w:rtl/>
        </w:rPr>
        <w:t xml:space="preserve">על </w:t>
      </w:r>
      <w:r>
        <w:rPr>
          <w:rFonts w:ascii="Arial" w:hAnsi="Arial"/>
          <w:rtl/>
        </w:rPr>
        <w:t>רקע משבר הגירושין בהצטרף ל</w:t>
      </w:r>
      <w:r>
        <w:rPr>
          <w:rFonts w:ascii="Arial" w:hAnsi="Arial" w:hint="cs"/>
          <w:rtl/>
        </w:rPr>
        <w:t>הי</w:t>
      </w:r>
      <w:r>
        <w:rPr>
          <w:rFonts w:ascii="Arial" w:hAnsi="Arial"/>
          <w:rtl/>
        </w:rPr>
        <w:t>עדרותו</w:t>
      </w:r>
      <w:r>
        <w:rPr>
          <w:rFonts w:ascii="Arial" w:hAnsi="Arial" w:hint="cs"/>
          <w:rtl/>
        </w:rPr>
        <w:t>,</w:t>
      </w:r>
      <w:r>
        <w:rPr>
          <w:rFonts w:ascii="Arial" w:hAnsi="Arial"/>
          <w:rtl/>
        </w:rPr>
        <w:t xml:space="preserve"> החלו הילדים לסבול מבעיות רגשיות ובעיות התנהגות שונות. בנסיבות מעצרו ומעצר הבית נבצר </w:t>
      </w:r>
      <w:r>
        <w:rPr>
          <w:rFonts w:ascii="Arial" w:hAnsi="Arial" w:hint="cs"/>
          <w:rtl/>
        </w:rPr>
        <w:t>ממ</w:t>
      </w:r>
      <w:r>
        <w:rPr>
          <w:rFonts w:ascii="Arial" w:hAnsi="Arial"/>
          <w:rtl/>
        </w:rPr>
        <w:t>נו לעבוד תקופה ממושכת וצבר את חוב המזונות.</w:t>
      </w:r>
    </w:p>
    <w:p w14:paraId="2324885C" w14:textId="77777777" w:rsidR="007A6627" w:rsidRPr="00AF7871" w:rsidRDefault="007A6627" w:rsidP="007A6627">
      <w:pPr>
        <w:pStyle w:val="a9"/>
        <w:spacing w:line="360" w:lineRule="auto"/>
        <w:jc w:val="both"/>
        <w:rPr>
          <w:rFonts w:ascii="Arial" w:hAnsi="Arial"/>
        </w:rPr>
      </w:pPr>
    </w:p>
    <w:p w14:paraId="4B8FF65B" w14:textId="77777777" w:rsidR="007A6627" w:rsidRDefault="007A6627" w:rsidP="007A6627">
      <w:pPr>
        <w:pStyle w:val="a9"/>
        <w:numPr>
          <w:ilvl w:val="0"/>
          <w:numId w:val="1"/>
        </w:numPr>
        <w:spacing w:line="360" w:lineRule="auto"/>
        <w:ind w:hanging="635"/>
        <w:jc w:val="both"/>
        <w:rPr>
          <w:rFonts w:ascii="Arial" w:hAnsi="Arial"/>
        </w:rPr>
      </w:pPr>
      <w:r>
        <w:rPr>
          <w:rFonts w:ascii="Arial" w:hAnsi="Arial"/>
          <w:rtl/>
        </w:rPr>
        <w:t xml:space="preserve">במכלול נסיבות אלו מוצאת אני כי מיקומו של הנאשם בחלק הנמוך של מתחם הענישה. </w:t>
      </w:r>
    </w:p>
    <w:p w14:paraId="6CEADF17" w14:textId="77777777" w:rsidR="007A6627" w:rsidRDefault="007A6627" w:rsidP="007A6627">
      <w:pPr>
        <w:pStyle w:val="a9"/>
        <w:spacing w:line="360" w:lineRule="auto"/>
        <w:jc w:val="both"/>
        <w:rPr>
          <w:rFonts w:ascii="Arial" w:hAnsi="Arial"/>
          <w:b/>
          <w:bCs/>
          <w:rtl/>
        </w:rPr>
      </w:pPr>
    </w:p>
    <w:p w14:paraId="097D73FD" w14:textId="77777777" w:rsidR="007A6627" w:rsidRDefault="007A6627" w:rsidP="007A6627">
      <w:pPr>
        <w:pStyle w:val="a9"/>
        <w:spacing w:line="360" w:lineRule="auto"/>
        <w:jc w:val="both"/>
        <w:rPr>
          <w:rFonts w:ascii="Arial" w:hAnsi="Arial"/>
          <w:u w:val="single"/>
          <w:rtl/>
        </w:rPr>
      </w:pPr>
      <w:r>
        <w:rPr>
          <w:rFonts w:ascii="Arial" w:hAnsi="Arial"/>
          <w:u w:val="single"/>
          <w:rtl/>
        </w:rPr>
        <w:t>סטייה משיקולי שיקום</w:t>
      </w:r>
    </w:p>
    <w:p w14:paraId="2CD7637D" w14:textId="77777777" w:rsidR="007A6627" w:rsidRDefault="007A6627" w:rsidP="007A6627">
      <w:pPr>
        <w:pStyle w:val="a9"/>
        <w:numPr>
          <w:ilvl w:val="0"/>
          <w:numId w:val="1"/>
        </w:numPr>
        <w:spacing w:line="360" w:lineRule="auto"/>
        <w:ind w:hanging="635"/>
        <w:jc w:val="both"/>
        <w:rPr>
          <w:rFonts w:ascii="Arial" w:hAnsi="Arial"/>
        </w:rPr>
      </w:pPr>
      <w:r>
        <w:rPr>
          <w:rFonts w:ascii="Arial" w:hAnsi="Arial"/>
          <w:rtl/>
        </w:rPr>
        <w:t xml:space="preserve">בעניינו של הנאשם הוגשו כאמור תסקירי שירות המבחן. שירות המבחן עמד כאמור על סיכויי שיקומו הגבוהים של הנאשם ועל שילובו המוצלח בהליך טיפולי ייעודי בו שולב, שיתוף הפעולה של הנאשם עם שירות המבחן ומוטיבציה גבוהה וכנה מצד הנאשם לערוך שינוי בחייו. שירות המבחן התרשם מנחיצות המשך הטיפול בעניינו של הנאשם וכי בהעדרו קיים סיכון להישנות העבירות. </w:t>
      </w:r>
    </w:p>
    <w:p w14:paraId="5E107D30" w14:textId="77777777" w:rsidR="007A6627" w:rsidRDefault="007A6627" w:rsidP="007A6627">
      <w:pPr>
        <w:pStyle w:val="a9"/>
        <w:spacing w:line="360" w:lineRule="auto"/>
        <w:jc w:val="both"/>
        <w:rPr>
          <w:rFonts w:ascii="Arial" w:hAnsi="Arial"/>
        </w:rPr>
      </w:pPr>
    </w:p>
    <w:p w14:paraId="399F7EEB" w14:textId="77777777" w:rsidR="007A6627" w:rsidRDefault="007A6627" w:rsidP="007A6627">
      <w:pPr>
        <w:pStyle w:val="a9"/>
        <w:numPr>
          <w:ilvl w:val="0"/>
          <w:numId w:val="1"/>
        </w:numPr>
        <w:spacing w:line="360" w:lineRule="auto"/>
        <w:ind w:hanging="635"/>
        <w:jc w:val="both"/>
        <w:rPr>
          <w:rFonts w:ascii="Arial" w:hAnsi="Arial"/>
        </w:rPr>
      </w:pPr>
      <w:r>
        <w:rPr>
          <w:rFonts w:ascii="Arial" w:hAnsi="Arial"/>
          <w:rtl/>
        </w:rPr>
        <w:t>בעניינו של הנאשם ה</w:t>
      </w:r>
      <w:r>
        <w:rPr>
          <w:rFonts w:ascii="Arial" w:hAnsi="Arial" w:hint="cs"/>
          <w:rtl/>
        </w:rPr>
        <w:t>וערכו</w:t>
      </w:r>
      <w:r>
        <w:rPr>
          <w:rFonts w:ascii="Arial" w:hAnsi="Arial"/>
          <w:rtl/>
        </w:rPr>
        <w:t xml:space="preserve"> סיכויי שיקום גבוהים ובנסיבות אלו המצטרפות לפגיעה הרבה במשפחתו של הנאשם בעקבות ההליך המשפטי ובאיזון רכיבי הענישה, מוצאת אני לבכר את האפיק השיקומי ולהורות על סטייה ממתחם הענישה בעניינו של הנאשם.  </w:t>
      </w:r>
    </w:p>
    <w:p w14:paraId="36D4C71A" w14:textId="77777777" w:rsidR="007A6627" w:rsidRDefault="007A6627" w:rsidP="007A6627">
      <w:pPr>
        <w:pStyle w:val="a9"/>
        <w:spacing w:line="360" w:lineRule="auto"/>
        <w:jc w:val="both"/>
        <w:rPr>
          <w:rFonts w:ascii="Arial" w:hAnsi="Arial"/>
        </w:rPr>
      </w:pPr>
    </w:p>
    <w:p w14:paraId="1BE70019" w14:textId="77777777" w:rsidR="007A6627" w:rsidRDefault="007A6627" w:rsidP="007A6627">
      <w:pPr>
        <w:pStyle w:val="a9"/>
        <w:numPr>
          <w:ilvl w:val="0"/>
          <w:numId w:val="1"/>
        </w:numPr>
        <w:spacing w:line="360" w:lineRule="auto"/>
        <w:ind w:hanging="635"/>
        <w:jc w:val="both"/>
        <w:rPr>
          <w:rFonts w:ascii="Arial" w:hAnsi="Arial"/>
        </w:rPr>
      </w:pPr>
      <w:r>
        <w:rPr>
          <w:rFonts w:ascii="Arial" w:hAnsi="Arial"/>
          <w:rtl/>
        </w:rPr>
        <w:t xml:space="preserve">לצד זאת, לנוכח חומרת העבירות וכענישה מוחשית ומרתיעה לבל ישוב לביצוע עבירות אלו מוצאת אני לאמץ המלצות שירות המבחן כי לצד העמדתו של הנאשם בצו מבחן יש להורות על הטלת מאסר לריצוי בעבודות שירות. דומה בעיניי, כי שילוב מרכיבי ענישה אלו ישיג את מטרת הגמול וההרתעה, לצד הושטת יד לנאשם לצלוח בדרכו ולערוך שינוי בחייו. משיקולי שיקומו של הנאשם ומאחר וחודשים ארוכים לא עבד בנסיבות מעצר הבית בו שהה ואף מעצרו בהליך זה למשך כחודשיים וחצי מאחורי סורג ובריח, יש להורות על ריצוי מאסר בעבודות שירות לתקופה שהנה מידתית וראויה וזאת להבטחת ההליך השיקומי ויכולתו לעמוד בהחזר חובות, לרבות חוב המזונות שצבר. זאת לצד הטלת מרכיבי ענישה אחרים, הטלת קנס כספי הולם, פסילה ופסילה על תנאי. </w:t>
      </w:r>
    </w:p>
    <w:p w14:paraId="07FB75C9" w14:textId="77777777" w:rsidR="007A6627" w:rsidRPr="00E94AEC" w:rsidRDefault="007A6627" w:rsidP="007A6627">
      <w:pPr>
        <w:pStyle w:val="a9"/>
        <w:rPr>
          <w:rFonts w:ascii="Arial" w:hAnsi="Arial"/>
          <w:rtl/>
        </w:rPr>
      </w:pPr>
    </w:p>
    <w:p w14:paraId="54E2440F" w14:textId="77777777" w:rsidR="007A6627" w:rsidRDefault="007A6627" w:rsidP="007A6627">
      <w:pPr>
        <w:pStyle w:val="a9"/>
        <w:numPr>
          <w:ilvl w:val="0"/>
          <w:numId w:val="1"/>
        </w:numPr>
        <w:spacing w:line="360" w:lineRule="auto"/>
        <w:ind w:hanging="635"/>
        <w:jc w:val="both"/>
        <w:rPr>
          <w:rFonts w:ascii="Arial" w:hAnsi="Arial"/>
        </w:rPr>
      </w:pPr>
      <w:r>
        <w:rPr>
          <w:rFonts w:ascii="Arial" w:hAnsi="Arial" w:hint="cs"/>
          <w:rtl/>
        </w:rPr>
        <w:t>המאשימה הודיעה לבית המשפט כי עסקו של הנאשם נסגר וכי במקום פועל עסק אחר, מסוג שונה ולפיכך צו לסגירת העסק והפסקת פעילות אינו רלוונטי יותר.</w:t>
      </w:r>
    </w:p>
    <w:p w14:paraId="0759DB74" w14:textId="77777777" w:rsidR="007A6627" w:rsidRDefault="007A6627" w:rsidP="007A6627">
      <w:pPr>
        <w:pStyle w:val="a9"/>
        <w:spacing w:line="360" w:lineRule="auto"/>
        <w:jc w:val="both"/>
        <w:rPr>
          <w:rFonts w:ascii="Arial" w:hAnsi="Arial"/>
        </w:rPr>
      </w:pPr>
    </w:p>
    <w:p w14:paraId="1D44A91D" w14:textId="77777777" w:rsidR="007A6627" w:rsidRDefault="007A6627" w:rsidP="007A6627">
      <w:pPr>
        <w:pStyle w:val="a9"/>
        <w:numPr>
          <w:ilvl w:val="0"/>
          <w:numId w:val="1"/>
        </w:numPr>
        <w:spacing w:line="360" w:lineRule="auto"/>
        <w:ind w:hanging="635"/>
        <w:jc w:val="both"/>
        <w:rPr>
          <w:rFonts w:ascii="Arial" w:hAnsi="Arial"/>
          <w:u w:val="single"/>
        </w:rPr>
      </w:pPr>
      <w:r>
        <w:rPr>
          <w:rFonts w:ascii="Arial" w:hAnsi="Arial"/>
          <w:u w:val="single"/>
          <w:rtl/>
        </w:rPr>
        <w:t>לאור כל האמור הנני גוזרת על הנאשם את העונשים הבאים:</w:t>
      </w:r>
    </w:p>
    <w:p w14:paraId="6E188B4F" w14:textId="77777777" w:rsidR="007A6627" w:rsidRDefault="007A6627" w:rsidP="007A6627">
      <w:pPr>
        <w:overflowPunct w:val="0"/>
        <w:autoSpaceDE w:val="0"/>
        <w:autoSpaceDN w:val="0"/>
        <w:adjustRightInd w:val="0"/>
        <w:spacing w:line="360" w:lineRule="auto"/>
        <w:ind w:left="1440" w:hanging="720"/>
        <w:jc w:val="both"/>
        <w:rPr>
          <w:rtl/>
        </w:rPr>
      </w:pPr>
      <w:r>
        <w:rPr>
          <w:rFonts w:hint="cs"/>
          <w:rtl/>
        </w:rPr>
        <w:t>א.</w:t>
      </w:r>
      <w:r>
        <w:rPr>
          <w:rFonts w:hint="cs"/>
          <w:rtl/>
        </w:rPr>
        <w:tab/>
        <w:t>מאסר לתקופה של     6 חודשים אשר ירוצה בדרך של עבודות שירות, בהתאם לחוות דעת הממונה על עבודות השירות.</w:t>
      </w:r>
    </w:p>
    <w:p w14:paraId="3EA5445E" w14:textId="77777777" w:rsidR="007A6627" w:rsidRDefault="007A6627" w:rsidP="007A6627">
      <w:pPr>
        <w:overflowPunct w:val="0"/>
        <w:autoSpaceDE w:val="0"/>
        <w:autoSpaceDN w:val="0"/>
        <w:adjustRightInd w:val="0"/>
        <w:spacing w:line="360" w:lineRule="auto"/>
        <w:ind w:left="1440" w:hanging="720"/>
        <w:rPr>
          <w:rtl/>
        </w:rPr>
      </w:pPr>
      <w:r>
        <w:rPr>
          <w:rtl/>
        </w:rPr>
        <w:tab/>
      </w:r>
      <w:r>
        <w:rPr>
          <w:rFonts w:hint="cs"/>
          <w:rtl/>
        </w:rPr>
        <w:t>מתקופת המאסר בדרך של עבודות שירות תנוכה תקופה מעצרו של הנאשם מיום 27.1.21. ועד ליום 5.4.21 .</w:t>
      </w:r>
    </w:p>
    <w:p w14:paraId="653CAEED" w14:textId="77777777" w:rsidR="007A6627" w:rsidRDefault="007A6627" w:rsidP="007A6627">
      <w:pPr>
        <w:overflowPunct w:val="0"/>
        <w:autoSpaceDE w:val="0"/>
        <w:autoSpaceDN w:val="0"/>
        <w:adjustRightInd w:val="0"/>
        <w:spacing w:line="360" w:lineRule="auto"/>
        <w:ind w:left="1440"/>
        <w:jc w:val="both"/>
        <w:rPr>
          <w:rtl/>
        </w:rPr>
      </w:pPr>
      <w:r>
        <w:rPr>
          <w:rFonts w:hint="cs"/>
          <w:rtl/>
        </w:rPr>
        <w:t xml:space="preserve">הנאשם יתייצב לריצוי עבודות השירות ביום 13.9.22 בשעה 08:00 אצל הממונה על עבודות השירות ליד בית הסוהר מגידו. </w:t>
      </w:r>
    </w:p>
    <w:p w14:paraId="640F9FB3" w14:textId="77777777" w:rsidR="007A6627" w:rsidRDefault="007A6627" w:rsidP="007A6627">
      <w:pPr>
        <w:overflowPunct w:val="0"/>
        <w:autoSpaceDE w:val="0"/>
        <w:autoSpaceDN w:val="0"/>
        <w:adjustRightInd w:val="0"/>
        <w:spacing w:line="360" w:lineRule="auto"/>
        <w:ind w:left="1440"/>
        <w:jc w:val="both"/>
        <w:rPr>
          <w:rtl/>
        </w:rPr>
      </w:pPr>
      <w:r>
        <w:rPr>
          <w:rFonts w:hint="cs"/>
          <w:rtl/>
        </w:rPr>
        <w:t xml:space="preserve">הנאשם מוזהר בדבר ריצוי קפדני של עבודות השירות. </w:t>
      </w:r>
    </w:p>
    <w:p w14:paraId="466E7B8E" w14:textId="77777777" w:rsidR="007A6627" w:rsidRDefault="007A6627" w:rsidP="007A6627">
      <w:pPr>
        <w:overflowPunct w:val="0"/>
        <w:autoSpaceDE w:val="0"/>
        <w:autoSpaceDN w:val="0"/>
        <w:adjustRightInd w:val="0"/>
        <w:spacing w:line="360" w:lineRule="auto"/>
      </w:pPr>
    </w:p>
    <w:p w14:paraId="1786D526" w14:textId="77777777" w:rsidR="007A6627" w:rsidRDefault="007A6627" w:rsidP="007A6627">
      <w:pPr>
        <w:overflowPunct w:val="0"/>
        <w:autoSpaceDE w:val="0"/>
        <w:autoSpaceDN w:val="0"/>
        <w:adjustRightInd w:val="0"/>
        <w:spacing w:line="360" w:lineRule="auto"/>
        <w:ind w:left="1440" w:hanging="720"/>
        <w:jc w:val="both"/>
        <w:rPr>
          <w:rtl/>
        </w:rPr>
      </w:pPr>
      <w:r>
        <w:rPr>
          <w:rFonts w:hint="cs"/>
          <w:rtl/>
        </w:rPr>
        <w:t>ב.</w:t>
      </w:r>
      <w:r>
        <w:rPr>
          <w:rFonts w:hint="cs"/>
          <w:rtl/>
        </w:rPr>
        <w:tab/>
        <w:t xml:space="preserve">מאסר על תנאי לתקופה של  חודשיים, למשך  3  שנים מהיום, והתנאי הוא כי הנאשם לא יעבור בתקופה זו עבירה על </w:t>
      </w:r>
      <w:hyperlink r:id="rId46" w:history="1">
        <w:r w:rsidR="00C733AC" w:rsidRPr="00C733AC">
          <w:rPr>
            <w:color w:val="0000FF"/>
            <w:u w:val="single"/>
            <w:rtl/>
          </w:rPr>
          <w:t>פקודת הסמים המסוכנים</w:t>
        </w:r>
      </w:hyperlink>
      <w:r>
        <w:rPr>
          <w:rFonts w:hint="cs"/>
          <w:rtl/>
        </w:rPr>
        <w:t xml:space="preserve"> מסוג עוון או עבירת ניהול עסק ללא רישיון או היתר , ויורשע עליה בדין. </w:t>
      </w:r>
    </w:p>
    <w:p w14:paraId="2AABCF20" w14:textId="77777777" w:rsidR="007A6627" w:rsidRDefault="007A6627" w:rsidP="007A6627">
      <w:pPr>
        <w:overflowPunct w:val="0"/>
        <w:autoSpaceDE w:val="0"/>
        <w:autoSpaceDN w:val="0"/>
        <w:adjustRightInd w:val="0"/>
        <w:spacing w:line="360" w:lineRule="auto"/>
        <w:ind w:left="1440" w:hanging="720"/>
        <w:jc w:val="both"/>
        <w:rPr>
          <w:rtl/>
        </w:rPr>
      </w:pPr>
    </w:p>
    <w:p w14:paraId="1C35BA92" w14:textId="77777777" w:rsidR="007A6627" w:rsidRDefault="007A6627" w:rsidP="007A6627">
      <w:pPr>
        <w:overflowPunct w:val="0"/>
        <w:autoSpaceDE w:val="0"/>
        <w:autoSpaceDN w:val="0"/>
        <w:adjustRightInd w:val="0"/>
        <w:spacing w:line="360" w:lineRule="auto"/>
        <w:ind w:left="1440" w:hanging="720"/>
        <w:jc w:val="both"/>
      </w:pPr>
      <w:r>
        <w:rPr>
          <w:rFonts w:hint="cs"/>
          <w:rtl/>
        </w:rPr>
        <w:t>ג.</w:t>
      </w:r>
      <w:r>
        <w:rPr>
          <w:rFonts w:hint="cs"/>
          <w:rtl/>
        </w:rPr>
        <w:tab/>
        <w:t xml:space="preserve">מאסר על תנאי לתקופה של 6 חודשים, למשך  3  שנים מהיום, והתנאי הוא כי הנאשם לא יעבור בתקופה זו עבירה על </w:t>
      </w:r>
      <w:hyperlink r:id="rId47" w:history="1">
        <w:r w:rsidR="00C733AC" w:rsidRPr="00C733AC">
          <w:rPr>
            <w:color w:val="0000FF"/>
            <w:u w:val="single"/>
            <w:rtl/>
          </w:rPr>
          <w:t>פקודת הסמים המסוכנים</w:t>
        </w:r>
      </w:hyperlink>
      <w:r>
        <w:rPr>
          <w:rFonts w:hint="cs"/>
          <w:rtl/>
        </w:rPr>
        <w:t xml:space="preserve"> מסוג פשע , ויורשע עליה בדין. </w:t>
      </w:r>
    </w:p>
    <w:p w14:paraId="54433281" w14:textId="77777777" w:rsidR="007A6627" w:rsidRDefault="007A6627" w:rsidP="007A6627">
      <w:pPr>
        <w:overflowPunct w:val="0"/>
        <w:autoSpaceDE w:val="0"/>
        <w:autoSpaceDN w:val="0"/>
        <w:adjustRightInd w:val="0"/>
        <w:spacing w:line="360" w:lineRule="auto"/>
        <w:ind w:left="720"/>
      </w:pPr>
    </w:p>
    <w:p w14:paraId="30F552EF" w14:textId="77777777" w:rsidR="007A6627" w:rsidRDefault="007A6627" w:rsidP="007A6627">
      <w:pPr>
        <w:overflowPunct w:val="0"/>
        <w:autoSpaceDE w:val="0"/>
        <w:autoSpaceDN w:val="0"/>
        <w:adjustRightInd w:val="0"/>
        <w:spacing w:line="360" w:lineRule="auto"/>
        <w:ind w:left="1440" w:hanging="720"/>
        <w:jc w:val="both"/>
        <w:rPr>
          <w:rtl/>
        </w:rPr>
      </w:pPr>
      <w:r>
        <w:rPr>
          <w:rFonts w:hint="cs"/>
          <w:rtl/>
        </w:rPr>
        <w:t>ד.</w:t>
      </w:r>
      <w:r>
        <w:rPr>
          <w:rFonts w:hint="cs"/>
          <w:rtl/>
        </w:rPr>
        <w:tab/>
        <w:t>קנס בסך 3,000  ש"ח, או  12 ימי מאסר תמורתו.  הקנס ישולם ב 10 תשלומים חודשיים שווים ורצופים בסך של 300 ₪ כל אחד החל מיום 15.8.22 ובכל 15 לחודש עוקב.</w:t>
      </w:r>
    </w:p>
    <w:p w14:paraId="4E7B6D05" w14:textId="77777777" w:rsidR="007A6627" w:rsidRDefault="007A6627" w:rsidP="007A6627">
      <w:pPr>
        <w:spacing w:line="360" w:lineRule="auto"/>
        <w:ind w:left="1440" w:hanging="720"/>
        <w:jc w:val="both"/>
        <w:rPr>
          <w:rFonts w:ascii="Arial" w:hAnsi="Arial" w:cs="Arial"/>
          <w:sz w:val="22"/>
          <w:szCs w:val="22"/>
          <w:rtl/>
        </w:rPr>
      </w:pPr>
      <w:r>
        <w:rPr>
          <w:rFonts w:ascii="Arial" w:hAnsi="Arial" w:cs="Arial"/>
          <w:b/>
          <w:bCs/>
          <w:sz w:val="22"/>
          <w:szCs w:val="22"/>
          <w:rtl/>
        </w:rPr>
        <w:t>*</w:t>
      </w:r>
      <w:r>
        <w:rPr>
          <w:rFonts w:ascii="Arial" w:hAnsi="Arial" w:cs="Arial"/>
          <w:b/>
          <w:bCs/>
          <w:sz w:val="22"/>
          <w:szCs w:val="22"/>
          <w:rtl/>
        </w:rPr>
        <w:tab/>
        <w:t>בכרטיס אשראי</w:t>
      </w:r>
      <w:r>
        <w:rPr>
          <w:rFonts w:ascii="Arial" w:hAnsi="Arial" w:cs="Arial"/>
          <w:sz w:val="22"/>
          <w:szCs w:val="22"/>
          <w:rtl/>
        </w:rPr>
        <w:t xml:space="preserve"> – באתר המקוון של רשות האכיפה והגבייה, </w:t>
      </w:r>
      <w:hyperlink r:id="rId48" w:history="1">
        <w:r>
          <w:rPr>
            <w:rStyle w:val="Hyperlink"/>
            <w:rFonts w:ascii="Calibri" w:hAnsi="Calibri" w:cs="Arial"/>
            <w:color w:val="0563C1"/>
            <w:sz w:val="22"/>
            <w:szCs w:val="22"/>
          </w:rPr>
          <w:t>www.eca.gov.il</w:t>
        </w:r>
      </w:hyperlink>
      <w:r>
        <w:rPr>
          <w:rFonts w:ascii="Arial" w:hAnsi="Arial" w:cs="Arial"/>
          <w:sz w:val="22"/>
          <w:szCs w:val="22"/>
          <w:rtl/>
        </w:rPr>
        <w:t xml:space="preserve"> (ניתן לשלם בפריסה של עד 18 תשלומים בהסדר קרדיט) או חפש בגוגל "תשלום גביית קנסות". </w:t>
      </w:r>
    </w:p>
    <w:p w14:paraId="70123C9E" w14:textId="77777777" w:rsidR="007A6627" w:rsidRDefault="007A6627" w:rsidP="007A6627">
      <w:pPr>
        <w:spacing w:line="360" w:lineRule="auto"/>
        <w:ind w:left="1440" w:hanging="720"/>
        <w:jc w:val="both"/>
        <w:rPr>
          <w:rFonts w:ascii="Arial" w:hAnsi="Arial" w:cs="Arial"/>
          <w:sz w:val="22"/>
          <w:szCs w:val="22"/>
          <w:rtl/>
        </w:rPr>
      </w:pPr>
      <w:r>
        <w:rPr>
          <w:rFonts w:ascii="Arial" w:hAnsi="Arial" w:cs="Arial"/>
          <w:b/>
          <w:bCs/>
          <w:sz w:val="22"/>
          <w:szCs w:val="22"/>
          <w:rtl/>
        </w:rPr>
        <w:t>*</w:t>
      </w:r>
      <w:r w:rsidR="00C733AC">
        <w:rPr>
          <w:rFonts w:ascii="Arial" w:hAnsi="Arial" w:cs="Arial"/>
          <w:b/>
          <w:bCs/>
          <w:sz w:val="22"/>
          <w:szCs w:val="22"/>
          <w:rtl/>
        </w:rPr>
        <w:t xml:space="preserve">          </w:t>
      </w:r>
      <w:r>
        <w:rPr>
          <w:rFonts w:ascii="Arial" w:hAnsi="Arial" w:cs="Arial"/>
          <w:b/>
          <w:bCs/>
          <w:sz w:val="22"/>
          <w:szCs w:val="22"/>
          <w:rtl/>
        </w:rPr>
        <w:t xml:space="preserve"> מוקד שירות טלפוני בשירות עצמי (מרכז גבייה)</w:t>
      </w:r>
      <w:r>
        <w:rPr>
          <w:rFonts w:ascii="Arial" w:hAnsi="Arial" w:cs="Arial"/>
          <w:sz w:val="22"/>
          <w:szCs w:val="22"/>
          <w:rtl/>
        </w:rPr>
        <w:t xml:space="preserve"> – בטלפון *35592 או בטלפון: 073-2055000.</w:t>
      </w:r>
    </w:p>
    <w:p w14:paraId="06AC7782" w14:textId="77777777" w:rsidR="007A6627" w:rsidRDefault="007A6627" w:rsidP="007A6627">
      <w:pPr>
        <w:spacing w:line="360" w:lineRule="auto"/>
        <w:ind w:left="1440" w:hanging="720"/>
        <w:jc w:val="both"/>
        <w:rPr>
          <w:rFonts w:ascii="Arial" w:hAnsi="Arial" w:cs="Arial"/>
          <w:sz w:val="22"/>
          <w:szCs w:val="22"/>
          <w:rtl/>
        </w:rPr>
      </w:pPr>
      <w:r>
        <w:rPr>
          <w:rFonts w:ascii="Arial" w:hAnsi="Arial" w:cs="Arial"/>
          <w:b/>
          <w:bCs/>
          <w:sz w:val="22"/>
          <w:szCs w:val="22"/>
          <w:rtl/>
        </w:rPr>
        <w:t>*</w:t>
      </w:r>
      <w:r w:rsidR="00C733AC">
        <w:rPr>
          <w:rFonts w:ascii="Arial" w:hAnsi="Arial" w:cs="Arial"/>
          <w:b/>
          <w:bCs/>
          <w:sz w:val="22"/>
          <w:szCs w:val="22"/>
          <w:rtl/>
        </w:rPr>
        <w:t xml:space="preserve">          </w:t>
      </w:r>
      <w:r>
        <w:rPr>
          <w:rFonts w:ascii="Arial" w:hAnsi="Arial" w:cs="Arial"/>
          <w:b/>
          <w:bCs/>
          <w:sz w:val="22"/>
          <w:szCs w:val="22"/>
          <w:rtl/>
        </w:rPr>
        <w:t xml:space="preserve"> במזומן בכל סניף של בנק הדואר </w:t>
      </w:r>
      <w:r>
        <w:rPr>
          <w:rFonts w:ascii="Arial" w:hAnsi="Arial" w:cs="Arial"/>
          <w:sz w:val="22"/>
          <w:szCs w:val="22"/>
          <w:rtl/>
        </w:rPr>
        <w:t xml:space="preserve">– בהצגת תעודת זהות בלבד (אין צורך בשוברי תשלום). </w:t>
      </w:r>
    </w:p>
    <w:p w14:paraId="21715E51" w14:textId="77777777" w:rsidR="007A6627" w:rsidRDefault="007A6627" w:rsidP="007A6627">
      <w:pPr>
        <w:overflowPunct w:val="0"/>
        <w:autoSpaceDE w:val="0"/>
        <w:autoSpaceDN w:val="0"/>
        <w:adjustRightInd w:val="0"/>
        <w:spacing w:line="360" w:lineRule="auto"/>
        <w:ind w:left="720" w:hanging="720"/>
        <w:jc w:val="both"/>
        <w:rPr>
          <w:rtl/>
        </w:rPr>
      </w:pPr>
    </w:p>
    <w:p w14:paraId="153C03B9" w14:textId="77777777" w:rsidR="007A6627" w:rsidRDefault="007A6627" w:rsidP="007A6627">
      <w:pPr>
        <w:overflowPunct w:val="0"/>
        <w:autoSpaceDE w:val="0"/>
        <w:autoSpaceDN w:val="0"/>
        <w:adjustRightInd w:val="0"/>
        <w:spacing w:line="360" w:lineRule="auto"/>
        <w:ind w:left="1440" w:hanging="720"/>
        <w:jc w:val="both"/>
        <w:rPr>
          <w:rtl/>
        </w:rPr>
      </w:pPr>
      <w:r>
        <w:rPr>
          <w:rFonts w:hint="cs"/>
          <w:rtl/>
        </w:rPr>
        <w:t>ה.</w:t>
      </w:r>
      <w:r>
        <w:rPr>
          <w:rFonts w:hint="cs"/>
          <w:rtl/>
        </w:rPr>
        <w:tab/>
        <w:t xml:space="preserve">הנאשם יצהיר על התחייבות כספית בסך של 10,000 ₪ , להימנע מלעבור עבירת ניהול עסק בלא רישיון או היתר זמני או עבירת ניהול עסק בחריגה מרישיון או היתר בתוך 3 שנים  מהיום.  </w:t>
      </w:r>
    </w:p>
    <w:p w14:paraId="3A678FD2" w14:textId="77777777" w:rsidR="007A6627" w:rsidRDefault="007A6627" w:rsidP="007A6627">
      <w:pPr>
        <w:overflowPunct w:val="0"/>
        <w:autoSpaceDE w:val="0"/>
        <w:autoSpaceDN w:val="0"/>
        <w:adjustRightInd w:val="0"/>
        <w:spacing w:line="360" w:lineRule="auto"/>
        <w:ind w:left="1440"/>
        <w:jc w:val="both"/>
        <w:rPr>
          <w:rtl/>
        </w:rPr>
      </w:pPr>
      <w:r>
        <w:rPr>
          <w:rFonts w:hint="cs"/>
          <w:rtl/>
        </w:rPr>
        <w:t>אם לא יצהיר  היום על ההתחייבות, יש לאסור אותו למשך 15  ימים.</w:t>
      </w:r>
    </w:p>
    <w:p w14:paraId="32054D4C" w14:textId="77777777" w:rsidR="007A6627" w:rsidRDefault="007A6627" w:rsidP="007A6627">
      <w:pPr>
        <w:overflowPunct w:val="0"/>
        <w:autoSpaceDE w:val="0"/>
        <w:autoSpaceDN w:val="0"/>
        <w:adjustRightInd w:val="0"/>
        <w:spacing w:line="360" w:lineRule="auto"/>
        <w:ind w:left="1440" w:hanging="720"/>
        <w:jc w:val="both"/>
        <w:rPr>
          <w:rtl/>
        </w:rPr>
      </w:pPr>
    </w:p>
    <w:p w14:paraId="10732691" w14:textId="77777777" w:rsidR="007A6627" w:rsidRDefault="007A6627" w:rsidP="007A6627">
      <w:pPr>
        <w:overflowPunct w:val="0"/>
        <w:autoSpaceDE w:val="0"/>
        <w:autoSpaceDN w:val="0"/>
        <w:adjustRightInd w:val="0"/>
        <w:spacing w:line="360" w:lineRule="auto"/>
        <w:ind w:left="1440" w:hanging="720"/>
        <w:jc w:val="both"/>
        <w:rPr>
          <w:rtl/>
        </w:rPr>
      </w:pPr>
      <w:r>
        <w:rPr>
          <w:rFonts w:hint="cs"/>
          <w:rtl/>
        </w:rPr>
        <w:t>ו.</w:t>
      </w:r>
      <w:r>
        <w:rPr>
          <w:rFonts w:hint="cs"/>
          <w:rtl/>
        </w:rPr>
        <w:tab/>
        <w:t xml:space="preserve">צו מבחן לתקופה של 12 חודשים, כהמלצת שירות המבחן. במסגרת צו המבחן יבצע הנאשם את כל הנדרש על ידי שירות המבחן, ובכלל זה כל טיפול שיידרש על ידו. </w:t>
      </w:r>
    </w:p>
    <w:p w14:paraId="2C9B46DE" w14:textId="77777777" w:rsidR="007A6627" w:rsidRDefault="007A6627" w:rsidP="007A6627">
      <w:pPr>
        <w:overflowPunct w:val="0"/>
        <w:autoSpaceDE w:val="0"/>
        <w:autoSpaceDN w:val="0"/>
        <w:adjustRightInd w:val="0"/>
        <w:spacing w:line="360" w:lineRule="auto"/>
        <w:ind w:left="1440"/>
        <w:jc w:val="both"/>
        <w:rPr>
          <w:rtl/>
        </w:rPr>
      </w:pPr>
      <w:r>
        <w:rPr>
          <w:rFonts w:hint="cs"/>
          <w:rtl/>
        </w:rPr>
        <w:t xml:space="preserve">הוסבר לנאשם משמעות צו המבחן ומשעות הפרתו והוא קיבל אותו על עצמו. </w:t>
      </w:r>
    </w:p>
    <w:p w14:paraId="5BFA8358" w14:textId="77777777" w:rsidR="007A6627" w:rsidRDefault="007A6627" w:rsidP="007A6627">
      <w:pPr>
        <w:overflowPunct w:val="0"/>
        <w:autoSpaceDE w:val="0"/>
        <w:autoSpaceDN w:val="0"/>
        <w:adjustRightInd w:val="0"/>
        <w:spacing w:line="360" w:lineRule="auto"/>
        <w:ind w:left="720"/>
        <w:jc w:val="both"/>
        <w:rPr>
          <w:rtl/>
        </w:rPr>
      </w:pPr>
    </w:p>
    <w:p w14:paraId="348DB8DC" w14:textId="77777777" w:rsidR="007A6627" w:rsidRDefault="007A6627" w:rsidP="007A6627">
      <w:pPr>
        <w:overflowPunct w:val="0"/>
        <w:autoSpaceDE w:val="0"/>
        <w:autoSpaceDN w:val="0"/>
        <w:adjustRightInd w:val="0"/>
        <w:spacing w:line="360" w:lineRule="auto"/>
        <w:ind w:left="1440" w:hanging="720"/>
        <w:jc w:val="both"/>
        <w:rPr>
          <w:rtl/>
        </w:rPr>
      </w:pPr>
      <w:r>
        <w:rPr>
          <w:rFonts w:hint="cs"/>
          <w:rtl/>
        </w:rPr>
        <w:t>ז.</w:t>
      </w:r>
      <w:r>
        <w:rPr>
          <w:rFonts w:hint="cs"/>
          <w:rtl/>
        </w:rPr>
        <w:tab/>
      </w:r>
      <w:r>
        <w:rPr>
          <w:rtl/>
        </w:rPr>
        <w:t>הנני פוסל</w:t>
      </w:r>
      <w:r>
        <w:rPr>
          <w:rFonts w:hint="cs"/>
          <w:rtl/>
        </w:rPr>
        <w:t>ת</w:t>
      </w:r>
      <w:r>
        <w:rPr>
          <w:rtl/>
        </w:rPr>
        <w:t xml:space="preserve"> את הנאשם מלקבל או מלהחזיק רשיון נהיגה לתקופה של  </w:t>
      </w:r>
      <w:r>
        <w:rPr>
          <w:rFonts w:hint="cs"/>
          <w:rtl/>
        </w:rPr>
        <w:t>12</w:t>
      </w:r>
      <w:r>
        <w:rPr>
          <w:rtl/>
        </w:rPr>
        <w:t xml:space="preserve"> חודשים וזאת על תנאי למשך </w:t>
      </w:r>
      <w:r>
        <w:rPr>
          <w:rFonts w:hint="cs"/>
          <w:rtl/>
        </w:rPr>
        <w:t>שלוש</w:t>
      </w:r>
      <w:r>
        <w:rPr>
          <w:rtl/>
        </w:rPr>
        <w:t xml:space="preserve"> והתנאי הוא שהנאשם לא יעבור עבירה</w:t>
      </w:r>
      <w:r>
        <w:rPr>
          <w:rFonts w:hint="cs"/>
          <w:rtl/>
        </w:rPr>
        <w:t xml:space="preserve"> על </w:t>
      </w:r>
      <w:hyperlink r:id="rId49" w:history="1">
        <w:r w:rsidR="00C733AC" w:rsidRPr="00C733AC">
          <w:rPr>
            <w:color w:val="0000FF"/>
            <w:u w:val="single"/>
            <w:rtl/>
          </w:rPr>
          <w:t>פקודת הסמים המסוכנים</w:t>
        </w:r>
      </w:hyperlink>
      <w:r>
        <w:rPr>
          <w:rFonts w:hint="cs"/>
          <w:rtl/>
        </w:rPr>
        <w:t xml:space="preserve"> מסוג פשע</w:t>
      </w:r>
      <w:r>
        <w:rPr>
          <w:rtl/>
        </w:rPr>
        <w:t xml:space="preserve"> ויורשע בה. </w:t>
      </w:r>
    </w:p>
    <w:p w14:paraId="3BF9AD5C" w14:textId="77777777" w:rsidR="007A6627" w:rsidRDefault="007A6627" w:rsidP="007A6627">
      <w:pPr>
        <w:overflowPunct w:val="0"/>
        <w:autoSpaceDE w:val="0"/>
        <w:autoSpaceDN w:val="0"/>
        <w:adjustRightInd w:val="0"/>
        <w:spacing w:line="360" w:lineRule="auto"/>
        <w:rPr>
          <w:rtl/>
        </w:rPr>
      </w:pPr>
    </w:p>
    <w:p w14:paraId="747C694D" w14:textId="77777777" w:rsidR="007A6627" w:rsidRDefault="007A6627" w:rsidP="007A6627">
      <w:pPr>
        <w:overflowPunct w:val="0"/>
        <w:autoSpaceDE w:val="0"/>
        <w:autoSpaceDN w:val="0"/>
        <w:adjustRightInd w:val="0"/>
        <w:spacing w:line="360" w:lineRule="auto"/>
        <w:rPr>
          <w:rtl/>
        </w:rPr>
      </w:pPr>
      <w:r>
        <w:rPr>
          <w:rFonts w:hint="cs"/>
          <w:rtl/>
        </w:rPr>
        <w:t>צו להשמדת המוצגים ובכלל זה סמים, משקל ושקיות.</w:t>
      </w:r>
    </w:p>
    <w:p w14:paraId="63E0A8BB" w14:textId="77777777" w:rsidR="007A6627" w:rsidRPr="00C733AC" w:rsidRDefault="00C733AC" w:rsidP="007A6627">
      <w:pPr>
        <w:overflowPunct w:val="0"/>
        <w:autoSpaceDE w:val="0"/>
        <w:autoSpaceDN w:val="0"/>
        <w:adjustRightInd w:val="0"/>
        <w:spacing w:line="360" w:lineRule="auto"/>
        <w:rPr>
          <w:color w:val="FFFFFF"/>
          <w:sz w:val="2"/>
          <w:szCs w:val="2"/>
          <w:rtl/>
        </w:rPr>
      </w:pPr>
      <w:r w:rsidRPr="00C733AC">
        <w:rPr>
          <w:color w:val="FFFFFF"/>
          <w:sz w:val="2"/>
          <w:szCs w:val="2"/>
          <w:rtl/>
        </w:rPr>
        <w:t>5129371</w:t>
      </w:r>
    </w:p>
    <w:p w14:paraId="3CB5EE38" w14:textId="77777777" w:rsidR="007A6627" w:rsidRDefault="00C733AC" w:rsidP="007A6627">
      <w:pPr>
        <w:overflowPunct w:val="0"/>
        <w:autoSpaceDE w:val="0"/>
        <w:autoSpaceDN w:val="0"/>
        <w:adjustRightInd w:val="0"/>
        <w:spacing w:line="360" w:lineRule="auto"/>
        <w:rPr>
          <w:rtl/>
        </w:rPr>
      </w:pPr>
      <w:r w:rsidRPr="00C733AC">
        <w:rPr>
          <w:color w:val="FFFFFF"/>
          <w:sz w:val="2"/>
          <w:szCs w:val="2"/>
          <w:rtl/>
        </w:rPr>
        <w:t>54678313</w:t>
      </w:r>
      <w:r w:rsidR="007A6627">
        <w:rPr>
          <w:rFonts w:hint="cs"/>
          <w:rtl/>
        </w:rPr>
        <w:t xml:space="preserve">זכות ערעור תוך 45 יום מהיום. </w:t>
      </w:r>
    </w:p>
    <w:p w14:paraId="2A809D7B" w14:textId="77777777" w:rsidR="007A6627" w:rsidRDefault="007A6627" w:rsidP="007A6627">
      <w:pPr>
        <w:overflowPunct w:val="0"/>
        <w:autoSpaceDE w:val="0"/>
        <w:autoSpaceDN w:val="0"/>
        <w:adjustRightInd w:val="0"/>
        <w:spacing w:line="360" w:lineRule="auto"/>
        <w:rPr>
          <w:rtl/>
        </w:rPr>
      </w:pPr>
    </w:p>
    <w:p w14:paraId="232647EF" w14:textId="77777777" w:rsidR="007A6627" w:rsidRPr="000F2247" w:rsidRDefault="00C733AC" w:rsidP="007A6627">
      <w:pPr>
        <w:rPr>
          <w:rFonts w:ascii="Arial" w:hAnsi="Arial"/>
          <w:b/>
          <w:bCs/>
          <w:sz w:val="26"/>
          <w:szCs w:val="26"/>
          <w:rtl/>
        </w:rPr>
      </w:pPr>
      <w:bookmarkStart w:id="8" w:name="Nitan"/>
      <w:r>
        <w:rPr>
          <w:rFonts w:ascii="Arial" w:hAnsi="Arial"/>
          <w:b/>
          <w:bCs/>
          <w:sz w:val="26"/>
          <w:szCs w:val="26"/>
          <w:rtl/>
        </w:rPr>
        <w:t xml:space="preserve">ניתן היום,  ו' תמוז תשפ"ב, 05 יולי 2022, בנוכחות הצדדים. </w:t>
      </w:r>
      <w:bookmarkEnd w:id="8"/>
    </w:p>
    <w:p w14:paraId="0EA263E9" w14:textId="77777777" w:rsidR="007A6627" w:rsidRPr="000F2247" w:rsidRDefault="007A6627" w:rsidP="00C733A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6DF8B15" w14:textId="77777777" w:rsidR="007A6627" w:rsidRPr="000F2247" w:rsidRDefault="007A6627" w:rsidP="007A6627">
      <w:pPr>
        <w:jc w:val="center"/>
        <w:rPr>
          <w:rFonts w:ascii="Arial" w:hAnsi="Arial"/>
          <w:b/>
          <w:bCs/>
          <w:sz w:val="26"/>
          <w:szCs w:val="26"/>
          <w:rtl/>
        </w:rPr>
      </w:pPr>
    </w:p>
    <w:p w14:paraId="48E76943" w14:textId="77777777" w:rsidR="009F4624" w:rsidRPr="00C733AC" w:rsidRDefault="009F4624" w:rsidP="00C733AC">
      <w:pPr>
        <w:keepNext/>
        <w:rPr>
          <w:rFonts w:ascii="David" w:hAnsi="David"/>
          <w:color w:val="000000"/>
          <w:sz w:val="22"/>
          <w:szCs w:val="22"/>
          <w:rtl/>
        </w:rPr>
      </w:pPr>
    </w:p>
    <w:p w14:paraId="70BE17DD" w14:textId="77777777" w:rsidR="00C733AC" w:rsidRPr="00C733AC" w:rsidRDefault="00C733AC" w:rsidP="00C733AC">
      <w:pPr>
        <w:keepNext/>
        <w:rPr>
          <w:rFonts w:ascii="David" w:hAnsi="David"/>
          <w:color w:val="000000"/>
          <w:sz w:val="22"/>
          <w:szCs w:val="22"/>
          <w:rtl/>
        </w:rPr>
      </w:pPr>
      <w:r w:rsidRPr="00C733AC">
        <w:rPr>
          <w:rFonts w:ascii="David" w:hAnsi="David"/>
          <w:color w:val="000000"/>
          <w:sz w:val="22"/>
          <w:szCs w:val="22"/>
          <w:rtl/>
        </w:rPr>
        <w:t>שושנה פיינסוד כהן 54678313</w:t>
      </w:r>
    </w:p>
    <w:p w14:paraId="47A66209" w14:textId="77777777" w:rsidR="00C733AC" w:rsidRDefault="00C733AC" w:rsidP="00C733AC">
      <w:r w:rsidRPr="00C733AC">
        <w:rPr>
          <w:color w:val="000000"/>
          <w:rtl/>
        </w:rPr>
        <w:t>נוסח מסמך זה כפוף לשינויי ניסוח ועריכה</w:t>
      </w:r>
    </w:p>
    <w:p w14:paraId="550BCAB6" w14:textId="77777777" w:rsidR="00C733AC" w:rsidRDefault="00C733AC" w:rsidP="00C733AC">
      <w:pPr>
        <w:rPr>
          <w:rtl/>
        </w:rPr>
      </w:pPr>
    </w:p>
    <w:p w14:paraId="406C80FC" w14:textId="77777777" w:rsidR="00C733AC" w:rsidRDefault="00C733AC" w:rsidP="00C733AC">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1D9D075C" w14:textId="77777777" w:rsidR="00C733AC" w:rsidRPr="00C733AC" w:rsidRDefault="00C733AC" w:rsidP="00C733AC">
      <w:pPr>
        <w:jc w:val="center"/>
        <w:rPr>
          <w:color w:val="0000FF"/>
          <w:u w:val="single"/>
        </w:rPr>
      </w:pPr>
    </w:p>
    <w:sectPr w:rsidR="00C733AC" w:rsidRPr="00C733AC" w:rsidSect="00C733AC">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A5A982" w14:textId="77777777" w:rsidR="008023A7" w:rsidRDefault="008023A7" w:rsidP="00CD060B">
      <w:r>
        <w:separator/>
      </w:r>
    </w:p>
  </w:endnote>
  <w:endnote w:type="continuationSeparator" w:id="0">
    <w:p w14:paraId="5860DF20" w14:textId="77777777" w:rsidR="008023A7" w:rsidRDefault="008023A7" w:rsidP="00CD0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59DF0" w14:textId="77777777" w:rsidR="00C733AC" w:rsidRDefault="00C733AC" w:rsidP="00C733A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ED8DF0C" w14:textId="77777777" w:rsidR="001F4C2C" w:rsidRPr="00C733AC" w:rsidRDefault="00C733AC" w:rsidP="00C733A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59E0B" w14:textId="77777777" w:rsidR="00C733AC" w:rsidRDefault="00C733AC" w:rsidP="00C733A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A293D">
      <w:rPr>
        <w:rFonts w:ascii="FrankRuehl" w:hAnsi="FrankRuehl" w:cs="FrankRuehl"/>
        <w:noProof/>
        <w:rtl/>
      </w:rPr>
      <w:t>1</w:t>
    </w:r>
    <w:r>
      <w:rPr>
        <w:rFonts w:ascii="FrankRuehl" w:hAnsi="FrankRuehl" w:cs="FrankRuehl"/>
        <w:rtl/>
      </w:rPr>
      <w:fldChar w:fldCharType="end"/>
    </w:r>
  </w:p>
  <w:p w14:paraId="0F7CF353" w14:textId="77777777" w:rsidR="001F4C2C" w:rsidRPr="00C733AC" w:rsidRDefault="00C733AC" w:rsidP="00C733A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0374D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21AC0" w14:textId="77777777" w:rsidR="008023A7" w:rsidRDefault="008023A7" w:rsidP="00CD060B">
      <w:r>
        <w:separator/>
      </w:r>
    </w:p>
  </w:footnote>
  <w:footnote w:type="continuationSeparator" w:id="0">
    <w:p w14:paraId="0D94CB0A" w14:textId="77777777" w:rsidR="008023A7" w:rsidRDefault="008023A7" w:rsidP="00CD0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919A3" w14:textId="77777777" w:rsidR="00C733AC" w:rsidRPr="00C733AC" w:rsidRDefault="00C733AC" w:rsidP="00C733A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(עכו) 16363-02-21</w:t>
    </w:r>
    <w:r>
      <w:rPr>
        <w:rFonts w:ascii="David" w:hAnsi="David"/>
        <w:color w:val="000000"/>
        <w:sz w:val="22"/>
        <w:szCs w:val="22"/>
        <w:rtl/>
      </w:rPr>
      <w:tab/>
      <w:t xml:space="preserve"> מדינת ישראל נ' דניאל רובינוב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07D19" w14:textId="77777777" w:rsidR="00C733AC" w:rsidRPr="00C733AC" w:rsidRDefault="00C733AC" w:rsidP="00C733A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(עכו) 16363-02-21</w:t>
    </w:r>
    <w:r>
      <w:rPr>
        <w:rFonts w:ascii="David" w:hAnsi="David"/>
        <w:color w:val="000000"/>
        <w:sz w:val="22"/>
        <w:szCs w:val="22"/>
        <w:rtl/>
      </w:rPr>
      <w:tab/>
      <w:t xml:space="preserve"> מדינת ישראל נ' דניאל רובינוב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6816ED"/>
    <w:multiLevelType w:val="hybridMultilevel"/>
    <w:tmpl w:val="64B4CAAE"/>
    <w:lvl w:ilvl="0" w:tplc="C1DCC8B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084890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A6627"/>
    <w:rsid w:val="001B5A3B"/>
    <w:rsid w:val="001F4C2C"/>
    <w:rsid w:val="00276F26"/>
    <w:rsid w:val="007A6423"/>
    <w:rsid w:val="007A6627"/>
    <w:rsid w:val="008023A7"/>
    <w:rsid w:val="00863ADA"/>
    <w:rsid w:val="0091353E"/>
    <w:rsid w:val="009A293D"/>
    <w:rsid w:val="009F4624"/>
    <w:rsid w:val="00A12549"/>
    <w:rsid w:val="00A524E1"/>
    <w:rsid w:val="00C733AC"/>
    <w:rsid w:val="00C82A05"/>
    <w:rsid w:val="00CD060B"/>
    <w:rsid w:val="00D66C75"/>
    <w:rsid w:val="00F244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20EF48"/>
  <w15:chartTrackingRefBased/>
  <w15:docId w15:val="{7D7E4750-AF73-4D27-806C-30C5DF5E9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A662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A6627"/>
    <w:pPr>
      <w:tabs>
        <w:tab w:val="center" w:pos="4153"/>
        <w:tab w:val="right" w:pos="8306"/>
      </w:tabs>
    </w:pPr>
  </w:style>
  <w:style w:type="character" w:customStyle="1" w:styleId="a4">
    <w:name w:val="כותרת עליונה תו"/>
    <w:link w:val="a3"/>
    <w:rsid w:val="007A6627"/>
    <w:rPr>
      <w:rFonts w:ascii="Times New Roman" w:eastAsia="Times New Roman" w:hAnsi="Times New Roman" w:cs="David"/>
      <w:sz w:val="24"/>
      <w:szCs w:val="24"/>
    </w:rPr>
  </w:style>
  <w:style w:type="paragraph" w:styleId="a5">
    <w:name w:val="footer"/>
    <w:basedOn w:val="a"/>
    <w:link w:val="a6"/>
    <w:rsid w:val="007A6627"/>
    <w:pPr>
      <w:tabs>
        <w:tab w:val="center" w:pos="4153"/>
        <w:tab w:val="right" w:pos="8306"/>
      </w:tabs>
    </w:pPr>
  </w:style>
  <w:style w:type="character" w:customStyle="1" w:styleId="a6">
    <w:name w:val="כותרת תחתונה תו"/>
    <w:link w:val="a5"/>
    <w:rsid w:val="007A6627"/>
    <w:rPr>
      <w:rFonts w:ascii="Times New Roman" w:eastAsia="Times New Roman" w:hAnsi="Times New Roman" w:cs="David"/>
      <w:sz w:val="24"/>
      <w:szCs w:val="24"/>
    </w:rPr>
  </w:style>
  <w:style w:type="table" w:styleId="a7">
    <w:name w:val="Table Grid"/>
    <w:basedOn w:val="a1"/>
    <w:rsid w:val="007A662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A6627"/>
  </w:style>
  <w:style w:type="paragraph" w:styleId="a9">
    <w:name w:val="List Paragraph"/>
    <w:basedOn w:val="a"/>
    <w:qFormat/>
    <w:rsid w:val="007A6627"/>
    <w:pPr>
      <w:ind w:left="720"/>
      <w:contextualSpacing/>
    </w:pPr>
  </w:style>
  <w:style w:type="character" w:styleId="Hyperlink">
    <w:name w:val="Hyperlink"/>
    <w:rsid w:val="007A66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267/4" TargetMode="External"/><Relationship Id="rId18" Type="http://schemas.openxmlformats.org/officeDocument/2006/relationships/hyperlink" Target="http://www.nevo.co.il/law/70301/61.a.4" TargetMode="External"/><Relationship Id="rId26" Type="http://schemas.openxmlformats.org/officeDocument/2006/relationships/hyperlink" Target="http://www.nevo.co.il/law/4216/13" TargetMode="External"/><Relationship Id="rId39" Type="http://schemas.openxmlformats.org/officeDocument/2006/relationships/hyperlink" Target="http://www.nevo.co.il/law/70301" TargetMode="External"/><Relationship Id="rId21" Type="http://schemas.openxmlformats.org/officeDocument/2006/relationships/hyperlink" Target="http://www.nevo.co.il/law/4216" TargetMode="External"/><Relationship Id="rId34" Type="http://schemas.openxmlformats.org/officeDocument/2006/relationships/hyperlink" Target="http://www.nevo.co.il/case/25725793" TargetMode="External"/><Relationship Id="rId42" Type="http://schemas.openxmlformats.org/officeDocument/2006/relationships/hyperlink" Target="http://www.nevo.co.il/case/16904503" TargetMode="External"/><Relationship Id="rId47" Type="http://schemas.openxmlformats.org/officeDocument/2006/relationships/hyperlink" Target="http://www.nevo.co.il/law/4216"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5738608"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74267" TargetMode="External"/><Relationship Id="rId32" Type="http://schemas.openxmlformats.org/officeDocument/2006/relationships/hyperlink" Target="http://www.nevo.co.il/case/22830934"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20742942" TargetMode="External"/><Relationship Id="rId45" Type="http://schemas.openxmlformats.org/officeDocument/2006/relationships/hyperlink" Target="http://www.nevo.co.il/law/70301"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4216/13" TargetMode="External"/><Relationship Id="rId19" Type="http://schemas.openxmlformats.org/officeDocument/2006/relationships/hyperlink" Target="http://www.nevo.co.il/law/70301/40jc.a" TargetMode="External"/><Relationship Id="rId31" Type="http://schemas.openxmlformats.org/officeDocument/2006/relationships/hyperlink" Target="http://www.nevo.co.il/case/25602063" TargetMode="External"/><Relationship Id="rId44" Type="http://schemas.openxmlformats.org/officeDocument/2006/relationships/hyperlink" Target="http://www.nevo.co.il/law/70301"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4267/14.a" TargetMode="External"/><Relationship Id="rId22" Type="http://schemas.openxmlformats.org/officeDocument/2006/relationships/hyperlink" Target="http://www.nevo.co.il/law/74267/4" TargetMode="External"/><Relationship Id="rId27" Type="http://schemas.openxmlformats.org/officeDocument/2006/relationships/hyperlink" Target="http://www.nevo.co.il/law/4216/19a" TargetMode="External"/><Relationship Id="rId30" Type="http://schemas.openxmlformats.org/officeDocument/2006/relationships/hyperlink" Target="http://www.nevo.co.il/case/5583030" TargetMode="External"/><Relationship Id="rId35" Type="http://schemas.openxmlformats.org/officeDocument/2006/relationships/hyperlink" Target="http://www.nevo.co.il/law/74267/14.a" TargetMode="External"/><Relationship Id="rId43" Type="http://schemas.openxmlformats.org/officeDocument/2006/relationships/hyperlink" Target="http://www.nevo.co.il/law/70301/40c" TargetMode="External"/><Relationship Id="rId48" Type="http://schemas.openxmlformats.org/officeDocument/2006/relationships/hyperlink" Target="http://www.eca.gov.il/" TargetMode="External"/><Relationship Id="rId56"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4267" TargetMode="External"/><Relationship Id="rId17" Type="http://schemas.openxmlformats.org/officeDocument/2006/relationships/hyperlink" Target="http://www.nevo.co.il/law/70301/40c" TargetMode="External"/><Relationship Id="rId25" Type="http://schemas.openxmlformats.org/officeDocument/2006/relationships/hyperlink" Target="http://www.nevo.co.il/law/74267/14.a.3" TargetMode="External"/><Relationship Id="rId33" Type="http://schemas.openxmlformats.org/officeDocument/2006/relationships/hyperlink" Target="http://www.nevo.co.il/case/21476989" TargetMode="External"/><Relationship Id="rId38" Type="http://schemas.openxmlformats.org/officeDocument/2006/relationships/hyperlink" Target="http://www.nevo.co.il/law/70301/61.a.4" TargetMode="External"/><Relationship Id="rId46" Type="http://schemas.openxmlformats.org/officeDocument/2006/relationships/hyperlink" Target="http://www.nevo.co.il/law/4216" TargetMode="External"/><Relationship Id="rId20" Type="http://schemas.openxmlformats.org/officeDocument/2006/relationships/hyperlink" Target="http://www.nevo.co.il/law/4216/7.a.;7.c" TargetMode="External"/><Relationship Id="rId41" Type="http://schemas.openxmlformats.org/officeDocument/2006/relationships/hyperlink" Target="http://www.nevo.co.il/law/70301/40jc.a"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267/14.a.3" TargetMode="External"/><Relationship Id="rId23" Type="http://schemas.openxmlformats.org/officeDocument/2006/relationships/hyperlink" Target="http://www.nevo.co.il/law/74267/14.a" TargetMode="External"/><Relationship Id="rId28" Type="http://schemas.openxmlformats.org/officeDocument/2006/relationships/hyperlink" Target="http://www.nevo.co.il/law/4216" TargetMode="External"/><Relationship Id="rId36" Type="http://schemas.openxmlformats.org/officeDocument/2006/relationships/hyperlink" Target="http://www.nevo.co.il/law/74267" TargetMode="External"/><Relationship Id="rId49"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2989</Words>
  <Characters>14950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17904</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8257637</vt:i4>
      </vt:variant>
      <vt:variant>
        <vt:i4>126</vt:i4>
      </vt:variant>
      <vt:variant>
        <vt:i4>0</vt:i4>
      </vt:variant>
      <vt:variant>
        <vt:i4>5</vt:i4>
      </vt:variant>
      <vt:variant>
        <vt:lpwstr>http://www.nevo.co.il/law/4216</vt:lpwstr>
      </vt:variant>
      <vt:variant>
        <vt:lpwstr/>
      </vt:variant>
      <vt:variant>
        <vt:i4>7864368</vt:i4>
      </vt:variant>
      <vt:variant>
        <vt:i4>123</vt:i4>
      </vt:variant>
      <vt:variant>
        <vt:i4>0</vt:i4>
      </vt:variant>
      <vt:variant>
        <vt:i4>5</vt:i4>
      </vt:variant>
      <vt:variant>
        <vt:lpwstr>http://www.eca.gov.il/</vt:lpwstr>
      </vt:variant>
      <vt:variant>
        <vt:lpwstr/>
      </vt:variant>
      <vt:variant>
        <vt:i4>8257637</vt:i4>
      </vt:variant>
      <vt:variant>
        <vt:i4>120</vt:i4>
      </vt:variant>
      <vt:variant>
        <vt:i4>0</vt:i4>
      </vt:variant>
      <vt:variant>
        <vt:i4>5</vt:i4>
      </vt:variant>
      <vt:variant>
        <vt:lpwstr>http://www.nevo.co.il/law/4216</vt:lpwstr>
      </vt:variant>
      <vt:variant>
        <vt:lpwstr/>
      </vt:variant>
      <vt:variant>
        <vt:i4>8257637</vt:i4>
      </vt:variant>
      <vt:variant>
        <vt:i4>117</vt:i4>
      </vt:variant>
      <vt:variant>
        <vt:i4>0</vt:i4>
      </vt:variant>
      <vt:variant>
        <vt:i4>5</vt:i4>
      </vt:variant>
      <vt:variant>
        <vt:lpwstr>http://www.nevo.co.il/law/4216</vt:lpwstr>
      </vt:variant>
      <vt:variant>
        <vt:lpwstr/>
      </vt:variant>
      <vt:variant>
        <vt:i4>7995492</vt:i4>
      </vt:variant>
      <vt:variant>
        <vt:i4>114</vt:i4>
      </vt:variant>
      <vt:variant>
        <vt:i4>0</vt:i4>
      </vt:variant>
      <vt:variant>
        <vt:i4>5</vt:i4>
      </vt:variant>
      <vt:variant>
        <vt:lpwstr>http://www.nevo.co.il/law/70301</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6619233</vt:i4>
      </vt:variant>
      <vt:variant>
        <vt:i4>108</vt:i4>
      </vt:variant>
      <vt:variant>
        <vt:i4>0</vt:i4>
      </vt:variant>
      <vt:variant>
        <vt:i4>5</vt:i4>
      </vt:variant>
      <vt:variant>
        <vt:lpwstr>http://www.nevo.co.il/law/70301/40c</vt:lpwstr>
      </vt:variant>
      <vt:variant>
        <vt:lpwstr/>
      </vt:variant>
      <vt:variant>
        <vt:i4>3932279</vt:i4>
      </vt:variant>
      <vt:variant>
        <vt:i4>105</vt:i4>
      </vt:variant>
      <vt:variant>
        <vt:i4>0</vt:i4>
      </vt:variant>
      <vt:variant>
        <vt:i4>5</vt:i4>
      </vt:variant>
      <vt:variant>
        <vt:lpwstr>http://www.nevo.co.il/case/16904503</vt:lpwstr>
      </vt:variant>
      <vt:variant>
        <vt:lpwstr/>
      </vt:variant>
      <vt:variant>
        <vt:i4>6750245</vt:i4>
      </vt:variant>
      <vt:variant>
        <vt:i4>102</vt:i4>
      </vt:variant>
      <vt:variant>
        <vt:i4>0</vt:i4>
      </vt:variant>
      <vt:variant>
        <vt:i4>5</vt:i4>
      </vt:variant>
      <vt:variant>
        <vt:lpwstr>http://www.nevo.co.il/law/70301/40jc.a</vt:lpwstr>
      </vt:variant>
      <vt:variant>
        <vt:lpwstr/>
      </vt:variant>
      <vt:variant>
        <vt:i4>3342457</vt:i4>
      </vt:variant>
      <vt:variant>
        <vt:i4>99</vt:i4>
      </vt:variant>
      <vt:variant>
        <vt:i4>0</vt:i4>
      </vt:variant>
      <vt:variant>
        <vt:i4>5</vt:i4>
      </vt:variant>
      <vt:variant>
        <vt:lpwstr>http://www.nevo.co.il/case/20742942</vt:lpwstr>
      </vt:variant>
      <vt:variant>
        <vt:lpwstr/>
      </vt:variant>
      <vt:variant>
        <vt:i4>7995492</vt:i4>
      </vt:variant>
      <vt:variant>
        <vt:i4>96</vt:i4>
      </vt:variant>
      <vt:variant>
        <vt:i4>0</vt:i4>
      </vt:variant>
      <vt:variant>
        <vt:i4>5</vt:i4>
      </vt:variant>
      <vt:variant>
        <vt:lpwstr>http://www.nevo.co.il/law/70301</vt:lpwstr>
      </vt:variant>
      <vt:variant>
        <vt:lpwstr/>
      </vt:variant>
      <vt:variant>
        <vt:i4>3211363</vt:i4>
      </vt:variant>
      <vt:variant>
        <vt:i4>93</vt:i4>
      </vt:variant>
      <vt:variant>
        <vt:i4>0</vt:i4>
      </vt:variant>
      <vt:variant>
        <vt:i4>5</vt:i4>
      </vt:variant>
      <vt:variant>
        <vt:lpwstr>http://www.nevo.co.il/law/70301/61.a.4</vt:lpwstr>
      </vt:variant>
      <vt:variant>
        <vt:lpwstr/>
      </vt:variant>
      <vt:variant>
        <vt:i4>7995492</vt:i4>
      </vt:variant>
      <vt:variant>
        <vt:i4>90</vt:i4>
      </vt:variant>
      <vt:variant>
        <vt:i4>0</vt:i4>
      </vt:variant>
      <vt:variant>
        <vt:i4>5</vt:i4>
      </vt:variant>
      <vt:variant>
        <vt:lpwstr>http://www.nevo.co.il/law/70301</vt:lpwstr>
      </vt:variant>
      <vt:variant>
        <vt:lpwstr/>
      </vt:variant>
      <vt:variant>
        <vt:i4>7864421</vt:i4>
      </vt:variant>
      <vt:variant>
        <vt:i4>87</vt:i4>
      </vt:variant>
      <vt:variant>
        <vt:i4>0</vt:i4>
      </vt:variant>
      <vt:variant>
        <vt:i4>5</vt:i4>
      </vt:variant>
      <vt:variant>
        <vt:lpwstr>http://www.nevo.co.il/law/74267</vt:lpwstr>
      </vt:variant>
      <vt:variant>
        <vt:lpwstr/>
      </vt:variant>
      <vt:variant>
        <vt:i4>131149</vt:i4>
      </vt:variant>
      <vt:variant>
        <vt:i4>84</vt:i4>
      </vt:variant>
      <vt:variant>
        <vt:i4>0</vt:i4>
      </vt:variant>
      <vt:variant>
        <vt:i4>5</vt:i4>
      </vt:variant>
      <vt:variant>
        <vt:lpwstr>http://www.nevo.co.il/law/74267/14.a</vt:lpwstr>
      </vt:variant>
      <vt:variant>
        <vt:lpwstr/>
      </vt:variant>
      <vt:variant>
        <vt:i4>3735668</vt:i4>
      </vt:variant>
      <vt:variant>
        <vt:i4>81</vt:i4>
      </vt:variant>
      <vt:variant>
        <vt:i4>0</vt:i4>
      </vt:variant>
      <vt:variant>
        <vt:i4>5</vt:i4>
      </vt:variant>
      <vt:variant>
        <vt:lpwstr>http://www.nevo.co.il/case/25725793</vt:lpwstr>
      </vt:variant>
      <vt:variant>
        <vt:lpwstr/>
      </vt:variant>
      <vt:variant>
        <vt:i4>3670139</vt:i4>
      </vt:variant>
      <vt:variant>
        <vt:i4>78</vt:i4>
      </vt:variant>
      <vt:variant>
        <vt:i4>0</vt:i4>
      </vt:variant>
      <vt:variant>
        <vt:i4>5</vt:i4>
      </vt:variant>
      <vt:variant>
        <vt:lpwstr>http://www.nevo.co.il/case/21476989</vt:lpwstr>
      </vt:variant>
      <vt:variant>
        <vt:lpwstr/>
      </vt:variant>
      <vt:variant>
        <vt:i4>3735676</vt:i4>
      </vt:variant>
      <vt:variant>
        <vt:i4>75</vt:i4>
      </vt:variant>
      <vt:variant>
        <vt:i4>0</vt:i4>
      </vt:variant>
      <vt:variant>
        <vt:i4>5</vt:i4>
      </vt:variant>
      <vt:variant>
        <vt:lpwstr>http://www.nevo.co.il/case/22830934</vt:lpwstr>
      </vt:variant>
      <vt:variant>
        <vt:lpwstr/>
      </vt:variant>
      <vt:variant>
        <vt:i4>3145841</vt:i4>
      </vt:variant>
      <vt:variant>
        <vt:i4>72</vt:i4>
      </vt:variant>
      <vt:variant>
        <vt:i4>0</vt:i4>
      </vt:variant>
      <vt:variant>
        <vt:i4>5</vt:i4>
      </vt:variant>
      <vt:variant>
        <vt:lpwstr>http://www.nevo.co.il/case/25602063</vt:lpwstr>
      </vt:variant>
      <vt:variant>
        <vt:lpwstr/>
      </vt:variant>
      <vt:variant>
        <vt:i4>3997809</vt:i4>
      </vt:variant>
      <vt:variant>
        <vt:i4>69</vt:i4>
      </vt:variant>
      <vt:variant>
        <vt:i4>0</vt:i4>
      </vt:variant>
      <vt:variant>
        <vt:i4>5</vt:i4>
      </vt:variant>
      <vt:variant>
        <vt:lpwstr>http://www.nevo.co.il/case/5583030</vt:lpwstr>
      </vt:variant>
      <vt:variant>
        <vt:lpwstr/>
      </vt:variant>
      <vt:variant>
        <vt:i4>3670139</vt:i4>
      </vt:variant>
      <vt:variant>
        <vt:i4>66</vt:i4>
      </vt:variant>
      <vt:variant>
        <vt:i4>0</vt:i4>
      </vt:variant>
      <vt:variant>
        <vt:i4>5</vt:i4>
      </vt:variant>
      <vt:variant>
        <vt:lpwstr>http://www.nevo.co.il/case/5738608</vt:lpwstr>
      </vt:variant>
      <vt:variant>
        <vt:lpwstr/>
      </vt:variant>
      <vt:variant>
        <vt:i4>8257637</vt:i4>
      </vt:variant>
      <vt:variant>
        <vt:i4>63</vt:i4>
      </vt:variant>
      <vt:variant>
        <vt:i4>0</vt:i4>
      </vt:variant>
      <vt:variant>
        <vt:i4>5</vt:i4>
      </vt:variant>
      <vt:variant>
        <vt:lpwstr>http://www.nevo.co.il/law/4216</vt:lpwstr>
      </vt:variant>
      <vt:variant>
        <vt:lpwstr/>
      </vt:variant>
      <vt:variant>
        <vt:i4>3014771</vt:i4>
      </vt:variant>
      <vt:variant>
        <vt:i4>60</vt:i4>
      </vt:variant>
      <vt:variant>
        <vt:i4>0</vt:i4>
      </vt:variant>
      <vt:variant>
        <vt:i4>5</vt:i4>
      </vt:variant>
      <vt:variant>
        <vt:lpwstr>http://www.nevo.co.il/law/4216/19a</vt:lpwstr>
      </vt:variant>
      <vt:variant>
        <vt:lpwstr/>
      </vt:variant>
      <vt:variant>
        <vt:i4>5177418</vt:i4>
      </vt:variant>
      <vt:variant>
        <vt:i4>57</vt:i4>
      </vt:variant>
      <vt:variant>
        <vt:i4>0</vt:i4>
      </vt:variant>
      <vt:variant>
        <vt:i4>5</vt:i4>
      </vt:variant>
      <vt:variant>
        <vt:lpwstr>http://www.nevo.co.il/law/4216/13</vt:lpwstr>
      </vt:variant>
      <vt:variant>
        <vt:lpwstr/>
      </vt:variant>
      <vt:variant>
        <vt:i4>3211363</vt:i4>
      </vt:variant>
      <vt:variant>
        <vt:i4>54</vt:i4>
      </vt:variant>
      <vt:variant>
        <vt:i4>0</vt:i4>
      </vt:variant>
      <vt:variant>
        <vt:i4>5</vt:i4>
      </vt:variant>
      <vt:variant>
        <vt:lpwstr>http://www.nevo.co.il/law/74267/14.a.3</vt:lpwstr>
      </vt:variant>
      <vt:variant>
        <vt:lpwstr/>
      </vt:variant>
      <vt:variant>
        <vt:i4>7864421</vt:i4>
      </vt:variant>
      <vt:variant>
        <vt:i4>51</vt:i4>
      </vt:variant>
      <vt:variant>
        <vt:i4>0</vt:i4>
      </vt:variant>
      <vt:variant>
        <vt:i4>5</vt:i4>
      </vt:variant>
      <vt:variant>
        <vt:lpwstr>http://www.nevo.co.il/law/74267</vt:lpwstr>
      </vt:variant>
      <vt:variant>
        <vt:lpwstr/>
      </vt:variant>
      <vt:variant>
        <vt:i4>131149</vt:i4>
      </vt:variant>
      <vt:variant>
        <vt:i4>48</vt:i4>
      </vt:variant>
      <vt:variant>
        <vt:i4>0</vt:i4>
      </vt:variant>
      <vt:variant>
        <vt:i4>5</vt:i4>
      </vt:variant>
      <vt:variant>
        <vt:lpwstr>http://www.nevo.co.il/law/74267/14.a</vt:lpwstr>
      </vt:variant>
      <vt:variant>
        <vt:lpwstr/>
      </vt:variant>
      <vt:variant>
        <vt:i4>5701714</vt:i4>
      </vt:variant>
      <vt:variant>
        <vt:i4>45</vt:i4>
      </vt:variant>
      <vt:variant>
        <vt:i4>0</vt:i4>
      </vt:variant>
      <vt:variant>
        <vt:i4>5</vt:i4>
      </vt:variant>
      <vt:variant>
        <vt:lpwstr>http://www.nevo.co.il/law/74267/4</vt:lpwstr>
      </vt:variant>
      <vt:variant>
        <vt:lpwstr/>
      </vt:variant>
      <vt:variant>
        <vt:i4>8257637</vt:i4>
      </vt:variant>
      <vt:variant>
        <vt:i4>42</vt:i4>
      </vt:variant>
      <vt:variant>
        <vt:i4>0</vt:i4>
      </vt:variant>
      <vt:variant>
        <vt:i4>5</vt:i4>
      </vt:variant>
      <vt:variant>
        <vt:lpwstr>http://www.nevo.co.il/law/4216</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6750245</vt:i4>
      </vt:variant>
      <vt:variant>
        <vt:i4>36</vt:i4>
      </vt:variant>
      <vt:variant>
        <vt:i4>0</vt:i4>
      </vt:variant>
      <vt:variant>
        <vt:i4>5</vt:i4>
      </vt:variant>
      <vt:variant>
        <vt:lpwstr>http://www.nevo.co.il/law/70301/40jc.a</vt:lpwstr>
      </vt:variant>
      <vt:variant>
        <vt:lpwstr/>
      </vt:variant>
      <vt:variant>
        <vt:i4>3211363</vt:i4>
      </vt:variant>
      <vt:variant>
        <vt:i4>33</vt:i4>
      </vt:variant>
      <vt:variant>
        <vt:i4>0</vt:i4>
      </vt:variant>
      <vt:variant>
        <vt:i4>5</vt:i4>
      </vt:variant>
      <vt:variant>
        <vt:lpwstr>http://www.nevo.co.il/law/70301/61.a.4</vt:lpwstr>
      </vt:variant>
      <vt:variant>
        <vt:lpwstr/>
      </vt:variant>
      <vt:variant>
        <vt:i4>6619233</vt:i4>
      </vt:variant>
      <vt:variant>
        <vt:i4>30</vt:i4>
      </vt:variant>
      <vt:variant>
        <vt:i4>0</vt:i4>
      </vt:variant>
      <vt:variant>
        <vt:i4>5</vt:i4>
      </vt:variant>
      <vt:variant>
        <vt:lpwstr>http://www.nevo.co.il/law/70301/40c</vt:lpwstr>
      </vt:variant>
      <vt:variant>
        <vt:lpwstr/>
      </vt:variant>
      <vt:variant>
        <vt:i4>7995492</vt:i4>
      </vt:variant>
      <vt:variant>
        <vt:i4>27</vt:i4>
      </vt:variant>
      <vt:variant>
        <vt:i4>0</vt:i4>
      </vt:variant>
      <vt:variant>
        <vt:i4>5</vt:i4>
      </vt:variant>
      <vt:variant>
        <vt:lpwstr>http://www.nevo.co.il/law/70301</vt:lpwstr>
      </vt:variant>
      <vt:variant>
        <vt:lpwstr/>
      </vt:variant>
      <vt:variant>
        <vt:i4>3211363</vt:i4>
      </vt:variant>
      <vt:variant>
        <vt:i4>24</vt:i4>
      </vt:variant>
      <vt:variant>
        <vt:i4>0</vt:i4>
      </vt:variant>
      <vt:variant>
        <vt:i4>5</vt:i4>
      </vt:variant>
      <vt:variant>
        <vt:lpwstr>http://www.nevo.co.il/law/74267/14.a.3</vt:lpwstr>
      </vt:variant>
      <vt:variant>
        <vt:lpwstr/>
      </vt:variant>
      <vt:variant>
        <vt:i4>131149</vt:i4>
      </vt:variant>
      <vt:variant>
        <vt:i4>21</vt:i4>
      </vt:variant>
      <vt:variant>
        <vt:i4>0</vt:i4>
      </vt:variant>
      <vt:variant>
        <vt:i4>5</vt:i4>
      </vt:variant>
      <vt:variant>
        <vt:lpwstr>http://www.nevo.co.il/law/74267/14.a</vt:lpwstr>
      </vt:variant>
      <vt:variant>
        <vt:lpwstr/>
      </vt:variant>
      <vt:variant>
        <vt:i4>5701714</vt:i4>
      </vt:variant>
      <vt:variant>
        <vt:i4>18</vt:i4>
      </vt:variant>
      <vt:variant>
        <vt:i4>0</vt:i4>
      </vt:variant>
      <vt:variant>
        <vt:i4>5</vt:i4>
      </vt:variant>
      <vt:variant>
        <vt:lpwstr>http://www.nevo.co.il/law/74267/4</vt:lpwstr>
      </vt:variant>
      <vt:variant>
        <vt:lpwstr/>
      </vt:variant>
      <vt:variant>
        <vt:i4>7864421</vt:i4>
      </vt:variant>
      <vt:variant>
        <vt:i4>15</vt:i4>
      </vt:variant>
      <vt:variant>
        <vt:i4>0</vt:i4>
      </vt:variant>
      <vt:variant>
        <vt:i4>5</vt:i4>
      </vt:variant>
      <vt:variant>
        <vt:lpwstr>http://www.nevo.co.il/law/74267</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2025-04-23T00:53:00Z</dcterms:created>
  <dcterms:modified xsi:type="dcterms:W3CDTF">2025-04-23T00:53:00Z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16363</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דניאל רובינוב</vt:lpwstr>
  </property>
  <property fmtid="{D5CDD505-2E9C-101B-9397-08002B2CF9AE}" pid="10" name="LAWYER">
    <vt:lpwstr>שאדי דבאח</vt:lpwstr>
  </property>
  <property fmtid="{D5CDD505-2E9C-101B-9397-08002B2CF9AE}" pid="11" name="JUDGE">
    <vt:lpwstr>שושנה פיינסוד כהן</vt:lpwstr>
  </property>
  <property fmtid="{D5CDD505-2E9C-101B-9397-08002B2CF9AE}" pid="12" name="CITY">
    <vt:lpwstr>עכו</vt:lpwstr>
  </property>
  <property fmtid="{D5CDD505-2E9C-101B-9397-08002B2CF9AE}" pid="13" name="DATE">
    <vt:lpwstr>20220705</vt:lpwstr>
  </property>
  <property fmtid="{D5CDD505-2E9C-101B-9397-08002B2CF9AE}" pid="14" name="TYPE_N_DATE">
    <vt:lpwstr>38020220705</vt:lpwstr>
  </property>
  <property fmtid="{D5CDD505-2E9C-101B-9397-08002B2CF9AE}" pid="15" name="WORDNUMPAGES">
    <vt:lpwstr>10</vt:lpwstr>
  </property>
  <property fmtid="{D5CDD505-2E9C-101B-9397-08002B2CF9AE}" pid="16" name="TYPE_ABS_DATE">
    <vt:lpwstr>380020220705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5738608;5583030;25602063;22830934;21476989;25725793;20742942;16904503</vt:lpwstr>
  </property>
  <property fmtid="{D5CDD505-2E9C-101B-9397-08002B2CF9AE}" pid="36" name="LAWLISTTMP1">
    <vt:lpwstr>4216/007.a;007.c;013;019a</vt:lpwstr>
  </property>
  <property fmtid="{D5CDD505-2E9C-101B-9397-08002B2CF9AE}" pid="37" name="LAWLISTTMP2">
    <vt:lpwstr>74267/004;014.a:2;014.a.3</vt:lpwstr>
  </property>
  <property fmtid="{D5CDD505-2E9C-101B-9397-08002B2CF9AE}" pid="38" name="LAWLISTTMP3">
    <vt:lpwstr>70301/061.a.4;40jc.a;040c</vt:lpwstr>
  </property>
</Properties>
</file>