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8D333B" w:rsidRPr="008536BD" w14:paraId="5C180C2A" w14:textId="77777777" w:rsidTr="002931A9">
        <w:trPr>
          <w:trHeight w:hRule="exact" w:val="418"/>
          <w:jc w:val="center"/>
        </w:trPr>
        <w:tc>
          <w:tcPr>
            <w:tcW w:w="8523" w:type="dxa"/>
            <w:gridSpan w:val="2"/>
          </w:tcPr>
          <w:p w14:paraId="2411DB55" w14:textId="77777777" w:rsidR="008D333B" w:rsidRPr="008536BD" w:rsidRDefault="008D333B" w:rsidP="00C7213E">
            <w:pPr>
              <w:pStyle w:val="a3"/>
              <w:jc w:val="center"/>
              <w:rPr>
                <w:rFonts w:ascii="Tahoma" w:hAnsi="Tahoma"/>
                <w:color w:val="000080"/>
                <w:sz w:val="32"/>
                <w:szCs w:val="32"/>
                <w:rtl/>
              </w:rPr>
            </w:pPr>
            <w:bookmarkStart w:id="0" w:name="LastJudge"/>
            <w:r w:rsidRPr="008536BD">
              <w:rPr>
                <w:rFonts w:ascii="Tahoma" w:hAnsi="Tahoma"/>
                <w:b/>
                <w:bCs/>
                <w:color w:val="000080"/>
                <w:sz w:val="32"/>
                <w:szCs w:val="32"/>
                <w:rtl/>
              </w:rPr>
              <w:t>בית משפט השלום בתל אביב - יפו</w:t>
            </w:r>
          </w:p>
        </w:tc>
      </w:tr>
      <w:tr w:rsidR="008D333B" w:rsidRPr="008536BD" w14:paraId="521EE30D" w14:textId="77777777" w:rsidTr="002931A9">
        <w:trPr>
          <w:trHeight w:val="337"/>
          <w:jc w:val="center"/>
        </w:trPr>
        <w:tc>
          <w:tcPr>
            <w:tcW w:w="4945" w:type="dxa"/>
          </w:tcPr>
          <w:p w14:paraId="2197A19E" w14:textId="77777777" w:rsidR="008D333B" w:rsidRPr="008536BD" w:rsidRDefault="008D333B" w:rsidP="00C7213E">
            <w:pPr>
              <w:rPr>
                <w:sz w:val="26"/>
                <w:szCs w:val="26"/>
                <w:rtl/>
              </w:rPr>
            </w:pPr>
            <w:r w:rsidRPr="008536BD">
              <w:rPr>
                <w:sz w:val="26"/>
                <w:szCs w:val="26"/>
                <w:rtl/>
              </w:rPr>
              <w:t>ת"פ</w:t>
            </w:r>
            <w:r w:rsidRPr="008536BD">
              <w:rPr>
                <w:rFonts w:hint="cs"/>
                <w:sz w:val="26"/>
                <w:szCs w:val="26"/>
                <w:rtl/>
              </w:rPr>
              <w:t xml:space="preserve"> </w:t>
            </w:r>
            <w:r w:rsidRPr="008536BD">
              <w:rPr>
                <w:sz w:val="26"/>
                <w:szCs w:val="26"/>
                <w:rtl/>
              </w:rPr>
              <w:t>16419-02-21</w:t>
            </w:r>
            <w:r w:rsidRPr="008536BD">
              <w:rPr>
                <w:rFonts w:hint="cs"/>
                <w:sz w:val="26"/>
                <w:szCs w:val="26"/>
                <w:rtl/>
              </w:rPr>
              <w:t xml:space="preserve"> </w:t>
            </w:r>
            <w:r w:rsidRPr="008536BD">
              <w:rPr>
                <w:sz w:val="26"/>
                <w:szCs w:val="26"/>
                <w:rtl/>
              </w:rPr>
              <w:t>מדינת ישראל נ' כהן</w:t>
            </w:r>
          </w:p>
        </w:tc>
        <w:tc>
          <w:tcPr>
            <w:tcW w:w="3578" w:type="dxa"/>
          </w:tcPr>
          <w:p w14:paraId="511FF5A0" w14:textId="77777777" w:rsidR="008D333B" w:rsidRPr="008536BD" w:rsidRDefault="008D333B" w:rsidP="00C7213E">
            <w:pPr>
              <w:pStyle w:val="a3"/>
              <w:jc w:val="right"/>
              <w:rPr>
                <w:rFonts w:cs="FrankRuehl"/>
                <w:sz w:val="28"/>
                <w:szCs w:val="28"/>
                <w:rtl/>
              </w:rPr>
            </w:pPr>
          </w:p>
        </w:tc>
      </w:tr>
    </w:tbl>
    <w:p w14:paraId="05F94118" w14:textId="77777777" w:rsidR="008D333B" w:rsidRPr="008536BD" w:rsidRDefault="008D333B" w:rsidP="008D333B">
      <w:pPr>
        <w:pStyle w:val="a3"/>
        <w:rPr>
          <w:rtl/>
        </w:rPr>
      </w:pPr>
      <w:r w:rsidRPr="008536BD">
        <w:rPr>
          <w:rFonts w:hint="cs"/>
          <w:rtl/>
        </w:rPr>
        <w:t xml:space="preserve"> </w:t>
      </w:r>
    </w:p>
    <w:p w14:paraId="4642E141" w14:textId="77777777" w:rsidR="008D333B" w:rsidRPr="008536BD" w:rsidRDefault="008D333B" w:rsidP="008D333B">
      <w:pPr>
        <w:rPr>
          <w:rtl/>
        </w:rPr>
      </w:pPr>
    </w:p>
    <w:p w14:paraId="0EC8428C" w14:textId="77777777" w:rsidR="008D333B" w:rsidRPr="008536BD" w:rsidRDefault="008D333B" w:rsidP="008D333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5"/>
        <w:gridCol w:w="3400"/>
      </w:tblGrid>
      <w:tr w:rsidR="008D333B" w:rsidRPr="008536BD" w14:paraId="2A47A416" w14:textId="77777777" w:rsidTr="008D333B">
        <w:trPr>
          <w:trHeight w:val="295"/>
          <w:jc w:val="center"/>
        </w:trPr>
        <w:tc>
          <w:tcPr>
            <w:tcW w:w="8820" w:type="dxa"/>
            <w:gridSpan w:val="3"/>
            <w:tcBorders>
              <w:top w:val="nil"/>
              <w:left w:val="nil"/>
              <w:bottom w:val="nil"/>
              <w:right w:val="nil"/>
            </w:tcBorders>
            <w:shd w:val="clear" w:color="auto" w:fill="auto"/>
          </w:tcPr>
          <w:p w14:paraId="33ADB6B9" w14:textId="77777777" w:rsidR="008D333B" w:rsidRPr="008536BD" w:rsidRDefault="008D333B" w:rsidP="008D333B">
            <w:pPr>
              <w:jc w:val="both"/>
              <w:rPr>
                <w:rFonts w:ascii="Arial" w:hAnsi="Arial"/>
                <w:b/>
                <w:bCs/>
                <w:sz w:val="26"/>
                <w:szCs w:val="26"/>
              </w:rPr>
            </w:pPr>
            <w:r w:rsidRPr="008536BD">
              <w:rPr>
                <w:rFonts w:ascii="Arial" w:hAnsi="Arial" w:hint="cs"/>
                <w:b/>
                <w:bCs/>
                <w:sz w:val="26"/>
                <w:szCs w:val="26"/>
                <w:rtl/>
              </w:rPr>
              <w:t>ל</w:t>
            </w:r>
            <w:r w:rsidRPr="008536BD">
              <w:rPr>
                <w:rFonts w:ascii="Arial" w:hAnsi="Arial"/>
                <w:b/>
                <w:bCs/>
                <w:sz w:val="26"/>
                <w:szCs w:val="26"/>
                <w:rtl/>
              </w:rPr>
              <w:t xml:space="preserve">פני </w:t>
            </w:r>
            <w:r w:rsidRPr="008536BD">
              <w:rPr>
                <w:rFonts w:ascii="Arial" w:hAnsi="Arial" w:hint="cs"/>
                <w:b/>
                <w:bCs/>
                <w:sz w:val="26"/>
                <w:szCs w:val="26"/>
                <w:rtl/>
              </w:rPr>
              <w:t>כבוד ה</w:t>
            </w:r>
            <w:r w:rsidRPr="008536BD">
              <w:rPr>
                <w:rFonts w:ascii="Arial" w:hAnsi="Arial"/>
                <w:b/>
                <w:bCs/>
                <w:sz w:val="26"/>
                <w:szCs w:val="26"/>
                <w:rtl/>
              </w:rPr>
              <w:t>שופטת</w:t>
            </w:r>
            <w:r w:rsidRPr="008536BD">
              <w:rPr>
                <w:rFonts w:ascii="Arial" w:hAnsi="Arial" w:hint="cs"/>
                <w:b/>
                <w:bCs/>
                <w:sz w:val="26"/>
                <w:szCs w:val="26"/>
                <w:rtl/>
              </w:rPr>
              <w:t xml:space="preserve">  </w:t>
            </w:r>
            <w:r w:rsidRPr="008536BD">
              <w:rPr>
                <w:rFonts w:ascii="Arial" w:hAnsi="Arial"/>
                <w:b/>
                <w:bCs/>
                <w:sz w:val="26"/>
                <w:szCs w:val="26"/>
                <w:rtl/>
              </w:rPr>
              <w:t>עדי יעקובוביץ</w:t>
            </w:r>
          </w:p>
        </w:tc>
      </w:tr>
      <w:tr w:rsidR="008D333B" w:rsidRPr="008536BD" w14:paraId="1CCC7674" w14:textId="77777777" w:rsidTr="008D333B">
        <w:trPr>
          <w:trHeight w:val="355"/>
          <w:jc w:val="center"/>
        </w:trPr>
        <w:tc>
          <w:tcPr>
            <w:tcW w:w="885" w:type="dxa"/>
            <w:tcBorders>
              <w:top w:val="nil"/>
              <w:left w:val="nil"/>
              <w:bottom w:val="nil"/>
              <w:right w:val="nil"/>
            </w:tcBorders>
            <w:shd w:val="clear" w:color="auto" w:fill="auto"/>
          </w:tcPr>
          <w:p w14:paraId="196EA168" w14:textId="77777777" w:rsidR="008D333B" w:rsidRPr="008536BD" w:rsidRDefault="008D333B" w:rsidP="008D333B">
            <w:pPr>
              <w:jc w:val="both"/>
              <w:rPr>
                <w:rFonts w:ascii="Arial" w:hAnsi="Arial"/>
                <w:b/>
                <w:bCs/>
                <w:sz w:val="26"/>
                <w:szCs w:val="26"/>
              </w:rPr>
            </w:pPr>
            <w:bookmarkStart w:id="1" w:name="FirstAppellant"/>
            <w:bookmarkStart w:id="2" w:name="FirstLawyer"/>
            <w:r w:rsidRPr="008536BD">
              <w:rPr>
                <w:rFonts w:ascii="Arial" w:hAnsi="Arial" w:hint="cs"/>
                <w:sz w:val="26"/>
                <w:szCs w:val="26"/>
                <w:rtl/>
              </w:rPr>
              <w:t>ה</w:t>
            </w:r>
            <w:r w:rsidRPr="008536BD">
              <w:rPr>
                <w:rFonts w:ascii="Arial" w:hAnsi="Arial"/>
                <w:sz w:val="26"/>
                <w:szCs w:val="26"/>
                <w:rtl/>
              </w:rPr>
              <w:t>מאשימה</w:t>
            </w:r>
          </w:p>
        </w:tc>
        <w:tc>
          <w:tcPr>
            <w:tcW w:w="4384" w:type="dxa"/>
            <w:tcBorders>
              <w:top w:val="nil"/>
              <w:left w:val="nil"/>
              <w:bottom w:val="nil"/>
              <w:right w:val="nil"/>
            </w:tcBorders>
            <w:shd w:val="clear" w:color="auto" w:fill="auto"/>
          </w:tcPr>
          <w:p w14:paraId="4432DC36" w14:textId="77777777" w:rsidR="008D333B" w:rsidRPr="008536BD" w:rsidRDefault="008D333B" w:rsidP="00C7213E">
            <w:pPr>
              <w:rPr>
                <w:sz w:val="26"/>
                <w:szCs w:val="26"/>
                <w:rtl/>
              </w:rPr>
            </w:pPr>
            <w:r w:rsidRPr="008536BD">
              <w:rPr>
                <w:rFonts w:ascii="Arial" w:hAnsi="Arial"/>
                <w:sz w:val="26"/>
                <w:szCs w:val="26"/>
                <w:rtl/>
              </w:rPr>
              <w:t>מדינת ישראל</w:t>
            </w:r>
          </w:p>
          <w:p w14:paraId="6E36DDC1" w14:textId="77777777" w:rsidR="008D333B" w:rsidRPr="008536BD" w:rsidRDefault="008D333B" w:rsidP="00C7213E">
            <w:pPr>
              <w:rPr>
                <w:sz w:val="26"/>
                <w:szCs w:val="26"/>
              </w:rPr>
            </w:pPr>
            <w:r w:rsidRPr="008536BD">
              <w:rPr>
                <w:rFonts w:hint="cs"/>
                <w:sz w:val="26"/>
                <w:szCs w:val="26"/>
                <w:rtl/>
              </w:rPr>
              <w:t>ע"י ב"כ עו"ד טל סלגניק</w:t>
            </w:r>
          </w:p>
        </w:tc>
        <w:tc>
          <w:tcPr>
            <w:tcW w:w="3551" w:type="dxa"/>
            <w:tcBorders>
              <w:top w:val="nil"/>
              <w:left w:val="nil"/>
              <w:bottom w:val="nil"/>
              <w:right w:val="nil"/>
            </w:tcBorders>
            <w:shd w:val="clear" w:color="auto" w:fill="auto"/>
          </w:tcPr>
          <w:p w14:paraId="49E622A8" w14:textId="77777777" w:rsidR="008D333B" w:rsidRPr="008536BD" w:rsidRDefault="008D333B" w:rsidP="008D333B">
            <w:pPr>
              <w:jc w:val="both"/>
              <w:rPr>
                <w:rFonts w:ascii="Arial" w:hAnsi="Arial"/>
                <w:sz w:val="26"/>
                <w:szCs w:val="26"/>
              </w:rPr>
            </w:pPr>
          </w:p>
        </w:tc>
      </w:tr>
      <w:bookmarkEnd w:id="1"/>
      <w:bookmarkEnd w:id="2"/>
      <w:tr w:rsidR="008D333B" w:rsidRPr="008536BD" w14:paraId="75991666" w14:textId="77777777" w:rsidTr="008D333B">
        <w:trPr>
          <w:trHeight w:val="373"/>
          <w:jc w:val="center"/>
        </w:trPr>
        <w:tc>
          <w:tcPr>
            <w:tcW w:w="885" w:type="dxa"/>
            <w:tcBorders>
              <w:top w:val="nil"/>
              <w:left w:val="nil"/>
              <w:bottom w:val="nil"/>
              <w:right w:val="nil"/>
            </w:tcBorders>
            <w:shd w:val="clear" w:color="auto" w:fill="auto"/>
          </w:tcPr>
          <w:p w14:paraId="6AE8F76F" w14:textId="77777777" w:rsidR="008D333B" w:rsidRPr="008536BD" w:rsidRDefault="008D333B" w:rsidP="008D333B">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06695F7A" w14:textId="77777777" w:rsidR="008D333B" w:rsidRPr="008536BD" w:rsidRDefault="008D333B" w:rsidP="008D333B">
            <w:pPr>
              <w:jc w:val="center"/>
              <w:rPr>
                <w:rFonts w:ascii="Arial" w:hAnsi="Arial"/>
                <w:b/>
                <w:bCs/>
                <w:sz w:val="26"/>
                <w:szCs w:val="26"/>
                <w:rtl/>
              </w:rPr>
            </w:pPr>
          </w:p>
          <w:p w14:paraId="1380926E" w14:textId="77777777" w:rsidR="008D333B" w:rsidRPr="008536BD" w:rsidRDefault="008D333B" w:rsidP="008D333B">
            <w:pPr>
              <w:jc w:val="center"/>
              <w:rPr>
                <w:rFonts w:ascii="Arial" w:hAnsi="Arial"/>
                <w:b/>
                <w:bCs/>
                <w:sz w:val="26"/>
                <w:szCs w:val="26"/>
                <w:rtl/>
              </w:rPr>
            </w:pPr>
            <w:r w:rsidRPr="008536BD">
              <w:rPr>
                <w:rFonts w:ascii="Arial" w:hAnsi="Arial"/>
                <w:b/>
                <w:bCs/>
                <w:sz w:val="26"/>
                <w:szCs w:val="26"/>
                <w:rtl/>
              </w:rPr>
              <w:t>נגד</w:t>
            </w:r>
          </w:p>
          <w:p w14:paraId="467E47E6" w14:textId="77777777" w:rsidR="008D333B" w:rsidRPr="008536BD" w:rsidRDefault="008D333B" w:rsidP="008D333B">
            <w:pPr>
              <w:jc w:val="both"/>
              <w:rPr>
                <w:rFonts w:ascii="Arial" w:hAnsi="Arial"/>
                <w:sz w:val="26"/>
                <w:szCs w:val="26"/>
              </w:rPr>
            </w:pPr>
          </w:p>
        </w:tc>
      </w:tr>
      <w:tr w:rsidR="008D333B" w:rsidRPr="008536BD" w14:paraId="053F2267" w14:textId="77777777" w:rsidTr="008D333B">
        <w:trPr>
          <w:trHeight w:val="355"/>
          <w:jc w:val="center"/>
        </w:trPr>
        <w:tc>
          <w:tcPr>
            <w:tcW w:w="885" w:type="dxa"/>
            <w:tcBorders>
              <w:top w:val="nil"/>
              <w:left w:val="nil"/>
              <w:bottom w:val="nil"/>
              <w:right w:val="nil"/>
            </w:tcBorders>
            <w:shd w:val="clear" w:color="auto" w:fill="auto"/>
          </w:tcPr>
          <w:p w14:paraId="0CFD2AB6" w14:textId="77777777" w:rsidR="008D333B" w:rsidRPr="008536BD" w:rsidRDefault="008D333B" w:rsidP="00C7213E">
            <w:pPr>
              <w:rPr>
                <w:rFonts w:ascii="Arial" w:hAnsi="Arial"/>
                <w:sz w:val="26"/>
                <w:szCs w:val="26"/>
                <w:rtl/>
              </w:rPr>
            </w:pPr>
            <w:r w:rsidRPr="008536BD">
              <w:rPr>
                <w:rFonts w:ascii="Arial" w:hAnsi="Arial" w:hint="cs"/>
                <w:sz w:val="26"/>
                <w:szCs w:val="26"/>
                <w:rtl/>
              </w:rPr>
              <w:t>ה</w:t>
            </w:r>
            <w:r w:rsidRPr="008536BD">
              <w:rPr>
                <w:rFonts w:ascii="Arial" w:hAnsi="Arial"/>
                <w:sz w:val="26"/>
                <w:szCs w:val="26"/>
                <w:rtl/>
              </w:rPr>
              <w:t>נאשמים</w:t>
            </w:r>
          </w:p>
        </w:tc>
        <w:tc>
          <w:tcPr>
            <w:tcW w:w="4384" w:type="dxa"/>
            <w:tcBorders>
              <w:top w:val="nil"/>
              <w:left w:val="nil"/>
              <w:bottom w:val="nil"/>
              <w:right w:val="nil"/>
            </w:tcBorders>
            <w:shd w:val="clear" w:color="auto" w:fill="auto"/>
          </w:tcPr>
          <w:p w14:paraId="675C5212" w14:textId="77777777" w:rsidR="008D333B" w:rsidRPr="008536BD" w:rsidRDefault="008D333B" w:rsidP="00C7213E">
            <w:pPr>
              <w:rPr>
                <w:sz w:val="26"/>
                <w:szCs w:val="26"/>
                <w:rtl/>
              </w:rPr>
            </w:pPr>
            <w:r w:rsidRPr="008536BD">
              <w:rPr>
                <w:rFonts w:ascii="Arial" w:hAnsi="Arial"/>
                <w:sz w:val="26"/>
                <w:szCs w:val="26"/>
                <w:rtl/>
              </w:rPr>
              <w:t>רון כהן</w:t>
            </w:r>
          </w:p>
          <w:p w14:paraId="5BC56117" w14:textId="77777777" w:rsidR="008D333B" w:rsidRPr="008536BD" w:rsidRDefault="008D333B" w:rsidP="00C7213E">
            <w:pPr>
              <w:rPr>
                <w:sz w:val="26"/>
                <w:szCs w:val="26"/>
                <w:rtl/>
              </w:rPr>
            </w:pPr>
            <w:r w:rsidRPr="008536BD">
              <w:rPr>
                <w:rFonts w:hint="cs"/>
                <w:sz w:val="26"/>
                <w:szCs w:val="26"/>
                <w:rtl/>
              </w:rPr>
              <w:t>ע"י ב"כ עו"ד ירון פורר</w:t>
            </w:r>
          </w:p>
        </w:tc>
        <w:tc>
          <w:tcPr>
            <w:tcW w:w="3551" w:type="dxa"/>
            <w:tcBorders>
              <w:top w:val="nil"/>
              <w:left w:val="nil"/>
              <w:bottom w:val="nil"/>
              <w:right w:val="nil"/>
            </w:tcBorders>
            <w:shd w:val="clear" w:color="auto" w:fill="auto"/>
          </w:tcPr>
          <w:p w14:paraId="3E2AA66B" w14:textId="77777777" w:rsidR="008D333B" w:rsidRPr="008536BD" w:rsidRDefault="008D333B" w:rsidP="008D333B">
            <w:pPr>
              <w:jc w:val="right"/>
              <w:rPr>
                <w:rFonts w:ascii="Arial" w:hAnsi="Arial"/>
                <w:sz w:val="26"/>
                <w:szCs w:val="26"/>
              </w:rPr>
            </w:pPr>
          </w:p>
        </w:tc>
      </w:tr>
    </w:tbl>
    <w:p w14:paraId="6217807D" w14:textId="77777777" w:rsidR="008536BD" w:rsidRPr="008536BD" w:rsidRDefault="008536BD" w:rsidP="008536BD">
      <w:pPr>
        <w:spacing w:before="120" w:after="120" w:line="240" w:lineRule="exact"/>
        <w:ind w:left="283" w:hanging="283"/>
        <w:jc w:val="both"/>
        <w:rPr>
          <w:rFonts w:ascii="FrankRuehl" w:hAnsi="FrankRuehl" w:cs="FrankRuehl"/>
          <w:rtl/>
        </w:rPr>
      </w:pPr>
    </w:p>
    <w:p w14:paraId="3AA928A8" w14:textId="77777777" w:rsidR="006205D3" w:rsidRPr="006205D3" w:rsidRDefault="006205D3" w:rsidP="006205D3">
      <w:pPr>
        <w:spacing w:before="120" w:after="120" w:line="240" w:lineRule="exact"/>
        <w:ind w:left="283" w:hanging="283"/>
        <w:jc w:val="both"/>
        <w:rPr>
          <w:rFonts w:ascii="FrankRuehl" w:hAnsi="FrankRuehl" w:cs="FrankRuehl"/>
          <w:rtl/>
        </w:rPr>
      </w:pPr>
    </w:p>
    <w:p w14:paraId="0689886E" w14:textId="77777777" w:rsidR="00854819" w:rsidRDefault="00854819" w:rsidP="00854819">
      <w:pPr>
        <w:rPr>
          <w:rtl/>
        </w:rPr>
      </w:pPr>
      <w:bookmarkStart w:id="3" w:name="LawTable"/>
      <w:bookmarkEnd w:id="3"/>
    </w:p>
    <w:p w14:paraId="65439DCE" w14:textId="77777777" w:rsidR="00854819" w:rsidRPr="00854819" w:rsidRDefault="00854819" w:rsidP="00854819">
      <w:pPr>
        <w:spacing w:before="120" w:after="120" w:line="240" w:lineRule="exact"/>
        <w:ind w:left="283" w:hanging="283"/>
        <w:jc w:val="both"/>
        <w:rPr>
          <w:rFonts w:ascii="FrankRuehl" w:hAnsi="FrankRuehl" w:cs="FrankRuehl"/>
          <w:rtl/>
        </w:rPr>
      </w:pPr>
    </w:p>
    <w:p w14:paraId="6E09CA5D" w14:textId="77777777" w:rsidR="00854819" w:rsidRPr="00854819" w:rsidRDefault="00854819" w:rsidP="00854819">
      <w:pPr>
        <w:spacing w:before="120" w:after="120" w:line="240" w:lineRule="exact"/>
        <w:ind w:left="283" w:hanging="283"/>
        <w:jc w:val="both"/>
        <w:rPr>
          <w:rFonts w:ascii="FrankRuehl" w:hAnsi="FrankRuehl" w:cs="FrankRuehl"/>
          <w:rtl/>
        </w:rPr>
      </w:pPr>
    </w:p>
    <w:p w14:paraId="08A54C85" w14:textId="77777777" w:rsidR="00854819" w:rsidRPr="00854819" w:rsidRDefault="00854819" w:rsidP="00854819">
      <w:pPr>
        <w:spacing w:before="120" w:after="120" w:line="240" w:lineRule="exact"/>
        <w:ind w:left="283" w:hanging="283"/>
        <w:jc w:val="both"/>
        <w:rPr>
          <w:rFonts w:ascii="FrankRuehl" w:hAnsi="FrankRuehl" w:cs="FrankRuehl"/>
          <w:rtl/>
        </w:rPr>
      </w:pPr>
      <w:r w:rsidRPr="00854819">
        <w:rPr>
          <w:rFonts w:ascii="FrankRuehl" w:hAnsi="FrankRuehl" w:cs="FrankRuehl"/>
          <w:rtl/>
        </w:rPr>
        <w:t xml:space="preserve">חקיקה שאוזכרה: </w:t>
      </w:r>
    </w:p>
    <w:p w14:paraId="4875522C" w14:textId="77777777" w:rsidR="00854819" w:rsidRPr="00854819" w:rsidRDefault="00854819" w:rsidP="00854819">
      <w:pPr>
        <w:spacing w:before="120" w:after="120" w:line="240" w:lineRule="exact"/>
        <w:ind w:left="283" w:hanging="283"/>
        <w:jc w:val="both"/>
        <w:rPr>
          <w:rFonts w:ascii="FrankRuehl" w:hAnsi="FrankRuehl" w:cs="FrankRuehl"/>
          <w:rtl/>
        </w:rPr>
      </w:pPr>
      <w:hyperlink r:id="rId7" w:history="1">
        <w:r w:rsidRPr="00854819">
          <w:rPr>
            <w:rFonts w:ascii="FrankRuehl" w:hAnsi="FrankRuehl" w:cs="FrankRuehl"/>
            <w:color w:val="0000FF"/>
            <w:rtl/>
          </w:rPr>
          <w:t>פקודת הסמים המסוכנים [נוסח חדש], תשל"ג-1973</w:t>
        </w:r>
      </w:hyperlink>
      <w:r w:rsidRPr="00854819">
        <w:rPr>
          <w:rFonts w:ascii="FrankRuehl" w:hAnsi="FrankRuehl" w:cs="FrankRuehl"/>
          <w:rtl/>
        </w:rPr>
        <w:t xml:space="preserve">: סע'  </w:t>
      </w:r>
      <w:hyperlink r:id="rId8" w:history="1">
        <w:r w:rsidRPr="00854819">
          <w:rPr>
            <w:rFonts w:ascii="FrankRuehl" w:hAnsi="FrankRuehl" w:cs="FrankRuehl"/>
            <w:color w:val="0000FF"/>
            <w:rtl/>
          </w:rPr>
          <w:t>6</w:t>
        </w:r>
      </w:hyperlink>
      <w:r w:rsidRPr="00854819">
        <w:rPr>
          <w:rFonts w:ascii="FrankRuehl" w:hAnsi="FrankRuehl" w:cs="FrankRuehl"/>
          <w:rtl/>
        </w:rPr>
        <w:t xml:space="preserve">, </w:t>
      </w:r>
      <w:hyperlink r:id="rId9" w:history="1">
        <w:r w:rsidRPr="00854819">
          <w:rPr>
            <w:rFonts w:ascii="FrankRuehl" w:hAnsi="FrankRuehl" w:cs="FrankRuehl"/>
            <w:color w:val="0000FF"/>
            <w:rtl/>
          </w:rPr>
          <w:t>7.א.</w:t>
        </w:r>
      </w:hyperlink>
      <w:r w:rsidRPr="00854819">
        <w:rPr>
          <w:rFonts w:ascii="FrankRuehl" w:hAnsi="FrankRuehl" w:cs="FrankRuehl"/>
          <w:rtl/>
        </w:rPr>
        <w:t xml:space="preserve">, </w:t>
      </w:r>
      <w:hyperlink r:id="rId10" w:history="1">
        <w:r w:rsidRPr="00854819">
          <w:rPr>
            <w:rFonts w:ascii="FrankRuehl" w:hAnsi="FrankRuehl" w:cs="FrankRuehl"/>
            <w:color w:val="0000FF"/>
            <w:rtl/>
          </w:rPr>
          <w:t>7.ג</w:t>
        </w:r>
      </w:hyperlink>
      <w:r w:rsidRPr="00854819">
        <w:rPr>
          <w:rFonts w:ascii="FrankRuehl" w:hAnsi="FrankRuehl" w:cs="FrankRuehl"/>
          <w:rtl/>
        </w:rPr>
        <w:t xml:space="preserve">, </w:t>
      </w:r>
      <w:hyperlink r:id="rId11" w:history="1">
        <w:r w:rsidRPr="00854819">
          <w:rPr>
            <w:rFonts w:ascii="FrankRuehl" w:hAnsi="FrankRuehl" w:cs="FrankRuehl"/>
            <w:color w:val="0000FF"/>
            <w:rtl/>
          </w:rPr>
          <w:t>13א</w:t>
        </w:r>
      </w:hyperlink>
      <w:r w:rsidRPr="00854819">
        <w:rPr>
          <w:rFonts w:ascii="FrankRuehl" w:hAnsi="FrankRuehl" w:cs="FrankRuehl"/>
          <w:rtl/>
        </w:rPr>
        <w:t xml:space="preserve">, </w:t>
      </w:r>
      <w:hyperlink r:id="rId12" w:history="1">
        <w:r w:rsidRPr="00854819">
          <w:rPr>
            <w:rFonts w:ascii="FrankRuehl" w:hAnsi="FrankRuehl" w:cs="FrankRuehl"/>
            <w:color w:val="0000FF"/>
            <w:rtl/>
          </w:rPr>
          <w:t>19</w:t>
        </w:r>
      </w:hyperlink>
    </w:p>
    <w:p w14:paraId="57DE433D" w14:textId="77777777" w:rsidR="00854819" w:rsidRPr="00854819" w:rsidRDefault="00854819" w:rsidP="00854819">
      <w:pPr>
        <w:spacing w:before="120" w:after="120" w:line="240" w:lineRule="exact"/>
        <w:ind w:left="283" w:hanging="283"/>
        <w:jc w:val="both"/>
        <w:rPr>
          <w:rFonts w:ascii="FrankRuehl" w:hAnsi="FrankRuehl" w:cs="FrankRuehl"/>
          <w:rtl/>
        </w:rPr>
      </w:pPr>
      <w:hyperlink r:id="rId13" w:history="1">
        <w:r w:rsidRPr="00854819">
          <w:rPr>
            <w:rFonts w:ascii="FrankRuehl" w:hAnsi="FrankRuehl" w:cs="FrankRuehl"/>
            <w:color w:val="0000FF"/>
            <w:rtl/>
          </w:rPr>
          <w:t>חוק העונשין, תשל"ז-1977</w:t>
        </w:r>
      </w:hyperlink>
      <w:r w:rsidRPr="00854819">
        <w:rPr>
          <w:rFonts w:ascii="FrankRuehl" w:hAnsi="FrankRuehl" w:cs="FrankRuehl"/>
          <w:rtl/>
        </w:rPr>
        <w:t xml:space="preserve">: סע'  </w:t>
      </w:r>
      <w:hyperlink r:id="rId14" w:history="1">
        <w:r w:rsidRPr="00854819">
          <w:rPr>
            <w:rFonts w:ascii="FrankRuehl" w:hAnsi="FrankRuehl" w:cs="FrankRuehl"/>
            <w:color w:val="0000FF"/>
            <w:rtl/>
          </w:rPr>
          <w:t>1 ב(ב)</w:t>
        </w:r>
      </w:hyperlink>
      <w:r w:rsidRPr="00854819">
        <w:rPr>
          <w:rFonts w:ascii="FrankRuehl" w:hAnsi="FrankRuehl" w:cs="FrankRuehl"/>
          <w:rtl/>
        </w:rPr>
        <w:t xml:space="preserve">, </w:t>
      </w:r>
      <w:hyperlink r:id="rId15" w:history="1">
        <w:r w:rsidRPr="00854819">
          <w:rPr>
            <w:rFonts w:ascii="FrankRuehl" w:hAnsi="FrankRuehl" w:cs="FrankRuehl"/>
            <w:color w:val="0000FF"/>
            <w:rtl/>
          </w:rPr>
          <w:t>25</w:t>
        </w:r>
      </w:hyperlink>
      <w:r w:rsidRPr="00854819">
        <w:rPr>
          <w:rFonts w:ascii="FrankRuehl" w:hAnsi="FrankRuehl" w:cs="FrankRuehl"/>
          <w:rtl/>
        </w:rPr>
        <w:t xml:space="preserve">, </w:t>
      </w:r>
      <w:hyperlink r:id="rId16" w:history="1">
        <w:r w:rsidRPr="00854819">
          <w:rPr>
            <w:rFonts w:ascii="FrankRuehl" w:hAnsi="FrankRuehl" w:cs="FrankRuehl"/>
            <w:color w:val="0000FF"/>
            <w:rtl/>
          </w:rPr>
          <w:t>40יא</w:t>
        </w:r>
      </w:hyperlink>
      <w:r w:rsidRPr="00854819">
        <w:rPr>
          <w:rFonts w:ascii="FrankRuehl" w:hAnsi="FrankRuehl" w:cs="FrankRuehl"/>
          <w:rtl/>
        </w:rPr>
        <w:t xml:space="preserve">, </w:t>
      </w:r>
      <w:hyperlink r:id="rId17" w:history="1">
        <w:r w:rsidRPr="00854819">
          <w:rPr>
            <w:rFonts w:ascii="FrankRuehl" w:hAnsi="FrankRuehl" w:cs="FrankRuehl"/>
            <w:color w:val="0000FF"/>
            <w:rtl/>
          </w:rPr>
          <w:t>40יג(ב)</w:t>
        </w:r>
      </w:hyperlink>
    </w:p>
    <w:p w14:paraId="04C67286" w14:textId="77777777" w:rsidR="00854819" w:rsidRPr="00854819" w:rsidRDefault="00854819" w:rsidP="00854819">
      <w:pPr>
        <w:rPr>
          <w:rtl/>
        </w:rPr>
      </w:pPr>
      <w:bookmarkStart w:id="4" w:name="LawTable_End"/>
      <w:bookmarkEnd w:id="4"/>
    </w:p>
    <w:p w14:paraId="4C243FB8" w14:textId="77777777" w:rsidR="008D333B" w:rsidRPr="006205D3" w:rsidRDefault="008D333B" w:rsidP="006205D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333B" w14:paraId="25FE2B16" w14:textId="77777777" w:rsidTr="008D333B">
        <w:trPr>
          <w:trHeight w:val="355"/>
          <w:jc w:val="center"/>
        </w:trPr>
        <w:tc>
          <w:tcPr>
            <w:tcW w:w="8820" w:type="dxa"/>
            <w:tcBorders>
              <w:top w:val="nil"/>
              <w:left w:val="nil"/>
              <w:bottom w:val="nil"/>
              <w:right w:val="nil"/>
            </w:tcBorders>
            <w:shd w:val="clear" w:color="auto" w:fill="auto"/>
          </w:tcPr>
          <w:p w14:paraId="25AD42CC" w14:textId="77777777" w:rsidR="008536BD" w:rsidRPr="008536BD" w:rsidRDefault="008536BD" w:rsidP="008536BD">
            <w:pPr>
              <w:jc w:val="center"/>
              <w:rPr>
                <w:rFonts w:ascii="Arial" w:hAnsi="Arial"/>
                <w:b/>
                <w:bCs/>
                <w:sz w:val="44"/>
                <w:szCs w:val="44"/>
                <w:u w:val="single"/>
                <w:rtl/>
              </w:rPr>
            </w:pPr>
            <w:bookmarkStart w:id="5" w:name="PsakDin" w:colFirst="0" w:colLast="0"/>
            <w:bookmarkEnd w:id="0"/>
            <w:r w:rsidRPr="008536BD">
              <w:rPr>
                <w:rFonts w:ascii="Arial" w:hAnsi="Arial"/>
                <w:b/>
                <w:bCs/>
                <w:sz w:val="44"/>
                <w:szCs w:val="44"/>
                <w:u w:val="single"/>
                <w:rtl/>
              </w:rPr>
              <w:t>גזר דין</w:t>
            </w:r>
          </w:p>
          <w:p w14:paraId="02E8547F" w14:textId="77777777" w:rsidR="008D333B" w:rsidRPr="008536BD" w:rsidRDefault="008D333B" w:rsidP="008536BD">
            <w:pPr>
              <w:jc w:val="center"/>
              <w:rPr>
                <w:rFonts w:ascii="Arial" w:hAnsi="Arial"/>
                <w:bCs/>
                <w:sz w:val="36"/>
                <w:szCs w:val="36"/>
                <w:u w:val="single"/>
                <w:rtl/>
              </w:rPr>
            </w:pPr>
          </w:p>
        </w:tc>
      </w:tr>
      <w:bookmarkEnd w:id="5"/>
    </w:tbl>
    <w:p w14:paraId="22C79F26" w14:textId="77777777" w:rsidR="008D333B" w:rsidRPr="00B05847" w:rsidRDefault="008D333B" w:rsidP="008D333B">
      <w:pPr>
        <w:rPr>
          <w:rFonts w:ascii="Arial" w:hAnsi="Arial"/>
          <w:rtl/>
        </w:rPr>
      </w:pPr>
    </w:p>
    <w:p w14:paraId="5F31291A" w14:textId="77777777" w:rsidR="002931A9" w:rsidRPr="008D333B" w:rsidRDefault="002931A9" w:rsidP="008D333B">
      <w:pPr>
        <w:spacing w:after="80" w:line="360" w:lineRule="auto"/>
        <w:ind w:left="703"/>
        <w:jc w:val="both"/>
        <w:rPr>
          <w:b/>
          <w:bCs/>
          <w:sz w:val="28"/>
          <w:szCs w:val="28"/>
          <w:u w:val="single"/>
          <w:rtl/>
        </w:rPr>
      </w:pPr>
      <w:r w:rsidRPr="008D333B">
        <w:rPr>
          <w:b/>
          <w:bCs/>
          <w:color w:val="000000"/>
          <w:sz w:val="28"/>
          <w:szCs w:val="28"/>
          <w:u w:val="single"/>
          <w:rtl/>
        </w:rPr>
        <w:t>פתח</w:t>
      </w:r>
      <w:r w:rsidRPr="008D333B">
        <w:rPr>
          <w:b/>
          <w:bCs/>
          <w:sz w:val="28"/>
          <w:szCs w:val="28"/>
          <w:u w:val="single"/>
          <w:rtl/>
        </w:rPr>
        <w:t xml:space="preserve"> דבר</w:t>
      </w:r>
    </w:p>
    <w:p w14:paraId="7C02C267" w14:textId="77777777" w:rsidR="008D333B" w:rsidRDefault="008D333B" w:rsidP="008D333B">
      <w:pPr>
        <w:pStyle w:val="aa"/>
        <w:numPr>
          <w:ilvl w:val="0"/>
          <w:numId w:val="1"/>
        </w:numPr>
        <w:spacing w:before="120" w:after="120" w:line="360" w:lineRule="auto"/>
        <w:ind w:left="357" w:hanging="357"/>
        <w:contextualSpacing w:val="0"/>
        <w:jc w:val="both"/>
        <w:rPr>
          <w:noProof w:val="0"/>
        </w:rPr>
      </w:pPr>
      <w:bookmarkStart w:id="6" w:name="NGCSBookmark"/>
      <w:bookmarkStart w:id="7" w:name="ABSTRACT_START"/>
      <w:bookmarkEnd w:id="6"/>
      <w:bookmarkEnd w:id="7"/>
      <w:r>
        <w:rPr>
          <w:noProof w:val="0"/>
          <w:rtl/>
        </w:rPr>
        <w:t xml:space="preserve">הנאשם הודה והורשע, בכתב אישום מתוקן, במסגרת הסדר, בעבירות של </w:t>
      </w:r>
      <w:r>
        <w:rPr>
          <w:b/>
          <w:bCs/>
          <w:noProof w:val="0"/>
          <w:rtl/>
        </w:rPr>
        <w:t>יצור, הכנה והפקה,</w:t>
      </w:r>
      <w:r>
        <w:rPr>
          <w:noProof w:val="0"/>
          <w:rtl/>
        </w:rPr>
        <w:t xml:space="preserve"> לפי </w:t>
      </w:r>
      <w:hyperlink r:id="rId18" w:history="1">
        <w:r w:rsidR="002931A9" w:rsidRPr="002931A9">
          <w:rPr>
            <w:rStyle w:val="Hyperlink"/>
            <w:rFonts w:hint="cs"/>
            <w:noProof w:val="0"/>
            <w:rtl/>
          </w:rPr>
          <w:t>סעיף</w:t>
        </w:r>
        <w:r w:rsidR="002931A9" w:rsidRPr="002931A9">
          <w:rPr>
            <w:rStyle w:val="Hyperlink"/>
            <w:noProof w:val="0"/>
            <w:rtl/>
          </w:rPr>
          <w:t xml:space="preserve"> 6</w:t>
        </w:r>
      </w:hyperlink>
      <w:r>
        <w:rPr>
          <w:noProof w:val="0"/>
          <w:rtl/>
        </w:rPr>
        <w:t xml:space="preserve"> ל</w:t>
      </w:r>
      <w:hyperlink r:id="rId19" w:history="1">
        <w:r w:rsidR="008536BD" w:rsidRPr="008536BD">
          <w:rPr>
            <w:rFonts w:hint="cs"/>
            <w:noProof w:val="0"/>
            <w:color w:val="0000FF"/>
            <w:u w:val="single"/>
            <w:rtl/>
          </w:rPr>
          <w:t>פקודת</w:t>
        </w:r>
        <w:r w:rsidR="008536BD" w:rsidRPr="008536BD">
          <w:rPr>
            <w:noProof w:val="0"/>
            <w:color w:val="0000FF"/>
            <w:u w:val="single"/>
            <w:rtl/>
          </w:rPr>
          <w:t xml:space="preserve"> </w:t>
        </w:r>
        <w:r w:rsidR="008536BD" w:rsidRPr="008536BD">
          <w:rPr>
            <w:rFonts w:hint="cs"/>
            <w:noProof w:val="0"/>
            <w:color w:val="0000FF"/>
            <w:u w:val="single"/>
            <w:rtl/>
          </w:rPr>
          <w:t>הסמים</w:t>
        </w:r>
        <w:r w:rsidR="008536BD" w:rsidRPr="008536BD">
          <w:rPr>
            <w:noProof w:val="0"/>
            <w:color w:val="0000FF"/>
            <w:u w:val="single"/>
            <w:rtl/>
          </w:rPr>
          <w:t xml:space="preserve"> </w:t>
        </w:r>
        <w:r w:rsidR="008536BD" w:rsidRPr="008536BD">
          <w:rPr>
            <w:rFonts w:hint="cs"/>
            <w:noProof w:val="0"/>
            <w:color w:val="0000FF"/>
            <w:u w:val="single"/>
            <w:rtl/>
          </w:rPr>
          <w:t>המסוכנים</w:t>
        </w:r>
      </w:hyperlink>
      <w:r>
        <w:rPr>
          <w:noProof w:val="0"/>
          <w:rtl/>
        </w:rPr>
        <w:t xml:space="preserve"> [נוסח חדש] התשל"ג – 1973 (להלן: </w:t>
      </w:r>
      <w:r>
        <w:rPr>
          <w:b/>
          <w:bCs/>
          <w:noProof w:val="0"/>
          <w:rtl/>
        </w:rPr>
        <w:t>"פקודת הסמים</w:t>
      </w:r>
      <w:r>
        <w:rPr>
          <w:noProof w:val="0"/>
          <w:rtl/>
        </w:rPr>
        <w:t xml:space="preserve">"), </w:t>
      </w:r>
      <w:r>
        <w:rPr>
          <w:b/>
          <w:bCs/>
          <w:rtl/>
        </w:rPr>
        <w:t>החזקת סם שלא לצריכה עצמית,</w:t>
      </w:r>
      <w:r>
        <w:rPr>
          <w:rtl/>
        </w:rPr>
        <w:t xml:space="preserve"> </w:t>
      </w:r>
      <w:r>
        <w:rPr>
          <w:noProof w:val="0"/>
          <w:rtl/>
        </w:rPr>
        <w:t xml:space="preserve">לפי </w:t>
      </w:r>
      <w:hyperlink r:id="rId20" w:history="1">
        <w:r w:rsidR="002931A9" w:rsidRPr="002931A9">
          <w:rPr>
            <w:rStyle w:val="Hyperlink"/>
            <w:rFonts w:hint="cs"/>
            <w:noProof w:val="0"/>
            <w:rtl/>
          </w:rPr>
          <w:t>סעיף</w:t>
        </w:r>
        <w:r w:rsidR="002931A9" w:rsidRPr="002931A9">
          <w:rPr>
            <w:rStyle w:val="Hyperlink"/>
            <w:noProof w:val="0"/>
            <w:rtl/>
          </w:rPr>
          <w:t xml:space="preserve"> 7 (</w:t>
        </w:r>
        <w:r w:rsidR="002931A9" w:rsidRPr="002931A9">
          <w:rPr>
            <w:rStyle w:val="Hyperlink"/>
            <w:rFonts w:hint="cs"/>
            <w:noProof w:val="0"/>
            <w:rtl/>
          </w:rPr>
          <w:t>א</w:t>
        </w:r>
        <w:r w:rsidR="002931A9" w:rsidRPr="002931A9">
          <w:rPr>
            <w:rStyle w:val="Hyperlink"/>
            <w:noProof w:val="0"/>
            <w:rtl/>
          </w:rPr>
          <w:t>) + 7(</w:t>
        </w:r>
        <w:r w:rsidR="002931A9" w:rsidRPr="002931A9">
          <w:rPr>
            <w:rStyle w:val="Hyperlink"/>
            <w:rFonts w:hint="cs"/>
            <w:noProof w:val="0"/>
            <w:rtl/>
          </w:rPr>
          <w:t>ג</w:t>
        </w:r>
        <w:r w:rsidR="002931A9" w:rsidRPr="002931A9">
          <w:rPr>
            <w:rStyle w:val="Hyperlink"/>
            <w:noProof w:val="0"/>
            <w:rtl/>
          </w:rPr>
          <w:t>)</w:t>
        </w:r>
      </w:hyperlink>
      <w:r>
        <w:rPr>
          <w:noProof w:val="0"/>
          <w:rtl/>
        </w:rPr>
        <w:t xml:space="preserve"> רישא לפקודת הסמים ו</w:t>
      </w:r>
      <w:r>
        <w:rPr>
          <w:b/>
          <w:bCs/>
          <w:noProof w:val="0"/>
          <w:rtl/>
        </w:rPr>
        <w:t>ניסיון הספקת סמים מסוכנים</w:t>
      </w:r>
      <w:r>
        <w:rPr>
          <w:noProof w:val="0"/>
          <w:rtl/>
        </w:rPr>
        <w:t xml:space="preserve">, לפי </w:t>
      </w:r>
      <w:hyperlink r:id="rId21" w:history="1">
        <w:r w:rsidR="002931A9" w:rsidRPr="002931A9">
          <w:rPr>
            <w:rStyle w:val="Hyperlink"/>
            <w:rFonts w:hint="cs"/>
            <w:noProof w:val="0"/>
            <w:rtl/>
          </w:rPr>
          <w:t>סעיפים</w:t>
        </w:r>
        <w:r w:rsidR="002931A9" w:rsidRPr="002931A9">
          <w:rPr>
            <w:rStyle w:val="Hyperlink"/>
            <w:noProof w:val="0"/>
            <w:rtl/>
          </w:rPr>
          <w:t xml:space="preserve"> 13+19</w:t>
        </w:r>
        <w:r w:rsidR="002931A9" w:rsidRPr="002931A9">
          <w:rPr>
            <w:rStyle w:val="Hyperlink"/>
            <w:rFonts w:hint="cs"/>
            <w:noProof w:val="0"/>
            <w:rtl/>
          </w:rPr>
          <w:t>א</w:t>
        </w:r>
      </w:hyperlink>
      <w:r>
        <w:rPr>
          <w:noProof w:val="0"/>
          <w:rtl/>
        </w:rPr>
        <w:t xml:space="preserve"> לפקודת הסמים יחד עם </w:t>
      </w:r>
      <w:hyperlink r:id="rId22" w:history="1">
        <w:r w:rsidR="002931A9" w:rsidRPr="002931A9">
          <w:rPr>
            <w:rStyle w:val="Hyperlink"/>
            <w:rFonts w:hint="cs"/>
            <w:noProof w:val="0"/>
            <w:rtl/>
          </w:rPr>
          <w:t>סעיף</w:t>
        </w:r>
        <w:r w:rsidR="002931A9" w:rsidRPr="002931A9">
          <w:rPr>
            <w:rStyle w:val="Hyperlink"/>
            <w:noProof w:val="0"/>
            <w:rtl/>
          </w:rPr>
          <w:t xml:space="preserve"> 25</w:t>
        </w:r>
      </w:hyperlink>
      <w:r>
        <w:rPr>
          <w:noProof w:val="0"/>
          <w:rtl/>
        </w:rPr>
        <w:t xml:space="preserve"> </w:t>
      </w:r>
      <w:r>
        <w:rPr>
          <w:rtl/>
        </w:rPr>
        <w:t>ל</w:t>
      </w:r>
      <w:hyperlink r:id="rId23" w:history="1">
        <w:r w:rsidR="008536BD" w:rsidRPr="008536BD">
          <w:rPr>
            <w:rFonts w:hint="cs"/>
            <w:color w:val="0000FF"/>
            <w:u w:val="single"/>
            <w:rtl/>
          </w:rPr>
          <w:t>חוק</w:t>
        </w:r>
        <w:r w:rsidR="008536BD" w:rsidRPr="008536BD">
          <w:rPr>
            <w:color w:val="0000FF"/>
            <w:u w:val="single"/>
            <w:rtl/>
          </w:rPr>
          <w:t xml:space="preserve"> </w:t>
        </w:r>
        <w:r w:rsidR="008536BD" w:rsidRPr="008536BD">
          <w:rPr>
            <w:rFonts w:hint="cs"/>
            <w:color w:val="0000FF"/>
            <w:u w:val="single"/>
            <w:rtl/>
          </w:rPr>
          <w:t>העונשין</w:t>
        </w:r>
      </w:hyperlink>
      <w:r>
        <w:rPr>
          <w:rtl/>
        </w:rPr>
        <w:t xml:space="preserve"> התשל"ז – 1977.</w:t>
      </w:r>
    </w:p>
    <w:p w14:paraId="10E8E235" w14:textId="77777777" w:rsidR="008D333B" w:rsidRDefault="008D333B" w:rsidP="008D333B">
      <w:pPr>
        <w:pStyle w:val="aa"/>
        <w:numPr>
          <w:ilvl w:val="0"/>
          <w:numId w:val="1"/>
        </w:numPr>
        <w:spacing w:before="120" w:after="120" w:line="360" w:lineRule="auto"/>
        <w:ind w:left="357" w:hanging="357"/>
        <w:contextualSpacing w:val="0"/>
        <w:jc w:val="both"/>
        <w:rPr>
          <w:noProof w:val="0"/>
        </w:rPr>
      </w:pPr>
      <w:bookmarkStart w:id="8" w:name="ABSTRACT_END"/>
      <w:bookmarkEnd w:id="8"/>
      <w:r>
        <w:rPr>
          <w:noProof w:val="0"/>
          <w:rtl/>
        </w:rPr>
        <w:t>על פי עובדות החלק הכללי בכתב האישום המתוקן, ביום 01.09.17 שכר הנאשם קרוון הנמצא במשק 68 ברחוב שניר 10 במושב נחלים (להלן: "</w:t>
      </w:r>
      <w:r>
        <w:rPr>
          <w:b/>
          <w:bCs/>
          <w:noProof w:val="0"/>
          <w:rtl/>
        </w:rPr>
        <w:t>הקרוון</w:t>
      </w:r>
      <w:r>
        <w:rPr>
          <w:noProof w:val="0"/>
          <w:rtl/>
        </w:rPr>
        <w:t>) וזאת עד ליום 30.07.18. בהתאם להסכמות בעל פה בין הנאשם למשכיר, הוארכה תקופת השכירות.</w:t>
      </w:r>
    </w:p>
    <w:p w14:paraId="513AB73C" w14:textId="77777777" w:rsidR="008D333B" w:rsidRDefault="008D333B" w:rsidP="008D333B">
      <w:pPr>
        <w:pStyle w:val="aa"/>
        <w:spacing w:before="120" w:after="120" w:line="360" w:lineRule="auto"/>
        <w:ind w:left="357"/>
        <w:contextualSpacing w:val="0"/>
        <w:jc w:val="both"/>
        <w:rPr>
          <w:noProof w:val="0"/>
        </w:rPr>
      </w:pPr>
      <w:r>
        <w:rPr>
          <w:noProof w:val="0"/>
          <w:rtl/>
        </w:rPr>
        <w:t>במועד הרלוונטי לכתב האישום התגורר הנאשם בקרוון והקים בו מעבדת סמים.</w:t>
      </w:r>
    </w:p>
    <w:p w14:paraId="54946A89" w14:textId="77777777" w:rsidR="008D333B" w:rsidRDefault="008D333B" w:rsidP="008D333B">
      <w:pPr>
        <w:pStyle w:val="aa"/>
        <w:spacing w:before="120" w:after="120" w:line="360" w:lineRule="auto"/>
        <w:ind w:left="357"/>
        <w:contextualSpacing w:val="0"/>
        <w:jc w:val="both"/>
        <w:rPr>
          <w:noProof w:val="0"/>
        </w:rPr>
      </w:pPr>
      <w:r>
        <w:rPr>
          <w:noProof w:val="0"/>
          <w:rtl/>
        </w:rPr>
        <w:t>על פי עובדות האישום הראשון בכתב האישום המתוקן, עובר לתאריך 03.05.19 הנאשם הקים בקרוון מעבדה לשם גידול סם מסוכן מסוג קנבוס, ובה שתילים של קנבוס וציוד (להלן: "</w:t>
      </w:r>
      <w:r>
        <w:rPr>
          <w:b/>
          <w:bCs/>
          <w:noProof w:val="0"/>
          <w:rtl/>
        </w:rPr>
        <w:t>המעבדה</w:t>
      </w:r>
      <w:r>
        <w:rPr>
          <w:noProof w:val="0"/>
          <w:rtl/>
        </w:rPr>
        <w:t>").</w:t>
      </w:r>
    </w:p>
    <w:p w14:paraId="5CC7FFA1" w14:textId="77777777" w:rsidR="008D333B" w:rsidRDefault="008D333B" w:rsidP="008D333B">
      <w:pPr>
        <w:pStyle w:val="aa"/>
        <w:spacing w:before="120" w:after="120" w:line="360" w:lineRule="auto"/>
        <w:ind w:left="357"/>
        <w:contextualSpacing w:val="0"/>
        <w:jc w:val="both"/>
        <w:rPr>
          <w:noProof w:val="0"/>
          <w:rtl/>
        </w:rPr>
      </w:pPr>
      <w:r>
        <w:rPr>
          <w:noProof w:val="0"/>
          <w:rtl/>
        </w:rPr>
        <w:lastRenderedPageBreak/>
        <w:t>המעבדה הכילה ציוד ובכללו כלים המשמשים להכנת סם מסוכן או לצריכתו או לגידולו, שלא בהיתר: ציוד לדישון ולגינון, מערכות אוורור, תאורה, השקיה וחשמל, הכל כפי המפורט בהרחבה בכתב האישום המתוקן.</w:t>
      </w:r>
    </w:p>
    <w:p w14:paraId="7FA6B8F9" w14:textId="77777777" w:rsidR="008D333B" w:rsidRDefault="008D333B" w:rsidP="008D333B">
      <w:pPr>
        <w:pStyle w:val="aa"/>
        <w:spacing w:before="120" w:after="120" w:line="360" w:lineRule="auto"/>
        <w:ind w:left="357"/>
        <w:contextualSpacing w:val="0"/>
        <w:jc w:val="both"/>
        <w:rPr>
          <w:noProof w:val="0"/>
          <w:rtl/>
        </w:rPr>
      </w:pPr>
      <w:r>
        <w:rPr>
          <w:noProof w:val="0"/>
          <w:rtl/>
        </w:rPr>
        <w:t>בנסיבות המתוארות באישום זה, ביום 02.05.19, בשעה 19:45 או בסמוך לכך, גידל הנאשם בתוך הקרוון 15 שתילים של סם מסוכן מסוג קנבוס, במשקל של 3.5 ק"ג נטו.</w:t>
      </w:r>
    </w:p>
    <w:p w14:paraId="3A132178" w14:textId="77777777" w:rsidR="008D333B" w:rsidRDefault="008D333B" w:rsidP="008D333B">
      <w:pPr>
        <w:pStyle w:val="aa"/>
        <w:spacing w:before="120" w:after="120" w:line="360" w:lineRule="auto"/>
        <w:ind w:left="357"/>
        <w:contextualSpacing w:val="0"/>
        <w:jc w:val="both"/>
        <w:rPr>
          <w:noProof w:val="0"/>
          <w:rtl/>
        </w:rPr>
      </w:pPr>
      <w:r>
        <w:rPr>
          <w:noProof w:val="0"/>
          <w:rtl/>
        </w:rPr>
        <w:t>באותן הנסיבות, החזיק הנאשם בקרוון, בנוסף לשתילים, בסם מסוכן מסוג קנבוס במשקל כולל של 474 גרם נטו.</w:t>
      </w:r>
    </w:p>
    <w:p w14:paraId="0AF7B98F" w14:textId="77777777" w:rsidR="008D333B" w:rsidRDefault="008D333B" w:rsidP="008D333B">
      <w:pPr>
        <w:pStyle w:val="aa"/>
        <w:numPr>
          <w:ilvl w:val="0"/>
          <w:numId w:val="1"/>
        </w:numPr>
        <w:spacing w:before="120" w:after="120" w:line="360" w:lineRule="auto"/>
        <w:ind w:left="357" w:hanging="357"/>
        <w:contextualSpacing w:val="0"/>
        <w:jc w:val="both"/>
        <w:rPr>
          <w:noProof w:val="0"/>
        </w:rPr>
      </w:pPr>
      <w:r>
        <w:rPr>
          <w:noProof w:val="0"/>
          <w:rtl/>
        </w:rPr>
        <w:t>על פי עובדות האישום השני בכתב האישום המתוקן, ביום 02.05.19, בשעה 19:43 או בסמוך לכך, ברחוב שניר 10 במושב נחלים, נפגש הנאשם עם קרוב משפחתו ברכבו של האחרון וניסה לספק לו סם מסוכן מסוג קנבוס, במשקל שאינו ידוע במדויק למאשימה וללא תמורה. ביצוע העסקה כשל מאחר שהנאשם נתפס ברכב על ידי המשטרה.</w:t>
      </w:r>
    </w:p>
    <w:p w14:paraId="5C9668EE" w14:textId="77777777" w:rsidR="008D333B" w:rsidRDefault="008D333B" w:rsidP="008D333B">
      <w:pPr>
        <w:pStyle w:val="aa"/>
        <w:numPr>
          <w:ilvl w:val="0"/>
          <w:numId w:val="1"/>
        </w:numPr>
        <w:spacing w:before="120" w:after="120" w:line="360" w:lineRule="auto"/>
        <w:ind w:left="357" w:hanging="357"/>
        <w:contextualSpacing w:val="0"/>
        <w:jc w:val="both"/>
        <w:rPr>
          <w:noProof w:val="0"/>
        </w:rPr>
      </w:pPr>
      <w:r>
        <w:rPr>
          <w:noProof w:val="0"/>
          <w:rtl/>
        </w:rPr>
        <w:t>הנאשם הודה והורשע בעובדות כתב האישום המתוקן והופנה לממונה על עבודות השירות לעריכת חוות דעת בעניינו. בין הצדדים לא נרקמה הסכמה עונשית.</w:t>
      </w:r>
    </w:p>
    <w:p w14:paraId="11446554" w14:textId="77777777" w:rsidR="008D333B" w:rsidRDefault="008D333B" w:rsidP="008D333B">
      <w:pPr>
        <w:pStyle w:val="aa"/>
        <w:numPr>
          <w:ilvl w:val="0"/>
          <w:numId w:val="1"/>
        </w:numPr>
        <w:spacing w:before="120" w:after="120" w:line="360" w:lineRule="auto"/>
        <w:ind w:left="357" w:hanging="357"/>
        <w:contextualSpacing w:val="0"/>
        <w:jc w:val="both"/>
        <w:rPr>
          <w:noProof w:val="0"/>
        </w:rPr>
      </w:pPr>
      <w:r>
        <w:rPr>
          <w:noProof w:val="0"/>
          <w:rtl/>
        </w:rPr>
        <w:t>מחוות דעת הממונה על עבודות השירות מיום 17/11/21 עולה כי הנאשם נמצא מתאים לעבודת שירות במגבלות.</w:t>
      </w:r>
    </w:p>
    <w:p w14:paraId="07F00C74" w14:textId="77777777" w:rsidR="008D333B" w:rsidRPr="008D333B" w:rsidRDefault="008D333B" w:rsidP="008D333B">
      <w:pPr>
        <w:spacing w:after="80" w:line="360" w:lineRule="auto"/>
        <w:jc w:val="both"/>
        <w:rPr>
          <w:b/>
          <w:bCs/>
          <w:noProof/>
          <w:color w:val="000000"/>
          <w:sz w:val="28"/>
          <w:szCs w:val="28"/>
          <w:u w:val="single"/>
          <w:rtl/>
        </w:rPr>
      </w:pPr>
      <w:r w:rsidRPr="008D333B">
        <w:rPr>
          <w:b/>
          <w:bCs/>
          <w:color w:val="000000"/>
          <w:sz w:val="28"/>
          <w:szCs w:val="28"/>
          <w:u w:val="single"/>
          <w:rtl/>
        </w:rPr>
        <w:t>טיעוני הצדדים</w:t>
      </w:r>
    </w:p>
    <w:p w14:paraId="1F1A75D1" w14:textId="77777777" w:rsidR="008D333B" w:rsidRDefault="008D333B" w:rsidP="008D333B">
      <w:pPr>
        <w:pStyle w:val="aa"/>
        <w:numPr>
          <w:ilvl w:val="0"/>
          <w:numId w:val="1"/>
        </w:numPr>
        <w:spacing w:before="120" w:after="120" w:line="360" w:lineRule="auto"/>
        <w:ind w:left="357" w:hanging="357"/>
        <w:contextualSpacing w:val="0"/>
        <w:jc w:val="both"/>
        <w:rPr>
          <w:rtl/>
        </w:rPr>
      </w:pPr>
      <w:r>
        <w:rPr>
          <w:b/>
          <w:bCs/>
          <w:rtl/>
        </w:rPr>
        <w:t>התובעת המלומדת,</w:t>
      </w:r>
      <w:r>
        <w:rPr>
          <w:rtl/>
        </w:rPr>
        <w:t xml:space="preserve"> בטיעוניה </w:t>
      </w:r>
      <w:r>
        <w:rPr>
          <w:noProof w:val="0"/>
          <w:rtl/>
        </w:rPr>
        <w:t>לעונש</w:t>
      </w:r>
      <w:r>
        <w:rPr>
          <w:rtl/>
        </w:rPr>
        <w:t>, חזרה ושנתה אודות חומרתה של עבירת גידול הסמים. לטעמה, העובדה שכתב האישום מייחס לנאשם עבירת אספקה לצד גידול הסמים, מעידה על תעוזה. לדבריה מדובר במכת מדינה, כך גם לפי הפסיקה.</w:t>
      </w:r>
    </w:p>
    <w:p w14:paraId="552684D4" w14:textId="77777777" w:rsidR="008D333B" w:rsidRDefault="008D333B" w:rsidP="008D333B">
      <w:pPr>
        <w:pStyle w:val="aa"/>
        <w:spacing w:before="120" w:after="120" w:line="360" w:lineRule="auto"/>
        <w:ind w:left="357"/>
        <w:contextualSpacing w:val="0"/>
        <w:jc w:val="both"/>
      </w:pPr>
      <w:r>
        <w:rPr>
          <w:rtl/>
        </w:rPr>
        <w:t>התובעת הפנתה לפסיקה ובאשר לאישום הראשון עתרה לקבוע מתחם עונשי שנע בין 6 חודשי מאסר אשר יכול וירוצו בדרך של עבודות שירות ועד ל-24 חודשי מאסר. באשר לאישום השני, עתרה לקבוע מתחם עונשי שנע בין מספר חודשי מאסר אשר יכול וירוצו בדרך של עבודות שירות ועד ל-12 חודשי מאסר.</w:t>
      </w:r>
    </w:p>
    <w:p w14:paraId="41C291CE" w14:textId="77777777" w:rsidR="008D333B" w:rsidRDefault="008D333B" w:rsidP="008D333B">
      <w:pPr>
        <w:pStyle w:val="aa"/>
        <w:spacing w:before="120" w:after="120" w:line="360" w:lineRule="auto"/>
        <w:ind w:left="357"/>
        <w:contextualSpacing w:val="0"/>
        <w:jc w:val="both"/>
        <w:rPr>
          <w:rtl/>
        </w:rPr>
      </w:pPr>
      <w:r>
        <w:rPr>
          <w:rtl/>
        </w:rPr>
        <w:t>לאור מכלול הנסיבות, ביניהן הודיית הנאשם, חסכון בזמן שיפוטי, התיקון בכתב האישום, ביקשה למקם את הנאשם בתחתית כל אחד מהמתחמים אותם ביקשה לאמץ ולהשית על הנאשם עונש כולל של 9 חודשי מאסר, אשר ירוצו בדרך של עבודות שירות.</w:t>
      </w:r>
    </w:p>
    <w:p w14:paraId="60606F0A" w14:textId="77777777" w:rsidR="008D333B" w:rsidRDefault="008D333B" w:rsidP="008D333B">
      <w:pPr>
        <w:pStyle w:val="aa"/>
        <w:numPr>
          <w:ilvl w:val="0"/>
          <w:numId w:val="1"/>
        </w:numPr>
        <w:spacing w:before="120" w:after="120" w:line="360" w:lineRule="auto"/>
        <w:ind w:left="357" w:hanging="357"/>
        <w:contextualSpacing w:val="0"/>
        <w:jc w:val="both"/>
        <w:rPr>
          <w:rtl/>
        </w:rPr>
      </w:pPr>
      <w:r>
        <w:rPr>
          <w:b/>
          <w:bCs/>
          <w:rtl/>
        </w:rPr>
        <w:t>הסנגור המלומד,</w:t>
      </w:r>
      <w:r>
        <w:rPr>
          <w:rtl/>
        </w:rPr>
        <w:t xml:space="preserve"> סבר כי</w:t>
      </w:r>
      <w:r>
        <w:rPr>
          <w:b/>
          <w:bCs/>
          <w:rtl/>
        </w:rPr>
        <w:t xml:space="preserve"> </w:t>
      </w:r>
      <w:r>
        <w:rPr>
          <w:rtl/>
        </w:rPr>
        <w:t>נסיבות המקרה מיוחדות.</w:t>
      </w:r>
    </w:p>
    <w:p w14:paraId="6E90BF5A" w14:textId="77777777" w:rsidR="008D333B" w:rsidRDefault="008D333B" w:rsidP="008D333B">
      <w:pPr>
        <w:pStyle w:val="aa"/>
        <w:spacing w:before="120" w:after="120" w:line="360" w:lineRule="auto"/>
        <w:ind w:left="357"/>
        <w:contextualSpacing w:val="0"/>
        <w:jc w:val="both"/>
      </w:pPr>
      <w:r>
        <w:rPr>
          <w:rtl/>
        </w:rPr>
        <w:t>באשר לאישום הראשון טען כי לאחר התיקון שנערך בכתב האישום, נכון להיום, מעשי הנאשם לא מעידים על תחכום, הנאשם הקים בביתו (בקראוון) מעבדה, בניגוד לתחכום שבשכירת חממה או דירה וכנגזרת מכך אין עניין של גניבת חשמל.</w:t>
      </w:r>
    </w:p>
    <w:p w14:paraId="4209CF0A" w14:textId="77777777" w:rsidR="008D333B" w:rsidRDefault="008D333B" w:rsidP="008D333B">
      <w:pPr>
        <w:pStyle w:val="aa"/>
        <w:spacing w:before="120" w:after="120" w:line="360" w:lineRule="auto"/>
        <w:ind w:left="357"/>
        <w:contextualSpacing w:val="0"/>
        <w:jc w:val="both"/>
        <w:rPr>
          <w:rtl/>
        </w:rPr>
      </w:pPr>
      <w:r>
        <w:rPr>
          <w:rtl/>
        </w:rPr>
        <w:t>מדובר ב-2 אוהלים, כמות השתילים (15) ומשקלם (3.5 ק"ג) מעידים על מעבדה יחסית מינורית. לדבריו, בשונה מעמדת התביעה, מדובר במעבדה פרימטיבית ולכן לדבריו דרישת עונש של 9 חודשי עבודות שירות חוטאת למציאות.</w:t>
      </w:r>
    </w:p>
    <w:p w14:paraId="0D58897A" w14:textId="77777777" w:rsidR="008D333B" w:rsidRDefault="008D333B" w:rsidP="008D333B">
      <w:pPr>
        <w:pStyle w:val="aa"/>
        <w:spacing w:before="120" w:after="120" w:line="360" w:lineRule="auto"/>
        <w:ind w:left="357"/>
        <w:contextualSpacing w:val="0"/>
        <w:jc w:val="both"/>
        <w:rPr>
          <w:rtl/>
        </w:rPr>
      </w:pPr>
      <w:r>
        <w:rPr>
          <w:rtl/>
        </w:rPr>
        <w:lastRenderedPageBreak/>
        <w:t>באשר לאישום השני, ציין כי באותו היום בו נעצר הנאשם, ניסה לספק לקרוב משפחתו כמות לא ידועה של סם. לטובתו, יש להניח כי מדובר בכמות קטנה, וממילא דובר על אספקה ללא תמורה. על כן ומאחר שנושא הסחר נבדק (הוגש מזכר רלוונטי,</w:t>
      </w:r>
      <w:r>
        <w:rPr>
          <w:b/>
          <w:bCs/>
          <w:rtl/>
        </w:rPr>
        <w:t xml:space="preserve"> נ/1</w:t>
      </w:r>
      <w:r>
        <w:rPr>
          <w:rtl/>
        </w:rPr>
        <w:t xml:space="preserve">), מדובר בניסון חד פעמי של אספקה. </w:t>
      </w:r>
    </w:p>
    <w:p w14:paraId="189ED4CE" w14:textId="77777777" w:rsidR="008D333B" w:rsidRDefault="008D333B" w:rsidP="008D333B">
      <w:pPr>
        <w:pStyle w:val="aa"/>
        <w:spacing w:before="120" w:after="120" w:line="360" w:lineRule="auto"/>
        <w:ind w:left="357"/>
        <w:contextualSpacing w:val="0"/>
        <w:jc w:val="both"/>
        <w:rPr>
          <w:rtl/>
        </w:rPr>
      </w:pPr>
      <w:r>
        <w:rPr>
          <w:rtl/>
        </w:rPr>
        <w:t xml:space="preserve">הנאשם עובד בצורה מסודרת (הוגש מכתב רלוונטי מאת מעסיקו, </w:t>
      </w:r>
      <w:r>
        <w:rPr>
          <w:b/>
          <w:bCs/>
          <w:rtl/>
        </w:rPr>
        <w:t>נ/2</w:t>
      </w:r>
      <w:r>
        <w:rPr>
          <w:rtl/>
        </w:rPr>
        <w:t xml:space="preserve">), היום בן 25, חלף זמן מאז מועד ביצוע העבירה. הנאשם הודה בהזדמנות הראשונה וזאת לאחר שיהוי בהגשת כתב האישום. לנאשם אין עבר פלילי. </w:t>
      </w:r>
    </w:p>
    <w:p w14:paraId="2056A141" w14:textId="77777777" w:rsidR="008D333B" w:rsidRDefault="008D333B" w:rsidP="008D333B">
      <w:pPr>
        <w:pStyle w:val="aa"/>
        <w:spacing w:before="120" w:after="120" w:line="360" w:lineRule="auto"/>
        <w:ind w:left="357"/>
        <w:contextualSpacing w:val="0"/>
        <w:jc w:val="both"/>
        <w:rPr>
          <w:rtl/>
        </w:rPr>
      </w:pPr>
      <w:r>
        <w:rPr>
          <w:rtl/>
        </w:rPr>
        <w:t>לעמדת הסנגור, עתירה לעונש של 9 חודשים, כעתירת התביעה, לא מבטאת התחשבות בנסיבות אותן הדגיש. הוסיף כי המתחמים ועתירת התביעה להשיתם במצטבר אינם סבירים. לדידו, הפרדת כתב האישום לשני אירועים נפרדים מלאכותית.</w:t>
      </w:r>
    </w:p>
    <w:p w14:paraId="3674F9DB" w14:textId="77777777" w:rsidR="008D333B" w:rsidRDefault="008D333B" w:rsidP="008D333B">
      <w:pPr>
        <w:pStyle w:val="aa"/>
        <w:spacing w:before="120" w:after="120" w:line="360" w:lineRule="auto"/>
        <w:ind w:left="357"/>
        <w:contextualSpacing w:val="0"/>
        <w:jc w:val="both"/>
        <w:rPr>
          <w:rtl/>
        </w:rPr>
      </w:pPr>
      <w:r>
        <w:rPr>
          <w:rtl/>
        </w:rPr>
        <w:t xml:space="preserve">לדבריו, המתחם צריך להיות אחד כולל, ולטענתו צריך להתחיל מחודש אחד של עבודות שירות ועד ל-6 חודשים. </w:t>
      </w:r>
    </w:p>
    <w:p w14:paraId="40A205B9" w14:textId="77777777" w:rsidR="008D333B" w:rsidRDefault="008D333B" w:rsidP="008D333B">
      <w:pPr>
        <w:pStyle w:val="aa"/>
        <w:spacing w:before="120" w:after="120" w:line="360" w:lineRule="auto"/>
        <w:ind w:left="357"/>
        <w:contextualSpacing w:val="0"/>
        <w:jc w:val="both"/>
        <w:rPr>
          <w:rtl/>
        </w:rPr>
      </w:pPr>
      <w:r>
        <w:rPr>
          <w:rtl/>
        </w:rPr>
        <w:t>הסנגור הוסיף שלאחר מועד ביצוע העבירה הנאשם התחתן, הוא ובת זוגו גרים בדירה עם אמה של אשתו. הנאשם עובד ומפרנס עיקרי וביקש לקחת זאת בחשבון.</w:t>
      </w:r>
    </w:p>
    <w:p w14:paraId="22C268C5" w14:textId="77777777" w:rsidR="008D333B" w:rsidRDefault="008D333B" w:rsidP="008D333B">
      <w:pPr>
        <w:pStyle w:val="aa"/>
        <w:spacing w:before="120" w:after="120" w:line="360" w:lineRule="auto"/>
        <w:ind w:left="357"/>
        <w:contextualSpacing w:val="0"/>
        <w:jc w:val="both"/>
        <w:rPr>
          <w:rtl/>
        </w:rPr>
      </w:pPr>
      <w:r>
        <w:rPr>
          <w:rtl/>
        </w:rPr>
        <w:t xml:space="preserve">הנאשם הבין את הלקח, נאשם נורמטיבי, היה בן 23 ומבקש לאור כל הנסיבול האלו להשית עליו עונש של חודש מאסר אשר ירוצה בדרך של עבודות שירות, לצד מע"ת וקנס. </w:t>
      </w:r>
    </w:p>
    <w:p w14:paraId="173A09E3" w14:textId="77777777" w:rsidR="008D333B" w:rsidRDefault="008D333B" w:rsidP="008D333B">
      <w:pPr>
        <w:pStyle w:val="aa"/>
        <w:numPr>
          <w:ilvl w:val="0"/>
          <w:numId w:val="1"/>
        </w:numPr>
        <w:spacing w:before="120" w:after="120" w:line="360" w:lineRule="auto"/>
        <w:ind w:left="357" w:hanging="357"/>
        <w:contextualSpacing w:val="0"/>
        <w:jc w:val="both"/>
        <w:rPr>
          <w:rtl/>
        </w:rPr>
      </w:pPr>
      <w:r>
        <w:rPr>
          <w:b/>
          <w:bCs/>
          <w:rtl/>
        </w:rPr>
        <w:t>הנאשם בדברו האחרון</w:t>
      </w:r>
      <w:r>
        <w:rPr>
          <w:rtl/>
        </w:rPr>
        <w:t>, הביע חרטה עמוקה על מעשיו.</w:t>
      </w:r>
    </w:p>
    <w:p w14:paraId="289A0569" w14:textId="77777777" w:rsidR="008D333B" w:rsidRDefault="008D333B" w:rsidP="008D333B">
      <w:pPr>
        <w:spacing w:before="240" w:line="360" w:lineRule="auto"/>
        <w:ind w:left="1077" w:hanging="720"/>
        <w:jc w:val="both"/>
        <w:rPr>
          <w:b/>
          <w:bCs/>
          <w:sz w:val="28"/>
          <w:szCs w:val="28"/>
          <w:rtl/>
        </w:rPr>
      </w:pPr>
      <w:r>
        <w:rPr>
          <w:b/>
          <w:bCs/>
          <w:sz w:val="28"/>
          <w:szCs w:val="28"/>
          <w:rtl/>
        </w:rPr>
        <w:t>מתחם העונש ההולם</w:t>
      </w:r>
    </w:p>
    <w:p w14:paraId="37CE4C9C" w14:textId="77777777" w:rsidR="008D333B" w:rsidRDefault="008D333B" w:rsidP="008D333B">
      <w:pPr>
        <w:pStyle w:val="aa"/>
        <w:numPr>
          <w:ilvl w:val="0"/>
          <w:numId w:val="1"/>
        </w:numPr>
        <w:spacing w:before="240" w:after="80" w:line="360" w:lineRule="auto"/>
        <w:ind w:left="357"/>
        <w:contextualSpacing w:val="0"/>
        <w:jc w:val="both"/>
        <w:rPr>
          <w:rtl/>
        </w:rPr>
      </w:pPr>
      <w:r>
        <w:rPr>
          <w:rtl/>
        </w:rPr>
        <w:t xml:space="preserve">בענייננו עסקינן </w:t>
      </w:r>
      <w:r>
        <w:rPr>
          <w:b/>
          <w:bCs/>
          <w:rtl/>
        </w:rPr>
        <w:t>בשני אירועים נפרדים,</w:t>
      </w:r>
      <w:r>
        <w:rPr>
          <w:rtl/>
        </w:rPr>
        <w:t xml:space="preserve"> בהתאם לכללים שנקבעו בפסיקת בית-המשפט העליון (ראו לעניין זה: </w:t>
      </w:r>
      <w:hyperlink r:id="rId24" w:history="1">
        <w:r w:rsidR="008536BD" w:rsidRPr="008536BD">
          <w:rPr>
            <w:rFonts w:hint="cs"/>
            <w:color w:val="0000FF"/>
            <w:u w:val="single"/>
            <w:rtl/>
          </w:rPr>
          <w:t>ע</w:t>
        </w:r>
        <w:r w:rsidR="008536BD" w:rsidRPr="008536BD">
          <w:rPr>
            <w:color w:val="0000FF"/>
            <w:u w:val="single"/>
            <w:rtl/>
          </w:rPr>
          <w:t>"</w:t>
        </w:r>
        <w:r w:rsidR="008536BD" w:rsidRPr="008536BD">
          <w:rPr>
            <w:rFonts w:hint="cs"/>
            <w:color w:val="0000FF"/>
            <w:u w:val="single"/>
            <w:rtl/>
          </w:rPr>
          <w:t>פ</w:t>
        </w:r>
        <w:r w:rsidR="008536BD" w:rsidRPr="008536BD">
          <w:rPr>
            <w:color w:val="0000FF"/>
            <w:u w:val="single"/>
            <w:rtl/>
          </w:rPr>
          <w:t xml:space="preserve"> 4910/13</w:t>
        </w:r>
      </w:hyperlink>
      <w:r>
        <w:rPr>
          <w:rtl/>
        </w:rPr>
        <w:t xml:space="preserve"> </w:t>
      </w:r>
      <w:r>
        <w:rPr>
          <w:rFonts w:hint="cs"/>
          <w:b/>
          <w:bCs/>
          <w:rtl/>
        </w:rPr>
        <w:t xml:space="preserve">ג'אבר נ' מדינת ישראל, </w:t>
      </w:r>
      <w:r>
        <w:rPr>
          <w:rFonts w:hint="cs"/>
          <w:rtl/>
        </w:rPr>
        <w:t>מפי כב' השופטת ברק-ארז</w:t>
      </w:r>
      <w:r>
        <w:rPr>
          <w:rFonts w:hint="cs"/>
          <w:b/>
          <w:bCs/>
          <w:rtl/>
        </w:rPr>
        <w:t xml:space="preserve">, </w:t>
      </w:r>
      <w:r>
        <w:rPr>
          <w:rFonts w:hint="cs"/>
          <w:rtl/>
        </w:rPr>
        <w:t xml:space="preserve">ניתן ביום 29.10.14; </w:t>
      </w:r>
      <w:hyperlink r:id="rId25" w:history="1">
        <w:r w:rsidR="008536BD" w:rsidRPr="008536BD">
          <w:rPr>
            <w:rFonts w:hint="cs"/>
            <w:color w:val="0000FF"/>
            <w:u w:val="single"/>
            <w:rtl/>
          </w:rPr>
          <w:t>ע</w:t>
        </w:r>
        <w:r w:rsidR="008536BD" w:rsidRPr="008536BD">
          <w:rPr>
            <w:color w:val="0000FF"/>
            <w:u w:val="single"/>
            <w:rtl/>
          </w:rPr>
          <w:t>"</w:t>
        </w:r>
        <w:r w:rsidR="008536BD" w:rsidRPr="008536BD">
          <w:rPr>
            <w:rFonts w:hint="cs"/>
            <w:color w:val="0000FF"/>
            <w:u w:val="single"/>
            <w:rtl/>
          </w:rPr>
          <w:t>פ</w:t>
        </w:r>
        <w:r w:rsidR="008536BD" w:rsidRPr="008536BD">
          <w:rPr>
            <w:color w:val="0000FF"/>
            <w:u w:val="single"/>
            <w:rtl/>
          </w:rPr>
          <w:t xml:space="preserve"> 9308/12</w:t>
        </w:r>
      </w:hyperlink>
      <w:r>
        <w:rPr>
          <w:rtl/>
        </w:rPr>
        <w:t xml:space="preserve"> </w:t>
      </w:r>
      <w:r>
        <w:rPr>
          <w:rFonts w:hint="cs"/>
          <w:b/>
          <w:bCs/>
          <w:rtl/>
        </w:rPr>
        <w:t>עיסא נ' מדינת ישראל,</w:t>
      </w:r>
      <w:r>
        <w:rPr>
          <w:rFonts w:hint="cs"/>
          <w:rtl/>
        </w:rPr>
        <w:t xml:space="preserve"> ניתן ביום 30.7.15). </w:t>
      </w:r>
    </w:p>
    <w:p w14:paraId="005DD0BF" w14:textId="77777777" w:rsidR="008D333B" w:rsidRDefault="008D333B" w:rsidP="008D333B">
      <w:pPr>
        <w:pStyle w:val="aa"/>
        <w:spacing w:before="240" w:after="160" w:line="360" w:lineRule="auto"/>
        <w:ind w:left="357"/>
        <w:contextualSpacing w:val="0"/>
        <w:jc w:val="both"/>
        <w:rPr>
          <w:highlight w:val="yellow"/>
        </w:rPr>
      </w:pPr>
      <w:r>
        <w:rPr>
          <w:rtl/>
        </w:rPr>
        <w:t xml:space="preserve">עסקינן באירועים בעלי אופי שונה, אשר בוצעו במועדים שונים ולפיכך יש לראות בעבירות השונות </w:t>
      </w:r>
      <w:r>
        <w:rPr>
          <w:u w:val="single"/>
          <w:rtl/>
        </w:rPr>
        <w:t>אירועים נפרדים</w:t>
      </w:r>
      <w:r>
        <w:rPr>
          <w:rtl/>
        </w:rPr>
        <w:t xml:space="preserve">. </w:t>
      </w:r>
    </w:p>
    <w:p w14:paraId="2A1DDB39" w14:textId="77777777" w:rsidR="008D333B" w:rsidRPr="008D333B" w:rsidRDefault="008D333B" w:rsidP="008D333B">
      <w:pPr>
        <w:pStyle w:val="aa"/>
        <w:numPr>
          <w:ilvl w:val="0"/>
          <w:numId w:val="1"/>
        </w:numPr>
        <w:spacing w:before="240" w:after="160" w:line="360" w:lineRule="auto"/>
        <w:ind w:left="357"/>
        <w:contextualSpacing w:val="0"/>
        <w:jc w:val="both"/>
        <w:rPr>
          <w:rFonts w:ascii="David" w:hAnsi="David"/>
        </w:rPr>
      </w:pPr>
      <w:r w:rsidRPr="008D333B">
        <w:rPr>
          <w:rFonts w:ascii="David" w:hAnsi="David"/>
          <w:rtl/>
        </w:rPr>
        <w:t xml:space="preserve">בהתאם לתיקון 113 לחוק, יש לקבוע, בטרם קביעת העונש המתאים,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566FD726" w14:textId="77777777" w:rsidR="008D333B" w:rsidRPr="008D333B" w:rsidRDefault="008D333B" w:rsidP="008D333B">
      <w:pPr>
        <w:pStyle w:val="aa"/>
        <w:spacing w:after="160" w:line="360" w:lineRule="auto"/>
        <w:ind w:left="360"/>
        <w:jc w:val="both"/>
        <w:rPr>
          <w:rFonts w:ascii="David" w:hAnsi="David"/>
          <w:b/>
          <w:bCs/>
          <w:u w:val="single"/>
          <w:rtl/>
        </w:rPr>
      </w:pPr>
      <w:r w:rsidRPr="008D333B">
        <w:rPr>
          <w:rFonts w:ascii="David" w:hAnsi="David"/>
          <w:b/>
          <w:bCs/>
          <w:u w:val="single"/>
          <w:rtl/>
        </w:rPr>
        <w:t>עבירות הגידול וההחזקה שלא לצריכה עצמית</w:t>
      </w:r>
    </w:p>
    <w:p w14:paraId="1B9DB2EF" w14:textId="77777777" w:rsidR="008D333B" w:rsidRPr="008D333B" w:rsidRDefault="008D333B" w:rsidP="008D333B">
      <w:pPr>
        <w:pStyle w:val="aa"/>
        <w:numPr>
          <w:ilvl w:val="0"/>
          <w:numId w:val="1"/>
        </w:numPr>
        <w:spacing w:after="160" w:line="360" w:lineRule="auto"/>
        <w:contextualSpacing w:val="0"/>
        <w:jc w:val="both"/>
        <w:rPr>
          <w:rFonts w:ascii="David" w:hAnsi="David"/>
          <w:rtl/>
        </w:rPr>
      </w:pPr>
      <w:r w:rsidRPr="008D333B">
        <w:rPr>
          <w:rFonts w:ascii="David" w:hAnsi="David"/>
          <w:rtl/>
        </w:rPr>
        <w:t>עסקינן בגידול סמים ללא היתר או רישיון, כאשר הנאשם גידל סמים בביתו</w:t>
      </w:r>
      <w:r w:rsidRPr="008D333B">
        <w:rPr>
          <w:rFonts w:ascii="David" w:hAnsi="David" w:hint="cs"/>
          <w:rtl/>
        </w:rPr>
        <w:t xml:space="preserve"> - </w:t>
      </w:r>
      <w:r w:rsidRPr="008D333B">
        <w:rPr>
          <w:rFonts w:ascii="David" w:hAnsi="David"/>
          <w:rtl/>
        </w:rPr>
        <w:t>15 שתילים במשקל של 3.5 קילוגרם, וכן החזיק ב474 גרם נטו קנבוס שלא לצריכתו העצמית.</w:t>
      </w:r>
    </w:p>
    <w:p w14:paraId="0BE64468" w14:textId="77777777" w:rsidR="008D333B" w:rsidRDefault="008D333B" w:rsidP="008D333B">
      <w:pPr>
        <w:pStyle w:val="aa"/>
        <w:numPr>
          <w:ilvl w:val="0"/>
          <w:numId w:val="1"/>
        </w:numPr>
        <w:spacing w:after="160" w:line="360" w:lineRule="auto"/>
        <w:contextualSpacing w:val="0"/>
        <w:jc w:val="both"/>
        <w:rPr>
          <w:rFonts w:ascii="David" w:hAnsi="David"/>
        </w:rPr>
      </w:pPr>
      <w:r>
        <w:rPr>
          <w:rFonts w:ascii="David" w:hAnsi="David"/>
          <w:rtl/>
        </w:rPr>
        <w:t>לעניין הערכים המוגנים, נזקי הסמים ופגיעתם בחברה משתרעים על מרחבים ניכרים. פגיעתם של הסמים בחברה רחבת היקף הן למשתמש הבודד, משפחתו והמעגל הקרוב, והן לחברה כולה לאור הפעילות הפלילית של הצרכן המבקש לספק את הדחף לסם ופעמים רבות מבצע על הדרך עבירות נוספות, בעיקר מתחום הרכוש.</w:t>
      </w:r>
    </w:p>
    <w:p w14:paraId="1BDB0B7F" w14:textId="77777777" w:rsidR="008D333B" w:rsidRDefault="008D333B" w:rsidP="008D333B">
      <w:pPr>
        <w:pStyle w:val="aa"/>
        <w:spacing w:before="240" w:after="160" w:line="360" w:lineRule="auto"/>
        <w:ind w:left="360"/>
        <w:contextualSpacing w:val="0"/>
        <w:jc w:val="both"/>
        <w:rPr>
          <w:rFonts w:ascii="David" w:hAnsi="David"/>
        </w:rPr>
      </w:pPr>
      <w:r>
        <w:rPr>
          <w:rFonts w:ascii="David" w:hAnsi="David"/>
          <w:rtl/>
        </w:rPr>
        <w:t xml:space="preserve">בעניין זה אפנה לפסיקתו של בית המשפט המחוזי בתל אביב במסגרת </w:t>
      </w:r>
      <w:hyperlink r:id="rId26" w:history="1">
        <w:r w:rsidR="008536BD" w:rsidRPr="008536BD">
          <w:rPr>
            <w:rFonts w:ascii="David" w:hAnsi="David"/>
            <w:b/>
            <w:bCs/>
            <w:color w:val="0000FF"/>
            <w:u w:val="single"/>
            <w:rtl/>
          </w:rPr>
          <w:t>עפ"ג 31126-05-14</w:t>
        </w:r>
      </w:hyperlink>
      <w:r>
        <w:rPr>
          <w:rFonts w:ascii="David" w:hAnsi="David"/>
          <w:b/>
          <w:bCs/>
          <w:rtl/>
        </w:rPr>
        <w:t xml:space="preserve"> מדינת ישראל נ' חריט (12.01.2015):</w:t>
      </w:r>
      <w:r>
        <w:rPr>
          <w:rFonts w:ascii="David" w:hAnsi="David"/>
          <w:rtl/>
        </w:rPr>
        <w:t xml:space="preserve"> </w:t>
      </w:r>
    </w:p>
    <w:p w14:paraId="3D54C614" w14:textId="77777777" w:rsidR="008D333B" w:rsidRDefault="008D333B" w:rsidP="008D333B">
      <w:pPr>
        <w:pStyle w:val="aa"/>
        <w:spacing w:line="360" w:lineRule="auto"/>
        <w:ind w:left="360" w:right="284"/>
        <w:contextualSpacing w:val="0"/>
        <w:jc w:val="both"/>
        <w:rPr>
          <w:rFonts w:ascii="David" w:hAnsi="David"/>
          <w:rtl/>
        </w:rPr>
      </w:pPr>
      <w:r>
        <w:rPr>
          <w:rFonts w:ascii="David" w:hAnsi="David"/>
          <w:rtl/>
        </w:rPr>
        <w:t>"</w:t>
      </w:r>
      <w:r>
        <w:rPr>
          <w:rFonts w:ascii="David" w:hAnsi="David"/>
          <w:b/>
          <w:bCs/>
          <w:rtl/>
        </w:rPr>
        <w:t>בהינתן המציאות הנוכחית שבה גידול הסמים הפך להיות מכת מדינה, יש להילחם בו בחומרה כאשר הביטוי לכך יהיה בהעלאת רף הענישה. המגדלים והמפיצים מצויים באותו מקום עצמו מבחינה ערכית ומעשית גם יחד</w:t>
      </w:r>
      <w:r>
        <w:rPr>
          <w:rFonts w:ascii="David" w:hAnsi="David"/>
          <w:rtl/>
        </w:rPr>
        <w:t>".</w:t>
      </w:r>
    </w:p>
    <w:p w14:paraId="783FB6EB" w14:textId="77777777" w:rsidR="008D333B" w:rsidRDefault="008D333B" w:rsidP="008D333B">
      <w:pPr>
        <w:pStyle w:val="aa"/>
        <w:numPr>
          <w:ilvl w:val="0"/>
          <w:numId w:val="1"/>
        </w:numPr>
        <w:spacing w:before="240" w:after="160" w:line="360" w:lineRule="auto"/>
        <w:contextualSpacing w:val="0"/>
        <w:jc w:val="both"/>
        <w:rPr>
          <w:rFonts w:ascii="David" w:hAnsi="David"/>
          <w:rtl/>
        </w:rPr>
      </w:pPr>
      <w:r>
        <w:rPr>
          <w:rFonts w:ascii="David" w:hAnsi="David"/>
          <w:rtl/>
        </w:rPr>
        <w:t>בית המשפט המחוזי בתל אביב ציין כי לא בכדי הציב המחוקק לצידה של עבירת הגידול את העונש המקסימלי של 20 שנות מאסר, השווה לעונש המוטל בגין הפצת סם וסחר בו:</w:t>
      </w:r>
    </w:p>
    <w:p w14:paraId="3F59446A" w14:textId="77777777" w:rsidR="008D333B" w:rsidRDefault="008D333B" w:rsidP="008D333B">
      <w:pPr>
        <w:pStyle w:val="aa"/>
        <w:spacing w:line="360" w:lineRule="auto"/>
        <w:ind w:left="360" w:right="284"/>
        <w:contextualSpacing w:val="0"/>
        <w:jc w:val="both"/>
        <w:rPr>
          <w:rFonts w:ascii="David" w:hAnsi="David"/>
          <w:rtl/>
        </w:rPr>
      </w:pPr>
      <w:r>
        <w:rPr>
          <w:rFonts w:ascii="David" w:hAnsi="David"/>
          <w:b/>
          <w:bCs/>
          <w:rtl/>
        </w:rPr>
        <w:t>"יש בכך אמירה נורמטיבית לצד אמירה אופרטיבית. מידת החומרה שבגידול סם איננה נופלת מזו של הפצת סם. מי שמגדל סם בכמויות כאלה, חזקה עליו שאיננו מתכוון רק לשימוש עצמי וכך גם נאמר בפירוש בעובדות כתב האישום שבו הודה המשיב... המתחם הנכון, כפי שאמרנו בכמה וכמה תיקים: צריך לעמוד על תקופה שתחילתה במאסר שיינשא מאחורי סורג ובריח ולא במאסר שיינשא בעבודות שירות"</w:t>
      </w:r>
      <w:r>
        <w:rPr>
          <w:rFonts w:ascii="David" w:hAnsi="David"/>
          <w:rtl/>
        </w:rPr>
        <w:t xml:space="preserve"> – </w:t>
      </w:r>
      <w:hyperlink r:id="rId27" w:history="1">
        <w:r w:rsidR="008536BD" w:rsidRPr="008536BD">
          <w:rPr>
            <w:rFonts w:ascii="David" w:hAnsi="David"/>
            <w:color w:val="0000FF"/>
            <w:u w:val="single"/>
            <w:rtl/>
          </w:rPr>
          <w:t>עפ"ג 12819-11-15</w:t>
        </w:r>
      </w:hyperlink>
      <w:r>
        <w:rPr>
          <w:rFonts w:ascii="David" w:hAnsi="David"/>
          <w:rtl/>
        </w:rPr>
        <w:t xml:space="preserve"> מדינת ישראל נ' בן צבי (16.12.2015).</w:t>
      </w:r>
    </w:p>
    <w:p w14:paraId="5EA277D7" w14:textId="77777777" w:rsidR="008D333B" w:rsidRDefault="008D333B" w:rsidP="008D333B">
      <w:pPr>
        <w:pStyle w:val="aa"/>
        <w:numPr>
          <w:ilvl w:val="0"/>
          <w:numId w:val="1"/>
        </w:numPr>
        <w:spacing w:before="240" w:after="160" w:line="360" w:lineRule="auto"/>
        <w:contextualSpacing w:val="0"/>
        <w:jc w:val="both"/>
        <w:rPr>
          <w:b/>
          <w:bCs/>
        </w:rPr>
      </w:pPr>
      <w:r>
        <w:rPr>
          <w:rtl/>
        </w:rPr>
        <w:t>ב</w:t>
      </w:r>
      <w:hyperlink r:id="rId28" w:history="1">
        <w:r w:rsidR="008536BD" w:rsidRPr="008536BD">
          <w:rPr>
            <w:rFonts w:hint="cs"/>
            <w:color w:val="0000FF"/>
            <w:u w:val="single"/>
            <w:rtl/>
          </w:rPr>
          <w:t>ת</w:t>
        </w:r>
        <w:r w:rsidR="008536BD" w:rsidRPr="008536BD">
          <w:rPr>
            <w:color w:val="0000FF"/>
            <w:u w:val="single"/>
            <w:rtl/>
          </w:rPr>
          <w:t>"</w:t>
        </w:r>
        <w:r w:rsidR="008536BD" w:rsidRPr="008536BD">
          <w:rPr>
            <w:rFonts w:hint="cs"/>
            <w:color w:val="0000FF"/>
            <w:u w:val="single"/>
            <w:rtl/>
          </w:rPr>
          <w:t>פ</w:t>
        </w:r>
        <w:r w:rsidR="008536BD" w:rsidRPr="008536BD">
          <w:rPr>
            <w:color w:val="0000FF"/>
            <w:u w:val="single"/>
            <w:rtl/>
          </w:rPr>
          <w:t xml:space="preserve"> (</w:t>
        </w:r>
        <w:r w:rsidR="008536BD" w:rsidRPr="008536BD">
          <w:rPr>
            <w:rFonts w:hint="cs"/>
            <w:color w:val="0000FF"/>
            <w:u w:val="single"/>
            <w:rtl/>
          </w:rPr>
          <w:t>י</w:t>
        </w:r>
        <w:r w:rsidR="008536BD" w:rsidRPr="008536BD">
          <w:rPr>
            <w:color w:val="0000FF"/>
            <w:u w:val="single"/>
            <w:rtl/>
          </w:rPr>
          <w:t>-</w:t>
        </w:r>
        <w:r w:rsidR="008536BD" w:rsidRPr="008536BD">
          <w:rPr>
            <w:rFonts w:hint="cs"/>
            <w:color w:val="0000FF"/>
            <w:u w:val="single"/>
            <w:rtl/>
          </w:rPr>
          <w:t>ם</w:t>
        </w:r>
        <w:r w:rsidR="008536BD" w:rsidRPr="008536BD">
          <w:rPr>
            <w:color w:val="0000FF"/>
            <w:u w:val="single"/>
            <w:rtl/>
          </w:rPr>
          <w:t>) 48938-01-15</w:t>
        </w:r>
      </w:hyperlink>
      <w:r>
        <w:rPr>
          <w:rtl/>
        </w:rPr>
        <w:t xml:space="preserve"> </w:t>
      </w:r>
      <w:r>
        <w:rPr>
          <w:rFonts w:hint="cs"/>
          <w:b/>
          <w:bCs/>
          <w:rtl/>
        </w:rPr>
        <w:t xml:space="preserve">מדינת ישראל נ' דוד </w:t>
      </w:r>
      <w:r>
        <w:rPr>
          <w:rFonts w:ascii="David" w:hAnsi="David"/>
          <w:b/>
          <w:bCs/>
          <w:rtl/>
        </w:rPr>
        <w:t>קריכלי</w:t>
      </w:r>
      <w:r>
        <w:rPr>
          <w:rtl/>
        </w:rPr>
        <w:t xml:space="preserve"> [</w:t>
      </w:r>
      <w:r>
        <w:rPr>
          <w:rFonts w:ascii="David" w:hAnsi="David"/>
          <w:rtl/>
        </w:rPr>
        <w:t>פורסם</w:t>
      </w:r>
      <w:r>
        <w:rPr>
          <w:rtl/>
        </w:rPr>
        <w:t xml:space="preserve"> בנבו] (6.6.2016) (להלן: </w:t>
      </w:r>
      <w:r>
        <w:rPr>
          <w:b/>
          <w:bCs/>
          <w:rtl/>
        </w:rPr>
        <w:t>"עניין קריכלי"</w:t>
      </w:r>
      <w:r>
        <w:rPr>
          <w:rtl/>
        </w:rPr>
        <w:t xml:space="preserve">) צוין: </w:t>
      </w:r>
    </w:p>
    <w:p w14:paraId="19DC4B13" w14:textId="77777777" w:rsidR="008D333B" w:rsidRDefault="008D333B" w:rsidP="008D333B">
      <w:pPr>
        <w:pStyle w:val="1"/>
        <w:spacing w:after="240" w:line="360" w:lineRule="auto"/>
        <w:ind w:left="360" w:right="284"/>
        <w:contextualSpacing w:val="0"/>
        <w:jc w:val="both"/>
        <w:rPr>
          <w:rFonts w:eastAsia="Times New Roman" w:cs="David"/>
          <w:b/>
          <w:bCs/>
          <w:sz w:val="24"/>
          <w:szCs w:val="24"/>
        </w:rPr>
      </w:pPr>
      <w:r>
        <w:rPr>
          <w:rFonts w:cs="David"/>
          <w:b/>
          <w:bCs/>
          <w:sz w:val="24"/>
          <w:szCs w:val="24"/>
          <w:rtl/>
        </w:rPr>
        <w:t>"</w:t>
      </w:r>
      <w:r>
        <w:rPr>
          <w:rFonts w:eastAsia="Times New Roman" w:cs="David"/>
          <w:b/>
          <w:bCs/>
          <w:sz w:val="24"/>
          <w:szCs w:val="24"/>
          <w:rtl/>
        </w:rPr>
        <w:t>כידוע, נגע הסמים פוגע קשות בחברה, משחית את הגוף ואת הנפש, וגורם בדרך עקיפה אך בטוחה לעבירות רכוש, לזנות וקלקלותיה ולצורות החמורות של עבירות הרכוש, המגיעות במקרים רבים לכלל אלימות; שכן, מעבר לפגיעה במתמכרים, פיזית ונפשית, נאלצים המכורים המשועבדים להשחית עצמם, בעבירות שונות, והופכים מקרבנות הסחר לפוגעים בציבור הרחב. בתי המשפט הציבו להם מטרה לבער את אותה מכת מדינה, המכלה כל חלקה טובה".</w:t>
      </w:r>
    </w:p>
    <w:p w14:paraId="3338D4D2" w14:textId="77777777" w:rsidR="008D333B" w:rsidRDefault="008D333B" w:rsidP="008D333B">
      <w:pPr>
        <w:pStyle w:val="aa"/>
        <w:numPr>
          <w:ilvl w:val="0"/>
          <w:numId w:val="1"/>
        </w:numPr>
        <w:spacing w:after="80" w:line="360" w:lineRule="auto"/>
        <w:contextualSpacing w:val="0"/>
        <w:jc w:val="both"/>
        <w:rPr>
          <w:rtl/>
        </w:rPr>
      </w:pPr>
      <w:r>
        <w:rPr>
          <w:rtl/>
        </w:rPr>
        <w:t>באשר ל</w:t>
      </w:r>
      <w:r>
        <w:rPr>
          <w:b/>
          <w:bCs/>
          <w:rtl/>
        </w:rPr>
        <w:t>נסיבות ביצוע העבירה</w:t>
      </w:r>
      <w:r>
        <w:rPr>
          <w:rtl/>
        </w:rPr>
        <w:t>, נתתי דעתי לכך שהנאשם ניסה לספק הסמים אותם גידל ובכך יש לראות משנה חומרה.</w:t>
      </w:r>
    </w:p>
    <w:p w14:paraId="2649499E" w14:textId="77777777" w:rsidR="008D333B" w:rsidRDefault="008D333B" w:rsidP="008D333B">
      <w:pPr>
        <w:pStyle w:val="aa"/>
        <w:spacing w:after="80" w:line="360" w:lineRule="auto"/>
        <w:ind w:left="360"/>
        <w:contextualSpacing w:val="0"/>
        <w:jc w:val="both"/>
      </w:pPr>
      <w:r>
        <w:rPr>
          <w:rtl/>
        </w:rPr>
        <w:t xml:space="preserve">בעניינינו מדובר בקנבוס, אשר נמנה עם הסמים הקלים ולכאורה אינו מצוי במדרג חומרה גבוה בין הסמים השונים. עם זאת, מדובר בכמות שתילים וסם שאינה קטנה, כמו גם, </w:t>
      </w:r>
      <w:r>
        <w:rPr>
          <w:noProof w:val="0"/>
          <w:rtl/>
        </w:rPr>
        <w:t>בקביעת מתחם העונש ההולם באשר לגידול סם יש להתחשב גם בפוטנציאל הגידול</w:t>
      </w:r>
      <w:r>
        <w:rPr>
          <w:rtl/>
        </w:rPr>
        <w:t>.</w:t>
      </w:r>
    </w:p>
    <w:p w14:paraId="6499F741" w14:textId="77777777" w:rsidR="008D333B" w:rsidRDefault="008D333B" w:rsidP="008D333B">
      <w:pPr>
        <w:pStyle w:val="aa"/>
        <w:numPr>
          <w:ilvl w:val="0"/>
          <w:numId w:val="1"/>
        </w:numPr>
        <w:snapToGrid w:val="0"/>
        <w:spacing w:after="240" w:line="360" w:lineRule="auto"/>
        <w:contextualSpacing w:val="0"/>
        <w:jc w:val="both"/>
        <w:rPr>
          <w:rtl/>
        </w:rPr>
      </w:pPr>
      <w:r>
        <w:rPr>
          <w:rtl/>
        </w:rPr>
        <w:t xml:space="preserve">בנסיבות המתוארות, מסקנתי היא כי </w:t>
      </w:r>
      <w:r>
        <w:rPr>
          <w:b/>
          <w:bCs/>
          <w:rtl/>
        </w:rPr>
        <w:t>מידת הפגיעה</w:t>
      </w:r>
      <w:r>
        <w:rPr>
          <w:rtl/>
        </w:rPr>
        <w:t xml:space="preserve"> בערכים המוגנים במקרה שלפני, אינה ברף הגבוה.</w:t>
      </w:r>
    </w:p>
    <w:p w14:paraId="01AF760C" w14:textId="77777777" w:rsidR="008D333B" w:rsidRDefault="008D333B" w:rsidP="008D333B">
      <w:pPr>
        <w:pStyle w:val="aa"/>
        <w:numPr>
          <w:ilvl w:val="0"/>
          <w:numId w:val="1"/>
        </w:numPr>
        <w:snapToGrid w:val="0"/>
        <w:spacing w:after="240" w:line="360" w:lineRule="auto"/>
        <w:contextualSpacing w:val="0"/>
        <w:jc w:val="both"/>
        <w:rPr>
          <w:rFonts w:ascii="David" w:hAnsi="David"/>
          <w:b/>
          <w:bCs/>
          <w:rtl/>
        </w:rPr>
      </w:pPr>
      <w:r>
        <w:rPr>
          <w:rtl/>
        </w:rPr>
        <w:t>באשר ל</w:t>
      </w:r>
      <w:r>
        <w:rPr>
          <w:b/>
          <w:bCs/>
          <w:rtl/>
        </w:rPr>
        <w:t>מדיניות הענישה הנוהגת</w:t>
      </w:r>
      <w:r>
        <w:rPr>
          <w:rtl/>
        </w:rPr>
        <w:t>, כפי שצוין ב</w:t>
      </w:r>
      <w:r>
        <w:rPr>
          <w:b/>
          <w:bCs/>
          <w:rtl/>
        </w:rPr>
        <w:t>עניין קריכלי</w:t>
      </w:r>
      <w:r>
        <w:rPr>
          <w:rtl/>
        </w:rPr>
        <w:t>, ככלל, מדיניות הענישה בעבירות סמים היא מדיניות ענישה מחמירה. יחד עם זאת, מסקירת הפסיקה, עולה כי מדובר במנעד ענישה די רחב.</w:t>
      </w:r>
    </w:p>
    <w:p w14:paraId="43506062" w14:textId="77777777" w:rsidR="008D333B" w:rsidRDefault="008D333B" w:rsidP="008D333B">
      <w:pPr>
        <w:pStyle w:val="aa"/>
        <w:snapToGrid w:val="0"/>
        <w:spacing w:after="240" w:line="360" w:lineRule="auto"/>
        <w:ind w:left="360"/>
        <w:contextualSpacing w:val="0"/>
        <w:jc w:val="both"/>
        <w:rPr>
          <w:rFonts w:ascii="David" w:hAnsi="David"/>
        </w:rPr>
      </w:pPr>
      <w:r>
        <w:rPr>
          <w:rFonts w:ascii="David" w:hAnsi="David"/>
          <w:rtl/>
        </w:rPr>
        <w:t>להמחשה, ב</w:t>
      </w:r>
      <w:hyperlink r:id="rId29" w:history="1">
        <w:r w:rsidR="008536BD" w:rsidRPr="008536BD">
          <w:rPr>
            <w:rFonts w:ascii="David" w:hAnsi="David"/>
            <w:color w:val="0000FF"/>
            <w:u w:val="single"/>
            <w:rtl/>
          </w:rPr>
          <w:t>עפ"ג (תל-אביב) 61936-08-21</w:t>
        </w:r>
      </w:hyperlink>
      <w:r>
        <w:rPr>
          <w:rFonts w:ascii="David" w:hAnsi="David"/>
          <w:rtl/>
        </w:rPr>
        <w:t xml:space="preserve"> </w:t>
      </w:r>
      <w:r>
        <w:rPr>
          <w:rFonts w:ascii="David" w:hAnsi="David"/>
          <w:b/>
          <w:bCs/>
          <w:rtl/>
        </w:rPr>
        <w:t>מזרחי נ'</w:t>
      </w:r>
      <w:r>
        <w:rPr>
          <w:rFonts w:ascii="David" w:hAnsi="David"/>
          <w:rtl/>
        </w:rPr>
        <w:t xml:space="preserve"> </w:t>
      </w:r>
      <w:r>
        <w:rPr>
          <w:rFonts w:ascii="David" w:hAnsi="David"/>
          <w:b/>
          <w:bCs/>
          <w:rtl/>
        </w:rPr>
        <w:t xml:space="preserve">מדינת ישראל </w:t>
      </w:r>
      <w:r>
        <w:rPr>
          <w:rFonts w:ascii="David" w:hAnsi="David"/>
          <w:rtl/>
        </w:rPr>
        <w:t xml:space="preserve">(17.11.21) </w:t>
      </w:r>
      <w:r>
        <w:rPr>
          <w:rFonts w:ascii="David" w:eastAsia="David" w:hAnsi="David"/>
          <w:rtl/>
        </w:rPr>
        <w:t xml:space="preserve">הנאשם הורשע על יסוד הודאתו בעבירות של גידול סמים, החזקת סם שלא לצריכה עצמית והחזקת כלים להכנת סמים. למקרא עובדות כתב האישום המתוקן עולה </w:t>
      </w:r>
      <w:r>
        <w:rPr>
          <w:rFonts w:ascii="David" w:hAnsi="David"/>
          <w:rtl/>
        </w:rPr>
        <w:t xml:space="preserve">כי הנאשם החזיק בדירתו שברחוב המרי בגבעתיים, זאת ביום 14/8/18, סם מסוכן מסוג קנביס במשקל של 774 גרם שלא לצריכה עצמית, גידל בדירה שתילי קנביס במשקל כולל של 4 ק"ג והחזיק ציוד לגידול סמים, שכלל בין היתר שנאי חשמל, 68 אדניות, מפוח, נורות, מד טמפרטורה ומשקל אלקטרוני. </w:t>
      </w:r>
      <w:r>
        <w:rPr>
          <w:rFonts w:ascii="David" w:hAnsi="David"/>
          <w:b/>
          <w:bCs/>
          <w:rtl/>
        </w:rPr>
        <w:t>בית המשפט השלום קבע מתחם עונשי הולם הנע בין 4 חודשי מאסר שיכול וירוצו בעבודות שירות ועד ל-12 חודשי מאסר לריצוי בפועל לצד ענישה נלווית.</w:t>
      </w:r>
      <w:r>
        <w:rPr>
          <w:rFonts w:ascii="David" w:hAnsi="David"/>
          <w:rtl/>
        </w:rPr>
        <w:t xml:space="preserve"> בית המשפט השלום גזר על הנאשם, בן 44, נעדר עבר פלילי, פרוד ואב לילד בן 15, ללא תיקי מב"ד חדשים, שהודה בפתח משפטו עוד בחקירה המשטרתית, ששיתף פעולה, שחסך בזמן שיפוטי ניכר, תוך התחשבות בנסיבות חייו האישיות, מצבו הרפואי, בדיקות השתן שנמצאו נקיות משרידי סם והתקופה בה שהה במעצר, עונש של מאסר בן 4 חודשים בניכוי ימי מעצרו, לצד מע"ת, קנס בסך 4,000 ₪ וצו מבחן. ערעור הנאשם נדחה.</w:t>
      </w:r>
    </w:p>
    <w:p w14:paraId="7D8E6804" w14:textId="77777777" w:rsidR="008D333B" w:rsidRDefault="008D333B" w:rsidP="008D333B">
      <w:pPr>
        <w:pStyle w:val="aa"/>
        <w:snapToGrid w:val="0"/>
        <w:spacing w:after="240" w:line="360" w:lineRule="auto"/>
        <w:ind w:left="360"/>
        <w:contextualSpacing w:val="0"/>
        <w:jc w:val="both"/>
        <w:rPr>
          <w:rFonts w:ascii="David" w:hAnsi="David"/>
          <w:rtl/>
        </w:rPr>
      </w:pPr>
      <w:r>
        <w:rPr>
          <w:rFonts w:ascii="David" w:hAnsi="David"/>
          <w:rtl/>
        </w:rPr>
        <w:t>ב</w:t>
      </w:r>
      <w:hyperlink r:id="rId30" w:history="1">
        <w:r w:rsidR="008536BD" w:rsidRPr="008536BD">
          <w:rPr>
            <w:rFonts w:ascii="David" w:hAnsi="David"/>
            <w:color w:val="0000FF"/>
            <w:u w:val="single"/>
            <w:rtl/>
          </w:rPr>
          <w:t>ת"פ (תל-אביב) 30399-06-20</w:t>
        </w:r>
      </w:hyperlink>
      <w:r>
        <w:rPr>
          <w:rFonts w:ascii="David" w:hAnsi="David"/>
          <w:rtl/>
        </w:rPr>
        <w:t xml:space="preserve"> </w:t>
      </w:r>
      <w:r>
        <w:rPr>
          <w:rFonts w:ascii="David" w:hAnsi="David"/>
          <w:b/>
          <w:bCs/>
          <w:rtl/>
        </w:rPr>
        <w:t xml:space="preserve">מדינת ישראל נ' שבת </w:t>
      </w:r>
      <w:r>
        <w:rPr>
          <w:rFonts w:ascii="David" w:hAnsi="David"/>
          <w:rtl/>
        </w:rPr>
        <w:t xml:space="preserve">(3.1.21), הנאשם הורשע על פי הודאתו בעבירות של גידול סמים והחזקת סם שלא לצריכה עצמית.אליבא דכתב האישום המתוקן עולה כי ביום 03.06.2020 בוצע צו חיפוש בדירתו של הנאשם בגבעת שמואל, במהלכו עלה כי הנאשם החזיק במקום סם מסוכן מסוג קאנביס במשקל של 1.6 קילוגרם לצד כסף מזומן בסכום של 40,500 ₪, והכל שלא לצריכה עצמית. במהלך החיפוש, עלה חשד כי לנאשם כתובת נוספת, ובתוך כך במהלך חיפוש בדירה נוספת של הנאשם בגבעת שמואל הוברר כי הנאשם מגדל במקום באמצעות מעבדת סמים בדמות חממות 10 שתילי קאנביס במשקל של 2.84 קילוגרם וכן עשרות שתילים נוספים של סם הקנאביס במשקל של 205 גרם. עוד הוברר כי בדירה נמצא ציוד רב לגידול סמים שכלל יריעות איטום, מזגנים, מאווררים, גופי תאורה, דשן, מתקן ייבוש, אדניות ודליים. עוד הוברר כי הנאשם החזיק בדירה הנוספת סם מסוכן מסוג קאנביס במשקל של 4.16 קילוגרם שלא לצריכה עצמית. הנאשם גידל סמים מסוכנים במשקל כולל של כ-3 קילוגרם והחזיק שלא לצריכה עצמית, קאנביס בשתי הדירות במשקל כולל של כ-6 קילוגרם. </w:t>
      </w:r>
      <w:r>
        <w:rPr>
          <w:rFonts w:ascii="David" w:hAnsi="David"/>
          <w:b/>
          <w:bCs/>
          <w:rtl/>
        </w:rPr>
        <w:t xml:space="preserve">בית המשפט קבע מתחם עונשי הולם הנע בין 8 חודשי מאסר שיכול וירוצו בעבודות שירות ועד ל-18 חודשי מאסר לריצוי בפועל לצד ענישה נלוות. </w:t>
      </w:r>
      <w:r>
        <w:rPr>
          <w:rFonts w:ascii="David" w:hAnsi="David"/>
          <w:rtl/>
        </w:rPr>
        <w:t>בית המשפט גזר על הנאשם, צעיר לימים, בן 26, שלחובתו הרשעה קודמת שאינה רלוונטית לענייננו,  שהודה בפתח משפטו, שחסך בזמן שיפוטי ניכר, תוך התחשבות בנסיבות חייו האישיות, נטילת האחריות על מעשיו, שיתוף הפעולה עם שירות המבחן ודגימות השתן שנמצאו נקיות משרידי סם, עונש של 8 חודשי מאסר שירוצו בדרך של עבודות שירות בניכוי ימי מעצרו, לצד מע"ת, קנס כספי בסך של 5,000 ₪, פסילה מלקבל או להחזיק רישיון נהיגה על תנאי, חילוט וצו מבחן.</w:t>
      </w:r>
    </w:p>
    <w:p w14:paraId="5B395F2E" w14:textId="77777777" w:rsidR="008D333B" w:rsidRDefault="008D333B" w:rsidP="008D333B">
      <w:pPr>
        <w:pStyle w:val="aa"/>
        <w:snapToGrid w:val="0"/>
        <w:spacing w:after="240" w:line="360" w:lineRule="auto"/>
        <w:ind w:left="360"/>
        <w:contextualSpacing w:val="0"/>
        <w:jc w:val="both"/>
        <w:rPr>
          <w:rFonts w:ascii="David" w:hAnsi="David"/>
          <w:u w:val="single"/>
        </w:rPr>
      </w:pPr>
      <w:r>
        <w:rPr>
          <w:rFonts w:ascii="David" w:hAnsi="David"/>
          <w:rtl/>
        </w:rPr>
        <w:t>ב</w:t>
      </w:r>
      <w:hyperlink r:id="rId31" w:history="1">
        <w:r w:rsidR="008536BD" w:rsidRPr="008536BD">
          <w:rPr>
            <w:rFonts w:ascii="David" w:hAnsi="David"/>
            <w:color w:val="0000FF"/>
            <w:u w:val="single"/>
            <w:rtl/>
          </w:rPr>
          <w:t>ת"פ (תל-אביב) 41230-11-19</w:t>
        </w:r>
      </w:hyperlink>
      <w:r>
        <w:rPr>
          <w:rFonts w:ascii="David" w:hAnsi="David"/>
          <w:rtl/>
        </w:rPr>
        <w:t xml:space="preserve"> </w:t>
      </w:r>
      <w:r>
        <w:rPr>
          <w:rFonts w:ascii="David" w:hAnsi="David"/>
          <w:b/>
          <w:bCs/>
          <w:rtl/>
        </w:rPr>
        <w:t xml:space="preserve">מדינת ישראל נ' שרון </w:t>
      </w:r>
      <w:r>
        <w:rPr>
          <w:rFonts w:ascii="David" w:hAnsi="David"/>
          <w:rtl/>
        </w:rPr>
        <w:t xml:space="preserve">(24.3.21)- הנאשם הורשע על יסוד הודאתו בעבירות של גידול סמים והחזקת סם שלא לצריכה עצמית. למקרא עובדות כתב האישום המתוקן, הנאשם התגורר בעת הרלוונטית עם אשתו וילדיו בביתם בגני תקווה, ובתוך כך ביום 11.11.2019 הוברר כי הנאשם מגדל במחסן הבית שבחצר סמים מסוכנים מסוג קאנביס במשקל כולל של 4.25 ק"ג לצד החזקת ציוד לגידול סמים, שכלל חומרי דישון, בתי מנורה ונורות, מדי לכות, כפפות ושנאים, נייר כסף ומזגן. בנוסף, החזיק הנאשם בארון הבגדים בחדר השינה כסף מזומן בסך של 11,200 ₪, 300 יורו ו-100 דולר. </w:t>
      </w:r>
      <w:r>
        <w:rPr>
          <w:rFonts w:ascii="David" w:hAnsi="David"/>
          <w:b/>
          <w:bCs/>
          <w:rtl/>
        </w:rPr>
        <w:t>בית המשפט קבע מתחם עונשי הנע בין 6 חודשי מאסר שיכול וירוצו בדרך של עבודות שירות ועד ל-18 חודשי מאסר לריצוי בפועל לצד ענישה נלווית.</w:t>
      </w:r>
      <w:r>
        <w:rPr>
          <w:rFonts w:ascii="David" w:hAnsi="David"/>
          <w:rtl/>
        </w:rPr>
        <w:t xml:space="preserve"> בית המשפט גזר על הנאשם, בן 38, נשוי ואב ל-4 ילדים קטנים, ששהה במעצר ממש 10 ימים ולאחריהם תקופה לא מבוטלת בתנאים מגבילים, שנטל אחריות על מעשיו, שחסך בזמן שיפוטי ניכר, בעל עבר פלילי ישן מאוד שאינו רלוונטי לענייננו, ללא תיקים פתוחים, תוך התחשבות בנסיבות חייו האישיות ומצבו המשפחתי, הטיפול שעבר ובדיקות השתן שנמצאו נקיות משרידי סם, עונש של 7 חודשי מאסר בניכוי ימי מעצרו שירוצה בדרך של עבודות שירות, לצד מע"ת, קנס כספי בסך 2,000 ₪, חילוט וצו מבחן.</w:t>
      </w:r>
    </w:p>
    <w:p w14:paraId="4305601F" w14:textId="77777777" w:rsidR="008D333B" w:rsidRPr="00F80891" w:rsidRDefault="008D333B" w:rsidP="008D333B">
      <w:pPr>
        <w:pStyle w:val="aa"/>
        <w:numPr>
          <w:ilvl w:val="0"/>
          <w:numId w:val="1"/>
        </w:numPr>
        <w:snapToGrid w:val="0"/>
        <w:spacing w:line="360" w:lineRule="auto"/>
        <w:contextualSpacing w:val="0"/>
        <w:jc w:val="both"/>
      </w:pPr>
      <w:r>
        <w:rPr>
          <w:rtl/>
        </w:rPr>
        <w:t xml:space="preserve">לאחר ששמעתי ברוב קשב טיעוני הצדדים, עמדתי על נסיבות ביצוע העבירה, הערכים המוגנים והפגיעה בהם לצד מדיניות הענישה הנוהגת, </w:t>
      </w:r>
      <w:r>
        <w:rPr>
          <w:b/>
          <w:bCs/>
          <w:rtl/>
        </w:rPr>
        <w:t>מתחם העונש ההולם במקרה שלפנינו, נע בין 4 חודשי מאסר, אשר יכול וירוצו בדרך של עבודות שירות, ועד ל-14 חודשי מאסר בפועל, לצד ענישה נלווית.</w:t>
      </w:r>
      <w:r>
        <w:rPr>
          <w:rtl/>
        </w:rPr>
        <w:t xml:space="preserve"> </w:t>
      </w:r>
    </w:p>
    <w:p w14:paraId="40455B21" w14:textId="77777777" w:rsidR="008D333B" w:rsidRPr="008D333B" w:rsidRDefault="008D333B" w:rsidP="008D333B">
      <w:pPr>
        <w:pStyle w:val="aa"/>
        <w:spacing w:after="160" w:line="360" w:lineRule="auto"/>
        <w:ind w:left="360"/>
        <w:jc w:val="both"/>
        <w:rPr>
          <w:rFonts w:ascii="David" w:hAnsi="David"/>
          <w:b/>
          <w:bCs/>
          <w:u w:val="single"/>
          <w:rtl/>
        </w:rPr>
      </w:pPr>
      <w:r w:rsidRPr="008D333B">
        <w:rPr>
          <w:rFonts w:ascii="David" w:hAnsi="David"/>
          <w:b/>
          <w:bCs/>
          <w:u w:val="single"/>
          <w:rtl/>
        </w:rPr>
        <w:t>עבירת ניסיון ההספקה</w:t>
      </w:r>
    </w:p>
    <w:p w14:paraId="3FC5E0F9" w14:textId="77777777" w:rsidR="008D333B" w:rsidRDefault="008D333B" w:rsidP="008D333B">
      <w:pPr>
        <w:pStyle w:val="aa"/>
        <w:numPr>
          <w:ilvl w:val="0"/>
          <w:numId w:val="1"/>
        </w:numPr>
        <w:snapToGrid w:val="0"/>
        <w:spacing w:before="240" w:after="240" w:line="360" w:lineRule="auto"/>
        <w:contextualSpacing w:val="0"/>
        <w:rPr>
          <w:rtl/>
        </w:rPr>
      </w:pPr>
      <w:r>
        <w:rPr>
          <w:rtl/>
        </w:rPr>
        <w:t>לעניין הערכים המוגנים, עמדתי כבר בהרחבה על נזקי הסמים ופגיעתם בחברה.</w:t>
      </w:r>
    </w:p>
    <w:p w14:paraId="25547E16" w14:textId="77777777" w:rsidR="008D333B" w:rsidRDefault="008D333B" w:rsidP="008D333B">
      <w:pPr>
        <w:pStyle w:val="aa"/>
        <w:numPr>
          <w:ilvl w:val="0"/>
          <w:numId w:val="1"/>
        </w:numPr>
        <w:spacing w:after="240" w:line="360" w:lineRule="auto"/>
        <w:contextualSpacing w:val="0"/>
        <w:jc w:val="both"/>
      </w:pPr>
      <w:r>
        <w:rPr>
          <w:rtl/>
        </w:rPr>
        <w:t>באשר ל</w:t>
      </w:r>
      <w:r>
        <w:rPr>
          <w:b/>
          <w:bCs/>
          <w:rtl/>
        </w:rPr>
        <w:t>נסיבות ביצוע העבירה</w:t>
      </w:r>
      <w:r>
        <w:rPr>
          <w:rtl/>
        </w:rPr>
        <w:t>, נתתי דעתי לכך שהנאשם ניסה לספק הסמים שגידל, ובכך יש לראות משנה חומרה.</w:t>
      </w:r>
    </w:p>
    <w:p w14:paraId="3575CC5D" w14:textId="77777777" w:rsidR="008D333B" w:rsidRDefault="008D333B" w:rsidP="008D333B">
      <w:pPr>
        <w:pStyle w:val="aa"/>
        <w:spacing w:after="240" w:line="360" w:lineRule="auto"/>
        <w:ind w:left="360"/>
        <w:contextualSpacing w:val="0"/>
        <w:jc w:val="both"/>
      </w:pPr>
      <w:r>
        <w:rPr>
          <w:rtl/>
        </w:rPr>
        <w:t>בעניינינו מדובר בקנבוס, אשר נמנה עם הסמים הקלים ולכאורה אינו מצוי במדרג חומרה גבוה בין הסמים השונים, ולכך שמדובר בניסיון אשר לא צלח. מאידך, נתתי דעתי לכך שהנאשם נתפס בכף.</w:t>
      </w:r>
    </w:p>
    <w:p w14:paraId="032DD25F" w14:textId="77777777" w:rsidR="008D333B" w:rsidRDefault="008D333B" w:rsidP="008D333B">
      <w:pPr>
        <w:pStyle w:val="aa"/>
        <w:numPr>
          <w:ilvl w:val="0"/>
          <w:numId w:val="1"/>
        </w:numPr>
        <w:snapToGrid w:val="0"/>
        <w:spacing w:after="240" w:line="360" w:lineRule="auto"/>
        <w:contextualSpacing w:val="0"/>
        <w:jc w:val="both"/>
        <w:rPr>
          <w:rtl/>
        </w:rPr>
      </w:pPr>
      <w:r>
        <w:rPr>
          <w:rtl/>
        </w:rPr>
        <w:t xml:space="preserve">בנסיבות המתוארות, מסקנתי היא כי </w:t>
      </w:r>
      <w:r>
        <w:rPr>
          <w:b/>
          <w:bCs/>
          <w:rtl/>
        </w:rPr>
        <w:t>מידת הפגיעה</w:t>
      </w:r>
      <w:r>
        <w:rPr>
          <w:rtl/>
        </w:rPr>
        <w:t xml:space="preserve"> בערכים המוגנים במקרה שלפני, הינה ברף הנמוך.</w:t>
      </w:r>
    </w:p>
    <w:p w14:paraId="0FEC3E09" w14:textId="77777777" w:rsidR="008D333B" w:rsidRDefault="008D333B" w:rsidP="008D333B">
      <w:pPr>
        <w:pStyle w:val="aa"/>
        <w:numPr>
          <w:ilvl w:val="0"/>
          <w:numId w:val="1"/>
        </w:numPr>
        <w:snapToGrid w:val="0"/>
        <w:spacing w:before="240" w:after="240" w:line="360" w:lineRule="auto"/>
        <w:contextualSpacing w:val="0"/>
        <w:rPr>
          <w:rtl/>
        </w:rPr>
      </w:pPr>
      <w:r>
        <w:rPr>
          <w:rtl/>
        </w:rPr>
        <w:t>באשר ל</w:t>
      </w:r>
      <w:r>
        <w:rPr>
          <w:b/>
          <w:bCs/>
          <w:rtl/>
        </w:rPr>
        <w:t>מדיניות הענישה הנוהגת</w:t>
      </w:r>
      <w:r>
        <w:rPr>
          <w:rtl/>
        </w:rPr>
        <w:t>, כאמור, מנעד הענישה בעבירות הסמים הינו די רחב.</w:t>
      </w:r>
    </w:p>
    <w:p w14:paraId="7514A999" w14:textId="77777777" w:rsidR="008D333B" w:rsidRDefault="008D333B" w:rsidP="008D333B">
      <w:pPr>
        <w:pStyle w:val="aa"/>
        <w:snapToGrid w:val="0"/>
        <w:spacing w:after="240" w:line="360" w:lineRule="auto"/>
        <w:ind w:left="360"/>
        <w:contextualSpacing w:val="0"/>
        <w:jc w:val="both"/>
      </w:pPr>
      <w:r>
        <w:rPr>
          <w:rtl/>
        </w:rPr>
        <w:t>להמחשה, ב</w:t>
      </w:r>
      <w:hyperlink r:id="rId32" w:history="1">
        <w:r w:rsidR="008536BD" w:rsidRPr="008536BD">
          <w:rPr>
            <w:rFonts w:ascii="Arial" w:hAnsi="Arial"/>
            <w:color w:val="0000FF"/>
            <w:u w:val="single"/>
            <w:rtl/>
          </w:rPr>
          <w:t>ת"פ (תל-אביב) 5310-01-17</w:t>
        </w:r>
      </w:hyperlink>
      <w:r>
        <w:rPr>
          <w:rFonts w:ascii="Arial" w:hAnsi="Arial"/>
          <w:rtl/>
        </w:rPr>
        <w:t xml:space="preserve"> </w:t>
      </w:r>
      <w:r>
        <w:rPr>
          <w:rFonts w:ascii="Arial" w:hAnsi="Arial"/>
          <w:b/>
          <w:bCs/>
          <w:rtl/>
        </w:rPr>
        <w:t xml:space="preserve">מדינת ישראל נ' רונן </w:t>
      </w:r>
      <w:r>
        <w:rPr>
          <w:rFonts w:ascii="Arial" w:hAnsi="Arial"/>
          <w:rtl/>
        </w:rPr>
        <w:t xml:space="preserve">(26.3.18), הנאשם הודה </w:t>
      </w:r>
      <w:r>
        <w:rPr>
          <w:rFonts w:ascii="David" w:hAnsi="David"/>
          <w:rtl/>
        </w:rPr>
        <w:t>והורשע</w:t>
      </w:r>
      <w:r>
        <w:rPr>
          <w:rFonts w:ascii="Arial" w:hAnsi="Arial"/>
          <w:rtl/>
        </w:rPr>
        <w:t xml:space="preserve"> בעבירות של הספקת סם מסוכן והחזקת סם מסוכן לצריכה עצמית. על פי עובדות כתב האישום, סיפק הנאשם למר חסן קנבוס במשקל 6.5461 גרם נטו תמורת 500 ₪ ועוד החזיק במכנסיו לצריכתו העצמית קנבוס במשקל 7 גרם נטו. </w:t>
      </w:r>
      <w:r>
        <w:rPr>
          <w:rFonts w:ascii="Arial" w:hAnsi="Arial"/>
          <w:b/>
          <w:bCs/>
          <w:rtl/>
        </w:rPr>
        <w:t xml:space="preserve">בית המשפט קבע כי מתחם העונש ההולם, בנוגע לעונש העיקרי, ייקבע בין מאסר מותנה ושל"צ לצדו לבין 8 חודשי מאסר. </w:t>
      </w:r>
      <w:r>
        <w:rPr>
          <w:rFonts w:ascii="Arial" w:hAnsi="Arial"/>
          <w:rtl/>
        </w:rPr>
        <w:t>בית המשפט גזר על הנאשם, בן 22, שלחובתו הסתבכות יחידה בפלילים בעבירת שבל"ר, שהודה במיוחס לו, נטל אחריות על מעשיו, תוך התייחסות לפנייתו של הנאשם לטיפול, הפסקת השימוש בסם וחלוף הזמן ללא הסתבכות נוספת, עונש של 3 חודשי מאסר על תנאי למשך שנתיים, התחייבות בסך 1,000 ₪, צו של"צ בהיקף של 180 שעות וחילוט.</w:t>
      </w:r>
    </w:p>
    <w:p w14:paraId="34BB4A9E" w14:textId="77777777" w:rsidR="008D333B" w:rsidRDefault="008D333B" w:rsidP="008D333B">
      <w:pPr>
        <w:pStyle w:val="aa"/>
        <w:snapToGrid w:val="0"/>
        <w:spacing w:after="240" w:line="360" w:lineRule="auto"/>
        <w:ind w:left="360"/>
        <w:contextualSpacing w:val="0"/>
        <w:jc w:val="both"/>
        <w:rPr>
          <w:rFonts w:ascii="David" w:hAnsi="David"/>
          <w:u w:val="single"/>
          <w:rtl/>
        </w:rPr>
      </w:pPr>
      <w:r>
        <w:rPr>
          <w:rtl/>
        </w:rPr>
        <w:t>ב</w:t>
      </w:r>
      <w:hyperlink r:id="rId33" w:history="1">
        <w:r w:rsidR="008536BD" w:rsidRPr="008536BD">
          <w:rPr>
            <w:rFonts w:ascii="Arial" w:hAnsi="Arial"/>
            <w:color w:val="0000FF"/>
            <w:u w:val="single"/>
            <w:rtl/>
          </w:rPr>
          <w:t>ת"פ (תל-אביב) 47067-01-16</w:t>
        </w:r>
      </w:hyperlink>
      <w:r>
        <w:rPr>
          <w:rFonts w:ascii="Arial" w:hAnsi="Arial"/>
          <w:rtl/>
        </w:rPr>
        <w:t xml:space="preserve"> </w:t>
      </w:r>
      <w:r>
        <w:rPr>
          <w:rFonts w:ascii="Arial" w:hAnsi="Arial"/>
          <w:b/>
          <w:bCs/>
          <w:rtl/>
        </w:rPr>
        <w:t xml:space="preserve">מדינת ישראל נ' אדר מן </w:t>
      </w:r>
      <w:r>
        <w:rPr>
          <w:rFonts w:ascii="Arial" w:hAnsi="Arial"/>
          <w:rtl/>
        </w:rPr>
        <w:t xml:space="preserve">(2.1.18), הנאשם הודה והורשע בעבירות של אספקת סם מסוכן והחזקת סם מסוכן לצריכה עצמית. על פי עובדות כתב האישום, </w:t>
      </w:r>
      <w:r>
        <w:rPr>
          <w:rtl/>
        </w:rPr>
        <w:t>ב-15.2.15 בשעה 02:45 המתין הנאשם ברכבו לאחר, כדי לספק לו קנבוס במשקל 7.60 גרם נטו שהחזיק, תמורת 500 ₪. הנאשם נעצר והסם נתפס. עוד החזיק הנאשם בביתו קנבוס במשקל 0.1837 גרם נטו, לצריכתו העצמית.</w:t>
      </w:r>
      <w:r>
        <w:rPr>
          <w:rFonts w:ascii="Arial" w:hAnsi="Arial"/>
          <w:rtl/>
        </w:rPr>
        <w:t xml:space="preserve"> </w:t>
      </w:r>
      <w:r>
        <w:rPr>
          <w:rFonts w:ascii="Arial" w:hAnsi="Arial"/>
          <w:b/>
          <w:bCs/>
          <w:rtl/>
        </w:rPr>
        <w:t xml:space="preserve">בית המשפט קבע </w:t>
      </w:r>
      <w:r>
        <w:rPr>
          <w:b/>
          <w:bCs/>
          <w:rtl/>
        </w:rPr>
        <w:t>מתחם העונש הולם בין מאסר מותנה ולצדו חיוב בשל"צ ועיצומים כספיים, לבין שנת מאסר.</w:t>
      </w:r>
      <w:r>
        <w:rPr>
          <w:rFonts w:ascii="Arial" w:hAnsi="Arial"/>
          <w:rtl/>
        </w:rPr>
        <w:t xml:space="preserve"> בית המשפט גזר על הנאשם, בן 25, נעדר עבר פלילי, תוך התייחסות לטיפול והשיקום שעבר, עונש של </w:t>
      </w:r>
      <w:r>
        <w:rPr>
          <w:rtl/>
        </w:rPr>
        <w:t xml:space="preserve">ארבעה חודשי מאסר על-תנאי למשך שלוש שנים, קנס בסך 1,000 ₪, התחייבות בסך 2,000 פסילת רישיון על תנאי, צו של"צ בהיקף של 200 שעות וחילוט. </w:t>
      </w:r>
    </w:p>
    <w:p w14:paraId="102A68F1" w14:textId="77777777" w:rsidR="008D333B" w:rsidRDefault="008D333B" w:rsidP="008D333B">
      <w:pPr>
        <w:pStyle w:val="aa"/>
        <w:snapToGrid w:val="0"/>
        <w:spacing w:before="240" w:after="240" w:line="360" w:lineRule="auto"/>
        <w:ind w:left="360"/>
        <w:contextualSpacing w:val="0"/>
        <w:jc w:val="both"/>
        <w:rPr>
          <w:rtl/>
        </w:rPr>
      </w:pPr>
      <w:r>
        <w:rPr>
          <w:rFonts w:ascii="David" w:hAnsi="David"/>
          <w:rtl/>
        </w:rPr>
        <w:t>ב</w:t>
      </w:r>
      <w:hyperlink r:id="rId34" w:history="1">
        <w:r w:rsidR="008536BD" w:rsidRPr="008536BD">
          <w:rPr>
            <w:rFonts w:hint="cs"/>
            <w:color w:val="0000FF"/>
            <w:u w:val="single"/>
            <w:rtl/>
          </w:rPr>
          <w:t>ת</w:t>
        </w:r>
        <w:r w:rsidR="008536BD" w:rsidRPr="008536BD">
          <w:rPr>
            <w:color w:val="0000FF"/>
            <w:u w:val="single"/>
            <w:rtl/>
          </w:rPr>
          <w:t>"</w:t>
        </w:r>
        <w:r w:rsidR="008536BD" w:rsidRPr="008536BD">
          <w:rPr>
            <w:rFonts w:hint="cs"/>
            <w:color w:val="0000FF"/>
            <w:u w:val="single"/>
            <w:rtl/>
          </w:rPr>
          <w:t>פ</w:t>
        </w:r>
        <w:r w:rsidR="008536BD" w:rsidRPr="008536BD">
          <w:rPr>
            <w:color w:val="0000FF"/>
            <w:u w:val="single"/>
            <w:rtl/>
          </w:rPr>
          <w:t xml:space="preserve"> (</w:t>
        </w:r>
        <w:r w:rsidR="008536BD" w:rsidRPr="008536BD">
          <w:rPr>
            <w:rFonts w:hint="cs"/>
            <w:color w:val="0000FF"/>
            <w:u w:val="single"/>
            <w:rtl/>
          </w:rPr>
          <w:t>תל</w:t>
        </w:r>
        <w:r w:rsidR="008536BD" w:rsidRPr="008536BD">
          <w:rPr>
            <w:color w:val="0000FF"/>
            <w:u w:val="single"/>
            <w:rtl/>
          </w:rPr>
          <w:t>-</w:t>
        </w:r>
        <w:r w:rsidR="008536BD" w:rsidRPr="008536BD">
          <w:rPr>
            <w:rFonts w:hint="cs"/>
            <w:color w:val="0000FF"/>
            <w:u w:val="single"/>
            <w:rtl/>
          </w:rPr>
          <w:t>אביב</w:t>
        </w:r>
        <w:r w:rsidR="008536BD" w:rsidRPr="008536BD">
          <w:rPr>
            <w:color w:val="0000FF"/>
            <w:u w:val="single"/>
            <w:rtl/>
          </w:rPr>
          <w:t>) 47067-01-16</w:t>
        </w:r>
      </w:hyperlink>
      <w:r>
        <w:rPr>
          <w:rtl/>
        </w:rPr>
        <w:t xml:space="preserve"> </w:t>
      </w:r>
      <w:r>
        <w:rPr>
          <w:b/>
          <w:bCs/>
          <w:rtl/>
        </w:rPr>
        <w:t xml:space="preserve">מדינת ישראל נ' ברמלי </w:t>
      </w:r>
      <w:r>
        <w:rPr>
          <w:rtl/>
        </w:rPr>
        <w:t xml:space="preserve">(2.1.18), הנאשם הודה והורשע בעבירות של אספקת סם מסוכן והחזקת סם מסוכן לצריכה עצמית. על פי עובדות כתב </w:t>
      </w:r>
      <w:r>
        <w:rPr>
          <w:rFonts w:ascii="Arial" w:hAnsi="Arial"/>
          <w:rtl/>
        </w:rPr>
        <w:t>האישום</w:t>
      </w:r>
      <w:r>
        <w:rPr>
          <w:rtl/>
        </w:rPr>
        <w:t xml:space="preserve">, הנאשם המתין ברכבו לאחר, כדי לספק לו קנבוס במשקל 7.60 גרם נטו שהחזיק תמורת 500 ₪. הנאשם נעצר והסם נתפס. עוד החזיק הנאשם בביתו קנבוס במשקל 0.1837 גרם נטו, לצריכתו העצמית. </w:t>
      </w:r>
      <w:r>
        <w:rPr>
          <w:b/>
          <w:bCs/>
          <w:rtl/>
        </w:rPr>
        <w:t xml:space="preserve">בית המשפט קבע כי מתחם העונש ההולם נע בין מאסר מותנה ולצדו חיוב בשל"צ ועיצומים כספיים, לבין שנת מאסר. </w:t>
      </w:r>
      <w:r>
        <w:rPr>
          <w:rtl/>
        </w:rPr>
        <w:t xml:space="preserve">בית המשפט גזר על הנאשם, בן 25, נעדר עבר פלילי, שנטל אחריות על מעשיו, עונש של 200 שעות של"צ לצד מע"ת, קנס בסך 1,000 ₪, התחייבות, חילוט ופסילת רישיון על תנאי. </w:t>
      </w:r>
    </w:p>
    <w:p w14:paraId="46089B59" w14:textId="77777777" w:rsidR="008D333B" w:rsidRPr="00F80891" w:rsidRDefault="008D333B" w:rsidP="008D333B">
      <w:pPr>
        <w:pStyle w:val="aa"/>
        <w:numPr>
          <w:ilvl w:val="0"/>
          <w:numId w:val="1"/>
        </w:numPr>
        <w:snapToGrid w:val="0"/>
        <w:spacing w:after="240" w:line="360" w:lineRule="auto"/>
        <w:contextualSpacing w:val="0"/>
        <w:jc w:val="both"/>
        <w:rPr>
          <w:rtl/>
        </w:rPr>
      </w:pPr>
      <w:r>
        <w:rPr>
          <w:rtl/>
        </w:rPr>
        <w:t xml:space="preserve">לאחר ששמעתי ברוב קשב טיעוני הצדדים, עמדתי על נסיבות ביצוע העבירה, הערכים המוגנים והפגיעה בהם לצד מדיניות הענישה הנוהגת, </w:t>
      </w:r>
      <w:r>
        <w:rPr>
          <w:b/>
          <w:bCs/>
          <w:rtl/>
        </w:rPr>
        <w:t>מתחם העונש ההולם במקרה שלפנינו, נע בין מאסר מותנה, ועד ל-10 חודשי מאסר בפועל, לצד ענישה נלווית.</w:t>
      </w:r>
      <w:r>
        <w:rPr>
          <w:rtl/>
        </w:rPr>
        <w:t xml:space="preserve"> </w:t>
      </w:r>
    </w:p>
    <w:p w14:paraId="533C8F34" w14:textId="77777777" w:rsidR="008D333B" w:rsidRDefault="008D333B" w:rsidP="008D333B">
      <w:pPr>
        <w:spacing w:line="360" w:lineRule="auto"/>
        <w:ind w:left="369"/>
        <w:jc w:val="both"/>
        <w:rPr>
          <w:b/>
          <w:bCs/>
          <w:u w:val="single"/>
          <w:rtl/>
        </w:rPr>
      </w:pPr>
      <w:r>
        <w:rPr>
          <w:b/>
          <w:bCs/>
          <w:u w:val="single"/>
          <w:rtl/>
        </w:rPr>
        <w:t xml:space="preserve">סטיה ממתחם העונש </w:t>
      </w:r>
    </w:p>
    <w:p w14:paraId="554EB0FB" w14:textId="77777777" w:rsidR="008D333B" w:rsidRDefault="008D333B" w:rsidP="008D333B">
      <w:pPr>
        <w:pStyle w:val="aa"/>
        <w:spacing w:after="160" w:line="360" w:lineRule="auto"/>
        <w:ind w:left="360"/>
        <w:jc w:val="both"/>
        <w:rPr>
          <w:highlight w:val="yellow"/>
          <w:rtl/>
        </w:rPr>
      </w:pPr>
      <w:r>
        <w:rPr>
          <w:rFonts w:ascii="David" w:hAnsi="David"/>
          <w:color w:val="000000"/>
          <w:rtl/>
        </w:rPr>
        <w:t>במקרה דנן, לא מצאתי כי קיימים שיקולים אשר מצדיקים סטייה ממתחמי העונש, לחומרה או לקולא.</w:t>
      </w:r>
    </w:p>
    <w:p w14:paraId="46E86706" w14:textId="77777777" w:rsidR="008D333B" w:rsidRDefault="008D333B" w:rsidP="008D333B">
      <w:pPr>
        <w:spacing w:line="360" w:lineRule="auto"/>
        <w:ind w:left="1077" w:hanging="720"/>
        <w:jc w:val="both"/>
        <w:rPr>
          <w:b/>
          <w:bCs/>
          <w:sz w:val="28"/>
          <w:szCs w:val="28"/>
          <w:rtl/>
        </w:rPr>
      </w:pPr>
      <w:r>
        <w:rPr>
          <w:b/>
          <w:bCs/>
          <w:sz w:val="28"/>
          <w:szCs w:val="28"/>
          <w:rtl/>
        </w:rPr>
        <w:t>מיקום הנאשם בתוך המתחם</w:t>
      </w:r>
    </w:p>
    <w:p w14:paraId="5CC522DA" w14:textId="77777777" w:rsidR="008D333B" w:rsidRDefault="008D333B" w:rsidP="008D333B">
      <w:pPr>
        <w:pStyle w:val="aa"/>
        <w:numPr>
          <w:ilvl w:val="0"/>
          <w:numId w:val="1"/>
        </w:numPr>
        <w:spacing w:after="80" w:line="360" w:lineRule="auto"/>
        <w:ind w:left="357"/>
        <w:contextualSpacing w:val="0"/>
        <w:jc w:val="both"/>
        <w:rPr>
          <w:rtl/>
        </w:rPr>
      </w:pPr>
      <w:r>
        <w:rPr>
          <w:rtl/>
        </w:rPr>
        <w:t xml:space="preserve">כמצוות המחוקק, </w:t>
      </w:r>
      <w:hyperlink r:id="rId35" w:history="1">
        <w:r w:rsidR="002931A9" w:rsidRPr="002931A9">
          <w:rPr>
            <w:rStyle w:val="Hyperlink"/>
            <w:rFonts w:hint="cs"/>
            <w:rtl/>
          </w:rPr>
          <w:t>בסעיף</w:t>
        </w:r>
        <w:r w:rsidR="002931A9" w:rsidRPr="002931A9">
          <w:rPr>
            <w:rStyle w:val="Hyperlink"/>
            <w:rtl/>
          </w:rPr>
          <w:t xml:space="preserve"> 40</w:t>
        </w:r>
        <w:r w:rsidR="002931A9" w:rsidRPr="002931A9">
          <w:rPr>
            <w:rStyle w:val="Hyperlink"/>
            <w:rFonts w:hint="cs"/>
            <w:rtl/>
          </w:rPr>
          <w:t>יא</w:t>
        </w:r>
      </w:hyperlink>
      <w:r>
        <w:rPr>
          <w:rtl/>
        </w:rPr>
        <w:t xml:space="preserve"> לחוק, על בית המשפט לקחת בחשבון, בעת ענישת הנאשם, את נסיבותיו האישיות אשר אינן קשורות בביצוע העבירה. במקרה דנן נסיבות אלו נלמדות מטיעוני ההגנה, מתסקיר שירות המבחן ומדברי הנאשם.</w:t>
      </w:r>
    </w:p>
    <w:p w14:paraId="11D6DE97" w14:textId="77777777" w:rsidR="008D333B" w:rsidRDefault="008D333B" w:rsidP="008D333B">
      <w:pPr>
        <w:pStyle w:val="aa"/>
        <w:spacing w:line="360" w:lineRule="auto"/>
        <w:ind w:left="357"/>
        <w:contextualSpacing w:val="0"/>
        <w:jc w:val="both"/>
        <w:rPr>
          <w:b/>
          <w:bCs/>
          <w:u w:val="single"/>
        </w:rPr>
      </w:pPr>
      <w:r>
        <w:rPr>
          <w:b/>
          <w:bCs/>
          <w:u w:val="single"/>
          <w:rtl/>
        </w:rPr>
        <w:t>הנסיבות הקונקרטיות ומיקום הנאשם בתוך המתחם</w:t>
      </w:r>
    </w:p>
    <w:p w14:paraId="7B25EEB7" w14:textId="77777777" w:rsidR="008D333B" w:rsidRDefault="008D333B" w:rsidP="008D333B">
      <w:pPr>
        <w:pStyle w:val="aa"/>
        <w:numPr>
          <w:ilvl w:val="0"/>
          <w:numId w:val="1"/>
        </w:numPr>
        <w:spacing w:after="80" w:line="360" w:lineRule="auto"/>
        <w:ind w:left="357"/>
        <w:contextualSpacing w:val="0"/>
        <w:jc w:val="both"/>
        <w:rPr>
          <w:rtl/>
        </w:rPr>
      </w:pPr>
      <w:r>
        <w:rPr>
          <w:rtl/>
        </w:rPr>
        <w:t>הנאשם יליד 1996, נעדר עבר פלילי וזו לו הסתבכותו הראשונה עם החוק.</w:t>
      </w:r>
    </w:p>
    <w:p w14:paraId="7943D498" w14:textId="77777777" w:rsidR="008D333B" w:rsidRDefault="008D333B" w:rsidP="008D333B">
      <w:pPr>
        <w:pStyle w:val="aa"/>
        <w:numPr>
          <w:ilvl w:val="0"/>
          <w:numId w:val="1"/>
        </w:numPr>
        <w:spacing w:after="80" w:line="360" w:lineRule="auto"/>
        <w:ind w:left="357"/>
        <w:contextualSpacing w:val="0"/>
        <w:jc w:val="both"/>
      </w:pPr>
      <w:r>
        <w:rPr>
          <w:rtl/>
        </w:rPr>
        <w:t xml:space="preserve">הנאשם הודה במסגרת הסדר טיעון בכתב האישום המתוקן, על כלל האלמנטים בו, בדיון השני שנערך בעניינו, ובכך חסך זמן שיפוטי, נטל אחריות על מעשיו והודה במעשיו. </w:t>
      </w:r>
    </w:p>
    <w:p w14:paraId="3A3FBDA3" w14:textId="77777777" w:rsidR="008D333B" w:rsidRDefault="008D333B" w:rsidP="008D333B">
      <w:pPr>
        <w:pStyle w:val="aa"/>
        <w:numPr>
          <w:ilvl w:val="0"/>
          <w:numId w:val="1"/>
        </w:numPr>
        <w:spacing w:after="80" w:line="360" w:lineRule="auto"/>
        <w:ind w:left="357"/>
        <w:contextualSpacing w:val="0"/>
        <w:jc w:val="both"/>
        <w:rPr>
          <w:rtl/>
        </w:rPr>
      </w:pPr>
      <w:r>
        <w:rPr>
          <w:rtl/>
        </w:rPr>
        <w:t xml:space="preserve">נוכח </w:t>
      </w:r>
      <w:r>
        <w:rPr>
          <w:rFonts w:hint="cs"/>
          <w:rtl/>
        </w:rPr>
        <w:t>מכלול הנסיבות</w:t>
      </w:r>
      <w:r>
        <w:rPr>
          <w:rtl/>
        </w:rPr>
        <w:t>, הנאשם ימוקם ברף ה</w:t>
      </w:r>
      <w:r>
        <w:rPr>
          <w:b/>
          <w:bCs/>
          <w:rtl/>
        </w:rPr>
        <w:t xml:space="preserve">נמוך </w:t>
      </w:r>
      <w:r>
        <w:rPr>
          <w:rtl/>
        </w:rPr>
        <w:t xml:space="preserve">של מתחם הענישה.  </w:t>
      </w:r>
    </w:p>
    <w:p w14:paraId="3A5AD7C7" w14:textId="77777777" w:rsidR="008D333B" w:rsidRDefault="008D333B" w:rsidP="008D333B">
      <w:pPr>
        <w:pStyle w:val="aa"/>
        <w:numPr>
          <w:ilvl w:val="0"/>
          <w:numId w:val="1"/>
        </w:numPr>
        <w:spacing w:after="80" w:line="360" w:lineRule="auto"/>
        <w:ind w:left="357"/>
        <w:contextualSpacing w:val="0"/>
        <w:jc w:val="both"/>
      </w:pPr>
      <w:r>
        <w:rPr>
          <w:rtl/>
        </w:rPr>
        <w:t>לאור העובדה שמדובר בעבירות שבוצעו בשנת 2019 על ידי הנאשם, כשמאז לא נפתחו לו תיקים חדשים, עליהן נותן את הדין לאחר שהודה בהזדמנותה ראשונה ונטל אחריות על מעשיו, ולאור האמור על ידי סנגורו, מצאתי שנכון לגזור על הנאשם עונש כולל אחד. זאת, בהתחשב בשני המתחמים, לאחר שמצאתי שיש למקמו בשליש ה</w:t>
      </w:r>
      <w:r>
        <w:rPr>
          <w:b/>
          <w:bCs/>
          <w:rtl/>
        </w:rPr>
        <w:t>תחתון</w:t>
      </w:r>
      <w:r>
        <w:rPr>
          <w:rtl/>
        </w:rPr>
        <w:t xml:space="preserve"> של המתחם בשניהם, וזאת לפי סמכותי לפי </w:t>
      </w:r>
      <w:hyperlink r:id="rId36" w:history="1">
        <w:r w:rsidR="002931A9" w:rsidRPr="002931A9">
          <w:rPr>
            <w:rStyle w:val="Hyperlink"/>
            <w:rFonts w:hint="cs"/>
            <w:rtl/>
          </w:rPr>
          <w:t>סעיף</w:t>
        </w:r>
        <w:r w:rsidR="002931A9" w:rsidRPr="002931A9">
          <w:rPr>
            <w:rStyle w:val="Hyperlink"/>
            <w:rtl/>
          </w:rPr>
          <w:t xml:space="preserve"> 40</w:t>
        </w:r>
        <w:r w:rsidR="002931A9" w:rsidRPr="002931A9">
          <w:rPr>
            <w:rStyle w:val="Hyperlink"/>
            <w:rFonts w:hint="cs"/>
            <w:rtl/>
          </w:rPr>
          <w:t>יג</w:t>
        </w:r>
        <w:r w:rsidR="002931A9" w:rsidRPr="002931A9">
          <w:rPr>
            <w:rStyle w:val="Hyperlink"/>
            <w:rtl/>
          </w:rPr>
          <w:t>(</w:t>
        </w:r>
        <w:r w:rsidR="002931A9" w:rsidRPr="002931A9">
          <w:rPr>
            <w:rStyle w:val="Hyperlink"/>
            <w:rFonts w:hint="cs"/>
            <w:rtl/>
          </w:rPr>
          <w:t>ב</w:t>
        </w:r>
        <w:r w:rsidR="002931A9" w:rsidRPr="002931A9">
          <w:rPr>
            <w:rStyle w:val="Hyperlink"/>
            <w:rtl/>
          </w:rPr>
          <w:t>)</w:t>
        </w:r>
      </w:hyperlink>
      <w:r>
        <w:rPr>
          <w:rtl/>
        </w:rPr>
        <w:t xml:space="preserve"> לחוק.  </w:t>
      </w:r>
    </w:p>
    <w:p w14:paraId="4A14C4A9" w14:textId="77777777" w:rsidR="008D333B" w:rsidRPr="008D333B" w:rsidRDefault="008D333B" w:rsidP="008D333B">
      <w:pPr>
        <w:spacing w:after="80" w:line="360" w:lineRule="auto"/>
        <w:jc w:val="both"/>
        <w:rPr>
          <w:b/>
          <w:bCs/>
          <w:color w:val="000000"/>
          <w:sz w:val="28"/>
          <w:szCs w:val="28"/>
          <w:u w:val="single"/>
          <w:rtl/>
        </w:rPr>
      </w:pPr>
      <w:r w:rsidRPr="008D333B">
        <w:rPr>
          <w:b/>
          <w:bCs/>
          <w:color w:val="000000"/>
          <w:sz w:val="28"/>
          <w:szCs w:val="28"/>
          <w:u w:val="single"/>
          <w:rtl/>
        </w:rPr>
        <w:t>סוף דבר</w:t>
      </w:r>
    </w:p>
    <w:p w14:paraId="19C9594B" w14:textId="77777777" w:rsidR="008D333B" w:rsidRPr="008D333B" w:rsidRDefault="008D333B" w:rsidP="008D333B">
      <w:pPr>
        <w:pStyle w:val="aa"/>
        <w:numPr>
          <w:ilvl w:val="0"/>
          <w:numId w:val="1"/>
        </w:numPr>
        <w:spacing w:after="80" w:line="360" w:lineRule="auto"/>
        <w:jc w:val="both"/>
        <w:rPr>
          <w:color w:val="000000"/>
          <w:rtl/>
        </w:rPr>
      </w:pPr>
      <w:r w:rsidRPr="008D333B">
        <w:rPr>
          <w:color w:val="000000"/>
          <w:rtl/>
        </w:rPr>
        <w:t xml:space="preserve">לצד האינטרס הציבורי הדורש ענישה מוחשית ומרתיעה בעבירות כגון דא, יש לזכור </w:t>
      </w:r>
      <w:r>
        <w:rPr>
          <w:rtl/>
        </w:rPr>
        <w:t>ולהזכיר</w:t>
      </w:r>
      <w:r w:rsidRPr="008D333B">
        <w:rPr>
          <w:color w:val="000000"/>
          <w:rtl/>
        </w:rPr>
        <w:t xml:space="preserve"> כי הענישה, גם לאחר תיקון 113, היא לעולם </w:t>
      </w:r>
      <w:r w:rsidRPr="008D333B">
        <w:rPr>
          <w:b/>
          <w:bCs/>
          <w:color w:val="000000"/>
          <w:rtl/>
        </w:rPr>
        <w:t>אינדיבידואלית</w:t>
      </w:r>
      <w:r w:rsidRPr="008D333B">
        <w:rPr>
          <w:color w:val="000000"/>
          <w:rtl/>
        </w:rPr>
        <w:t>. לעניין זה יפים הדברים שנאמרו ב</w:t>
      </w:r>
      <w:hyperlink r:id="rId37" w:history="1">
        <w:r w:rsidR="008536BD" w:rsidRPr="008536BD">
          <w:rPr>
            <w:rFonts w:hint="cs"/>
            <w:color w:val="0000FF"/>
            <w:u w:val="single"/>
            <w:rtl/>
          </w:rPr>
          <w:t>ע״פ</w:t>
        </w:r>
        <w:r w:rsidR="008536BD" w:rsidRPr="008536BD">
          <w:rPr>
            <w:color w:val="0000FF"/>
            <w:u w:val="single"/>
            <w:rtl/>
          </w:rPr>
          <w:t xml:space="preserve"> 433/89</w:t>
        </w:r>
      </w:hyperlink>
      <w:r w:rsidRPr="008D333B">
        <w:rPr>
          <w:b/>
          <w:bCs/>
          <w:color w:val="000000"/>
          <w:rtl/>
        </w:rPr>
        <w:t xml:space="preserve"> אטיאס נגד מדינת ישראל</w:t>
      </w:r>
      <w:r w:rsidRPr="008D333B">
        <w:rPr>
          <w:color w:val="000000"/>
          <w:rtl/>
        </w:rPr>
        <w:t xml:space="preserve"> (פורסם במאגרים המשפטיים) (03.10.1989):</w:t>
      </w:r>
    </w:p>
    <w:p w14:paraId="5C735A2D" w14:textId="77777777" w:rsidR="008D333B" w:rsidRPr="008D333B" w:rsidRDefault="008D333B" w:rsidP="008D333B">
      <w:pPr>
        <w:spacing w:after="80" w:line="360" w:lineRule="auto"/>
        <w:ind w:left="720" w:right="680"/>
        <w:jc w:val="both"/>
        <w:rPr>
          <w:b/>
          <w:bCs/>
          <w:color w:val="000000"/>
          <w:rtl/>
        </w:rPr>
      </w:pPr>
      <w:r w:rsidRPr="008D333B">
        <w:rPr>
          <w:b/>
          <w:bCs/>
          <w:color w:val="000000"/>
          <w:rtl/>
        </w:rPr>
        <w:t>״זאת תורת הגישה האינדיווידואלית בתורת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p>
    <w:p w14:paraId="50575892" w14:textId="77777777" w:rsidR="008D333B" w:rsidRPr="008D333B" w:rsidRDefault="008D333B" w:rsidP="008D333B">
      <w:pPr>
        <w:pStyle w:val="aa"/>
        <w:numPr>
          <w:ilvl w:val="0"/>
          <w:numId w:val="1"/>
        </w:numPr>
        <w:spacing w:after="80" w:line="360" w:lineRule="auto"/>
        <w:jc w:val="both"/>
        <w:rPr>
          <w:color w:val="000000"/>
        </w:rPr>
      </w:pPr>
      <w:r w:rsidRPr="008D333B">
        <w:rPr>
          <w:color w:val="000000"/>
          <w:rtl/>
        </w:rPr>
        <w:t>לאחר איזון כלל המפורט לעיל, אני גוזרת על הנאשם את העונשים כדלקמן:</w:t>
      </w:r>
    </w:p>
    <w:p w14:paraId="41EDCC47" w14:textId="77777777" w:rsidR="008D333B" w:rsidRPr="008D333B" w:rsidRDefault="008D333B" w:rsidP="008D333B">
      <w:pPr>
        <w:pStyle w:val="aa"/>
        <w:numPr>
          <w:ilvl w:val="1"/>
          <w:numId w:val="1"/>
        </w:numPr>
        <w:spacing w:before="240" w:after="80" w:line="360" w:lineRule="auto"/>
        <w:contextualSpacing w:val="0"/>
        <w:jc w:val="both"/>
        <w:rPr>
          <w:b/>
          <w:bCs/>
          <w:color w:val="000000"/>
        </w:rPr>
      </w:pPr>
      <w:r w:rsidRPr="008D333B">
        <w:rPr>
          <w:b/>
          <w:bCs/>
          <w:color w:val="000000"/>
          <w:rtl/>
        </w:rPr>
        <w:t>מאסר לתקופה של 4 חודשים וחצי, שירוצה בדרך של עבודת שירות.</w:t>
      </w:r>
    </w:p>
    <w:p w14:paraId="5AC2A791" w14:textId="77777777" w:rsidR="008D333B" w:rsidRPr="008D333B" w:rsidRDefault="008D333B" w:rsidP="008D333B">
      <w:pPr>
        <w:pStyle w:val="aa"/>
        <w:numPr>
          <w:ilvl w:val="1"/>
          <w:numId w:val="1"/>
        </w:numPr>
        <w:spacing w:before="240" w:after="80" w:line="360" w:lineRule="auto"/>
        <w:contextualSpacing w:val="0"/>
        <w:jc w:val="both"/>
        <w:rPr>
          <w:color w:val="000000"/>
        </w:rPr>
      </w:pPr>
      <w:r w:rsidRPr="008D333B">
        <w:rPr>
          <w:color w:val="000000"/>
          <w:rtl/>
        </w:rPr>
        <w:t xml:space="preserve">אני מטילה על הנאשם ביצוען של העבודות המפורטות בחוות דעתו של הממונה על עבודות השירות, עפ"י הוראות </w:t>
      </w:r>
      <w:hyperlink r:id="rId38" w:history="1">
        <w:r w:rsidR="002931A9" w:rsidRPr="002931A9">
          <w:rPr>
            <w:rStyle w:val="Hyperlink"/>
            <w:rFonts w:hint="cs"/>
            <w:rtl/>
          </w:rPr>
          <w:t>סעיף</w:t>
        </w:r>
        <w:r w:rsidR="002931A9" w:rsidRPr="002931A9">
          <w:rPr>
            <w:rStyle w:val="Hyperlink"/>
            <w:rtl/>
          </w:rPr>
          <w:t xml:space="preserve"> 1 </w:t>
        </w:r>
        <w:r w:rsidR="002931A9" w:rsidRPr="002931A9">
          <w:rPr>
            <w:rStyle w:val="Hyperlink"/>
            <w:rFonts w:hint="cs"/>
            <w:rtl/>
          </w:rPr>
          <w:t>ב</w:t>
        </w:r>
        <w:r w:rsidR="002931A9" w:rsidRPr="002931A9">
          <w:rPr>
            <w:rStyle w:val="Hyperlink"/>
            <w:rtl/>
          </w:rPr>
          <w:t>(</w:t>
        </w:r>
        <w:r w:rsidR="002931A9" w:rsidRPr="002931A9">
          <w:rPr>
            <w:rStyle w:val="Hyperlink"/>
            <w:rFonts w:hint="cs"/>
            <w:rtl/>
          </w:rPr>
          <w:t>ב</w:t>
        </w:r>
        <w:r w:rsidR="002931A9" w:rsidRPr="002931A9">
          <w:rPr>
            <w:rStyle w:val="Hyperlink"/>
            <w:rtl/>
          </w:rPr>
          <w:t>)</w:t>
        </w:r>
      </w:hyperlink>
      <w:r w:rsidRPr="008D333B">
        <w:rPr>
          <w:color w:val="000000"/>
          <w:rtl/>
        </w:rPr>
        <w:t xml:space="preserve"> ל</w:t>
      </w:r>
      <w:hyperlink r:id="rId39" w:history="1">
        <w:r w:rsidR="008536BD" w:rsidRPr="008536BD">
          <w:rPr>
            <w:rFonts w:hint="cs"/>
            <w:color w:val="0000FF"/>
            <w:u w:val="single"/>
            <w:rtl/>
          </w:rPr>
          <w:t>חוק</w:t>
        </w:r>
        <w:r w:rsidR="008536BD" w:rsidRPr="008536BD">
          <w:rPr>
            <w:color w:val="0000FF"/>
            <w:u w:val="single"/>
            <w:rtl/>
          </w:rPr>
          <w:t xml:space="preserve"> </w:t>
        </w:r>
        <w:r w:rsidR="008536BD" w:rsidRPr="008536BD">
          <w:rPr>
            <w:rFonts w:hint="cs"/>
            <w:color w:val="0000FF"/>
            <w:u w:val="single"/>
            <w:rtl/>
          </w:rPr>
          <w:t>העונשין</w:t>
        </w:r>
      </w:hyperlink>
      <w:r w:rsidRPr="008D333B">
        <w:rPr>
          <w:color w:val="000000"/>
          <w:rtl/>
        </w:rPr>
        <w:t>, תשל"ז – 1977. הנאשם יבצע את עבודות השירות בבית אבות עטרת רימונים, רשת "ביחד" בני ברק, בכתובת אהרונוביץ ראובן 10, בבני ברק.</w:t>
      </w:r>
    </w:p>
    <w:p w14:paraId="78A35577" w14:textId="77777777" w:rsidR="008D333B" w:rsidRPr="008D333B" w:rsidRDefault="008D333B" w:rsidP="008D333B">
      <w:pPr>
        <w:pStyle w:val="aa"/>
        <w:numPr>
          <w:ilvl w:val="1"/>
          <w:numId w:val="1"/>
        </w:numPr>
        <w:spacing w:before="240" w:after="80" w:line="360" w:lineRule="auto"/>
        <w:contextualSpacing w:val="0"/>
        <w:jc w:val="both"/>
        <w:rPr>
          <w:color w:val="000000"/>
        </w:rPr>
      </w:pPr>
      <w:r w:rsidRPr="008D333B">
        <w:rPr>
          <w:color w:val="000000"/>
          <w:rtl/>
        </w:rPr>
        <w:t>תחילתן של ביצוע העבודות ביום 19/12/2021, והן תיהיינה בפיקוח מפקח אחראי חיים מלכה, מפקח על עבודות שירות. טלפון: 0504062745.</w:t>
      </w:r>
    </w:p>
    <w:p w14:paraId="2D12B6BC" w14:textId="77777777" w:rsidR="008D333B" w:rsidRPr="008D333B" w:rsidRDefault="008D333B" w:rsidP="008D333B">
      <w:pPr>
        <w:pStyle w:val="aa"/>
        <w:spacing w:before="240" w:after="80" w:line="360" w:lineRule="auto"/>
        <w:ind w:left="786"/>
        <w:contextualSpacing w:val="0"/>
        <w:jc w:val="both"/>
        <w:rPr>
          <w:b/>
          <w:bCs/>
          <w:color w:val="000000"/>
        </w:rPr>
      </w:pPr>
      <w:r w:rsidRPr="008D333B">
        <w:rPr>
          <w:b/>
          <w:bCs/>
          <w:color w:val="000000"/>
          <w:rtl/>
        </w:rPr>
        <w:t>על הנאשם להתייצב לפני המפקח על עבודות השירות לצורך קליטה והצבה בתאריך תחילת העבודה, בשעה 08:00 במשרדי הממונה על עבודות השירות, יחידת ברקאי – עבודות שירות – שלוחת מרכז - רמלה.</w:t>
      </w:r>
    </w:p>
    <w:p w14:paraId="41F9118E" w14:textId="77777777" w:rsidR="008D333B" w:rsidRPr="008D333B" w:rsidRDefault="008D333B" w:rsidP="008D333B">
      <w:pPr>
        <w:pStyle w:val="aa"/>
        <w:spacing w:before="240" w:after="80" w:line="360" w:lineRule="auto"/>
        <w:ind w:left="786"/>
        <w:contextualSpacing w:val="0"/>
        <w:jc w:val="both"/>
        <w:rPr>
          <w:color w:val="000000"/>
          <w:rtl/>
        </w:rPr>
      </w:pPr>
      <w:r w:rsidRPr="008D333B">
        <w:rPr>
          <w:color w:val="000000"/>
          <w:rtl/>
        </w:rPr>
        <w:t>אני מודיעה לנאשם כי עליו להודיע לממונה על כל שינוי, אם יחול, בכתובת מגוריו, וכן עליו לעמוד בתנאי הפיקוח, שכן אי מילוי עבודות השירות עפ"י הנחיות המפקח, עלול להביא להפסקתן ולכליאה במתקן כליאה.</w:t>
      </w:r>
    </w:p>
    <w:p w14:paraId="0B234477" w14:textId="77777777" w:rsidR="008D333B" w:rsidRDefault="008D333B" w:rsidP="008D333B">
      <w:pPr>
        <w:autoSpaceDE w:val="0"/>
        <w:autoSpaceDN w:val="0"/>
        <w:adjustRightInd w:val="0"/>
        <w:spacing w:before="240" w:line="360" w:lineRule="auto"/>
        <w:ind w:left="720"/>
        <w:jc w:val="both"/>
        <w:rPr>
          <w:b/>
          <w:bCs/>
          <w:rtl/>
        </w:rPr>
      </w:pPr>
      <w:r>
        <w:rPr>
          <w:b/>
          <w:bCs/>
          <w:rtl/>
        </w:rPr>
        <w:t xml:space="preserve">בית המשפט מזהיר את הנאשם, </w:t>
      </w:r>
      <w:r>
        <w:rPr>
          <w:rFonts w:hint="cs"/>
          <w:b/>
          <w:bCs/>
        </w:rPr>
        <w:t xml:space="preserve"> </w:t>
      </w:r>
      <w:r>
        <w:rPr>
          <w:b/>
          <w:bCs/>
          <w:rtl/>
        </w:rPr>
        <w:t>כי במהלך</w:t>
      </w:r>
      <w:r>
        <w:rPr>
          <w:rFonts w:hint="cs"/>
          <w:b/>
          <w:bCs/>
        </w:rPr>
        <w:t xml:space="preserve"> </w:t>
      </w:r>
      <w:r>
        <w:rPr>
          <w:b/>
          <w:bCs/>
          <w:rtl/>
        </w:rPr>
        <w:t>ריצוי</w:t>
      </w:r>
      <w:r>
        <w:rPr>
          <w:rFonts w:hint="cs"/>
          <w:b/>
          <w:bCs/>
        </w:rPr>
        <w:t xml:space="preserve"> </w:t>
      </w:r>
      <w:r>
        <w:rPr>
          <w:b/>
          <w:bCs/>
          <w:rtl/>
        </w:rPr>
        <w:t>ע"ש</w:t>
      </w:r>
      <w:r>
        <w:rPr>
          <w:rFonts w:hint="cs"/>
          <w:b/>
          <w:bCs/>
        </w:rPr>
        <w:t xml:space="preserve"> </w:t>
      </w:r>
      <w:r>
        <w:rPr>
          <w:b/>
          <w:bCs/>
          <w:rtl/>
        </w:rPr>
        <w:t>יהיה</w:t>
      </w:r>
      <w:r>
        <w:rPr>
          <w:rFonts w:hint="cs"/>
          <w:b/>
          <w:bCs/>
        </w:rPr>
        <w:t xml:space="preserve"> </w:t>
      </w:r>
      <w:r>
        <w:rPr>
          <w:b/>
          <w:bCs/>
          <w:rtl/>
        </w:rPr>
        <w:t>נתון</w:t>
      </w:r>
      <w:r>
        <w:rPr>
          <w:rFonts w:hint="cs"/>
          <w:b/>
          <w:bCs/>
        </w:rPr>
        <w:t xml:space="preserve"> </w:t>
      </w:r>
      <w:r>
        <w:rPr>
          <w:b/>
          <w:bCs/>
          <w:rtl/>
        </w:rPr>
        <w:t>למעקב</w:t>
      </w:r>
      <w:r>
        <w:rPr>
          <w:rFonts w:hint="cs"/>
          <w:b/>
          <w:bCs/>
        </w:rPr>
        <w:t xml:space="preserve"> </w:t>
      </w:r>
      <w:r>
        <w:rPr>
          <w:b/>
          <w:bCs/>
          <w:rtl/>
        </w:rPr>
        <w:t>של</w:t>
      </w:r>
      <w:r>
        <w:rPr>
          <w:rFonts w:hint="cs"/>
          <w:b/>
          <w:bCs/>
        </w:rPr>
        <w:t xml:space="preserve"> </w:t>
      </w:r>
      <w:r>
        <w:rPr>
          <w:b/>
          <w:bCs/>
          <w:rtl/>
        </w:rPr>
        <w:t>בדיקות</w:t>
      </w:r>
      <w:r>
        <w:rPr>
          <w:rFonts w:hint="cs"/>
          <w:b/>
          <w:bCs/>
        </w:rPr>
        <w:t xml:space="preserve"> </w:t>
      </w:r>
      <w:r>
        <w:rPr>
          <w:b/>
          <w:bCs/>
          <w:rtl/>
        </w:rPr>
        <w:t>שתן לאיתור סמים, סירוב לבדיקה</w:t>
      </w:r>
      <w:r>
        <w:rPr>
          <w:rFonts w:hint="cs"/>
          <w:b/>
          <w:bCs/>
        </w:rPr>
        <w:t xml:space="preserve"> </w:t>
      </w:r>
      <w:r>
        <w:rPr>
          <w:b/>
          <w:bCs/>
          <w:rtl/>
        </w:rPr>
        <w:t>או</w:t>
      </w:r>
      <w:r>
        <w:rPr>
          <w:rFonts w:hint="cs"/>
          <w:b/>
          <w:bCs/>
        </w:rPr>
        <w:t xml:space="preserve"> </w:t>
      </w:r>
      <w:r>
        <w:rPr>
          <w:b/>
          <w:bCs/>
          <w:rtl/>
        </w:rPr>
        <w:t>בדיקה</w:t>
      </w:r>
      <w:r>
        <w:rPr>
          <w:rFonts w:hint="cs"/>
          <w:b/>
          <w:bCs/>
        </w:rPr>
        <w:t xml:space="preserve"> </w:t>
      </w:r>
      <w:r>
        <w:rPr>
          <w:b/>
          <w:bCs/>
          <w:rtl/>
        </w:rPr>
        <w:t>עם</w:t>
      </w:r>
      <w:r>
        <w:rPr>
          <w:rFonts w:hint="cs"/>
          <w:b/>
          <w:bCs/>
        </w:rPr>
        <w:t xml:space="preserve"> </w:t>
      </w:r>
      <w:r>
        <w:rPr>
          <w:b/>
          <w:bCs/>
          <w:rtl/>
        </w:rPr>
        <w:t>ממצאים</w:t>
      </w:r>
      <w:r>
        <w:rPr>
          <w:rFonts w:hint="cs"/>
          <w:b/>
          <w:bCs/>
        </w:rPr>
        <w:t xml:space="preserve"> </w:t>
      </w:r>
      <w:r>
        <w:rPr>
          <w:b/>
          <w:bCs/>
          <w:rtl/>
        </w:rPr>
        <w:t>חיוביים, או ניסיון לזיוף דגימת שתן,</w:t>
      </w:r>
      <w:r>
        <w:rPr>
          <w:rFonts w:hint="cs"/>
          <w:b/>
          <w:bCs/>
        </w:rPr>
        <w:t xml:space="preserve"> </w:t>
      </w:r>
      <w:r>
        <w:rPr>
          <w:b/>
          <w:bCs/>
          <w:rtl/>
        </w:rPr>
        <w:t>יהוו</w:t>
      </w:r>
      <w:r>
        <w:rPr>
          <w:rFonts w:hint="cs"/>
          <w:b/>
          <w:bCs/>
        </w:rPr>
        <w:t xml:space="preserve"> </w:t>
      </w:r>
      <w:r>
        <w:rPr>
          <w:b/>
          <w:bCs/>
          <w:rtl/>
        </w:rPr>
        <w:t>עילה</w:t>
      </w:r>
      <w:r>
        <w:rPr>
          <w:rFonts w:hint="cs"/>
          <w:b/>
          <w:bCs/>
        </w:rPr>
        <w:t xml:space="preserve"> </w:t>
      </w:r>
      <w:r>
        <w:rPr>
          <w:b/>
          <w:bCs/>
          <w:rtl/>
        </w:rPr>
        <w:t>להפסקה</w:t>
      </w:r>
      <w:r>
        <w:rPr>
          <w:rFonts w:hint="cs"/>
          <w:b/>
          <w:bCs/>
        </w:rPr>
        <w:t xml:space="preserve"> </w:t>
      </w:r>
      <w:r>
        <w:rPr>
          <w:b/>
          <w:bCs/>
          <w:rtl/>
        </w:rPr>
        <w:t>מנהלית</w:t>
      </w:r>
      <w:r>
        <w:rPr>
          <w:rFonts w:hint="cs"/>
          <w:b/>
          <w:bCs/>
        </w:rPr>
        <w:t xml:space="preserve"> </w:t>
      </w:r>
      <w:r>
        <w:rPr>
          <w:b/>
          <w:bCs/>
          <w:rtl/>
        </w:rPr>
        <w:t>וריצוי</w:t>
      </w:r>
      <w:r>
        <w:rPr>
          <w:rFonts w:hint="cs"/>
          <w:b/>
          <w:bCs/>
        </w:rPr>
        <w:t xml:space="preserve"> </w:t>
      </w:r>
      <w:r>
        <w:rPr>
          <w:b/>
          <w:bCs/>
          <w:rtl/>
        </w:rPr>
        <w:t>העונש</w:t>
      </w:r>
      <w:r>
        <w:rPr>
          <w:rFonts w:hint="cs"/>
          <w:b/>
          <w:bCs/>
        </w:rPr>
        <w:t xml:space="preserve"> </w:t>
      </w:r>
      <w:r>
        <w:rPr>
          <w:b/>
          <w:bCs/>
          <w:rtl/>
        </w:rPr>
        <w:t>במאסר בפועל.</w:t>
      </w:r>
    </w:p>
    <w:p w14:paraId="63062E78" w14:textId="77777777" w:rsidR="008D333B" w:rsidRDefault="008D333B" w:rsidP="008D333B">
      <w:pPr>
        <w:autoSpaceDE w:val="0"/>
        <w:autoSpaceDN w:val="0"/>
        <w:adjustRightInd w:val="0"/>
        <w:spacing w:before="240" w:line="360" w:lineRule="auto"/>
        <w:ind w:left="720"/>
        <w:jc w:val="both"/>
        <w:rPr>
          <w:b/>
          <w:bCs/>
          <w:noProof/>
        </w:rPr>
      </w:pPr>
      <w:r>
        <w:rPr>
          <w:b/>
          <w:bCs/>
          <w:rtl/>
        </w:rPr>
        <w:t>בית המשפט מזהיר את הנאשם, כי</w:t>
      </w:r>
      <w:r>
        <w:rPr>
          <w:rFonts w:hint="cs"/>
          <w:b/>
          <w:bCs/>
        </w:rPr>
        <w:t xml:space="preserve"> </w:t>
      </w:r>
      <w:r>
        <w:rPr>
          <w:b/>
          <w:bCs/>
          <w:rtl/>
        </w:rPr>
        <w:t>אין לשתות אלכוהול</w:t>
      </w:r>
      <w:r>
        <w:rPr>
          <w:rFonts w:hint="cs"/>
          <w:b/>
          <w:bCs/>
        </w:rPr>
        <w:t xml:space="preserve"> </w:t>
      </w:r>
      <w:r>
        <w:rPr>
          <w:b/>
          <w:bCs/>
          <w:rtl/>
        </w:rPr>
        <w:t>במהלך</w:t>
      </w:r>
      <w:r>
        <w:rPr>
          <w:rFonts w:hint="cs"/>
          <w:b/>
          <w:bCs/>
        </w:rPr>
        <w:t xml:space="preserve"> </w:t>
      </w:r>
      <w:r>
        <w:rPr>
          <w:b/>
          <w:bCs/>
          <w:rtl/>
        </w:rPr>
        <w:t>העבודה</w:t>
      </w:r>
      <w:r>
        <w:rPr>
          <w:rFonts w:hint="cs"/>
          <w:b/>
          <w:bCs/>
        </w:rPr>
        <w:t xml:space="preserve"> </w:t>
      </w:r>
      <w:r>
        <w:rPr>
          <w:b/>
          <w:bCs/>
          <w:rtl/>
        </w:rPr>
        <w:t>ואין</w:t>
      </w:r>
      <w:r>
        <w:rPr>
          <w:rFonts w:hint="cs"/>
          <w:b/>
          <w:bCs/>
        </w:rPr>
        <w:t xml:space="preserve"> </w:t>
      </w:r>
      <w:r>
        <w:rPr>
          <w:b/>
          <w:bCs/>
          <w:rtl/>
        </w:rPr>
        <w:t>להגיע בגילופין, התנהגות</w:t>
      </w:r>
      <w:r>
        <w:rPr>
          <w:rFonts w:hint="cs"/>
          <w:b/>
          <w:bCs/>
        </w:rPr>
        <w:t xml:space="preserve"> </w:t>
      </w:r>
      <w:r>
        <w:rPr>
          <w:b/>
          <w:bCs/>
          <w:rtl/>
        </w:rPr>
        <w:t>מסוג</w:t>
      </w:r>
      <w:r>
        <w:rPr>
          <w:rFonts w:hint="cs"/>
          <w:b/>
          <w:bCs/>
        </w:rPr>
        <w:t xml:space="preserve"> </w:t>
      </w:r>
      <w:r>
        <w:rPr>
          <w:b/>
          <w:bCs/>
          <w:rtl/>
        </w:rPr>
        <w:t>זה</w:t>
      </w:r>
      <w:r>
        <w:rPr>
          <w:rFonts w:hint="cs"/>
          <w:b/>
          <w:bCs/>
        </w:rPr>
        <w:t xml:space="preserve"> </w:t>
      </w:r>
      <w:r>
        <w:rPr>
          <w:b/>
          <w:bCs/>
          <w:rtl/>
        </w:rPr>
        <w:t>תהווה</w:t>
      </w:r>
      <w:r>
        <w:rPr>
          <w:rFonts w:hint="cs"/>
          <w:b/>
          <w:bCs/>
        </w:rPr>
        <w:t xml:space="preserve"> </w:t>
      </w:r>
      <w:r>
        <w:rPr>
          <w:b/>
          <w:bCs/>
          <w:rtl/>
        </w:rPr>
        <w:t>עילה</w:t>
      </w:r>
      <w:r>
        <w:rPr>
          <w:rFonts w:hint="cs"/>
          <w:b/>
          <w:bCs/>
        </w:rPr>
        <w:t xml:space="preserve"> </w:t>
      </w:r>
      <w:r>
        <w:rPr>
          <w:b/>
          <w:bCs/>
          <w:rtl/>
        </w:rPr>
        <w:t>להפסקה</w:t>
      </w:r>
      <w:r>
        <w:rPr>
          <w:rFonts w:hint="cs"/>
          <w:b/>
          <w:bCs/>
        </w:rPr>
        <w:t xml:space="preserve"> </w:t>
      </w:r>
      <w:r>
        <w:rPr>
          <w:b/>
          <w:bCs/>
          <w:rtl/>
        </w:rPr>
        <w:t>מנהלית</w:t>
      </w:r>
      <w:r>
        <w:rPr>
          <w:rFonts w:hint="cs"/>
          <w:b/>
          <w:bCs/>
        </w:rPr>
        <w:t xml:space="preserve"> </w:t>
      </w:r>
      <w:r>
        <w:rPr>
          <w:b/>
          <w:bCs/>
          <w:rtl/>
        </w:rPr>
        <w:t>וריצוי</w:t>
      </w:r>
      <w:r>
        <w:rPr>
          <w:rFonts w:hint="cs"/>
          <w:b/>
          <w:bCs/>
        </w:rPr>
        <w:t xml:space="preserve"> </w:t>
      </w:r>
      <w:r>
        <w:rPr>
          <w:b/>
          <w:bCs/>
          <w:rtl/>
        </w:rPr>
        <w:t>העונש</w:t>
      </w:r>
      <w:r>
        <w:rPr>
          <w:rFonts w:hint="cs"/>
          <w:b/>
          <w:bCs/>
        </w:rPr>
        <w:t xml:space="preserve"> </w:t>
      </w:r>
      <w:r>
        <w:rPr>
          <w:b/>
          <w:bCs/>
          <w:rtl/>
        </w:rPr>
        <w:t>במאסר</w:t>
      </w:r>
      <w:r>
        <w:rPr>
          <w:rFonts w:hint="cs"/>
          <w:b/>
          <w:bCs/>
        </w:rPr>
        <w:t xml:space="preserve"> </w:t>
      </w:r>
      <w:r>
        <w:rPr>
          <w:b/>
          <w:bCs/>
          <w:rtl/>
        </w:rPr>
        <w:t>בפועל.</w:t>
      </w:r>
    </w:p>
    <w:p w14:paraId="7F3195FE" w14:textId="77777777" w:rsidR="008D333B" w:rsidRDefault="008D333B" w:rsidP="008D333B">
      <w:pPr>
        <w:autoSpaceDE w:val="0"/>
        <w:autoSpaceDN w:val="0"/>
        <w:adjustRightInd w:val="0"/>
        <w:spacing w:before="240" w:line="360" w:lineRule="auto"/>
        <w:ind w:left="720"/>
        <w:jc w:val="both"/>
        <w:rPr>
          <w:b/>
          <w:bCs/>
          <w:rtl/>
        </w:rPr>
      </w:pPr>
      <w:r>
        <w:rPr>
          <w:b/>
          <w:bCs/>
          <w:rtl/>
        </w:rPr>
        <w:t>בית</w:t>
      </w:r>
      <w:r>
        <w:rPr>
          <w:rFonts w:hint="cs"/>
          <w:b/>
          <w:bCs/>
        </w:rPr>
        <w:t xml:space="preserve"> </w:t>
      </w:r>
      <w:r>
        <w:rPr>
          <w:b/>
          <w:bCs/>
          <w:rtl/>
        </w:rPr>
        <w:t>המשפט</w:t>
      </w:r>
      <w:r>
        <w:rPr>
          <w:rFonts w:hint="cs"/>
          <w:b/>
          <w:bCs/>
        </w:rPr>
        <w:t xml:space="preserve"> </w:t>
      </w:r>
      <w:r>
        <w:rPr>
          <w:b/>
          <w:bCs/>
          <w:rtl/>
        </w:rPr>
        <w:t xml:space="preserve">מזהיר את הנאשם, </w:t>
      </w:r>
      <w:r>
        <w:rPr>
          <w:rFonts w:hint="cs"/>
          <w:b/>
          <w:bCs/>
        </w:rPr>
        <w:t xml:space="preserve"> </w:t>
      </w:r>
      <w:r>
        <w:rPr>
          <w:b/>
          <w:bCs/>
          <w:rtl/>
        </w:rPr>
        <w:t>כי</w:t>
      </w:r>
      <w:r>
        <w:rPr>
          <w:rFonts w:hint="cs"/>
          <w:b/>
          <w:bCs/>
        </w:rPr>
        <w:t xml:space="preserve"> </w:t>
      </w:r>
      <w:r>
        <w:rPr>
          <w:b/>
          <w:bCs/>
          <w:rtl/>
        </w:rPr>
        <w:t>מדובר</w:t>
      </w:r>
      <w:r>
        <w:rPr>
          <w:rFonts w:hint="cs"/>
          <w:b/>
          <w:bCs/>
        </w:rPr>
        <w:t xml:space="preserve"> </w:t>
      </w:r>
      <w:r>
        <w:rPr>
          <w:b/>
          <w:bCs/>
          <w:rtl/>
        </w:rPr>
        <w:t>בתנאי</w:t>
      </w:r>
      <w:r>
        <w:rPr>
          <w:rFonts w:hint="cs"/>
          <w:b/>
          <w:bCs/>
        </w:rPr>
        <w:t xml:space="preserve"> </w:t>
      </w:r>
      <w:r>
        <w:rPr>
          <w:b/>
          <w:bCs/>
          <w:rtl/>
        </w:rPr>
        <w:t>העסקה</w:t>
      </w:r>
      <w:r>
        <w:rPr>
          <w:rFonts w:hint="cs"/>
          <w:b/>
          <w:bCs/>
        </w:rPr>
        <w:t xml:space="preserve"> </w:t>
      </w:r>
      <w:r>
        <w:rPr>
          <w:b/>
          <w:bCs/>
          <w:rtl/>
        </w:rPr>
        <w:t>קפדניים</w:t>
      </w:r>
      <w:r>
        <w:rPr>
          <w:rFonts w:hint="cs"/>
          <w:b/>
          <w:bCs/>
        </w:rPr>
        <w:t xml:space="preserve"> </w:t>
      </w:r>
      <w:r>
        <w:rPr>
          <w:b/>
          <w:bCs/>
          <w:rtl/>
        </w:rPr>
        <w:t>המצריכים התייצבות רציפה על-פי הנחיות החוק והממונה, לרבות איסור על שתיית אלכוהול או שימוש אסור בסמים, כל</w:t>
      </w:r>
      <w:r>
        <w:rPr>
          <w:rFonts w:hint="cs"/>
          <w:b/>
          <w:bCs/>
        </w:rPr>
        <w:t xml:space="preserve"> </w:t>
      </w:r>
      <w:r>
        <w:rPr>
          <w:b/>
          <w:bCs/>
          <w:rtl/>
        </w:rPr>
        <w:t>חריגה</w:t>
      </w:r>
      <w:r>
        <w:rPr>
          <w:rFonts w:hint="cs"/>
          <w:b/>
          <w:bCs/>
        </w:rPr>
        <w:t xml:space="preserve"> </w:t>
      </w:r>
      <w:r>
        <w:rPr>
          <w:b/>
          <w:bCs/>
          <w:rtl/>
        </w:rPr>
        <w:t>מכללים</w:t>
      </w:r>
      <w:r>
        <w:rPr>
          <w:rFonts w:hint="cs"/>
          <w:b/>
          <w:bCs/>
        </w:rPr>
        <w:t xml:space="preserve"> </w:t>
      </w:r>
      <w:r>
        <w:rPr>
          <w:b/>
          <w:bCs/>
          <w:rtl/>
        </w:rPr>
        <w:t>אלו</w:t>
      </w:r>
      <w:r>
        <w:rPr>
          <w:rFonts w:hint="cs"/>
          <w:b/>
          <w:bCs/>
        </w:rPr>
        <w:t xml:space="preserve"> </w:t>
      </w:r>
      <w:r>
        <w:rPr>
          <w:b/>
          <w:bCs/>
          <w:rtl/>
        </w:rPr>
        <w:t>יש בה</w:t>
      </w:r>
      <w:r>
        <w:rPr>
          <w:rFonts w:hint="cs"/>
          <w:b/>
          <w:bCs/>
        </w:rPr>
        <w:t xml:space="preserve"> </w:t>
      </w:r>
      <w:r>
        <w:rPr>
          <w:b/>
          <w:bCs/>
          <w:rtl/>
        </w:rPr>
        <w:t>כדי</w:t>
      </w:r>
      <w:r>
        <w:rPr>
          <w:rFonts w:hint="cs"/>
          <w:b/>
          <w:bCs/>
        </w:rPr>
        <w:t xml:space="preserve"> </w:t>
      </w:r>
      <w:r>
        <w:rPr>
          <w:b/>
          <w:bCs/>
          <w:rtl/>
        </w:rPr>
        <w:t>להפסיק</w:t>
      </w:r>
      <w:r>
        <w:rPr>
          <w:rFonts w:hint="cs"/>
          <w:b/>
          <w:bCs/>
        </w:rPr>
        <w:t xml:space="preserve"> </w:t>
      </w:r>
      <w:r>
        <w:rPr>
          <w:b/>
          <w:bCs/>
          <w:rtl/>
        </w:rPr>
        <w:t>את</w:t>
      </w:r>
      <w:r>
        <w:rPr>
          <w:rFonts w:hint="cs"/>
          <w:b/>
          <w:bCs/>
        </w:rPr>
        <w:t xml:space="preserve"> </w:t>
      </w:r>
      <w:r>
        <w:rPr>
          <w:b/>
          <w:bCs/>
          <w:rtl/>
        </w:rPr>
        <w:t>עבודות</w:t>
      </w:r>
      <w:r>
        <w:rPr>
          <w:rFonts w:hint="cs"/>
          <w:b/>
          <w:bCs/>
        </w:rPr>
        <w:t xml:space="preserve"> </w:t>
      </w:r>
      <w:r>
        <w:rPr>
          <w:b/>
          <w:bCs/>
          <w:rtl/>
        </w:rPr>
        <w:t>השירות</w:t>
      </w:r>
      <w:r>
        <w:rPr>
          <w:rFonts w:hint="cs"/>
          <w:b/>
          <w:bCs/>
        </w:rPr>
        <w:t xml:space="preserve"> </w:t>
      </w:r>
      <w:r>
        <w:rPr>
          <w:b/>
          <w:bCs/>
          <w:rtl/>
        </w:rPr>
        <w:t>ורצוי</w:t>
      </w:r>
      <w:r>
        <w:rPr>
          <w:rFonts w:hint="cs"/>
          <w:b/>
          <w:bCs/>
        </w:rPr>
        <w:t xml:space="preserve"> </w:t>
      </w:r>
      <w:r>
        <w:rPr>
          <w:b/>
          <w:bCs/>
          <w:rtl/>
        </w:rPr>
        <w:t>יתרת</w:t>
      </w:r>
      <w:r>
        <w:rPr>
          <w:rFonts w:hint="cs"/>
          <w:b/>
          <w:bCs/>
        </w:rPr>
        <w:t xml:space="preserve"> </w:t>
      </w:r>
      <w:r>
        <w:rPr>
          <w:b/>
          <w:bCs/>
          <w:rtl/>
        </w:rPr>
        <w:t>העונש</w:t>
      </w:r>
      <w:r>
        <w:rPr>
          <w:rFonts w:hint="cs"/>
          <w:b/>
          <w:bCs/>
        </w:rPr>
        <w:t xml:space="preserve"> </w:t>
      </w:r>
      <w:r>
        <w:rPr>
          <w:b/>
          <w:bCs/>
          <w:rtl/>
        </w:rPr>
        <w:t>במאסר</w:t>
      </w:r>
      <w:r>
        <w:rPr>
          <w:rFonts w:hint="cs"/>
          <w:b/>
          <w:bCs/>
        </w:rPr>
        <w:t xml:space="preserve"> </w:t>
      </w:r>
      <w:r>
        <w:rPr>
          <w:b/>
          <w:bCs/>
          <w:rtl/>
        </w:rPr>
        <w:t>בפועל.</w:t>
      </w:r>
    </w:p>
    <w:p w14:paraId="2C5440C3" w14:textId="77777777" w:rsidR="008D333B" w:rsidRDefault="008D333B" w:rsidP="008D333B">
      <w:pPr>
        <w:pStyle w:val="aa"/>
        <w:spacing w:before="240" w:line="360" w:lineRule="auto"/>
        <w:jc w:val="both"/>
        <w:rPr>
          <w:b/>
          <w:bCs/>
          <w:u w:val="single"/>
          <w:rtl/>
        </w:rPr>
      </w:pPr>
      <w:r>
        <w:rPr>
          <w:b/>
          <w:bCs/>
          <w:u w:val="single"/>
          <w:rtl/>
        </w:rPr>
        <w:t>המזכירות תעביר הודעה על גזר הדין לממונה על עבודת השירות.</w:t>
      </w:r>
    </w:p>
    <w:p w14:paraId="37454CAF" w14:textId="77777777" w:rsidR="008D333B" w:rsidRPr="008D333B" w:rsidRDefault="008D333B" w:rsidP="008D333B">
      <w:pPr>
        <w:pStyle w:val="aa"/>
        <w:numPr>
          <w:ilvl w:val="1"/>
          <w:numId w:val="1"/>
        </w:numPr>
        <w:spacing w:before="240" w:after="80" w:line="360" w:lineRule="auto"/>
        <w:jc w:val="both"/>
        <w:rPr>
          <w:color w:val="000000"/>
        </w:rPr>
      </w:pPr>
      <w:r w:rsidRPr="008D333B">
        <w:rPr>
          <w:color w:val="000000"/>
          <w:rtl/>
        </w:rPr>
        <w:t xml:space="preserve">מאסר למשך 6 חודשים ואולם הנאשם לא יישא בעונש זה אלא אם יעבור עבירת סמים מסוג פשע בתוך שלוש שנים מהיום. </w:t>
      </w:r>
    </w:p>
    <w:p w14:paraId="789BB93A" w14:textId="77777777" w:rsidR="008D333B" w:rsidRPr="008D333B" w:rsidRDefault="008D333B" w:rsidP="008D333B">
      <w:pPr>
        <w:pStyle w:val="aa"/>
        <w:numPr>
          <w:ilvl w:val="1"/>
          <w:numId w:val="1"/>
        </w:numPr>
        <w:spacing w:before="240" w:after="80" w:line="360" w:lineRule="auto"/>
        <w:jc w:val="both"/>
        <w:rPr>
          <w:color w:val="000000"/>
        </w:rPr>
      </w:pPr>
      <w:r w:rsidRPr="008D333B">
        <w:rPr>
          <w:color w:val="000000"/>
          <w:rtl/>
        </w:rPr>
        <w:t>מאסר למשך 4 חודשים ואולם הנאשם לא יישא בעונש זה אלא אם יעבור עבירת סמים מסוג עוון בתוך שלוש שנים מהיום.</w:t>
      </w:r>
    </w:p>
    <w:p w14:paraId="091DD63E" w14:textId="77777777" w:rsidR="008D333B" w:rsidRPr="008D333B" w:rsidRDefault="008D333B" w:rsidP="008D333B">
      <w:pPr>
        <w:pStyle w:val="aa"/>
        <w:numPr>
          <w:ilvl w:val="1"/>
          <w:numId w:val="1"/>
        </w:numPr>
        <w:spacing w:before="240" w:after="80" w:line="360" w:lineRule="auto"/>
        <w:jc w:val="both"/>
        <w:rPr>
          <w:color w:val="000000"/>
        </w:rPr>
      </w:pPr>
      <w:r w:rsidRPr="008D333B">
        <w:rPr>
          <w:color w:val="000000"/>
          <w:rtl/>
        </w:rPr>
        <w:t xml:space="preserve">הנאשם התחייב בפניי בסך 5,000 ש״ח שלא לעבור עבירות בהן הורשע והכל תוך שנתיים מהיום. </w:t>
      </w:r>
    </w:p>
    <w:p w14:paraId="58B0B8DA" w14:textId="77777777" w:rsidR="008D333B" w:rsidRPr="008D333B" w:rsidRDefault="008D333B" w:rsidP="008D333B">
      <w:pPr>
        <w:pStyle w:val="aa"/>
        <w:spacing w:before="240" w:after="80" w:line="360" w:lineRule="auto"/>
        <w:ind w:left="786"/>
        <w:jc w:val="both"/>
        <w:rPr>
          <w:color w:val="000000"/>
        </w:rPr>
      </w:pPr>
      <w:r w:rsidRPr="008D333B">
        <w:rPr>
          <w:b/>
          <w:bCs/>
          <w:color w:val="000000"/>
          <w:rtl/>
        </w:rPr>
        <w:t>רשמתי בפניי את התחייבות הנאשם והיא מהווה חלף חתימה</w:t>
      </w:r>
      <w:r w:rsidRPr="008D333B">
        <w:rPr>
          <w:color w:val="000000"/>
          <w:rtl/>
        </w:rPr>
        <w:t>.</w:t>
      </w:r>
    </w:p>
    <w:p w14:paraId="0EB0631B" w14:textId="77777777" w:rsidR="008D333B" w:rsidRDefault="008D333B" w:rsidP="008D333B">
      <w:pPr>
        <w:spacing w:before="240" w:after="160" w:line="360" w:lineRule="auto"/>
        <w:jc w:val="both"/>
        <w:rPr>
          <w:rtl/>
        </w:rPr>
      </w:pPr>
      <w:r>
        <w:rPr>
          <w:rtl/>
        </w:rPr>
        <w:t>צו כללי למוצגים – סמים יושמדו. מוצגים נוספים, ככל שישנם בתיק זה, יטופלו בהתאם להחלטת קצין משטרה מוסמך.</w:t>
      </w:r>
    </w:p>
    <w:p w14:paraId="1FD6C978" w14:textId="77777777" w:rsidR="008D333B" w:rsidRDefault="008D333B" w:rsidP="008D333B">
      <w:pPr>
        <w:spacing w:before="240" w:line="360" w:lineRule="auto"/>
        <w:jc w:val="both"/>
        <w:rPr>
          <w:b/>
          <w:bCs/>
          <w:u w:val="single"/>
        </w:rPr>
      </w:pPr>
      <w:r>
        <w:rPr>
          <w:rtl/>
        </w:rPr>
        <w:t>ככל שקיימת הפקדה בתיק זה או בתיקים קשורים – מ"י/מ"ת, תושב לנאשם או למי מטעמו, בכפוף לכל דין או החלטה אחרת.</w:t>
      </w:r>
    </w:p>
    <w:p w14:paraId="0DFBBF16" w14:textId="77777777" w:rsidR="008D333B" w:rsidRDefault="008D333B" w:rsidP="008D333B">
      <w:pPr>
        <w:spacing w:before="240" w:line="360" w:lineRule="auto"/>
        <w:jc w:val="both"/>
        <w:rPr>
          <w:b/>
          <w:bCs/>
          <w:u w:val="single"/>
          <w:rtl/>
        </w:rPr>
      </w:pPr>
      <w:r>
        <w:rPr>
          <w:b/>
          <w:bCs/>
          <w:u w:val="single"/>
          <w:rtl/>
        </w:rPr>
        <w:t>המזכירות תעביר העתק החלטתי לממונה על עבודות השירות.</w:t>
      </w:r>
    </w:p>
    <w:p w14:paraId="0DDE7534" w14:textId="77777777" w:rsidR="008D333B" w:rsidRDefault="008D333B" w:rsidP="008D333B">
      <w:pPr>
        <w:spacing w:before="240" w:line="360" w:lineRule="auto"/>
        <w:jc w:val="both"/>
        <w:rPr>
          <w:b/>
          <w:bCs/>
          <w:u w:val="single"/>
        </w:rPr>
      </w:pPr>
      <w:r>
        <w:rPr>
          <w:b/>
          <w:bCs/>
          <w:u w:val="single"/>
          <w:rtl/>
        </w:rPr>
        <w:t>זכות ערעור לבית המשפט המחוזי בתל-אביב בתוך 45 יום מהיום.</w:t>
      </w:r>
    </w:p>
    <w:p w14:paraId="2A4306F0" w14:textId="77777777" w:rsidR="008D333B" w:rsidRPr="00B05847" w:rsidRDefault="008D333B" w:rsidP="008D333B">
      <w:pPr>
        <w:spacing w:before="240" w:line="360" w:lineRule="auto"/>
        <w:rPr>
          <w:rtl/>
        </w:rPr>
      </w:pPr>
    </w:p>
    <w:p w14:paraId="686DDDC2" w14:textId="77777777" w:rsidR="008D333B" w:rsidRPr="00B05847" w:rsidRDefault="008D333B" w:rsidP="008D333B">
      <w:pPr>
        <w:rPr>
          <w:rtl/>
        </w:rPr>
      </w:pPr>
    </w:p>
    <w:p w14:paraId="59E13AA2" w14:textId="77777777" w:rsidR="008D333B" w:rsidRPr="008536BD" w:rsidRDefault="008536BD" w:rsidP="008D333B">
      <w:pPr>
        <w:rPr>
          <w:color w:val="FFFFFF"/>
          <w:sz w:val="2"/>
          <w:szCs w:val="2"/>
          <w:rtl/>
        </w:rPr>
      </w:pPr>
      <w:r w:rsidRPr="008536BD">
        <w:rPr>
          <w:color w:val="FFFFFF"/>
          <w:sz w:val="2"/>
          <w:szCs w:val="2"/>
          <w:rtl/>
        </w:rPr>
        <w:t>5129371</w:t>
      </w:r>
    </w:p>
    <w:p w14:paraId="30934CEB" w14:textId="77777777" w:rsidR="008D333B" w:rsidRPr="00250B83" w:rsidRDefault="008536BD" w:rsidP="008D333B">
      <w:pPr>
        <w:rPr>
          <w:rtl/>
        </w:rPr>
      </w:pPr>
      <w:bookmarkStart w:id="9" w:name="Nitan"/>
      <w:r w:rsidRPr="008536BD">
        <w:rPr>
          <w:rFonts w:ascii="Arial" w:hAnsi="Arial"/>
          <w:b/>
          <w:bCs/>
          <w:color w:val="FFFFFF"/>
          <w:sz w:val="2"/>
          <w:szCs w:val="2"/>
          <w:rtl/>
        </w:rPr>
        <w:t>54678313</w:t>
      </w:r>
      <w:r>
        <w:rPr>
          <w:rFonts w:ascii="Arial" w:hAnsi="Arial"/>
          <w:b/>
          <w:bCs/>
          <w:rtl/>
        </w:rPr>
        <w:t xml:space="preserve">ניתן היום,  כ"ה כסלו תשפ"ב, 29 נובמבר 2021, במעמד הצדדים. </w:t>
      </w:r>
      <w:bookmarkEnd w:id="9"/>
    </w:p>
    <w:p w14:paraId="1DFA94B6" w14:textId="77777777" w:rsidR="008D333B" w:rsidRPr="00250B83" w:rsidRDefault="008D333B" w:rsidP="008536BD">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3127CC94" w14:textId="77777777" w:rsidR="008D333B" w:rsidRPr="00250B83" w:rsidRDefault="008D333B" w:rsidP="008D333B">
      <w:pPr>
        <w:jc w:val="center"/>
        <w:rPr>
          <w:rFonts w:ascii="Arial" w:hAnsi="Arial"/>
          <w:rtl/>
        </w:rPr>
      </w:pPr>
    </w:p>
    <w:p w14:paraId="5EE02806" w14:textId="77777777" w:rsidR="008D333B" w:rsidRPr="00250B83" w:rsidRDefault="008D333B" w:rsidP="008D333B">
      <w:pPr>
        <w:rPr>
          <w:rtl/>
        </w:rPr>
      </w:pPr>
    </w:p>
    <w:p w14:paraId="586C5B59" w14:textId="77777777" w:rsidR="008D333B" w:rsidRDefault="008D333B" w:rsidP="008D333B">
      <w:pPr>
        <w:pStyle w:val="a3"/>
        <w:jc w:val="center"/>
        <w:rPr>
          <w:rtl/>
        </w:rPr>
      </w:pPr>
    </w:p>
    <w:p w14:paraId="4FF9581F" w14:textId="77777777" w:rsidR="00292139" w:rsidRPr="008536BD" w:rsidRDefault="00292139" w:rsidP="008536BD">
      <w:pPr>
        <w:keepNext/>
        <w:rPr>
          <w:rFonts w:ascii="David" w:hAnsi="David"/>
          <w:color w:val="000000"/>
          <w:sz w:val="22"/>
          <w:szCs w:val="22"/>
          <w:rtl/>
        </w:rPr>
      </w:pPr>
    </w:p>
    <w:p w14:paraId="2BB68198" w14:textId="77777777" w:rsidR="008536BD" w:rsidRPr="008536BD" w:rsidRDefault="008536BD" w:rsidP="008536BD">
      <w:pPr>
        <w:keepNext/>
        <w:rPr>
          <w:rFonts w:ascii="David" w:hAnsi="David"/>
          <w:color w:val="000000"/>
          <w:sz w:val="22"/>
          <w:szCs w:val="22"/>
          <w:rtl/>
        </w:rPr>
      </w:pPr>
      <w:r w:rsidRPr="008536BD">
        <w:rPr>
          <w:rFonts w:ascii="David" w:hAnsi="David"/>
          <w:color w:val="000000"/>
          <w:sz w:val="22"/>
          <w:szCs w:val="22"/>
          <w:rtl/>
        </w:rPr>
        <w:t>עדי יעקובוביץ 54678313</w:t>
      </w:r>
    </w:p>
    <w:p w14:paraId="13966004" w14:textId="77777777" w:rsidR="008536BD" w:rsidRDefault="008536BD" w:rsidP="008536BD">
      <w:r w:rsidRPr="008536BD">
        <w:rPr>
          <w:color w:val="000000"/>
          <w:rtl/>
        </w:rPr>
        <w:t>נוסח מסמך זה כפוף לשינויי ניסוח ועריכה</w:t>
      </w:r>
    </w:p>
    <w:p w14:paraId="0AEE2AFC" w14:textId="77777777" w:rsidR="008536BD" w:rsidRDefault="008536BD" w:rsidP="008536BD">
      <w:pPr>
        <w:rPr>
          <w:rtl/>
        </w:rPr>
      </w:pPr>
    </w:p>
    <w:p w14:paraId="6DF3BB7E" w14:textId="77777777" w:rsidR="008536BD" w:rsidRDefault="008536BD" w:rsidP="008536BD">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A6CC896" w14:textId="77777777" w:rsidR="008536BD" w:rsidRPr="008536BD" w:rsidRDefault="008536BD" w:rsidP="008536BD">
      <w:pPr>
        <w:jc w:val="center"/>
        <w:rPr>
          <w:color w:val="0000FF"/>
          <w:u w:val="single"/>
        </w:rPr>
      </w:pPr>
    </w:p>
    <w:sectPr w:rsidR="008536BD" w:rsidRPr="008536BD" w:rsidSect="008536BD">
      <w:headerReference w:type="even" r:id="rId41"/>
      <w:headerReference w:type="default" r:id="rId42"/>
      <w:footerReference w:type="even" r:id="rId43"/>
      <w:footerReference w:type="default" r:id="rId4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1226B" w14:textId="77777777" w:rsidR="005B49A9" w:rsidRDefault="005B49A9" w:rsidP="0062478C">
      <w:r>
        <w:separator/>
      </w:r>
    </w:p>
  </w:endnote>
  <w:endnote w:type="continuationSeparator" w:id="0">
    <w:p w14:paraId="23876B70" w14:textId="77777777" w:rsidR="005B49A9" w:rsidRDefault="005B49A9" w:rsidP="0062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F1AF0" w14:textId="77777777" w:rsidR="008536BD" w:rsidRDefault="008536BD" w:rsidP="008536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4936E4" w14:textId="77777777" w:rsidR="00C7213E" w:rsidRPr="008536BD" w:rsidRDefault="008536BD" w:rsidP="008536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05616" w14:textId="77777777" w:rsidR="008536BD" w:rsidRDefault="008536BD" w:rsidP="008536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7443">
      <w:rPr>
        <w:rFonts w:ascii="FrankRuehl" w:hAnsi="FrankRuehl" w:cs="FrankRuehl"/>
        <w:noProof/>
        <w:rtl/>
      </w:rPr>
      <w:t>1</w:t>
    </w:r>
    <w:r>
      <w:rPr>
        <w:rFonts w:ascii="FrankRuehl" w:hAnsi="FrankRuehl" w:cs="FrankRuehl"/>
        <w:rtl/>
      </w:rPr>
      <w:fldChar w:fldCharType="end"/>
    </w:r>
  </w:p>
  <w:p w14:paraId="3D7341E4" w14:textId="77777777" w:rsidR="00C7213E" w:rsidRPr="008536BD" w:rsidRDefault="008536BD" w:rsidP="008536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F1AA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7BF48" w14:textId="77777777" w:rsidR="005B49A9" w:rsidRDefault="005B49A9" w:rsidP="0062478C">
      <w:r>
        <w:separator/>
      </w:r>
    </w:p>
  </w:footnote>
  <w:footnote w:type="continuationSeparator" w:id="0">
    <w:p w14:paraId="4473576B" w14:textId="77777777" w:rsidR="005B49A9" w:rsidRDefault="005B49A9" w:rsidP="00624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30AD3" w14:textId="77777777" w:rsidR="008536BD" w:rsidRPr="008536BD" w:rsidRDefault="008536BD" w:rsidP="008536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16419-02-21</w:t>
    </w:r>
    <w:r>
      <w:rPr>
        <w:rFonts w:ascii="David" w:hAnsi="David"/>
        <w:color w:val="000000"/>
        <w:sz w:val="22"/>
        <w:szCs w:val="22"/>
        <w:rtl/>
      </w:rPr>
      <w:tab/>
      <w:t xml:space="preserve"> מדינת ישראל נ' רון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B0754" w14:textId="77777777" w:rsidR="008536BD" w:rsidRPr="008536BD" w:rsidRDefault="008536BD" w:rsidP="008536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16419-02-21</w:t>
    </w:r>
    <w:r>
      <w:rPr>
        <w:rFonts w:ascii="David" w:hAnsi="David"/>
        <w:color w:val="000000"/>
        <w:sz w:val="22"/>
        <w:szCs w:val="22"/>
        <w:rtl/>
      </w:rPr>
      <w:tab/>
      <w:t xml:space="preserve"> מדינת ישראל נ' רון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16A05"/>
    <w:multiLevelType w:val="hybridMultilevel"/>
    <w:tmpl w:val="3D183120"/>
    <w:lvl w:ilvl="0" w:tplc="1F5C8AC6">
      <w:start w:val="1"/>
      <w:numFmt w:val="decimal"/>
      <w:lvlText w:val="%1."/>
      <w:lvlJc w:val="left"/>
      <w:pPr>
        <w:ind w:left="360" w:hanging="360"/>
      </w:pPr>
      <w:rPr>
        <w:b w:val="0"/>
        <w:bCs w:val="0"/>
      </w:rPr>
    </w:lvl>
    <w:lvl w:ilvl="1" w:tplc="F044217A">
      <w:start w:val="1"/>
      <w:numFmt w:val="hebrew1"/>
      <w:lvlText w:val="%2."/>
      <w:lvlJc w:val="center"/>
      <w:pPr>
        <w:ind w:left="786" w:hanging="360"/>
      </w:pPr>
      <w:rPr>
        <w:lang w:val="en-US"/>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0540396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333B"/>
    <w:rsid w:val="00036C5A"/>
    <w:rsid w:val="001B5A3B"/>
    <w:rsid w:val="00292139"/>
    <w:rsid w:val="002931A9"/>
    <w:rsid w:val="003E5296"/>
    <w:rsid w:val="005B49A9"/>
    <w:rsid w:val="006205D3"/>
    <w:rsid w:val="0062478C"/>
    <w:rsid w:val="00662196"/>
    <w:rsid w:val="006D7443"/>
    <w:rsid w:val="008536BD"/>
    <w:rsid w:val="00854819"/>
    <w:rsid w:val="008D333B"/>
    <w:rsid w:val="009200E8"/>
    <w:rsid w:val="00C06B86"/>
    <w:rsid w:val="00C7213E"/>
    <w:rsid w:val="00CE6C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516894"/>
  <w15:chartTrackingRefBased/>
  <w15:docId w15:val="{6BEED6DD-B67D-492F-A204-8EE2ECEB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33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333B"/>
    <w:pPr>
      <w:tabs>
        <w:tab w:val="center" w:pos="4153"/>
        <w:tab w:val="right" w:pos="8306"/>
      </w:tabs>
    </w:pPr>
  </w:style>
  <w:style w:type="character" w:customStyle="1" w:styleId="a4">
    <w:name w:val="כותרת עליונה תו"/>
    <w:link w:val="a3"/>
    <w:rsid w:val="008D333B"/>
    <w:rPr>
      <w:rFonts w:ascii="Times New Roman" w:eastAsia="Times New Roman" w:hAnsi="Times New Roman" w:cs="David"/>
      <w:sz w:val="24"/>
      <w:szCs w:val="24"/>
    </w:rPr>
  </w:style>
  <w:style w:type="paragraph" w:styleId="a5">
    <w:name w:val="footer"/>
    <w:basedOn w:val="a"/>
    <w:link w:val="a6"/>
    <w:rsid w:val="008D333B"/>
    <w:pPr>
      <w:tabs>
        <w:tab w:val="center" w:pos="4153"/>
        <w:tab w:val="right" w:pos="8306"/>
      </w:tabs>
    </w:pPr>
  </w:style>
  <w:style w:type="character" w:customStyle="1" w:styleId="a6">
    <w:name w:val="כותרת תחתונה תו"/>
    <w:link w:val="a5"/>
    <w:rsid w:val="008D333B"/>
    <w:rPr>
      <w:rFonts w:ascii="Times New Roman" w:eastAsia="Times New Roman" w:hAnsi="Times New Roman" w:cs="David"/>
      <w:sz w:val="24"/>
      <w:szCs w:val="24"/>
    </w:rPr>
  </w:style>
  <w:style w:type="table" w:styleId="a7">
    <w:name w:val="Table Grid"/>
    <w:basedOn w:val="a1"/>
    <w:rsid w:val="008D33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333B"/>
  </w:style>
  <w:style w:type="character" w:customStyle="1" w:styleId="a9">
    <w:name w:val="פיסקת רשימה תו"/>
    <w:link w:val="aa"/>
    <w:locked/>
    <w:rsid w:val="008D333B"/>
    <w:rPr>
      <w:rFonts w:cs="David"/>
      <w:noProof/>
      <w:sz w:val="24"/>
      <w:szCs w:val="24"/>
    </w:rPr>
  </w:style>
  <w:style w:type="paragraph" w:styleId="aa">
    <w:name w:val="List Paragraph"/>
    <w:basedOn w:val="a"/>
    <w:link w:val="a9"/>
    <w:qFormat/>
    <w:rsid w:val="008D333B"/>
    <w:pPr>
      <w:ind w:left="720"/>
      <w:contextualSpacing/>
    </w:pPr>
    <w:rPr>
      <w:rFonts w:ascii="Calibri" w:eastAsia="Calibri" w:hAnsi="Calibri"/>
      <w:noProof/>
    </w:rPr>
  </w:style>
  <w:style w:type="paragraph" w:customStyle="1" w:styleId="1">
    <w:name w:val="פיסקת רשימה1"/>
    <w:basedOn w:val="a"/>
    <w:rsid w:val="008D333B"/>
    <w:pPr>
      <w:ind w:left="720"/>
      <w:contextualSpacing/>
    </w:pPr>
    <w:rPr>
      <w:rFonts w:ascii="Calibri" w:eastAsia="Calibri" w:hAnsi="Calibri" w:cs="Times New Roman"/>
      <w:sz w:val="22"/>
      <w:szCs w:val="22"/>
    </w:rPr>
  </w:style>
  <w:style w:type="character" w:styleId="Hyperlink">
    <w:name w:val="Hyperlink"/>
    <w:rsid w:val="008D33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16938303"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3a;19" TargetMode="External"/><Relationship Id="rId34" Type="http://schemas.openxmlformats.org/officeDocument/2006/relationships/hyperlink" Target="http://www.nevo.co.il/case/20905674"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278996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1964098" TargetMode="External"/><Relationship Id="rId37" Type="http://schemas.openxmlformats.org/officeDocument/2006/relationships/hyperlink" Target="http://www.nevo.co.il/case/17941073"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25"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8841309" TargetMode="External"/><Relationship Id="rId36" Type="http://schemas.openxmlformats.org/officeDocument/2006/relationships/hyperlink" Target="http://www.nevo.co.il/law/70301/40jc.b"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6195854"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1b.b"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20705570" TargetMode="External"/><Relationship Id="rId30" Type="http://schemas.openxmlformats.org/officeDocument/2006/relationships/hyperlink" Target="http://www.nevo.co.il/case/26752140" TargetMode="External"/><Relationship Id="rId35" Type="http://schemas.openxmlformats.org/officeDocument/2006/relationships/hyperlink" Target="http://www.nevo.co.il/law/70301/40ja"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case/5576587" TargetMode="External"/><Relationship Id="rId33" Type="http://schemas.openxmlformats.org/officeDocument/2006/relationships/hyperlink" Target="http://www.nevo.co.il/case/20905674" TargetMode="External"/><Relationship Id="rId38" Type="http://schemas.openxmlformats.org/officeDocument/2006/relationships/hyperlink" Target="http://www.nevo.co.il/law/70301/1b.b" TargetMode="External"/><Relationship Id="rId46" Type="http://schemas.openxmlformats.org/officeDocument/2006/relationships/theme" Target="theme/theme1.xml"/><Relationship Id="rId20" Type="http://schemas.openxmlformats.org/officeDocument/2006/relationships/hyperlink" Target="http://www.nevo.co.il/law/4216/7.a.;7.c"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19477</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7995492</vt:i4>
      </vt:variant>
      <vt:variant>
        <vt:i4>96</vt:i4>
      </vt:variant>
      <vt:variant>
        <vt:i4>0</vt:i4>
      </vt:variant>
      <vt:variant>
        <vt:i4>5</vt:i4>
      </vt:variant>
      <vt:variant>
        <vt:lpwstr>http://www.nevo.co.il/law/70301</vt:lpwstr>
      </vt:variant>
      <vt:variant>
        <vt:lpwstr/>
      </vt:variant>
      <vt:variant>
        <vt:i4>5570634</vt:i4>
      </vt:variant>
      <vt:variant>
        <vt:i4>93</vt:i4>
      </vt:variant>
      <vt:variant>
        <vt:i4>0</vt:i4>
      </vt:variant>
      <vt:variant>
        <vt:i4>5</vt:i4>
      </vt:variant>
      <vt:variant>
        <vt:lpwstr>http://www.nevo.co.il/law/70301/1b.b</vt:lpwstr>
      </vt:variant>
      <vt:variant>
        <vt:lpwstr/>
      </vt:variant>
      <vt:variant>
        <vt:i4>4063351</vt:i4>
      </vt:variant>
      <vt:variant>
        <vt:i4>90</vt:i4>
      </vt:variant>
      <vt:variant>
        <vt:i4>0</vt:i4>
      </vt:variant>
      <vt:variant>
        <vt:i4>5</vt:i4>
      </vt:variant>
      <vt:variant>
        <vt:lpwstr>http://www.nevo.co.il/case/17941073</vt:lpwstr>
      </vt:variant>
      <vt:variant>
        <vt:lpwstr/>
      </vt:variant>
      <vt:variant>
        <vt:i4>6553637</vt:i4>
      </vt:variant>
      <vt:variant>
        <vt:i4>87</vt:i4>
      </vt:variant>
      <vt:variant>
        <vt:i4>0</vt:i4>
      </vt:variant>
      <vt:variant>
        <vt:i4>5</vt:i4>
      </vt:variant>
      <vt:variant>
        <vt:lpwstr>http://www.nevo.co.il/law/70301/40jc.b</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3735666</vt:i4>
      </vt:variant>
      <vt:variant>
        <vt:i4>81</vt:i4>
      </vt:variant>
      <vt:variant>
        <vt:i4>0</vt:i4>
      </vt:variant>
      <vt:variant>
        <vt:i4>5</vt:i4>
      </vt:variant>
      <vt:variant>
        <vt:lpwstr>http://www.nevo.co.il/case/20905674</vt:lpwstr>
      </vt:variant>
      <vt:variant>
        <vt:lpwstr/>
      </vt:variant>
      <vt:variant>
        <vt:i4>3735666</vt:i4>
      </vt:variant>
      <vt:variant>
        <vt:i4>78</vt:i4>
      </vt:variant>
      <vt:variant>
        <vt:i4>0</vt:i4>
      </vt:variant>
      <vt:variant>
        <vt:i4>5</vt:i4>
      </vt:variant>
      <vt:variant>
        <vt:lpwstr>http://www.nevo.co.il/case/20905674</vt:lpwstr>
      </vt:variant>
      <vt:variant>
        <vt:lpwstr/>
      </vt:variant>
      <vt:variant>
        <vt:i4>3539059</vt:i4>
      </vt:variant>
      <vt:variant>
        <vt:i4>75</vt:i4>
      </vt:variant>
      <vt:variant>
        <vt:i4>0</vt:i4>
      </vt:variant>
      <vt:variant>
        <vt:i4>5</vt:i4>
      </vt:variant>
      <vt:variant>
        <vt:lpwstr>http://www.nevo.co.il/case/21964098</vt:lpwstr>
      </vt:variant>
      <vt:variant>
        <vt:lpwstr/>
      </vt:variant>
      <vt:variant>
        <vt:i4>3342451</vt:i4>
      </vt:variant>
      <vt:variant>
        <vt:i4>72</vt:i4>
      </vt:variant>
      <vt:variant>
        <vt:i4>0</vt:i4>
      </vt:variant>
      <vt:variant>
        <vt:i4>5</vt:i4>
      </vt:variant>
      <vt:variant>
        <vt:lpwstr>http://www.nevo.co.il/case/26195854</vt:lpwstr>
      </vt:variant>
      <vt:variant>
        <vt:lpwstr/>
      </vt:variant>
      <vt:variant>
        <vt:i4>3342454</vt:i4>
      </vt:variant>
      <vt:variant>
        <vt:i4>69</vt:i4>
      </vt:variant>
      <vt:variant>
        <vt:i4>0</vt:i4>
      </vt:variant>
      <vt:variant>
        <vt:i4>5</vt:i4>
      </vt:variant>
      <vt:variant>
        <vt:lpwstr>http://www.nevo.co.il/case/26752140</vt:lpwstr>
      </vt:variant>
      <vt:variant>
        <vt:lpwstr/>
      </vt:variant>
      <vt:variant>
        <vt:i4>3407996</vt:i4>
      </vt:variant>
      <vt:variant>
        <vt:i4>66</vt:i4>
      </vt:variant>
      <vt:variant>
        <vt:i4>0</vt:i4>
      </vt:variant>
      <vt:variant>
        <vt:i4>5</vt:i4>
      </vt:variant>
      <vt:variant>
        <vt:lpwstr>http://www.nevo.co.il/case/27899671</vt:lpwstr>
      </vt:variant>
      <vt:variant>
        <vt:lpwstr/>
      </vt:variant>
      <vt:variant>
        <vt:i4>3670139</vt:i4>
      </vt:variant>
      <vt:variant>
        <vt:i4>63</vt:i4>
      </vt:variant>
      <vt:variant>
        <vt:i4>0</vt:i4>
      </vt:variant>
      <vt:variant>
        <vt:i4>5</vt:i4>
      </vt:variant>
      <vt:variant>
        <vt:lpwstr>http://www.nevo.co.il/case/18841309</vt:lpwstr>
      </vt:variant>
      <vt:variant>
        <vt:lpwstr/>
      </vt:variant>
      <vt:variant>
        <vt:i4>3604593</vt:i4>
      </vt:variant>
      <vt:variant>
        <vt:i4>60</vt:i4>
      </vt:variant>
      <vt:variant>
        <vt:i4>0</vt:i4>
      </vt:variant>
      <vt:variant>
        <vt:i4>5</vt:i4>
      </vt:variant>
      <vt:variant>
        <vt:lpwstr>http://www.nevo.co.il/case/20705570</vt:lpwstr>
      </vt:variant>
      <vt:variant>
        <vt:lpwstr/>
      </vt:variant>
      <vt:variant>
        <vt:i4>3145842</vt:i4>
      </vt:variant>
      <vt:variant>
        <vt:i4>57</vt:i4>
      </vt:variant>
      <vt:variant>
        <vt:i4>0</vt:i4>
      </vt:variant>
      <vt:variant>
        <vt:i4>5</vt:i4>
      </vt:variant>
      <vt:variant>
        <vt:lpwstr>http://www.nevo.co.il/case/16938303</vt:lpwstr>
      </vt:variant>
      <vt:variant>
        <vt:lpwstr/>
      </vt:variant>
      <vt:variant>
        <vt:i4>3145855</vt:i4>
      </vt:variant>
      <vt:variant>
        <vt:i4>54</vt:i4>
      </vt:variant>
      <vt:variant>
        <vt:i4>0</vt:i4>
      </vt:variant>
      <vt:variant>
        <vt:i4>5</vt:i4>
      </vt:variant>
      <vt:variant>
        <vt:lpwstr>http://www.nevo.co.il/case/5576587</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2031682</vt:i4>
      </vt:variant>
      <vt:variant>
        <vt:i4>42</vt:i4>
      </vt:variant>
      <vt:variant>
        <vt:i4>0</vt:i4>
      </vt:variant>
      <vt:variant>
        <vt:i4>5</vt:i4>
      </vt:variant>
      <vt:variant>
        <vt:lpwstr>http://www.nevo.co.il/law/4216/13a;19</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5570634</vt:i4>
      </vt:variant>
      <vt:variant>
        <vt:i4>21</vt:i4>
      </vt:variant>
      <vt:variant>
        <vt:i4>0</vt:i4>
      </vt:variant>
      <vt:variant>
        <vt:i4>5</vt:i4>
      </vt:variant>
      <vt:variant>
        <vt:lpwstr>http://www.nevo.co.il/law/70301/1b.b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3014777</vt:i4>
      </vt:variant>
      <vt:variant>
        <vt:i4>12</vt:i4>
      </vt:variant>
      <vt:variant>
        <vt:i4>0</vt:i4>
      </vt:variant>
      <vt:variant>
        <vt:i4>5</vt:i4>
      </vt:variant>
      <vt:variant>
        <vt:lpwstr>http://www.nevo.co.il/law/4216/13a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2025-04-23T00:53:00Z</dcterms:created>
  <dcterms:modified xsi:type="dcterms:W3CDTF">2025-04-23T00:53:00Z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16419</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רון כהן</vt:lpwstr>
  </property>
  <property fmtid="{D5CDD505-2E9C-101B-9397-08002B2CF9AE}" pid="10" name="LAWYER">
    <vt:lpwstr>טל סלגניק;ירון פורר</vt:lpwstr>
  </property>
  <property fmtid="{D5CDD505-2E9C-101B-9397-08002B2CF9AE}" pid="11" name="JUDGE">
    <vt:lpwstr>עדי יעקובוביץ</vt:lpwstr>
  </property>
  <property fmtid="{D5CDD505-2E9C-101B-9397-08002B2CF9AE}" pid="12" name="CITY">
    <vt:lpwstr>ת"א</vt:lpwstr>
  </property>
  <property fmtid="{D5CDD505-2E9C-101B-9397-08002B2CF9AE}" pid="13" name="DATE">
    <vt:lpwstr>20211129</vt:lpwstr>
  </property>
  <property fmtid="{D5CDD505-2E9C-101B-9397-08002B2CF9AE}" pid="14" name="TYPE_N_DATE">
    <vt:lpwstr>38020211129</vt:lpwstr>
  </property>
  <property fmtid="{D5CDD505-2E9C-101B-9397-08002B2CF9AE}" pid="15" name="WORDNUMPAGES">
    <vt:lpwstr>9</vt:lpwstr>
  </property>
  <property fmtid="{D5CDD505-2E9C-101B-9397-08002B2CF9AE}" pid="16" name="TYPE_ABS_DATE">
    <vt:lpwstr>380020211129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13093721;5576587;16938303;20705570;18841309;27899671;26752140;26195854;21964098;20905674:2;17941073</vt:lpwstr>
  </property>
  <property fmtid="{D5CDD505-2E9C-101B-9397-08002B2CF9AE}" pid="36" name="LAWLISTTMP1">
    <vt:lpwstr>4216/006;007.a;007.c;013a;019</vt:lpwstr>
  </property>
  <property fmtid="{D5CDD505-2E9C-101B-9397-08002B2CF9AE}" pid="37" name="LAWLISTTMP2">
    <vt:lpwstr>70301/025;40ja;40jc.b;001b.b</vt:lpwstr>
  </property>
</Properties>
</file>