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45"/>
        <w:gridCol w:w="4111"/>
        <w:gridCol w:w="3665"/>
        <w:gridCol w:w="99"/>
      </w:tblGrid>
      <w:tr w:rsidR="00EB5869" w:rsidRPr="00C43F55" w14:paraId="530BEBB2" w14:textId="77777777" w:rsidTr="00875F6B">
        <w:trPr>
          <w:gridAfter w:val="1"/>
          <w:wAfter w:w="99" w:type="dxa"/>
          <w:trHeight w:hRule="exact" w:val="418"/>
          <w:jc w:val="center"/>
        </w:trPr>
        <w:tc>
          <w:tcPr>
            <w:tcW w:w="8721" w:type="dxa"/>
            <w:gridSpan w:val="3"/>
          </w:tcPr>
          <w:p w14:paraId="5A1AD937" w14:textId="77777777" w:rsidR="00EB5869" w:rsidRPr="00C43F55" w:rsidRDefault="00EB5869" w:rsidP="006C5630">
            <w:pPr>
              <w:pStyle w:val="a3"/>
              <w:jc w:val="center"/>
              <w:rPr>
                <w:rFonts w:ascii="Tahoma" w:hAnsi="Tahoma" w:cs="Tahoma"/>
                <w:color w:val="000080"/>
                <w:rtl/>
              </w:rPr>
            </w:pPr>
            <w:bookmarkStart w:id="0" w:name="LastJudge"/>
            <w:r w:rsidRPr="00C43F55">
              <w:rPr>
                <w:rFonts w:ascii="Tahoma" w:hAnsi="Tahoma" w:cs="Tahoma"/>
                <w:b/>
                <w:bCs/>
                <w:color w:val="000080"/>
                <w:rtl/>
              </w:rPr>
              <w:t>בית משפט השלום בקריית גת</w:t>
            </w:r>
          </w:p>
        </w:tc>
      </w:tr>
      <w:tr w:rsidR="00EB5869" w:rsidRPr="00C43F55" w14:paraId="092C859D" w14:textId="77777777" w:rsidTr="00875F6B">
        <w:trPr>
          <w:gridAfter w:val="1"/>
          <w:wAfter w:w="99" w:type="dxa"/>
          <w:trHeight w:val="337"/>
          <w:jc w:val="center"/>
        </w:trPr>
        <w:tc>
          <w:tcPr>
            <w:tcW w:w="5054" w:type="dxa"/>
            <w:gridSpan w:val="2"/>
          </w:tcPr>
          <w:p w14:paraId="0B5DE7E8" w14:textId="77777777" w:rsidR="00EB5869" w:rsidRPr="00C43F55" w:rsidRDefault="00EB5869" w:rsidP="006C5630">
            <w:pPr>
              <w:rPr>
                <w:rFonts w:cs="FrankRuehl"/>
                <w:sz w:val="28"/>
                <w:szCs w:val="28"/>
                <w:rtl/>
              </w:rPr>
            </w:pPr>
            <w:r w:rsidRPr="00C43F55">
              <w:rPr>
                <w:rFonts w:cs="FrankRuehl"/>
                <w:sz w:val="28"/>
                <w:szCs w:val="28"/>
                <w:rtl/>
              </w:rPr>
              <w:t>ת"פ</w:t>
            </w:r>
            <w:r w:rsidRPr="00C43F55">
              <w:rPr>
                <w:rFonts w:cs="FrankRuehl" w:hint="cs"/>
                <w:sz w:val="28"/>
                <w:szCs w:val="28"/>
                <w:rtl/>
              </w:rPr>
              <w:t xml:space="preserve"> </w:t>
            </w:r>
            <w:r w:rsidRPr="00C43F55">
              <w:rPr>
                <w:rFonts w:cs="FrankRuehl"/>
                <w:sz w:val="28"/>
                <w:szCs w:val="28"/>
                <w:rtl/>
              </w:rPr>
              <w:t>21561-02-21</w:t>
            </w:r>
            <w:r w:rsidRPr="00C43F55">
              <w:rPr>
                <w:rFonts w:cs="FrankRuehl" w:hint="cs"/>
                <w:sz w:val="28"/>
                <w:szCs w:val="28"/>
                <w:rtl/>
              </w:rPr>
              <w:t xml:space="preserve"> </w:t>
            </w:r>
            <w:r w:rsidRPr="00C43F55">
              <w:rPr>
                <w:rFonts w:cs="FrankRuehl"/>
                <w:sz w:val="28"/>
                <w:szCs w:val="28"/>
                <w:rtl/>
              </w:rPr>
              <w:t>מדינת ישראל נ' יהודה</w:t>
            </w:r>
          </w:p>
          <w:p w14:paraId="2C965366" w14:textId="77777777" w:rsidR="00EB5869" w:rsidRPr="00C43F55" w:rsidRDefault="00EB5869" w:rsidP="006C5630">
            <w:pPr>
              <w:pStyle w:val="a3"/>
              <w:rPr>
                <w:rFonts w:cs="FrankRuehl"/>
                <w:sz w:val="28"/>
                <w:szCs w:val="28"/>
                <w:rtl/>
              </w:rPr>
            </w:pPr>
          </w:p>
        </w:tc>
        <w:tc>
          <w:tcPr>
            <w:tcW w:w="3667" w:type="dxa"/>
          </w:tcPr>
          <w:p w14:paraId="1E0A38AA" w14:textId="77777777" w:rsidR="00EB5869" w:rsidRPr="00C43F55" w:rsidRDefault="00EB5869" w:rsidP="006C5630">
            <w:pPr>
              <w:pStyle w:val="a3"/>
              <w:jc w:val="right"/>
              <w:rPr>
                <w:rFonts w:cs="FrankRuehl"/>
                <w:sz w:val="28"/>
                <w:szCs w:val="28"/>
                <w:rtl/>
              </w:rPr>
            </w:pPr>
          </w:p>
        </w:tc>
      </w:tr>
      <w:tr w:rsidR="00EB5869" w:rsidRPr="00C43F55" w14:paraId="4232AC15" w14:textId="77777777" w:rsidTr="00875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45" w:type="dxa"/>
            <w:tcBorders>
              <w:top w:val="nil"/>
              <w:left w:val="nil"/>
              <w:bottom w:val="nil"/>
              <w:right w:val="nil"/>
            </w:tcBorders>
            <w:shd w:val="clear" w:color="auto" w:fill="auto"/>
          </w:tcPr>
          <w:p w14:paraId="0C0E7FD3" w14:textId="77777777" w:rsidR="00EB5869" w:rsidRPr="00C43F55" w:rsidRDefault="00EB5869" w:rsidP="00EB5869">
            <w:pPr>
              <w:jc w:val="both"/>
              <w:rPr>
                <w:rFonts w:ascii="Arial" w:hAnsi="Arial" w:cs="FrankRuehl"/>
                <w:sz w:val="28"/>
                <w:szCs w:val="28"/>
              </w:rPr>
            </w:pPr>
            <w:r w:rsidRPr="00C43F55">
              <w:rPr>
                <w:rFonts w:hint="cs"/>
                <w:rtl/>
              </w:rPr>
              <w:t xml:space="preserve"> </w:t>
            </w:r>
            <w:r w:rsidRPr="00C43F55">
              <w:rPr>
                <w:rFonts w:ascii="Arial" w:hAnsi="Arial" w:cs="FrankRuehl" w:hint="cs"/>
                <w:sz w:val="28"/>
                <w:szCs w:val="28"/>
                <w:rtl/>
              </w:rPr>
              <w:t>ב</w:t>
            </w:r>
            <w:r w:rsidRPr="00C43F55">
              <w:rPr>
                <w:rFonts w:ascii="Arial" w:hAnsi="Arial" w:cs="FrankRuehl"/>
                <w:sz w:val="28"/>
                <w:szCs w:val="28"/>
                <w:rtl/>
              </w:rPr>
              <w:t xml:space="preserve">פני </w:t>
            </w:r>
          </w:p>
        </w:tc>
        <w:tc>
          <w:tcPr>
            <w:tcW w:w="7875" w:type="dxa"/>
            <w:gridSpan w:val="3"/>
            <w:tcBorders>
              <w:top w:val="nil"/>
              <w:left w:val="nil"/>
              <w:bottom w:val="nil"/>
              <w:right w:val="nil"/>
            </w:tcBorders>
            <w:shd w:val="clear" w:color="auto" w:fill="auto"/>
          </w:tcPr>
          <w:p w14:paraId="234A8670" w14:textId="77777777" w:rsidR="00EB5869" w:rsidRPr="00C43F55" w:rsidRDefault="00EB5869" w:rsidP="006C5630">
            <w:pPr>
              <w:rPr>
                <w:rFonts w:ascii="Arial" w:hAnsi="Arial"/>
                <w:b/>
                <w:bCs/>
                <w:rtl/>
              </w:rPr>
            </w:pPr>
            <w:r w:rsidRPr="00C43F55">
              <w:rPr>
                <w:rFonts w:ascii="Arial" w:hAnsi="Arial" w:hint="cs"/>
                <w:b/>
                <w:bCs/>
                <w:rtl/>
              </w:rPr>
              <w:t>כבוד ה</w:t>
            </w:r>
            <w:r w:rsidRPr="00C43F55">
              <w:rPr>
                <w:rFonts w:ascii="Arial" w:hAnsi="Arial"/>
                <w:b/>
                <w:bCs/>
                <w:rtl/>
              </w:rPr>
              <w:t>שופטת</w:t>
            </w:r>
            <w:r w:rsidRPr="00C43F55">
              <w:rPr>
                <w:rFonts w:ascii="Arial" w:hAnsi="Arial" w:hint="cs"/>
                <w:b/>
                <w:bCs/>
                <w:rtl/>
              </w:rPr>
              <w:t xml:space="preserve">  </w:t>
            </w:r>
            <w:r w:rsidRPr="00C43F55">
              <w:rPr>
                <w:rFonts w:ascii="Arial" w:hAnsi="Arial"/>
                <w:b/>
                <w:bCs/>
                <w:rtl/>
              </w:rPr>
              <w:t>מיטל חלפון-נזריאן</w:t>
            </w:r>
          </w:p>
          <w:p w14:paraId="7D1446C8" w14:textId="77777777" w:rsidR="00EB5869" w:rsidRPr="00C43F55" w:rsidRDefault="00EB5869" w:rsidP="006C5630">
            <w:pPr>
              <w:rPr>
                <w:rtl/>
              </w:rPr>
            </w:pPr>
          </w:p>
          <w:p w14:paraId="0DEC6D88" w14:textId="77777777" w:rsidR="00EB5869" w:rsidRPr="00C43F55" w:rsidRDefault="00EB5869" w:rsidP="00EB5869">
            <w:pPr>
              <w:jc w:val="both"/>
              <w:rPr>
                <w:rFonts w:ascii="Arial" w:hAnsi="Arial" w:cs="FrankRuehl"/>
                <w:sz w:val="28"/>
                <w:szCs w:val="28"/>
              </w:rPr>
            </w:pPr>
          </w:p>
        </w:tc>
      </w:tr>
      <w:tr w:rsidR="00EB5869" w:rsidRPr="00C43F55" w14:paraId="4DD60159" w14:textId="77777777" w:rsidTr="00875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2D008BE1" w14:textId="77777777" w:rsidR="00EB5869" w:rsidRPr="00C43F55" w:rsidRDefault="00EB5869" w:rsidP="00EB5869">
            <w:pPr>
              <w:jc w:val="both"/>
              <w:rPr>
                <w:rFonts w:ascii="David" w:hAnsi="David"/>
                <w:b/>
                <w:bCs/>
                <w:sz w:val="28"/>
                <w:szCs w:val="28"/>
              </w:rPr>
            </w:pPr>
            <w:bookmarkStart w:id="1" w:name="FirstAppellant"/>
            <w:r w:rsidRPr="00C43F55">
              <w:rPr>
                <w:rFonts w:ascii="David" w:hAnsi="David"/>
                <w:b/>
                <w:bCs/>
                <w:sz w:val="28"/>
                <w:szCs w:val="28"/>
                <w:rtl/>
              </w:rPr>
              <w:t>בעניין:</w:t>
            </w:r>
          </w:p>
        </w:tc>
        <w:tc>
          <w:tcPr>
            <w:tcW w:w="4114" w:type="dxa"/>
            <w:tcBorders>
              <w:top w:val="nil"/>
              <w:left w:val="nil"/>
              <w:bottom w:val="nil"/>
              <w:right w:val="nil"/>
            </w:tcBorders>
            <w:shd w:val="clear" w:color="auto" w:fill="auto"/>
          </w:tcPr>
          <w:p w14:paraId="0902FFF2" w14:textId="77777777" w:rsidR="00EB5869" w:rsidRPr="00C43F55" w:rsidRDefault="00EB5869" w:rsidP="006C5630">
            <w:pPr>
              <w:rPr>
                <w:rFonts w:ascii="David" w:hAnsi="David"/>
                <w:b/>
                <w:bCs/>
              </w:rPr>
            </w:pPr>
            <w:r w:rsidRPr="00C43F55">
              <w:rPr>
                <w:rFonts w:ascii="David" w:hAnsi="David"/>
                <w:b/>
                <w:bCs/>
                <w:sz w:val="28"/>
                <w:szCs w:val="28"/>
                <w:rtl/>
              </w:rPr>
              <w:t>מדינת ישראל</w:t>
            </w:r>
          </w:p>
        </w:tc>
        <w:tc>
          <w:tcPr>
            <w:tcW w:w="3761" w:type="dxa"/>
            <w:gridSpan w:val="2"/>
            <w:tcBorders>
              <w:top w:val="nil"/>
              <w:left w:val="nil"/>
              <w:bottom w:val="nil"/>
              <w:right w:val="nil"/>
            </w:tcBorders>
            <w:shd w:val="clear" w:color="auto" w:fill="auto"/>
          </w:tcPr>
          <w:p w14:paraId="5321AC26" w14:textId="77777777" w:rsidR="00EB5869" w:rsidRPr="00C43F55" w:rsidRDefault="00EB5869" w:rsidP="00EB5869">
            <w:pPr>
              <w:jc w:val="both"/>
              <w:rPr>
                <w:rFonts w:ascii="David" w:hAnsi="David"/>
                <w:b/>
                <w:bCs/>
                <w:sz w:val="28"/>
                <w:szCs w:val="28"/>
              </w:rPr>
            </w:pPr>
          </w:p>
        </w:tc>
      </w:tr>
      <w:tr w:rsidR="00EB5869" w:rsidRPr="00C43F55" w14:paraId="5B7D4468" w14:textId="77777777" w:rsidTr="00875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25FEA17B" w14:textId="77777777" w:rsidR="00EB5869" w:rsidRPr="00C43F55" w:rsidRDefault="00EB5869" w:rsidP="00EB5869">
            <w:pPr>
              <w:jc w:val="both"/>
              <w:rPr>
                <w:rFonts w:ascii="David" w:hAnsi="David"/>
                <w:b/>
                <w:bCs/>
                <w:sz w:val="28"/>
                <w:szCs w:val="28"/>
                <w:rtl/>
              </w:rPr>
            </w:pPr>
            <w:bookmarkStart w:id="2" w:name="FirstLawyer"/>
            <w:bookmarkEnd w:id="1"/>
          </w:p>
        </w:tc>
        <w:tc>
          <w:tcPr>
            <w:tcW w:w="4114" w:type="dxa"/>
            <w:tcBorders>
              <w:top w:val="nil"/>
              <w:left w:val="nil"/>
              <w:bottom w:val="nil"/>
              <w:right w:val="nil"/>
            </w:tcBorders>
            <w:shd w:val="clear" w:color="auto" w:fill="auto"/>
          </w:tcPr>
          <w:p w14:paraId="34859F9C" w14:textId="77777777" w:rsidR="00EB5869" w:rsidRPr="00C43F55" w:rsidRDefault="00EB5869" w:rsidP="00EB5869">
            <w:pPr>
              <w:jc w:val="both"/>
              <w:rPr>
                <w:rFonts w:ascii="David" w:hAnsi="David"/>
                <w:b/>
                <w:bCs/>
                <w:rtl/>
              </w:rPr>
            </w:pPr>
            <w:r w:rsidRPr="00C43F55">
              <w:rPr>
                <w:rFonts w:ascii="David" w:hAnsi="David" w:hint="cs"/>
                <w:b/>
                <w:bCs/>
                <w:rtl/>
              </w:rPr>
              <w:t>ע"י ב"כ עו"ד לימור כהן גולן</w:t>
            </w:r>
          </w:p>
        </w:tc>
        <w:tc>
          <w:tcPr>
            <w:tcW w:w="3761" w:type="dxa"/>
            <w:gridSpan w:val="2"/>
            <w:tcBorders>
              <w:top w:val="nil"/>
              <w:left w:val="nil"/>
              <w:bottom w:val="nil"/>
              <w:right w:val="nil"/>
            </w:tcBorders>
            <w:shd w:val="clear" w:color="auto" w:fill="auto"/>
          </w:tcPr>
          <w:p w14:paraId="0548F8CB" w14:textId="77777777" w:rsidR="00EB5869" w:rsidRPr="00C43F55" w:rsidRDefault="00EB5869" w:rsidP="00EB5869">
            <w:pPr>
              <w:jc w:val="right"/>
              <w:rPr>
                <w:rFonts w:ascii="David" w:hAnsi="David"/>
                <w:b/>
                <w:bCs/>
                <w:sz w:val="28"/>
                <w:szCs w:val="28"/>
                <w:rtl/>
              </w:rPr>
            </w:pPr>
            <w:r w:rsidRPr="00C43F55">
              <w:rPr>
                <w:rFonts w:ascii="David" w:hAnsi="David"/>
                <w:b/>
                <w:bCs/>
                <w:sz w:val="28"/>
                <w:szCs w:val="28"/>
                <w:rtl/>
              </w:rPr>
              <w:t>המאשימה</w:t>
            </w:r>
          </w:p>
        </w:tc>
      </w:tr>
      <w:bookmarkEnd w:id="2"/>
      <w:tr w:rsidR="00EB5869" w:rsidRPr="00C43F55" w14:paraId="3B285A33" w14:textId="77777777" w:rsidTr="00875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6FB6409D" w14:textId="77777777" w:rsidR="00EB5869" w:rsidRPr="00C43F55" w:rsidRDefault="00EB5869" w:rsidP="00EB5869">
            <w:pPr>
              <w:jc w:val="both"/>
              <w:rPr>
                <w:rFonts w:ascii="David" w:hAnsi="David"/>
                <w:b/>
                <w:bCs/>
                <w:sz w:val="28"/>
                <w:szCs w:val="28"/>
                <w:rtl/>
              </w:rPr>
            </w:pPr>
          </w:p>
        </w:tc>
        <w:tc>
          <w:tcPr>
            <w:tcW w:w="7875" w:type="dxa"/>
            <w:gridSpan w:val="3"/>
            <w:tcBorders>
              <w:top w:val="nil"/>
              <w:left w:val="nil"/>
              <w:bottom w:val="nil"/>
              <w:right w:val="nil"/>
            </w:tcBorders>
            <w:shd w:val="clear" w:color="auto" w:fill="auto"/>
          </w:tcPr>
          <w:p w14:paraId="3DD9CA63" w14:textId="77777777" w:rsidR="00EB5869" w:rsidRPr="00C43F55" w:rsidRDefault="00EB5869" w:rsidP="00EB5869">
            <w:pPr>
              <w:jc w:val="center"/>
              <w:rPr>
                <w:rFonts w:ascii="David" w:hAnsi="David"/>
                <w:b/>
                <w:bCs/>
                <w:sz w:val="28"/>
                <w:szCs w:val="28"/>
                <w:rtl/>
              </w:rPr>
            </w:pPr>
          </w:p>
          <w:p w14:paraId="6735FB79" w14:textId="77777777" w:rsidR="00EB5869" w:rsidRPr="00C43F55" w:rsidRDefault="00EB5869" w:rsidP="00EB5869">
            <w:pPr>
              <w:jc w:val="center"/>
              <w:rPr>
                <w:rFonts w:ascii="David" w:hAnsi="David"/>
                <w:b/>
                <w:bCs/>
                <w:sz w:val="28"/>
                <w:szCs w:val="28"/>
                <w:rtl/>
              </w:rPr>
            </w:pPr>
            <w:r w:rsidRPr="00C43F55">
              <w:rPr>
                <w:rFonts w:ascii="David" w:hAnsi="David"/>
                <w:b/>
                <w:bCs/>
                <w:sz w:val="28"/>
                <w:szCs w:val="28"/>
                <w:rtl/>
              </w:rPr>
              <w:t>נגד</w:t>
            </w:r>
          </w:p>
          <w:p w14:paraId="1CFD440D" w14:textId="77777777" w:rsidR="00EB5869" w:rsidRPr="00C43F55" w:rsidRDefault="00EB5869" w:rsidP="00EB5869">
            <w:pPr>
              <w:jc w:val="both"/>
              <w:rPr>
                <w:rFonts w:ascii="David" w:hAnsi="David"/>
                <w:b/>
                <w:bCs/>
                <w:sz w:val="28"/>
                <w:szCs w:val="28"/>
              </w:rPr>
            </w:pPr>
          </w:p>
        </w:tc>
      </w:tr>
      <w:tr w:rsidR="00EB5869" w:rsidRPr="00C43F55" w14:paraId="50707755" w14:textId="77777777" w:rsidTr="00875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16192834" w14:textId="77777777" w:rsidR="00EB5869" w:rsidRPr="00C43F55" w:rsidRDefault="00EB5869" w:rsidP="006C5630">
            <w:pPr>
              <w:rPr>
                <w:rFonts w:ascii="David" w:hAnsi="David"/>
                <w:b/>
                <w:bCs/>
                <w:sz w:val="28"/>
                <w:szCs w:val="28"/>
                <w:rtl/>
              </w:rPr>
            </w:pPr>
          </w:p>
        </w:tc>
        <w:tc>
          <w:tcPr>
            <w:tcW w:w="4114" w:type="dxa"/>
            <w:tcBorders>
              <w:top w:val="nil"/>
              <w:left w:val="nil"/>
              <w:bottom w:val="nil"/>
              <w:right w:val="nil"/>
            </w:tcBorders>
            <w:shd w:val="clear" w:color="auto" w:fill="auto"/>
          </w:tcPr>
          <w:p w14:paraId="5E2805EA" w14:textId="77777777" w:rsidR="00EB5869" w:rsidRPr="00C43F55" w:rsidRDefault="00EB5869" w:rsidP="006C5630">
            <w:pPr>
              <w:rPr>
                <w:rFonts w:ascii="David" w:hAnsi="David"/>
                <w:b/>
                <w:bCs/>
                <w:rtl/>
              </w:rPr>
            </w:pPr>
            <w:r w:rsidRPr="00C43F55">
              <w:rPr>
                <w:rFonts w:ascii="David" w:hAnsi="David"/>
                <w:b/>
                <w:bCs/>
                <w:sz w:val="28"/>
                <w:szCs w:val="28"/>
                <w:rtl/>
              </w:rPr>
              <w:t>חיים יהודה</w:t>
            </w:r>
          </w:p>
        </w:tc>
        <w:tc>
          <w:tcPr>
            <w:tcW w:w="3761" w:type="dxa"/>
            <w:gridSpan w:val="2"/>
            <w:tcBorders>
              <w:top w:val="nil"/>
              <w:left w:val="nil"/>
              <w:bottom w:val="nil"/>
              <w:right w:val="nil"/>
            </w:tcBorders>
            <w:shd w:val="clear" w:color="auto" w:fill="auto"/>
          </w:tcPr>
          <w:p w14:paraId="4077D699" w14:textId="77777777" w:rsidR="00EB5869" w:rsidRPr="00C43F55" w:rsidRDefault="00EB5869" w:rsidP="00EB5869">
            <w:pPr>
              <w:jc w:val="right"/>
              <w:rPr>
                <w:rFonts w:ascii="David" w:hAnsi="David"/>
                <w:b/>
                <w:bCs/>
                <w:sz w:val="28"/>
                <w:szCs w:val="28"/>
              </w:rPr>
            </w:pPr>
          </w:p>
        </w:tc>
      </w:tr>
      <w:tr w:rsidR="00EB5869" w:rsidRPr="00C43F55" w14:paraId="37418680" w14:textId="77777777" w:rsidTr="00875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059EEA39" w14:textId="77777777" w:rsidR="00EB5869" w:rsidRPr="00C43F55" w:rsidRDefault="00EB5869" w:rsidP="00EB5869">
            <w:pPr>
              <w:jc w:val="both"/>
              <w:rPr>
                <w:rFonts w:ascii="David" w:hAnsi="David"/>
                <w:b/>
                <w:bCs/>
                <w:sz w:val="28"/>
                <w:szCs w:val="28"/>
                <w:rtl/>
              </w:rPr>
            </w:pPr>
          </w:p>
        </w:tc>
        <w:tc>
          <w:tcPr>
            <w:tcW w:w="4114" w:type="dxa"/>
            <w:tcBorders>
              <w:top w:val="nil"/>
              <w:left w:val="nil"/>
              <w:bottom w:val="nil"/>
              <w:right w:val="nil"/>
            </w:tcBorders>
            <w:shd w:val="clear" w:color="auto" w:fill="auto"/>
          </w:tcPr>
          <w:p w14:paraId="3C8C473A" w14:textId="77777777" w:rsidR="00EB5869" w:rsidRPr="00C43F55" w:rsidRDefault="00EB5869" w:rsidP="00EB5869">
            <w:pPr>
              <w:jc w:val="both"/>
              <w:rPr>
                <w:rFonts w:ascii="David" w:hAnsi="David"/>
                <w:b/>
                <w:bCs/>
                <w:rtl/>
              </w:rPr>
            </w:pPr>
            <w:r w:rsidRPr="00C43F55">
              <w:rPr>
                <w:rFonts w:ascii="David" w:hAnsi="David" w:hint="cs"/>
                <w:b/>
                <w:bCs/>
                <w:rtl/>
              </w:rPr>
              <w:t>ע"י עו"ד נעמה טייב</w:t>
            </w:r>
          </w:p>
        </w:tc>
        <w:tc>
          <w:tcPr>
            <w:tcW w:w="3761" w:type="dxa"/>
            <w:gridSpan w:val="2"/>
            <w:tcBorders>
              <w:top w:val="nil"/>
              <w:left w:val="nil"/>
              <w:bottom w:val="nil"/>
              <w:right w:val="nil"/>
            </w:tcBorders>
            <w:shd w:val="clear" w:color="auto" w:fill="auto"/>
          </w:tcPr>
          <w:p w14:paraId="6C955096" w14:textId="77777777" w:rsidR="00EB5869" w:rsidRPr="00C43F55" w:rsidRDefault="00EB5869" w:rsidP="00EB5869">
            <w:pPr>
              <w:jc w:val="right"/>
              <w:rPr>
                <w:rFonts w:ascii="David" w:hAnsi="David"/>
                <w:b/>
                <w:bCs/>
                <w:sz w:val="28"/>
                <w:szCs w:val="28"/>
              </w:rPr>
            </w:pPr>
            <w:r w:rsidRPr="00C43F55">
              <w:rPr>
                <w:rFonts w:ascii="David" w:hAnsi="David"/>
                <w:b/>
                <w:bCs/>
                <w:sz w:val="28"/>
                <w:szCs w:val="28"/>
                <w:rtl/>
              </w:rPr>
              <w:t>הנאשם</w:t>
            </w:r>
          </w:p>
        </w:tc>
      </w:tr>
    </w:tbl>
    <w:p w14:paraId="67D1A7A7" w14:textId="77777777" w:rsidR="00875F6B" w:rsidRDefault="00875F6B" w:rsidP="00C43F55">
      <w:pPr>
        <w:rPr>
          <w:rFonts w:ascii="David" w:hAnsi="David"/>
          <w:rtl/>
        </w:rPr>
      </w:pPr>
    </w:p>
    <w:p w14:paraId="7119929F" w14:textId="77777777" w:rsidR="00875F6B" w:rsidRPr="00875F6B" w:rsidRDefault="00875F6B" w:rsidP="00875F6B">
      <w:pPr>
        <w:spacing w:after="120" w:line="240" w:lineRule="exact"/>
        <w:ind w:left="283" w:hanging="283"/>
        <w:jc w:val="both"/>
        <w:rPr>
          <w:rFonts w:ascii="FrankRuehl" w:hAnsi="FrankRuehl" w:cs="FrankRuehl"/>
          <w:rtl/>
        </w:rPr>
      </w:pPr>
    </w:p>
    <w:p w14:paraId="7D1ADF9C" w14:textId="77777777" w:rsidR="00BB5999" w:rsidRPr="00BB5999" w:rsidRDefault="00BB5999" w:rsidP="00BB5999">
      <w:pPr>
        <w:spacing w:before="120" w:after="120" w:line="240" w:lineRule="exact"/>
        <w:ind w:left="283" w:hanging="283"/>
        <w:jc w:val="both"/>
        <w:rPr>
          <w:rFonts w:ascii="FrankRuehl" w:hAnsi="FrankRuehl" w:cs="FrankRuehl"/>
          <w:rtl/>
        </w:rPr>
      </w:pPr>
    </w:p>
    <w:p w14:paraId="0B015BA3" w14:textId="77777777" w:rsidR="008429FD" w:rsidRDefault="008429FD" w:rsidP="008429FD">
      <w:pPr>
        <w:rPr>
          <w:rFonts w:ascii="David" w:hAnsi="David"/>
          <w:rtl/>
        </w:rPr>
      </w:pPr>
      <w:bookmarkStart w:id="3" w:name="LawTable"/>
      <w:bookmarkEnd w:id="3"/>
    </w:p>
    <w:p w14:paraId="4E252859" w14:textId="77777777" w:rsidR="008429FD" w:rsidRPr="008429FD" w:rsidRDefault="008429FD" w:rsidP="008429FD">
      <w:pPr>
        <w:spacing w:before="120" w:after="120" w:line="240" w:lineRule="exact"/>
        <w:ind w:left="283" w:hanging="283"/>
        <w:jc w:val="both"/>
        <w:rPr>
          <w:rFonts w:ascii="FrankRuehl" w:hAnsi="FrankRuehl" w:cs="FrankRuehl"/>
          <w:rtl/>
        </w:rPr>
      </w:pPr>
    </w:p>
    <w:p w14:paraId="0289B7A7" w14:textId="77777777" w:rsidR="008429FD" w:rsidRPr="008429FD" w:rsidRDefault="008429FD" w:rsidP="008429FD">
      <w:pPr>
        <w:spacing w:before="120" w:after="120" w:line="240" w:lineRule="exact"/>
        <w:ind w:left="283" w:hanging="283"/>
        <w:jc w:val="both"/>
        <w:rPr>
          <w:rFonts w:ascii="FrankRuehl" w:hAnsi="FrankRuehl" w:cs="FrankRuehl"/>
          <w:rtl/>
        </w:rPr>
      </w:pPr>
    </w:p>
    <w:p w14:paraId="7857228F" w14:textId="77777777" w:rsidR="008429FD" w:rsidRPr="008429FD" w:rsidRDefault="008429FD" w:rsidP="008429FD">
      <w:pPr>
        <w:spacing w:before="120" w:after="120" w:line="240" w:lineRule="exact"/>
        <w:ind w:left="283" w:hanging="283"/>
        <w:jc w:val="both"/>
        <w:rPr>
          <w:rFonts w:ascii="FrankRuehl" w:hAnsi="FrankRuehl" w:cs="FrankRuehl"/>
          <w:rtl/>
        </w:rPr>
      </w:pPr>
      <w:r w:rsidRPr="008429FD">
        <w:rPr>
          <w:rFonts w:ascii="FrankRuehl" w:hAnsi="FrankRuehl" w:cs="FrankRuehl"/>
          <w:rtl/>
        </w:rPr>
        <w:t xml:space="preserve">חקיקה שאוזכרה: </w:t>
      </w:r>
    </w:p>
    <w:p w14:paraId="41D5BE30" w14:textId="77777777" w:rsidR="008429FD" w:rsidRPr="008429FD" w:rsidRDefault="008429FD" w:rsidP="008429FD">
      <w:pPr>
        <w:spacing w:before="120" w:after="120" w:line="240" w:lineRule="exact"/>
        <w:ind w:left="283" w:hanging="283"/>
        <w:jc w:val="both"/>
        <w:rPr>
          <w:rFonts w:ascii="FrankRuehl" w:hAnsi="FrankRuehl" w:cs="FrankRuehl"/>
          <w:rtl/>
        </w:rPr>
      </w:pPr>
      <w:hyperlink r:id="rId7" w:history="1">
        <w:r w:rsidRPr="008429FD">
          <w:rPr>
            <w:rFonts w:ascii="FrankRuehl" w:hAnsi="FrankRuehl" w:cs="FrankRuehl"/>
            <w:color w:val="0000FF"/>
            <w:rtl/>
          </w:rPr>
          <w:t>פקודת הסמים המסוכנים [נוסח חדש], תשל"ג-1973</w:t>
        </w:r>
      </w:hyperlink>
      <w:r w:rsidRPr="008429FD">
        <w:rPr>
          <w:rFonts w:ascii="FrankRuehl" w:hAnsi="FrankRuehl" w:cs="FrankRuehl"/>
          <w:rtl/>
        </w:rPr>
        <w:t xml:space="preserve">: סע'  </w:t>
      </w:r>
      <w:hyperlink r:id="rId8" w:history="1">
        <w:r w:rsidRPr="008429FD">
          <w:rPr>
            <w:rFonts w:ascii="FrankRuehl" w:hAnsi="FrankRuehl" w:cs="FrankRuehl"/>
            <w:color w:val="0000FF"/>
            <w:rtl/>
          </w:rPr>
          <w:t>7(א)</w:t>
        </w:r>
      </w:hyperlink>
      <w:r w:rsidRPr="008429FD">
        <w:rPr>
          <w:rFonts w:ascii="FrankRuehl" w:hAnsi="FrankRuehl" w:cs="FrankRuehl"/>
          <w:rtl/>
        </w:rPr>
        <w:t xml:space="preserve">, </w:t>
      </w:r>
      <w:hyperlink r:id="rId9" w:history="1">
        <w:r w:rsidRPr="008429FD">
          <w:rPr>
            <w:rFonts w:ascii="FrankRuehl" w:hAnsi="FrankRuehl" w:cs="FrankRuehl"/>
            <w:color w:val="0000FF"/>
            <w:rtl/>
          </w:rPr>
          <w:t>7(ג)</w:t>
        </w:r>
      </w:hyperlink>
      <w:r w:rsidRPr="008429FD">
        <w:rPr>
          <w:rFonts w:ascii="FrankRuehl" w:hAnsi="FrankRuehl" w:cs="FrankRuehl"/>
          <w:rtl/>
        </w:rPr>
        <w:t xml:space="preserve">, </w:t>
      </w:r>
      <w:hyperlink r:id="rId10" w:history="1">
        <w:r w:rsidRPr="008429FD">
          <w:rPr>
            <w:rFonts w:ascii="FrankRuehl" w:hAnsi="FrankRuehl" w:cs="FrankRuehl"/>
            <w:color w:val="0000FF"/>
            <w:rtl/>
          </w:rPr>
          <w:t>37 (1)</w:t>
        </w:r>
      </w:hyperlink>
    </w:p>
    <w:p w14:paraId="3FEE1A1E" w14:textId="77777777" w:rsidR="008429FD" w:rsidRPr="008429FD" w:rsidRDefault="008429FD" w:rsidP="008429FD">
      <w:pPr>
        <w:spacing w:before="120" w:after="120" w:line="240" w:lineRule="exact"/>
        <w:ind w:left="283" w:hanging="283"/>
        <w:jc w:val="both"/>
        <w:rPr>
          <w:rFonts w:ascii="FrankRuehl" w:hAnsi="FrankRuehl" w:cs="FrankRuehl"/>
          <w:rtl/>
        </w:rPr>
      </w:pPr>
      <w:hyperlink r:id="rId11" w:history="1">
        <w:r w:rsidRPr="008429FD">
          <w:rPr>
            <w:rFonts w:ascii="FrankRuehl" w:hAnsi="FrankRuehl" w:cs="FrankRuehl"/>
            <w:color w:val="0000FF"/>
            <w:rtl/>
          </w:rPr>
          <w:t>חוק העונשין, תשל"ז-1977</w:t>
        </w:r>
      </w:hyperlink>
      <w:r w:rsidRPr="008429FD">
        <w:rPr>
          <w:rFonts w:ascii="FrankRuehl" w:hAnsi="FrankRuehl" w:cs="FrankRuehl"/>
          <w:rtl/>
        </w:rPr>
        <w:t xml:space="preserve">: סע'  </w:t>
      </w:r>
      <w:hyperlink r:id="rId12" w:history="1">
        <w:r w:rsidRPr="008429FD">
          <w:rPr>
            <w:rFonts w:ascii="FrankRuehl" w:hAnsi="FrankRuehl" w:cs="FrankRuehl"/>
            <w:color w:val="0000FF"/>
            <w:rtl/>
          </w:rPr>
          <w:t>40ט</w:t>
        </w:r>
      </w:hyperlink>
      <w:r w:rsidRPr="008429FD">
        <w:rPr>
          <w:rFonts w:ascii="FrankRuehl" w:hAnsi="FrankRuehl" w:cs="FrankRuehl"/>
          <w:rtl/>
        </w:rPr>
        <w:t xml:space="preserve">, </w:t>
      </w:r>
      <w:hyperlink r:id="rId13" w:history="1">
        <w:r w:rsidRPr="008429FD">
          <w:rPr>
            <w:rFonts w:ascii="FrankRuehl" w:hAnsi="FrankRuehl" w:cs="FrankRuehl"/>
            <w:color w:val="0000FF"/>
            <w:rtl/>
          </w:rPr>
          <w:t>40 יג)</w:t>
        </w:r>
      </w:hyperlink>
      <w:r w:rsidRPr="008429FD">
        <w:rPr>
          <w:rFonts w:ascii="FrankRuehl" w:hAnsi="FrankRuehl" w:cs="FrankRuehl"/>
          <w:rtl/>
        </w:rPr>
        <w:t xml:space="preserve">, </w:t>
      </w:r>
      <w:hyperlink r:id="rId14" w:history="1">
        <w:r w:rsidRPr="008429FD">
          <w:rPr>
            <w:rFonts w:ascii="FrankRuehl" w:hAnsi="FrankRuehl" w:cs="FrankRuehl"/>
            <w:color w:val="0000FF"/>
            <w:rtl/>
          </w:rPr>
          <w:t>40 יד (3)</w:t>
        </w:r>
      </w:hyperlink>
    </w:p>
    <w:p w14:paraId="2C6CD335" w14:textId="77777777" w:rsidR="008429FD" w:rsidRPr="008429FD" w:rsidRDefault="008429FD" w:rsidP="008429FD">
      <w:pPr>
        <w:rPr>
          <w:rFonts w:ascii="David" w:hAnsi="David"/>
          <w:rtl/>
        </w:rPr>
      </w:pPr>
      <w:bookmarkStart w:id="4" w:name="LawTable_End"/>
      <w:bookmarkEnd w:id="4"/>
    </w:p>
    <w:p w14:paraId="65EF57B7" w14:textId="77777777" w:rsidR="00EB5869" w:rsidRPr="00BB5999" w:rsidRDefault="00EB5869" w:rsidP="00BB5999">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5869" w14:paraId="05D6EEB3" w14:textId="77777777" w:rsidTr="00EB5869">
        <w:trPr>
          <w:trHeight w:val="355"/>
          <w:jc w:val="center"/>
        </w:trPr>
        <w:tc>
          <w:tcPr>
            <w:tcW w:w="8820" w:type="dxa"/>
            <w:tcBorders>
              <w:top w:val="nil"/>
              <w:left w:val="nil"/>
              <w:bottom w:val="nil"/>
              <w:right w:val="nil"/>
            </w:tcBorders>
            <w:shd w:val="clear" w:color="auto" w:fill="auto"/>
          </w:tcPr>
          <w:p w14:paraId="2A0501EA" w14:textId="77777777" w:rsidR="00C43F55" w:rsidRPr="00C43F55" w:rsidRDefault="00C43F55" w:rsidP="00C43F55">
            <w:pPr>
              <w:jc w:val="center"/>
              <w:rPr>
                <w:rFonts w:ascii="David" w:hAnsi="David"/>
                <w:b/>
                <w:bCs/>
                <w:sz w:val="32"/>
                <w:szCs w:val="32"/>
                <w:u w:val="single"/>
                <w:rtl/>
              </w:rPr>
            </w:pPr>
            <w:bookmarkStart w:id="5" w:name="PsakDin" w:colFirst="0" w:colLast="0"/>
            <w:bookmarkEnd w:id="0"/>
            <w:r w:rsidRPr="00C43F55">
              <w:rPr>
                <w:rFonts w:ascii="David" w:hAnsi="David"/>
                <w:b/>
                <w:bCs/>
                <w:sz w:val="32"/>
                <w:szCs w:val="32"/>
                <w:u w:val="single"/>
                <w:rtl/>
              </w:rPr>
              <w:t>גזר דין</w:t>
            </w:r>
          </w:p>
          <w:p w14:paraId="1D274035" w14:textId="77777777" w:rsidR="00EB5869" w:rsidRPr="00C43F55" w:rsidRDefault="00EB5869" w:rsidP="00C43F55">
            <w:pPr>
              <w:jc w:val="center"/>
              <w:rPr>
                <w:rFonts w:ascii="David" w:hAnsi="David"/>
                <w:bCs/>
                <w:sz w:val="32"/>
                <w:szCs w:val="32"/>
                <w:u w:val="single"/>
                <w:rtl/>
              </w:rPr>
            </w:pPr>
          </w:p>
        </w:tc>
      </w:tr>
      <w:bookmarkEnd w:id="5"/>
    </w:tbl>
    <w:p w14:paraId="218FFA68" w14:textId="77777777" w:rsidR="00EB5869" w:rsidRPr="00B05847" w:rsidRDefault="00EB5869" w:rsidP="00EB5869">
      <w:pPr>
        <w:rPr>
          <w:rFonts w:ascii="Arial" w:hAnsi="Arial"/>
          <w:rtl/>
        </w:rPr>
      </w:pPr>
    </w:p>
    <w:p w14:paraId="2B863628" w14:textId="77777777" w:rsidR="00EB5869" w:rsidRPr="00B05847" w:rsidRDefault="00EB5869" w:rsidP="00EB5869">
      <w:pPr>
        <w:rPr>
          <w:rFonts w:ascii="Arial" w:hAnsi="Arial"/>
          <w:rtl/>
        </w:rPr>
      </w:pPr>
    </w:p>
    <w:p w14:paraId="56D87638" w14:textId="77777777" w:rsidR="00EB5869" w:rsidRDefault="00EB5869" w:rsidP="00EB5869">
      <w:pPr>
        <w:jc w:val="center"/>
        <w:rPr>
          <w:rFonts w:ascii="David" w:hAnsi="David"/>
          <w:b/>
          <w:bCs/>
          <w:u w:val="single"/>
          <w:rtl/>
        </w:rPr>
      </w:pPr>
      <w:bookmarkStart w:id="6" w:name="ABSTRACT_START"/>
      <w:bookmarkEnd w:id="6"/>
    </w:p>
    <w:p w14:paraId="493C2C71" w14:textId="77777777" w:rsidR="00EB5869" w:rsidRPr="009D7A70" w:rsidRDefault="00EB5869" w:rsidP="00EB5869">
      <w:pPr>
        <w:pStyle w:val="aa"/>
        <w:numPr>
          <w:ilvl w:val="0"/>
          <w:numId w:val="1"/>
        </w:numPr>
        <w:spacing w:line="360" w:lineRule="auto"/>
        <w:ind w:left="360"/>
        <w:jc w:val="both"/>
        <w:rPr>
          <w:rFonts w:ascii="David" w:hAnsi="David"/>
          <w:rtl/>
        </w:rPr>
      </w:pPr>
      <w:r>
        <w:rPr>
          <w:rFonts w:ascii="David" w:hAnsi="David"/>
          <w:rtl/>
        </w:rPr>
        <w:t>הנאשם הורשע ב</w:t>
      </w:r>
      <w:r>
        <w:rPr>
          <w:rFonts w:ascii="David" w:hAnsi="David" w:hint="cs"/>
          <w:rtl/>
        </w:rPr>
        <w:t>מסגרת הסדר טיעון, ב</w:t>
      </w:r>
      <w:r>
        <w:rPr>
          <w:rFonts w:ascii="David" w:hAnsi="David"/>
          <w:rtl/>
        </w:rPr>
        <w:t>התאם להודאתו</w:t>
      </w:r>
      <w:r>
        <w:rPr>
          <w:rFonts w:ascii="David" w:hAnsi="David" w:hint="cs"/>
          <w:rtl/>
        </w:rPr>
        <w:t>,</w:t>
      </w:r>
      <w:r>
        <w:rPr>
          <w:rFonts w:ascii="David" w:hAnsi="David"/>
          <w:rtl/>
        </w:rPr>
        <w:t xml:space="preserve"> בכתב אישום מתוקן המייחס לו עבירה של החזק</w:t>
      </w:r>
      <w:r>
        <w:rPr>
          <w:rFonts w:ascii="David" w:hAnsi="David" w:hint="cs"/>
          <w:rtl/>
        </w:rPr>
        <w:t xml:space="preserve">ת </w:t>
      </w:r>
      <w:r>
        <w:rPr>
          <w:rFonts w:ascii="David" w:hAnsi="David"/>
          <w:rtl/>
        </w:rPr>
        <w:t xml:space="preserve">סמים שלא לצריכה עצמית, לפי </w:t>
      </w:r>
      <w:hyperlink r:id="rId15" w:history="1">
        <w:r w:rsidR="00875F6B" w:rsidRPr="00875F6B">
          <w:rPr>
            <w:rStyle w:val="Hyperlink"/>
            <w:rFonts w:ascii="David" w:hAnsi="David"/>
            <w:rtl/>
          </w:rPr>
          <w:t>סעיף 7(א)</w:t>
        </w:r>
      </w:hyperlink>
      <w:r>
        <w:rPr>
          <w:rFonts w:ascii="David" w:hAnsi="David"/>
          <w:rtl/>
        </w:rPr>
        <w:t xml:space="preserve"> +</w:t>
      </w:r>
      <w:hyperlink r:id="rId16" w:history="1">
        <w:r w:rsidR="00875F6B" w:rsidRPr="00875F6B">
          <w:rPr>
            <w:rStyle w:val="Hyperlink"/>
            <w:rFonts w:ascii="David" w:hAnsi="David"/>
            <w:rtl/>
          </w:rPr>
          <w:t>7(ג)</w:t>
        </w:r>
      </w:hyperlink>
      <w:r w:rsidRPr="009D7A70">
        <w:rPr>
          <w:rFonts w:ascii="David" w:hAnsi="David"/>
          <w:rtl/>
        </w:rPr>
        <w:t xml:space="preserve"> רישא ל</w:t>
      </w:r>
      <w:hyperlink r:id="rId17" w:history="1">
        <w:r w:rsidR="00C43F55" w:rsidRPr="00C43F55">
          <w:rPr>
            <w:rFonts w:ascii="David" w:hAnsi="David"/>
            <w:color w:val="0000FF"/>
            <w:u w:val="single"/>
            <w:rtl/>
          </w:rPr>
          <w:t>פקודת הסמים המסוכנים</w:t>
        </w:r>
      </w:hyperlink>
      <w:r w:rsidRPr="009D7A70">
        <w:rPr>
          <w:rFonts w:ascii="David" w:hAnsi="David"/>
          <w:rtl/>
        </w:rPr>
        <w:t xml:space="preserve"> [נוסח חדש], התשל"ג-1973</w:t>
      </w:r>
      <w:r w:rsidRPr="009D7A70">
        <w:rPr>
          <w:rFonts w:ascii="David" w:hAnsi="David"/>
          <w:b/>
          <w:bCs/>
          <w:rtl/>
        </w:rPr>
        <w:t xml:space="preserve"> </w:t>
      </w:r>
      <w:r w:rsidRPr="009D7A70">
        <w:rPr>
          <w:rFonts w:ascii="David" w:hAnsi="David"/>
          <w:rtl/>
        </w:rPr>
        <w:t>(להלן:</w:t>
      </w:r>
      <w:r w:rsidRPr="009D7A70">
        <w:rPr>
          <w:rFonts w:ascii="David" w:hAnsi="David"/>
          <w:b/>
          <w:bCs/>
          <w:rtl/>
        </w:rPr>
        <w:t xml:space="preserve"> </w:t>
      </w:r>
      <w:r w:rsidRPr="009D7A70">
        <w:rPr>
          <w:rFonts w:ascii="David" w:hAnsi="David"/>
          <w:rtl/>
        </w:rPr>
        <w:t>"</w:t>
      </w:r>
      <w:r w:rsidRPr="009D7A70">
        <w:rPr>
          <w:rFonts w:ascii="David" w:hAnsi="David"/>
          <w:b/>
          <w:bCs/>
          <w:rtl/>
        </w:rPr>
        <w:t>הפקודה</w:t>
      </w:r>
      <w:r w:rsidRPr="009D7A70">
        <w:rPr>
          <w:rFonts w:ascii="David" w:hAnsi="David"/>
          <w:rtl/>
        </w:rPr>
        <w:t xml:space="preserve">"). </w:t>
      </w:r>
    </w:p>
    <w:p w14:paraId="2481CCAF" w14:textId="77777777" w:rsidR="00EB5869" w:rsidRPr="009D7A70" w:rsidRDefault="00EB5869" w:rsidP="00EB5869">
      <w:pPr>
        <w:spacing w:line="360" w:lineRule="auto"/>
        <w:jc w:val="both"/>
        <w:rPr>
          <w:rFonts w:ascii="David" w:hAnsi="David"/>
        </w:rPr>
      </w:pPr>
    </w:p>
    <w:p w14:paraId="2296230D" w14:textId="77777777" w:rsidR="00EB5869" w:rsidRDefault="00EB5869" w:rsidP="00EB5869">
      <w:pPr>
        <w:pStyle w:val="aa"/>
        <w:numPr>
          <w:ilvl w:val="0"/>
          <w:numId w:val="1"/>
        </w:numPr>
        <w:spacing w:line="360" w:lineRule="auto"/>
        <w:ind w:left="360"/>
        <w:jc w:val="both"/>
        <w:rPr>
          <w:rFonts w:ascii="David" w:hAnsi="David"/>
        </w:rPr>
      </w:pPr>
      <w:r>
        <w:rPr>
          <w:rFonts w:ascii="David" w:hAnsi="David"/>
          <w:rtl/>
        </w:rPr>
        <w:t xml:space="preserve">מעובדות כתב האישום המתוקן עולה כי </w:t>
      </w:r>
      <w:r>
        <w:rPr>
          <w:rFonts w:ascii="David" w:hAnsi="David" w:hint="cs"/>
          <w:rtl/>
        </w:rPr>
        <w:t>ביום</w:t>
      </w:r>
      <w:r>
        <w:rPr>
          <w:rFonts w:ascii="David" w:hAnsi="David"/>
          <w:rtl/>
        </w:rPr>
        <w:t xml:space="preserve"> 17.05.20 בשעה 14:10 או בסמוך</w:t>
      </w:r>
      <w:r>
        <w:rPr>
          <w:rFonts w:ascii="David" w:hAnsi="David" w:hint="cs"/>
          <w:rtl/>
        </w:rPr>
        <w:t xml:space="preserve"> לכך</w:t>
      </w:r>
      <w:r>
        <w:rPr>
          <w:rFonts w:ascii="David" w:hAnsi="David"/>
          <w:rtl/>
        </w:rPr>
        <w:t>, החזיק הנאשם בדירתו ב</w:t>
      </w:r>
      <w:r>
        <w:rPr>
          <w:rFonts w:ascii="David" w:hAnsi="David" w:hint="cs"/>
          <w:rtl/>
        </w:rPr>
        <w:t xml:space="preserve">עיר </w:t>
      </w:r>
      <w:r>
        <w:rPr>
          <w:rFonts w:ascii="David" w:hAnsi="David"/>
          <w:rtl/>
        </w:rPr>
        <w:t>שדרות</w:t>
      </w:r>
      <w:r>
        <w:rPr>
          <w:rFonts w:ascii="David" w:hAnsi="David" w:hint="cs"/>
          <w:rtl/>
        </w:rPr>
        <w:t xml:space="preserve">, </w:t>
      </w:r>
      <w:r>
        <w:rPr>
          <w:rFonts w:ascii="David" w:hAnsi="David"/>
          <w:rtl/>
        </w:rPr>
        <w:t xml:space="preserve">מספר שתילים של סם מסוכן מסוג קנבוס, במשקל 150 גרם נטו, שלא לצריכתו העצמית וללא היתר כדין או רישיון מאת המנהל. </w:t>
      </w:r>
    </w:p>
    <w:p w14:paraId="74CB7C84" w14:textId="77777777" w:rsidR="00EB5869" w:rsidRDefault="00EB5869" w:rsidP="00EB5869">
      <w:pPr>
        <w:spacing w:line="360" w:lineRule="auto"/>
        <w:jc w:val="both"/>
        <w:rPr>
          <w:rFonts w:ascii="David" w:hAnsi="David"/>
          <w:bCs/>
          <w:u w:val="single"/>
        </w:rPr>
      </w:pPr>
    </w:p>
    <w:p w14:paraId="3D74C924" w14:textId="77777777" w:rsidR="00EB5869" w:rsidRDefault="00EB5869" w:rsidP="00EB5869">
      <w:pPr>
        <w:spacing w:line="360" w:lineRule="auto"/>
        <w:jc w:val="both"/>
        <w:rPr>
          <w:rFonts w:ascii="David" w:hAnsi="David"/>
          <w:bCs/>
          <w:u w:val="single"/>
          <w:rtl/>
        </w:rPr>
      </w:pPr>
      <w:bookmarkStart w:id="7" w:name="ABSTRACT_END"/>
      <w:bookmarkEnd w:id="7"/>
      <w:r>
        <w:rPr>
          <w:rFonts w:ascii="David" w:hAnsi="David"/>
          <w:bCs/>
          <w:u w:val="single"/>
          <w:rtl/>
        </w:rPr>
        <w:t xml:space="preserve">הסדר הטיעון </w:t>
      </w:r>
    </w:p>
    <w:p w14:paraId="44554737" w14:textId="77777777" w:rsidR="00EB5869" w:rsidRDefault="00EB5869" w:rsidP="00EB5869">
      <w:pPr>
        <w:pStyle w:val="aa"/>
        <w:numPr>
          <w:ilvl w:val="0"/>
          <w:numId w:val="1"/>
        </w:numPr>
        <w:spacing w:line="360" w:lineRule="auto"/>
        <w:ind w:left="360"/>
        <w:jc w:val="both"/>
        <w:rPr>
          <w:rFonts w:ascii="David" w:hAnsi="David"/>
          <w:b/>
          <w:bCs/>
          <w:rtl/>
        </w:rPr>
      </w:pPr>
      <w:r>
        <w:rPr>
          <w:rFonts w:ascii="David" w:hAnsi="David"/>
          <w:b/>
          <w:rtl/>
        </w:rPr>
        <w:lastRenderedPageBreak/>
        <w:t xml:space="preserve">במסגרת </w:t>
      </w:r>
      <w:r>
        <w:rPr>
          <w:rFonts w:ascii="David" w:hAnsi="David" w:hint="cs"/>
          <w:b/>
          <w:rtl/>
        </w:rPr>
        <w:t>הסדר הטיעון</w:t>
      </w:r>
      <w:r>
        <w:rPr>
          <w:rFonts w:ascii="David" w:hAnsi="David"/>
          <w:b/>
          <w:rtl/>
        </w:rPr>
        <w:t xml:space="preserve"> אשר הציגו הצדדים ביום 06.04.22 הוסכם כי הנאשם יודה בכתב אישום מתוקן, יורשע והדיון יידחה ל</w:t>
      </w:r>
      <w:r>
        <w:rPr>
          <w:rFonts w:ascii="David" w:hAnsi="David" w:hint="cs"/>
          <w:b/>
          <w:rtl/>
        </w:rPr>
        <w:t>מועד אחר לשמיעת טיעונים לעונש.</w:t>
      </w:r>
    </w:p>
    <w:p w14:paraId="1699DA5B" w14:textId="77777777" w:rsidR="00EB5869" w:rsidRDefault="00EB5869" w:rsidP="00EB5869">
      <w:pPr>
        <w:spacing w:line="360" w:lineRule="auto"/>
        <w:jc w:val="both"/>
        <w:rPr>
          <w:rFonts w:ascii="David" w:hAnsi="David"/>
          <w:u w:val="single"/>
        </w:rPr>
      </w:pPr>
    </w:p>
    <w:p w14:paraId="275A9294" w14:textId="77777777" w:rsidR="00EB5869" w:rsidRDefault="00EB5869" w:rsidP="00EB5869">
      <w:pPr>
        <w:spacing w:line="360" w:lineRule="auto"/>
        <w:ind w:left="-58"/>
        <w:jc w:val="both"/>
        <w:rPr>
          <w:rFonts w:ascii="David" w:hAnsi="David"/>
          <w:b/>
          <w:bCs/>
          <w:u w:val="single"/>
          <w:rtl/>
        </w:rPr>
      </w:pPr>
      <w:r>
        <w:rPr>
          <w:rFonts w:ascii="David" w:hAnsi="David"/>
          <w:b/>
          <w:bCs/>
          <w:u w:val="single"/>
          <w:rtl/>
        </w:rPr>
        <w:t>טיעוני ב"כ הצדדים</w:t>
      </w:r>
    </w:p>
    <w:p w14:paraId="58B5F01C" w14:textId="77777777" w:rsidR="00EB5869" w:rsidRPr="00492285" w:rsidRDefault="00EB5869" w:rsidP="00EB5869">
      <w:pPr>
        <w:pStyle w:val="aa"/>
        <w:numPr>
          <w:ilvl w:val="0"/>
          <w:numId w:val="1"/>
        </w:numPr>
        <w:spacing w:line="360" w:lineRule="auto"/>
        <w:ind w:left="368" w:hanging="426"/>
        <w:jc w:val="both"/>
        <w:rPr>
          <w:rFonts w:ascii="David" w:hAnsi="David"/>
          <w:b/>
          <w:bCs/>
          <w:u w:val="single"/>
          <w:rtl/>
        </w:rPr>
      </w:pPr>
      <w:r w:rsidRPr="00B13637">
        <w:rPr>
          <w:rFonts w:ascii="David" w:hAnsi="David"/>
          <w:rtl/>
        </w:rPr>
        <w:t>ב"כ המאשימה</w:t>
      </w:r>
      <w:r>
        <w:rPr>
          <w:rFonts w:ascii="David" w:hAnsi="David" w:hint="cs"/>
          <w:rtl/>
        </w:rPr>
        <w:t xml:space="preserve">, עו"ד לימור כהן </w:t>
      </w:r>
      <w:r>
        <w:rPr>
          <w:rFonts w:ascii="David" w:hAnsi="David"/>
          <w:rtl/>
        </w:rPr>
        <w:t>–</w:t>
      </w:r>
      <w:r>
        <w:rPr>
          <w:rFonts w:ascii="David" w:hAnsi="David" w:hint="cs"/>
          <w:rtl/>
        </w:rPr>
        <w:t xml:space="preserve"> גולן, </w:t>
      </w:r>
      <w:r>
        <w:rPr>
          <w:rFonts w:ascii="David" w:hAnsi="David"/>
          <w:b/>
          <w:bCs/>
          <w:rtl/>
        </w:rPr>
        <w:t xml:space="preserve"> </w:t>
      </w:r>
      <w:r>
        <w:rPr>
          <w:rFonts w:ascii="David" w:hAnsi="David"/>
          <w:rtl/>
        </w:rPr>
        <w:t>הפנתה בטיעוניה לערכים המוגנים שנפגע</w:t>
      </w:r>
      <w:r>
        <w:rPr>
          <w:rFonts w:ascii="David" w:hAnsi="David" w:hint="cs"/>
          <w:rtl/>
        </w:rPr>
        <w:t>ו</w:t>
      </w:r>
      <w:r>
        <w:rPr>
          <w:rFonts w:ascii="David" w:hAnsi="David"/>
          <w:rtl/>
        </w:rPr>
        <w:t xml:space="preserve"> כתוצאה מהעבירה שבוצעה על ידי הנאשם </w:t>
      </w:r>
      <w:r>
        <w:rPr>
          <w:rFonts w:ascii="David" w:hAnsi="David" w:hint="cs"/>
          <w:rtl/>
        </w:rPr>
        <w:t>ובהם,</w:t>
      </w:r>
      <w:r>
        <w:rPr>
          <w:rFonts w:ascii="David" w:hAnsi="David"/>
          <w:rtl/>
        </w:rPr>
        <w:t xml:space="preserve"> הגנה על שלום הציבור במובן הרחב, הגנה על צורכי הסמים וציינה כי הסמים מהווים אחד </w:t>
      </w:r>
      <w:r>
        <w:rPr>
          <w:rFonts w:ascii="David" w:hAnsi="David" w:hint="cs"/>
          <w:rtl/>
        </w:rPr>
        <w:t>מה</w:t>
      </w:r>
      <w:r>
        <w:rPr>
          <w:rFonts w:ascii="David" w:hAnsi="David"/>
          <w:rtl/>
        </w:rPr>
        <w:t xml:space="preserve">מחוללים העיקריים לפשיעה במדינה וכי הנזק לא נגרם רק למשתמשי הסם, אלא לכלל האוכלוסייה. </w:t>
      </w:r>
      <w:r w:rsidRPr="00492285">
        <w:rPr>
          <w:rFonts w:ascii="David" w:hAnsi="David"/>
          <w:rtl/>
        </w:rPr>
        <w:t>המאשימה טענה כי מתחם העונש ההולם נע בין 4 חודשי מאסר שיכול וירוצו בדרך של עבודות שירות ועד ל-12 חודשי מאסר בפועל, תוך שהפנתה לפסיקה התומכת בטיעוניה. המאשימה ציינה</w:t>
      </w:r>
      <w:r>
        <w:rPr>
          <w:rFonts w:ascii="David" w:hAnsi="David"/>
          <w:rtl/>
        </w:rPr>
        <w:t xml:space="preserve"> כי </w:t>
      </w:r>
      <w:r>
        <w:rPr>
          <w:rFonts w:ascii="David" w:hAnsi="David" w:hint="cs"/>
          <w:rtl/>
        </w:rPr>
        <w:t>ה</w:t>
      </w:r>
      <w:r>
        <w:rPr>
          <w:rFonts w:ascii="David" w:hAnsi="David"/>
          <w:rtl/>
        </w:rPr>
        <w:t>נאשם יליד שנת 1990</w:t>
      </w:r>
      <w:r>
        <w:rPr>
          <w:rFonts w:ascii="David" w:hAnsi="David" w:hint="cs"/>
          <w:rtl/>
        </w:rPr>
        <w:t xml:space="preserve">, </w:t>
      </w:r>
      <w:r w:rsidRPr="00492285">
        <w:rPr>
          <w:rFonts w:ascii="David" w:hAnsi="David"/>
          <w:rtl/>
        </w:rPr>
        <w:t>בעל הרשעה קודמת אחת בהתעללות והיזק לבעל חיים (ת/1)</w:t>
      </w:r>
      <w:r>
        <w:rPr>
          <w:rFonts w:ascii="David" w:hAnsi="David" w:hint="cs"/>
          <w:rtl/>
        </w:rPr>
        <w:t xml:space="preserve"> אשר נטל אחריות, הודה וחסך זמן שיפוטי יקר</w:t>
      </w:r>
      <w:r w:rsidRPr="00492285">
        <w:rPr>
          <w:rFonts w:ascii="David" w:hAnsi="David"/>
          <w:rtl/>
        </w:rPr>
        <w:t>.</w:t>
      </w:r>
      <w:r>
        <w:rPr>
          <w:rFonts w:ascii="David" w:hAnsi="David" w:hint="cs"/>
          <w:rtl/>
        </w:rPr>
        <w:t xml:space="preserve"> עוד ביקשה כי בית משפט ישקול שיקולי הרתעת היחיד והרבים. </w:t>
      </w:r>
      <w:r w:rsidRPr="00492285">
        <w:rPr>
          <w:rFonts w:ascii="David" w:hAnsi="David"/>
          <w:rtl/>
        </w:rPr>
        <w:t xml:space="preserve"> </w:t>
      </w:r>
      <w:r>
        <w:rPr>
          <w:rFonts w:ascii="David" w:hAnsi="David"/>
          <w:rtl/>
        </w:rPr>
        <w:t>בתוך המתחם, סב</w:t>
      </w:r>
      <w:r w:rsidRPr="00492285">
        <w:rPr>
          <w:rFonts w:ascii="David" w:hAnsi="David"/>
          <w:rtl/>
        </w:rPr>
        <w:t xml:space="preserve">רה המאשימה כי יש לגזור עונש </w:t>
      </w:r>
      <w:r>
        <w:rPr>
          <w:rFonts w:ascii="David" w:hAnsi="David" w:hint="cs"/>
          <w:rtl/>
        </w:rPr>
        <w:t>ברף</w:t>
      </w:r>
      <w:r w:rsidRPr="00492285">
        <w:rPr>
          <w:rFonts w:ascii="David" w:hAnsi="David"/>
          <w:rtl/>
        </w:rPr>
        <w:t xml:space="preserve"> הבינוני של המתחם, תוך הטלת מאסר על תנאי, קנס, הצהרת התחייבות, פסילת רישיון נהיגה בפועל</w:t>
      </w:r>
      <w:r>
        <w:rPr>
          <w:rFonts w:ascii="David" w:hAnsi="David" w:hint="cs"/>
          <w:rtl/>
        </w:rPr>
        <w:t xml:space="preserve"> מכח סעיף </w:t>
      </w:r>
      <w:hyperlink r:id="rId18" w:history="1">
        <w:r w:rsidR="00875F6B" w:rsidRPr="00875F6B">
          <w:rPr>
            <w:rStyle w:val="Hyperlink"/>
            <w:rFonts w:ascii="David" w:hAnsi="David"/>
            <w:rtl/>
          </w:rPr>
          <w:t>37 (1)</w:t>
        </w:r>
      </w:hyperlink>
      <w:r>
        <w:rPr>
          <w:rFonts w:ascii="David" w:hAnsi="David" w:hint="cs"/>
          <w:rtl/>
        </w:rPr>
        <w:t xml:space="preserve"> לפקודת הסמים שעניינו פסילת חובה של שנתיים, </w:t>
      </w:r>
      <w:r w:rsidRPr="00492285">
        <w:rPr>
          <w:rFonts w:ascii="David" w:hAnsi="David"/>
          <w:rtl/>
        </w:rPr>
        <w:t xml:space="preserve"> וכן פסילה רישיון נהיגה על תנאי. </w:t>
      </w:r>
    </w:p>
    <w:p w14:paraId="56C952CA" w14:textId="77777777" w:rsidR="00EB5869" w:rsidRDefault="00EB5869" w:rsidP="00EB5869">
      <w:pPr>
        <w:pStyle w:val="aa"/>
        <w:rPr>
          <w:rFonts w:ascii="David" w:hAnsi="David"/>
          <w:rtl/>
        </w:rPr>
      </w:pPr>
    </w:p>
    <w:p w14:paraId="0479E973" w14:textId="77777777" w:rsidR="00EB5869" w:rsidRPr="00B14B6B" w:rsidRDefault="00EB5869" w:rsidP="00EB5869">
      <w:pPr>
        <w:pStyle w:val="aa"/>
        <w:numPr>
          <w:ilvl w:val="0"/>
          <w:numId w:val="1"/>
        </w:numPr>
        <w:spacing w:line="360" w:lineRule="auto"/>
        <w:ind w:left="368" w:hanging="426"/>
        <w:jc w:val="both"/>
        <w:rPr>
          <w:rFonts w:ascii="David" w:hAnsi="David"/>
          <w:u w:val="single"/>
        </w:rPr>
      </w:pPr>
      <w:r w:rsidRPr="009E3E36">
        <w:rPr>
          <w:rFonts w:ascii="David" w:hAnsi="David"/>
          <w:rtl/>
        </w:rPr>
        <w:t>ב"כ הנאשם</w:t>
      </w:r>
      <w:r>
        <w:rPr>
          <w:rFonts w:ascii="David" w:hAnsi="David" w:hint="cs"/>
          <w:b/>
          <w:bCs/>
          <w:rtl/>
        </w:rPr>
        <w:t xml:space="preserve">, </w:t>
      </w:r>
      <w:r w:rsidRPr="009E3E36">
        <w:rPr>
          <w:rFonts w:ascii="David" w:hAnsi="David" w:hint="cs"/>
          <w:rtl/>
        </w:rPr>
        <w:t xml:space="preserve">עו"ד נעמה טייב, </w:t>
      </w:r>
      <w:r w:rsidRPr="009E3E36">
        <w:rPr>
          <w:rFonts w:ascii="David" w:hAnsi="David"/>
          <w:rtl/>
        </w:rPr>
        <w:t xml:space="preserve"> פירטה</w:t>
      </w:r>
      <w:r>
        <w:rPr>
          <w:rFonts w:ascii="David" w:hAnsi="David"/>
          <w:rtl/>
        </w:rPr>
        <w:t xml:space="preserve"> בטיעוניה </w:t>
      </w:r>
      <w:r>
        <w:rPr>
          <w:rFonts w:ascii="David" w:hAnsi="David" w:hint="cs"/>
          <w:rtl/>
        </w:rPr>
        <w:t xml:space="preserve">בין היתר, </w:t>
      </w:r>
      <w:r>
        <w:rPr>
          <w:rFonts w:ascii="David" w:hAnsi="David"/>
          <w:rtl/>
        </w:rPr>
        <w:t xml:space="preserve">כי </w:t>
      </w:r>
      <w:r>
        <w:rPr>
          <w:rFonts w:ascii="David" w:hAnsi="David" w:hint="cs"/>
          <w:rtl/>
        </w:rPr>
        <w:t>האירוע</w:t>
      </w:r>
      <w:r>
        <w:rPr>
          <w:rFonts w:ascii="David" w:hAnsi="David"/>
          <w:rtl/>
        </w:rPr>
        <w:t xml:space="preserve"> התרחש לפני כשנתיים, כתב האישום תוקן</w:t>
      </w:r>
      <w:r>
        <w:rPr>
          <w:rFonts w:ascii="David" w:hAnsi="David" w:hint="cs"/>
          <w:rtl/>
        </w:rPr>
        <w:t>,</w:t>
      </w:r>
      <w:r>
        <w:rPr>
          <w:rFonts w:ascii="David" w:hAnsi="David"/>
          <w:rtl/>
        </w:rPr>
        <w:t xml:space="preserve"> והנאשם בעל הרשעה קודמת אחת. עוד הוסיפה כי מדובר בנאשם בעל נסיבות חיים קשות</w:t>
      </w:r>
      <w:r>
        <w:rPr>
          <w:rFonts w:ascii="David" w:hAnsi="David" w:hint="cs"/>
          <w:rtl/>
        </w:rPr>
        <w:t xml:space="preserve"> אשר סבל מאלימות בבית וקשיים לאורך חייו נפשיים ופיזיים. ב"כ הנאשם טענה כי הנאשם היה מטופל במשך שלוש שנים במסגרת תיקו האחר אצל קרימינולו</w:t>
      </w:r>
      <w:r>
        <w:rPr>
          <w:rFonts w:ascii="David" w:hAnsi="David" w:hint="eastAsia"/>
          <w:rtl/>
        </w:rPr>
        <w:t>ג</w:t>
      </w:r>
      <w:r>
        <w:rPr>
          <w:rFonts w:ascii="David" w:hAnsi="David" w:hint="cs"/>
          <w:rtl/>
        </w:rPr>
        <w:t xml:space="preserve"> קליני וכן בשירות המבחן. ב"כ הנאשם במסגרת טיעוניה הגישה תסקירי שירות המבחן בתיקו האחר ומסמכים רפואיים. עוד צינה כי במסגרת תיקו האחר, נמצא הנאשם לא כשיר לביצוע עבודות שירות בשל מצבו הבריאותי הקשה בשל ניוון ביד ממנו הוא סובל. כמו כן, ציינה כי היום יש בידו רישיון להחזקת קנבוס רפואי.  </w:t>
      </w:r>
      <w:r w:rsidRPr="00B14B6B">
        <w:rPr>
          <w:rFonts w:ascii="David" w:hAnsi="David" w:hint="cs"/>
          <w:rtl/>
        </w:rPr>
        <w:t xml:space="preserve">ב"כ הנאשם ציינה כי </w:t>
      </w:r>
      <w:r w:rsidRPr="00B14B6B">
        <w:rPr>
          <w:rFonts w:ascii="David" w:hAnsi="David"/>
          <w:rtl/>
        </w:rPr>
        <w:t xml:space="preserve"> מתחם העונש נע בין מאסר על תנאי לצד עבודות של"צ ועד ל-12 חודשי מאסר בפועל, תוך שהפנתה לפסיקה התומכת בטיעוניה. </w:t>
      </w:r>
      <w:r w:rsidRPr="00B14B6B">
        <w:rPr>
          <w:rFonts w:ascii="David" w:hAnsi="David" w:hint="cs"/>
          <w:rtl/>
        </w:rPr>
        <w:t>במקרה דנן</w:t>
      </w:r>
      <w:r w:rsidRPr="00B14B6B">
        <w:rPr>
          <w:rFonts w:ascii="David" w:hAnsi="David"/>
          <w:rtl/>
        </w:rPr>
        <w:t xml:space="preserve">, </w:t>
      </w:r>
      <w:r w:rsidRPr="00B14B6B">
        <w:rPr>
          <w:rFonts w:ascii="David" w:hAnsi="David" w:hint="cs"/>
          <w:rtl/>
        </w:rPr>
        <w:t>עתרה</w:t>
      </w:r>
      <w:r w:rsidRPr="00B14B6B">
        <w:rPr>
          <w:rFonts w:ascii="David" w:hAnsi="David"/>
          <w:rtl/>
        </w:rPr>
        <w:t xml:space="preserve"> ב"כ הנאשם להסתפק במאסר מותנה, פסילה בפועל, פסילה על תנאי והתחייבות. עוד הוסיפה כי ככל </w:t>
      </w:r>
      <w:r w:rsidRPr="00B14B6B">
        <w:rPr>
          <w:rFonts w:ascii="David" w:hAnsi="David" w:hint="cs"/>
          <w:rtl/>
        </w:rPr>
        <w:t>ש</w:t>
      </w:r>
      <w:r w:rsidRPr="00B14B6B">
        <w:rPr>
          <w:rFonts w:ascii="David" w:hAnsi="David"/>
          <w:rtl/>
        </w:rPr>
        <w:t xml:space="preserve">בית המשפט ישית על הנאשם </w:t>
      </w:r>
      <w:r w:rsidRPr="00B14B6B">
        <w:rPr>
          <w:rFonts w:ascii="David" w:hAnsi="David" w:hint="cs"/>
          <w:rtl/>
        </w:rPr>
        <w:t>צו</w:t>
      </w:r>
      <w:r w:rsidRPr="00B14B6B">
        <w:rPr>
          <w:rFonts w:ascii="David" w:hAnsi="David"/>
          <w:rtl/>
        </w:rPr>
        <w:t xml:space="preserve"> של"צ, על אף מצבו הרפואי</w:t>
      </w:r>
      <w:r w:rsidRPr="00B14B6B">
        <w:rPr>
          <w:rFonts w:ascii="David" w:hAnsi="David" w:hint="cs"/>
          <w:rtl/>
        </w:rPr>
        <w:t xml:space="preserve"> ויש </w:t>
      </w:r>
      <w:r w:rsidRPr="00B14B6B">
        <w:rPr>
          <w:rFonts w:ascii="David" w:hAnsi="David"/>
          <w:rtl/>
        </w:rPr>
        <w:t xml:space="preserve">לנסות למצוא עבודות קלות, </w:t>
      </w:r>
      <w:r w:rsidRPr="00B14B6B">
        <w:rPr>
          <w:rFonts w:ascii="David" w:hAnsi="David" w:hint="cs"/>
          <w:rtl/>
        </w:rPr>
        <w:t xml:space="preserve">כשם </w:t>
      </w:r>
      <w:r w:rsidRPr="00B14B6B">
        <w:rPr>
          <w:rFonts w:ascii="David" w:hAnsi="David"/>
          <w:rtl/>
        </w:rPr>
        <w:t xml:space="preserve">שביצע בתיק קודם. ב"כ הנאשם </w:t>
      </w:r>
      <w:r w:rsidRPr="00B14B6B">
        <w:rPr>
          <w:rFonts w:ascii="David" w:hAnsi="David" w:hint="cs"/>
          <w:rtl/>
        </w:rPr>
        <w:t xml:space="preserve">ציינה </w:t>
      </w:r>
      <w:r w:rsidRPr="00B14B6B">
        <w:rPr>
          <w:rFonts w:ascii="David" w:hAnsi="David"/>
          <w:rtl/>
        </w:rPr>
        <w:t xml:space="preserve">כי בתיק </w:t>
      </w:r>
      <w:r w:rsidRPr="00B14B6B">
        <w:rPr>
          <w:rFonts w:ascii="David" w:hAnsi="David" w:hint="cs"/>
          <w:rtl/>
        </w:rPr>
        <w:t>קודם בעניינו של הנאשם</w:t>
      </w:r>
      <w:r w:rsidRPr="00B14B6B">
        <w:rPr>
          <w:rFonts w:ascii="David" w:hAnsi="David"/>
          <w:rtl/>
        </w:rPr>
        <w:t xml:space="preserve">, אשר </w:t>
      </w:r>
      <w:r w:rsidRPr="00B14B6B">
        <w:rPr>
          <w:rFonts w:ascii="David" w:hAnsi="David" w:hint="cs"/>
          <w:rtl/>
        </w:rPr>
        <w:t>הסתיים</w:t>
      </w:r>
      <w:r w:rsidRPr="00B14B6B">
        <w:rPr>
          <w:rFonts w:ascii="David" w:hAnsi="David"/>
          <w:rtl/>
        </w:rPr>
        <w:t xml:space="preserve"> בהסדר</w:t>
      </w:r>
      <w:r w:rsidRPr="00B14B6B">
        <w:rPr>
          <w:rFonts w:ascii="David" w:hAnsi="David" w:hint="cs"/>
          <w:rtl/>
        </w:rPr>
        <w:t xml:space="preserve"> טיעון</w:t>
      </w:r>
      <w:r w:rsidRPr="00B14B6B">
        <w:rPr>
          <w:rFonts w:ascii="David" w:hAnsi="David"/>
          <w:rtl/>
        </w:rPr>
        <w:t xml:space="preserve">, לאור קשיים ונסיבות החיים הקשות, הוטל על הנאשם בין היתר צו של"צ אשר בוצע באופן ראוי לשבח. </w:t>
      </w:r>
    </w:p>
    <w:p w14:paraId="53FDA0FD" w14:textId="77777777" w:rsidR="00EB5869" w:rsidRDefault="00EB5869" w:rsidP="00EB5869">
      <w:pPr>
        <w:pStyle w:val="aa"/>
        <w:spacing w:line="360" w:lineRule="auto"/>
        <w:ind w:left="368"/>
        <w:jc w:val="both"/>
        <w:rPr>
          <w:rFonts w:ascii="David" w:hAnsi="David"/>
          <w:u w:val="single"/>
          <w:rtl/>
        </w:rPr>
      </w:pPr>
    </w:p>
    <w:p w14:paraId="4415FD4D" w14:textId="77777777" w:rsidR="00EB5869" w:rsidRDefault="00EB5869" w:rsidP="00EB5869">
      <w:pPr>
        <w:pStyle w:val="aa"/>
        <w:spacing w:line="360" w:lineRule="auto"/>
        <w:ind w:left="368"/>
        <w:jc w:val="both"/>
        <w:rPr>
          <w:rFonts w:ascii="David" w:hAnsi="David"/>
          <w:u w:val="single"/>
        </w:rPr>
      </w:pPr>
      <w:r>
        <w:rPr>
          <w:rFonts w:ascii="David" w:hAnsi="David"/>
          <w:rtl/>
        </w:rPr>
        <w:t xml:space="preserve">בטיעוניה הגישה ב"כ הנאשם לבית המשפט את התסקירים שהוגשו בתיק הקודם, פרוטוקול טיעונים לעונש (נ/1) וכן מסמכים רפואיים ותעודת הערכה מצה"ל (נ/2). </w:t>
      </w:r>
    </w:p>
    <w:p w14:paraId="1AA34253" w14:textId="77777777" w:rsidR="00EB5869" w:rsidRPr="00B14B6B" w:rsidRDefault="00EB5869" w:rsidP="00EB5869">
      <w:pPr>
        <w:spacing w:line="360" w:lineRule="auto"/>
        <w:jc w:val="both"/>
        <w:rPr>
          <w:rFonts w:ascii="David" w:hAnsi="David"/>
          <w:b/>
          <w:bCs/>
          <w:u w:val="single"/>
        </w:rPr>
      </w:pPr>
    </w:p>
    <w:p w14:paraId="04342B58" w14:textId="77777777" w:rsidR="00EB5869" w:rsidRDefault="00EB5869" w:rsidP="00EB5869">
      <w:pPr>
        <w:pStyle w:val="aa"/>
        <w:spacing w:line="360" w:lineRule="auto"/>
        <w:ind w:left="368"/>
        <w:jc w:val="both"/>
        <w:rPr>
          <w:rFonts w:ascii="David" w:hAnsi="David"/>
          <w:u w:val="single"/>
          <w:rtl/>
        </w:rPr>
      </w:pPr>
      <w:r>
        <w:rPr>
          <w:rFonts w:ascii="David" w:hAnsi="David"/>
          <w:b/>
          <w:bCs/>
          <w:u w:val="single"/>
          <w:rtl/>
        </w:rPr>
        <w:t>קביעת מתחם העונש ההולם</w:t>
      </w:r>
    </w:p>
    <w:p w14:paraId="606F837E" w14:textId="77777777" w:rsidR="00EB5869" w:rsidRDefault="00EB5869" w:rsidP="00EB5869">
      <w:pPr>
        <w:pStyle w:val="aa"/>
        <w:numPr>
          <w:ilvl w:val="0"/>
          <w:numId w:val="1"/>
        </w:numPr>
        <w:spacing w:line="360" w:lineRule="auto"/>
        <w:ind w:left="368" w:hanging="426"/>
        <w:jc w:val="both"/>
        <w:rPr>
          <w:rFonts w:ascii="David" w:hAnsi="David"/>
        </w:rPr>
      </w:pPr>
      <w:r>
        <w:rPr>
          <w:rFonts w:ascii="David" w:hAnsi="David"/>
          <w:rtl/>
        </w:rPr>
        <w:lastRenderedPageBreak/>
        <w:t>תיקון 113 ל</w:t>
      </w:r>
      <w:hyperlink r:id="rId19" w:history="1">
        <w:r w:rsidR="00C43F55" w:rsidRPr="00C43F55">
          <w:rPr>
            <w:rFonts w:ascii="David" w:hAnsi="David"/>
            <w:color w:val="0000FF"/>
            <w:u w:val="single"/>
            <w:rtl/>
          </w:rPr>
          <w:t>חוק העונשין</w:t>
        </w:r>
      </w:hyperlink>
      <w:r>
        <w:rPr>
          <w:rFonts w:ascii="David" w:hAnsi="David"/>
          <w:rtl/>
        </w:rPr>
        <w:t xml:space="preserve"> קובע מנגנון תלת-שלבי להליך גזירת העונש: בשלב הראשון ייקבע מתחם העונש ההולם בהתחשב בעבירה ובנסיבות הקשורות בביצועה, בשלב השני תבחן התקיימותם של שיקולים חריגים המצדיקים סטייה מן המתחם שנקבע – פוטנציאל שיקום מיוחד או הגנה על שלום הציבור, ובשלב השלישי, ככל שבית המשפט לא סטה ממתחם העונש, ייגזר העונש הראוי בתוככי המתחם שנקבע, בהתחשב בנסיבות שאינן קשורות לביצוע העבירה.</w:t>
      </w:r>
    </w:p>
    <w:p w14:paraId="31145F47" w14:textId="77777777" w:rsidR="00EB5869" w:rsidRDefault="00EB5869" w:rsidP="00EB5869">
      <w:pPr>
        <w:pStyle w:val="aa"/>
        <w:spacing w:line="360" w:lineRule="auto"/>
        <w:ind w:left="368"/>
        <w:jc w:val="both"/>
        <w:rPr>
          <w:rFonts w:ascii="David" w:hAnsi="David"/>
        </w:rPr>
      </w:pPr>
    </w:p>
    <w:p w14:paraId="7597ECD9" w14:textId="77777777" w:rsidR="00EB5869" w:rsidRDefault="00EB5869" w:rsidP="00EB5869">
      <w:pPr>
        <w:pStyle w:val="aa"/>
        <w:numPr>
          <w:ilvl w:val="0"/>
          <w:numId w:val="1"/>
        </w:numPr>
        <w:spacing w:line="360" w:lineRule="auto"/>
        <w:ind w:left="368" w:hanging="426"/>
        <w:jc w:val="both"/>
        <w:rPr>
          <w:rFonts w:ascii="David" w:hAnsi="David"/>
        </w:rPr>
      </w:pPr>
      <w:r>
        <w:rPr>
          <w:rFonts w:ascii="David" w:hAnsi="David"/>
          <w:rtl/>
        </w:rPr>
        <w:t>במקרה זה מדובר ב</w:t>
      </w:r>
      <w:r>
        <w:rPr>
          <w:rFonts w:ascii="David" w:hAnsi="David"/>
          <w:b/>
          <w:bCs/>
          <w:rtl/>
        </w:rPr>
        <w:t>אירוע אחד</w:t>
      </w:r>
      <w:r>
        <w:rPr>
          <w:rFonts w:ascii="David" w:hAnsi="David"/>
          <w:rtl/>
        </w:rPr>
        <w:t xml:space="preserve"> אשר בעניינו יש לקבוע מתחם עונש הולם אחד.</w:t>
      </w:r>
    </w:p>
    <w:p w14:paraId="60663AAA" w14:textId="77777777" w:rsidR="00EB5869" w:rsidRDefault="00EB5869" w:rsidP="00EB5869">
      <w:pPr>
        <w:pStyle w:val="aa"/>
        <w:rPr>
          <w:rFonts w:ascii="David" w:hAnsi="David"/>
        </w:rPr>
      </w:pPr>
    </w:p>
    <w:p w14:paraId="4CE57315" w14:textId="77777777" w:rsidR="00EB5869" w:rsidRDefault="00EB5869" w:rsidP="00EB5869">
      <w:pPr>
        <w:pStyle w:val="aa"/>
        <w:numPr>
          <w:ilvl w:val="0"/>
          <w:numId w:val="1"/>
        </w:numPr>
        <w:spacing w:line="360" w:lineRule="auto"/>
        <w:ind w:left="368" w:hanging="426"/>
        <w:jc w:val="both"/>
        <w:rPr>
          <w:rFonts w:ascii="David" w:hAnsi="David"/>
          <w:rtl/>
        </w:rPr>
      </w:pPr>
      <w:r>
        <w:rPr>
          <w:rFonts w:ascii="David" w:hAnsi="David"/>
          <w:rtl/>
        </w:rPr>
        <w:t>קביעת מתחם העונש ההולם למעשה העבירה נעשית בהתאם ל</w:t>
      </w:r>
      <w:r>
        <w:rPr>
          <w:rFonts w:ascii="David" w:hAnsi="David"/>
          <w:b/>
          <w:bCs/>
          <w:rtl/>
        </w:rPr>
        <w:t>עקרון ההלימה</w:t>
      </w:r>
      <w:r>
        <w:rPr>
          <w:rFonts w:ascii="David" w:hAnsi="David"/>
          <w:rtl/>
        </w:rPr>
        <w:t>. לשם קביעת מתחם העונש ההולם יש להתחשב בערך החברתי אשר נפגע, במידת הפגיעה בו, במדיניות הענישה הנוהגת ובנסיבות הקשורות בביצוע העבירה.</w:t>
      </w:r>
    </w:p>
    <w:p w14:paraId="197CD8FA" w14:textId="77777777" w:rsidR="00EB5869" w:rsidRDefault="00EB5869" w:rsidP="00EB5869">
      <w:pPr>
        <w:pStyle w:val="aa"/>
        <w:rPr>
          <w:rFonts w:ascii="David" w:hAnsi="David"/>
        </w:rPr>
      </w:pPr>
    </w:p>
    <w:p w14:paraId="659CBB52" w14:textId="77777777" w:rsidR="00EB5869" w:rsidRDefault="00EB5869" w:rsidP="00EB5869">
      <w:pPr>
        <w:pStyle w:val="aa"/>
        <w:numPr>
          <w:ilvl w:val="0"/>
          <w:numId w:val="1"/>
        </w:numPr>
        <w:spacing w:line="360" w:lineRule="auto"/>
        <w:ind w:left="368" w:hanging="426"/>
        <w:jc w:val="both"/>
        <w:rPr>
          <w:rFonts w:ascii="David" w:hAnsi="David"/>
          <w:rtl/>
        </w:rPr>
      </w:pPr>
      <w:r>
        <w:rPr>
          <w:rFonts w:ascii="David" w:hAnsi="David"/>
          <w:rtl/>
        </w:rPr>
        <w:t xml:space="preserve">במקרה דנן, </w:t>
      </w:r>
      <w:r>
        <w:rPr>
          <w:rFonts w:ascii="David" w:hAnsi="David"/>
          <w:b/>
          <w:bCs/>
          <w:rtl/>
        </w:rPr>
        <w:t xml:space="preserve">הערכים החברתיים </w:t>
      </w:r>
      <w:r>
        <w:rPr>
          <w:rFonts w:ascii="David" w:hAnsi="David"/>
          <w:rtl/>
        </w:rPr>
        <w:t>אשר נפגעו כתוצאה מעבירת הסמים עליה נותן הנאשם את הדין הם הגנה על בריאות הציבור, שלומו ובטחונו, מפני הנזקים הישירים והעקיפים הנגמרים כתוצאה משימוש והפצת סמים וההשפעה הממכרת וההרסנית שנגרמת.</w:t>
      </w:r>
    </w:p>
    <w:p w14:paraId="48CB2416" w14:textId="77777777" w:rsidR="00EB5869" w:rsidRDefault="00EB5869" w:rsidP="00EB5869">
      <w:pPr>
        <w:spacing w:line="360" w:lineRule="auto"/>
        <w:jc w:val="both"/>
        <w:rPr>
          <w:rFonts w:ascii="David" w:hAnsi="David"/>
          <w:sz w:val="8"/>
          <w:szCs w:val="8"/>
        </w:rPr>
      </w:pPr>
    </w:p>
    <w:p w14:paraId="34343E07" w14:textId="77777777" w:rsidR="00EB5869" w:rsidRDefault="00EB5869" w:rsidP="00EB5869">
      <w:pPr>
        <w:pStyle w:val="aa"/>
        <w:numPr>
          <w:ilvl w:val="0"/>
          <w:numId w:val="1"/>
        </w:numPr>
        <w:spacing w:line="360" w:lineRule="auto"/>
        <w:ind w:left="368" w:hanging="426"/>
        <w:jc w:val="both"/>
        <w:rPr>
          <w:rFonts w:ascii="David" w:hAnsi="David"/>
          <w:rtl/>
        </w:rPr>
      </w:pPr>
      <w:r>
        <w:rPr>
          <w:rFonts w:ascii="David" w:hAnsi="David"/>
          <w:rtl/>
        </w:rPr>
        <w:t xml:space="preserve">בחינת </w:t>
      </w:r>
      <w:r>
        <w:rPr>
          <w:rFonts w:ascii="David" w:hAnsi="David"/>
          <w:b/>
          <w:bCs/>
          <w:rtl/>
        </w:rPr>
        <w:t>מידת הפגיעה בערך המוגן</w:t>
      </w:r>
      <w:r>
        <w:rPr>
          <w:rFonts w:ascii="David" w:hAnsi="David"/>
          <w:rtl/>
        </w:rPr>
        <w:t xml:space="preserve"> מובילה למסקנה כי הפגיעה בערך המוגן היא ברף הנמוך וזאת בשים לב לסוג הסם </w:t>
      </w:r>
      <w:r>
        <w:rPr>
          <w:rFonts w:ascii="David" w:hAnsi="David" w:hint="cs"/>
          <w:rtl/>
        </w:rPr>
        <w:t xml:space="preserve">קנבוס, </w:t>
      </w:r>
      <w:r>
        <w:rPr>
          <w:rFonts w:ascii="David" w:hAnsi="David"/>
          <w:rtl/>
        </w:rPr>
        <w:t>וכמותו</w:t>
      </w:r>
      <w:r>
        <w:rPr>
          <w:rFonts w:ascii="David" w:hAnsi="David" w:hint="cs"/>
          <w:rtl/>
        </w:rPr>
        <w:t>- מספר שתילים במשקל</w:t>
      </w:r>
      <w:r>
        <w:rPr>
          <w:rFonts w:ascii="David" w:hAnsi="David"/>
          <w:rtl/>
        </w:rPr>
        <w:t xml:space="preserve"> </w:t>
      </w:r>
      <w:r>
        <w:rPr>
          <w:rFonts w:ascii="David" w:hAnsi="David" w:hint="cs"/>
          <w:rtl/>
        </w:rPr>
        <w:t>-150 גרם.</w:t>
      </w:r>
    </w:p>
    <w:p w14:paraId="533C6ACF" w14:textId="77777777" w:rsidR="00EB5869" w:rsidRDefault="00EB5869" w:rsidP="00EB5869">
      <w:pPr>
        <w:pStyle w:val="aa"/>
        <w:rPr>
          <w:rFonts w:ascii="David" w:hAnsi="David"/>
        </w:rPr>
      </w:pPr>
    </w:p>
    <w:p w14:paraId="4FDA5FFD" w14:textId="77777777" w:rsidR="00EB5869" w:rsidRDefault="00EB5869" w:rsidP="00EB5869">
      <w:pPr>
        <w:pStyle w:val="aa"/>
        <w:rPr>
          <w:rFonts w:ascii="David" w:hAnsi="David"/>
          <w:rtl/>
        </w:rPr>
      </w:pPr>
    </w:p>
    <w:p w14:paraId="07A1501E" w14:textId="77777777" w:rsidR="00EB5869" w:rsidRDefault="00EB5869" w:rsidP="00EB5869">
      <w:pPr>
        <w:spacing w:line="360" w:lineRule="auto"/>
        <w:jc w:val="both"/>
        <w:rPr>
          <w:rFonts w:ascii="David" w:hAnsi="David"/>
          <w:b/>
          <w:bCs/>
          <w:u w:val="single"/>
          <w:rtl/>
        </w:rPr>
      </w:pPr>
      <w:r>
        <w:rPr>
          <w:rFonts w:ascii="David" w:hAnsi="David"/>
          <w:b/>
          <w:bCs/>
          <w:u w:val="single"/>
          <w:rtl/>
        </w:rPr>
        <w:t>בחינת מדיניות הענישה הנוהגת</w:t>
      </w:r>
    </w:p>
    <w:p w14:paraId="528B5541" w14:textId="77777777" w:rsidR="00EB5869" w:rsidRDefault="00EB5869" w:rsidP="00EB5869">
      <w:pPr>
        <w:pStyle w:val="aa"/>
        <w:spacing w:line="360" w:lineRule="auto"/>
        <w:ind w:left="368"/>
        <w:jc w:val="both"/>
        <w:rPr>
          <w:rFonts w:ascii="David" w:hAnsi="David"/>
        </w:rPr>
      </w:pPr>
    </w:p>
    <w:p w14:paraId="46528DF5" w14:textId="77777777" w:rsidR="00EB5869" w:rsidRPr="00453973" w:rsidRDefault="00EB5869" w:rsidP="00EB5869">
      <w:pPr>
        <w:pStyle w:val="aa"/>
        <w:numPr>
          <w:ilvl w:val="0"/>
          <w:numId w:val="1"/>
        </w:numPr>
        <w:spacing w:line="360" w:lineRule="auto"/>
        <w:ind w:left="368" w:hanging="426"/>
        <w:jc w:val="both"/>
        <w:rPr>
          <w:rFonts w:ascii="David" w:hAnsi="David"/>
        </w:rPr>
      </w:pPr>
      <w:r>
        <w:rPr>
          <w:rFonts w:ascii="David" w:hAnsi="David"/>
          <w:rtl/>
        </w:rPr>
        <w:t xml:space="preserve">לצורך קביעת מתחם העונש ההולם את נסיבות ביצוע העבירה בעניינו של הנאשם, עיינתי בפסיקה שהוגשה על ידי ב"כ הצדדים וכן בפסיקה נוספת. </w:t>
      </w:r>
      <w:r w:rsidRPr="00EB5869">
        <w:rPr>
          <w:rFonts w:hint="cs"/>
          <w:color w:val="000000"/>
          <w:rtl/>
        </w:rPr>
        <w:t>מדיניות הענישה הנוהגת בעבירות אלו נעה בין מאסר על תנאי לצד צו של"צ / מאסר קצר בפועל שיכול להיות מרוצה בדרך של עבודות שירות,  לבין מאסרים ממושכים הרבה יותר בפועל, הכל בהתאם לנסיבות המעשה (מספר האירועים, כמות הסם ביחס לסוגו, נסיבות החזקת הסם וכיוצ"ב), ולנסיבות העושה:</w:t>
      </w:r>
    </w:p>
    <w:p w14:paraId="681CC6B2" w14:textId="77777777" w:rsidR="00EB5869" w:rsidRDefault="00EB5869" w:rsidP="00EB5869">
      <w:pPr>
        <w:pStyle w:val="aa"/>
        <w:spacing w:line="360" w:lineRule="auto"/>
        <w:ind w:left="368"/>
        <w:jc w:val="both"/>
        <w:rPr>
          <w:rFonts w:ascii="David" w:hAnsi="David"/>
        </w:rPr>
      </w:pPr>
    </w:p>
    <w:p w14:paraId="32FF7A93" w14:textId="77777777" w:rsidR="00EB5869" w:rsidRPr="0062621D" w:rsidRDefault="00C43F55" w:rsidP="00EB5869">
      <w:pPr>
        <w:pStyle w:val="aa"/>
        <w:numPr>
          <w:ilvl w:val="0"/>
          <w:numId w:val="2"/>
        </w:numPr>
        <w:spacing w:before="240" w:after="240" w:line="360" w:lineRule="auto"/>
        <w:jc w:val="both"/>
      </w:pPr>
      <w:hyperlink r:id="rId20" w:history="1">
        <w:r w:rsidRPr="00C43F55">
          <w:rPr>
            <w:rFonts w:ascii="David" w:hAnsi="David"/>
            <w:color w:val="0000FF"/>
            <w:u w:val="single"/>
            <w:rtl/>
          </w:rPr>
          <w:t>רע"פ 8759/21</w:t>
        </w:r>
      </w:hyperlink>
      <w:r w:rsidR="00EB5869" w:rsidRPr="00346BF0">
        <w:rPr>
          <w:rFonts w:ascii="David" w:hAnsi="David"/>
          <w:u w:val="single"/>
          <w:rtl/>
        </w:rPr>
        <w:t xml:space="preserve"> </w:t>
      </w:r>
      <w:r w:rsidR="00EB5869" w:rsidRPr="00346BF0">
        <w:rPr>
          <w:rFonts w:ascii="David" w:hAnsi="David"/>
          <w:b/>
          <w:bCs/>
          <w:u w:val="single"/>
          <w:rtl/>
        </w:rPr>
        <w:t>אלעד קסלר נ' מדינת ישראל</w:t>
      </w:r>
      <w:r w:rsidR="00EB5869" w:rsidRPr="00346BF0">
        <w:rPr>
          <w:rFonts w:ascii="David" w:hAnsi="David"/>
          <w:u w:val="single"/>
          <w:rtl/>
        </w:rPr>
        <w:t xml:space="preserve"> (23.12.21)</w:t>
      </w:r>
      <w:r w:rsidR="00EB5869">
        <w:rPr>
          <w:rFonts w:ascii="David" w:hAnsi="David"/>
          <w:rtl/>
        </w:rPr>
        <w:t xml:space="preserve"> – המערער הורשע בעבירה </w:t>
      </w:r>
      <w:r w:rsidR="00EB5869" w:rsidRPr="00346BF0">
        <w:rPr>
          <w:rFonts w:ascii="David" w:hAnsi="David"/>
          <w:rtl/>
        </w:rPr>
        <w:t>של החזקת סם שלא לצריכה עצמית וצירף תיק נוסף במסגרתו הורשע בעבירה של החזקת אגרופן או סכין שלא כדין. על פי כתב האישום המערער החזיק בביתו סם מסוג קנבוס במשקל כולל של 229.35 גרם נטו, במספר מקומות שונים. על פי כתב האישום בתיק המצורף המערער החזיק באגרופן, מחוץ לתחום ביתו, בעיר חולון. באשר לעבירת החזקת הסם שלא לצריכה עצמית, בית המשפט השלום העמיד את מתחם העונש ההולם כנע בין מאסר על תנאי לצד צו של"צ, וענישה נלווית ועד ל-8 חודשי מאסר בפועל.</w:t>
      </w:r>
      <w:r w:rsidR="00EB5869">
        <w:rPr>
          <w:rFonts w:ascii="David" w:hAnsi="David"/>
          <w:rtl/>
        </w:rPr>
        <w:t xml:space="preserve"> באשר לעבירת החזקת האגרופן, נקבע מתחם שנע בין מאסר על תנאי ל-6 חודשי מאסר בפועל. בית המשפט השלום גזר על המערער, יליד 1993, נעדר עבר פלילי, אשר הוציא מאז ביצוע העבירה רישיון לקנאביס רפואי ומאידך לא שיתף פעולה במהלך התהליך הארוך שעבר במסגרת שירות המבחן, מאסר לתקופה של 30 יום על דרך של עבודות שירות, צו מבחן למשך שנה וחצי כהמלצת שירות המבחן, מאסרים על תנאי, התחייבות, חילוט הטלפון הנייד וקנס בסך 2000 ₪. ערעור שהוגש לבית משפט מחוזי ובקשת רשות ערעור שהוגשה לבית משפט העליון – נדחו.  </w:t>
      </w:r>
    </w:p>
    <w:p w14:paraId="0E0E2010" w14:textId="77777777" w:rsidR="00EB5869" w:rsidRPr="0062621D" w:rsidRDefault="00EB5869" w:rsidP="00EB5869">
      <w:pPr>
        <w:pStyle w:val="aa"/>
        <w:spacing w:before="240" w:after="240" w:line="360" w:lineRule="auto"/>
        <w:ind w:left="728"/>
        <w:jc w:val="both"/>
      </w:pPr>
    </w:p>
    <w:p w14:paraId="4EF0C44D" w14:textId="77777777" w:rsidR="00EB5869" w:rsidRPr="00EB5869" w:rsidRDefault="00EB5869" w:rsidP="00EB5869">
      <w:pPr>
        <w:pStyle w:val="aa"/>
        <w:numPr>
          <w:ilvl w:val="0"/>
          <w:numId w:val="2"/>
        </w:numPr>
        <w:spacing w:line="360" w:lineRule="auto"/>
        <w:jc w:val="both"/>
        <w:rPr>
          <w:rFonts w:ascii="David" w:hAnsi="David"/>
        </w:rPr>
      </w:pPr>
      <w:r w:rsidRPr="0062621D">
        <w:rPr>
          <w:rFonts w:hint="cs"/>
          <w:u w:val="single"/>
          <w:rtl/>
        </w:rPr>
        <w:t>ב</w:t>
      </w:r>
      <w:hyperlink r:id="rId21" w:history="1">
        <w:r w:rsidR="00C43F55" w:rsidRPr="00C43F55">
          <w:rPr>
            <w:rFonts w:hint="cs"/>
            <w:color w:val="0000FF"/>
            <w:u w:val="single"/>
            <w:rtl/>
          </w:rPr>
          <w:t>רע</w:t>
        </w:r>
        <w:r w:rsidR="00C43F55" w:rsidRPr="00C43F55">
          <w:rPr>
            <w:color w:val="0000FF"/>
            <w:u w:val="single"/>
            <w:rtl/>
          </w:rPr>
          <w:t>"</w:t>
        </w:r>
        <w:r w:rsidR="00C43F55" w:rsidRPr="00C43F55">
          <w:rPr>
            <w:rFonts w:hint="cs"/>
            <w:color w:val="0000FF"/>
            <w:u w:val="single"/>
            <w:rtl/>
          </w:rPr>
          <w:t>פ</w:t>
        </w:r>
        <w:r w:rsidR="00C43F55" w:rsidRPr="00C43F55">
          <w:rPr>
            <w:color w:val="0000FF"/>
            <w:u w:val="single"/>
            <w:rtl/>
          </w:rPr>
          <w:t xml:space="preserve"> 322/15</w:t>
        </w:r>
      </w:hyperlink>
      <w:r w:rsidRPr="0062621D">
        <w:rPr>
          <w:rFonts w:hint="cs"/>
          <w:u w:val="single"/>
          <w:rtl/>
        </w:rPr>
        <w:t xml:space="preserve"> </w:t>
      </w:r>
      <w:r w:rsidRPr="0062621D">
        <w:rPr>
          <w:rFonts w:hint="cs"/>
          <w:b/>
          <w:bCs/>
          <w:u w:val="single"/>
          <w:rtl/>
        </w:rPr>
        <w:t xml:space="preserve">ג'אנח נ' מדינת ישראל </w:t>
      </w:r>
      <w:r w:rsidRPr="0062621D">
        <w:rPr>
          <w:rFonts w:hint="cs"/>
          <w:u w:val="single"/>
          <w:rtl/>
        </w:rPr>
        <w:t>(22.1.15)</w:t>
      </w:r>
      <w:r>
        <w:rPr>
          <w:rFonts w:hint="cs"/>
          <w:rtl/>
        </w:rPr>
        <w:t xml:space="preserve"> אישר בית המשפט העליון מתחם עונש הנע בין 7 חודשי מאסר בפועל לבין 18 חודשי מאסר בפועל ביחס לעבירה של החזקת סם מסוכן שלא לצריכה עצמית שעניינה החזקת חשיש במשקל כולל של כ - 400 גרם בבית מגוריו של המערער. </w:t>
      </w:r>
    </w:p>
    <w:p w14:paraId="05A7AA8C" w14:textId="77777777" w:rsidR="00EB5869" w:rsidRDefault="00EB5869" w:rsidP="00EB5869">
      <w:pPr>
        <w:pStyle w:val="aa"/>
        <w:spacing w:line="360" w:lineRule="auto"/>
        <w:jc w:val="both"/>
      </w:pPr>
    </w:p>
    <w:p w14:paraId="0C4677E8" w14:textId="77777777" w:rsidR="00EB5869" w:rsidRDefault="00EB5869" w:rsidP="00EB5869">
      <w:pPr>
        <w:pStyle w:val="aa"/>
        <w:numPr>
          <w:ilvl w:val="0"/>
          <w:numId w:val="2"/>
        </w:numPr>
        <w:spacing w:line="360" w:lineRule="auto"/>
        <w:jc w:val="both"/>
      </w:pPr>
      <w:r w:rsidRPr="0062621D">
        <w:rPr>
          <w:rFonts w:hint="cs"/>
          <w:u w:val="single"/>
          <w:rtl/>
        </w:rPr>
        <w:t>ב</w:t>
      </w:r>
      <w:hyperlink r:id="rId22" w:history="1">
        <w:r w:rsidR="00C43F55" w:rsidRPr="00C43F55">
          <w:rPr>
            <w:rFonts w:hint="cs"/>
            <w:color w:val="0000FF"/>
            <w:u w:val="single"/>
            <w:rtl/>
          </w:rPr>
          <w:t>עפ</w:t>
        </w:r>
        <w:r w:rsidR="00C43F55" w:rsidRPr="00C43F55">
          <w:rPr>
            <w:color w:val="0000FF"/>
            <w:u w:val="single"/>
            <w:rtl/>
          </w:rPr>
          <w:t>"</w:t>
        </w:r>
        <w:r w:rsidR="00C43F55" w:rsidRPr="00C43F55">
          <w:rPr>
            <w:rFonts w:hint="cs"/>
            <w:color w:val="0000FF"/>
            <w:u w:val="single"/>
            <w:rtl/>
          </w:rPr>
          <w:t>ג</w:t>
        </w:r>
        <w:r w:rsidR="00C43F55" w:rsidRPr="00C43F55">
          <w:rPr>
            <w:color w:val="0000FF"/>
            <w:u w:val="single"/>
            <w:rtl/>
          </w:rPr>
          <w:t xml:space="preserve"> 32337-12-16</w:t>
        </w:r>
      </w:hyperlink>
      <w:r w:rsidRPr="0062621D">
        <w:rPr>
          <w:rFonts w:hint="cs"/>
          <w:u w:val="single"/>
          <w:rtl/>
        </w:rPr>
        <w:t xml:space="preserve"> </w:t>
      </w:r>
      <w:r w:rsidRPr="0062621D">
        <w:rPr>
          <w:rFonts w:hint="cs"/>
          <w:b/>
          <w:bCs/>
          <w:u w:val="single"/>
          <w:rtl/>
        </w:rPr>
        <w:t>פרץ נ' מדינת ישראל</w:t>
      </w:r>
      <w:r w:rsidRPr="0062621D">
        <w:rPr>
          <w:rFonts w:hint="cs"/>
          <w:u w:val="single"/>
          <w:rtl/>
        </w:rPr>
        <w:t xml:space="preserve"> (1.2.17) </w:t>
      </w:r>
      <w:r>
        <w:rPr>
          <w:rFonts w:hint="cs"/>
          <w:rtl/>
        </w:rPr>
        <w:t>ציין בית המשפט המחוזי בבאר-שבע כי: "</w:t>
      </w:r>
      <w:r>
        <w:rPr>
          <w:rFonts w:hint="cs"/>
          <w:b/>
          <w:bCs/>
          <w:rtl/>
        </w:rPr>
        <w:t>המחזיק בסם מסוכן שלא לצריכה עצמית, צפוי בדרך כלל למאסר והחריג הוא שבית המשפט ימנע משליחתו למאסר לריצוי בפועל בכלא ממש..."</w:t>
      </w:r>
    </w:p>
    <w:p w14:paraId="0672B7DB" w14:textId="77777777" w:rsidR="00EB5869" w:rsidRDefault="00EB5869" w:rsidP="00EB5869">
      <w:pPr>
        <w:pStyle w:val="aa"/>
      </w:pPr>
    </w:p>
    <w:p w14:paraId="7A04055A" w14:textId="77777777" w:rsidR="00EB5869" w:rsidRDefault="00EB5869" w:rsidP="00EB5869">
      <w:pPr>
        <w:pStyle w:val="aa"/>
        <w:numPr>
          <w:ilvl w:val="0"/>
          <w:numId w:val="2"/>
        </w:numPr>
        <w:spacing w:line="360" w:lineRule="auto"/>
        <w:jc w:val="both"/>
      </w:pPr>
      <w:r w:rsidRPr="0062621D">
        <w:rPr>
          <w:rFonts w:hint="cs"/>
          <w:u w:val="single"/>
          <w:rtl/>
        </w:rPr>
        <w:t>ב</w:t>
      </w:r>
      <w:hyperlink r:id="rId23" w:history="1">
        <w:r w:rsidR="00C43F55" w:rsidRPr="00C43F55">
          <w:rPr>
            <w:rFonts w:hint="cs"/>
            <w:color w:val="0000FF"/>
            <w:u w:val="single"/>
            <w:rtl/>
          </w:rPr>
          <w:t>ת</w:t>
        </w:r>
        <w:r w:rsidR="00C43F55" w:rsidRPr="00C43F55">
          <w:rPr>
            <w:color w:val="0000FF"/>
            <w:u w:val="single"/>
            <w:rtl/>
          </w:rPr>
          <w:t>"</w:t>
        </w:r>
        <w:r w:rsidR="00C43F55" w:rsidRPr="00C43F55">
          <w:rPr>
            <w:rFonts w:hint="cs"/>
            <w:color w:val="0000FF"/>
            <w:u w:val="single"/>
            <w:rtl/>
          </w:rPr>
          <w:t>פ</w:t>
        </w:r>
        <w:r w:rsidR="00C43F55" w:rsidRPr="00C43F55">
          <w:rPr>
            <w:color w:val="0000FF"/>
            <w:u w:val="single"/>
            <w:rtl/>
          </w:rPr>
          <w:t xml:space="preserve"> 44373-01-17</w:t>
        </w:r>
      </w:hyperlink>
      <w:r w:rsidRPr="0062621D">
        <w:rPr>
          <w:rFonts w:hint="cs"/>
          <w:u w:val="single"/>
          <w:rtl/>
        </w:rPr>
        <w:t xml:space="preserve"> </w:t>
      </w:r>
      <w:r w:rsidRPr="0062621D">
        <w:rPr>
          <w:rFonts w:hint="cs"/>
          <w:b/>
          <w:bCs/>
          <w:u w:val="single"/>
          <w:rtl/>
        </w:rPr>
        <w:t xml:space="preserve">מדינת ישראל נ' אשורוב </w:t>
      </w:r>
      <w:r w:rsidRPr="0062621D">
        <w:rPr>
          <w:rFonts w:hint="cs"/>
          <w:u w:val="single"/>
          <w:rtl/>
        </w:rPr>
        <w:t>(6.4.17),</w:t>
      </w:r>
      <w:r>
        <w:rPr>
          <w:rFonts w:hint="cs"/>
          <w:rtl/>
        </w:rPr>
        <w:t xml:space="preserve"> בעניינו של הנאשם שהורשע בעבירה של החזקת סם מסוכן שלא לצריכה עצמית שעניינה החזקת סם מסוכן מסוג חשיש במשקל של 88 גרם, נקבע מתחם עונש הנע בין מספר חודשי מאסר בפועל שיכול להיות מרוצה בדרך של עבודות שירות לבין 12 חודשי מאסר בפועל. </w:t>
      </w:r>
    </w:p>
    <w:p w14:paraId="074E41C3" w14:textId="77777777" w:rsidR="00EB5869" w:rsidRDefault="00EB5869" w:rsidP="00EB5869">
      <w:pPr>
        <w:pStyle w:val="aa"/>
        <w:rPr>
          <w:rtl/>
        </w:rPr>
      </w:pPr>
    </w:p>
    <w:p w14:paraId="603D9740" w14:textId="77777777" w:rsidR="00EB5869" w:rsidRPr="009A2B39" w:rsidRDefault="00C43F55" w:rsidP="00EB5869">
      <w:pPr>
        <w:pStyle w:val="aa"/>
        <w:numPr>
          <w:ilvl w:val="0"/>
          <w:numId w:val="2"/>
        </w:numPr>
        <w:spacing w:before="240" w:after="240" w:line="360" w:lineRule="auto"/>
        <w:jc w:val="both"/>
        <w:rPr>
          <w:rFonts w:ascii="David" w:hAnsi="David"/>
          <w:rtl/>
        </w:rPr>
      </w:pPr>
      <w:hyperlink r:id="rId24" w:history="1">
        <w:r w:rsidRPr="00C43F55">
          <w:rPr>
            <w:rFonts w:hint="cs"/>
            <w:color w:val="0000FF"/>
            <w:u w:val="single"/>
            <w:rtl/>
          </w:rPr>
          <w:t>ת</w:t>
        </w:r>
        <w:r w:rsidRPr="00C43F55">
          <w:rPr>
            <w:color w:val="0000FF"/>
            <w:u w:val="single"/>
            <w:rtl/>
          </w:rPr>
          <w:t>"</w:t>
        </w:r>
        <w:r w:rsidRPr="00C43F55">
          <w:rPr>
            <w:rFonts w:hint="cs"/>
            <w:color w:val="0000FF"/>
            <w:u w:val="single"/>
            <w:rtl/>
          </w:rPr>
          <w:t>פ</w:t>
        </w:r>
        <w:r w:rsidRPr="00C43F55">
          <w:rPr>
            <w:color w:val="0000FF"/>
            <w:u w:val="single"/>
            <w:rtl/>
          </w:rPr>
          <w:t xml:space="preserve"> (</w:t>
        </w:r>
        <w:r w:rsidRPr="00C43F55">
          <w:rPr>
            <w:rFonts w:hint="cs"/>
            <w:color w:val="0000FF"/>
            <w:u w:val="single"/>
            <w:rtl/>
          </w:rPr>
          <w:t>תל</w:t>
        </w:r>
        <w:r w:rsidRPr="00C43F55">
          <w:rPr>
            <w:color w:val="0000FF"/>
            <w:u w:val="single"/>
            <w:rtl/>
          </w:rPr>
          <w:t>-</w:t>
        </w:r>
        <w:r w:rsidRPr="00C43F55">
          <w:rPr>
            <w:rFonts w:hint="cs"/>
            <w:color w:val="0000FF"/>
            <w:u w:val="single"/>
            <w:rtl/>
          </w:rPr>
          <w:t>אביב</w:t>
        </w:r>
        <w:r w:rsidRPr="00C43F55">
          <w:rPr>
            <w:color w:val="0000FF"/>
            <w:u w:val="single"/>
            <w:rtl/>
          </w:rPr>
          <w:t>) 59619-10-20</w:t>
        </w:r>
      </w:hyperlink>
      <w:r w:rsidR="00EB5869" w:rsidRPr="00346BF0">
        <w:rPr>
          <w:u w:val="single"/>
          <w:rtl/>
        </w:rPr>
        <w:t xml:space="preserve"> </w:t>
      </w:r>
      <w:r w:rsidR="00EB5869" w:rsidRPr="00346BF0">
        <w:rPr>
          <w:b/>
          <w:bCs/>
          <w:u w:val="single"/>
          <w:rtl/>
        </w:rPr>
        <w:t xml:space="preserve">מדינת ישראל נ' קרופניק </w:t>
      </w:r>
      <w:r w:rsidR="00EB5869" w:rsidRPr="00346BF0">
        <w:rPr>
          <w:u w:val="single"/>
          <w:rtl/>
        </w:rPr>
        <w:t>(05.12.21)</w:t>
      </w:r>
      <w:r w:rsidR="00EB5869">
        <w:rPr>
          <w:rtl/>
        </w:rPr>
        <w:t xml:space="preserve"> –הנאשם הורשע בעבירה של החזקת סם שלא לצריכה עצמית וכן החזקת אגרופן או סכין שלא כדין. הנאשם החזיק </w:t>
      </w:r>
      <w:r w:rsidR="00EB5869" w:rsidRPr="00346BF0">
        <w:rPr>
          <w:rtl/>
        </w:rPr>
        <w:t xml:space="preserve">ברכבו 2 פלטות של סם מסוכן מסוג חשיש במשקל כולל של כ-180 גר' וכן החזיק סכין ברכבו. </w:t>
      </w:r>
      <w:r w:rsidR="00EB5869">
        <w:rPr>
          <w:rFonts w:hint="cs"/>
          <w:rtl/>
        </w:rPr>
        <w:t>נקבע מתחם לשתי העבירות</w:t>
      </w:r>
      <w:r w:rsidR="00EB5869" w:rsidRPr="00346BF0">
        <w:rPr>
          <w:rtl/>
        </w:rPr>
        <w:t xml:space="preserve"> הנע בין מאסר על תנאי לצד של"צ ועד 10 חודשי מאסר בפועל, לצד ענישה נלווית. בית המשפט גזר על הנאשם, אשר לקח אחריות, </w:t>
      </w:r>
      <w:r w:rsidR="00EB5869">
        <w:rPr>
          <w:rFonts w:hint="cs"/>
          <w:rtl/>
        </w:rPr>
        <w:t>נעדר עבר</w:t>
      </w:r>
      <w:r w:rsidR="00EB5869" w:rsidRPr="00346BF0">
        <w:rPr>
          <w:rtl/>
        </w:rPr>
        <w:t xml:space="preserve"> פלילי, </w:t>
      </w:r>
      <w:r w:rsidR="00EB5869">
        <w:rPr>
          <w:rFonts w:hint="cs"/>
          <w:rtl/>
        </w:rPr>
        <w:t>תסקירו חיובי,</w:t>
      </w:r>
      <w:r w:rsidR="00EB5869">
        <w:rPr>
          <w:rtl/>
        </w:rPr>
        <w:t xml:space="preserve"> עונש ברף הנמוך שכלל 200 שעות של"צ, מאסרים על תנאי, קנס בסך 2,000 ₪, התחייבות ופסילה על תנאי.</w:t>
      </w:r>
    </w:p>
    <w:p w14:paraId="35E0620B" w14:textId="77777777" w:rsidR="00EB5869" w:rsidRDefault="00EB5869" w:rsidP="00EB5869">
      <w:pPr>
        <w:pStyle w:val="aa"/>
        <w:spacing w:before="240" w:after="240" w:line="360" w:lineRule="auto"/>
        <w:ind w:left="728"/>
        <w:jc w:val="both"/>
      </w:pPr>
    </w:p>
    <w:p w14:paraId="7C1E1A22" w14:textId="77777777" w:rsidR="00EB5869" w:rsidRPr="00453973" w:rsidRDefault="00C43F55" w:rsidP="00EB5869">
      <w:pPr>
        <w:pStyle w:val="aa"/>
        <w:numPr>
          <w:ilvl w:val="0"/>
          <w:numId w:val="2"/>
        </w:numPr>
        <w:spacing w:before="240" w:after="240" w:line="360" w:lineRule="auto"/>
        <w:jc w:val="both"/>
      </w:pPr>
      <w:hyperlink r:id="rId25" w:history="1">
        <w:r w:rsidRPr="00C43F55">
          <w:rPr>
            <w:rFonts w:ascii="David" w:hAnsi="David"/>
            <w:color w:val="0000FF"/>
            <w:u w:val="single"/>
            <w:rtl/>
          </w:rPr>
          <w:t>ת"פ 42810-09-21</w:t>
        </w:r>
      </w:hyperlink>
      <w:r w:rsidR="00EB5869" w:rsidRPr="0062621D">
        <w:rPr>
          <w:rFonts w:ascii="David" w:hAnsi="David"/>
          <w:u w:val="single"/>
          <w:rtl/>
        </w:rPr>
        <w:t xml:space="preserve"> </w:t>
      </w:r>
      <w:r w:rsidR="00EB5869" w:rsidRPr="0062621D">
        <w:rPr>
          <w:rFonts w:ascii="David" w:hAnsi="David"/>
          <w:b/>
          <w:bCs/>
          <w:u w:val="single"/>
          <w:rtl/>
        </w:rPr>
        <w:t>(</w:t>
      </w:r>
      <w:r w:rsidR="00EB5869" w:rsidRPr="0062621D">
        <w:rPr>
          <w:rFonts w:ascii="David" w:hAnsi="David"/>
          <w:u w:val="single"/>
          <w:rtl/>
        </w:rPr>
        <w:t xml:space="preserve">תל-אביב) </w:t>
      </w:r>
      <w:r w:rsidR="00EB5869" w:rsidRPr="0062621D">
        <w:rPr>
          <w:rFonts w:ascii="David" w:hAnsi="David"/>
          <w:b/>
          <w:bCs/>
          <w:u w:val="single"/>
          <w:rtl/>
        </w:rPr>
        <w:t xml:space="preserve">מדינת ישראל נ' מחני </w:t>
      </w:r>
      <w:r w:rsidR="00EB5869" w:rsidRPr="0062621D">
        <w:rPr>
          <w:rFonts w:ascii="David" w:hAnsi="David"/>
          <w:u w:val="single"/>
          <w:rtl/>
        </w:rPr>
        <w:t>(15.02.22)</w:t>
      </w:r>
      <w:r w:rsidR="00EB5869">
        <w:rPr>
          <w:rFonts w:ascii="David" w:hAnsi="David"/>
          <w:rtl/>
        </w:rPr>
        <w:t xml:space="preserve"> – הנאשם הורשע, על פי הודאתו, בעבירה </w:t>
      </w:r>
      <w:r w:rsidR="00EB5869" w:rsidRPr="0062621D">
        <w:rPr>
          <w:rFonts w:ascii="David" w:hAnsi="David"/>
          <w:rtl/>
        </w:rPr>
        <w:t>של החזקת סם שלא לצריכה עצמית. על פי עובדות כתב האישום, ביום  06/12/20 בשעה 21:15 לערך, בעודו נוהג ברכב החזיק הנאשם מתחת למושב הנוסע שליד הנהג שקית ובה סם מסוכן מסוג קנאביס במשקל 224.13 גרם נטו וליד משענת היד שבין מושב הנהג למושב הנוסע החזיק במספר פרחים של סם מסוכן מסוג קנאביס במשקל 8.45 גרם נטו. בית המשפט העמיד את מתחם העונש ההולם כנע בין מאסר על תנאי לצד צו של"צ, וענישה נלווית ועד ל-8 חודשי מאסר בפועל וגזר</w:t>
      </w:r>
      <w:r w:rsidR="00EB5869">
        <w:rPr>
          <w:rFonts w:ascii="David" w:hAnsi="David"/>
          <w:rtl/>
        </w:rPr>
        <w:t xml:space="preserve"> על הנאשם, על מצבו הרפואי המורכב, אשר בידו אישור לקנאביס רפואי, ואשר הסמים נתפסו לא מחולקים, כאשר בתיק גם קשים ראייתיים, מאסרים על תנאי (7 חודשים ל3 שנים על עבירות סמים מסוג פשע, 3 חודשים ל3 שנים על עבירות סמים מסוג עוון), קנס, פסילת רישיון על תנאי והתחייבות, כל זאת בשים לב לכך שלנאשם אישור לקנאביס רפואי.</w:t>
      </w:r>
      <w:r w:rsidR="00EB5869">
        <w:rPr>
          <w:rtl/>
        </w:rPr>
        <w:t xml:space="preserve"> </w:t>
      </w:r>
    </w:p>
    <w:p w14:paraId="29DD77E6" w14:textId="77777777" w:rsidR="00EB5869" w:rsidRPr="0062621D" w:rsidRDefault="00EB5869" w:rsidP="00EB5869">
      <w:pPr>
        <w:pStyle w:val="aa"/>
        <w:spacing w:before="240" w:after="240" w:line="360" w:lineRule="auto"/>
        <w:ind w:left="728"/>
        <w:jc w:val="both"/>
      </w:pPr>
    </w:p>
    <w:p w14:paraId="304D7B9C" w14:textId="77777777" w:rsidR="00EB5869" w:rsidRPr="002F274A" w:rsidRDefault="00EB5869" w:rsidP="00EB5869">
      <w:pPr>
        <w:pStyle w:val="aa"/>
        <w:numPr>
          <w:ilvl w:val="0"/>
          <w:numId w:val="1"/>
        </w:numPr>
        <w:spacing w:after="120" w:line="360" w:lineRule="auto"/>
        <w:jc w:val="both"/>
        <w:rPr>
          <w:rFonts w:ascii="David" w:hAnsi="David"/>
        </w:rPr>
      </w:pPr>
      <w:r>
        <w:rPr>
          <w:rFonts w:ascii="David" w:hAnsi="David"/>
          <w:rtl/>
        </w:rPr>
        <w:t xml:space="preserve">במסגרת </w:t>
      </w:r>
      <w:r>
        <w:rPr>
          <w:rFonts w:ascii="David" w:hAnsi="David"/>
          <w:b/>
          <w:bCs/>
          <w:rtl/>
        </w:rPr>
        <w:t>הנסיבות הקשורות בביצוע העבירה</w:t>
      </w:r>
      <w:r>
        <w:rPr>
          <w:rFonts w:ascii="David" w:hAnsi="David"/>
          <w:rtl/>
        </w:rPr>
        <w:t xml:space="preserve"> </w:t>
      </w:r>
      <w:r w:rsidRPr="00453973">
        <w:rPr>
          <w:rFonts w:ascii="David" w:hAnsi="David"/>
          <w:rtl/>
        </w:rPr>
        <w:t>(</w:t>
      </w:r>
      <w:hyperlink r:id="rId26" w:history="1">
        <w:r w:rsidR="00875F6B" w:rsidRPr="00875F6B">
          <w:rPr>
            <w:rStyle w:val="Hyperlink"/>
            <w:rFonts w:ascii="David" w:hAnsi="David"/>
            <w:rtl/>
          </w:rPr>
          <w:t>סעיף 40ט</w:t>
        </w:r>
      </w:hyperlink>
      <w:r w:rsidRPr="00453973">
        <w:rPr>
          <w:rFonts w:ascii="David" w:hAnsi="David"/>
          <w:rtl/>
        </w:rPr>
        <w:t xml:space="preserve"> לחוק) </w:t>
      </w:r>
      <w:r>
        <w:rPr>
          <w:rFonts w:ascii="David" w:hAnsi="David"/>
          <w:rtl/>
        </w:rPr>
        <w:t xml:space="preserve">יש לתת את הדעת לתכנון שקדם לביצוע העבירות, אף שלא היה מורכב, לנזקים הישירים והעקיפים שנגמרו ועלולים להיגרם כתוצאה משימוש בסמים והפצתם. יחד עם זאת, יש להתחשב בסוג הסם, סם מסוג "קנבוס" ובכמות. </w:t>
      </w:r>
      <w:r w:rsidRPr="00EB5869">
        <w:rPr>
          <w:rFonts w:hint="cs"/>
          <w:color w:val="000000"/>
          <w:rtl/>
        </w:rPr>
        <w:t xml:space="preserve">בעניינו של הנאשם דנן, המדובר בכמות סם קטנה, מקום שמדובר במספר עציצים בני - 150 גרם נטו. לקולת הנאשם לקחתי בחשבון את העובדה שהמדובר באירוע נקודתי. לקולת הנאשם נתתי משקל לכך שלא עולה  מכתב האישום המתוקן דבר קיומם של פריטים התומכים בהחזקת הסם לצרכי הפצה בדמות משקלים אלקטרונים, אריזות וכיוצ"ב. </w:t>
      </w:r>
    </w:p>
    <w:p w14:paraId="278BED56" w14:textId="77777777" w:rsidR="00EB5869" w:rsidRPr="002F274A" w:rsidRDefault="00EB5869" w:rsidP="00EB5869">
      <w:pPr>
        <w:pStyle w:val="aa"/>
        <w:spacing w:after="120" w:line="360" w:lineRule="auto"/>
        <w:jc w:val="both"/>
        <w:rPr>
          <w:rFonts w:ascii="David" w:hAnsi="David"/>
        </w:rPr>
      </w:pPr>
    </w:p>
    <w:p w14:paraId="3E1CB1AB" w14:textId="77777777" w:rsidR="00EB5869" w:rsidRDefault="00EB5869" w:rsidP="00EB5869">
      <w:pPr>
        <w:pStyle w:val="aa"/>
        <w:numPr>
          <w:ilvl w:val="0"/>
          <w:numId w:val="1"/>
        </w:numPr>
        <w:spacing w:after="120" w:line="360" w:lineRule="auto"/>
        <w:jc w:val="both"/>
        <w:rPr>
          <w:rFonts w:ascii="David" w:hAnsi="David"/>
        </w:rPr>
      </w:pPr>
      <w:r>
        <w:rPr>
          <w:rFonts w:ascii="David" w:hAnsi="David"/>
          <w:rtl/>
        </w:rPr>
        <w:t xml:space="preserve">בהתאם לתיקון 113 </w:t>
      </w:r>
      <w:r w:rsidRPr="00453973">
        <w:rPr>
          <w:rFonts w:ascii="David" w:hAnsi="David"/>
          <w:rtl/>
        </w:rPr>
        <w:t>ל</w:t>
      </w:r>
      <w:hyperlink r:id="rId27" w:history="1">
        <w:r w:rsidR="00C43F55" w:rsidRPr="00C43F55">
          <w:rPr>
            <w:rFonts w:ascii="David" w:hAnsi="David"/>
            <w:color w:val="0000FF"/>
            <w:u w:val="single"/>
            <w:rtl/>
          </w:rPr>
          <w:t>חוק העונשין</w:t>
        </w:r>
      </w:hyperlink>
      <w:r w:rsidRPr="00453973">
        <w:rPr>
          <w:rFonts w:ascii="David" w:hAnsi="David"/>
          <w:rtl/>
        </w:rPr>
        <w:t xml:space="preserve"> (סעיף </w:t>
      </w:r>
      <w:hyperlink r:id="rId28" w:history="1">
        <w:r w:rsidR="00875F6B" w:rsidRPr="00875F6B">
          <w:rPr>
            <w:rStyle w:val="Hyperlink"/>
            <w:rFonts w:ascii="David" w:hAnsi="David"/>
            <w:rtl/>
          </w:rPr>
          <w:t>40 יג)</w:t>
        </w:r>
      </w:hyperlink>
      <w:r w:rsidRPr="00453973">
        <w:rPr>
          <w:rFonts w:ascii="David" w:hAnsi="David"/>
          <w:rtl/>
        </w:rPr>
        <w:t xml:space="preserve"> מצאתי כי</w:t>
      </w:r>
      <w:r>
        <w:rPr>
          <w:rFonts w:ascii="David" w:hAnsi="David"/>
          <w:rtl/>
        </w:rPr>
        <w:t xml:space="preserve"> </w:t>
      </w:r>
      <w:r>
        <w:rPr>
          <w:rFonts w:ascii="David" w:hAnsi="David"/>
          <w:b/>
          <w:bCs/>
          <w:rtl/>
        </w:rPr>
        <w:t>מתחם העונש ההולם</w:t>
      </w:r>
      <w:r>
        <w:rPr>
          <w:rFonts w:ascii="David" w:hAnsi="David"/>
          <w:rtl/>
        </w:rPr>
        <w:t xml:space="preserve"> בגין העבירות שביצע הנאשם נע בין מאסר מותנה לצד </w:t>
      </w:r>
      <w:r>
        <w:rPr>
          <w:rFonts w:ascii="David" w:hAnsi="David" w:hint="cs"/>
          <w:rtl/>
        </w:rPr>
        <w:t>צו</w:t>
      </w:r>
      <w:r>
        <w:rPr>
          <w:rFonts w:ascii="David" w:hAnsi="David"/>
          <w:rtl/>
        </w:rPr>
        <w:t xml:space="preserve"> של"צ ועד </w:t>
      </w:r>
      <w:r>
        <w:rPr>
          <w:rFonts w:ascii="David" w:hAnsi="David" w:hint="cs"/>
          <w:rtl/>
        </w:rPr>
        <w:t>12</w:t>
      </w:r>
      <w:r>
        <w:rPr>
          <w:rFonts w:ascii="David" w:hAnsi="David"/>
          <w:rtl/>
        </w:rPr>
        <w:t xml:space="preserve"> חודשי מאסר בפועל. </w:t>
      </w:r>
    </w:p>
    <w:p w14:paraId="6DD8B427" w14:textId="77777777" w:rsidR="00EB5869" w:rsidRDefault="00EB5869" w:rsidP="00EB5869">
      <w:pPr>
        <w:pStyle w:val="aa"/>
        <w:rPr>
          <w:rFonts w:ascii="David" w:hAnsi="David"/>
        </w:rPr>
      </w:pPr>
    </w:p>
    <w:p w14:paraId="2D841D80" w14:textId="77777777" w:rsidR="00EB5869" w:rsidRDefault="00EB5869" w:rsidP="00EB5869">
      <w:pPr>
        <w:pStyle w:val="aa"/>
        <w:numPr>
          <w:ilvl w:val="0"/>
          <w:numId w:val="1"/>
        </w:numPr>
        <w:spacing w:after="120" w:line="360" w:lineRule="auto"/>
        <w:jc w:val="both"/>
        <w:rPr>
          <w:rFonts w:ascii="David" w:hAnsi="David"/>
          <w:rtl/>
        </w:rPr>
      </w:pPr>
      <w:r>
        <w:rPr>
          <w:rFonts w:ascii="David" w:hAnsi="David"/>
          <w:rtl/>
        </w:rPr>
        <w:t xml:space="preserve">באשר לשיקולים המצדיקים </w:t>
      </w:r>
      <w:r>
        <w:rPr>
          <w:rFonts w:ascii="David" w:hAnsi="David"/>
          <w:b/>
          <w:bCs/>
          <w:rtl/>
        </w:rPr>
        <w:t xml:space="preserve">סטייה מהמתחם </w:t>
      </w:r>
      <w:r w:rsidRPr="002F274A">
        <w:rPr>
          <w:rFonts w:ascii="David" w:hAnsi="David"/>
          <w:rtl/>
        </w:rPr>
        <w:t>לחומרה לשם הגנה על שלום הציבור או סטייה מהמתחם לקולה לשם שיקומו של הנאש</w:t>
      </w:r>
      <w:r>
        <w:rPr>
          <w:rFonts w:ascii="David" w:hAnsi="David"/>
          <w:rtl/>
        </w:rPr>
        <w:t xml:space="preserve">ם לפי סעיף </w:t>
      </w:r>
      <w:hyperlink r:id="rId29" w:history="1">
        <w:r w:rsidR="00875F6B" w:rsidRPr="00875F6B">
          <w:rPr>
            <w:rStyle w:val="Hyperlink"/>
            <w:rFonts w:ascii="David" w:hAnsi="David"/>
            <w:rtl/>
          </w:rPr>
          <w:t>40 יד (3)</w:t>
        </w:r>
      </w:hyperlink>
      <w:r>
        <w:rPr>
          <w:rFonts w:ascii="David" w:hAnsi="David"/>
          <w:rtl/>
        </w:rPr>
        <w:t xml:space="preserve"> לחוק, לא מצאתי כי ישנם שיקולים המצדיקים סטייה מהמתחם.  </w:t>
      </w:r>
    </w:p>
    <w:p w14:paraId="406C8F8B" w14:textId="77777777" w:rsidR="00EB5869" w:rsidRDefault="00EB5869" w:rsidP="00EB5869">
      <w:pPr>
        <w:pStyle w:val="aa"/>
        <w:rPr>
          <w:rFonts w:ascii="David" w:hAnsi="David"/>
          <w:bCs/>
          <w:u w:val="single"/>
          <w:lang w:eastAsia="he-IL"/>
        </w:rPr>
      </w:pPr>
    </w:p>
    <w:p w14:paraId="1FCB8B62" w14:textId="77777777" w:rsidR="00EB5869" w:rsidRDefault="00EB5869" w:rsidP="00EB5869">
      <w:pPr>
        <w:pStyle w:val="aa"/>
        <w:spacing w:after="120" w:line="360" w:lineRule="auto"/>
        <w:jc w:val="both"/>
        <w:rPr>
          <w:rFonts w:ascii="David" w:hAnsi="David"/>
          <w:rtl/>
        </w:rPr>
      </w:pPr>
      <w:r>
        <w:rPr>
          <w:rFonts w:ascii="David" w:hAnsi="David"/>
          <w:bCs/>
          <w:u w:val="single"/>
          <w:rtl/>
          <w:lang w:eastAsia="he-IL"/>
        </w:rPr>
        <w:t>גזירת העונש המתאים לנאשם</w:t>
      </w:r>
    </w:p>
    <w:p w14:paraId="5EAEF7CE" w14:textId="77777777" w:rsidR="00EB5869" w:rsidRDefault="00EB5869" w:rsidP="00EB5869">
      <w:pPr>
        <w:pStyle w:val="aa"/>
        <w:rPr>
          <w:rFonts w:ascii="David" w:hAnsi="David"/>
        </w:rPr>
      </w:pPr>
    </w:p>
    <w:p w14:paraId="7965856E" w14:textId="77777777" w:rsidR="00EB5869" w:rsidRDefault="00EB5869" w:rsidP="00EB5869">
      <w:pPr>
        <w:pStyle w:val="aa"/>
        <w:numPr>
          <w:ilvl w:val="0"/>
          <w:numId w:val="1"/>
        </w:numPr>
        <w:spacing w:after="120" w:line="360" w:lineRule="auto"/>
        <w:jc w:val="both"/>
        <w:rPr>
          <w:rFonts w:ascii="David" w:hAnsi="David"/>
          <w:rtl/>
        </w:rPr>
      </w:pPr>
      <w:r>
        <w:rPr>
          <w:rFonts w:ascii="David" w:hAnsi="David"/>
          <w:rtl/>
        </w:rPr>
        <w:t xml:space="preserve">המדובר בנאשם יליד שנת 1990, רווק, לחובתו </w:t>
      </w:r>
      <w:r>
        <w:rPr>
          <w:rFonts w:ascii="David" w:hAnsi="David" w:hint="cs"/>
          <w:rtl/>
        </w:rPr>
        <w:t>הרשעה</w:t>
      </w:r>
      <w:r>
        <w:rPr>
          <w:rFonts w:ascii="David" w:hAnsi="David"/>
          <w:rtl/>
        </w:rPr>
        <w:t xml:space="preserve"> אחת </w:t>
      </w:r>
      <w:r>
        <w:rPr>
          <w:rFonts w:ascii="David" w:hAnsi="David" w:hint="cs"/>
          <w:rtl/>
        </w:rPr>
        <w:t>שאיננה ממן העניין</w:t>
      </w:r>
      <w:r>
        <w:rPr>
          <w:rFonts w:ascii="David" w:hAnsi="David"/>
          <w:rtl/>
        </w:rPr>
        <w:t>. המדובר בנאשם שעבר חיים לא קלים</w:t>
      </w:r>
      <w:r>
        <w:rPr>
          <w:rFonts w:ascii="David" w:hAnsi="David" w:hint="cs"/>
          <w:rtl/>
        </w:rPr>
        <w:t xml:space="preserve"> בלשון המעטה</w:t>
      </w:r>
      <w:r>
        <w:rPr>
          <w:rFonts w:ascii="David" w:hAnsi="David"/>
          <w:rtl/>
        </w:rPr>
        <w:t>,</w:t>
      </w:r>
      <w:r>
        <w:rPr>
          <w:rFonts w:ascii="David" w:hAnsi="David" w:hint="cs"/>
          <w:rtl/>
        </w:rPr>
        <w:t xml:space="preserve"> גדל</w:t>
      </w:r>
      <w:r>
        <w:rPr>
          <w:rFonts w:ascii="David" w:hAnsi="David"/>
          <w:rtl/>
        </w:rPr>
        <w:t xml:space="preserve"> בצל אלימות קשה </w:t>
      </w:r>
      <w:r>
        <w:rPr>
          <w:rFonts w:ascii="David" w:hAnsi="David" w:hint="cs"/>
          <w:rtl/>
        </w:rPr>
        <w:t xml:space="preserve">סובל מפוסט טראומה </w:t>
      </w:r>
      <w:r>
        <w:rPr>
          <w:rFonts w:ascii="David" w:hAnsi="David"/>
          <w:rtl/>
        </w:rPr>
        <w:t xml:space="preserve">ומצבו הבריאותי רעוע </w:t>
      </w:r>
      <w:r>
        <w:rPr>
          <w:rFonts w:ascii="David" w:hAnsi="David" w:hint="cs"/>
          <w:rtl/>
        </w:rPr>
        <w:t xml:space="preserve">כעולה מהמסמכים אשר הוגשו לעיון בית המשפט ומפאת צנעת הפרט לא אפרטם. כמו כן, עולה מהמסמכים שהוגשו כי </w:t>
      </w:r>
      <w:r>
        <w:rPr>
          <w:rFonts w:ascii="David" w:hAnsi="David"/>
          <w:rtl/>
        </w:rPr>
        <w:t>בשל מצבו הבריאותי, אינו כשיר לביצוע עבודות שירות וכיום אינו עובד. הנאשם הודה בהזדמנות הראשונה, לקח אחריות וחסך זמן שיפוטי.</w:t>
      </w:r>
      <w:r>
        <w:rPr>
          <w:rFonts w:ascii="David" w:hAnsi="David" w:hint="cs"/>
          <w:rtl/>
        </w:rPr>
        <w:t xml:space="preserve"> עוד יש לציין כי הנאשם עבר הליך טיפולי משמעותי בתיק קודם וזאת במשך מספר שנים ואף ביצע של"צ בעבר.</w:t>
      </w:r>
    </w:p>
    <w:p w14:paraId="46BCC6DF" w14:textId="77777777" w:rsidR="00EB5869" w:rsidRDefault="00EB5869" w:rsidP="00EB5869">
      <w:pPr>
        <w:pStyle w:val="aa"/>
        <w:spacing w:after="120" w:line="360" w:lineRule="auto"/>
        <w:jc w:val="both"/>
        <w:rPr>
          <w:rFonts w:ascii="David" w:hAnsi="David"/>
        </w:rPr>
      </w:pPr>
    </w:p>
    <w:p w14:paraId="532620DE" w14:textId="77777777" w:rsidR="00EB5869" w:rsidRDefault="00EB5869" w:rsidP="00EB5869">
      <w:pPr>
        <w:pStyle w:val="aa"/>
        <w:numPr>
          <w:ilvl w:val="0"/>
          <w:numId w:val="1"/>
        </w:numPr>
        <w:spacing w:line="360" w:lineRule="auto"/>
        <w:jc w:val="both"/>
        <w:rPr>
          <w:rFonts w:ascii="David" w:hAnsi="David"/>
        </w:rPr>
      </w:pPr>
      <w:r>
        <w:rPr>
          <w:rFonts w:ascii="David" w:hAnsi="David"/>
          <w:rtl/>
        </w:rPr>
        <w:t>באיזון בין השיקולים השונים כמפורט לעיל, שוכנעתי כי יש להטיל על הנאשם ענישה ברף הנמוך של המתחם בדמות מאסר על תנאי לצד צו של"צ וכן עונשים נלווים הכוללים.</w:t>
      </w:r>
      <w:r>
        <w:rPr>
          <w:rFonts w:ascii="David" w:hAnsi="David" w:hint="cs"/>
          <w:rtl/>
        </w:rPr>
        <w:t xml:space="preserve"> אציין כי לא מצאתי לנכון לפסול הרישיון בפועל בשים לב לכך שהסמים נמצאו בדירתו ולא ברכבו ובשים לב לכך שלנאשם כעת אישור להחזקת קנבוס רפואי.</w:t>
      </w:r>
      <w:r>
        <w:rPr>
          <w:rFonts w:ascii="David" w:hAnsi="David"/>
          <w:rtl/>
        </w:rPr>
        <w:t xml:space="preserve"> </w:t>
      </w:r>
    </w:p>
    <w:p w14:paraId="78C7C5E7" w14:textId="77777777" w:rsidR="00EB5869" w:rsidRDefault="00EB5869" w:rsidP="00EB5869">
      <w:pPr>
        <w:pStyle w:val="aa"/>
        <w:rPr>
          <w:rFonts w:ascii="David" w:hAnsi="David"/>
          <w:b/>
          <w:bCs/>
        </w:rPr>
      </w:pPr>
    </w:p>
    <w:p w14:paraId="23002648" w14:textId="77777777" w:rsidR="00EB5869" w:rsidRDefault="00EB5869" w:rsidP="00EB5869">
      <w:pPr>
        <w:pStyle w:val="aa"/>
        <w:numPr>
          <w:ilvl w:val="0"/>
          <w:numId w:val="1"/>
        </w:numPr>
        <w:spacing w:line="360" w:lineRule="auto"/>
        <w:jc w:val="both"/>
        <w:rPr>
          <w:rFonts w:ascii="David" w:hAnsi="David"/>
        </w:rPr>
      </w:pPr>
      <w:r>
        <w:rPr>
          <w:rFonts w:ascii="David" w:hAnsi="David"/>
          <w:b/>
          <w:bCs/>
          <w:rtl/>
        </w:rPr>
        <w:t>אשר על כן, אני גוזרת על הנאשם את העונשים הבאים:</w:t>
      </w:r>
    </w:p>
    <w:p w14:paraId="57C95945" w14:textId="77777777" w:rsidR="00EB5869" w:rsidRPr="002F274A" w:rsidRDefault="00EB5869" w:rsidP="00EB5869">
      <w:pPr>
        <w:pStyle w:val="aa"/>
        <w:rPr>
          <w:rFonts w:ascii="David" w:hAnsi="David"/>
          <w:rtl/>
        </w:rPr>
      </w:pPr>
    </w:p>
    <w:p w14:paraId="62727FFC" w14:textId="77777777" w:rsidR="00EB5869" w:rsidRDefault="00EB5869" w:rsidP="00EB5869">
      <w:pPr>
        <w:pStyle w:val="aa"/>
        <w:spacing w:line="360" w:lineRule="auto"/>
        <w:jc w:val="both"/>
        <w:rPr>
          <w:rFonts w:ascii="David" w:hAnsi="David"/>
          <w:rtl/>
        </w:rPr>
      </w:pPr>
    </w:p>
    <w:p w14:paraId="5DA4D12B" w14:textId="77777777" w:rsidR="00EB5869" w:rsidRDefault="00EB5869" w:rsidP="00EB5869">
      <w:pPr>
        <w:pStyle w:val="aa"/>
        <w:numPr>
          <w:ilvl w:val="0"/>
          <w:numId w:val="4"/>
        </w:numPr>
        <w:spacing w:line="360" w:lineRule="auto"/>
        <w:jc w:val="both"/>
        <w:rPr>
          <w:rFonts w:ascii="David" w:hAnsi="David"/>
          <w:b/>
          <w:bCs/>
        </w:rPr>
      </w:pPr>
      <w:r>
        <w:rPr>
          <w:rFonts w:ascii="David" w:hAnsi="David" w:hint="cs"/>
          <w:rtl/>
        </w:rPr>
        <w:t xml:space="preserve">6 </w:t>
      </w:r>
      <w:r w:rsidRPr="002F274A">
        <w:rPr>
          <w:rFonts w:ascii="David" w:hAnsi="David"/>
          <w:rtl/>
        </w:rPr>
        <w:t xml:space="preserve">חודשי מאסר על תנאי למשך 3 שנים מהיום שלא יעבור עבירה מסוג פשע לפי </w:t>
      </w:r>
      <w:hyperlink r:id="rId30" w:history="1">
        <w:r w:rsidR="00C43F55" w:rsidRPr="00C43F55">
          <w:rPr>
            <w:rFonts w:ascii="David" w:hAnsi="David"/>
            <w:color w:val="0000FF"/>
            <w:u w:val="single"/>
            <w:rtl/>
          </w:rPr>
          <w:t>פקודת הסמים המסוכנים</w:t>
        </w:r>
      </w:hyperlink>
      <w:r w:rsidRPr="002F274A">
        <w:rPr>
          <w:rFonts w:ascii="David" w:hAnsi="David"/>
          <w:rtl/>
        </w:rPr>
        <w:t>.</w:t>
      </w:r>
      <w:r w:rsidRPr="002F274A">
        <w:rPr>
          <w:rFonts w:ascii="David" w:hAnsi="David"/>
          <w:b/>
          <w:bCs/>
          <w:rtl/>
        </w:rPr>
        <w:t xml:space="preserve"> </w:t>
      </w:r>
    </w:p>
    <w:p w14:paraId="16F94AAC" w14:textId="77777777" w:rsidR="00EB5869" w:rsidRDefault="00EB5869" w:rsidP="00EB5869">
      <w:pPr>
        <w:pStyle w:val="aa"/>
        <w:spacing w:line="360" w:lineRule="auto"/>
        <w:ind w:left="780"/>
        <w:jc w:val="both"/>
        <w:rPr>
          <w:rFonts w:ascii="David" w:hAnsi="David"/>
          <w:b/>
          <w:bCs/>
        </w:rPr>
      </w:pPr>
    </w:p>
    <w:p w14:paraId="74B2591C" w14:textId="77777777" w:rsidR="00EB5869" w:rsidRDefault="00EB5869" w:rsidP="00EB5869">
      <w:pPr>
        <w:pStyle w:val="aa"/>
        <w:numPr>
          <w:ilvl w:val="0"/>
          <w:numId w:val="4"/>
        </w:numPr>
        <w:spacing w:line="360" w:lineRule="auto"/>
        <w:jc w:val="both"/>
        <w:rPr>
          <w:rFonts w:ascii="David" w:hAnsi="David"/>
          <w:b/>
          <w:bCs/>
        </w:rPr>
      </w:pPr>
      <w:r>
        <w:rPr>
          <w:rFonts w:ascii="David" w:hAnsi="David" w:hint="cs"/>
          <w:rtl/>
        </w:rPr>
        <w:t>2</w:t>
      </w:r>
      <w:r w:rsidRPr="002F274A">
        <w:rPr>
          <w:rFonts w:ascii="David" w:hAnsi="David"/>
          <w:rtl/>
        </w:rPr>
        <w:t xml:space="preserve"> חודשי מאסר על תנאי למשך שנתיים מהיום שלא יעבור עבירה מסוג עוון לפי </w:t>
      </w:r>
      <w:hyperlink r:id="rId31" w:history="1">
        <w:r w:rsidR="00C43F55" w:rsidRPr="00C43F55">
          <w:rPr>
            <w:rFonts w:ascii="David" w:hAnsi="David"/>
            <w:color w:val="0000FF"/>
            <w:u w:val="single"/>
            <w:rtl/>
          </w:rPr>
          <w:t>פקודת הסמים המסוכנים</w:t>
        </w:r>
      </w:hyperlink>
      <w:r w:rsidRPr="002F274A">
        <w:rPr>
          <w:rFonts w:ascii="David" w:hAnsi="David"/>
          <w:rtl/>
        </w:rPr>
        <w:t xml:space="preserve">. </w:t>
      </w:r>
    </w:p>
    <w:p w14:paraId="791182F3" w14:textId="77777777" w:rsidR="00EB5869" w:rsidRPr="002F274A" w:rsidRDefault="00EB5869" w:rsidP="00EB5869">
      <w:pPr>
        <w:pStyle w:val="aa"/>
        <w:rPr>
          <w:rFonts w:ascii="David" w:hAnsi="David"/>
          <w:b/>
          <w:bCs/>
          <w:rtl/>
        </w:rPr>
      </w:pPr>
    </w:p>
    <w:p w14:paraId="2FD9A72E" w14:textId="77777777" w:rsidR="00EB5869" w:rsidRPr="002F274A" w:rsidRDefault="00EB5869" w:rsidP="00EB5869">
      <w:pPr>
        <w:pStyle w:val="aa"/>
        <w:numPr>
          <w:ilvl w:val="0"/>
          <w:numId w:val="4"/>
        </w:numPr>
        <w:spacing w:line="360" w:lineRule="auto"/>
        <w:jc w:val="both"/>
        <w:rPr>
          <w:rFonts w:ascii="David" w:hAnsi="David"/>
          <w:b/>
          <w:bCs/>
        </w:rPr>
      </w:pPr>
      <w:r w:rsidRPr="002F274A">
        <w:rPr>
          <w:rFonts w:ascii="David" w:hAnsi="David"/>
          <w:rtl/>
        </w:rPr>
        <w:t xml:space="preserve">מטילה על הנאשם צו לביצוע </w:t>
      </w:r>
      <w:r>
        <w:rPr>
          <w:rFonts w:ascii="David" w:hAnsi="David" w:hint="cs"/>
          <w:rtl/>
        </w:rPr>
        <w:t xml:space="preserve">140 </w:t>
      </w:r>
      <w:r w:rsidRPr="002F274A">
        <w:rPr>
          <w:rFonts w:ascii="David" w:hAnsi="David"/>
          <w:rtl/>
        </w:rPr>
        <w:t xml:space="preserve"> שעות שירות לתועלת הציבור וזאת במשך שנה.</w:t>
      </w:r>
    </w:p>
    <w:p w14:paraId="4BEF4FC6" w14:textId="77777777" w:rsidR="00EB5869" w:rsidRDefault="00EB5869" w:rsidP="00EB5869">
      <w:pPr>
        <w:spacing w:line="360" w:lineRule="auto"/>
        <w:ind w:left="720"/>
        <w:jc w:val="both"/>
        <w:rPr>
          <w:rFonts w:ascii="David" w:hAnsi="David"/>
          <w:rtl/>
        </w:rPr>
      </w:pPr>
      <w:r>
        <w:rPr>
          <w:rFonts w:ascii="David" w:hAnsi="David"/>
          <w:rtl/>
        </w:rPr>
        <w:t xml:space="preserve">שירות המבחן יגיש תוכנית </w:t>
      </w:r>
      <w:r>
        <w:rPr>
          <w:rFonts w:ascii="David" w:hAnsi="David" w:hint="cs"/>
          <w:rtl/>
        </w:rPr>
        <w:t>של"צ</w:t>
      </w:r>
      <w:r>
        <w:rPr>
          <w:rFonts w:ascii="David" w:hAnsi="David"/>
          <w:rtl/>
        </w:rPr>
        <w:t xml:space="preserve"> וזאת בתוך 30 יום מהיום.</w:t>
      </w:r>
      <w:r>
        <w:rPr>
          <w:rFonts w:ascii="David" w:hAnsi="David" w:hint="cs"/>
          <w:rtl/>
        </w:rPr>
        <w:t xml:space="preserve"> בית המשפט יידרש לאישור התוכנית ללא צורך בדיון נוסף.  </w:t>
      </w:r>
      <w:r>
        <w:rPr>
          <w:rFonts w:ascii="David" w:hAnsi="David"/>
          <w:rtl/>
        </w:rPr>
        <w:t>מובהר</w:t>
      </w:r>
      <w:r>
        <w:rPr>
          <w:rFonts w:ascii="David" w:hAnsi="David" w:hint="cs"/>
          <w:rtl/>
        </w:rPr>
        <w:t>ת</w:t>
      </w:r>
      <w:r>
        <w:rPr>
          <w:rFonts w:ascii="David" w:hAnsi="David"/>
          <w:rtl/>
        </w:rPr>
        <w:t xml:space="preserve"> לנאשם סמכות בית המשפט להפקיע את השל"צ</w:t>
      </w:r>
      <w:r>
        <w:rPr>
          <w:rFonts w:ascii="David" w:hAnsi="David" w:hint="cs"/>
          <w:rtl/>
        </w:rPr>
        <w:t xml:space="preserve"> ככל שלא יבצע המוטל עליו וניתן יהיה לגזור עליו עונשים נוספים.</w:t>
      </w:r>
    </w:p>
    <w:p w14:paraId="36D44462" w14:textId="77777777" w:rsidR="00EB5869" w:rsidRDefault="00EB5869" w:rsidP="00EB5869">
      <w:pPr>
        <w:spacing w:line="360" w:lineRule="auto"/>
        <w:jc w:val="both"/>
        <w:rPr>
          <w:rFonts w:ascii="David" w:hAnsi="David"/>
          <w:rtl/>
        </w:rPr>
      </w:pPr>
    </w:p>
    <w:p w14:paraId="08503B32" w14:textId="77777777" w:rsidR="00EB5869" w:rsidRPr="002F274A" w:rsidRDefault="00EB5869" w:rsidP="00EB5869">
      <w:pPr>
        <w:pStyle w:val="aa"/>
        <w:numPr>
          <w:ilvl w:val="0"/>
          <w:numId w:val="4"/>
        </w:numPr>
        <w:spacing w:line="360" w:lineRule="auto"/>
        <w:jc w:val="both"/>
        <w:rPr>
          <w:rFonts w:ascii="David" w:hAnsi="David"/>
        </w:rPr>
      </w:pPr>
      <w:r w:rsidRPr="002F274A">
        <w:rPr>
          <w:rFonts w:ascii="David" w:hAnsi="David"/>
          <w:rtl/>
        </w:rPr>
        <w:t xml:space="preserve">קנס בסך 1,500 ₪ או </w:t>
      </w:r>
      <w:r w:rsidRPr="002F274A">
        <w:rPr>
          <w:rFonts w:ascii="David" w:hAnsi="David" w:hint="cs"/>
          <w:rtl/>
        </w:rPr>
        <w:t>5</w:t>
      </w:r>
      <w:r w:rsidRPr="002F274A">
        <w:rPr>
          <w:rFonts w:ascii="David" w:hAnsi="David"/>
          <w:rtl/>
        </w:rPr>
        <w:t xml:space="preserve"> ימי מאסר תמורת הקנס.</w:t>
      </w:r>
    </w:p>
    <w:p w14:paraId="08FBAD9B" w14:textId="77777777" w:rsidR="00EB5869" w:rsidRDefault="00EB5869" w:rsidP="00EB5869">
      <w:pPr>
        <w:spacing w:line="360" w:lineRule="auto"/>
        <w:ind w:left="720"/>
        <w:jc w:val="both"/>
        <w:rPr>
          <w:rFonts w:ascii="David" w:hAnsi="David"/>
          <w:rtl/>
        </w:rPr>
      </w:pPr>
      <w:r>
        <w:rPr>
          <w:rFonts w:ascii="David" w:hAnsi="David"/>
          <w:rtl/>
          <w:lang w:eastAsia="he-IL"/>
        </w:rPr>
        <w:t>הקנס ישולם תוך 60 יום מהיום, ומובהרות לנאשם הוראות החוק ביחס לאפשרות החיוב בתוספת פיגורים כמו גם אפשרות הפעלת המאסר חלף הקנס</w:t>
      </w:r>
      <w:r>
        <w:rPr>
          <w:rFonts w:ascii="David" w:hAnsi="David"/>
          <w:rtl/>
        </w:rPr>
        <w:t>.</w:t>
      </w:r>
    </w:p>
    <w:p w14:paraId="3A3FCEE1" w14:textId="77777777" w:rsidR="00EB5869" w:rsidRDefault="00EB5869" w:rsidP="00EB5869">
      <w:pPr>
        <w:spacing w:line="360" w:lineRule="auto"/>
        <w:ind w:left="720"/>
        <w:jc w:val="both"/>
        <w:rPr>
          <w:rFonts w:ascii="David" w:hAnsi="David"/>
        </w:rPr>
      </w:pPr>
      <w:r>
        <w:rPr>
          <w:rFonts w:ascii="David" w:hAnsi="David"/>
          <w:rtl/>
        </w:rPr>
        <w:t xml:space="preserve"> </w:t>
      </w:r>
    </w:p>
    <w:p w14:paraId="3CF050BA" w14:textId="77777777" w:rsidR="00EB5869" w:rsidRDefault="00EB5869" w:rsidP="00EB5869">
      <w:pPr>
        <w:pStyle w:val="aa"/>
        <w:numPr>
          <w:ilvl w:val="0"/>
          <w:numId w:val="4"/>
        </w:numPr>
        <w:spacing w:line="360" w:lineRule="auto"/>
        <w:jc w:val="both"/>
        <w:rPr>
          <w:rFonts w:ascii="David" w:hAnsi="David"/>
        </w:rPr>
      </w:pPr>
      <w:r>
        <w:rPr>
          <w:rFonts w:ascii="David" w:hAnsi="David"/>
          <w:rtl/>
          <w:lang w:eastAsia="he-IL"/>
        </w:rPr>
        <w:t xml:space="preserve">הנאשם יצהיר בהתאם לתקנות העונשין (התחייבות להימנע מעבירה), התש"ף – 2019  על התחייבות כספית שלא לעבור כל עבירה בה הורשע. ההתחייבות תהא לתקופה של שנתיים מהיום ובסך של 2,500 ₪. </w:t>
      </w:r>
    </w:p>
    <w:p w14:paraId="6A55B1E1" w14:textId="77777777" w:rsidR="00EB5869" w:rsidRPr="00EB5869" w:rsidRDefault="00EB5869" w:rsidP="00EB5869">
      <w:pPr>
        <w:rPr>
          <w:rFonts w:ascii="David" w:hAnsi="David" w:cs="Arial"/>
          <w:sz w:val="22"/>
          <w:szCs w:val="22"/>
          <w:highlight w:val="yellow"/>
          <w:rtl/>
        </w:rPr>
      </w:pPr>
    </w:p>
    <w:p w14:paraId="7495FB6C" w14:textId="77777777" w:rsidR="00EB5869" w:rsidRPr="002F274A" w:rsidRDefault="00EB5869" w:rsidP="00EB5869">
      <w:pPr>
        <w:pStyle w:val="aa"/>
        <w:numPr>
          <w:ilvl w:val="0"/>
          <w:numId w:val="4"/>
        </w:numPr>
        <w:spacing w:line="360" w:lineRule="auto"/>
        <w:jc w:val="both"/>
        <w:rPr>
          <w:rFonts w:ascii="David" w:hAnsi="David"/>
          <w:rtl/>
        </w:rPr>
      </w:pPr>
      <w:r w:rsidRPr="002F274A">
        <w:rPr>
          <w:rFonts w:ascii="David" w:hAnsi="David"/>
          <w:rtl/>
        </w:rPr>
        <w:t>5 חודשי פסילה על-תנאי מלקבל או מלהחזיק רישיון נהיגה, לבל יעבור הנאשם כל עבירה לפי פקודת הסמים, במשך שנתיים מהיום.</w:t>
      </w:r>
    </w:p>
    <w:p w14:paraId="38DB53A6" w14:textId="77777777" w:rsidR="00EB5869" w:rsidRDefault="00EB5869" w:rsidP="00EB5869">
      <w:pPr>
        <w:pStyle w:val="1"/>
        <w:spacing w:after="0" w:line="360" w:lineRule="auto"/>
        <w:ind w:left="360"/>
        <w:jc w:val="both"/>
        <w:rPr>
          <w:rFonts w:ascii="David" w:eastAsia="Times New Roman" w:hAnsi="David" w:cs="David"/>
          <w:sz w:val="24"/>
          <w:szCs w:val="24"/>
        </w:rPr>
      </w:pPr>
    </w:p>
    <w:p w14:paraId="5124D30E" w14:textId="77777777" w:rsidR="00EB5869" w:rsidRPr="006A299C" w:rsidRDefault="00EB5869" w:rsidP="00EB5869">
      <w:pPr>
        <w:spacing w:line="360" w:lineRule="auto"/>
        <w:jc w:val="both"/>
        <w:rPr>
          <w:rFonts w:ascii="David" w:hAnsi="David"/>
          <w:rtl/>
        </w:rPr>
      </w:pPr>
    </w:p>
    <w:p w14:paraId="0CC1B26E" w14:textId="77777777" w:rsidR="00EB5869" w:rsidRDefault="00EB5869" w:rsidP="00EB5869">
      <w:pPr>
        <w:pStyle w:val="aa"/>
        <w:spacing w:line="360" w:lineRule="auto"/>
        <w:jc w:val="both"/>
        <w:rPr>
          <w:rFonts w:ascii="David" w:hAnsi="David"/>
        </w:rPr>
      </w:pPr>
      <w:r>
        <w:rPr>
          <w:rFonts w:ascii="David" w:hAnsi="David"/>
          <w:rtl/>
        </w:rPr>
        <w:t>תשומת לב הנאשם כי החוב מועבר למרכז לגביית קנסות, אגרות והוצאות ברשות האכיפה והגבייה, בהתאם למועדים והתשלומים שנקבעו בגזר הדין.</w:t>
      </w:r>
    </w:p>
    <w:p w14:paraId="7DE6E07A" w14:textId="77777777" w:rsidR="00EB5869" w:rsidRDefault="00EB5869" w:rsidP="00EB5869">
      <w:pPr>
        <w:pStyle w:val="aa"/>
        <w:spacing w:line="360" w:lineRule="auto"/>
        <w:jc w:val="both"/>
        <w:rPr>
          <w:rFonts w:ascii="David" w:hAnsi="David"/>
          <w:rtl/>
        </w:rPr>
      </w:pPr>
    </w:p>
    <w:p w14:paraId="1D3EA335" w14:textId="77777777" w:rsidR="00EB5869" w:rsidRDefault="00EB5869" w:rsidP="00EB5869">
      <w:pPr>
        <w:pStyle w:val="aa"/>
        <w:spacing w:line="360" w:lineRule="auto"/>
        <w:jc w:val="both"/>
        <w:rPr>
          <w:rFonts w:ascii="David" w:hAnsi="David"/>
          <w:rtl/>
        </w:rPr>
      </w:pPr>
      <w:r>
        <w:rPr>
          <w:rFonts w:ascii="David" w:hAnsi="David"/>
          <w:rtl/>
        </w:rPr>
        <w:t>ניתן יהיה לשלם את הקנס/ הפיצוי כעבור שלושה ימים מיום מתן גזר הדין לחשבון המרכז לגביית קנסות, אגרות והוצאות ברשות האכיפה והגבייה באחת מהדרכים הבאות:</w:t>
      </w:r>
    </w:p>
    <w:p w14:paraId="0707D78A" w14:textId="77777777" w:rsidR="00EB5869" w:rsidRDefault="00EB5869" w:rsidP="00EB5869">
      <w:pPr>
        <w:pStyle w:val="aa"/>
        <w:numPr>
          <w:ilvl w:val="0"/>
          <w:numId w:val="3"/>
        </w:numPr>
        <w:spacing w:line="360" w:lineRule="auto"/>
        <w:jc w:val="both"/>
        <w:rPr>
          <w:rFonts w:ascii="David" w:hAnsi="David"/>
          <w:b/>
          <w:bCs/>
          <w:rtl/>
        </w:rPr>
      </w:pPr>
      <w:r>
        <w:rPr>
          <w:rFonts w:ascii="David" w:hAnsi="David"/>
          <w:b/>
          <w:bCs/>
          <w:rtl/>
        </w:rPr>
        <w:t>בכרטיס אשראי</w:t>
      </w:r>
      <w:r>
        <w:rPr>
          <w:rFonts w:ascii="David" w:hAnsi="David"/>
          <w:rtl/>
        </w:rPr>
        <w:t xml:space="preserve"> – באתר המקוון של רשות האכיפה והגבייה, </w:t>
      </w:r>
      <w:hyperlink r:id="rId32" w:history="1">
        <w:r>
          <w:rPr>
            <w:rStyle w:val="Hyperlink"/>
            <w:rFonts w:ascii="David" w:hAnsi="David"/>
          </w:rPr>
          <w:t>www.eca.gov.il</w:t>
        </w:r>
      </w:hyperlink>
      <w:r>
        <w:rPr>
          <w:rFonts w:ascii="David" w:hAnsi="David"/>
        </w:rPr>
        <w:t xml:space="preserve"> </w:t>
      </w:r>
      <w:r w:rsidR="00C43F55">
        <w:rPr>
          <w:rFonts w:ascii="David" w:hAnsi="David"/>
          <w:rtl/>
        </w:rPr>
        <w:t xml:space="preserve"> </w:t>
      </w:r>
    </w:p>
    <w:p w14:paraId="52E46DD9" w14:textId="77777777" w:rsidR="00EB5869" w:rsidRDefault="00EB5869" w:rsidP="00EB5869">
      <w:pPr>
        <w:pStyle w:val="aa"/>
        <w:numPr>
          <w:ilvl w:val="0"/>
          <w:numId w:val="3"/>
        </w:numPr>
        <w:spacing w:line="360" w:lineRule="auto"/>
        <w:jc w:val="both"/>
        <w:rPr>
          <w:rFonts w:ascii="David" w:hAnsi="David"/>
          <w:b/>
          <w:bCs/>
        </w:rPr>
      </w:pPr>
      <w:r>
        <w:rPr>
          <w:rFonts w:ascii="David" w:hAnsi="David"/>
          <w:b/>
          <w:bCs/>
          <w:rtl/>
        </w:rPr>
        <w:t>במוקד שירות טלפוני בשרות עצמי (מרכז גבייה)</w:t>
      </w:r>
      <w:r w:rsidR="00C43F55">
        <w:rPr>
          <w:rFonts w:ascii="David" w:hAnsi="David"/>
          <w:b/>
          <w:bCs/>
          <w:rtl/>
        </w:rPr>
        <w:t xml:space="preserve"> </w:t>
      </w:r>
      <w:r>
        <w:rPr>
          <w:rFonts w:ascii="David" w:hAnsi="David"/>
          <w:b/>
          <w:bCs/>
          <w:rtl/>
        </w:rPr>
        <w:t xml:space="preserve"> – בטלפון 35592* או בטלפון 073-2055000</w:t>
      </w:r>
    </w:p>
    <w:p w14:paraId="2056F7D3" w14:textId="77777777" w:rsidR="00EB5869" w:rsidRDefault="00EB5869" w:rsidP="00EB5869">
      <w:pPr>
        <w:pStyle w:val="aa"/>
        <w:numPr>
          <w:ilvl w:val="0"/>
          <w:numId w:val="3"/>
        </w:numPr>
        <w:spacing w:line="360" w:lineRule="auto"/>
        <w:jc w:val="both"/>
        <w:rPr>
          <w:rFonts w:ascii="David" w:hAnsi="David"/>
          <w:b/>
          <w:bCs/>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436E12E6" w14:textId="77777777" w:rsidR="00EB5869" w:rsidRDefault="00EB5869" w:rsidP="00EB5869">
      <w:pPr>
        <w:spacing w:line="360" w:lineRule="auto"/>
        <w:jc w:val="both"/>
        <w:rPr>
          <w:rFonts w:ascii="David" w:hAnsi="David"/>
          <w:b/>
          <w:bCs/>
          <w:rtl/>
          <w:lang w:eastAsia="he-IL"/>
        </w:rPr>
      </w:pPr>
    </w:p>
    <w:p w14:paraId="70D7D2B3" w14:textId="77777777" w:rsidR="00EB5869" w:rsidRDefault="00EB5869" w:rsidP="00EB5869">
      <w:pPr>
        <w:spacing w:line="360" w:lineRule="auto"/>
        <w:jc w:val="both"/>
        <w:rPr>
          <w:rFonts w:ascii="David" w:hAnsi="David"/>
          <w:b/>
          <w:bCs/>
          <w:rtl/>
        </w:rPr>
      </w:pPr>
      <w:r>
        <w:rPr>
          <w:rFonts w:ascii="David" w:hAnsi="David"/>
          <w:b/>
          <w:bCs/>
          <w:rtl/>
        </w:rPr>
        <w:t>ניתן בזאת צו כללי למוצגים - להשמיד, לחלט, להשיב לבעלים  לפי שיקול דעת היחידה החוקרת וזאת, בכפוף לחלוף תקופת הערעור.</w:t>
      </w:r>
    </w:p>
    <w:p w14:paraId="22BB125E" w14:textId="77777777" w:rsidR="00EB5869" w:rsidRDefault="00EB5869" w:rsidP="00EB5869">
      <w:pPr>
        <w:spacing w:line="360" w:lineRule="auto"/>
        <w:jc w:val="both"/>
        <w:rPr>
          <w:rFonts w:ascii="David" w:hAnsi="David"/>
          <w:b/>
          <w:bCs/>
          <w:rtl/>
        </w:rPr>
      </w:pPr>
      <w:r>
        <w:rPr>
          <w:rFonts w:ascii="David" w:hAnsi="David" w:hint="cs"/>
          <w:b/>
          <w:bCs/>
          <w:rtl/>
        </w:rPr>
        <w:t xml:space="preserve">סמים, מנורות, משקל, דיסק </w:t>
      </w:r>
      <w:r>
        <w:rPr>
          <w:rFonts w:ascii="David" w:hAnsi="David"/>
          <w:b/>
          <w:bCs/>
          <w:rtl/>
        </w:rPr>
        <w:t>–</w:t>
      </w:r>
      <w:r>
        <w:rPr>
          <w:rFonts w:ascii="David" w:hAnsi="David" w:hint="cs"/>
          <w:b/>
          <w:bCs/>
          <w:rtl/>
        </w:rPr>
        <w:t xml:space="preserve"> להשמדה.</w:t>
      </w:r>
    </w:p>
    <w:p w14:paraId="7DBC6501" w14:textId="77777777" w:rsidR="00EB5869" w:rsidRDefault="00EB5869" w:rsidP="00EB5869">
      <w:pPr>
        <w:spacing w:line="360" w:lineRule="auto"/>
        <w:jc w:val="both"/>
        <w:rPr>
          <w:rFonts w:ascii="David" w:hAnsi="David"/>
          <w:b/>
          <w:bCs/>
          <w:rtl/>
        </w:rPr>
      </w:pPr>
      <w:r>
        <w:rPr>
          <w:rFonts w:ascii="David" w:hAnsi="David" w:hint="cs"/>
          <w:b/>
          <w:bCs/>
          <w:rtl/>
        </w:rPr>
        <w:t>כונן מחשב, 2 פלאפונים  - להשבה.</w:t>
      </w:r>
    </w:p>
    <w:p w14:paraId="3F7BD4CB" w14:textId="77777777" w:rsidR="00EB5869" w:rsidRDefault="00EB5869" w:rsidP="00EB5869">
      <w:pPr>
        <w:spacing w:line="360" w:lineRule="auto"/>
        <w:jc w:val="both"/>
        <w:rPr>
          <w:rFonts w:ascii="David" w:hAnsi="David"/>
          <w:b/>
          <w:bCs/>
        </w:rPr>
      </w:pPr>
    </w:p>
    <w:p w14:paraId="0C9F4C49" w14:textId="77777777" w:rsidR="00EB5869" w:rsidRDefault="00EB5869" w:rsidP="00EB5869">
      <w:pPr>
        <w:spacing w:line="360" w:lineRule="auto"/>
        <w:jc w:val="both"/>
        <w:rPr>
          <w:rFonts w:ascii="David" w:hAnsi="David"/>
          <w:b/>
          <w:bCs/>
          <w:rtl/>
        </w:rPr>
      </w:pPr>
      <w:r>
        <w:rPr>
          <w:rFonts w:ascii="David" w:hAnsi="David"/>
          <w:b/>
          <w:bCs/>
          <w:rtl/>
        </w:rPr>
        <w:t>זכות ערעור לבית המשפט המחוזי בבאר שבע בתוך 45 יום מהיום .</w:t>
      </w:r>
    </w:p>
    <w:p w14:paraId="563E4C82" w14:textId="77777777" w:rsidR="00EB5869" w:rsidRDefault="00EB5869" w:rsidP="00EB5869">
      <w:pPr>
        <w:rPr>
          <w:rFonts w:ascii="David" w:hAnsi="David"/>
          <w:b/>
          <w:bCs/>
          <w:u w:val="single"/>
          <w:rtl/>
        </w:rPr>
      </w:pPr>
    </w:p>
    <w:p w14:paraId="2F09F5B6" w14:textId="77777777" w:rsidR="00EB5869" w:rsidRPr="00B05847" w:rsidRDefault="00EB5869" w:rsidP="00EB5869">
      <w:pPr>
        <w:rPr>
          <w:rtl/>
        </w:rPr>
      </w:pPr>
    </w:p>
    <w:p w14:paraId="2C2422D5" w14:textId="77777777" w:rsidR="00EB5869" w:rsidRPr="00C43F55" w:rsidRDefault="00C43F55" w:rsidP="00EB5869">
      <w:pPr>
        <w:rPr>
          <w:color w:val="FFFFFF"/>
          <w:sz w:val="2"/>
          <w:szCs w:val="2"/>
          <w:rtl/>
        </w:rPr>
      </w:pPr>
      <w:r w:rsidRPr="00C43F55">
        <w:rPr>
          <w:color w:val="FFFFFF"/>
          <w:sz w:val="2"/>
          <w:szCs w:val="2"/>
          <w:rtl/>
        </w:rPr>
        <w:t>5129371</w:t>
      </w:r>
    </w:p>
    <w:p w14:paraId="01590572" w14:textId="77777777" w:rsidR="00EB5869" w:rsidRPr="00AF1CAC" w:rsidRDefault="00C43F55" w:rsidP="00EB5869">
      <w:pPr>
        <w:rPr>
          <w:rFonts w:cs="FrankRuehl"/>
          <w:sz w:val="28"/>
          <w:szCs w:val="28"/>
          <w:rtl/>
        </w:rPr>
      </w:pPr>
      <w:bookmarkStart w:id="8" w:name="Nitan"/>
      <w:r w:rsidRPr="00C43F55">
        <w:rPr>
          <w:rFonts w:ascii="Arial" w:hAnsi="Arial"/>
          <w:color w:val="FFFFFF"/>
          <w:sz w:val="2"/>
          <w:szCs w:val="2"/>
          <w:rtl/>
        </w:rPr>
        <w:t>54678313</w:t>
      </w:r>
      <w:r>
        <w:rPr>
          <w:rFonts w:ascii="Arial" w:hAnsi="Arial"/>
          <w:rtl/>
        </w:rPr>
        <w:t xml:space="preserve">ניתן היום,  י"ד תמוז תשפ"ב, 13 יולי 2022, בנוכחות הצדדים. </w:t>
      </w:r>
      <w:bookmarkEnd w:id="8"/>
    </w:p>
    <w:p w14:paraId="4F32A581" w14:textId="77777777" w:rsidR="00EB5869" w:rsidRDefault="00EB5869" w:rsidP="00C43F5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5041D74" w14:textId="77777777" w:rsidR="00EB5869" w:rsidRDefault="00EB5869" w:rsidP="00EB5869">
      <w:pPr>
        <w:jc w:val="center"/>
        <w:rPr>
          <w:rFonts w:ascii="Arial" w:hAnsi="Arial" w:cs="FrankRuehl"/>
          <w:sz w:val="28"/>
          <w:szCs w:val="28"/>
          <w:rtl/>
        </w:rPr>
      </w:pPr>
    </w:p>
    <w:p w14:paraId="69EADD67" w14:textId="77777777" w:rsidR="00EB5869" w:rsidRDefault="00EB5869" w:rsidP="00EB5869">
      <w:pPr>
        <w:rPr>
          <w:rFonts w:cs="FrankRuehl"/>
          <w:sz w:val="28"/>
          <w:szCs w:val="28"/>
          <w:rtl/>
        </w:rPr>
      </w:pPr>
    </w:p>
    <w:p w14:paraId="723CB8B1" w14:textId="77777777" w:rsidR="00EB5869" w:rsidRPr="00875F6B" w:rsidRDefault="00875F6B" w:rsidP="00EB5869">
      <w:pPr>
        <w:pStyle w:val="a3"/>
        <w:jc w:val="center"/>
        <w:rPr>
          <w:color w:val="FFFFFF"/>
          <w:sz w:val="2"/>
          <w:szCs w:val="2"/>
          <w:rtl/>
        </w:rPr>
      </w:pPr>
      <w:r w:rsidRPr="00875F6B">
        <w:rPr>
          <w:color w:val="FFFFFF"/>
          <w:sz w:val="2"/>
          <w:szCs w:val="2"/>
          <w:rtl/>
        </w:rPr>
        <w:t>5129371</w:t>
      </w:r>
    </w:p>
    <w:p w14:paraId="1E865D4E" w14:textId="77777777" w:rsidR="00C43F55" w:rsidRDefault="00875F6B" w:rsidP="00C43F55">
      <w:r w:rsidRPr="00875F6B">
        <w:rPr>
          <w:rFonts w:ascii="David" w:hAnsi="David"/>
          <w:color w:val="FFFFFF"/>
          <w:sz w:val="2"/>
          <w:szCs w:val="2"/>
          <w:rtl/>
        </w:rPr>
        <w:t>54678313</w:t>
      </w:r>
    </w:p>
    <w:p w14:paraId="23B64EAE" w14:textId="77777777" w:rsidR="00C43F55" w:rsidRDefault="00C43F55" w:rsidP="00C43F55">
      <w:pPr>
        <w:rPr>
          <w:rtl/>
        </w:rPr>
      </w:pPr>
    </w:p>
    <w:p w14:paraId="23F53EC8" w14:textId="77777777" w:rsidR="00C43F55" w:rsidRDefault="00C43F55" w:rsidP="00C43F55">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127642C5" w14:textId="77777777" w:rsidR="00875F6B" w:rsidRPr="00875F6B" w:rsidRDefault="00875F6B" w:rsidP="00875F6B">
      <w:pPr>
        <w:keepNext/>
        <w:rPr>
          <w:rFonts w:ascii="David" w:hAnsi="David"/>
          <w:color w:val="000000"/>
          <w:sz w:val="22"/>
          <w:szCs w:val="22"/>
          <w:rtl/>
        </w:rPr>
      </w:pPr>
    </w:p>
    <w:p w14:paraId="5DEC3750" w14:textId="77777777" w:rsidR="00875F6B" w:rsidRPr="00875F6B" w:rsidRDefault="00875F6B" w:rsidP="00875F6B">
      <w:pPr>
        <w:keepNext/>
        <w:rPr>
          <w:rFonts w:ascii="David" w:hAnsi="David"/>
          <w:color w:val="000000"/>
          <w:sz w:val="22"/>
          <w:szCs w:val="22"/>
          <w:rtl/>
        </w:rPr>
      </w:pPr>
      <w:r w:rsidRPr="00875F6B">
        <w:rPr>
          <w:rFonts w:ascii="David" w:hAnsi="David"/>
          <w:color w:val="000000"/>
          <w:sz w:val="22"/>
          <w:szCs w:val="22"/>
          <w:rtl/>
        </w:rPr>
        <w:t>מיטל חלפון נזריאן 54678313-/</w:t>
      </w:r>
    </w:p>
    <w:p w14:paraId="4A12D74C" w14:textId="77777777" w:rsidR="00C43F55" w:rsidRPr="00C43F55" w:rsidRDefault="00875F6B" w:rsidP="00875F6B">
      <w:pPr>
        <w:rPr>
          <w:color w:val="0000FF"/>
          <w:u w:val="single"/>
        </w:rPr>
      </w:pPr>
      <w:r w:rsidRPr="00875F6B">
        <w:rPr>
          <w:color w:val="000000"/>
          <w:u w:val="single"/>
          <w:rtl/>
        </w:rPr>
        <w:t>נוסח מסמך זה כפוף לשינויי ניסוח ועריכה</w:t>
      </w:r>
    </w:p>
    <w:sectPr w:rsidR="00C43F55" w:rsidRPr="00C43F55" w:rsidSect="00875F6B">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E42EC" w14:textId="77777777" w:rsidR="00F43476" w:rsidRDefault="00F43476" w:rsidP="00A86B5A">
      <w:r>
        <w:separator/>
      </w:r>
    </w:p>
  </w:endnote>
  <w:endnote w:type="continuationSeparator" w:id="0">
    <w:p w14:paraId="316E3018" w14:textId="77777777" w:rsidR="00F43476" w:rsidRDefault="00F43476" w:rsidP="00A86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C05AD" w14:textId="77777777" w:rsidR="00875F6B" w:rsidRDefault="00875F6B" w:rsidP="00875F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E2B5A8" w14:textId="77777777" w:rsidR="006C5630" w:rsidRPr="00875F6B" w:rsidRDefault="00875F6B" w:rsidP="00875F6B">
    <w:pPr>
      <w:pStyle w:val="a5"/>
      <w:pBdr>
        <w:top w:val="single" w:sz="4" w:space="1" w:color="auto"/>
        <w:between w:val="single" w:sz="4" w:space="0" w:color="auto"/>
      </w:pBdr>
      <w:spacing w:after="60"/>
      <w:jc w:val="center"/>
      <w:rPr>
        <w:rFonts w:ascii="FrankRuehl" w:hAnsi="FrankRuehl" w:cs="FrankRuehl"/>
        <w:color w:val="000000"/>
      </w:rPr>
    </w:pPr>
    <w:r w:rsidRPr="00875F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2EA45" w14:textId="77777777" w:rsidR="00875F6B" w:rsidRDefault="00875F6B" w:rsidP="00875F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48C4">
      <w:rPr>
        <w:rFonts w:ascii="FrankRuehl" w:hAnsi="FrankRuehl" w:cs="FrankRuehl"/>
        <w:noProof/>
        <w:rtl/>
      </w:rPr>
      <w:t>1</w:t>
    </w:r>
    <w:r>
      <w:rPr>
        <w:rFonts w:ascii="FrankRuehl" w:hAnsi="FrankRuehl" w:cs="FrankRuehl"/>
        <w:rtl/>
      </w:rPr>
      <w:fldChar w:fldCharType="end"/>
    </w:r>
  </w:p>
  <w:p w14:paraId="67B24CE7" w14:textId="77777777" w:rsidR="006C5630" w:rsidRPr="00875F6B" w:rsidRDefault="00875F6B" w:rsidP="00875F6B">
    <w:pPr>
      <w:pStyle w:val="a5"/>
      <w:pBdr>
        <w:top w:val="single" w:sz="4" w:space="1" w:color="auto"/>
        <w:between w:val="single" w:sz="4" w:space="0" w:color="auto"/>
      </w:pBdr>
      <w:spacing w:after="60"/>
      <w:jc w:val="center"/>
      <w:rPr>
        <w:rFonts w:ascii="FrankRuehl" w:hAnsi="FrankRuehl" w:cs="FrankRuehl"/>
        <w:color w:val="000000"/>
      </w:rPr>
    </w:pPr>
    <w:r w:rsidRPr="00875F6B">
      <w:rPr>
        <w:rFonts w:ascii="FrankRuehl" w:hAnsi="FrankRuehl" w:cs="FrankRuehl"/>
        <w:color w:val="000000"/>
      </w:rPr>
      <w:pict w14:anchorId="621630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9AE60" w14:textId="77777777" w:rsidR="00F43476" w:rsidRDefault="00F43476" w:rsidP="00A86B5A">
      <w:r>
        <w:separator/>
      </w:r>
    </w:p>
  </w:footnote>
  <w:footnote w:type="continuationSeparator" w:id="0">
    <w:p w14:paraId="61C22FDB" w14:textId="77777777" w:rsidR="00F43476" w:rsidRDefault="00F43476" w:rsidP="00A86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56A1E" w14:textId="77777777" w:rsidR="00C43F55" w:rsidRPr="00875F6B" w:rsidRDefault="00875F6B" w:rsidP="00875F6B">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(ק"ג) 21561-02-21</w:t>
    </w:r>
    <w:r>
      <w:rPr>
        <w:rFonts w:ascii="David" w:hAnsi="David"/>
        <w:color w:val="000000"/>
        <w:sz w:val="22"/>
        <w:szCs w:val="22"/>
        <w:rtl/>
      </w:rPr>
      <w:tab/>
      <w:t xml:space="preserve"> מדינת ישראל נ' חיים יהודה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AC43A" w14:textId="77777777" w:rsidR="00C43F55" w:rsidRPr="00875F6B" w:rsidRDefault="00875F6B" w:rsidP="00875F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21561-02-21</w:t>
    </w:r>
    <w:r>
      <w:rPr>
        <w:rFonts w:ascii="David" w:hAnsi="David"/>
        <w:color w:val="000000"/>
        <w:sz w:val="22"/>
        <w:szCs w:val="22"/>
        <w:rtl/>
      </w:rPr>
      <w:tab/>
      <w:t xml:space="preserve"> מדינת ישראל נ' חיים יהודה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D64088C"/>
    <w:multiLevelType w:val="hybridMultilevel"/>
    <w:tmpl w:val="FAA4174A"/>
    <w:lvl w:ilvl="0" w:tplc="04090013">
      <w:start w:val="1"/>
      <w:numFmt w:val="hebrew1"/>
      <w:lvlText w:val="%1."/>
      <w:lvlJc w:val="center"/>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D88726F"/>
    <w:multiLevelType w:val="hybridMultilevel"/>
    <w:tmpl w:val="6B32DA32"/>
    <w:lvl w:ilvl="0" w:tplc="4490C98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2DA6E36"/>
    <w:multiLevelType w:val="hybridMultilevel"/>
    <w:tmpl w:val="CBAAE0EE"/>
    <w:lvl w:ilvl="0" w:tplc="8A0A3C82">
      <w:numFmt w:val="bullet"/>
      <w:lvlText w:val=""/>
      <w:lvlJc w:val="left"/>
      <w:pPr>
        <w:ind w:left="728" w:hanging="360"/>
      </w:pPr>
      <w:rPr>
        <w:rFonts w:ascii="Symbol" w:eastAsia="Times New Roman" w:hAnsi="Symbol" w:cs="David" w:hint="default"/>
      </w:rPr>
    </w:lvl>
    <w:lvl w:ilvl="1" w:tplc="04090003">
      <w:start w:val="1"/>
      <w:numFmt w:val="bullet"/>
      <w:lvlText w:val="o"/>
      <w:lvlJc w:val="left"/>
      <w:pPr>
        <w:ind w:left="1448" w:hanging="360"/>
      </w:pPr>
      <w:rPr>
        <w:rFonts w:ascii="Courier New" w:hAnsi="Courier New" w:cs="Courier New" w:hint="default"/>
      </w:rPr>
    </w:lvl>
    <w:lvl w:ilvl="2" w:tplc="04090005">
      <w:start w:val="1"/>
      <w:numFmt w:val="bullet"/>
      <w:lvlText w:val=""/>
      <w:lvlJc w:val="left"/>
      <w:pPr>
        <w:ind w:left="2168" w:hanging="360"/>
      </w:pPr>
      <w:rPr>
        <w:rFonts w:ascii="Wingdings" w:hAnsi="Wingdings" w:hint="default"/>
      </w:rPr>
    </w:lvl>
    <w:lvl w:ilvl="3" w:tplc="04090001">
      <w:start w:val="1"/>
      <w:numFmt w:val="bullet"/>
      <w:lvlText w:val=""/>
      <w:lvlJc w:val="left"/>
      <w:pPr>
        <w:ind w:left="2888" w:hanging="360"/>
      </w:pPr>
      <w:rPr>
        <w:rFonts w:ascii="Symbol" w:hAnsi="Symbol" w:hint="default"/>
      </w:rPr>
    </w:lvl>
    <w:lvl w:ilvl="4" w:tplc="04090003">
      <w:start w:val="1"/>
      <w:numFmt w:val="bullet"/>
      <w:lvlText w:val="o"/>
      <w:lvlJc w:val="left"/>
      <w:pPr>
        <w:ind w:left="3608" w:hanging="360"/>
      </w:pPr>
      <w:rPr>
        <w:rFonts w:ascii="Courier New" w:hAnsi="Courier New" w:cs="Courier New" w:hint="default"/>
      </w:rPr>
    </w:lvl>
    <w:lvl w:ilvl="5" w:tplc="04090005">
      <w:start w:val="1"/>
      <w:numFmt w:val="bullet"/>
      <w:lvlText w:val=""/>
      <w:lvlJc w:val="left"/>
      <w:pPr>
        <w:ind w:left="4328" w:hanging="360"/>
      </w:pPr>
      <w:rPr>
        <w:rFonts w:ascii="Wingdings" w:hAnsi="Wingdings" w:hint="default"/>
      </w:rPr>
    </w:lvl>
    <w:lvl w:ilvl="6" w:tplc="04090001">
      <w:start w:val="1"/>
      <w:numFmt w:val="bullet"/>
      <w:lvlText w:val=""/>
      <w:lvlJc w:val="left"/>
      <w:pPr>
        <w:ind w:left="5048" w:hanging="360"/>
      </w:pPr>
      <w:rPr>
        <w:rFonts w:ascii="Symbol" w:hAnsi="Symbol" w:hint="default"/>
      </w:rPr>
    </w:lvl>
    <w:lvl w:ilvl="7" w:tplc="04090003">
      <w:start w:val="1"/>
      <w:numFmt w:val="bullet"/>
      <w:lvlText w:val="o"/>
      <w:lvlJc w:val="left"/>
      <w:pPr>
        <w:ind w:left="5768" w:hanging="360"/>
      </w:pPr>
      <w:rPr>
        <w:rFonts w:ascii="Courier New" w:hAnsi="Courier New" w:cs="Courier New" w:hint="default"/>
      </w:rPr>
    </w:lvl>
    <w:lvl w:ilvl="8" w:tplc="04090005">
      <w:start w:val="1"/>
      <w:numFmt w:val="bullet"/>
      <w:lvlText w:val=""/>
      <w:lvlJc w:val="left"/>
      <w:pPr>
        <w:ind w:left="6488" w:hanging="360"/>
      </w:pPr>
      <w:rPr>
        <w:rFonts w:ascii="Wingdings" w:hAnsi="Wingdings" w:hint="default"/>
      </w:rPr>
    </w:lvl>
  </w:abstractNum>
  <w:num w:numId="1" w16cid:durableId="1146433371">
    <w:abstractNumId w:val="2"/>
  </w:num>
  <w:num w:numId="2" w16cid:durableId="1751461023">
    <w:abstractNumId w:val="3"/>
  </w:num>
  <w:num w:numId="3" w16cid:durableId="500778262">
    <w:abstractNumId w:val="0"/>
  </w:num>
  <w:num w:numId="4" w16cid:durableId="568005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5869"/>
    <w:rsid w:val="001B5A3B"/>
    <w:rsid w:val="003529A6"/>
    <w:rsid w:val="004253D2"/>
    <w:rsid w:val="006848C4"/>
    <w:rsid w:val="006C5630"/>
    <w:rsid w:val="008429FD"/>
    <w:rsid w:val="00875F6B"/>
    <w:rsid w:val="008F3708"/>
    <w:rsid w:val="00907A3D"/>
    <w:rsid w:val="00A86B5A"/>
    <w:rsid w:val="00B47052"/>
    <w:rsid w:val="00BB5999"/>
    <w:rsid w:val="00BC0BE1"/>
    <w:rsid w:val="00C43F55"/>
    <w:rsid w:val="00EB5869"/>
    <w:rsid w:val="00F434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042652"/>
  <w15:chartTrackingRefBased/>
  <w15:docId w15:val="{233E9DA8-2751-4724-9B5E-CC7CFAC9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586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B5869"/>
    <w:pPr>
      <w:tabs>
        <w:tab w:val="center" w:pos="4153"/>
        <w:tab w:val="right" w:pos="8306"/>
      </w:tabs>
    </w:pPr>
  </w:style>
  <w:style w:type="character" w:customStyle="1" w:styleId="a4">
    <w:name w:val="כותרת עליונה תו"/>
    <w:link w:val="a3"/>
    <w:rsid w:val="00EB5869"/>
    <w:rPr>
      <w:rFonts w:ascii="Times New Roman" w:eastAsia="Times New Roman" w:hAnsi="Times New Roman" w:cs="David"/>
      <w:sz w:val="24"/>
      <w:szCs w:val="24"/>
    </w:rPr>
  </w:style>
  <w:style w:type="paragraph" w:styleId="a5">
    <w:name w:val="footer"/>
    <w:basedOn w:val="a"/>
    <w:link w:val="a6"/>
    <w:rsid w:val="00EB5869"/>
    <w:pPr>
      <w:tabs>
        <w:tab w:val="center" w:pos="4153"/>
        <w:tab w:val="right" w:pos="8306"/>
      </w:tabs>
    </w:pPr>
  </w:style>
  <w:style w:type="character" w:customStyle="1" w:styleId="a6">
    <w:name w:val="כותרת תחתונה תו"/>
    <w:link w:val="a5"/>
    <w:rsid w:val="00EB5869"/>
    <w:rPr>
      <w:rFonts w:ascii="Times New Roman" w:eastAsia="Times New Roman" w:hAnsi="Times New Roman" w:cs="David"/>
      <w:sz w:val="24"/>
      <w:szCs w:val="24"/>
    </w:rPr>
  </w:style>
  <w:style w:type="table" w:styleId="a7">
    <w:name w:val="Table Grid"/>
    <w:basedOn w:val="a1"/>
    <w:rsid w:val="00EB586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B5869"/>
  </w:style>
  <w:style w:type="character" w:styleId="Hyperlink">
    <w:name w:val="Hyperlink"/>
    <w:rsid w:val="00EB5869"/>
    <w:rPr>
      <w:color w:val="0000FF"/>
      <w:u w:val="single"/>
    </w:rPr>
  </w:style>
  <w:style w:type="character" w:customStyle="1" w:styleId="a9">
    <w:name w:val="פיסקת רשימה תו"/>
    <w:link w:val="aa"/>
    <w:locked/>
    <w:rsid w:val="00EB5869"/>
    <w:rPr>
      <w:rFonts w:cs="David"/>
      <w:sz w:val="24"/>
      <w:szCs w:val="24"/>
    </w:rPr>
  </w:style>
  <w:style w:type="paragraph" w:styleId="aa">
    <w:name w:val="List Paragraph"/>
    <w:basedOn w:val="a"/>
    <w:link w:val="a9"/>
    <w:qFormat/>
    <w:rsid w:val="00EB5869"/>
    <w:pPr>
      <w:ind w:left="720"/>
      <w:contextualSpacing/>
    </w:pPr>
    <w:rPr>
      <w:rFonts w:ascii="Calibri" w:eastAsia="Calibri" w:hAnsi="Calibri"/>
    </w:rPr>
  </w:style>
  <w:style w:type="paragraph" w:customStyle="1" w:styleId="1">
    <w:name w:val="פיסקת רשימה1"/>
    <w:basedOn w:val="a"/>
    <w:rsid w:val="00EB5869"/>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4216/37.1" TargetMode="External"/><Relationship Id="rId26" Type="http://schemas.openxmlformats.org/officeDocument/2006/relationships/hyperlink" Target="http://www.nevo.co.il/law/70301/40i" TargetMode="External"/><Relationship Id="rId39" Type="http://schemas.openxmlformats.org/officeDocument/2006/relationships/theme" Target="theme/theme1.xml"/><Relationship Id="rId21" Type="http://schemas.openxmlformats.org/officeDocument/2006/relationships/hyperlink" Target="http://www.nevo.co.il/case/19999565"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8032561"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28190928" TargetMode="External"/><Relationship Id="rId29" Type="http://schemas.openxmlformats.org/officeDocument/2006/relationships/hyperlink" Target="http://www.nevo.co.il/law/70301/40jd.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7110026" TargetMode="External"/><Relationship Id="rId32" Type="http://schemas.openxmlformats.org/officeDocument/2006/relationships/hyperlink" Target="http://www.eca.gov.il"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2183077" TargetMode="External"/><Relationship Id="rId28" Type="http://schemas.openxmlformats.org/officeDocument/2006/relationships/hyperlink" Target="http://www.nevo.co.il/law/70301/40jc" TargetMode="External"/><Relationship Id="rId36" Type="http://schemas.openxmlformats.org/officeDocument/2006/relationships/footer" Target="footer1.xml"/><Relationship Id="rId10" Type="http://schemas.openxmlformats.org/officeDocument/2006/relationships/hyperlink" Target="http://www.nevo.co.il/law/4216/37.1" TargetMode="External"/><Relationship Id="rId19" Type="http://schemas.openxmlformats.org/officeDocument/2006/relationships/hyperlink" Target="http://www.nevo.co.il/law/70301"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d.3" TargetMode="External"/><Relationship Id="rId22" Type="http://schemas.openxmlformats.org/officeDocument/2006/relationships/hyperlink" Target="http://www.nevo.co.il/case/21778048"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2095</Words>
  <Characters>10476</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12546</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7864368</vt:i4>
      </vt:variant>
      <vt:variant>
        <vt:i4>75</vt:i4>
      </vt:variant>
      <vt:variant>
        <vt:i4>0</vt:i4>
      </vt:variant>
      <vt:variant>
        <vt:i4>5</vt:i4>
      </vt:variant>
      <vt:variant>
        <vt:lpwstr>http://www.eca.gov.il/</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3276837</vt:i4>
      </vt:variant>
      <vt:variant>
        <vt:i4>66</vt:i4>
      </vt:variant>
      <vt:variant>
        <vt:i4>0</vt:i4>
      </vt:variant>
      <vt:variant>
        <vt:i4>5</vt:i4>
      </vt:variant>
      <vt:variant>
        <vt:lpwstr>http://www.nevo.co.il/law/70301/40jd.3</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3539066</vt:i4>
      </vt:variant>
      <vt:variant>
        <vt:i4>54</vt:i4>
      </vt:variant>
      <vt:variant>
        <vt:i4>0</vt:i4>
      </vt:variant>
      <vt:variant>
        <vt:i4>5</vt:i4>
      </vt:variant>
      <vt:variant>
        <vt:lpwstr>http://www.nevo.co.il/case/28032561</vt:lpwstr>
      </vt:variant>
      <vt:variant>
        <vt:lpwstr/>
      </vt:variant>
      <vt:variant>
        <vt:i4>3211378</vt:i4>
      </vt:variant>
      <vt:variant>
        <vt:i4>51</vt:i4>
      </vt:variant>
      <vt:variant>
        <vt:i4>0</vt:i4>
      </vt:variant>
      <vt:variant>
        <vt:i4>5</vt:i4>
      </vt:variant>
      <vt:variant>
        <vt:lpwstr>http://www.nevo.co.il/case/27110026</vt:lpwstr>
      </vt:variant>
      <vt:variant>
        <vt:lpwstr/>
      </vt:variant>
      <vt:variant>
        <vt:i4>3604606</vt:i4>
      </vt:variant>
      <vt:variant>
        <vt:i4>48</vt:i4>
      </vt:variant>
      <vt:variant>
        <vt:i4>0</vt:i4>
      </vt:variant>
      <vt:variant>
        <vt:i4>5</vt:i4>
      </vt:variant>
      <vt:variant>
        <vt:lpwstr>http://www.nevo.co.il/case/22183077</vt:lpwstr>
      </vt:variant>
      <vt:variant>
        <vt:lpwstr/>
      </vt:variant>
      <vt:variant>
        <vt:i4>3735666</vt:i4>
      </vt:variant>
      <vt:variant>
        <vt:i4>45</vt:i4>
      </vt:variant>
      <vt:variant>
        <vt:i4>0</vt:i4>
      </vt:variant>
      <vt:variant>
        <vt:i4>5</vt:i4>
      </vt:variant>
      <vt:variant>
        <vt:lpwstr>http://www.nevo.co.il/case/21778048</vt:lpwstr>
      </vt:variant>
      <vt:variant>
        <vt:lpwstr/>
      </vt:variant>
      <vt:variant>
        <vt:i4>3604593</vt:i4>
      </vt:variant>
      <vt:variant>
        <vt:i4>42</vt:i4>
      </vt:variant>
      <vt:variant>
        <vt:i4>0</vt:i4>
      </vt:variant>
      <vt:variant>
        <vt:i4>5</vt:i4>
      </vt:variant>
      <vt:variant>
        <vt:lpwstr>http://www.nevo.co.il/case/19999565</vt:lpwstr>
      </vt:variant>
      <vt:variant>
        <vt:lpwstr/>
      </vt:variant>
      <vt:variant>
        <vt:i4>3211388</vt:i4>
      </vt:variant>
      <vt:variant>
        <vt:i4>39</vt:i4>
      </vt:variant>
      <vt:variant>
        <vt:i4>0</vt:i4>
      </vt:variant>
      <vt:variant>
        <vt:i4>5</vt:i4>
      </vt:variant>
      <vt:variant>
        <vt:lpwstr>http://www.nevo.co.il/case/28190928</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6488189</vt:i4>
      </vt:variant>
      <vt:variant>
        <vt:i4>33</vt:i4>
      </vt:variant>
      <vt:variant>
        <vt:i4>0</vt:i4>
      </vt:variant>
      <vt:variant>
        <vt:i4>5</vt:i4>
      </vt:variant>
      <vt:variant>
        <vt:lpwstr>http://www.nevo.co.il/law/4216/37.1</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3276837</vt:i4>
      </vt:variant>
      <vt:variant>
        <vt:i4>21</vt:i4>
      </vt:variant>
      <vt:variant>
        <vt:i4>0</vt:i4>
      </vt:variant>
      <vt:variant>
        <vt:i4>5</vt:i4>
      </vt:variant>
      <vt:variant>
        <vt:lpwstr>http://www.nevo.co.il/law/70301/40jd.3</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6488189</vt:i4>
      </vt:variant>
      <vt:variant>
        <vt:i4>9</vt:i4>
      </vt:variant>
      <vt:variant>
        <vt:i4>0</vt:i4>
      </vt:variant>
      <vt:variant>
        <vt:i4>5</vt:i4>
      </vt:variant>
      <vt:variant>
        <vt:lpwstr>http://www.nevo.co.il/law/4216/37.1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2025-04-23T00:54:00Z</dcterms:created>
  <dcterms:modified xsi:type="dcterms:W3CDTF">2025-04-23T00:54:00Z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21561</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חיים יהודה</vt:lpwstr>
  </property>
  <property fmtid="{D5CDD505-2E9C-101B-9397-08002B2CF9AE}" pid="10" name="LAWYER">
    <vt:lpwstr>לימור כהן גולן;נעמה טייב</vt:lpwstr>
  </property>
  <property fmtid="{D5CDD505-2E9C-101B-9397-08002B2CF9AE}" pid="11" name="JUDGE">
    <vt:lpwstr>מיטל חלפון נזריאן</vt:lpwstr>
  </property>
  <property fmtid="{D5CDD505-2E9C-101B-9397-08002B2CF9AE}" pid="12" name="CITY">
    <vt:lpwstr>ק"ג</vt:lpwstr>
  </property>
  <property fmtid="{D5CDD505-2E9C-101B-9397-08002B2CF9AE}" pid="13" name="DATE">
    <vt:lpwstr>20220713</vt:lpwstr>
  </property>
  <property fmtid="{D5CDD505-2E9C-101B-9397-08002B2CF9AE}" pid="14" name="TYPE_N_DATE">
    <vt:lpwstr>38020220713</vt:lpwstr>
  </property>
  <property fmtid="{D5CDD505-2E9C-101B-9397-08002B2CF9AE}" pid="15" name="WORDNUMPAGES">
    <vt:lpwstr>7</vt:lpwstr>
  </property>
  <property fmtid="{D5CDD505-2E9C-101B-9397-08002B2CF9AE}" pid="16" name="TYPE_ABS_DATE">
    <vt:lpwstr>380020220713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28190928;19999565;21778048;22183077;27110026;28032561</vt:lpwstr>
  </property>
  <property fmtid="{D5CDD505-2E9C-101B-9397-08002B2CF9AE}" pid="36" name="LAWLISTTMP1">
    <vt:lpwstr>4216/007.a;007.c;037.1</vt:lpwstr>
  </property>
  <property fmtid="{D5CDD505-2E9C-101B-9397-08002B2CF9AE}" pid="37" name="LAWLISTTMP2">
    <vt:lpwstr>70301/040i;40jc;40jd.3</vt:lpwstr>
  </property>
</Properties>
</file>