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AC26C1" w:rsidRPr="00A46599" w14:paraId="0B46A323" w14:textId="77777777" w:rsidTr="00726741">
        <w:trPr>
          <w:trHeight w:hRule="exact" w:val="418"/>
          <w:jc w:val="center"/>
        </w:trPr>
        <w:tc>
          <w:tcPr>
            <w:tcW w:w="8523" w:type="dxa"/>
            <w:gridSpan w:val="2"/>
          </w:tcPr>
          <w:p w14:paraId="345DBDC9" w14:textId="77777777" w:rsidR="00AC26C1" w:rsidRPr="00A46599" w:rsidRDefault="00AC26C1" w:rsidP="00D00B93">
            <w:pPr>
              <w:pStyle w:val="a3"/>
              <w:jc w:val="center"/>
              <w:rPr>
                <w:rFonts w:ascii="Tahoma" w:hAnsi="Tahoma"/>
                <w:color w:val="000080"/>
                <w:sz w:val="32"/>
                <w:szCs w:val="32"/>
                <w:rtl/>
              </w:rPr>
            </w:pPr>
            <w:r w:rsidRPr="00A46599">
              <w:rPr>
                <w:rFonts w:ascii="Tahoma" w:hAnsi="Tahoma"/>
                <w:b/>
                <w:bCs/>
                <w:color w:val="000080"/>
                <w:sz w:val="32"/>
                <w:szCs w:val="32"/>
                <w:rtl/>
              </w:rPr>
              <w:t>בית משפט השלום בתל אביב -יפו</w:t>
            </w:r>
          </w:p>
        </w:tc>
      </w:tr>
      <w:tr w:rsidR="00AC26C1" w:rsidRPr="00A46599" w14:paraId="2D679858" w14:textId="77777777" w:rsidTr="00726741">
        <w:trPr>
          <w:trHeight w:val="337"/>
          <w:jc w:val="center"/>
        </w:trPr>
        <w:tc>
          <w:tcPr>
            <w:tcW w:w="4945" w:type="dxa"/>
          </w:tcPr>
          <w:p w14:paraId="2FED2465" w14:textId="77777777" w:rsidR="00AC26C1" w:rsidRPr="00A46599" w:rsidRDefault="00AC26C1" w:rsidP="00D00B93">
            <w:pPr>
              <w:rPr>
                <w:sz w:val="26"/>
                <w:szCs w:val="26"/>
                <w:rtl/>
              </w:rPr>
            </w:pPr>
            <w:r w:rsidRPr="00A46599">
              <w:rPr>
                <w:sz w:val="26"/>
                <w:szCs w:val="26"/>
                <w:rtl/>
              </w:rPr>
              <w:t>ת"פ</w:t>
            </w:r>
            <w:r w:rsidRPr="00A46599">
              <w:rPr>
                <w:rFonts w:hint="cs"/>
                <w:sz w:val="26"/>
                <w:szCs w:val="26"/>
                <w:rtl/>
              </w:rPr>
              <w:t xml:space="preserve"> </w:t>
            </w:r>
            <w:r w:rsidRPr="00A46599">
              <w:rPr>
                <w:sz w:val="26"/>
                <w:szCs w:val="26"/>
                <w:rtl/>
              </w:rPr>
              <w:t>22206-02-21</w:t>
            </w:r>
            <w:r w:rsidRPr="00A46599">
              <w:rPr>
                <w:rFonts w:hint="cs"/>
                <w:sz w:val="26"/>
                <w:szCs w:val="26"/>
                <w:rtl/>
              </w:rPr>
              <w:t xml:space="preserve"> </w:t>
            </w:r>
            <w:r w:rsidRPr="00A46599">
              <w:rPr>
                <w:sz w:val="26"/>
                <w:szCs w:val="26"/>
                <w:rtl/>
              </w:rPr>
              <w:t>מדינת ישראל נ' ירדאי</w:t>
            </w:r>
          </w:p>
        </w:tc>
        <w:tc>
          <w:tcPr>
            <w:tcW w:w="3578" w:type="dxa"/>
          </w:tcPr>
          <w:p w14:paraId="379A16C0" w14:textId="77777777" w:rsidR="00AC26C1" w:rsidRPr="00A46599" w:rsidRDefault="00AC26C1" w:rsidP="00D00B93">
            <w:pPr>
              <w:pStyle w:val="a3"/>
              <w:jc w:val="right"/>
              <w:rPr>
                <w:rFonts w:cs="FrankRuehl"/>
                <w:sz w:val="28"/>
                <w:szCs w:val="28"/>
                <w:rtl/>
              </w:rPr>
            </w:pPr>
          </w:p>
        </w:tc>
      </w:tr>
    </w:tbl>
    <w:p w14:paraId="7A4C4494" w14:textId="77777777" w:rsidR="00AC26C1" w:rsidRPr="00A46599" w:rsidRDefault="00AC26C1" w:rsidP="00AC26C1">
      <w:pPr>
        <w:pStyle w:val="a3"/>
        <w:rPr>
          <w:rtl/>
        </w:rPr>
      </w:pPr>
      <w:r w:rsidRPr="00A46599">
        <w:rPr>
          <w:rFonts w:hint="cs"/>
          <w:rtl/>
        </w:rPr>
        <w:t xml:space="preserve"> </w:t>
      </w:r>
    </w:p>
    <w:p w14:paraId="5AEFCF16" w14:textId="77777777" w:rsidR="00AC26C1" w:rsidRPr="00A46599" w:rsidRDefault="00AC26C1" w:rsidP="00AC26C1">
      <w:pPr>
        <w:rPr>
          <w:rtl/>
        </w:rPr>
      </w:pPr>
    </w:p>
    <w:p w14:paraId="3CE8596E" w14:textId="77777777" w:rsidR="00AC26C1" w:rsidRPr="00A46599" w:rsidRDefault="00AC26C1" w:rsidP="00AC26C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7"/>
        <w:gridCol w:w="3398"/>
      </w:tblGrid>
      <w:tr w:rsidR="00AC26C1" w:rsidRPr="00A46599" w14:paraId="13F5DC3E" w14:textId="77777777" w:rsidTr="00AC26C1">
        <w:trPr>
          <w:trHeight w:val="295"/>
          <w:jc w:val="center"/>
        </w:trPr>
        <w:tc>
          <w:tcPr>
            <w:tcW w:w="8820" w:type="dxa"/>
            <w:gridSpan w:val="3"/>
            <w:tcBorders>
              <w:top w:val="nil"/>
              <w:left w:val="nil"/>
              <w:bottom w:val="nil"/>
              <w:right w:val="nil"/>
            </w:tcBorders>
            <w:shd w:val="clear" w:color="auto" w:fill="auto"/>
          </w:tcPr>
          <w:p w14:paraId="38BBB404" w14:textId="77777777" w:rsidR="00AC26C1" w:rsidRPr="00A46599" w:rsidRDefault="00AC26C1" w:rsidP="00AC26C1">
            <w:pPr>
              <w:jc w:val="both"/>
              <w:rPr>
                <w:rFonts w:ascii="Arial" w:hAnsi="Arial"/>
                <w:b/>
                <w:bCs/>
                <w:sz w:val="26"/>
                <w:szCs w:val="26"/>
              </w:rPr>
            </w:pPr>
            <w:r w:rsidRPr="00A46599">
              <w:rPr>
                <w:rFonts w:ascii="Arial" w:hAnsi="Arial" w:hint="cs"/>
                <w:b/>
                <w:bCs/>
                <w:sz w:val="26"/>
                <w:szCs w:val="26"/>
                <w:rtl/>
              </w:rPr>
              <w:t>ל</w:t>
            </w:r>
            <w:r w:rsidRPr="00A46599">
              <w:rPr>
                <w:rFonts w:ascii="Arial" w:hAnsi="Arial"/>
                <w:b/>
                <w:bCs/>
                <w:sz w:val="26"/>
                <w:szCs w:val="26"/>
                <w:rtl/>
              </w:rPr>
              <w:t xml:space="preserve">פני </w:t>
            </w:r>
            <w:r w:rsidRPr="00A46599">
              <w:rPr>
                <w:b/>
                <w:bCs/>
                <w:sz w:val="26"/>
                <w:szCs w:val="26"/>
                <w:rtl/>
              </w:rPr>
              <w:t>כב' השופטת נעה תבור, סגנית הנשיא</w:t>
            </w:r>
          </w:p>
        </w:tc>
      </w:tr>
      <w:tr w:rsidR="00AC26C1" w:rsidRPr="00A46599" w14:paraId="6C669943" w14:textId="77777777" w:rsidTr="00AC26C1">
        <w:trPr>
          <w:trHeight w:val="355"/>
          <w:jc w:val="center"/>
        </w:trPr>
        <w:tc>
          <w:tcPr>
            <w:tcW w:w="885" w:type="dxa"/>
            <w:tcBorders>
              <w:top w:val="nil"/>
              <w:left w:val="nil"/>
              <w:bottom w:val="nil"/>
              <w:right w:val="nil"/>
            </w:tcBorders>
            <w:shd w:val="clear" w:color="auto" w:fill="auto"/>
          </w:tcPr>
          <w:p w14:paraId="5A0EE162" w14:textId="77777777" w:rsidR="00AC26C1" w:rsidRPr="00A46599" w:rsidRDefault="00AC26C1" w:rsidP="00AC26C1">
            <w:pPr>
              <w:jc w:val="both"/>
              <w:rPr>
                <w:rFonts w:ascii="Arial" w:hAnsi="Arial"/>
                <w:b/>
                <w:bCs/>
                <w:sz w:val="26"/>
                <w:szCs w:val="26"/>
              </w:rPr>
            </w:pPr>
            <w:bookmarkStart w:id="0" w:name="FirstAppellant"/>
            <w:bookmarkStart w:id="1" w:name="LastJudge"/>
            <w:bookmarkEnd w:id="1"/>
            <w:r w:rsidRPr="00A46599">
              <w:rPr>
                <w:rFonts w:ascii="Arial" w:hAnsi="Arial" w:hint="cs"/>
                <w:sz w:val="26"/>
                <w:szCs w:val="26"/>
                <w:rtl/>
              </w:rPr>
              <w:t>ה</w:t>
            </w:r>
            <w:r w:rsidRPr="00A46599">
              <w:rPr>
                <w:rFonts w:ascii="Arial" w:hAnsi="Arial"/>
                <w:sz w:val="26"/>
                <w:szCs w:val="26"/>
                <w:rtl/>
              </w:rPr>
              <w:t>מאשימה</w:t>
            </w:r>
          </w:p>
        </w:tc>
        <w:tc>
          <w:tcPr>
            <w:tcW w:w="4384" w:type="dxa"/>
            <w:tcBorders>
              <w:top w:val="nil"/>
              <w:left w:val="nil"/>
              <w:bottom w:val="nil"/>
              <w:right w:val="nil"/>
            </w:tcBorders>
            <w:shd w:val="clear" w:color="auto" w:fill="auto"/>
          </w:tcPr>
          <w:p w14:paraId="07E9428C" w14:textId="77777777" w:rsidR="00AC26C1" w:rsidRPr="00A46599" w:rsidRDefault="00AC26C1" w:rsidP="00D00B93">
            <w:pPr>
              <w:rPr>
                <w:sz w:val="26"/>
                <w:szCs w:val="26"/>
                <w:rtl/>
              </w:rPr>
            </w:pPr>
            <w:r w:rsidRPr="00A46599">
              <w:rPr>
                <w:rFonts w:ascii="Arial" w:hAnsi="Arial"/>
                <w:sz w:val="26"/>
                <w:szCs w:val="26"/>
                <w:rtl/>
              </w:rPr>
              <w:t>מדינת ישראל</w:t>
            </w:r>
          </w:p>
          <w:p w14:paraId="1AAAB573" w14:textId="77777777" w:rsidR="00AC26C1" w:rsidRPr="00A46599" w:rsidRDefault="00AC26C1" w:rsidP="00D00B93">
            <w:pPr>
              <w:rPr>
                <w:sz w:val="26"/>
                <w:szCs w:val="26"/>
              </w:rPr>
            </w:pPr>
            <w:r w:rsidRPr="00A46599">
              <w:rPr>
                <w:rFonts w:hint="cs"/>
                <w:sz w:val="26"/>
                <w:szCs w:val="26"/>
                <w:rtl/>
              </w:rPr>
              <w:t xml:space="preserve">ע"י  משטרת ישראל </w:t>
            </w:r>
            <w:r w:rsidRPr="00A46599">
              <w:rPr>
                <w:sz w:val="26"/>
                <w:szCs w:val="26"/>
                <w:rtl/>
              </w:rPr>
              <w:t>–</w:t>
            </w:r>
            <w:r w:rsidRPr="00A46599">
              <w:rPr>
                <w:rFonts w:hint="cs"/>
                <w:sz w:val="26"/>
                <w:szCs w:val="26"/>
                <w:rtl/>
              </w:rPr>
              <w:t xml:space="preserve"> תביעות ת"א</w:t>
            </w:r>
          </w:p>
        </w:tc>
        <w:tc>
          <w:tcPr>
            <w:tcW w:w="3551" w:type="dxa"/>
            <w:tcBorders>
              <w:top w:val="nil"/>
              <w:left w:val="nil"/>
              <w:bottom w:val="nil"/>
              <w:right w:val="nil"/>
            </w:tcBorders>
            <w:shd w:val="clear" w:color="auto" w:fill="auto"/>
          </w:tcPr>
          <w:p w14:paraId="21FFC649" w14:textId="77777777" w:rsidR="00AC26C1" w:rsidRPr="00A46599" w:rsidRDefault="00AC26C1" w:rsidP="00AC26C1">
            <w:pPr>
              <w:jc w:val="both"/>
              <w:rPr>
                <w:rFonts w:ascii="Arial" w:hAnsi="Arial"/>
                <w:sz w:val="26"/>
                <w:szCs w:val="26"/>
              </w:rPr>
            </w:pPr>
          </w:p>
        </w:tc>
      </w:tr>
      <w:bookmarkEnd w:id="0"/>
      <w:tr w:rsidR="00AC26C1" w:rsidRPr="00A46599" w14:paraId="77E60C34" w14:textId="77777777" w:rsidTr="00AC26C1">
        <w:trPr>
          <w:trHeight w:val="373"/>
          <w:jc w:val="center"/>
        </w:trPr>
        <w:tc>
          <w:tcPr>
            <w:tcW w:w="885" w:type="dxa"/>
            <w:tcBorders>
              <w:top w:val="nil"/>
              <w:left w:val="nil"/>
              <w:bottom w:val="nil"/>
              <w:right w:val="nil"/>
            </w:tcBorders>
            <w:shd w:val="clear" w:color="auto" w:fill="auto"/>
          </w:tcPr>
          <w:p w14:paraId="371288C4" w14:textId="77777777" w:rsidR="00AC26C1" w:rsidRPr="00A46599" w:rsidRDefault="00AC26C1" w:rsidP="00AC26C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D15908E" w14:textId="77777777" w:rsidR="00AC26C1" w:rsidRPr="00A46599" w:rsidRDefault="00AC26C1" w:rsidP="00AC26C1">
            <w:pPr>
              <w:jc w:val="center"/>
              <w:rPr>
                <w:rFonts w:ascii="Arial" w:hAnsi="Arial"/>
                <w:b/>
                <w:bCs/>
                <w:sz w:val="26"/>
                <w:szCs w:val="26"/>
                <w:rtl/>
              </w:rPr>
            </w:pPr>
          </w:p>
          <w:p w14:paraId="1F57911F" w14:textId="77777777" w:rsidR="00AC26C1" w:rsidRPr="00A46599" w:rsidRDefault="00AC26C1" w:rsidP="00AC26C1">
            <w:pPr>
              <w:jc w:val="center"/>
              <w:rPr>
                <w:rFonts w:ascii="Arial" w:hAnsi="Arial"/>
                <w:b/>
                <w:bCs/>
                <w:sz w:val="26"/>
                <w:szCs w:val="26"/>
                <w:rtl/>
              </w:rPr>
            </w:pPr>
            <w:r w:rsidRPr="00A46599">
              <w:rPr>
                <w:rFonts w:ascii="Arial" w:hAnsi="Arial"/>
                <w:b/>
                <w:bCs/>
                <w:sz w:val="26"/>
                <w:szCs w:val="26"/>
                <w:rtl/>
              </w:rPr>
              <w:t>נגד</w:t>
            </w:r>
          </w:p>
          <w:p w14:paraId="7D671D90" w14:textId="77777777" w:rsidR="00AC26C1" w:rsidRPr="00A46599" w:rsidRDefault="00AC26C1" w:rsidP="00AC26C1">
            <w:pPr>
              <w:jc w:val="both"/>
              <w:rPr>
                <w:rFonts w:ascii="Arial" w:hAnsi="Arial"/>
                <w:sz w:val="26"/>
                <w:szCs w:val="26"/>
              </w:rPr>
            </w:pPr>
          </w:p>
        </w:tc>
      </w:tr>
      <w:tr w:rsidR="00AC26C1" w:rsidRPr="00A46599" w14:paraId="1DD5E8D7" w14:textId="77777777" w:rsidTr="00AC26C1">
        <w:trPr>
          <w:trHeight w:val="355"/>
          <w:jc w:val="center"/>
        </w:trPr>
        <w:tc>
          <w:tcPr>
            <w:tcW w:w="885" w:type="dxa"/>
            <w:tcBorders>
              <w:top w:val="nil"/>
              <w:left w:val="nil"/>
              <w:bottom w:val="nil"/>
              <w:right w:val="nil"/>
            </w:tcBorders>
            <w:shd w:val="clear" w:color="auto" w:fill="auto"/>
          </w:tcPr>
          <w:p w14:paraId="4F6F2080" w14:textId="77777777" w:rsidR="00AC26C1" w:rsidRPr="00A46599" w:rsidRDefault="00AC26C1" w:rsidP="00D00B93">
            <w:pPr>
              <w:rPr>
                <w:rFonts w:ascii="Arial" w:hAnsi="Arial"/>
                <w:sz w:val="26"/>
                <w:szCs w:val="26"/>
                <w:rtl/>
              </w:rPr>
            </w:pPr>
            <w:bookmarkStart w:id="2" w:name="FirstLawyer"/>
            <w:r w:rsidRPr="00A46599">
              <w:rPr>
                <w:rFonts w:ascii="Arial" w:hAnsi="Arial" w:hint="cs"/>
                <w:sz w:val="26"/>
                <w:szCs w:val="26"/>
                <w:rtl/>
              </w:rPr>
              <w:t>ה</w:t>
            </w:r>
            <w:r w:rsidRPr="00A46599">
              <w:rPr>
                <w:rFonts w:ascii="Arial" w:hAnsi="Arial"/>
                <w:sz w:val="26"/>
                <w:szCs w:val="26"/>
                <w:rtl/>
              </w:rPr>
              <w:t>נאשם</w:t>
            </w:r>
          </w:p>
        </w:tc>
        <w:tc>
          <w:tcPr>
            <w:tcW w:w="4384" w:type="dxa"/>
            <w:tcBorders>
              <w:top w:val="nil"/>
              <w:left w:val="nil"/>
              <w:bottom w:val="nil"/>
              <w:right w:val="nil"/>
            </w:tcBorders>
            <w:shd w:val="clear" w:color="auto" w:fill="auto"/>
          </w:tcPr>
          <w:p w14:paraId="753EA0D8" w14:textId="77777777" w:rsidR="00AC26C1" w:rsidRPr="00A46599" w:rsidRDefault="00AC26C1" w:rsidP="00D00B93">
            <w:pPr>
              <w:rPr>
                <w:sz w:val="26"/>
                <w:szCs w:val="26"/>
                <w:rtl/>
              </w:rPr>
            </w:pPr>
            <w:r w:rsidRPr="00A46599">
              <w:rPr>
                <w:rFonts w:ascii="Arial" w:hAnsi="Arial"/>
                <w:sz w:val="26"/>
                <w:szCs w:val="26"/>
                <w:rtl/>
              </w:rPr>
              <w:t>עמיחי ירדאי</w:t>
            </w:r>
          </w:p>
          <w:p w14:paraId="7EAD7035" w14:textId="77777777" w:rsidR="00AC26C1" w:rsidRPr="00A46599" w:rsidRDefault="00AC26C1" w:rsidP="00D00B93">
            <w:pPr>
              <w:rPr>
                <w:sz w:val="26"/>
                <w:szCs w:val="26"/>
                <w:rtl/>
              </w:rPr>
            </w:pPr>
            <w:r w:rsidRPr="00A46599">
              <w:rPr>
                <w:rFonts w:hint="cs"/>
                <w:sz w:val="26"/>
                <w:szCs w:val="26"/>
                <w:rtl/>
              </w:rPr>
              <w:t>ע"י ב"כ עו"ד ליאור אבידן</w:t>
            </w:r>
          </w:p>
        </w:tc>
        <w:tc>
          <w:tcPr>
            <w:tcW w:w="3551" w:type="dxa"/>
            <w:tcBorders>
              <w:top w:val="nil"/>
              <w:left w:val="nil"/>
              <w:bottom w:val="nil"/>
              <w:right w:val="nil"/>
            </w:tcBorders>
            <w:shd w:val="clear" w:color="auto" w:fill="auto"/>
          </w:tcPr>
          <w:p w14:paraId="5EB69744" w14:textId="77777777" w:rsidR="00AC26C1" w:rsidRPr="00A46599" w:rsidRDefault="00AC26C1" w:rsidP="00AC26C1">
            <w:pPr>
              <w:jc w:val="right"/>
              <w:rPr>
                <w:rFonts w:ascii="Arial" w:hAnsi="Arial"/>
                <w:sz w:val="26"/>
                <w:szCs w:val="26"/>
              </w:rPr>
            </w:pPr>
          </w:p>
        </w:tc>
      </w:tr>
      <w:bookmarkEnd w:id="2"/>
    </w:tbl>
    <w:p w14:paraId="3252517B" w14:textId="77777777" w:rsidR="00AC26C1" w:rsidRPr="00A46599" w:rsidRDefault="00AC26C1" w:rsidP="00AC26C1">
      <w:pPr>
        <w:rPr>
          <w:rtl/>
        </w:rPr>
      </w:pPr>
    </w:p>
    <w:p w14:paraId="1B0C9934" w14:textId="77777777" w:rsidR="00AC26C1" w:rsidRPr="00A46599" w:rsidRDefault="00AC26C1" w:rsidP="00AC26C1">
      <w:pPr>
        <w:pStyle w:val="12"/>
        <w:spacing w:line="360" w:lineRule="auto"/>
        <w:rPr>
          <w:rFonts w:ascii="David" w:hAnsi="David"/>
          <w:u w:val="none"/>
        </w:rPr>
      </w:pPr>
      <w:r w:rsidRPr="00A46599">
        <w:rPr>
          <w:rFonts w:ascii="David" w:hAnsi="David"/>
          <w:u w:val="none"/>
          <w:rtl/>
        </w:rPr>
        <w:t>נ ו כ ח י ם:</w:t>
      </w:r>
    </w:p>
    <w:p w14:paraId="4D5E183C" w14:textId="77777777" w:rsidR="00AC26C1" w:rsidRPr="00A46599" w:rsidRDefault="00AC26C1" w:rsidP="00AC26C1">
      <w:pPr>
        <w:pStyle w:val="12"/>
        <w:jc w:val="both"/>
        <w:rPr>
          <w:rFonts w:ascii="David" w:hAnsi="David"/>
          <w:b w:val="0"/>
          <w:bCs w:val="0"/>
          <w:u w:val="none"/>
          <w:rtl/>
        </w:rPr>
      </w:pPr>
      <w:r w:rsidRPr="00A46599">
        <w:rPr>
          <w:rFonts w:ascii="David" w:hAnsi="David"/>
          <w:b w:val="0"/>
          <w:bCs w:val="0"/>
          <w:u w:val="none"/>
          <w:rtl/>
        </w:rPr>
        <w:t xml:space="preserve">ב"כ המאשימה – עו"ד </w:t>
      </w:r>
      <w:r w:rsidRPr="00A46599">
        <w:rPr>
          <w:rFonts w:ascii="David" w:hAnsi="David" w:hint="cs"/>
          <w:b w:val="0"/>
          <w:bCs w:val="0"/>
          <w:u w:val="none"/>
          <w:rtl/>
        </w:rPr>
        <w:t xml:space="preserve">טולמסוב הלוי  </w:t>
      </w:r>
    </w:p>
    <w:p w14:paraId="2DD4A66A" w14:textId="77777777" w:rsidR="00AC26C1" w:rsidRPr="00A46599" w:rsidRDefault="00AC26C1" w:rsidP="00AC26C1">
      <w:pPr>
        <w:pStyle w:val="12"/>
        <w:rPr>
          <w:rFonts w:ascii="David" w:hAnsi="David"/>
          <w:b w:val="0"/>
          <w:bCs w:val="0"/>
          <w:u w:val="none"/>
          <w:rtl/>
        </w:rPr>
      </w:pPr>
      <w:r w:rsidRPr="00A46599">
        <w:rPr>
          <w:rFonts w:ascii="David" w:hAnsi="David"/>
          <w:b w:val="0"/>
          <w:bCs w:val="0"/>
          <w:u w:val="none"/>
          <w:rtl/>
        </w:rPr>
        <w:t xml:space="preserve">ב"כ הנאשם –  עו"ד </w:t>
      </w:r>
      <w:r w:rsidRPr="00A46599">
        <w:rPr>
          <w:rFonts w:ascii="David" w:hAnsi="David" w:hint="cs"/>
          <w:b w:val="0"/>
          <w:bCs w:val="0"/>
          <w:u w:val="none"/>
          <w:rtl/>
        </w:rPr>
        <w:t>רותם סרי בשם עו"ד אבידן</w:t>
      </w:r>
    </w:p>
    <w:p w14:paraId="52010A92" w14:textId="77777777" w:rsidR="00AC26C1" w:rsidRPr="00A46599" w:rsidRDefault="00AC26C1" w:rsidP="00AC26C1">
      <w:pPr>
        <w:pStyle w:val="12"/>
        <w:rPr>
          <w:rFonts w:ascii="David" w:hAnsi="David"/>
          <w:b w:val="0"/>
          <w:bCs w:val="0"/>
          <w:u w:val="none"/>
          <w:rtl/>
        </w:rPr>
      </w:pPr>
      <w:r w:rsidRPr="00A46599">
        <w:rPr>
          <w:rFonts w:ascii="David" w:hAnsi="David"/>
          <w:b w:val="0"/>
          <w:bCs w:val="0"/>
          <w:u w:val="none"/>
          <w:rtl/>
        </w:rPr>
        <w:t>הנאשם – התייצב</w:t>
      </w:r>
    </w:p>
    <w:p w14:paraId="0CFF699F" w14:textId="77777777" w:rsidR="00AC26C1" w:rsidRPr="00A46599" w:rsidRDefault="00AC26C1" w:rsidP="00AC26C1">
      <w:pPr>
        <w:pStyle w:val="12"/>
        <w:rPr>
          <w:rFonts w:ascii="David" w:hAnsi="David"/>
          <w:b w:val="0"/>
          <w:bCs w:val="0"/>
          <w:sz w:val="26"/>
          <w:szCs w:val="26"/>
          <w:u w:val="none"/>
        </w:rPr>
      </w:pPr>
    </w:p>
    <w:p w14:paraId="3D839F6D" w14:textId="77777777" w:rsidR="00A46599" w:rsidRPr="00A46599" w:rsidRDefault="00A46599" w:rsidP="00A46599">
      <w:pPr>
        <w:spacing w:before="120" w:after="120" w:line="240" w:lineRule="exact"/>
        <w:ind w:left="283" w:hanging="283"/>
        <w:jc w:val="both"/>
        <w:rPr>
          <w:rFonts w:ascii="FrankRuehl" w:hAnsi="FrankRuehl" w:cs="FrankRuehl"/>
          <w:rtl/>
        </w:rPr>
      </w:pPr>
    </w:p>
    <w:p w14:paraId="7D87E7F1" w14:textId="77777777" w:rsidR="00A46599" w:rsidRPr="00A46599" w:rsidRDefault="00A46599" w:rsidP="00A46599">
      <w:pPr>
        <w:rPr>
          <w:rtl/>
        </w:rPr>
      </w:pPr>
    </w:p>
    <w:p w14:paraId="61DA1677" w14:textId="77777777" w:rsidR="00726741" w:rsidRPr="00726741" w:rsidRDefault="00726741" w:rsidP="00726741">
      <w:pPr>
        <w:spacing w:before="120" w:after="120" w:line="240" w:lineRule="exact"/>
        <w:ind w:left="283" w:hanging="283"/>
        <w:jc w:val="both"/>
        <w:rPr>
          <w:rFonts w:ascii="FrankRuehl" w:hAnsi="FrankRuehl" w:cs="FrankRuehl"/>
          <w:rtl/>
        </w:rPr>
      </w:pPr>
    </w:p>
    <w:p w14:paraId="069CAE46" w14:textId="77777777" w:rsidR="0002693D" w:rsidRPr="0002693D" w:rsidRDefault="0002693D" w:rsidP="0002693D">
      <w:pPr>
        <w:spacing w:before="120" w:after="120" w:line="240" w:lineRule="exact"/>
        <w:ind w:left="283" w:hanging="283"/>
        <w:jc w:val="both"/>
        <w:rPr>
          <w:rFonts w:ascii="FrankRuehl" w:hAnsi="FrankRuehl" w:cs="FrankRuehl"/>
          <w:rtl/>
        </w:rPr>
      </w:pPr>
    </w:p>
    <w:p w14:paraId="43D65B24" w14:textId="77777777" w:rsidR="00F67B0D" w:rsidRDefault="00F67B0D" w:rsidP="00F67B0D">
      <w:pPr>
        <w:rPr>
          <w:rtl/>
        </w:rPr>
      </w:pPr>
      <w:bookmarkStart w:id="3" w:name="LawTable"/>
      <w:bookmarkEnd w:id="3"/>
    </w:p>
    <w:p w14:paraId="11735843" w14:textId="77777777" w:rsidR="00F67B0D" w:rsidRPr="00F67B0D" w:rsidRDefault="00F67B0D" w:rsidP="00F67B0D">
      <w:pPr>
        <w:spacing w:before="120" w:after="120" w:line="240" w:lineRule="exact"/>
        <w:ind w:left="283" w:hanging="283"/>
        <w:jc w:val="both"/>
        <w:rPr>
          <w:rFonts w:ascii="FrankRuehl" w:hAnsi="FrankRuehl" w:cs="FrankRuehl"/>
          <w:rtl/>
        </w:rPr>
      </w:pPr>
    </w:p>
    <w:p w14:paraId="110DB033" w14:textId="77777777" w:rsidR="00F67B0D" w:rsidRPr="00F67B0D" w:rsidRDefault="00F67B0D" w:rsidP="00F67B0D">
      <w:pPr>
        <w:spacing w:before="120" w:after="120" w:line="240" w:lineRule="exact"/>
        <w:ind w:left="283" w:hanging="283"/>
        <w:jc w:val="both"/>
        <w:rPr>
          <w:rFonts w:ascii="FrankRuehl" w:hAnsi="FrankRuehl" w:cs="FrankRuehl"/>
          <w:rtl/>
        </w:rPr>
      </w:pPr>
    </w:p>
    <w:p w14:paraId="552D4E4C" w14:textId="77777777" w:rsidR="00F67B0D" w:rsidRPr="00F67B0D" w:rsidRDefault="00F67B0D" w:rsidP="00F67B0D">
      <w:pPr>
        <w:spacing w:before="120" w:after="120" w:line="240" w:lineRule="exact"/>
        <w:ind w:left="283" w:hanging="283"/>
        <w:jc w:val="both"/>
        <w:rPr>
          <w:rFonts w:ascii="FrankRuehl" w:hAnsi="FrankRuehl" w:cs="FrankRuehl"/>
          <w:rtl/>
        </w:rPr>
      </w:pPr>
      <w:r w:rsidRPr="00F67B0D">
        <w:rPr>
          <w:rFonts w:ascii="FrankRuehl" w:hAnsi="FrankRuehl" w:cs="FrankRuehl"/>
          <w:rtl/>
        </w:rPr>
        <w:t xml:space="preserve">חקיקה שאוזכרה: </w:t>
      </w:r>
    </w:p>
    <w:p w14:paraId="4621952C" w14:textId="77777777" w:rsidR="00F67B0D" w:rsidRPr="00F67B0D" w:rsidRDefault="00F67B0D" w:rsidP="00F67B0D">
      <w:pPr>
        <w:spacing w:before="120" w:after="120" w:line="240" w:lineRule="exact"/>
        <w:ind w:left="283" w:hanging="283"/>
        <w:jc w:val="both"/>
        <w:rPr>
          <w:rFonts w:ascii="FrankRuehl" w:hAnsi="FrankRuehl" w:cs="FrankRuehl"/>
          <w:rtl/>
        </w:rPr>
      </w:pPr>
      <w:hyperlink r:id="rId7" w:history="1">
        <w:r w:rsidRPr="00F67B0D">
          <w:rPr>
            <w:rFonts w:ascii="FrankRuehl" w:hAnsi="FrankRuehl" w:cs="FrankRuehl"/>
            <w:color w:val="0000FF"/>
            <w:rtl/>
          </w:rPr>
          <w:t>פקודת הסמים המסוכנים [נוסח חדש], תשל"ג-1973</w:t>
        </w:r>
      </w:hyperlink>
      <w:r w:rsidRPr="00F67B0D">
        <w:rPr>
          <w:rFonts w:ascii="FrankRuehl" w:hAnsi="FrankRuehl" w:cs="FrankRuehl"/>
          <w:rtl/>
        </w:rPr>
        <w:t xml:space="preserve">: סע'  </w:t>
      </w:r>
      <w:hyperlink r:id="rId8" w:history="1">
        <w:r w:rsidRPr="00F67B0D">
          <w:rPr>
            <w:rFonts w:ascii="FrankRuehl" w:hAnsi="FrankRuehl" w:cs="FrankRuehl"/>
            <w:color w:val="0000FF"/>
            <w:rtl/>
          </w:rPr>
          <w:t>13</w:t>
        </w:r>
      </w:hyperlink>
      <w:r w:rsidRPr="00F67B0D">
        <w:rPr>
          <w:rFonts w:ascii="FrankRuehl" w:hAnsi="FrankRuehl" w:cs="FrankRuehl"/>
          <w:rtl/>
        </w:rPr>
        <w:t xml:space="preserve">, </w:t>
      </w:r>
      <w:hyperlink r:id="rId9" w:history="1">
        <w:r w:rsidRPr="00F67B0D">
          <w:rPr>
            <w:rFonts w:ascii="FrankRuehl" w:hAnsi="FrankRuehl" w:cs="FrankRuehl"/>
            <w:color w:val="0000FF"/>
            <w:rtl/>
          </w:rPr>
          <w:t>19א</w:t>
        </w:r>
      </w:hyperlink>
    </w:p>
    <w:p w14:paraId="1164917A" w14:textId="77777777" w:rsidR="00F67B0D" w:rsidRPr="00F67B0D" w:rsidRDefault="00F67B0D" w:rsidP="00F67B0D">
      <w:pPr>
        <w:spacing w:before="120" w:after="120" w:line="240" w:lineRule="exact"/>
        <w:ind w:left="283" w:hanging="283"/>
        <w:jc w:val="both"/>
        <w:rPr>
          <w:rFonts w:ascii="FrankRuehl" w:hAnsi="FrankRuehl" w:cs="FrankRuehl"/>
          <w:rtl/>
        </w:rPr>
      </w:pPr>
      <w:hyperlink r:id="rId10" w:history="1">
        <w:r w:rsidRPr="00F67B0D">
          <w:rPr>
            <w:rFonts w:ascii="FrankRuehl" w:hAnsi="FrankRuehl" w:cs="FrankRuehl"/>
            <w:color w:val="0000FF"/>
            <w:rtl/>
          </w:rPr>
          <w:t>חוק העונשין, תשל"ז-1977</w:t>
        </w:r>
      </w:hyperlink>
      <w:r w:rsidRPr="00F67B0D">
        <w:rPr>
          <w:rFonts w:ascii="FrankRuehl" w:hAnsi="FrankRuehl" w:cs="FrankRuehl"/>
          <w:rtl/>
        </w:rPr>
        <w:t xml:space="preserve">: סע'  </w:t>
      </w:r>
      <w:hyperlink r:id="rId11" w:history="1">
        <w:r w:rsidRPr="00F67B0D">
          <w:rPr>
            <w:rFonts w:ascii="FrankRuehl" w:hAnsi="FrankRuehl" w:cs="FrankRuehl"/>
            <w:color w:val="0000FF"/>
            <w:rtl/>
          </w:rPr>
          <w:t>55(א)</w:t>
        </w:r>
      </w:hyperlink>
      <w:r w:rsidRPr="00F67B0D">
        <w:rPr>
          <w:rFonts w:ascii="FrankRuehl" w:hAnsi="FrankRuehl" w:cs="FrankRuehl"/>
          <w:rtl/>
        </w:rPr>
        <w:t xml:space="preserve">, </w:t>
      </w:r>
      <w:hyperlink r:id="rId12" w:history="1">
        <w:r w:rsidRPr="00F67B0D">
          <w:rPr>
            <w:rFonts w:ascii="FrankRuehl" w:hAnsi="FrankRuehl" w:cs="FrankRuehl"/>
            <w:color w:val="0000FF"/>
            <w:rtl/>
          </w:rPr>
          <w:t>56</w:t>
        </w:r>
      </w:hyperlink>
    </w:p>
    <w:p w14:paraId="5A2DBCA7" w14:textId="77777777" w:rsidR="00F67B0D" w:rsidRPr="00F67B0D" w:rsidRDefault="00F67B0D" w:rsidP="00F67B0D">
      <w:pPr>
        <w:rPr>
          <w:rtl/>
        </w:rPr>
      </w:pPr>
      <w:bookmarkStart w:id="4" w:name="LawTable_End"/>
      <w:bookmarkEnd w:id="4"/>
    </w:p>
    <w:p w14:paraId="27AB2983" w14:textId="77777777" w:rsidR="00AC26C1" w:rsidRPr="0002693D" w:rsidRDefault="00AC26C1" w:rsidP="0002693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C26C1" w14:paraId="1A84221B" w14:textId="77777777" w:rsidTr="00AC26C1">
        <w:trPr>
          <w:trHeight w:val="355"/>
          <w:jc w:val="center"/>
        </w:trPr>
        <w:tc>
          <w:tcPr>
            <w:tcW w:w="8820" w:type="dxa"/>
            <w:tcBorders>
              <w:top w:val="nil"/>
              <w:left w:val="nil"/>
              <w:bottom w:val="nil"/>
              <w:right w:val="nil"/>
            </w:tcBorders>
            <w:shd w:val="clear" w:color="auto" w:fill="auto"/>
          </w:tcPr>
          <w:p w14:paraId="6C644E12" w14:textId="77777777" w:rsidR="00A46599" w:rsidRPr="00A46599" w:rsidRDefault="00A46599" w:rsidP="00A46599">
            <w:pPr>
              <w:jc w:val="center"/>
              <w:rPr>
                <w:rFonts w:ascii="Arial" w:hAnsi="Arial"/>
                <w:b/>
                <w:bCs/>
                <w:sz w:val="28"/>
                <w:szCs w:val="28"/>
                <w:u w:val="single"/>
                <w:rtl/>
              </w:rPr>
            </w:pPr>
            <w:bookmarkStart w:id="5" w:name="PsakDin" w:colFirst="0" w:colLast="0"/>
            <w:r w:rsidRPr="00A46599">
              <w:rPr>
                <w:rFonts w:ascii="Arial" w:hAnsi="Arial"/>
                <w:b/>
                <w:bCs/>
                <w:sz w:val="28"/>
                <w:szCs w:val="28"/>
                <w:u w:val="single"/>
                <w:rtl/>
              </w:rPr>
              <w:t>גזר דין</w:t>
            </w:r>
          </w:p>
          <w:p w14:paraId="5F13ED51" w14:textId="77777777" w:rsidR="00AC26C1" w:rsidRPr="00A46599" w:rsidRDefault="00AC26C1" w:rsidP="00A46599">
            <w:pPr>
              <w:jc w:val="center"/>
              <w:rPr>
                <w:rFonts w:ascii="Arial" w:hAnsi="Arial"/>
                <w:bCs/>
                <w:sz w:val="28"/>
                <w:szCs w:val="28"/>
                <w:u w:val="single"/>
                <w:rtl/>
              </w:rPr>
            </w:pPr>
          </w:p>
        </w:tc>
      </w:tr>
      <w:bookmarkEnd w:id="5"/>
    </w:tbl>
    <w:p w14:paraId="5A1D2BF1" w14:textId="77777777" w:rsidR="00AC26C1" w:rsidRPr="00B05847" w:rsidRDefault="00AC26C1" w:rsidP="00AC26C1">
      <w:pPr>
        <w:rPr>
          <w:rFonts w:ascii="Arial" w:hAnsi="Arial"/>
          <w:rtl/>
        </w:rPr>
      </w:pPr>
    </w:p>
    <w:p w14:paraId="2C2B96FE" w14:textId="77777777" w:rsidR="00AC26C1" w:rsidRDefault="00AC26C1" w:rsidP="00AC26C1">
      <w:pPr>
        <w:spacing w:line="360" w:lineRule="auto"/>
        <w:jc w:val="center"/>
        <w:rPr>
          <w:b/>
          <w:bCs/>
          <w:u w:val="single"/>
          <w:rtl/>
        </w:rPr>
      </w:pPr>
      <w:r>
        <w:rPr>
          <w:b/>
          <w:bCs/>
          <w:u w:val="single"/>
          <w:rtl/>
        </w:rPr>
        <w:t xml:space="preserve">   </w:t>
      </w:r>
    </w:p>
    <w:p w14:paraId="1F4C4AF8" w14:textId="77777777" w:rsidR="00AC26C1" w:rsidRDefault="00AC26C1" w:rsidP="00AC26C1">
      <w:pPr>
        <w:spacing w:line="360" w:lineRule="auto"/>
        <w:jc w:val="both"/>
        <w:rPr>
          <w:rtl/>
        </w:rPr>
      </w:pPr>
      <w:r>
        <w:rPr>
          <w:b/>
          <w:bCs/>
          <w:u w:val="single"/>
          <w:rtl/>
        </w:rPr>
        <w:t>כללי</w:t>
      </w:r>
    </w:p>
    <w:p w14:paraId="4CE4C484" w14:textId="77777777" w:rsidR="00AC26C1" w:rsidRDefault="00AC26C1" w:rsidP="00AC26C1">
      <w:pPr>
        <w:pStyle w:val="aa"/>
        <w:numPr>
          <w:ilvl w:val="0"/>
          <w:numId w:val="1"/>
        </w:numPr>
        <w:spacing w:line="360" w:lineRule="auto"/>
        <w:ind w:left="-58"/>
        <w:jc w:val="both"/>
        <w:rPr>
          <w:rFonts w:ascii="David" w:hAnsi="David" w:cs="David"/>
          <w:sz w:val="24"/>
          <w:szCs w:val="24"/>
          <w:rtl/>
        </w:rPr>
      </w:pPr>
      <w:bookmarkStart w:id="6" w:name="ABSTRACT_START"/>
      <w:bookmarkEnd w:id="6"/>
      <w:r>
        <w:rPr>
          <w:rFonts w:ascii="David" w:hAnsi="David" w:cs="David"/>
          <w:sz w:val="24"/>
          <w:szCs w:val="24"/>
          <w:rtl/>
        </w:rPr>
        <w:t xml:space="preserve">הנאשם, יליד 1985, הורשע על בסיס הודאתו ובמסגרת הסכמה דיונית, בעבירה של </w:t>
      </w:r>
      <w:r>
        <w:rPr>
          <w:rFonts w:ascii="David" w:hAnsi="David" w:cs="David"/>
          <w:b/>
          <w:bCs/>
          <w:sz w:val="24"/>
          <w:szCs w:val="24"/>
          <w:rtl/>
        </w:rPr>
        <w:t>יצוא, יבוא, מסחר, הספקה סמים מסוכנים</w:t>
      </w:r>
      <w:r>
        <w:rPr>
          <w:rFonts w:ascii="David" w:hAnsi="David" w:cs="David"/>
          <w:sz w:val="24"/>
          <w:szCs w:val="24"/>
          <w:rtl/>
        </w:rPr>
        <w:t xml:space="preserve">- עבירה לפי </w:t>
      </w:r>
      <w:hyperlink r:id="rId13" w:history="1">
        <w:r w:rsidR="00726741" w:rsidRPr="00726741">
          <w:rPr>
            <w:rStyle w:val="Hyperlink"/>
            <w:rFonts w:ascii="David" w:hAnsi="David" w:cs="David"/>
            <w:sz w:val="24"/>
            <w:szCs w:val="24"/>
            <w:rtl/>
          </w:rPr>
          <w:t>סעיף 13+ 19א</w:t>
        </w:r>
      </w:hyperlink>
      <w:r>
        <w:rPr>
          <w:rFonts w:ascii="David" w:hAnsi="David" w:cs="David"/>
          <w:sz w:val="24"/>
          <w:szCs w:val="24"/>
          <w:rtl/>
        </w:rPr>
        <w:t xml:space="preserve"> ל</w:t>
      </w:r>
      <w:hyperlink r:id="rId14" w:history="1">
        <w:r w:rsidR="00A46599" w:rsidRPr="00A4659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w:t>
      </w:r>
    </w:p>
    <w:p w14:paraId="7F53CD2C" w14:textId="77777777" w:rsidR="00AC26C1" w:rsidRDefault="00AC26C1" w:rsidP="00AC26C1">
      <w:pPr>
        <w:pStyle w:val="aa"/>
        <w:spacing w:line="360" w:lineRule="auto"/>
        <w:ind w:left="-58"/>
        <w:jc w:val="both"/>
        <w:rPr>
          <w:rFonts w:ascii="David" w:hAnsi="David" w:cs="David"/>
          <w:sz w:val="24"/>
          <w:szCs w:val="24"/>
        </w:rPr>
      </w:pPr>
      <w:bookmarkStart w:id="7" w:name="ABSTRACT_END"/>
      <w:bookmarkEnd w:id="7"/>
    </w:p>
    <w:p w14:paraId="4CF30D4A"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cs="David"/>
          <w:sz w:val="24"/>
          <w:szCs w:val="24"/>
          <w:rtl/>
        </w:rPr>
        <w:t>בהתאם לעובדות</w:t>
      </w:r>
      <w:r>
        <w:rPr>
          <w:rFonts w:ascii="David" w:hAnsi="David" w:cs="David"/>
          <w:sz w:val="24"/>
          <w:szCs w:val="24"/>
          <w:rtl/>
        </w:rPr>
        <w:t xml:space="preserve"> כתב האישום המתוקן, בתאריך 1.2.21 בשעה 18:56, שהה הנאשם יחד עם אחר ברחוב השרון 12 בתל אביב. באותן נסיבות פגש בשוטר אשר היה לבוש בלבוש אזרחי ונוצר קשר עין בין השוטר לבין הנאשם והאחר. הנאשם פנה לשוטר ושאל: "אתה עייף אה?" ובתגובה השוטר הנהן עם הראש. הנאשם שאל את השוטר: "רוצה לעשות איזה ראש להתעורר?" השוטר השיב: </w:t>
      </w:r>
      <w:r>
        <w:rPr>
          <w:rFonts w:ascii="David" w:hAnsi="David" w:cs="David"/>
          <w:sz w:val="24"/>
          <w:szCs w:val="24"/>
          <w:rtl/>
        </w:rPr>
        <w:lastRenderedPageBreak/>
        <w:t xml:space="preserve">"יש משהו?" הנאשם ענה: " כן, בוא", השוטר שאל: "יש קרח? הנאשם ענה: "כן". השוטר השיב: "תביא לי במאתיים". הנאשם ענה: "תראה כסף". בהמשך לכך ולבקשת הנאשם, השוטר הושיט יד לעברו והנאשם הוציא מכיס מכנסיו שקית קטנה אשר הכילה סם מסוג קוקאין במשקל כולל של 0.0580 גר' נטו, ומסר לשוטר. בתמורה לכך, שילם השוטר לנאשם 200 ₪. הנאשם נעצר בנסיבות אלו, כאשר התמורה נמצאת בכיסו. </w:t>
      </w:r>
    </w:p>
    <w:p w14:paraId="2351B6E9" w14:textId="77777777" w:rsidR="00AC26C1" w:rsidRDefault="00AC26C1" w:rsidP="00AC26C1">
      <w:pPr>
        <w:pStyle w:val="aa"/>
        <w:numPr>
          <w:ilvl w:val="0"/>
          <w:numId w:val="1"/>
        </w:numPr>
        <w:spacing w:line="360" w:lineRule="auto"/>
        <w:ind w:left="-58"/>
        <w:jc w:val="both"/>
        <w:rPr>
          <w:rFonts w:ascii="David" w:hAnsi="David" w:cs="David"/>
          <w:sz w:val="24"/>
          <w:szCs w:val="24"/>
          <w:rtl/>
        </w:rPr>
      </w:pPr>
      <w:r>
        <w:rPr>
          <w:rFonts w:ascii="David" w:hAnsi="David" w:cs="David"/>
          <w:sz w:val="24"/>
          <w:szCs w:val="24"/>
          <w:rtl/>
        </w:rPr>
        <w:t xml:space="preserve">כתב האישום הוגש לראשונה בפברואר 2021 אולם בדצמבר אותה שנה הותלו ההליכים לאחר שהנאשם לא התייצב. ההליך חודש במאי 2022 ובספטמבר 2022 הנאשם הודה בכתב אישום מתוקן והופנה לשירות המבחן מבלי שהיו הסכמות לעניין העונש.  </w:t>
      </w:r>
    </w:p>
    <w:p w14:paraId="10E2D91F"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אין חולק כי את העבירה ביצע הנאשם כשמאסר על תנאי בן 4 חודשים תלוי ועומד נגדו.</w:t>
      </w:r>
    </w:p>
    <w:p w14:paraId="69B030E2" w14:textId="77777777" w:rsidR="00AC26C1" w:rsidRDefault="00AC26C1" w:rsidP="00AC26C1">
      <w:pPr>
        <w:spacing w:line="360" w:lineRule="auto"/>
        <w:jc w:val="both"/>
        <w:rPr>
          <w:rFonts w:ascii="David" w:hAnsi="David"/>
          <w:b/>
          <w:bCs/>
          <w:u w:val="single"/>
        </w:rPr>
      </w:pPr>
    </w:p>
    <w:p w14:paraId="275037E7" w14:textId="77777777" w:rsidR="00AC26C1" w:rsidRDefault="00AC26C1" w:rsidP="00AC26C1">
      <w:pPr>
        <w:spacing w:line="360" w:lineRule="auto"/>
        <w:jc w:val="both"/>
        <w:rPr>
          <w:rFonts w:ascii="David" w:hAnsi="David"/>
          <w:b/>
          <w:bCs/>
          <w:u w:val="single"/>
          <w:rtl/>
        </w:rPr>
      </w:pPr>
      <w:r>
        <w:rPr>
          <w:rFonts w:ascii="David" w:hAnsi="David"/>
          <w:b/>
          <w:bCs/>
          <w:u w:val="single"/>
          <w:rtl/>
        </w:rPr>
        <w:t>תסקירי שירות מבחן</w:t>
      </w:r>
    </w:p>
    <w:p w14:paraId="4B7D5EAD" w14:textId="77777777" w:rsidR="00AC26C1" w:rsidRDefault="00AC26C1" w:rsidP="00AC26C1">
      <w:pPr>
        <w:pStyle w:val="aa"/>
        <w:numPr>
          <w:ilvl w:val="0"/>
          <w:numId w:val="1"/>
        </w:numPr>
        <w:spacing w:line="360" w:lineRule="auto"/>
        <w:ind w:left="-58"/>
        <w:jc w:val="both"/>
        <w:rPr>
          <w:rFonts w:ascii="David" w:hAnsi="David" w:cs="David"/>
          <w:sz w:val="24"/>
          <w:szCs w:val="24"/>
          <w:rtl/>
        </w:rPr>
      </w:pPr>
      <w:r>
        <w:rPr>
          <w:rFonts w:ascii="David" w:hAnsi="David" w:cs="David"/>
          <w:b/>
          <w:bCs/>
          <w:sz w:val="24"/>
          <w:szCs w:val="24"/>
          <w:u w:val="single"/>
          <w:rtl/>
        </w:rPr>
        <w:t>בתסקיר מיום 18/4/23</w:t>
      </w:r>
      <w:r>
        <w:rPr>
          <w:rFonts w:ascii="David" w:hAnsi="David" w:cs="David"/>
          <w:sz w:val="24"/>
          <w:szCs w:val="24"/>
          <w:rtl/>
        </w:rPr>
        <w:t xml:space="preserve"> התייחס שירות המבחן למכלול נסיבותיו האישיות של הנאשם. מדובר באדם בן 37, רווק, סיים 12 שנות לימוד, מתגורר עם הוריו ועובד במרכול שכונתי.</w:t>
      </w:r>
      <w:r>
        <w:rPr>
          <w:rFonts w:ascii="David" w:hAnsi="David" w:cs="David"/>
          <w:b/>
          <w:bCs/>
          <w:sz w:val="24"/>
          <w:szCs w:val="24"/>
          <w:rtl/>
        </w:rPr>
        <w:t xml:space="preserve"> </w:t>
      </w:r>
      <w:r>
        <w:rPr>
          <w:rFonts w:ascii="David" w:hAnsi="David" w:cs="David"/>
          <w:sz w:val="24"/>
          <w:szCs w:val="24"/>
          <w:rtl/>
        </w:rPr>
        <w:t>בילדותו עבר הנאשם מספר מסגרות חינוך ואף שולב במסגרות חוץ ביתיות לנוער בסיכון, בשל מעורבותו בפלילים וצריכת סמים. הנאשם מאובחן כסובל מהפרעת דחק פוסט טראומטית על רקע חשיפה לארועים הקשורים במעורבות פלילית. בעברו 9 הרשעות קודמות בעבירות סמים ורכוש, בגינן ריצה מאסרים בפועל. הנאשם מסר כי פנה באופן וולונטרי ליחידה העירונית לטיפול בהתמכרויות באשדוד ושולב בטיפול פרטני וקבוצתי. לדבריו לאור עומס בעבודה, הפסיק את הטיפול לאחר כחצי שנה. שירות המבחן הציע לנאשם לחזור ולהשתלב בהליך טיפולי אולם הנאשם לא הביע נכונות לכך וטען שכיום ביכולתו להימנע ממעורבות בפלילים ומצריכת סמים. הנאשם זומן למסירת דגימות לאיתור שרידי סם בשירות המבחן כאשר בבדיקה הראשונה, לא נמצאו שרידי סם ובבדיקה השנייה נמצאו שרידי סם מסוג קוקאין.</w:t>
      </w:r>
    </w:p>
    <w:p w14:paraId="23A5F0CF" w14:textId="77777777" w:rsidR="00AC26C1" w:rsidRDefault="00AC26C1" w:rsidP="00AC26C1">
      <w:pPr>
        <w:pStyle w:val="aa"/>
        <w:spacing w:line="360" w:lineRule="auto"/>
        <w:ind w:left="-58"/>
        <w:jc w:val="both"/>
        <w:rPr>
          <w:rFonts w:ascii="David" w:hAnsi="David" w:cs="David"/>
          <w:sz w:val="24"/>
          <w:szCs w:val="24"/>
        </w:rPr>
      </w:pPr>
      <w:r>
        <w:rPr>
          <w:rFonts w:ascii="David" w:hAnsi="David" w:cs="David"/>
          <w:sz w:val="24"/>
          <w:szCs w:val="24"/>
          <w:rtl/>
        </w:rPr>
        <w:t xml:space="preserve">הנאשם קיבל אחריות לביצוע העבירה וסיפר כי בוצעה על רקע ההתמכרות ולצורך רווח כספי להמשך מימון צריכתו האישית. תקופה קצרה לאחר ביצוע העבירה ובסיוע בני משפחתו, החליט להפסיק את צריכת הסמים וניתק קשרים עם גורמים שוליים.  </w:t>
      </w:r>
    </w:p>
    <w:p w14:paraId="3014067F" w14:textId="77777777" w:rsidR="00AC26C1" w:rsidRDefault="00AC26C1" w:rsidP="00AC26C1">
      <w:pPr>
        <w:pStyle w:val="aa"/>
        <w:spacing w:line="360" w:lineRule="auto"/>
        <w:ind w:left="-58"/>
        <w:jc w:val="both"/>
        <w:rPr>
          <w:rFonts w:ascii="David" w:hAnsi="David" w:cs="David"/>
          <w:sz w:val="24"/>
          <w:szCs w:val="24"/>
          <w:rtl/>
        </w:rPr>
      </w:pPr>
      <w:r>
        <w:rPr>
          <w:rFonts w:ascii="David" w:hAnsi="David" w:cs="David"/>
          <w:sz w:val="24"/>
          <w:szCs w:val="24"/>
          <w:rtl/>
        </w:rPr>
        <w:t xml:space="preserve">לבסוף שירות המבחן התרשם כי הנאשם מחזיק בעמדות המאפשרות פריצת גבולות ומשכך קיים חשש להישנות עבירות מצידו. ציינו קיומם של קשיים תפקודיים ואימוץ דפוסי חשיבה שוליים, קושי בקבלת גבולות פנימיים וחיצוניים ואי סיום טיפול יעודי. מנגד התייחסו לגורמי סיכוי לשיקום ובהם אי פתיחת תיקים חדשים, רצון פנימי לשינוי שבא לידי ביטוי בפניה על ידו לטיפול ותמיכת משפחתו בהליך החיובי. שירות המבחן המליץ על בדיקת התאמתו לריצוי מאסר בדרך של עבודות שירות. </w:t>
      </w:r>
    </w:p>
    <w:p w14:paraId="0B4A130D" w14:textId="77777777" w:rsidR="00AC26C1" w:rsidRDefault="00AC26C1" w:rsidP="00AC26C1">
      <w:pPr>
        <w:pStyle w:val="aa"/>
        <w:numPr>
          <w:ilvl w:val="0"/>
          <w:numId w:val="1"/>
        </w:numPr>
        <w:spacing w:line="360" w:lineRule="auto"/>
        <w:ind w:left="-58"/>
        <w:jc w:val="both"/>
        <w:rPr>
          <w:rFonts w:ascii="David" w:hAnsi="David" w:cs="David"/>
          <w:sz w:val="24"/>
          <w:szCs w:val="24"/>
          <w:rtl/>
        </w:rPr>
      </w:pPr>
      <w:r>
        <w:rPr>
          <w:rFonts w:ascii="David" w:hAnsi="David" w:cs="David"/>
          <w:b/>
          <w:bCs/>
          <w:sz w:val="24"/>
          <w:szCs w:val="24"/>
          <w:u w:val="single"/>
          <w:rtl/>
        </w:rPr>
        <w:t>בתסקיר מיום 14.6.23</w:t>
      </w:r>
      <w:r>
        <w:rPr>
          <w:rFonts w:ascii="David" w:hAnsi="David" w:cs="David"/>
          <w:sz w:val="24"/>
          <w:szCs w:val="24"/>
          <w:rtl/>
        </w:rPr>
        <w:t xml:space="preserve"> עדכן שירות המבחן כי הנאשם ביטא הסכמה ומוטיבציה לשילוב בטיפול עמוק בתחום התמכרות לסמים. הבין שעליו להתגייס לצורך הליך טיפולי וביטא הבנה שהשינוי אליו שואף, דורש הקרבה לצורך שינוי בר קיימא בעתידו. </w:t>
      </w:r>
    </w:p>
    <w:p w14:paraId="33C99631" w14:textId="77777777" w:rsidR="00AC26C1" w:rsidRDefault="00AC26C1" w:rsidP="00AC26C1">
      <w:pPr>
        <w:pStyle w:val="aa"/>
        <w:spacing w:line="360" w:lineRule="auto"/>
        <w:ind w:left="-58"/>
        <w:jc w:val="both"/>
        <w:rPr>
          <w:rFonts w:ascii="David" w:hAnsi="David" w:cs="David"/>
          <w:sz w:val="24"/>
          <w:szCs w:val="24"/>
        </w:rPr>
      </w:pPr>
      <w:r>
        <w:rPr>
          <w:rFonts w:ascii="David" w:hAnsi="David" w:cs="David"/>
          <w:sz w:val="24"/>
          <w:szCs w:val="24"/>
          <w:rtl/>
        </w:rPr>
        <w:t xml:space="preserve">באשר לבדיקות לאיתור סמים- זומן 4 פעמים. לראשונה לא הגיע ובשלוש הבדיקות האחרות לא נמצאו שרידי סם. </w:t>
      </w:r>
    </w:p>
    <w:p w14:paraId="57939FAE" w14:textId="77777777" w:rsidR="00AC26C1" w:rsidRDefault="00AC26C1" w:rsidP="00AC26C1">
      <w:pPr>
        <w:pStyle w:val="aa"/>
        <w:spacing w:line="360" w:lineRule="auto"/>
        <w:ind w:left="-58"/>
        <w:jc w:val="both"/>
        <w:rPr>
          <w:rFonts w:ascii="David" w:hAnsi="David" w:cs="David"/>
          <w:sz w:val="24"/>
          <w:szCs w:val="24"/>
          <w:rtl/>
        </w:rPr>
      </w:pPr>
      <w:r>
        <w:rPr>
          <w:rFonts w:ascii="David" w:hAnsi="David" w:cs="David"/>
          <w:sz w:val="24"/>
          <w:szCs w:val="24"/>
          <w:rtl/>
        </w:rPr>
        <w:t xml:space="preserve">לאור כך שהנאשם יציב במסגרת תעסוקתית לרבות הימנעות ממעורבות בפלילים ושינוי עמדותיו ולשם הפחתת הסיכון, הומלץ על העמדתו בצו מבחן במסגרתו ישולב במסגרת היחידה לטיפול </w:t>
      </w:r>
      <w:r>
        <w:rPr>
          <w:rFonts w:ascii="David" w:hAnsi="David" w:cs="David"/>
          <w:sz w:val="24"/>
          <w:szCs w:val="24"/>
          <w:rtl/>
        </w:rPr>
        <w:lastRenderedPageBreak/>
        <w:t>בהתמכרויות. שירות המבחן המליץ על בחינת התאמתו לריצוי עונש מאסר קצר בדרך של עבודות שירות לצד מאסר מותנה והתחייבות כספית.</w:t>
      </w:r>
    </w:p>
    <w:p w14:paraId="5561B3CC" w14:textId="77777777" w:rsidR="00AC26C1" w:rsidRDefault="00AC26C1" w:rsidP="00AC26C1">
      <w:pPr>
        <w:pStyle w:val="aa"/>
        <w:numPr>
          <w:ilvl w:val="0"/>
          <w:numId w:val="1"/>
        </w:numPr>
        <w:spacing w:line="360" w:lineRule="auto"/>
        <w:ind w:left="-58"/>
        <w:jc w:val="both"/>
        <w:rPr>
          <w:rFonts w:ascii="David" w:hAnsi="David" w:cs="David"/>
          <w:b/>
          <w:bCs/>
          <w:sz w:val="24"/>
          <w:szCs w:val="24"/>
          <w:u w:val="single"/>
          <w:rtl/>
        </w:rPr>
      </w:pPr>
      <w:r>
        <w:rPr>
          <w:rFonts w:ascii="David" w:hAnsi="David" w:cs="David"/>
          <w:b/>
          <w:bCs/>
          <w:sz w:val="24"/>
          <w:szCs w:val="24"/>
          <w:u w:val="single"/>
          <w:rtl/>
        </w:rPr>
        <w:t>מחוות דעת הממונה על עבודות שירות מיום 18.6.23</w:t>
      </w:r>
      <w:r>
        <w:rPr>
          <w:rFonts w:ascii="David" w:hAnsi="David" w:cs="David"/>
          <w:sz w:val="24"/>
          <w:szCs w:val="24"/>
          <w:rtl/>
        </w:rPr>
        <w:t xml:space="preserve"> נמצא הנאשם כשיר לריצוי עבודות שירות במגבלות.</w:t>
      </w:r>
    </w:p>
    <w:p w14:paraId="203B6DEE" w14:textId="77777777" w:rsidR="00AC26C1" w:rsidRDefault="00AC26C1" w:rsidP="00AC26C1">
      <w:pPr>
        <w:pStyle w:val="aa"/>
        <w:spacing w:line="360" w:lineRule="auto"/>
        <w:ind w:left="360"/>
        <w:jc w:val="both"/>
        <w:rPr>
          <w:rFonts w:ascii="David" w:hAnsi="David" w:cs="David"/>
          <w:sz w:val="24"/>
          <w:szCs w:val="24"/>
          <w:rtl/>
        </w:rPr>
      </w:pPr>
    </w:p>
    <w:p w14:paraId="22F50E9E" w14:textId="77777777" w:rsidR="00AC26C1" w:rsidRDefault="00AC26C1" w:rsidP="00AC26C1">
      <w:pPr>
        <w:spacing w:line="360" w:lineRule="auto"/>
        <w:jc w:val="both"/>
        <w:rPr>
          <w:rFonts w:ascii="David" w:hAnsi="David"/>
          <w:b/>
          <w:bCs/>
          <w:u w:val="single"/>
          <w:rtl/>
        </w:rPr>
      </w:pPr>
      <w:r>
        <w:rPr>
          <w:rFonts w:ascii="David" w:hAnsi="David"/>
          <w:b/>
          <w:bCs/>
          <w:u w:val="single"/>
          <w:rtl/>
        </w:rPr>
        <w:t>ראיות וטיעונים לעונש</w:t>
      </w:r>
    </w:p>
    <w:p w14:paraId="2E3E7DFE" w14:textId="77777777" w:rsidR="00AC26C1" w:rsidRDefault="00AC26C1" w:rsidP="00AC26C1">
      <w:pPr>
        <w:pStyle w:val="aa"/>
        <w:numPr>
          <w:ilvl w:val="0"/>
          <w:numId w:val="1"/>
        </w:numPr>
        <w:spacing w:line="360" w:lineRule="auto"/>
        <w:ind w:left="-58"/>
        <w:jc w:val="both"/>
        <w:rPr>
          <w:rFonts w:ascii="David" w:hAnsi="David" w:cs="David"/>
          <w:b/>
          <w:bCs/>
          <w:sz w:val="24"/>
          <w:szCs w:val="24"/>
          <w:u w:val="single"/>
          <w:rtl/>
        </w:rPr>
      </w:pPr>
      <w:r>
        <w:rPr>
          <w:rFonts w:ascii="David" w:hAnsi="David" w:cs="David"/>
          <w:sz w:val="24"/>
          <w:szCs w:val="24"/>
          <w:rtl/>
        </w:rPr>
        <w:t xml:space="preserve">לטובת הנאשם העיד </w:t>
      </w:r>
      <w:r>
        <w:rPr>
          <w:rFonts w:ascii="David" w:hAnsi="David" w:cs="David"/>
          <w:b/>
          <w:bCs/>
          <w:sz w:val="24"/>
          <w:szCs w:val="24"/>
          <w:rtl/>
        </w:rPr>
        <w:t>אביו</w:t>
      </w:r>
      <w:r>
        <w:rPr>
          <w:rFonts w:ascii="David" w:hAnsi="David" w:cs="David"/>
          <w:sz w:val="24"/>
          <w:szCs w:val="24"/>
          <w:rtl/>
        </w:rPr>
        <w:t xml:space="preserve"> שסיפר על השינוי המשמעותי שעבר בנו. לדבריו במשך 20 השנים האחרונות לא ראה את בנו במצב טוב כפי שהוא בשנתיים האחרונות. סיפר על כך שהנאשם מסור כל כולו לפרנסת המשפחה ולעבודה קשה. האב סיפר כי בנו חדל להשתמש בסמים וביקש להקל בעונשו. </w:t>
      </w:r>
    </w:p>
    <w:p w14:paraId="2E7454C3"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b/>
          <w:bCs/>
          <w:sz w:val="24"/>
          <w:szCs w:val="24"/>
          <w:u w:val="single"/>
          <w:rtl/>
        </w:rPr>
        <w:t>ב"כ המאשימה</w:t>
      </w:r>
      <w:r>
        <w:rPr>
          <w:rFonts w:ascii="David" w:hAnsi="David" w:cs="David"/>
          <w:b/>
          <w:bCs/>
          <w:sz w:val="24"/>
          <w:szCs w:val="24"/>
          <w:rtl/>
        </w:rPr>
        <w:t xml:space="preserve"> </w:t>
      </w:r>
      <w:r>
        <w:rPr>
          <w:rFonts w:ascii="David" w:hAnsi="David" w:cs="David"/>
          <w:sz w:val="24"/>
          <w:szCs w:val="24"/>
          <w:rtl/>
        </w:rPr>
        <w:t xml:space="preserve">הגישה את גיליון הרשעות קודמות של הנאשם (ת/1) וכן מאסר מותנה בר הפעלה (ת/2). בטיעוניה התייחסה לנסיבות ביצוע העבירה ולערכים המוגנים שנפגעו. המאשימה עתרה למתחם עונש שנע בין 8 ל-18 חודשי מאסר בפועל והפנתה לפסיקה תומכת. בשים לב להרשעותיו הקודמות של הנאשם בעבירות רכוש, אלימות וסמים, ביצוע עבירות על אף ריצוי מאסרים בפועל וחרף מאסר מותנה, ביקשה המאשימה למקם את עונשו בשליש העליון של המתחם ולגזור עליו 13 חודשי מאסר בפועל. כן עתרה להפעיל באופן מצטבר את המאסר המותנה ולהשית עליו בנוסף מאסר על תנאי, קנס, פסילה בפועל ועל תנאי. </w:t>
      </w:r>
    </w:p>
    <w:p w14:paraId="3FE48E5D" w14:textId="77777777" w:rsidR="00AC26C1" w:rsidRDefault="00AC26C1" w:rsidP="00AC26C1">
      <w:pPr>
        <w:pStyle w:val="aa"/>
        <w:numPr>
          <w:ilvl w:val="0"/>
          <w:numId w:val="1"/>
        </w:numPr>
        <w:spacing w:line="360" w:lineRule="auto"/>
        <w:ind w:left="-58"/>
        <w:jc w:val="both"/>
      </w:pPr>
      <w:r>
        <w:rPr>
          <w:rFonts w:ascii="David" w:hAnsi="David" w:cs="David"/>
          <w:b/>
          <w:bCs/>
          <w:sz w:val="24"/>
          <w:szCs w:val="24"/>
          <w:u w:val="single"/>
          <w:rtl/>
        </w:rPr>
        <w:t>ב"כ הנאשם</w:t>
      </w:r>
      <w:r>
        <w:rPr>
          <w:rFonts w:ascii="David" w:hAnsi="David" w:cs="David"/>
          <w:b/>
          <w:bCs/>
          <w:sz w:val="24"/>
          <w:szCs w:val="24"/>
          <w:rtl/>
        </w:rPr>
        <w:t xml:space="preserve"> </w:t>
      </w:r>
      <w:r>
        <w:rPr>
          <w:rFonts w:ascii="David" w:hAnsi="David" w:cs="David"/>
          <w:sz w:val="24"/>
          <w:szCs w:val="24"/>
          <w:rtl/>
        </w:rPr>
        <w:t xml:space="preserve">הסכים כי מתחם העונש ההולם מתחיל במאסר שניתן לרצות בעבודות שירות אולם הדגיש כי במקרה שלפני הכמות מזערית ומדובר בפירורי סם. הסנגור הפנה לפסיקה ואבחן את פסקי הדין שהגישה המאשימה. הסנגור התייחס לנסיבות ביצוע העבירה על ידי מרשו שלא כללו תכנון ומדובר במכירה לצורך מימון קניית המנה הבאה עבור עצמו. הסנגור ביקש ליתן משקל לקולה לעובדה שהנאשם ביצע את העבירה על רקע התמכרותו לסמים כאשר הפסיקה מכירה בנסיבה זו כנסיבה מקלה בעת קביעת מתחם העונש ההולם. הסנגור ביקש מבית המשפט לסטות מן המתחם משיקולי שיקום – הנאשם קיבל אחריות וחזר למוטב לאחר תקופה ארוכה של התמכרות. כיום מתפקד באופן תקין לראשונה מזה שנים. עברו של הנאשם ישן, הוא עבר שינוי ויש לעודד אותו להמשיך בדרך זו.  </w:t>
      </w:r>
    </w:p>
    <w:p w14:paraId="3E36513D" w14:textId="77777777" w:rsidR="00AC26C1" w:rsidRDefault="00AC26C1" w:rsidP="00AC26C1">
      <w:pPr>
        <w:pStyle w:val="aa"/>
        <w:numPr>
          <w:ilvl w:val="0"/>
          <w:numId w:val="1"/>
        </w:numPr>
        <w:spacing w:line="360" w:lineRule="auto"/>
        <w:ind w:left="-58"/>
        <w:jc w:val="both"/>
        <w:rPr>
          <w:rFonts w:ascii="David" w:hAnsi="David" w:cs="David"/>
          <w:b/>
          <w:bCs/>
          <w:sz w:val="24"/>
          <w:szCs w:val="24"/>
          <w:u w:val="single"/>
        </w:rPr>
      </w:pPr>
      <w:r>
        <w:rPr>
          <w:rFonts w:ascii="David" w:hAnsi="David" w:cs="David"/>
          <w:b/>
          <w:bCs/>
          <w:sz w:val="24"/>
          <w:szCs w:val="24"/>
          <w:u w:val="single"/>
          <w:rtl/>
        </w:rPr>
        <w:t xml:space="preserve">הנאשם עצמו </w:t>
      </w:r>
      <w:r>
        <w:rPr>
          <w:rFonts w:ascii="David" w:hAnsi="David" w:cs="David"/>
          <w:sz w:val="24"/>
          <w:szCs w:val="24"/>
          <w:rtl/>
        </w:rPr>
        <w:t>סיפר שעלה על נתיב חיובי, שינה סביבה, חזר לבית הוריו ולראשונה מסב נחת להוריו. הנאשם ביקש להקל בעונשו וליתן לו הזדמנות להמשך תפקוד נורמטיבי.</w:t>
      </w:r>
      <w:r>
        <w:rPr>
          <w:rFonts w:ascii="David" w:hAnsi="David" w:cs="David"/>
          <w:b/>
          <w:bCs/>
          <w:sz w:val="24"/>
          <w:szCs w:val="24"/>
          <w:u w:val="single"/>
          <w:rtl/>
        </w:rPr>
        <w:t xml:space="preserve"> </w:t>
      </w:r>
    </w:p>
    <w:p w14:paraId="44D767A1" w14:textId="77777777" w:rsidR="00AC26C1" w:rsidRPr="00AC26C1" w:rsidRDefault="00AC26C1" w:rsidP="00AC26C1">
      <w:pPr>
        <w:spacing w:line="360" w:lineRule="auto"/>
        <w:jc w:val="both"/>
        <w:rPr>
          <w:rFonts w:ascii="Calibri" w:hAnsi="Calibri"/>
          <w:b/>
          <w:bCs/>
          <w:u w:val="single"/>
        </w:rPr>
      </w:pPr>
    </w:p>
    <w:p w14:paraId="16AF567F" w14:textId="77777777" w:rsidR="00AC26C1" w:rsidRPr="00AC26C1" w:rsidRDefault="00AC26C1" w:rsidP="00AC26C1">
      <w:pPr>
        <w:spacing w:line="360" w:lineRule="auto"/>
        <w:jc w:val="both"/>
        <w:rPr>
          <w:rFonts w:cs="Arial"/>
          <w:sz w:val="22"/>
          <w:szCs w:val="22"/>
          <w:rtl/>
        </w:rPr>
      </w:pPr>
      <w:r>
        <w:rPr>
          <w:b/>
          <w:bCs/>
          <w:u w:val="single"/>
          <w:rtl/>
        </w:rPr>
        <w:t>דיון והכרעה</w:t>
      </w:r>
    </w:p>
    <w:p w14:paraId="5F95F2CB" w14:textId="77777777" w:rsidR="00AC26C1" w:rsidRDefault="00AC26C1" w:rsidP="00AC26C1">
      <w:pPr>
        <w:pStyle w:val="aa"/>
        <w:numPr>
          <w:ilvl w:val="0"/>
          <w:numId w:val="1"/>
        </w:numPr>
        <w:spacing w:line="360" w:lineRule="auto"/>
        <w:ind w:left="-58"/>
        <w:jc w:val="both"/>
        <w:rPr>
          <w:rFonts w:ascii="David" w:hAnsi="David" w:cs="David"/>
          <w:sz w:val="24"/>
          <w:szCs w:val="24"/>
          <w:rtl/>
        </w:rPr>
      </w:pPr>
      <w:r>
        <w:rPr>
          <w:rFonts w:ascii="David" w:hAnsi="David" w:cs="David"/>
          <w:b/>
          <w:bCs/>
          <w:sz w:val="24"/>
          <w:szCs w:val="24"/>
          <w:rtl/>
        </w:rPr>
        <w:t>ערכים מוגנים ונסיבות ביצוע העבירה במקרה שבדיון</w:t>
      </w:r>
      <w:r>
        <w:rPr>
          <w:rFonts w:ascii="David" w:hAnsi="David" w:cs="David"/>
          <w:sz w:val="24"/>
          <w:szCs w:val="24"/>
          <w:rtl/>
        </w:rPr>
        <w:t xml:space="preserve"> – הפגיעה החברתית בעקבות עבירות סחר בסמים מקיפה מרחבים רחבי היקף של החברה. סמים פוגעים במשתמש הבודד, במשפחתו ובמעגל הקרוב אליו. במעגל השני נפגעת החברה אשר סופגת עבריינות נלווית ונפגעים צרכנים חדשים שמצטרפים למעגל המכורים. עבירות סחר בסמים מייצרות סביבן פעילות עבריינית נוספת בשל קנייה ומכירה בין גורמים עברייניים ותחזוקה של שוק עברייני המתנהל בצורה עבריינית ופוגע במי שסביבו. לצד הדברים הכלליים אין להתעלם מכך שבמקרה שלפני מדובר על סחר בכמות קטנה (0.0580 גר' נטו תמורת 200 ₪) וכן כי מדובר במכירה לשוטר כך שפוטנציאל הנזק לא מומש במלואו.  </w:t>
      </w:r>
    </w:p>
    <w:p w14:paraId="1690397A"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sz w:val="24"/>
          <w:szCs w:val="24"/>
          <w:u w:val="single"/>
          <w:rtl/>
        </w:rPr>
        <w:t>מדיניות הענישה בעבירת סחר בקוקאין בכמות ובנסיבות דומות:</w:t>
      </w:r>
    </w:p>
    <w:p w14:paraId="35F9CE18" w14:textId="77777777" w:rsidR="00AC26C1" w:rsidRDefault="00A46599" w:rsidP="00AC26C1">
      <w:pPr>
        <w:pStyle w:val="aa"/>
        <w:numPr>
          <w:ilvl w:val="0"/>
          <w:numId w:val="2"/>
        </w:numPr>
        <w:spacing w:line="360" w:lineRule="auto"/>
        <w:jc w:val="both"/>
        <w:rPr>
          <w:rFonts w:ascii="David" w:hAnsi="David" w:cs="David"/>
          <w:sz w:val="24"/>
          <w:szCs w:val="24"/>
          <w:rtl/>
        </w:rPr>
      </w:pPr>
      <w:hyperlink r:id="rId15" w:history="1">
        <w:r w:rsidRPr="00A46599">
          <w:rPr>
            <w:rFonts w:ascii="David" w:hAnsi="David" w:cs="David"/>
            <w:color w:val="0000FF"/>
            <w:sz w:val="24"/>
            <w:szCs w:val="24"/>
            <w:u w:val="single"/>
            <w:rtl/>
          </w:rPr>
          <w:t>רע"פ 65/15</w:t>
        </w:r>
      </w:hyperlink>
      <w:r w:rsidR="00AC26C1">
        <w:rPr>
          <w:rFonts w:ascii="David" w:hAnsi="David" w:cs="David"/>
          <w:sz w:val="24"/>
          <w:szCs w:val="24"/>
          <w:rtl/>
        </w:rPr>
        <w:t xml:space="preserve"> </w:t>
      </w:r>
      <w:r w:rsidR="00AC26C1">
        <w:rPr>
          <w:rFonts w:ascii="David" w:hAnsi="David" w:cs="David"/>
          <w:b/>
          <w:bCs/>
          <w:sz w:val="24"/>
          <w:szCs w:val="24"/>
          <w:rtl/>
        </w:rPr>
        <w:t xml:space="preserve">מסארווה נ' מדינת ישראל </w:t>
      </w:r>
      <w:r w:rsidR="00AC26C1">
        <w:rPr>
          <w:rFonts w:ascii="David" w:hAnsi="David" w:cs="David"/>
          <w:sz w:val="24"/>
          <w:szCs w:val="24"/>
          <w:rtl/>
        </w:rPr>
        <w:t>(13.1.15)- הנאשם</w:t>
      </w:r>
      <w:r w:rsidR="00AC26C1">
        <w:rPr>
          <w:rFonts w:ascii="David" w:hAnsi="David" w:cs="David"/>
          <w:sz w:val="24"/>
          <w:szCs w:val="24"/>
          <w:u w:val="single"/>
          <w:rtl/>
        </w:rPr>
        <w:t xml:space="preserve"> סחר בסם מסוכן בכך שמכר לשוטר סמוי מנת קוקאין בתמורה ל-200 ש"ח</w:t>
      </w:r>
      <w:r w:rsidR="00AC26C1">
        <w:rPr>
          <w:rFonts w:ascii="David" w:hAnsi="David" w:cs="David"/>
          <w:sz w:val="24"/>
          <w:szCs w:val="24"/>
          <w:rtl/>
        </w:rPr>
        <w:t>. במקרה נוסף</w:t>
      </w:r>
      <w:r w:rsidR="00AC26C1">
        <w:rPr>
          <w:rFonts w:ascii="David" w:hAnsi="David" w:cs="David"/>
          <w:sz w:val="24"/>
          <w:szCs w:val="24"/>
          <w:u w:val="single"/>
          <w:rtl/>
        </w:rPr>
        <w:t xml:space="preserve"> סחר בסם מסוכן בכך שמכר לשוטר סמוי מנת קוקאין בתמורה ל-200 ש"ח </w:t>
      </w:r>
      <w:r w:rsidR="00AC26C1">
        <w:rPr>
          <w:rFonts w:ascii="David" w:hAnsi="David" w:cs="David"/>
          <w:sz w:val="24"/>
          <w:szCs w:val="24"/>
          <w:rtl/>
        </w:rPr>
        <w:t xml:space="preserve">אשר הועברו לאחרת שסיפקה את הסם. </w:t>
      </w:r>
      <w:r w:rsidR="00AC26C1">
        <w:rPr>
          <w:rFonts w:ascii="David" w:hAnsi="David" w:cs="David"/>
          <w:b/>
          <w:bCs/>
          <w:sz w:val="24"/>
          <w:szCs w:val="24"/>
          <w:rtl/>
        </w:rPr>
        <w:t xml:space="preserve">בית משפט השלום קבע מתחם שבין 6 חודשי מאסר בפועל ל-18 חודשים. </w:t>
      </w:r>
      <w:r w:rsidR="00AC26C1">
        <w:rPr>
          <w:rFonts w:ascii="David" w:hAnsi="David" w:cs="David"/>
          <w:sz w:val="24"/>
          <w:szCs w:val="24"/>
          <w:rtl/>
        </w:rPr>
        <w:t xml:space="preserve">בית המשפט התייחס להרשעותיו הקודמות בגינן אף נידון למאסרים בפועל, הודאתו, מצבו המשפחתי הקשה בעיקר בפן הכלכלי ומכתבים מהקהילה הטיפולית בה שהה וגזר עונש של 6 חודשי מאסר בעבודות שירות לצד מע"ת, צו מבחן, התחייבות בסך של 1,000 ₪ וחודשיים פסילת רישיון נהיגה. </w:t>
      </w:r>
      <w:r w:rsidR="00AC26C1">
        <w:rPr>
          <w:rFonts w:ascii="David" w:hAnsi="David" w:cs="David"/>
          <w:b/>
          <w:bCs/>
          <w:sz w:val="24"/>
          <w:szCs w:val="24"/>
          <w:rtl/>
        </w:rPr>
        <w:t xml:space="preserve">בית המשפט המחוזי בערעור שהוגש, קבע כי המתחם שנקבע הוא המתחם הנהוג ואף ציין כי בתיקים רבים הרף התחתון בעבירות אלו עולה מעל 6 חודשים. </w:t>
      </w:r>
      <w:r w:rsidR="00AC26C1">
        <w:rPr>
          <w:rFonts w:ascii="David" w:hAnsi="David" w:cs="David"/>
          <w:sz w:val="24"/>
          <w:szCs w:val="24"/>
          <w:rtl/>
        </w:rPr>
        <w:t>הערעור נדחה וכך גם בקשת רשות ערעור לבית המשפט העליון.</w:t>
      </w:r>
    </w:p>
    <w:p w14:paraId="4B644137" w14:textId="77777777" w:rsidR="00AC26C1" w:rsidRDefault="00AC26C1" w:rsidP="00AC26C1">
      <w:pPr>
        <w:pStyle w:val="aa"/>
        <w:spacing w:line="360" w:lineRule="auto"/>
        <w:jc w:val="both"/>
        <w:rPr>
          <w:rFonts w:ascii="David" w:hAnsi="David" w:cs="David"/>
          <w:sz w:val="24"/>
          <w:szCs w:val="24"/>
        </w:rPr>
      </w:pPr>
    </w:p>
    <w:p w14:paraId="6026B44B" w14:textId="77777777" w:rsidR="00AC26C1" w:rsidRDefault="00A46599" w:rsidP="00AC26C1">
      <w:pPr>
        <w:pStyle w:val="aa"/>
        <w:numPr>
          <w:ilvl w:val="0"/>
          <w:numId w:val="2"/>
        </w:numPr>
        <w:spacing w:line="360" w:lineRule="auto"/>
        <w:jc w:val="both"/>
        <w:rPr>
          <w:rFonts w:ascii="David" w:hAnsi="David" w:cs="David"/>
          <w:sz w:val="24"/>
          <w:szCs w:val="24"/>
          <w:u w:val="single"/>
          <w:rtl/>
        </w:rPr>
      </w:pPr>
      <w:hyperlink r:id="rId16" w:history="1">
        <w:r w:rsidRPr="00A46599">
          <w:rPr>
            <w:rFonts w:ascii="David" w:hAnsi="David" w:cs="David"/>
            <w:color w:val="0000FF"/>
            <w:sz w:val="24"/>
            <w:szCs w:val="24"/>
            <w:u w:val="single"/>
            <w:rtl/>
          </w:rPr>
          <w:t>ת"פ (ק. גת) 19214-08-15</w:t>
        </w:r>
      </w:hyperlink>
      <w:r w:rsidR="00AC26C1">
        <w:rPr>
          <w:rFonts w:ascii="David" w:hAnsi="David" w:cs="David"/>
          <w:sz w:val="24"/>
          <w:szCs w:val="24"/>
          <w:rtl/>
        </w:rPr>
        <w:t xml:space="preserve"> </w:t>
      </w:r>
      <w:r w:rsidR="00AC26C1">
        <w:rPr>
          <w:rFonts w:ascii="David" w:hAnsi="David" w:cs="David"/>
          <w:b/>
          <w:bCs/>
          <w:sz w:val="24"/>
          <w:szCs w:val="24"/>
          <w:rtl/>
        </w:rPr>
        <w:t xml:space="preserve">מדינת ישראל נ' עוקבי </w:t>
      </w:r>
      <w:r w:rsidR="00AC26C1">
        <w:rPr>
          <w:rFonts w:ascii="David" w:hAnsi="David" w:cs="David"/>
          <w:sz w:val="24"/>
          <w:szCs w:val="24"/>
          <w:rtl/>
        </w:rPr>
        <w:t xml:space="preserve">(29.11.16)- נאשם 1 </w:t>
      </w:r>
      <w:r w:rsidR="00AC26C1">
        <w:rPr>
          <w:rFonts w:ascii="David" w:hAnsi="David" w:cs="David"/>
          <w:sz w:val="24"/>
          <w:szCs w:val="24"/>
          <w:u w:val="single"/>
          <w:rtl/>
        </w:rPr>
        <w:t>מכר לסוכן משטרתי סם מסוג קוקאין במשקל 0.16 גרם נטו וסם מסוג הרואין במשקל 0.79 גרם נטו תמורת 300 ₪</w:t>
      </w:r>
      <w:r w:rsidR="00AC26C1">
        <w:rPr>
          <w:rFonts w:ascii="David" w:hAnsi="David" w:cs="David"/>
          <w:sz w:val="24"/>
          <w:szCs w:val="24"/>
          <w:rtl/>
        </w:rPr>
        <w:t xml:space="preserve"> וזאת לאחר תיאום מראש. </w:t>
      </w:r>
      <w:r w:rsidR="00AC26C1">
        <w:rPr>
          <w:rFonts w:ascii="David" w:hAnsi="David" w:cs="David"/>
          <w:b/>
          <w:bCs/>
          <w:sz w:val="24"/>
          <w:szCs w:val="24"/>
          <w:rtl/>
        </w:rPr>
        <w:t>בית המשפט קבע מתחם שבין 6 חודשי מאסר בעבודות שירות, בנסיבות חריגות לקולה לבין 15 חודשי מאסר בפועל, בנסיבות מחמירות.</w:t>
      </w:r>
      <w:r w:rsidR="00AC26C1">
        <w:rPr>
          <w:rFonts w:ascii="David" w:hAnsi="David" w:cs="David"/>
          <w:sz w:val="24"/>
          <w:szCs w:val="24"/>
          <w:rtl/>
        </w:rPr>
        <w:t xml:space="preserve"> בית משפט קמא גזר על הנאשם, צעיר, נעדר עבר פלילי, שהחל טיפול משמעותי בשירות המבחן, עונש של מאסר  לתקופה בת 6 חודשים ללא ניכוי תקופת המעצר בדרך של עבודות שירות, לצד מע"ת, קנס בסך 10,000 ₪, צו מבחן, פסילת רישיון בפועל ועל תנאי וחילוט. בית המשפט המחוזי קיבל את הערעור בנוגע לגובה הקנס והפחית אותו לסך של 6,000 ₪.</w:t>
      </w:r>
    </w:p>
    <w:p w14:paraId="47DF8EDE" w14:textId="77777777" w:rsidR="00AC26C1" w:rsidRDefault="00AC26C1" w:rsidP="00AC26C1">
      <w:pPr>
        <w:pStyle w:val="aa"/>
        <w:jc w:val="both"/>
        <w:rPr>
          <w:rFonts w:ascii="David" w:hAnsi="David" w:cs="David"/>
          <w:sz w:val="24"/>
          <w:szCs w:val="24"/>
          <w:u w:val="single"/>
        </w:rPr>
      </w:pPr>
    </w:p>
    <w:p w14:paraId="6678AA85" w14:textId="77777777" w:rsidR="00AC26C1" w:rsidRDefault="00A46599" w:rsidP="00AC26C1">
      <w:pPr>
        <w:pStyle w:val="aa"/>
        <w:numPr>
          <w:ilvl w:val="0"/>
          <w:numId w:val="2"/>
        </w:numPr>
        <w:spacing w:line="360" w:lineRule="auto"/>
        <w:jc w:val="both"/>
        <w:rPr>
          <w:rFonts w:ascii="David" w:hAnsi="David" w:cs="David"/>
          <w:sz w:val="24"/>
          <w:szCs w:val="24"/>
          <w:rtl/>
        </w:rPr>
      </w:pPr>
      <w:hyperlink r:id="rId17" w:history="1">
        <w:r w:rsidRPr="00A46599">
          <w:rPr>
            <w:rFonts w:ascii="David" w:hAnsi="David" w:cs="David"/>
            <w:color w:val="0000FF"/>
            <w:sz w:val="24"/>
            <w:szCs w:val="24"/>
            <w:u w:val="single"/>
            <w:rtl/>
          </w:rPr>
          <w:t>ת"פ (רמלה) 46328-02-18</w:t>
        </w:r>
      </w:hyperlink>
      <w:r w:rsidR="00AC26C1">
        <w:rPr>
          <w:rFonts w:ascii="David" w:hAnsi="David" w:cs="David"/>
          <w:sz w:val="24"/>
          <w:szCs w:val="24"/>
          <w:rtl/>
        </w:rPr>
        <w:t xml:space="preserve"> </w:t>
      </w:r>
      <w:r w:rsidR="00AC26C1">
        <w:rPr>
          <w:rFonts w:ascii="David" w:hAnsi="David" w:cs="David"/>
          <w:b/>
          <w:bCs/>
          <w:sz w:val="24"/>
          <w:szCs w:val="24"/>
          <w:rtl/>
        </w:rPr>
        <w:t xml:space="preserve">מדינת ישראל נ' טברי </w:t>
      </w:r>
      <w:r w:rsidR="00AC26C1">
        <w:rPr>
          <w:rFonts w:ascii="David" w:hAnsi="David" w:cs="David"/>
          <w:sz w:val="24"/>
          <w:szCs w:val="24"/>
          <w:rtl/>
        </w:rPr>
        <w:t xml:space="preserve">(15.5.19)- באישום הראשון, בתאריך 15.1.18 </w:t>
      </w:r>
      <w:r w:rsidR="00AC26C1">
        <w:rPr>
          <w:rFonts w:ascii="David" w:hAnsi="David" w:cs="David"/>
          <w:sz w:val="24"/>
          <w:szCs w:val="24"/>
          <w:u w:val="single"/>
          <w:rtl/>
        </w:rPr>
        <w:t>מכר הנאשם לאדם אחר קוקאין במשקל 0.42 גרם נטו והרואין במשקל 1.74 גרם נטו תמורת 200 ₪</w:t>
      </w:r>
      <w:r w:rsidR="00AC26C1">
        <w:rPr>
          <w:rFonts w:ascii="David" w:hAnsi="David" w:cs="David"/>
          <w:sz w:val="24"/>
          <w:szCs w:val="24"/>
          <w:rtl/>
        </w:rPr>
        <w:t xml:space="preserve">. באישום השלישי, בתאריך 28.1.18 </w:t>
      </w:r>
      <w:r w:rsidR="00AC26C1">
        <w:rPr>
          <w:rFonts w:ascii="David" w:hAnsi="David" w:cs="David"/>
          <w:sz w:val="24"/>
          <w:szCs w:val="24"/>
          <w:u w:val="single"/>
          <w:rtl/>
        </w:rPr>
        <w:t>מכר הנאשם לאדם נוסף הרואין במשקל 0.88 גרם נטו תמורת 100 ₪.</w:t>
      </w:r>
      <w:r w:rsidR="00AC26C1">
        <w:rPr>
          <w:rFonts w:ascii="David" w:hAnsi="David" w:cs="David"/>
          <w:sz w:val="24"/>
          <w:szCs w:val="24"/>
          <w:rtl/>
        </w:rPr>
        <w:t xml:space="preserve"> באישום הרביעי, במהלך תקופה בת חודשיים, עובר לתאריך 11.2.18 במספר הזדמנויות שונות </w:t>
      </w:r>
      <w:r w:rsidR="00AC26C1">
        <w:rPr>
          <w:rFonts w:ascii="David" w:hAnsi="David" w:cs="David"/>
          <w:sz w:val="24"/>
          <w:szCs w:val="24"/>
          <w:u w:val="single"/>
          <w:rtl/>
        </w:rPr>
        <w:t xml:space="preserve">מכר הנאשם לקונה שלישי קוקאין תמורת 100 ₪ למנת סם. </w:t>
      </w:r>
      <w:r w:rsidR="00AC26C1">
        <w:rPr>
          <w:rFonts w:ascii="David" w:hAnsi="David" w:cs="David"/>
          <w:sz w:val="24"/>
          <w:szCs w:val="24"/>
          <w:rtl/>
        </w:rPr>
        <w:t xml:space="preserve">עוד נמסר, שכאשר אזל לרוכש הסם כספו, הוא שילם לנאשם באמצעות בגדים שאותם רכש, באמצעות מכשיר טלוויזיה שנרכש בסכום של כ - 2,390 ₪. על פי עובדות האישום החמישי, במהלך תקופה של כחודשיים, עובר לתאריך 28.1.18, </w:t>
      </w:r>
      <w:r w:rsidR="00AC26C1">
        <w:rPr>
          <w:rFonts w:ascii="David" w:hAnsi="David" w:cs="David"/>
          <w:sz w:val="24"/>
          <w:szCs w:val="24"/>
          <w:u w:val="single"/>
          <w:rtl/>
        </w:rPr>
        <w:t xml:space="preserve">בשלוש הזדמנויות שונות, מכר הנאשם לקונה רביעית הרואין בכמות שאינה ידועה בסכומים שבין 100 – 200 ₪ בכל פעם, ובאחת מהן, בתאריך 14.1.18 מכר לה 1.55 גרם הרואין תמורת 200 ₪. על פי עובדות </w:t>
      </w:r>
      <w:r w:rsidR="00AC26C1">
        <w:rPr>
          <w:rFonts w:ascii="David" w:hAnsi="David" w:cs="David"/>
          <w:sz w:val="24"/>
          <w:szCs w:val="24"/>
          <w:rtl/>
        </w:rPr>
        <w:t xml:space="preserve">האישום השישי, בתאריך 5.2.18 החזיק בביתו קוקאין במשקל 9 גרם שלא לצריכה עצמית. </w:t>
      </w:r>
      <w:r w:rsidR="00AC26C1">
        <w:rPr>
          <w:rFonts w:ascii="David" w:hAnsi="David" w:cs="David"/>
          <w:b/>
          <w:bCs/>
          <w:sz w:val="24"/>
          <w:szCs w:val="24"/>
          <w:rtl/>
        </w:rPr>
        <w:t xml:space="preserve">בית המשפט קבע כי מתחם העונש ההולם ביחס לכל מכירה ומכירה של הרואין/ קוקאין במשקלים המתוארים באישום ובנסיבות המתוארות נע בין מספר חודשי מאסר בפועל ל-18 חודשי מאסר בפועל. </w:t>
      </w:r>
      <w:r w:rsidR="00AC26C1">
        <w:rPr>
          <w:rFonts w:ascii="David" w:hAnsi="David" w:cs="David"/>
          <w:sz w:val="24"/>
          <w:szCs w:val="24"/>
          <w:rtl/>
        </w:rPr>
        <w:t>בית המשפט גזר על הנאשם, שלחובתו עבר פלילי הכולל 6 הרשעות קודמות בתחום הרלוונטי, שלא עבר הליך שיקומי, תוך התייחסות לנסיבות חייו כפי שפורטו בתסקיר שירות המבחן, עונש של  30 חודשי מאסר בפועל, מהם תנוכה תקופת מעצרו לצד מע"ת, קנס בסך 30,000 ₪ ופסילת רישיון נהיגה.</w:t>
      </w:r>
    </w:p>
    <w:p w14:paraId="3E32A248" w14:textId="77777777" w:rsidR="00AC26C1" w:rsidRDefault="00AC26C1" w:rsidP="00AC26C1">
      <w:pPr>
        <w:pStyle w:val="aa"/>
        <w:spacing w:line="360" w:lineRule="auto"/>
        <w:jc w:val="both"/>
        <w:rPr>
          <w:rFonts w:ascii="David" w:hAnsi="David" w:cs="David"/>
          <w:sz w:val="24"/>
          <w:szCs w:val="24"/>
        </w:rPr>
      </w:pPr>
    </w:p>
    <w:p w14:paraId="37888890" w14:textId="77777777" w:rsidR="00AC26C1" w:rsidRDefault="00A46599" w:rsidP="00AC26C1">
      <w:pPr>
        <w:pStyle w:val="aa"/>
        <w:numPr>
          <w:ilvl w:val="0"/>
          <w:numId w:val="2"/>
        </w:numPr>
        <w:spacing w:line="360" w:lineRule="auto"/>
        <w:jc w:val="both"/>
        <w:rPr>
          <w:rFonts w:ascii="David" w:hAnsi="David" w:cs="David"/>
          <w:sz w:val="28"/>
          <w:szCs w:val="28"/>
        </w:rPr>
      </w:pPr>
      <w:hyperlink r:id="rId18" w:history="1">
        <w:r w:rsidRPr="00A46599">
          <w:rPr>
            <w:rFonts w:ascii="David" w:hAnsi="David" w:cs="David"/>
            <w:color w:val="0000FF"/>
            <w:sz w:val="24"/>
            <w:szCs w:val="24"/>
            <w:u w:val="single"/>
            <w:rtl/>
          </w:rPr>
          <w:t>ת"פ (תל-אביב) 9888-06-16</w:t>
        </w:r>
      </w:hyperlink>
      <w:r w:rsidR="00AC26C1">
        <w:rPr>
          <w:rFonts w:ascii="David" w:hAnsi="David" w:cs="David"/>
          <w:sz w:val="24"/>
          <w:szCs w:val="24"/>
          <w:rtl/>
        </w:rPr>
        <w:t xml:space="preserve"> </w:t>
      </w:r>
      <w:r w:rsidR="00AC26C1">
        <w:rPr>
          <w:rFonts w:ascii="David" w:hAnsi="David" w:cs="David"/>
          <w:b/>
          <w:bCs/>
          <w:sz w:val="24"/>
          <w:szCs w:val="24"/>
          <w:rtl/>
        </w:rPr>
        <w:t xml:space="preserve">מדינת ישראל נ' היקר </w:t>
      </w:r>
      <w:r w:rsidR="00AC26C1">
        <w:rPr>
          <w:rFonts w:ascii="David" w:hAnsi="David" w:cs="David"/>
          <w:sz w:val="24"/>
          <w:szCs w:val="24"/>
          <w:rtl/>
        </w:rPr>
        <w:t xml:space="preserve">(16.9.19)-  הנאשם הורשע על פי הודאתו, </w:t>
      </w:r>
      <w:r w:rsidR="00AC26C1">
        <w:rPr>
          <w:rFonts w:ascii="David" w:hAnsi="David" w:cs="David"/>
          <w:sz w:val="24"/>
          <w:szCs w:val="24"/>
          <w:u w:val="single"/>
          <w:rtl/>
        </w:rPr>
        <w:t xml:space="preserve">ב-4 עבירות של סחר בסמים מסוכנים ובעבירה נוספת של החזקת סם שלא לצריכה עצמית. </w:t>
      </w:r>
      <w:r w:rsidR="00AC26C1">
        <w:rPr>
          <w:rFonts w:ascii="David" w:hAnsi="David" w:cs="David"/>
          <w:sz w:val="24"/>
          <w:szCs w:val="24"/>
          <w:rtl/>
        </w:rPr>
        <w:t xml:space="preserve">בארבעה מועדים שונים מחר לסוכן משטרתי קוקאין. בפעמיים הראשונות מכר </w:t>
      </w:r>
      <w:r w:rsidR="00AC26C1">
        <w:rPr>
          <w:rFonts w:ascii="David" w:hAnsi="David" w:cs="David"/>
          <w:b/>
          <w:bCs/>
          <w:sz w:val="24"/>
          <w:szCs w:val="24"/>
          <w:u w:val="single"/>
          <w:rtl/>
        </w:rPr>
        <w:t xml:space="preserve">0.1 גרם </w:t>
      </w:r>
      <w:r w:rsidR="00AC26C1">
        <w:rPr>
          <w:rFonts w:ascii="David" w:hAnsi="David" w:cs="David"/>
          <w:sz w:val="24"/>
          <w:szCs w:val="24"/>
          <w:u w:val="single"/>
          <w:rtl/>
        </w:rPr>
        <w:t>בתמורה ל- 200 ₪. בפעם השלישית מכר לסוכן הרואין במשקל</w:t>
      </w:r>
      <w:r w:rsidR="00AC26C1">
        <w:rPr>
          <w:rFonts w:ascii="David" w:hAnsi="David" w:cs="David"/>
          <w:b/>
          <w:bCs/>
          <w:sz w:val="24"/>
          <w:szCs w:val="24"/>
          <w:u w:val="single"/>
          <w:rtl/>
        </w:rPr>
        <w:t xml:space="preserve"> 0.68 גרם</w:t>
      </w:r>
      <w:r w:rsidR="00AC26C1">
        <w:rPr>
          <w:rFonts w:ascii="David" w:hAnsi="David" w:cs="David"/>
          <w:sz w:val="24"/>
          <w:szCs w:val="24"/>
          <w:u w:val="single"/>
          <w:rtl/>
        </w:rPr>
        <w:t xml:space="preserve"> בתמורה ל-130 ₪. בפעם הרביעית מכר לשוטר הסמוי הרואין, מחולק ל-15 מנות במשקל כולל של</w:t>
      </w:r>
      <w:r w:rsidR="00AC26C1">
        <w:rPr>
          <w:rFonts w:ascii="David" w:hAnsi="David" w:cs="David"/>
          <w:b/>
          <w:bCs/>
          <w:sz w:val="24"/>
          <w:szCs w:val="24"/>
          <w:u w:val="single"/>
          <w:rtl/>
        </w:rPr>
        <w:t xml:space="preserve"> 17.2 גרם </w:t>
      </w:r>
      <w:r w:rsidR="00AC26C1">
        <w:rPr>
          <w:rFonts w:ascii="David" w:hAnsi="David" w:cs="David"/>
          <w:sz w:val="24"/>
          <w:szCs w:val="24"/>
          <w:u w:val="single"/>
          <w:rtl/>
        </w:rPr>
        <w:t>בתמורה ל-1,800 ₪,</w:t>
      </w:r>
      <w:r w:rsidR="00AC26C1">
        <w:rPr>
          <w:rFonts w:ascii="David" w:hAnsi="David" w:cs="David"/>
          <w:sz w:val="24"/>
          <w:szCs w:val="24"/>
          <w:rtl/>
        </w:rPr>
        <w:t xml:space="preserve">בנוסף, הנאשם החזיק ברשותו סך מסוכן הרואין במשקל 2 גרם מחולק ל-2 מנות ועוד חבילה של הרואין במשקל כולל של 2.58 גרם. </w:t>
      </w:r>
      <w:r w:rsidR="00AC26C1">
        <w:rPr>
          <w:rFonts w:ascii="David" w:hAnsi="David" w:cs="David"/>
          <w:b/>
          <w:bCs/>
          <w:sz w:val="24"/>
          <w:szCs w:val="24"/>
          <w:rtl/>
        </w:rPr>
        <w:t>בית המשפט קבע כי מתחם העונש ההולם באשר לכל אישום נע בין 8 ל-18 חודשים וכי גם האישום הרביעי יכול לדור תחת מתחם עונשי זה, יחד עם זאת, מבחינת הנסיבות הכוללות, מיקומו של הנאשם ישתנה</w:t>
      </w:r>
      <w:r w:rsidR="00AC26C1">
        <w:rPr>
          <w:rFonts w:ascii="David" w:hAnsi="David" w:cs="David"/>
          <w:sz w:val="24"/>
          <w:szCs w:val="24"/>
          <w:rtl/>
        </w:rPr>
        <w:t>. בית המשפט גזר על הנאשם, בן 40, ללא עבר פלילי, שנטל אחריות מלאה על מעשיו, הביע חרטה, תוך התייחסות לנסיבות חייו של הנאשם, מצבו הנפשי וההליך הטיפולי שעבר, עונש של 20 חודשי מאסר לריצוי בפועל, בניכוי ימי מעצרו, לצד מע"ת וחילוט.</w:t>
      </w:r>
    </w:p>
    <w:p w14:paraId="0BEBBF14" w14:textId="77777777" w:rsidR="00AC26C1" w:rsidRDefault="00AC26C1" w:rsidP="00AC26C1">
      <w:pPr>
        <w:pStyle w:val="aa"/>
        <w:spacing w:line="360" w:lineRule="auto"/>
        <w:jc w:val="both"/>
        <w:rPr>
          <w:rFonts w:ascii="David" w:hAnsi="David" w:cs="David"/>
          <w:sz w:val="24"/>
          <w:szCs w:val="24"/>
        </w:rPr>
      </w:pPr>
    </w:p>
    <w:p w14:paraId="6E0E0FAB" w14:textId="77777777" w:rsidR="00AC26C1" w:rsidRDefault="00AC26C1" w:rsidP="00AC26C1">
      <w:pPr>
        <w:pStyle w:val="aa"/>
        <w:numPr>
          <w:ilvl w:val="0"/>
          <w:numId w:val="1"/>
        </w:numPr>
        <w:spacing w:line="360" w:lineRule="auto"/>
        <w:ind w:left="-58"/>
        <w:jc w:val="both"/>
        <w:rPr>
          <w:rFonts w:ascii="David" w:hAnsi="David" w:cs="David"/>
          <w:b/>
          <w:bCs/>
          <w:sz w:val="24"/>
          <w:szCs w:val="24"/>
        </w:rPr>
      </w:pPr>
      <w:r>
        <w:rPr>
          <w:rFonts w:ascii="David" w:hAnsi="David" w:cs="David"/>
          <w:b/>
          <w:bCs/>
          <w:sz w:val="24"/>
          <w:szCs w:val="24"/>
          <w:rtl/>
        </w:rPr>
        <w:t>מתחם העונש ההולם</w:t>
      </w:r>
      <w:r>
        <w:rPr>
          <w:rFonts w:ascii="David" w:hAnsi="David" w:cs="David"/>
          <w:sz w:val="24"/>
          <w:szCs w:val="24"/>
          <w:rtl/>
        </w:rPr>
        <w:t xml:space="preserve"> – קביעת המתחם אינה חישוב מתמטי שהוא תוצאה של חלוקת עונשים במספר הגרמים שנמכרו. הכמות היא רכיב חשוב אך לא יחיד. לצידו יש ביטוי לתמורה, לסוג הסם, לנסיבות המכירה. בקביעת המתחם בעניינו של הנאשם שקלתי העובדה שמדובר במכירה אחת, כמות הסם, הסוג והתמורה, העדר תחכום, העדר פעולה בחבורה והעובדה שהמכירה היתה לסוכן משטרתי ואני קובעת מתחם שנע מ-</w:t>
      </w:r>
      <w:r>
        <w:rPr>
          <w:rFonts w:ascii="David" w:hAnsi="David" w:cs="David"/>
          <w:b/>
          <w:bCs/>
          <w:sz w:val="24"/>
          <w:szCs w:val="24"/>
          <w:rtl/>
        </w:rPr>
        <w:t>5</w:t>
      </w:r>
      <w:r>
        <w:rPr>
          <w:rFonts w:ascii="David" w:hAnsi="David" w:cs="David"/>
          <w:sz w:val="24"/>
          <w:szCs w:val="24"/>
          <w:rtl/>
        </w:rPr>
        <w:t xml:space="preserve"> </w:t>
      </w:r>
      <w:r>
        <w:rPr>
          <w:rFonts w:ascii="David" w:hAnsi="David" w:cs="David"/>
          <w:b/>
          <w:bCs/>
          <w:sz w:val="24"/>
          <w:szCs w:val="24"/>
          <w:rtl/>
        </w:rPr>
        <w:t xml:space="preserve">חודשי מאסר ל- 16 חודשי מאסר בפועל. </w:t>
      </w:r>
    </w:p>
    <w:p w14:paraId="2C7C162C"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b/>
          <w:bCs/>
          <w:sz w:val="24"/>
          <w:szCs w:val="24"/>
          <w:rtl/>
        </w:rPr>
        <w:t>העונש המתאים לנאשם –</w:t>
      </w:r>
      <w:r>
        <w:rPr>
          <w:rFonts w:ascii="David" w:hAnsi="David" w:cs="David"/>
          <w:sz w:val="24"/>
          <w:szCs w:val="24"/>
          <w:rtl/>
        </w:rPr>
        <w:t xml:space="preserve"> לא מצאתי כי קיימים שיקולים המצדיקים לסטות מהכלל הקבוע ב</w:t>
      </w:r>
      <w:r>
        <w:rPr>
          <w:rFonts w:cs="David"/>
          <w:sz w:val="24"/>
          <w:szCs w:val="24"/>
          <w:rtl/>
        </w:rPr>
        <w:t xml:space="preserve">סעיף </w:t>
      </w:r>
      <w:hyperlink r:id="rId19" w:history="1">
        <w:r w:rsidR="00726741" w:rsidRPr="00726741">
          <w:rPr>
            <w:rStyle w:val="Hyperlink"/>
            <w:rFonts w:cs="David"/>
            <w:sz w:val="24"/>
            <w:szCs w:val="24"/>
            <w:rtl/>
          </w:rPr>
          <w:t>55(א)</w:t>
        </w:r>
      </w:hyperlink>
      <w:r>
        <w:rPr>
          <w:rFonts w:cs="David"/>
          <w:sz w:val="24"/>
          <w:szCs w:val="24"/>
          <w:rtl/>
        </w:rPr>
        <w:t xml:space="preserve"> ל</w:t>
      </w:r>
      <w:hyperlink r:id="rId20" w:history="1">
        <w:r w:rsidR="00A46599" w:rsidRPr="00A46599">
          <w:rPr>
            <w:rFonts w:cs="David" w:hint="cs"/>
            <w:color w:val="0000FF"/>
            <w:sz w:val="24"/>
            <w:szCs w:val="24"/>
            <w:u w:val="single"/>
            <w:rtl/>
          </w:rPr>
          <w:t>חוק</w:t>
        </w:r>
        <w:r w:rsidR="00A46599" w:rsidRPr="00A46599">
          <w:rPr>
            <w:rFonts w:cs="David"/>
            <w:color w:val="0000FF"/>
            <w:sz w:val="24"/>
            <w:szCs w:val="24"/>
            <w:u w:val="single"/>
            <w:rtl/>
          </w:rPr>
          <w:t xml:space="preserve"> </w:t>
        </w:r>
        <w:r w:rsidR="00A46599" w:rsidRPr="00A46599">
          <w:rPr>
            <w:rFonts w:cs="David" w:hint="cs"/>
            <w:color w:val="0000FF"/>
            <w:sz w:val="24"/>
            <w:szCs w:val="24"/>
            <w:u w:val="single"/>
            <w:rtl/>
          </w:rPr>
          <w:t>העונשין</w:t>
        </w:r>
      </w:hyperlink>
      <w:r>
        <w:rPr>
          <w:rFonts w:cs="David"/>
          <w:sz w:val="24"/>
          <w:szCs w:val="24"/>
          <w:rtl/>
        </w:rPr>
        <w:t xml:space="preserve"> לפיו "</w:t>
      </w:r>
      <w:r>
        <w:rPr>
          <w:rFonts w:cs="David"/>
          <w:b/>
          <w:bCs/>
          <w:sz w:val="24"/>
          <w:szCs w:val="24"/>
          <w:rtl/>
        </w:rPr>
        <w:t>מי שנידון למאסר על תנאי והורשע בשל עבירה נוספת, יצווה בית המשפט על הפעלת המאסר על תנאי</w:t>
      </w:r>
      <w:r>
        <w:rPr>
          <w:rFonts w:cs="David"/>
          <w:sz w:val="24"/>
          <w:szCs w:val="24"/>
          <w:rtl/>
        </w:rPr>
        <w:t xml:space="preserve">". </w:t>
      </w:r>
      <w:hyperlink r:id="rId21" w:history="1">
        <w:r w:rsidR="00726741" w:rsidRPr="00726741">
          <w:rPr>
            <w:rStyle w:val="Hyperlink"/>
            <w:rFonts w:cs="David"/>
            <w:sz w:val="24"/>
            <w:szCs w:val="24"/>
            <w:rtl/>
          </w:rPr>
          <w:t>סעיף 56</w:t>
        </w:r>
      </w:hyperlink>
      <w:r>
        <w:rPr>
          <w:rFonts w:cs="David"/>
          <w:sz w:val="24"/>
          <w:szCs w:val="24"/>
          <w:rtl/>
        </w:rPr>
        <w:t xml:space="preserve"> ל</w:t>
      </w:r>
      <w:hyperlink r:id="rId22" w:history="1">
        <w:r w:rsidR="00A46599" w:rsidRPr="00A46599">
          <w:rPr>
            <w:rFonts w:cs="David" w:hint="cs"/>
            <w:color w:val="0000FF"/>
            <w:sz w:val="24"/>
            <w:szCs w:val="24"/>
            <w:u w:val="single"/>
            <w:rtl/>
          </w:rPr>
          <w:t>חוק</w:t>
        </w:r>
        <w:r w:rsidR="00A46599" w:rsidRPr="00A46599">
          <w:rPr>
            <w:rFonts w:cs="David"/>
            <w:color w:val="0000FF"/>
            <w:sz w:val="24"/>
            <w:szCs w:val="24"/>
            <w:u w:val="single"/>
            <w:rtl/>
          </w:rPr>
          <w:t xml:space="preserve"> </w:t>
        </w:r>
        <w:r w:rsidR="00A46599" w:rsidRPr="00A46599">
          <w:rPr>
            <w:rFonts w:cs="David" w:hint="cs"/>
            <w:color w:val="0000FF"/>
            <w:sz w:val="24"/>
            <w:szCs w:val="24"/>
            <w:u w:val="single"/>
            <w:rtl/>
          </w:rPr>
          <w:t>העונשין</w:t>
        </w:r>
      </w:hyperlink>
      <w:r>
        <w:rPr>
          <w:rFonts w:cs="David"/>
          <w:sz w:val="24"/>
          <w:szCs w:val="24"/>
          <w:rtl/>
        </w:rPr>
        <w:t xml:space="preserve"> קובע בהמשך חריג לכלל האמור ומסמיך את בית המשפט להאריך את תקופת התנאי אם מצא נסיבות מוצדקות לכך ומטעמים שיירשמו. בית המשפט העליון הדגיש לא פעם כי השימוש בסמכות זו יעשה במשורה רק כאשר שוכנע בית המשפט שבנסיבות המקרה שלפניו אין מקום להשית על הנאשם עונש של מאסר בפועל (ראו </w:t>
      </w:r>
      <w:hyperlink r:id="rId23" w:history="1">
        <w:r w:rsidR="00A46599" w:rsidRPr="00A46599">
          <w:rPr>
            <w:rFonts w:cs="David" w:hint="cs"/>
            <w:color w:val="0000FF"/>
            <w:sz w:val="24"/>
            <w:szCs w:val="24"/>
            <w:u w:val="single"/>
            <w:rtl/>
          </w:rPr>
          <w:t>רע</w:t>
        </w:r>
        <w:r w:rsidR="00A46599" w:rsidRPr="00A46599">
          <w:rPr>
            <w:rFonts w:cs="David"/>
            <w:color w:val="0000FF"/>
            <w:sz w:val="24"/>
            <w:szCs w:val="24"/>
            <w:u w:val="single"/>
            <w:rtl/>
          </w:rPr>
          <w:t>"</w:t>
        </w:r>
        <w:r w:rsidR="00A46599" w:rsidRPr="00A46599">
          <w:rPr>
            <w:rFonts w:cs="David" w:hint="cs"/>
            <w:color w:val="0000FF"/>
            <w:sz w:val="24"/>
            <w:szCs w:val="24"/>
            <w:u w:val="single"/>
            <w:rtl/>
          </w:rPr>
          <w:t>פ</w:t>
        </w:r>
        <w:r w:rsidR="00A46599" w:rsidRPr="00A46599">
          <w:rPr>
            <w:rFonts w:cs="David"/>
            <w:color w:val="0000FF"/>
            <w:sz w:val="24"/>
            <w:szCs w:val="24"/>
            <w:u w:val="single"/>
            <w:rtl/>
          </w:rPr>
          <w:t xml:space="preserve"> 4902/14</w:t>
        </w:r>
      </w:hyperlink>
      <w:r>
        <w:rPr>
          <w:rFonts w:cs="David"/>
          <w:sz w:val="24"/>
          <w:szCs w:val="24"/>
          <w:rtl/>
        </w:rPr>
        <w:t xml:space="preserve"> </w:t>
      </w:r>
      <w:r>
        <w:rPr>
          <w:rFonts w:cs="David" w:hint="cs"/>
          <w:b/>
          <w:bCs/>
          <w:sz w:val="24"/>
          <w:szCs w:val="24"/>
          <w:rtl/>
        </w:rPr>
        <w:t xml:space="preserve">צבאן נ' מדינת ישראל </w:t>
      </w:r>
      <w:r>
        <w:rPr>
          <w:rFonts w:ascii="Times New Roman" w:hAnsi="Times New Roman" w:cs="David"/>
          <w:sz w:val="24"/>
          <w:szCs w:val="24"/>
          <w:rtl/>
        </w:rPr>
        <w:t xml:space="preserve"> </w:t>
      </w:r>
      <w:r>
        <w:rPr>
          <w:rFonts w:cs="David"/>
          <w:sz w:val="24"/>
          <w:szCs w:val="24"/>
          <w:rtl/>
        </w:rPr>
        <w:t xml:space="preserve">(16.7.2014) פסקה כב). </w:t>
      </w:r>
      <w:r>
        <w:rPr>
          <w:rFonts w:ascii="David" w:hAnsi="David" w:cs="David"/>
          <w:sz w:val="24"/>
          <w:szCs w:val="24"/>
          <w:rtl/>
        </w:rPr>
        <w:t xml:space="preserve">נפסק על ידי בית המשפט העליון כי שיקול הדעת הניתן לביהמ"ש בהארכת עונש מאסר מותנה מתמקד במצבים שבהם מוצדק לתת לנאשם הזדמנות נוספת לחזור לדרך הישר, כאשר הוא מראה סימנים המניחים יסוד לציפייה כי כך יהיה. (ראו </w:t>
      </w:r>
      <w:hyperlink r:id="rId24" w:history="1">
        <w:r>
          <w:rPr>
            <w:rStyle w:val="Hyperlink"/>
            <w:rFonts w:ascii="David" w:hAnsi="David" w:cs="David"/>
            <w:sz w:val="24"/>
            <w:szCs w:val="24"/>
            <w:rtl/>
          </w:rPr>
          <w:t xml:space="preserve">רע"פ 2801/14 </w:t>
        </w:r>
        <w:r>
          <w:rPr>
            <w:rStyle w:val="Hyperlink"/>
            <w:rFonts w:ascii="David" w:hAnsi="David" w:cs="David"/>
            <w:b/>
            <w:bCs/>
            <w:sz w:val="24"/>
            <w:szCs w:val="24"/>
            <w:rtl/>
          </w:rPr>
          <w:t>קניבי מראד נ' מדינת ישראל</w:t>
        </w:r>
        <w:r>
          <w:rPr>
            <w:rStyle w:val="Hyperlink"/>
            <w:rFonts w:ascii="David" w:hAnsi="David" w:cs="David"/>
            <w:sz w:val="24"/>
            <w:szCs w:val="24"/>
            <w:rtl/>
          </w:rPr>
          <w:t xml:space="preserve"> (29.04.2014)</w:t>
        </w:r>
      </w:hyperlink>
      <w:r>
        <w:rPr>
          <w:rFonts w:ascii="David" w:hAnsi="David" w:cs="David"/>
          <w:sz w:val="24"/>
          <w:szCs w:val="24"/>
          <w:rtl/>
        </w:rPr>
        <w:t xml:space="preserve">, פסקה 8 וההפניות שם). </w:t>
      </w:r>
    </w:p>
    <w:p w14:paraId="2F6B63FC"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 xml:space="preserve">במקרה שלפני החל הנאשם בעצמו בהליך גמילה אולם הפסיק אותו ביוזמתו לאחר חצי שנה ולא הסכים לחזור בתיווך שירות המבחן. בבדיקת שתן אחת נמצאו שרידי סם מסוג קוקאין אף שהנאשם שלל שימוש בסמים וטען כי חדל מכך. בדיקות שנמסרו לאחר מכן נמצאו נקיות. הדרך אל השיקום עדיין ארוכה ובעיתוי הנוכחי אינה וודאית. </w:t>
      </w:r>
    </w:p>
    <w:p w14:paraId="45E797C2"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 xml:space="preserve">עם זאת, דווקא בשל ההיסטוריה העבריינית הארוכה של הנאשם אני נכונה לאפשר חריגה לקולה מן המתחם על מנת לאפשר לנאשם לממש את הסיכוי לשיקום המוזכר בתסקיר שירות המבחן. בקביעת העונש המתאים לנאשם שקלתי הודאתו וקבלת אחריות על ידו, תיקון כתב האישום לקולא ובעיקר העובדה שמאז בוצעה העבירה לפני שנתיים, לא חזר והסתבך. נקודה זו משמעותית על רקע העבר המכביד שמאחוריו. לנאשם תשע הרשעות במגוון עבירות רכוש, סמים ואלימות ובגין הרשעתו האחרונה בשנת 2018 נדון לעונש מאסר בן 26 חודשים. הנאשם ביצע את העבירה שעה שמאסר מותנה מרחף מעל ראשו. תסקירי שירות המבחן מדברים על סיכוי לשיקום אולם בעת הזו עדיין אינם חד משמעיים. בתסקירים נקודות מעוררות תקווה וכך גם בדברי אביו של הנאשם ומנגד חשש מהישנות עבירות בשל הפנמת דפוסים שוליים. בגזר הדין שניתן היום אלך בדרך שיקומית בעיקרה, כדי לאפשר לנאשם להתגייס לטיפול ולהשיג שינוי ארוך טווח. לצד זאת, אבהיר מה מונח על הכף ושמור למקרה שהנאשם יעזוב את הטיפול: בשל ההרשעות לא ניתן למקם את הנאשם בתחתית המתחם. הדרך הטבעית צריכה היתה להסתיים במאסר בפועל שכן בגין התיק הזה צריך היה לגזור על הנאשם לכל הפחות 9 חודשים ולהפעיל את העונש המותנה שלפחות חלקו מצטבר כך שהיה על האשם לרצות לפחות 11 חודשי מאסר בפועל. </w:t>
      </w:r>
    </w:p>
    <w:p w14:paraId="60B5C5D1" w14:textId="77777777" w:rsidR="00AC26C1" w:rsidRDefault="00AC26C1" w:rsidP="00AC26C1">
      <w:pPr>
        <w:pStyle w:val="aa"/>
        <w:numPr>
          <w:ilvl w:val="0"/>
          <w:numId w:val="1"/>
        </w:numPr>
        <w:spacing w:line="360" w:lineRule="auto"/>
        <w:ind w:left="-58"/>
        <w:jc w:val="both"/>
        <w:rPr>
          <w:rFonts w:ascii="David" w:hAnsi="David" w:cs="David"/>
          <w:sz w:val="24"/>
          <w:szCs w:val="24"/>
        </w:rPr>
      </w:pPr>
      <w:r>
        <w:rPr>
          <w:rFonts w:ascii="David" w:hAnsi="David" w:cs="David"/>
          <w:sz w:val="24"/>
          <w:szCs w:val="24"/>
          <w:rtl/>
        </w:rPr>
        <w:t>הנאשם היה חודש במעצר באופן שניכוי תקופה זו מעונש המאסר היה מחזיר אותו קרוב מאד לרף העליון שניתן לרצות בעבודות שירות. התסקיר האחרון של שירות המבחן העלה פתרון ראוי של העמדת הנאשם במבחן. אפשרות זו תאפשר מעקב אחרי המשך שילוב הנאשם בטיפול ושמירה על ניקיון מסמים לצד חרב עונשית שתרחף מעליו במובן זה שהפרת הצו תביא להפקעתו וגזירת עונש מאסר בפועל מאחורי סורג ובריח, בין שריצה כבר עבודות שירות ובין שלא. בכך מצד אחד הנאשם יקבל הזדמנות לאחוז בחבל הטיפולי ומצד שני ידע כי אם ירפה ממנו- יגזר דינו בהתאם למתחם ולמיקומו בתוך המתחם.</w:t>
      </w:r>
    </w:p>
    <w:p w14:paraId="3872C2AF" w14:textId="77777777" w:rsidR="00AC26C1" w:rsidRDefault="00AC26C1" w:rsidP="00AC26C1">
      <w:pPr>
        <w:pStyle w:val="aa"/>
        <w:spacing w:line="360" w:lineRule="auto"/>
        <w:ind w:left="360"/>
        <w:jc w:val="both"/>
        <w:rPr>
          <w:rFonts w:ascii="David" w:hAnsi="David" w:cs="David"/>
          <w:sz w:val="24"/>
          <w:szCs w:val="24"/>
          <w:rtl/>
        </w:rPr>
      </w:pPr>
    </w:p>
    <w:p w14:paraId="25A392A9" w14:textId="77777777" w:rsidR="00AC26C1" w:rsidRDefault="00AC26C1" w:rsidP="00AC26C1">
      <w:pPr>
        <w:spacing w:line="360" w:lineRule="auto"/>
        <w:jc w:val="both"/>
        <w:rPr>
          <w:rFonts w:ascii="David" w:hAnsi="David"/>
          <w:b/>
          <w:bCs/>
          <w:u w:val="double"/>
          <w:rtl/>
        </w:rPr>
      </w:pPr>
      <w:r>
        <w:rPr>
          <w:rFonts w:ascii="David" w:hAnsi="David"/>
          <w:b/>
          <w:bCs/>
          <w:u w:val="double"/>
          <w:rtl/>
        </w:rPr>
        <w:t>אני גוזרת על הנאשם את העונשים הבאים:</w:t>
      </w:r>
    </w:p>
    <w:p w14:paraId="0F3E2421" w14:textId="77777777" w:rsidR="00AC26C1" w:rsidRDefault="00AC26C1" w:rsidP="00AC26C1">
      <w:pPr>
        <w:pStyle w:val="aa"/>
        <w:numPr>
          <w:ilvl w:val="0"/>
          <w:numId w:val="3"/>
        </w:numPr>
        <w:spacing w:line="360" w:lineRule="auto"/>
        <w:jc w:val="both"/>
        <w:rPr>
          <w:rFonts w:ascii="David" w:eastAsia="David" w:hAnsi="David" w:cs="David"/>
          <w:sz w:val="24"/>
          <w:szCs w:val="24"/>
          <w:rtl/>
        </w:rPr>
      </w:pPr>
      <w:r>
        <w:rPr>
          <w:rFonts w:ascii="David" w:eastAsia="David" w:hAnsi="David" w:cs="David"/>
          <w:b/>
          <w:bCs/>
          <w:sz w:val="24"/>
          <w:szCs w:val="24"/>
          <w:rtl/>
        </w:rPr>
        <w:t>7 חודשי מאסר בפועל</w:t>
      </w:r>
      <w:r>
        <w:rPr>
          <w:rFonts w:ascii="David" w:eastAsia="David" w:hAnsi="David" w:cs="David"/>
          <w:sz w:val="24"/>
          <w:szCs w:val="24"/>
          <w:rtl/>
        </w:rPr>
        <w:t xml:space="preserve"> </w:t>
      </w:r>
      <w:r>
        <w:rPr>
          <w:rFonts w:ascii="David" w:hAnsi="David" w:cs="David"/>
          <w:b/>
          <w:bCs/>
          <w:sz w:val="24"/>
          <w:szCs w:val="24"/>
          <w:rtl/>
        </w:rPr>
        <w:t>שירוצו בעבודות שירות</w:t>
      </w:r>
      <w:r>
        <w:rPr>
          <w:rFonts w:ascii="David" w:hAnsi="David" w:cs="David"/>
          <w:sz w:val="24"/>
          <w:szCs w:val="24"/>
          <w:rtl/>
        </w:rPr>
        <w:t xml:space="preserve">. הנאשם יבצע את עבודות שירות </w:t>
      </w:r>
      <w:r>
        <w:rPr>
          <w:rFonts w:ascii="David" w:hAnsi="David" w:cs="David"/>
          <w:sz w:val="24"/>
          <w:szCs w:val="24"/>
          <w:u w:val="single"/>
          <w:rtl/>
        </w:rPr>
        <w:t xml:space="preserve">בישיבת הסדר נווה דקלים ברחוב הנביאים 44 באשדוד </w:t>
      </w:r>
      <w:r>
        <w:rPr>
          <w:rFonts w:ascii="David" w:hAnsi="David" w:cs="David"/>
          <w:sz w:val="24"/>
          <w:szCs w:val="24"/>
          <w:rtl/>
        </w:rPr>
        <w:t xml:space="preserve"> 5 ימים בשבוע, על פי טווח השעות המתאפשר בחוק. תחילתן של ביצוע העבודות </w:t>
      </w:r>
      <w:r>
        <w:rPr>
          <w:rFonts w:ascii="David" w:hAnsi="David" w:cs="David"/>
          <w:b/>
          <w:bCs/>
          <w:sz w:val="24"/>
          <w:szCs w:val="24"/>
          <w:u w:val="single"/>
          <w:rtl/>
        </w:rPr>
        <w:t xml:space="preserve">ביום 31.7.23 </w:t>
      </w:r>
      <w:r>
        <w:rPr>
          <w:rFonts w:ascii="David" w:hAnsi="David" w:cs="David"/>
          <w:sz w:val="24"/>
          <w:szCs w:val="24"/>
          <w:rtl/>
        </w:rPr>
        <w:t>והן תהיינה בפיקוח מפקח אחראי סלמאן אבו סריחאן  מס' נייד 0506077662.</w:t>
      </w:r>
    </w:p>
    <w:p w14:paraId="5DFCCB72" w14:textId="77777777" w:rsidR="00AC26C1" w:rsidRDefault="00AC26C1" w:rsidP="00AC26C1">
      <w:pPr>
        <w:pStyle w:val="aa"/>
        <w:spacing w:line="360" w:lineRule="auto"/>
        <w:ind w:left="360"/>
        <w:jc w:val="both"/>
        <w:rPr>
          <w:rFonts w:ascii="David" w:eastAsia="David" w:hAnsi="David" w:cs="David"/>
          <w:sz w:val="24"/>
          <w:szCs w:val="24"/>
        </w:rPr>
      </w:pPr>
      <w:r>
        <w:rPr>
          <w:rFonts w:ascii="David" w:hAnsi="David" w:cs="David"/>
          <w:b/>
          <w:bCs/>
          <w:sz w:val="24"/>
          <w:szCs w:val="24"/>
          <w:rtl/>
        </w:rPr>
        <w:t xml:space="preserve">על הנאשם להתייצב לפני מפקח על עבודות השירות לצורך קליטה והצבה בתאריך תחילת העבודה, בשעה 08:00, </w:t>
      </w:r>
      <w:r>
        <w:rPr>
          <w:rFonts w:ascii="Times New Roman" w:eastAsia="Times New Roman" w:hAnsi="Times New Roman" w:cs="David"/>
          <w:b/>
          <w:bCs/>
          <w:sz w:val="24"/>
          <w:szCs w:val="24"/>
          <w:rtl/>
        </w:rPr>
        <w:t>ביחידת ברקאי - עבודות שירות, שלוחת דרום סמוך לכלא באר שבע</w:t>
      </w:r>
      <w:r>
        <w:rPr>
          <w:rFonts w:ascii="David" w:eastAsia="David" w:hAnsi="David" w:cs="David"/>
          <w:sz w:val="24"/>
          <w:szCs w:val="24"/>
          <w:rtl/>
        </w:rPr>
        <w:t>.</w:t>
      </w:r>
    </w:p>
    <w:p w14:paraId="4615BCDD" w14:textId="77777777" w:rsidR="00AC26C1" w:rsidRDefault="00AC26C1" w:rsidP="00AC26C1">
      <w:pPr>
        <w:pStyle w:val="aa"/>
        <w:spacing w:line="360" w:lineRule="auto"/>
        <w:ind w:left="360"/>
        <w:jc w:val="both"/>
        <w:rPr>
          <w:rFonts w:ascii="David" w:hAnsi="David" w:cs="David"/>
          <w:sz w:val="24"/>
          <w:szCs w:val="24"/>
        </w:rPr>
      </w:pPr>
      <w:r>
        <w:rPr>
          <w:rFonts w:ascii="David" w:hAnsi="David" w:cs="David"/>
          <w:sz w:val="24"/>
          <w:szCs w:val="24"/>
          <w:rtl/>
        </w:rPr>
        <w:t>אני מודיעה לנאשם כי עליו להודיע לממונה על כל שינוי, אם יחול, בכתובת מגוריו, וכן עליו לעמוד בתנאי הפיקוח, שכן אי מילוי עבודות השירות על פי הנחיות המפקח, עלול להביא להפסקתן ולכליאה במתקן כליאה.</w:t>
      </w:r>
    </w:p>
    <w:p w14:paraId="4AFB4C11" w14:textId="77777777" w:rsidR="00AC26C1" w:rsidRDefault="00AC26C1" w:rsidP="00AC26C1">
      <w:pPr>
        <w:pStyle w:val="aa"/>
        <w:numPr>
          <w:ilvl w:val="0"/>
          <w:numId w:val="3"/>
        </w:numPr>
        <w:spacing w:line="360" w:lineRule="auto"/>
        <w:jc w:val="both"/>
        <w:rPr>
          <w:rFonts w:ascii="David" w:eastAsia="David" w:hAnsi="David" w:cs="David"/>
          <w:sz w:val="24"/>
          <w:szCs w:val="24"/>
          <w:rtl/>
        </w:rPr>
      </w:pPr>
      <w:r>
        <w:rPr>
          <w:rFonts w:ascii="David" w:eastAsia="David" w:hAnsi="David" w:cs="David"/>
          <w:sz w:val="24"/>
          <w:szCs w:val="24"/>
          <w:rtl/>
        </w:rPr>
        <w:t>אני מפעילה את ארבעת חודשי המאסר המותנה שהושתו על הנאשם ב</w:t>
      </w:r>
      <w:hyperlink r:id="rId25" w:history="1">
        <w:r w:rsidR="00A46599" w:rsidRPr="00A46599">
          <w:rPr>
            <w:rFonts w:ascii="David" w:eastAsia="David" w:hAnsi="David" w:cs="David"/>
            <w:color w:val="0000FF"/>
            <w:sz w:val="24"/>
            <w:szCs w:val="24"/>
            <w:u w:val="single"/>
            <w:rtl/>
          </w:rPr>
          <w:t>ת"פ 25082-11-17</w:t>
        </w:r>
      </w:hyperlink>
      <w:r>
        <w:rPr>
          <w:rFonts w:ascii="David" w:eastAsia="David" w:hAnsi="David" w:cs="David"/>
          <w:sz w:val="24"/>
          <w:szCs w:val="24"/>
          <w:rtl/>
        </w:rPr>
        <w:t xml:space="preserve"> בבית משפט באשקלון ביום 9.5.18, באופן שחודשיים מהם ירוצו במצטבר לעונש המאסר שגזרתי בתיק זה וחודשיים בחופף. </w:t>
      </w:r>
    </w:p>
    <w:p w14:paraId="25A20397" w14:textId="77777777" w:rsidR="00AC26C1" w:rsidRDefault="00AC26C1" w:rsidP="00AC26C1">
      <w:pPr>
        <w:pStyle w:val="aa"/>
        <w:spacing w:line="360" w:lineRule="auto"/>
        <w:ind w:left="360"/>
        <w:jc w:val="both"/>
        <w:rPr>
          <w:rFonts w:ascii="David" w:hAnsi="David" w:cs="David"/>
          <w:b/>
          <w:bCs/>
          <w:sz w:val="24"/>
          <w:szCs w:val="24"/>
        </w:rPr>
      </w:pPr>
      <w:r>
        <w:rPr>
          <w:rFonts w:ascii="David" w:eastAsia="David" w:hAnsi="David" w:cs="David"/>
          <w:b/>
          <w:bCs/>
          <w:sz w:val="24"/>
          <w:szCs w:val="24"/>
          <w:rtl/>
        </w:rPr>
        <w:t xml:space="preserve">למען הסר ספק - סך הכל ירצה הנאשם </w:t>
      </w:r>
      <w:r>
        <w:rPr>
          <w:rFonts w:eastAsia="Times New Roman" w:cs="David"/>
          <w:b/>
          <w:bCs/>
          <w:sz w:val="24"/>
          <w:szCs w:val="24"/>
          <w:rtl/>
        </w:rPr>
        <w:t xml:space="preserve">9 </w:t>
      </w:r>
      <w:r>
        <w:rPr>
          <w:rFonts w:ascii="Times New Roman" w:eastAsia="Times New Roman" w:hAnsi="Times New Roman" w:cs="David"/>
          <w:b/>
          <w:bCs/>
          <w:sz w:val="24"/>
          <w:szCs w:val="24"/>
          <w:rtl/>
        </w:rPr>
        <w:t xml:space="preserve">חודשי </w:t>
      </w:r>
      <w:r>
        <w:rPr>
          <w:rFonts w:ascii="David" w:hAnsi="David" w:cs="David"/>
          <w:b/>
          <w:bCs/>
          <w:sz w:val="24"/>
          <w:szCs w:val="24"/>
          <w:rtl/>
        </w:rPr>
        <w:t xml:space="preserve">מאסר בדרך של עבודות שירות </w:t>
      </w:r>
      <w:r>
        <w:rPr>
          <w:rFonts w:ascii="David" w:hAnsi="David" w:cs="David"/>
          <w:sz w:val="24"/>
          <w:szCs w:val="24"/>
          <w:rtl/>
        </w:rPr>
        <w:t>(ללא ניכוי ימי מעצר)</w:t>
      </w:r>
      <w:r>
        <w:rPr>
          <w:rFonts w:ascii="David" w:hAnsi="David" w:cs="David"/>
          <w:b/>
          <w:bCs/>
          <w:sz w:val="24"/>
          <w:szCs w:val="24"/>
          <w:rtl/>
        </w:rPr>
        <w:t>.</w:t>
      </w:r>
    </w:p>
    <w:p w14:paraId="53708269" w14:textId="77777777" w:rsidR="00AC26C1" w:rsidRDefault="00AC26C1" w:rsidP="00AC26C1">
      <w:pPr>
        <w:pStyle w:val="aa"/>
        <w:numPr>
          <w:ilvl w:val="0"/>
          <w:numId w:val="3"/>
        </w:numPr>
        <w:spacing w:line="360" w:lineRule="auto"/>
        <w:jc w:val="both"/>
        <w:rPr>
          <w:rFonts w:ascii="David" w:eastAsia="David" w:hAnsi="David" w:cs="David"/>
          <w:sz w:val="24"/>
          <w:szCs w:val="24"/>
          <w:rtl/>
        </w:rPr>
      </w:pPr>
      <w:r>
        <w:rPr>
          <w:rFonts w:ascii="David" w:hAnsi="David" w:cs="David"/>
          <w:b/>
          <w:bCs/>
          <w:sz w:val="24"/>
          <w:szCs w:val="24"/>
          <w:rtl/>
        </w:rPr>
        <w:t xml:space="preserve">6 חודשי מאסר על תנאי </w:t>
      </w:r>
      <w:r>
        <w:rPr>
          <w:rFonts w:ascii="David" w:hAnsi="David" w:cs="David"/>
          <w:sz w:val="24"/>
          <w:szCs w:val="24"/>
          <w:rtl/>
        </w:rPr>
        <w:t xml:space="preserve">לתקופה של 3 שנים והתנאי הוא שהנאשם לא יעבור עבירה מסוג פשע לפי </w:t>
      </w:r>
      <w:hyperlink r:id="rId26" w:history="1">
        <w:r w:rsidR="00A46599" w:rsidRPr="00A46599">
          <w:rPr>
            <w:rFonts w:ascii="David" w:hAnsi="David" w:cs="David"/>
            <w:color w:val="0000FF"/>
            <w:sz w:val="24"/>
            <w:szCs w:val="24"/>
            <w:u w:val="single"/>
            <w:rtl/>
          </w:rPr>
          <w:t>פקודת הסמים המסוכנים</w:t>
        </w:r>
      </w:hyperlink>
      <w:r>
        <w:rPr>
          <w:rFonts w:ascii="David" w:hAnsi="David" w:cs="David"/>
          <w:sz w:val="24"/>
          <w:szCs w:val="24"/>
          <w:rtl/>
        </w:rPr>
        <w:t>.</w:t>
      </w:r>
    </w:p>
    <w:p w14:paraId="1E47C5B9" w14:textId="77777777" w:rsidR="00AC26C1" w:rsidRDefault="00AC26C1" w:rsidP="00AC26C1">
      <w:pPr>
        <w:pStyle w:val="aa"/>
        <w:numPr>
          <w:ilvl w:val="0"/>
          <w:numId w:val="3"/>
        </w:numPr>
        <w:spacing w:line="360" w:lineRule="auto"/>
        <w:jc w:val="both"/>
        <w:rPr>
          <w:rFonts w:ascii="David" w:eastAsia="David" w:hAnsi="David" w:cs="David"/>
          <w:sz w:val="24"/>
          <w:szCs w:val="24"/>
        </w:rPr>
      </w:pPr>
      <w:r>
        <w:rPr>
          <w:rFonts w:ascii="David" w:hAnsi="David" w:cs="David"/>
          <w:b/>
          <w:bCs/>
          <w:sz w:val="24"/>
          <w:szCs w:val="24"/>
          <w:rtl/>
        </w:rPr>
        <w:t>2 חודשי מאסר על תנאי</w:t>
      </w:r>
      <w:r>
        <w:rPr>
          <w:rFonts w:ascii="David" w:hAnsi="David" w:cs="David"/>
          <w:sz w:val="24"/>
          <w:szCs w:val="24"/>
          <w:rtl/>
        </w:rPr>
        <w:t xml:space="preserve"> לתקופה של 3 שנים והתנאי הוא שהנאשם לא יעבור עבירה מסוג עוון לפי </w:t>
      </w:r>
      <w:hyperlink r:id="rId27" w:history="1">
        <w:r w:rsidR="00A46599" w:rsidRPr="00A46599">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4278F9F0" w14:textId="77777777" w:rsidR="00AC26C1" w:rsidRDefault="00AC26C1" w:rsidP="00AC26C1">
      <w:pPr>
        <w:pStyle w:val="aa"/>
        <w:numPr>
          <w:ilvl w:val="0"/>
          <w:numId w:val="3"/>
        </w:numPr>
        <w:spacing w:line="360" w:lineRule="auto"/>
        <w:jc w:val="both"/>
        <w:rPr>
          <w:rFonts w:ascii="David" w:eastAsia="David" w:hAnsi="David" w:cs="David"/>
          <w:sz w:val="24"/>
          <w:szCs w:val="24"/>
        </w:rPr>
      </w:pPr>
      <w:r>
        <w:rPr>
          <w:rFonts w:ascii="David" w:hAnsi="David" w:cs="David"/>
          <w:b/>
          <w:bCs/>
          <w:sz w:val="24"/>
          <w:szCs w:val="24"/>
          <w:rtl/>
        </w:rPr>
        <w:t>קנס בסך</w:t>
      </w:r>
      <w:r>
        <w:rPr>
          <w:rFonts w:ascii="David" w:hAnsi="David" w:cs="David"/>
          <w:sz w:val="24"/>
          <w:szCs w:val="24"/>
          <w:rtl/>
        </w:rPr>
        <w:t xml:space="preserve"> 1,000 ₪. </w:t>
      </w:r>
    </w:p>
    <w:p w14:paraId="36193AB7" w14:textId="77777777" w:rsidR="00AC26C1" w:rsidRDefault="00AC26C1" w:rsidP="00AC26C1">
      <w:pPr>
        <w:pStyle w:val="aa"/>
        <w:spacing w:line="360" w:lineRule="auto"/>
        <w:ind w:left="360"/>
        <w:jc w:val="both"/>
        <w:rPr>
          <w:rFonts w:ascii="David" w:eastAsia="David" w:hAnsi="David" w:cs="David"/>
          <w:sz w:val="24"/>
          <w:szCs w:val="24"/>
        </w:rPr>
      </w:pPr>
      <w:r>
        <w:rPr>
          <w:rFonts w:ascii="David" w:hAnsi="David" w:cs="David"/>
          <w:sz w:val="24"/>
          <w:szCs w:val="24"/>
          <w:rtl/>
        </w:rPr>
        <w:t xml:space="preserve">לבקשת הנאשם ניתן לעשות שימוש בסכום כסף שנמצא בפיקדון לצורך עמידה בפיצוי. ככל שקיימת יתרת חובה תשולם תוך 90 יום.  </w:t>
      </w:r>
    </w:p>
    <w:p w14:paraId="00EE3FBF" w14:textId="77777777" w:rsidR="00AC26C1" w:rsidRDefault="00AC26C1" w:rsidP="00AC26C1">
      <w:pPr>
        <w:pStyle w:val="aa"/>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צו מבחן לתקופה של 12 חודשים</w:t>
      </w:r>
      <w:r>
        <w:rPr>
          <w:rFonts w:ascii="David" w:eastAsia="David" w:hAnsi="David" w:cs="David"/>
          <w:sz w:val="24"/>
          <w:szCs w:val="24"/>
          <w:rtl/>
        </w:rPr>
        <w:t>. הובהר לנאשם שאם יפר את הצו ניתן יהיה להפקיע אות ולגזור עליו עונש שונה או נוסף.</w:t>
      </w:r>
    </w:p>
    <w:p w14:paraId="4F103DE1" w14:textId="77777777" w:rsidR="00AC26C1" w:rsidRDefault="00AC26C1" w:rsidP="00AC26C1">
      <w:pPr>
        <w:pStyle w:val="aa"/>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התחייבות כספית בסך 1,000 ₪ להימנע במשך שנתיים מעבירה בה הורשע</w:t>
      </w:r>
      <w:r>
        <w:rPr>
          <w:rFonts w:ascii="David" w:eastAsia="David" w:hAnsi="David" w:cs="David"/>
          <w:sz w:val="24"/>
          <w:szCs w:val="24"/>
          <w:rtl/>
        </w:rPr>
        <w:t>. רשמתי בפני הצהרת הנאשם חלף חתימה.</w:t>
      </w:r>
    </w:p>
    <w:p w14:paraId="3D22C31F" w14:textId="77777777" w:rsidR="00AC26C1" w:rsidRDefault="00AC26C1" w:rsidP="00AC26C1">
      <w:pPr>
        <w:pStyle w:val="aa"/>
        <w:numPr>
          <w:ilvl w:val="0"/>
          <w:numId w:val="3"/>
        </w:numPr>
        <w:spacing w:line="360" w:lineRule="auto"/>
        <w:jc w:val="both"/>
        <w:rPr>
          <w:rFonts w:ascii="David" w:eastAsia="David" w:hAnsi="David" w:cs="David"/>
          <w:sz w:val="24"/>
          <w:szCs w:val="24"/>
        </w:rPr>
      </w:pPr>
      <w:r>
        <w:rPr>
          <w:rFonts w:ascii="David" w:eastAsia="David" w:hAnsi="David" w:cs="David"/>
          <w:b/>
          <w:bCs/>
          <w:sz w:val="24"/>
          <w:szCs w:val="24"/>
          <w:rtl/>
        </w:rPr>
        <w:t>פסילת רשיון נהיגה למשך 60 יום וזאת על תנאי</w:t>
      </w:r>
      <w:r>
        <w:rPr>
          <w:rFonts w:ascii="David" w:eastAsia="David" w:hAnsi="David" w:cs="David"/>
          <w:sz w:val="24"/>
          <w:szCs w:val="24"/>
          <w:rtl/>
        </w:rPr>
        <w:t xml:space="preserve"> שהנאשם לא יעבור במשך שנתיים מהיום עבירה לפי </w:t>
      </w:r>
      <w:hyperlink r:id="rId28" w:history="1">
        <w:r w:rsidR="00A46599" w:rsidRPr="00A46599">
          <w:rPr>
            <w:rFonts w:ascii="David" w:eastAsia="David" w:hAnsi="David" w:cs="David"/>
            <w:color w:val="0000FF"/>
            <w:sz w:val="24"/>
            <w:szCs w:val="24"/>
            <w:u w:val="single"/>
            <w:rtl/>
          </w:rPr>
          <w:t>פקודת הסמים המסוכנים</w:t>
        </w:r>
      </w:hyperlink>
      <w:r>
        <w:rPr>
          <w:rFonts w:ascii="David" w:eastAsia="David" w:hAnsi="David" w:cs="David"/>
          <w:sz w:val="24"/>
          <w:szCs w:val="24"/>
          <w:rtl/>
        </w:rPr>
        <w:t>.</w:t>
      </w:r>
    </w:p>
    <w:p w14:paraId="79A44E28" w14:textId="77777777" w:rsidR="00AC26C1" w:rsidRDefault="00AC26C1" w:rsidP="00AC26C1">
      <w:pPr>
        <w:pStyle w:val="aa"/>
        <w:spacing w:line="360" w:lineRule="auto"/>
        <w:ind w:left="360"/>
        <w:jc w:val="both"/>
        <w:rPr>
          <w:rFonts w:ascii="David" w:eastAsia="David" w:hAnsi="David" w:cs="David"/>
          <w:sz w:val="24"/>
          <w:szCs w:val="24"/>
        </w:rPr>
      </w:pPr>
    </w:p>
    <w:p w14:paraId="2F5742D4" w14:textId="77777777" w:rsidR="00AC26C1" w:rsidRPr="00AC26C1" w:rsidRDefault="00AC26C1" w:rsidP="00AC26C1">
      <w:pPr>
        <w:spacing w:line="360" w:lineRule="auto"/>
        <w:jc w:val="both"/>
        <w:rPr>
          <w:rFonts w:ascii="David" w:eastAsia="Calibri" w:hAnsi="David"/>
          <w:rtl/>
        </w:rPr>
      </w:pPr>
      <w:r>
        <w:rPr>
          <w:rFonts w:ascii="David" w:hAnsi="David"/>
          <w:rtl/>
        </w:rPr>
        <w:t xml:space="preserve">ניתן צו כללי למוצגים לפי שיקול דעת קצין המשטרה. המוצגים יחולטו/יושמדו/יושבו לבעליהם עפ"י החלטת קצין משטרה. </w:t>
      </w:r>
    </w:p>
    <w:p w14:paraId="41AB80E1" w14:textId="77777777" w:rsidR="00AC26C1" w:rsidRDefault="00AC26C1" w:rsidP="00AC26C1">
      <w:pPr>
        <w:spacing w:line="360" w:lineRule="auto"/>
        <w:jc w:val="both"/>
        <w:rPr>
          <w:rFonts w:ascii="David" w:hAnsi="David"/>
        </w:rPr>
      </w:pPr>
      <w:r>
        <w:rPr>
          <w:rFonts w:ascii="David" w:hAnsi="David"/>
          <w:rtl/>
        </w:rPr>
        <w:t xml:space="preserve">ככל שהופקד פיקדון בתיק או בתיק המעצרים הקשור לתיק זה ובהעדר מניעה על פי דין, יוחזר הפיקדון למפקיד או לידי מי מטעמו עפ"י יפוי כוח. </w:t>
      </w:r>
    </w:p>
    <w:p w14:paraId="6B7C049D" w14:textId="77777777" w:rsidR="00AC26C1" w:rsidRDefault="00AC26C1" w:rsidP="00AC26C1">
      <w:pPr>
        <w:spacing w:line="360" w:lineRule="auto"/>
        <w:jc w:val="both"/>
        <w:rPr>
          <w:rFonts w:ascii="David" w:hAnsi="David"/>
          <w:sz w:val="22"/>
          <w:szCs w:val="22"/>
          <w:rtl/>
        </w:rPr>
      </w:pPr>
      <w:r>
        <w:rPr>
          <w:rFonts w:ascii="David" w:hAnsi="David"/>
          <w:rtl/>
        </w:rPr>
        <w:t>החוב מועבר למרכז לגביית קנסות, אגרות והוצאות ברשות האכיפה והגבייה, בהתאם למועדים והתשלומים שקבע בית המשפט.</w:t>
      </w:r>
    </w:p>
    <w:p w14:paraId="0FC9E2D0" w14:textId="77777777" w:rsidR="00AC26C1" w:rsidRDefault="00AC26C1" w:rsidP="00AC26C1">
      <w:pPr>
        <w:spacing w:line="360" w:lineRule="auto"/>
        <w:jc w:val="both"/>
        <w:rPr>
          <w:rFonts w:ascii="David" w:hAnsi="David"/>
        </w:rPr>
      </w:pPr>
      <w:r>
        <w:rPr>
          <w:rFonts w:ascii="David" w:hAnsi="David"/>
          <w:rtl/>
        </w:rPr>
        <w:t>ניתן יהיה לשלם את הקנס/ פיצוי/ ההוצאות כעבור שלושה ימים מיום מתן ההחלטה/</w:t>
      </w:r>
      <w:r w:rsidR="00A46599">
        <w:rPr>
          <w:rFonts w:ascii="David" w:hAnsi="David"/>
          <w:rtl/>
        </w:rPr>
        <w:t xml:space="preserve"> </w:t>
      </w:r>
      <w:r>
        <w:rPr>
          <w:rFonts w:ascii="David" w:hAnsi="David"/>
          <w:rtl/>
        </w:rPr>
        <w:t xml:space="preserve"> גזר הדין לחשבון המרכז לגביית קנסות, אגרות והוצאות ברשות האכיפה והגבייה באחת מהדרכים הבאות:</w:t>
      </w:r>
    </w:p>
    <w:p w14:paraId="4F0F0F11" w14:textId="77777777" w:rsidR="00AC26C1" w:rsidRDefault="00AC26C1" w:rsidP="00AC26C1">
      <w:pPr>
        <w:pStyle w:val="aa"/>
        <w:numPr>
          <w:ilvl w:val="0"/>
          <w:numId w:val="4"/>
        </w:numPr>
        <w:spacing w:line="360" w:lineRule="auto"/>
        <w:jc w:val="both"/>
        <w:rPr>
          <w:rFonts w:ascii="David" w:hAnsi="David" w:cs="David"/>
          <w:b/>
          <w:bCs/>
        </w:rPr>
      </w:pPr>
      <w:r>
        <w:rPr>
          <w:rFonts w:ascii="David" w:hAnsi="David" w:cs="David"/>
          <w:b/>
          <w:bCs/>
          <w:rtl/>
        </w:rPr>
        <w:t>בכרטיס אשראי</w:t>
      </w:r>
      <w:r>
        <w:rPr>
          <w:rFonts w:ascii="David" w:hAnsi="David" w:cs="David"/>
          <w:rtl/>
        </w:rPr>
        <w:t xml:space="preserve"> – באתר המקוון של רשות האכיפה והגבייה, </w:t>
      </w:r>
      <w:hyperlink r:id="rId29" w:history="1">
        <w:r>
          <w:rPr>
            <w:rStyle w:val="Hyperlink"/>
            <w:rFonts w:ascii="David" w:hAnsi="David" w:cs="David"/>
          </w:rPr>
          <w:t>www.eca.gov.il</w:t>
        </w:r>
      </w:hyperlink>
      <w:r>
        <w:rPr>
          <w:rFonts w:ascii="David" w:hAnsi="David" w:cs="David"/>
        </w:rPr>
        <w:t xml:space="preserve"> </w:t>
      </w:r>
      <w:r w:rsidR="00A46599">
        <w:rPr>
          <w:rFonts w:ascii="David" w:hAnsi="David" w:cs="David"/>
          <w:rtl/>
        </w:rPr>
        <w:t xml:space="preserve"> </w:t>
      </w:r>
    </w:p>
    <w:p w14:paraId="0FC1E049" w14:textId="77777777" w:rsidR="00AC26C1" w:rsidRDefault="00AC26C1" w:rsidP="00AC26C1">
      <w:pPr>
        <w:pStyle w:val="aa"/>
        <w:numPr>
          <w:ilvl w:val="0"/>
          <w:numId w:val="4"/>
        </w:numPr>
        <w:spacing w:line="360" w:lineRule="auto"/>
        <w:jc w:val="both"/>
        <w:rPr>
          <w:rFonts w:ascii="David" w:hAnsi="David" w:cs="David"/>
          <w:b/>
          <w:bCs/>
        </w:rPr>
      </w:pPr>
      <w:r>
        <w:rPr>
          <w:rFonts w:ascii="David" w:hAnsi="David" w:cs="David"/>
          <w:b/>
          <w:bCs/>
          <w:rtl/>
        </w:rPr>
        <w:t>מוקד שירות טלפוני בשרות עצמי (מרכז גבייה)</w:t>
      </w:r>
      <w:r w:rsidR="00A46599">
        <w:rPr>
          <w:rFonts w:ascii="David" w:hAnsi="David" w:cs="David"/>
          <w:b/>
          <w:bCs/>
          <w:rtl/>
        </w:rPr>
        <w:t xml:space="preserve"> </w:t>
      </w:r>
      <w:r>
        <w:rPr>
          <w:rFonts w:ascii="David" w:hAnsi="David" w:cs="David"/>
          <w:b/>
          <w:bCs/>
          <w:rtl/>
        </w:rPr>
        <w:t xml:space="preserve"> – בטלפון 35592* או בטלפון 073-2055000</w:t>
      </w:r>
    </w:p>
    <w:p w14:paraId="1BC61395" w14:textId="77777777" w:rsidR="00AC26C1" w:rsidRDefault="00AC26C1" w:rsidP="00AC26C1">
      <w:pPr>
        <w:pStyle w:val="aa"/>
        <w:numPr>
          <w:ilvl w:val="0"/>
          <w:numId w:val="4"/>
        </w:numPr>
        <w:spacing w:line="360" w:lineRule="auto"/>
        <w:jc w:val="both"/>
        <w:rPr>
          <w:rFonts w:ascii="David" w:hAnsi="David" w:cs="David"/>
          <w:b/>
          <w:bCs/>
        </w:rPr>
      </w:pPr>
      <w:r>
        <w:rPr>
          <w:rFonts w:ascii="David" w:hAnsi="David" w:cs="David"/>
          <w:b/>
          <w:bCs/>
          <w:rtl/>
        </w:rPr>
        <w:t>במזומן בכל סניף של בנק הדואר</w:t>
      </w:r>
      <w:r>
        <w:rPr>
          <w:rFonts w:ascii="David" w:hAnsi="David" w:cs="David"/>
          <w:rtl/>
        </w:rPr>
        <w:t xml:space="preserve"> – בהצגת תעודת זהות בלבד (אין צורך בשוברי תשלום).</w:t>
      </w:r>
    </w:p>
    <w:p w14:paraId="18EA0469" w14:textId="77777777" w:rsidR="00AC26C1" w:rsidRDefault="00AC26C1" w:rsidP="00AC26C1">
      <w:pPr>
        <w:spacing w:line="360" w:lineRule="auto"/>
        <w:jc w:val="both"/>
        <w:rPr>
          <w:rFonts w:ascii="David" w:hAnsi="David"/>
          <w:b/>
          <w:bCs/>
          <w:sz w:val="28"/>
          <w:szCs w:val="28"/>
          <w:u w:val="double"/>
          <w:rtl/>
        </w:rPr>
      </w:pPr>
    </w:p>
    <w:p w14:paraId="64B7FC58" w14:textId="77777777" w:rsidR="00AC26C1" w:rsidRDefault="00AC26C1" w:rsidP="00AC26C1">
      <w:pPr>
        <w:spacing w:line="360" w:lineRule="auto"/>
        <w:jc w:val="both"/>
        <w:rPr>
          <w:rFonts w:ascii="David" w:hAnsi="David"/>
          <w:rtl/>
        </w:rPr>
      </w:pPr>
      <w:r>
        <w:rPr>
          <w:rFonts w:ascii="David" w:hAnsi="David"/>
          <w:b/>
          <w:bCs/>
          <w:sz w:val="28"/>
          <w:szCs w:val="28"/>
          <w:u w:val="double"/>
          <w:rtl/>
        </w:rPr>
        <w:t>המזכירות</w:t>
      </w:r>
      <w:r>
        <w:rPr>
          <w:rFonts w:ascii="David" w:hAnsi="David"/>
          <w:rtl/>
        </w:rPr>
        <w:t xml:space="preserve"> תעביר העתק לשירות המבחן ולממונה על עבודות שירות. </w:t>
      </w:r>
    </w:p>
    <w:p w14:paraId="0158B1C3" w14:textId="77777777" w:rsidR="00AC26C1" w:rsidRDefault="00AC26C1" w:rsidP="00AC26C1">
      <w:pPr>
        <w:spacing w:line="360" w:lineRule="auto"/>
        <w:jc w:val="both"/>
        <w:rPr>
          <w:rFonts w:ascii="David" w:hAnsi="David"/>
          <w:b/>
          <w:bCs/>
          <w:rtl/>
        </w:rPr>
      </w:pPr>
      <w:r>
        <w:rPr>
          <w:rFonts w:ascii="David" w:hAnsi="David"/>
          <w:b/>
          <w:bCs/>
          <w:rtl/>
        </w:rPr>
        <w:t xml:space="preserve">זכות ערעור לביהמ"ש המחוזי בתוך 45 ימים מהיום. </w:t>
      </w:r>
    </w:p>
    <w:p w14:paraId="42A827A2" w14:textId="77777777" w:rsidR="00AC26C1" w:rsidRPr="00B05847" w:rsidRDefault="00AC26C1" w:rsidP="00AC26C1">
      <w:pPr>
        <w:spacing w:line="360" w:lineRule="auto"/>
        <w:rPr>
          <w:rtl/>
        </w:rPr>
      </w:pPr>
    </w:p>
    <w:p w14:paraId="4805489F" w14:textId="77777777" w:rsidR="00AC26C1" w:rsidRPr="00B05847" w:rsidRDefault="00AC26C1" w:rsidP="00AC26C1">
      <w:pPr>
        <w:spacing w:line="360" w:lineRule="auto"/>
        <w:rPr>
          <w:rtl/>
        </w:rPr>
      </w:pPr>
    </w:p>
    <w:p w14:paraId="0DBFC7BE" w14:textId="77777777" w:rsidR="00AC26C1" w:rsidRPr="00B05847" w:rsidRDefault="00AC26C1" w:rsidP="00AC26C1">
      <w:pPr>
        <w:spacing w:line="360" w:lineRule="auto"/>
        <w:rPr>
          <w:rtl/>
        </w:rPr>
      </w:pPr>
    </w:p>
    <w:p w14:paraId="115E7E8C" w14:textId="77777777" w:rsidR="00AC26C1" w:rsidRPr="00B05847" w:rsidRDefault="00AC26C1" w:rsidP="00AC26C1">
      <w:pPr>
        <w:spacing w:line="360" w:lineRule="auto"/>
        <w:rPr>
          <w:rtl/>
        </w:rPr>
      </w:pPr>
    </w:p>
    <w:p w14:paraId="71296F03" w14:textId="77777777" w:rsidR="00AC26C1" w:rsidRPr="00B05847" w:rsidRDefault="00AC26C1" w:rsidP="00AC26C1">
      <w:pPr>
        <w:rPr>
          <w:rtl/>
        </w:rPr>
      </w:pPr>
    </w:p>
    <w:p w14:paraId="5D94C218" w14:textId="77777777" w:rsidR="00AC26C1" w:rsidRPr="00B05847" w:rsidRDefault="00AC26C1" w:rsidP="00AC26C1">
      <w:pPr>
        <w:rPr>
          <w:rtl/>
        </w:rPr>
      </w:pPr>
    </w:p>
    <w:p w14:paraId="2EE7043D" w14:textId="77777777" w:rsidR="00AC26C1" w:rsidRPr="00B05847" w:rsidRDefault="00AC26C1" w:rsidP="00AC26C1">
      <w:pPr>
        <w:rPr>
          <w:rtl/>
        </w:rPr>
      </w:pPr>
    </w:p>
    <w:p w14:paraId="6F9A52C0" w14:textId="77777777" w:rsidR="00AC26C1" w:rsidRPr="00A46599" w:rsidRDefault="00A46599" w:rsidP="00AC26C1">
      <w:pPr>
        <w:rPr>
          <w:color w:val="FFFFFF"/>
          <w:sz w:val="2"/>
          <w:szCs w:val="2"/>
          <w:rtl/>
        </w:rPr>
      </w:pPr>
      <w:r w:rsidRPr="00A46599">
        <w:rPr>
          <w:color w:val="FFFFFF"/>
          <w:sz w:val="2"/>
          <w:szCs w:val="2"/>
          <w:rtl/>
        </w:rPr>
        <w:t>5129371</w:t>
      </w:r>
    </w:p>
    <w:p w14:paraId="0E65919B" w14:textId="77777777" w:rsidR="00AC26C1" w:rsidRPr="00250B83" w:rsidRDefault="00A46599" w:rsidP="00AC26C1">
      <w:pPr>
        <w:rPr>
          <w:rtl/>
        </w:rPr>
      </w:pPr>
      <w:bookmarkStart w:id="8" w:name="Nitan"/>
      <w:r w:rsidRPr="00A46599">
        <w:rPr>
          <w:rFonts w:ascii="Arial" w:hAnsi="Arial"/>
          <w:color w:val="FFFFFF"/>
          <w:sz w:val="2"/>
          <w:szCs w:val="2"/>
          <w:rtl/>
        </w:rPr>
        <w:t>54678313</w:t>
      </w:r>
      <w:r>
        <w:rPr>
          <w:rFonts w:ascii="Arial" w:hAnsi="Arial"/>
          <w:rtl/>
        </w:rPr>
        <w:t xml:space="preserve">ניתן היום,  כ"ד תמוז תשפ"ג, 13 יולי 2023, במעמד הצדדים. </w:t>
      </w:r>
      <w:bookmarkEnd w:id="8"/>
    </w:p>
    <w:p w14:paraId="698F928A" w14:textId="77777777" w:rsidR="00AC26C1" w:rsidRPr="00250B83" w:rsidRDefault="00AC26C1" w:rsidP="00A4659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43F5B0EB" w14:textId="77777777" w:rsidR="00AC26C1" w:rsidRPr="00250B83" w:rsidRDefault="00AC26C1" w:rsidP="00AC26C1">
      <w:pPr>
        <w:jc w:val="center"/>
        <w:rPr>
          <w:rFonts w:ascii="Arial" w:hAnsi="Arial"/>
          <w:rtl/>
        </w:rPr>
      </w:pPr>
    </w:p>
    <w:p w14:paraId="4390F9B8" w14:textId="77777777" w:rsidR="00AC26C1" w:rsidRPr="00250B83" w:rsidRDefault="00AC26C1" w:rsidP="00AC26C1">
      <w:pPr>
        <w:rPr>
          <w:rtl/>
        </w:rPr>
      </w:pPr>
    </w:p>
    <w:p w14:paraId="2BC8D339" w14:textId="77777777" w:rsidR="00AC26C1" w:rsidRDefault="00AC26C1" w:rsidP="00AC26C1">
      <w:pPr>
        <w:pStyle w:val="a3"/>
        <w:jc w:val="center"/>
        <w:rPr>
          <w:rtl/>
        </w:rPr>
      </w:pPr>
    </w:p>
    <w:p w14:paraId="525C0135" w14:textId="77777777" w:rsidR="006F3387" w:rsidRPr="00A46599" w:rsidRDefault="006F3387" w:rsidP="00A46599">
      <w:pPr>
        <w:keepNext/>
        <w:rPr>
          <w:rFonts w:ascii="David" w:hAnsi="David"/>
          <w:color w:val="000000"/>
          <w:sz w:val="22"/>
          <w:szCs w:val="22"/>
          <w:rtl/>
        </w:rPr>
      </w:pPr>
    </w:p>
    <w:p w14:paraId="2EA71D61" w14:textId="77777777" w:rsidR="00A46599" w:rsidRPr="00A46599" w:rsidRDefault="00A46599" w:rsidP="00A46599">
      <w:pPr>
        <w:keepNext/>
        <w:rPr>
          <w:rFonts w:ascii="David" w:hAnsi="David"/>
          <w:color w:val="000000"/>
          <w:sz w:val="22"/>
          <w:szCs w:val="22"/>
          <w:rtl/>
        </w:rPr>
      </w:pPr>
      <w:r w:rsidRPr="00A46599">
        <w:rPr>
          <w:rFonts w:ascii="David" w:hAnsi="David"/>
          <w:color w:val="000000"/>
          <w:sz w:val="22"/>
          <w:szCs w:val="22"/>
          <w:rtl/>
        </w:rPr>
        <w:t>נעה תבור 54678313</w:t>
      </w:r>
    </w:p>
    <w:p w14:paraId="5C1EE4E2" w14:textId="77777777" w:rsidR="00A46599" w:rsidRDefault="00A46599" w:rsidP="00A46599">
      <w:r w:rsidRPr="00A46599">
        <w:rPr>
          <w:color w:val="000000"/>
          <w:rtl/>
        </w:rPr>
        <w:t>נוסח מסמך זה כפוף לשינויי ניסוח ועריכה</w:t>
      </w:r>
    </w:p>
    <w:p w14:paraId="283F995B" w14:textId="77777777" w:rsidR="00A46599" w:rsidRDefault="00A46599" w:rsidP="00A46599">
      <w:pPr>
        <w:rPr>
          <w:rtl/>
        </w:rPr>
      </w:pPr>
    </w:p>
    <w:p w14:paraId="2AEAF713" w14:textId="77777777" w:rsidR="00A46599" w:rsidRDefault="00A46599" w:rsidP="00A46599">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3156487" w14:textId="77777777" w:rsidR="00A46599" w:rsidRPr="00A46599" w:rsidRDefault="00A46599" w:rsidP="00A46599">
      <w:pPr>
        <w:jc w:val="center"/>
        <w:rPr>
          <w:color w:val="0000FF"/>
          <w:u w:val="single"/>
        </w:rPr>
      </w:pPr>
    </w:p>
    <w:sectPr w:rsidR="00A46599" w:rsidRPr="00A46599" w:rsidSect="00A46599">
      <w:headerReference w:type="even" r:id="rId31"/>
      <w:headerReference w:type="default" r:id="rId32"/>
      <w:footerReference w:type="even" r:id="rId33"/>
      <w:footerReference w:type="default" r:id="rId3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2CCCD" w14:textId="77777777" w:rsidR="00387B62" w:rsidRDefault="00387B62" w:rsidP="00E73947">
      <w:r>
        <w:separator/>
      </w:r>
    </w:p>
  </w:endnote>
  <w:endnote w:type="continuationSeparator" w:id="0">
    <w:p w14:paraId="7788AFC8" w14:textId="77777777" w:rsidR="00387B62" w:rsidRDefault="00387B62" w:rsidP="00E73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86EE1" w14:textId="77777777" w:rsidR="00A46599" w:rsidRDefault="00A46599" w:rsidP="00A465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F292E5" w14:textId="77777777" w:rsidR="00D00B93" w:rsidRPr="00A46599" w:rsidRDefault="00A46599" w:rsidP="00A465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4DB991" w14:textId="77777777" w:rsidR="00A46599" w:rsidRDefault="00A46599" w:rsidP="00A465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380E">
      <w:rPr>
        <w:rFonts w:ascii="FrankRuehl" w:hAnsi="FrankRuehl" w:cs="FrankRuehl"/>
        <w:noProof/>
        <w:rtl/>
      </w:rPr>
      <w:t>1</w:t>
    </w:r>
    <w:r>
      <w:rPr>
        <w:rFonts w:ascii="FrankRuehl" w:hAnsi="FrankRuehl" w:cs="FrankRuehl"/>
        <w:rtl/>
      </w:rPr>
      <w:fldChar w:fldCharType="end"/>
    </w:r>
  </w:p>
  <w:p w14:paraId="5BD4D01B" w14:textId="77777777" w:rsidR="00D00B93" w:rsidRPr="00A46599" w:rsidRDefault="00A46599" w:rsidP="00A465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CBD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A1C81" w14:textId="77777777" w:rsidR="00387B62" w:rsidRDefault="00387B62" w:rsidP="00E73947">
      <w:r>
        <w:separator/>
      </w:r>
    </w:p>
  </w:footnote>
  <w:footnote w:type="continuationSeparator" w:id="0">
    <w:p w14:paraId="0B72DE6F" w14:textId="77777777" w:rsidR="00387B62" w:rsidRDefault="00387B62" w:rsidP="00E739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E416" w14:textId="77777777" w:rsidR="00A46599" w:rsidRPr="00A46599" w:rsidRDefault="00A46599" w:rsidP="00A4659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22206-02-21</w:t>
    </w:r>
    <w:r>
      <w:rPr>
        <w:rFonts w:ascii="David" w:hAnsi="David"/>
        <w:color w:val="000000"/>
        <w:sz w:val="22"/>
        <w:szCs w:val="22"/>
        <w:rtl/>
      </w:rPr>
      <w:tab/>
      <w:t xml:space="preserve"> מדינת ישראל נ' עמיחי ירדאי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7D5CE" w14:textId="77777777" w:rsidR="00A46599" w:rsidRPr="00A46599" w:rsidRDefault="00A46599" w:rsidP="00A4659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22206-02-21</w:t>
    </w:r>
    <w:r>
      <w:rPr>
        <w:rFonts w:ascii="David" w:hAnsi="David"/>
        <w:color w:val="000000"/>
        <w:sz w:val="22"/>
        <w:szCs w:val="22"/>
        <w:rtl/>
      </w:rPr>
      <w:tab/>
      <w:t xml:space="preserve"> מדינת ישראל נ' עמיחי ירדאי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E4263"/>
    <w:multiLevelType w:val="hybridMultilevel"/>
    <w:tmpl w:val="72C20602"/>
    <w:lvl w:ilvl="0" w:tplc="C09E0B58">
      <w:start w:val="1"/>
      <w:numFmt w:val="hebrew1"/>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2" w15:restartNumberingAfterBreak="0">
    <w:nsid w:val="3D355491"/>
    <w:multiLevelType w:val="hybridMultilevel"/>
    <w:tmpl w:val="A57E6B42"/>
    <w:lvl w:ilvl="0" w:tplc="3A869110">
      <w:start w:val="1"/>
      <w:numFmt w:val="hebrew1"/>
      <w:lvlText w:val="%1."/>
      <w:lvlJc w:val="left"/>
      <w:pPr>
        <w:ind w:left="360" w:hanging="360"/>
      </w:pPr>
      <w:rPr>
        <w:lang w:val="en-U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6FAD0723"/>
    <w:multiLevelType w:val="hybridMultilevel"/>
    <w:tmpl w:val="18C6A750"/>
    <w:lvl w:ilvl="0" w:tplc="4C3E6514">
      <w:start w:val="1"/>
      <w:numFmt w:val="decimal"/>
      <w:lvlText w:val="%1."/>
      <w:lvlJc w:val="left"/>
      <w:pPr>
        <w:ind w:left="360" w:hanging="360"/>
      </w:pPr>
      <w:rPr>
        <w:rFonts w:ascii="David" w:hAnsi="David" w:cs="David" w:hint="default"/>
        <w:b w:val="0"/>
        <w:b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06360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4050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1171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0836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C26C1"/>
    <w:rsid w:val="0002693D"/>
    <w:rsid w:val="001B5A3B"/>
    <w:rsid w:val="0022217B"/>
    <w:rsid w:val="00387B62"/>
    <w:rsid w:val="00462212"/>
    <w:rsid w:val="006F3387"/>
    <w:rsid w:val="00726741"/>
    <w:rsid w:val="007A380E"/>
    <w:rsid w:val="007E60D0"/>
    <w:rsid w:val="009B1167"/>
    <w:rsid w:val="00A46599"/>
    <w:rsid w:val="00AC26C1"/>
    <w:rsid w:val="00B26FFF"/>
    <w:rsid w:val="00D00B93"/>
    <w:rsid w:val="00E73947"/>
    <w:rsid w:val="00F67B0D"/>
    <w:rsid w:val="00FA57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43673FB"/>
  <w15:chartTrackingRefBased/>
  <w15:docId w15:val="{0C3D7223-0666-4962-A9BA-1F926794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26C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C26C1"/>
    <w:pPr>
      <w:tabs>
        <w:tab w:val="center" w:pos="4153"/>
        <w:tab w:val="right" w:pos="8306"/>
      </w:tabs>
    </w:pPr>
  </w:style>
  <w:style w:type="character" w:customStyle="1" w:styleId="a4">
    <w:name w:val="כותרת עליונה תו"/>
    <w:link w:val="a3"/>
    <w:rsid w:val="00AC26C1"/>
    <w:rPr>
      <w:rFonts w:ascii="Times New Roman" w:eastAsia="Times New Roman" w:hAnsi="Times New Roman" w:cs="David"/>
      <w:sz w:val="24"/>
      <w:szCs w:val="24"/>
    </w:rPr>
  </w:style>
  <w:style w:type="paragraph" w:styleId="a5">
    <w:name w:val="footer"/>
    <w:basedOn w:val="a"/>
    <w:link w:val="a6"/>
    <w:rsid w:val="00AC26C1"/>
    <w:pPr>
      <w:tabs>
        <w:tab w:val="center" w:pos="4153"/>
        <w:tab w:val="right" w:pos="8306"/>
      </w:tabs>
    </w:pPr>
  </w:style>
  <w:style w:type="character" w:customStyle="1" w:styleId="a6">
    <w:name w:val="כותרת תחתונה תו"/>
    <w:link w:val="a5"/>
    <w:rsid w:val="00AC26C1"/>
    <w:rPr>
      <w:rFonts w:ascii="Times New Roman" w:eastAsia="Times New Roman" w:hAnsi="Times New Roman" w:cs="David"/>
      <w:sz w:val="24"/>
      <w:szCs w:val="24"/>
    </w:rPr>
  </w:style>
  <w:style w:type="table" w:styleId="a7">
    <w:name w:val="Table Grid"/>
    <w:basedOn w:val="a1"/>
    <w:rsid w:val="00AC26C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C26C1"/>
  </w:style>
  <w:style w:type="character" w:styleId="Hyperlink">
    <w:name w:val="Hyperlink"/>
    <w:rsid w:val="00AC26C1"/>
    <w:rPr>
      <w:color w:val="0000FF"/>
      <w:u w:val="single"/>
    </w:rPr>
  </w:style>
  <w:style w:type="character" w:customStyle="1" w:styleId="a9">
    <w:name w:val="פיסקת רשימה תו"/>
    <w:link w:val="aa"/>
    <w:locked/>
    <w:rsid w:val="00AC26C1"/>
    <w:rPr>
      <w:rFonts w:ascii="Calibri" w:eastAsia="Calibri" w:hAnsi="Calibri" w:cs="Arial"/>
    </w:rPr>
  </w:style>
  <w:style w:type="paragraph" w:styleId="aa">
    <w:name w:val="List Paragraph"/>
    <w:basedOn w:val="a"/>
    <w:link w:val="a9"/>
    <w:qFormat/>
    <w:rsid w:val="00AC26C1"/>
    <w:pPr>
      <w:ind w:left="720"/>
      <w:contextualSpacing/>
    </w:pPr>
    <w:rPr>
      <w:rFonts w:ascii="Calibri" w:eastAsia="Calibri" w:hAnsi="Calibri" w:cs="Arial"/>
      <w:sz w:val="22"/>
      <w:szCs w:val="22"/>
    </w:rPr>
  </w:style>
  <w:style w:type="paragraph" w:customStyle="1" w:styleId="12">
    <w:name w:val="רגיל + ‏12 נק'"/>
    <w:aliases w:val="מיושר לשני הצדדים,מרווח בין שורות:  שורה וחצי"/>
    <w:basedOn w:val="a"/>
    <w:rsid w:val="00AC26C1"/>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21872129"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56"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56" TargetMode="External"/><Relationship Id="rId17" Type="http://schemas.openxmlformats.org/officeDocument/2006/relationships/hyperlink" Target="http://www.nevo.co.il/case/23656815" TargetMode="External"/><Relationship Id="rId25" Type="http://schemas.openxmlformats.org/officeDocument/2006/relationships/hyperlink" Target="http://www.nevo.co.il/case/23256507"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0498074" TargetMode="External"/><Relationship Id="rId20" Type="http://schemas.openxmlformats.org/officeDocument/2006/relationships/hyperlink" Target="http://www.nevo.co.il/law/70301"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55.a" TargetMode="External"/><Relationship Id="rId24" Type="http://schemas.openxmlformats.org/officeDocument/2006/relationships/hyperlink" Target="https://www.nevo.co.il/psika_html/elyon/14028010-i01.htm"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18784698" TargetMode="External"/><Relationship Id="rId23" Type="http://schemas.openxmlformats.org/officeDocument/2006/relationships/hyperlink" Target="http://www.nevo.co.il/case/17045935" TargetMode="External"/><Relationship Id="rId28" Type="http://schemas.openxmlformats.org/officeDocument/2006/relationships/hyperlink" Target="http://www.nevo.co.il/law/4216"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55.a"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2771</Words>
  <Characters>13859</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16597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3539063</vt:i4>
      </vt:variant>
      <vt:variant>
        <vt:i4>54</vt:i4>
      </vt:variant>
      <vt:variant>
        <vt:i4>0</vt:i4>
      </vt:variant>
      <vt:variant>
        <vt:i4>5</vt:i4>
      </vt:variant>
      <vt:variant>
        <vt:lpwstr>http://www.nevo.co.il/case/23256507</vt:lpwstr>
      </vt:variant>
      <vt:variant>
        <vt:lpwstr/>
      </vt:variant>
      <vt:variant>
        <vt:i4>4587581</vt:i4>
      </vt:variant>
      <vt:variant>
        <vt:i4>51</vt:i4>
      </vt:variant>
      <vt:variant>
        <vt:i4>0</vt:i4>
      </vt:variant>
      <vt:variant>
        <vt:i4>5</vt:i4>
      </vt:variant>
      <vt:variant>
        <vt:lpwstr>https://www.nevo.co.il/psika_html/elyon/14028010-i01.htm</vt:lpwstr>
      </vt:variant>
      <vt:variant>
        <vt:lpwstr/>
      </vt:variant>
      <vt:variant>
        <vt:i4>3604606</vt:i4>
      </vt:variant>
      <vt:variant>
        <vt:i4>48</vt:i4>
      </vt:variant>
      <vt:variant>
        <vt:i4>0</vt:i4>
      </vt:variant>
      <vt:variant>
        <vt:i4>5</vt:i4>
      </vt:variant>
      <vt:variant>
        <vt:lpwstr>http://www.nevo.co.il/case/17045935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6488160</vt:i4>
      </vt:variant>
      <vt:variant>
        <vt:i4>42</vt:i4>
      </vt:variant>
      <vt:variant>
        <vt:i4>0</vt:i4>
      </vt:variant>
      <vt:variant>
        <vt:i4>5</vt:i4>
      </vt:variant>
      <vt:variant>
        <vt:lpwstr>http://www.nevo.co.il/law/70301/56</vt:lpwstr>
      </vt:variant>
      <vt:variant>
        <vt:lpwstr/>
      </vt:variant>
      <vt:variant>
        <vt:i4>7995492</vt:i4>
      </vt:variant>
      <vt:variant>
        <vt:i4>39</vt:i4>
      </vt:variant>
      <vt:variant>
        <vt:i4>0</vt:i4>
      </vt:variant>
      <vt:variant>
        <vt:i4>5</vt:i4>
      </vt:variant>
      <vt:variant>
        <vt:lpwstr>http://www.nevo.co.il/law/70301</vt:lpwstr>
      </vt:variant>
      <vt:variant>
        <vt:lpwstr/>
      </vt:variant>
      <vt:variant>
        <vt:i4>65614</vt:i4>
      </vt:variant>
      <vt:variant>
        <vt:i4>36</vt:i4>
      </vt:variant>
      <vt:variant>
        <vt:i4>0</vt:i4>
      </vt:variant>
      <vt:variant>
        <vt:i4>5</vt:i4>
      </vt:variant>
      <vt:variant>
        <vt:lpwstr>http://www.nevo.co.il/law/70301/55.a</vt:lpwstr>
      </vt:variant>
      <vt:variant>
        <vt:lpwstr/>
      </vt:variant>
      <vt:variant>
        <vt:i4>3801203</vt:i4>
      </vt:variant>
      <vt:variant>
        <vt:i4>33</vt:i4>
      </vt:variant>
      <vt:variant>
        <vt:i4>0</vt:i4>
      </vt:variant>
      <vt:variant>
        <vt:i4>5</vt:i4>
      </vt:variant>
      <vt:variant>
        <vt:lpwstr>http://www.nevo.co.il/case/21872129</vt:lpwstr>
      </vt:variant>
      <vt:variant>
        <vt:lpwstr/>
      </vt:variant>
      <vt:variant>
        <vt:i4>3342458</vt:i4>
      </vt:variant>
      <vt:variant>
        <vt:i4>30</vt:i4>
      </vt:variant>
      <vt:variant>
        <vt:i4>0</vt:i4>
      </vt:variant>
      <vt:variant>
        <vt:i4>5</vt:i4>
      </vt:variant>
      <vt:variant>
        <vt:lpwstr>http://www.nevo.co.il/case/23656815</vt:lpwstr>
      </vt:variant>
      <vt:variant>
        <vt:lpwstr/>
      </vt:variant>
      <vt:variant>
        <vt:i4>3735677</vt:i4>
      </vt:variant>
      <vt:variant>
        <vt:i4>27</vt:i4>
      </vt:variant>
      <vt:variant>
        <vt:i4>0</vt:i4>
      </vt:variant>
      <vt:variant>
        <vt:i4>5</vt:i4>
      </vt:variant>
      <vt:variant>
        <vt:lpwstr>http://www.nevo.co.il/case/20498074</vt:lpwstr>
      </vt:variant>
      <vt:variant>
        <vt:lpwstr/>
      </vt:variant>
      <vt:variant>
        <vt:i4>3866738</vt:i4>
      </vt:variant>
      <vt:variant>
        <vt:i4>24</vt:i4>
      </vt:variant>
      <vt:variant>
        <vt:i4>0</vt:i4>
      </vt:variant>
      <vt:variant>
        <vt:i4>5</vt:i4>
      </vt:variant>
      <vt:variant>
        <vt:lpwstr>http://www.nevo.co.il/case/18784698</vt:lpwstr>
      </vt:variant>
      <vt:variant>
        <vt:lpwstr/>
      </vt:variant>
      <vt:variant>
        <vt:i4>8257637</vt:i4>
      </vt:variant>
      <vt:variant>
        <vt:i4>21</vt:i4>
      </vt:variant>
      <vt:variant>
        <vt:i4>0</vt:i4>
      </vt:variant>
      <vt:variant>
        <vt:i4>5</vt:i4>
      </vt:variant>
      <vt:variant>
        <vt:lpwstr>http://www.nevo.co.il/law/4216</vt:lpwstr>
      </vt:variant>
      <vt:variant>
        <vt:lpwstr/>
      </vt:variant>
      <vt:variant>
        <vt:i4>5046344</vt:i4>
      </vt:variant>
      <vt:variant>
        <vt:i4>18</vt:i4>
      </vt:variant>
      <vt:variant>
        <vt:i4>0</vt:i4>
      </vt:variant>
      <vt:variant>
        <vt:i4>5</vt:i4>
      </vt:variant>
      <vt:variant>
        <vt:lpwstr>http://www.nevo.co.il/law/4216/13;19a</vt:lpwstr>
      </vt:variant>
      <vt:variant>
        <vt:lpwstr/>
      </vt:variant>
      <vt:variant>
        <vt:i4>6488160</vt:i4>
      </vt:variant>
      <vt:variant>
        <vt:i4>15</vt:i4>
      </vt:variant>
      <vt:variant>
        <vt:i4>0</vt:i4>
      </vt:variant>
      <vt:variant>
        <vt:i4>5</vt:i4>
      </vt:variant>
      <vt:variant>
        <vt:lpwstr>http://www.nevo.co.il/law/70301/56</vt:lpwstr>
      </vt:variant>
      <vt:variant>
        <vt:lpwstr/>
      </vt:variant>
      <vt:variant>
        <vt:i4>65614</vt:i4>
      </vt:variant>
      <vt:variant>
        <vt:i4>12</vt:i4>
      </vt:variant>
      <vt:variant>
        <vt:i4>0</vt:i4>
      </vt:variant>
      <vt:variant>
        <vt:i4>5</vt:i4>
      </vt:variant>
      <vt:variant>
        <vt:lpwstr>http://www.nevo.co.il/law/70301/55.a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22206</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עמיחי ירדאי</vt:lpwstr>
  </property>
  <property fmtid="{D5CDD505-2E9C-101B-9397-08002B2CF9AE}" pid="10" name="LAWYER">
    <vt:lpwstr>ליאור אבידן;טולמסוב הלוי;רותם סרי אבידן</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20230713</vt:lpwstr>
  </property>
  <property fmtid="{D5CDD505-2E9C-101B-9397-08002B2CF9AE}" pid="14" name="TYPE_N_DATE">
    <vt:lpwstr>38020230713</vt:lpwstr>
  </property>
  <property fmtid="{D5CDD505-2E9C-101B-9397-08002B2CF9AE}" pid="15" name="WORDNUMPAGES">
    <vt:lpwstr>7</vt:lpwstr>
  </property>
  <property fmtid="{D5CDD505-2E9C-101B-9397-08002B2CF9AE}" pid="16" name="TYPE_ABS_DATE">
    <vt:lpwstr>380020230713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18784698;20498074;23656815;21872129;17045935;23256507</vt:lpwstr>
  </property>
  <property fmtid="{D5CDD505-2E9C-101B-9397-08002B2CF9AE}" pid="36" name="LAWLISTTMP1">
    <vt:lpwstr>4216/013;019a</vt:lpwstr>
  </property>
  <property fmtid="{D5CDD505-2E9C-101B-9397-08002B2CF9AE}" pid="37" name="LAWLISTTMP2">
    <vt:lpwstr>70301/055.a;056</vt:lpwstr>
  </property>
</Properties>
</file>