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F78AA" w:rsidRPr="009744BD" w14:paraId="16C30803" w14:textId="77777777" w:rsidTr="00041C8C">
        <w:trPr>
          <w:trHeight w:hRule="exact" w:val="418"/>
          <w:jc w:val="center"/>
        </w:trPr>
        <w:tc>
          <w:tcPr>
            <w:tcW w:w="8721" w:type="dxa"/>
            <w:gridSpan w:val="2"/>
          </w:tcPr>
          <w:p w14:paraId="4BA868A3" w14:textId="77777777" w:rsidR="00FF78AA" w:rsidRPr="009744BD" w:rsidRDefault="00FF78AA" w:rsidP="00595A5E">
            <w:pPr>
              <w:pStyle w:val="a4"/>
              <w:jc w:val="center"/>
              <w:rPr>
                <w:rFonts w:ascii="Tahoma" w:hAnsi="Tahoma" w:cs="Tahoma"/>
                <w:color w:val="000080"/>
                <w:rtl/>
              </w:rPr>
            </w:pPr>
            <w:bookmarkStart w:id="0" w:name="LastJudge"/>
            <w:r w:rsidRPr="009744BD">
              <w:rPr>
                <w:rFonts w:ascii="Tahoma" w:hAnsi="Tahoma" w:cs="Tahoma"/>
                <w:b/>
                <w:bCs/>
                <w:color w:val="000080"/>
                <w:rtl/>
              </w:rPr>
              <w:t>בית משפט השלום בבאר שבע</w:t>
            </w:r>
          </w:p>
        </w:tc>
      </w:tr>
      <w:tr w:rsidR="00FF78AA" w:rsidRPr="009744BD" w14:paraId="7A532670" w14:textId="77777777" w:rsidTr="00041C8C">
        <w:trPr>
          <w:trHeight w:val="337"/>
          <w:jc w:val="center"/>
        </w:trPr>
        <w:tc>
          <w:tcPr>
            <w:tcW w:w="5055" w:type="dxa"/>
          </w:tcPr>
          <w:p w14:paraId="531729EA" w14:textId="77777777" w:rsidR="00FF78AA" w:rsidRPr="009744BD" w:rsidRDefault="00FF78AA" w:rsidP="00595A5E">
            <w:pPr>
              <w:rPr>
                <w:rFonts w:ascii="David" w:hAnsi="David"/>
                <w:b/>
                <w:bCs/>
                <w:sz w:val="28"/>
                <w:szCs w:val="28"/>
                <w:rtl/>
              </w:rPr>
            </w:pPr>
            <w:r w:rsidRPr="009744BD">
              <w:rPr>
                <w:rFonts w:ascii="David" w:hAnsi="David"/>
                <w:b/>
                <w:bCs/>
                <w:sz w:val="28"/>
                <w:szCs w:val="28"/>
                <w:rtl/>
              </w:rPr>
              <w:t>ת"פ 30551-02-21 מדינת ישראל נ' קג'רוס</w:t>
            </w:r>
          </w:p>
          <w:p w14:paraId="3AAFD325" w14:textId="77777777" w:rsidR="00FF78AA" w:rsidRPr="009744BD" w:rsidRDefault="00FF78AA" w:rsidP="00595A5E">
            <w:pPr>
              <w:pStyle w:val="a4"/>
              <w:rPr>
                <w:rFonts w:cs="FrankRuehl"/>
                <w:sz w:val="28"/>
                <w:szCs w:val="28"/>
                <w:rtl/>
              </w:rPr>
            </w:pPr>
          </w:p>
        </w:tc>
        <w:tc>
          <w:tcPr>
            <w:tcW w:w="3666" w:type="dxa"/>
          </w:tcPr>
          <w:p w14:paraId="064403D1" w14:textId="77777777" w:rsidR="00FF78AA" w:rsidRPr="009744BD" w:rsidRDefault="00FF78AA" w:rsidP="00595A5E">
            <w:pPr>
              <w:pStyle w:val="a4"/>
              <w:jc w:val="right"/>
              <w:rPr>
                <w:rFonts w:cs="FrankRuehl"/>
                <w:sz w:val="28"/>
                <w:szCs w:val="28"/>
                <w:rtl/>
              </w:rPr>
            </w:pPr>
          </w:p>
        </w:tc>
      </w:tr>
    </w:tbl>
    <w:p w14:paraId="62F69BC2" w14:textId="77777777" w:rsidR="00FF78AA" w:rsidRPr="009744BD" w:rsidRDefault="00FF78AA" w:rsidP="00FF78AA">
      <w:pPr>
        <w:pStyle w:val="a4"/>
        <w:rPr>
          <w:rtl/>
        </w:rPr>
      </w:pPr>
      <w:r w:rsidRPr="009744BD">
        <w:rPr>
          <w:rFonts w:hint="cs"/>
          <w:rtl/>
        </w:rPr>
        <w:t xml:space="preserve"> </w:t>
      </w:r>
    </w:p>
    <w:p w14:paraId="29C25218" w14:textId="77777777" w:rsidR="00FF78AA" w:rsidRPr="009744BD" w:rsidRDefault="00FF78AA" w:rsidP="00FF78AA">
      <w:pPr>
        <w:rPr>
          <w:rtl/>
        </w:rPr>
      </w:pPr>
    </w:p>
    <w:p w14:paraId="1ED43CC9" w14:textId="77777777" w:rsidR="00FF78AA" w:rsidRPr="009744BD" w:rsidRDefault="00FF78AA" w:rsidP="00FF78A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F78AA" w:rsidRPr="009744BD" w14:paraId="15B8B1FC" w14:textId="77777777" w:rsidTr="00FF78AA">
        <w:trPr>
          <w:trHeight w:val="295"/>
          <w:jc w:val="center"/>
        </w:trPr>
        <w:tc>
          <w:tcPr>
            <w:tcW w:w="923" w:type="dxa"/>
            <w:tcBorders>
              <w:top w:val="nil"/>
              <w:left w:val="nil"/>
              <w:bottom w:val="nil"/>
              <w:right w:val="nil"/>
            </w:tcBorders>
            <w:shd w:val="clear" w:color="auto" w:fill="auto"/>
          </w:tcPr>
          <w:p w14:paraId="4F2CAB3C" w14:textId="77777777" w:rsidR="00FF78AA" w:rsidRPr="009744BD" w:rsidRDefault="00FF78AA" w:rsidP="00FF78AA">
            <w:pPr>
              <w:jc w:val="both"/>
              <w:rPr>
                <w:rFonts w:ascii="David" w:hAnsi="David"/>
                <w:b/>
                <w:bCs/>
                <w:sz w:val="26"/>
                <w:szCs w:val="26"/>
              </w:rPr>
            </w:pPr>
            <w:r w:rsidRPr="009744B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FB1E9D2" w14:textId="77777777" w:rsidR="00FF78AA" w:rsidRPr="009744BD" w:rsidRDefault="00FF78AA" w:rsidP="00595A5E">
            <w:pPr>
              <w:rPr>
                <w:rFonts w:ascii="David" w:hAnsi="David"/>
                <w:b/>
                <w:bCs/>
                <w:sz w:val="26"/>
                <w:szCs w:val="26"/>
                <w:rtl/>
              </w:rPr>
            </w:pPr>
            <w:r w:rsidRPr="009744BD">
              <w:rPr>
                <w:rFonts w:ascii="David" w:hAnsi="David"/>
                <w:b/>
                <w:bCs/>
                <w:sz w:val="26"/>
                <w:szCs w:val="26"/>
                <w:rtl/>
              </w:rPr>
              <w:t>כבוד השופט  יניב בן הרוש</w:t>
            </w:r>
          </w:p>
          <w:p w14:paraId="67641300" w14:textId="77777777" w:rsidR="00FF78AA" w:rsidRPr="009744BD" w:rsidRDefault="00FF78AA" w:rsidP="00595A5E">
            <w:pPr>
              <w:rPr>
                <w:rFonts w:ascii="David" w:hAnsi="David"/>
                <w:b/>
                <w:bCs/>
                <w:sz w:val="26"/>
                <w:szCs w:val="26"/>
                <w:rtl/>
              </w:rPr>
            </w:pPr>
          </w:p>
          <w:p w14:paraId="0539CEA1" w14:textId="77777777" w:rsidR="00FF78AA" w:rsidRPr="009744BD" w:rsidRDefault="00FF78AA" w:rsidP="00FF78AA">
            <w:pPr>
              <w:jc w:val="both"/>
              <w:rPr>
                <w:rFonts w:ascii="David" w:hAnsi="David"/>
                <w:b/>
                <w:bCs/>
                <w:sz w:val="26"/>
                <w:szCs w:val="26"/>
              </w:rPr>
            </w:pPr>
          </w:p>
        </w:tc>
      </w:tr>
      <w:tr w:rsidR="00FF78AA" w:rsidRPr="009744BD" w14:paraId="0BE2EEA5" w14:textId="77777777" w:rsidTr="00FF78AA">
        <w:trPr>
          <w:trHeight w:val="355"/>
          <w:jc w:val="center"/>
        </w:trPr>
        <w:tc>
          <w:tcPr>
            <w:tcW w:w="923" w:type="dxa"/>
            <w:tcBorders>
              <w:top w:val="nil"/>
              <w:left w:val="nil"/>
              <w:bottom w:val="nil"/>
              <w:right w:val="nil"/>
            </w:tcBorders>
            <w:shd w:val="clear" w:color="auto" w:fill="auto"/>
          </w:tcPr>
          <w:p w14:paraId="6990CC90" w14:textId="77777777" w:rsidR="00FF78AA" w:rsidRPr="009744BD" w:rsidRDefault="00FF78AA" w:rsidP="00FF78AA">
            <w:pPr>
              <w:jc w:val="both"/>
              <w:rPr>
                <w:rFonts w:ascii="David" w:hAnsi="David"/>
                <w:b/>
                <w:bCs/>
                <w:sz w:val="26"/>
                <w:szCs w:val="26"/>
              </w:rPr>
            </w:pPr>
            <w:bookmarkStart w:id="1" w:name="FirstAppellant"/>
            <w:bookmarkStart w:id="2" w:name="FirstLawyer"/>
            <w:r w:rsidRPr="009744BD">
              <w:rPr>
                <w:rFonts w:ascii="David" w:hAnsi="David"/>
                <w:b/>
                <w:bCs/>
                <w:sz w:val="26"/>
                <w:szCs w:val="26"/>
                <w:rtl/>
              </w:rPr>
              <w:t>בעניין:</w:t>
            </w:r>
          </w:p>
        </w:tc>
        <w:tc>
          <w:tcPr>
            <w:tcW w:w="3219" w:type="dxa"/>
            <w:tcBorders>
              <w:top w:val="nil"/>
              <w:left w:val="nil"/>
              <w:bottom w:val="nil"/>
              <w:right w:val="nil"/>
            </w:tcBorders>
            <w:shd w:val="clear" w:color="auto" w:fill="auto"/>
          </w:tcPr>
          <w:p w14:paraId="73049D1B" w14:textId="77777777" w:rsidR="00FF78AA" w:rsidRPr="009744BD" w:rsidRDefault="00FF78AA" w:rsidP="00FF78AA">
            <w:pPr>
              <w:suppressLineNumbers/>
              <w:rPr>
                <w:b/>
                <w:bCs/>
              </w:rPr>
            </w:pPr>
            <w:r w:rsidRPr="009744BD">
              <w:rPr>
                <w:rFonts w:ascii="Arial" w:hAnsi="Arial" w:hint="cs"/>
                <w:b/>
                <w:bCs/>
                <w:sz w:val="26"/>
                <w:szCs w:val="26"/>
                <w:rtl/>
              </w:rPr>
              <w:t>ה</w:t>
            </w:r>
            <w:r w:rsidRPr="009744BD">
              <w:rPr>
                <w:rFonts w:ascii="Arial" w:hAnsi="Arial"/>
                <w:b/>
                <w:bCs/>
                <w:sz w:val="26"/>
                <w:szCs w:val="26"/>
                <w:rtl/>
              </w:rPr>
              <w:t>מאשימה</w:t>
            </w:r>
          </w:p>
          <w:p w14:paraId="130C0B20" w14:textId="77777777" w:rsidR="00FF78AA" w:rsidRPr="009744BD" w:rsidRDefault="00FF78AA" w:rsidP="00595A5E">
            <w:pPr>
              <w:rPr>
                <w:rFonts w:ascii="David" w:hAnsi="David"/>
                <w:b/>
                <w:bCs/>
                <w:sz w:val="26"/>
                <w:szCs w:val="26"/>
              </w:rPr>
            </w:pPr>
          </w:p>
        </w:tc>
        <w:tc>
          <w:tcPr>
            <w:tcW w:w="4678" w:type="dxa"/>
            <w:tcBorders>
              <w:top w:val="nil"/>
              <w:left w:val="nil"/>
              <w:bottom w:val="nil"/>
              <w:right w:val="nil"/>
            </w:tcBorders>
            <w:shd w:val="clear" w:color="auto" w:fill="auto"/>
            <w:vAlign w:val="center"/>
          </w:tcPr>
          <w:p w14:paraId="501376E8" w14:textId="77777777" w:rsidR="00FF78AA" w:rsidRPr="009744BD" w:rsidRDefault="00FF78AA" w:rsidP="00FF78AA">
            <w:pPr>
              <w:suppressLineNumbers/>
              <w:rPr>
                <w:rFonts w:ascii="Arial" w:hAnsi="Arial"/>
                <w:b/>
                <w:bCs/>
                <w:sz w:val="26"/>
                <w:szCs w:val="26"/>
                <w:rtl/>
              </w:rPr>
            </w:pPr>
            <w:r w:rsidRPr="009744BD">
              <w:rPr>
                <w:rFonts w:ascii="Arial" w:hAnsi="Arial"/>
                <w:b/>
                <w:bCs/>
                <w:sz w:val="26"/>
                <w:szCs w:val="26"/>
                <w:rtl/>
              </w:rPr>
              <w:t>מדינת ישראל</w:t>
            </w:r>
            <w:r w:rsidRPr="009744BD">
              <w:rPr>
                <w:rFonts w:ascii="Arial" w:hAnsi="Arial" w:hint="cs"/>
                <w:b/>
                <w:bCs/>
                <w:sz w:val="26"/>
                <w:szCs w:val="26"/>
                <w:rtl/>
              </w:rPr>
              <w:t xml:space="preserve">-תביעות נגב </w:t>
            </w:r>
          </w:p>
          <w:p w14:paraId="15C58989" w14:textId="77777777" w:rsidR="00FF78AA" w:rsidRPr="009744BD" w:rsidRDefault="00FF78AA" w:rsidP="00FF78AA">
            <w:pPr>
              <w:suppressLineNumbers/>
              <w:rPr>
                <w:b/>
                <w:bCs/>
              </w:rPr>
            </w:pPr>
            <w:r w:rsidRPr="009744BD">
              <w:rPr>
                <w:rFonts w:ascii="Arial" w:hAnsi="Arial"/>
                <w:b/>
                <w:bCs/>
                <w:sz w:val="26"/>
                <w:szCs w:val="26"/>
                <w:rtl/>
              </w:rPr>
              <w:t>ע"י ב"כ עוה"ד</w:t>
            </w:r>
            <w:r w:rsidRPr="009744BD">
              <w:rPr>
                <w:rFonts w:ascii="Arial" w:hAnsi="Arial" w:hint="cs"/>
                <w:b/>
                <w:bCs/>
                <w:sz w:val="26"/>
                <w:szCs w:val="26"/>
                <w:rtl/>
              </w:rPr>
              <w:t xml:space="preserve"> שירה רוג</w:t>
            </w:r>
          </w:p>
          <w:p w14:paraId="563A0BC8" w14:textId="77777777" w:rsidR="00FF78AA" w:rsidRPr="009744BD" w:rsidRDefault="00FF78AA" w:rsidP="00595A5E">
            <w:pPr>
              <w:rPr>
                <w:rFonts w:ascii="David" w:hAnsi="David"/>
                <w:b/>
                <w:bCs/>
                <w:sz w:val="26"/>
                <w:szCs w:val="26"/>
              </w:rPr>
            </w:pPr>
            <w:r w:rsidRPr="009744BD">
              <w:rPr>
                <w:rFonts w:ascii="David" w:hAnsi="David" w:hint="cs"/>
                <w:b/>
                <w:bCs/>
                <w:sz w:val="26"/>
                <w:szCs w:val="26"/>
                <w:rtl/>
              </w:rPr>
              <w:t xml:space="preserve"> </w:t>
            </w:r>
          </w:p>
        </w:tc>
      </w:tr>
      <w:bookmarkEnd w:id="1"/>
      <w:bookmarkEnd w:id="2"/>
      <w:tr w:rsidR="00FF78AA" w:rsidRPr="009744BD" w14:paraId="16E9B60F" w14:textId="77777777" w:rsidTr="00FF78AA">
        <w:trPr>
          <w:trHeight w:val="355"/>
          <w:jc w:val="center"/>
        </w:trPr>
        <w:tc>
          <w:tcPr>
            <w:tcW w:w="923" w:type="dxa"/>
            <w:tcBorders>
              <w:top w:val="nil"/>
              <w:left w:val="nil"/>
              <w:bottom w:val="nil"/>
              <w:right w:val="nil"/>
            </w:tcBorders>
            <w:shd w:val="clear" w:color="auto" w:fill="auto"/>
          </w:tcPr>
          <w:p w14:paraId="1BE9F481" w14:textId="77777777" w:rsidR="00FF78AA" w:rsidRPr="009744BD" w:rsidRDefault="00FF78AA" w:rsidP="00FF78A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955B40E" w14:textId="77777777" w:rsidR="00FF78AA" w:rsidRPr="009744BD" w:rsidRDefault="00FF78AA" w:rsidP="00FF78AA">
            <w:pPr>
              <w:jc w:val="center"/>
              <w:rPr>
                <w:rFonts w:ascii="David" w:hAnsi="David"/>
                <w:b/>
                <w:bCs/>
                <w:sz w:val="26"/>
                <w:szCs w:val="26"/>
                <w:rtl/>
              </w:rPr>
            </w:pPr>
          </w:p>
          <w:p w14:paraId="67E969F4" w14:textId="77777777" w:rsidR="00FF78AA" w:rsidRPr="009744BD" w:rsidRDefault="00FF78AA" w:rsidP="00FF78AA">
            <w:pPr>
              <w:jc w:val="center"/>
              <w:rPr>
                <w:rFonts w:ascii="David" w:hAnsi="David"/>
                <w:b/>
                <w:bCs/>
                <w:sz w:val="26"/>
                <w:szCs w:val="26"/>
                <w:rtl/>
              </w:rPr>
            </w:pPr>
            <w:r w:rsidRPr="009744BD">
              <w:rPr>
                <w:rFonts w:ascii="David" w:hAnsi="David"/>
                <w:b/>
                <w:bCs/>
                <w:sz w:val="26"/>
                <w:szCs w:val="26"/>
                <w:rtl/>
              </w:rPr>
              <w:t>נגד</w:t>
            </w:r>
          </w:p>
          <w:p w14:paraId="0092B300" w14:textId="77777777" w:rsidR="00FF78AA" w:rsidRPr="009744BD" w:rsidRDefault="00FF78AA" w:rsidP="00FF78AA">
            <w:pPr>
              <w:jc w:val="both"/>
              <w:rPr>
                <w:rFonts w:ascii="David" w:hAnsi="David"/>
                <w:b/>
                <w:bCs/>
                <w:sz w:val="26"/>
                <w:szCs w:val="26"/>
              </w:rPr>
            </w:pPr>
          </w:p>
        </w:tc>
      </w:tr>
      <w:tr w:rsidR="00FF78AA" w:rsidRPr="009744BD" w14:paraId="2A9DD72D" w14:textId="77777777" w:rsidTr="00FF78AA">
        <w:trPr>
          <w:trHeight w:val="355"/>
          <w:jc w:val="center"/>
        </w:trPr>
        <w:tc>
          <w:tcPr>
            <w:tcW w:w="923" w:type="dxa"/>
            <w:tcBorders>
              <w:top w:val="nil"/>
              <w:left w:val="nil"/>
              <w:bottom w:val="nil"/>
              <w:right w:val="nil"/>
            </w:tcBorders>
            <w:shd w:val="clear" w:color="auto" w:fill="auto"/>
          </w:tcPr>
          <w:p w14:paraId="1EFA13A0" w14:textId="77777777" w:rsidR="00FF78AA" w:rsidRPr="009744BD" w:rsidRDefault="00FF78AA" w:rsidP="00595A5E">
            <w:pPr>
              <w:rPr>
                <w:rFonts w:ascii="David" w:hAnsi="David"/>
                <w:b/>
                <w:bCs/>
                <w:sz w:val="26"/>
                <w:szCs w:val="26"/>
                <w:rtl/>
              </w:rPr>
            </w:pPr>
          </w:p>
        </w:tc>
        <w:tc>
          <w:tcPr>
            <w:tcW w:w="3219" w:type="dxa"/>
            <w:tcBorders>
              <w:top w:val="nil"/>
              <w:left w:val="nil"/>
              <w:bottom w:val="nil"/>
              <w:right w:val="nil"/>
            </w:tcBorders>
            <w:shd w:val="clear" w:color="auto" w:fill="auto"/>
          </w:tcPr>
          <w:p w14:paraId="7ACFAC9D" w14:textId="77777777" w:rsidR="00FF78AA" w:rsidRPr="009744BD" w:rsidRDefault="00FF78AA" w:rsidP="00595A5E">
            <w:pPr>
              <w:rPr>
                <w:rFonts w:ascii="Arial" w:hAnsi="Arial"/>
                <w:b/>
                <w:bCs/>
                <w:sz w:val="26"/>
                <w:szCs w:val="26"/>
                <w:rtl/>
              </w:rPr>
            </w:pPr>
            <w:r w:rsidRPr="009744BD">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C1DF02C" w14:textId="77777777" w:rsidR="00FF78AA" w:rsidRPr="009744BD" w:rsidRDefault="00FF78AA" w:rsidP="00FF78AA">
            <w:pPr>
              <w:suppressLineNumbers/>
              <w:rPr>
                <w:rFonts w:ascii="Arial" w:hAnsi="Arial"/>
                <w:b/>
                <w:bCs/>
                <w:sz w:val="26"/>
                <w:szCs w:val="26"/>
                <w:rtl/>
              </w:rPr>
            </w:pPr>
            <w:r w:rsidRPr="009744BD">
              <w:rPr>
                <w:rFonts w:ascii="Arial" w:hAnsi="Arial"/>
                <w:b/>
                <w:bCs/>
                <w:sz w:val="26"/>
                <w:szCs w:val="26"/>
                <w:rtl/>
              </w:rPr>
              <w:t>פליפה אלברטו קג'רוס</w:t>
            </w:r>
            <w:r w:rsidRPr="009744BD">
              <w:rPr>
                <w:rFonts w:ascii="Arial" w:hAnsi="Arial" w:hint="cs"/>
                <w:b/>
                <w:bCs/>
                <w:sz w:val="26"/>
                <w:szCs w:val="26"/>
                <w:rtl/>
              </w:rPr>
              <w:t xml:space="preserve">-בעצמו </w:t>
            </w:r>
          </w:p>
          <w:p w14:paraId="73937DDB" w14:textId="77777777" w:rsidR="00FF78AA" w:rsidRPr="009744BD" w:rsidRDefault="00FF78AA" w:rsidP="00FF78AA">
            <w:pPr>
              <w:suppressLineNumbers/>
              <w:rPr>
                <w:b/>
                <w:bCs/>
              </w:rPr>
            </w:pPr>
            <w:r w:rsidRPr="009744BD">
              <w:rPr>
                <w:rFonts w:ascii="Arial" w:hAnsi="Arial"/>
                <w:b/>
                <w:bCs/>
                <w:sz w:val="26"/>
                <w:szCs w:val="26"/>
                <w:rtl/>
              </w:rPr>
              <w:t>ע"י ב"כ עוה"ד</w:t>
            </w:r>
            <w:r w:rsidRPr="009744BD">
              <w:rPr>
                <w:rFonts w:ascii="Arial" w:hAnsi="Arial" w:hint="cs"/>
                <w:b/>
                <w:bCs/>
                <w:sz w:val="26"/>
                <w:szCs w:val="26"/>
                <w:rtl/>
              </w:rPr>
              <w:t xml:space="preserve"> יקיר שקרצ'י</w:t>
            </w:r>
          </w:p>
          <w:p w14:paraId="7C502B66" w14:textId="77777777" w:rsidR="00FF78AA" w:rsidRPr="009744BD" w:rsidRDefault="00FF78AA" w:rsidP="00595A5E">
            <w:pPr>
              <w:rPr>
                <w:rFonts w:ascii="David" w:hAnsi="David"/>
                <w:b/>
                <w:bCs/>
                <w:sz w:val="26"/>
                <w:szCs w:val="26"/>
              </w:rPr>
            </w:pPr>
          </w:p>
        </w:tc>
      </w:tr>
    </w:tbl>
    <w:p w14:paraId="04549B37" w14:textId="77777777" w:rsidR="00041C8C" w:rsidRPr="00041C8C" w:rsidRDefault="00041C8C" w:rsidP="00041C8C">
      <w:pPr>
        <w:spacing w:before="120" w:after="120" w:line="240" w:lineRule="exact"/>
        <w:ind w:left="283" w:hanging="283"/>
        <w:jc w:val="both"/>
        <w:rPr>
          <w:rFonts w:ascii="FrankRuehl" w:hAnsi="FrankRuehl" w:cs="FrankRuehl"/>
          <w:rtl/>
        </w:rPr>
      </w:pPr>
    </w:p>
    <w:p w14:paraId="3CD3337E" w14:textId="77777777" w:rsidR="00D10613" w:rsidRPr="00D10613" w:rsidRDefault="00D10613" w:rsidP="00D10613">
      <w:pPr>
        <w:spacing w:before="120" w:after="120" w:line="240" w:lineRule="exact"/>
        <w:ind w:left="283" w:hanging="283"/>
        <w:jc w:val="both"/>
        <w:rPr>
          <w:rFonts w:ascii="FrankRuehl" w:hAnsi="FrankRuehl" w:cs="FrankRuehl"/>
          <w:rtl/>
        </w:rPr>
      </w:pPr>
    </w:p>
    <w:p w14:paraId="0D6B508D" w14:textId="77777777" w:rsidR="00C82C15" w:rsidRDefault="00C82C15" w:rsidP="00C82C15">
      <w:pPr>
        <w:rPr>
          <w:sz w:val="26"/>
          <w:szCs w:val="26"/>
          <w:rtl/>
        </w:rPr>
      </w:pPr>
      <w:bookmarkStart w:id="3" w:name="LawTable"/>
      <w:bookmarkEnd w:id="3"/>
    </w:p>
    <w:p w14:paraId="68FDFAA6" w14:textId="77777777" w:rsidR="00C82C15" w:rsidRPr="00C82C15" w:rsidRDefault="00C82C15" w:rsidP="00C82C15">
      <w:pPr>
        <w:spacing w:before="120" w:after="120" w:line="240" w:lineRule="exact"/>
        <w:ind w:left="283" w:hanging="283"/>
        <w:jc w:val="both"/>
        <w:rPr>
          <w:rFonts w:ascii="FrankRuehl" w:hAnsi="FrankRuehl" w:cs="FrankRuehl"/>
          <w:rtl/>
        </w:rPr>
      </w:pPr>
    </w:p>
    <w:p w14:paraId="7285B2CE" w14:textId="77777777" w:rsidR="00C82C15" w:rsidRPr="00C82C15" w:rsidRDefault="00C82C15" w:rsidP="00C82C15">
      <w:pPr>
        <w:spacing w:before="120" w:after="120" w:line="240" w:lineRule="exact"/>
        <w:ind w:left="283" w:hanging="283"/>
        <w:jc w:val="both"/>
        <w:rPr>
          <w:rFonts w:ascii="FrankRuehl" w:hAnsi="FrankRuehl" w:cs="FrankRuehl"/>
          <w:rtl/>
        </w:rPr>
      </w:pPr>
    </w:p>
    <w:p w14:paraId="0E297662" w14:textId="77777777" w:rsidR="00C82C15" w:rsidRPr="00C82C15" w:rsidRDefault="00C82C15" w:rsidP="00C82C15">
      <w:pPr>
        <w:spacing w:before="120" w:after="120" w:line="240" w:lineRule="exact"/>
        <w:ind w:left="283" w:hanging="283"/>
        <w:jc w:val="both"/>
        <w:rPr>
          <w:rFonts w:ascii="FrankRuehl" w:hAnsi="FrankRuehl" w:cs="FrankRuehl"/>
          <w:rtl/>
        </w:rPr>
      </w:pPr>
      <w:r w:rsidRPr="00C82C15">
        <w:rPr>
          <w:rFonts w:ascii="FrankRuehl" w:hAnsi="FrankRuehl" w:cs="FrankRuehl"/>
          <w:rtl/>
        </w:rPr>
        <w:t xml:space="preserve">חקיקה שאוזכרה: </w:t>
      </w:r>
    </w:p>
    <w:p w14:paraId="67AF56A8" w14:textId="77777777" w:rsidR="00C82C15" w:rsidRPr="00C82C15" w:rsidRDefault="00C82C15" w:rsidP="00C82C15">
      <w:pPr>
        <w:spacing w:before="120" w:after="120" w:line="240" w:lineRule="exact"/>
        <w:ind w:left="283" w:hanging="283"/>
        <w:jc w:val="both"/>
        <w:rPr>
          <w:rFonts w:ascii="FrankRuehl" w:hAnsi="FrankRuehl" w:cs="FrankRuehl"/>
          <w:rtl/>
        </w:rPr>
      </w:pPr>
      <w:hyperlink r:id="rId7" w:history="1">
        <w:r w:rsidRPr="00C82C15">
          <w:rPr>
            <w:rFonts w:ascii="FrankRuehl" w:hAnsi="FrankRuehl" w:cs="FrankRuehl"/>
            <w:color w:val="0000FF"/>
            <w:rtl/>
          </w:rPr>
          <w:t>פקודת הסמים המסוכנים [נוסח חדש], תשל"ג-1973</w:t>
        </w:r>
      </w:hyperlink>
      <w:r w:rsidRPr="00C82C15">
        <w:rPr>
          <w:rFonts w:ascii="FrankRuehl" w:hAnsi="FrankRuehl" w:cs="FrankRuehl"/>
          <w:rtl/>
        </w:rPr>
        <w:t xml:space="preserve">: סע'  </w:t>
      </w:r>
      <w:hyperlink r:id="rId8" w:history="1">
        <w:r w:rsidRPr="00C82C15">
          <w:rPr>
            <w:rFonts w:ascii="FrankRuehl" w:hAnsi="FrankRuehl" w:cs="FrankRuehl"/>
            <w:color w:val="0000FF"/>
            <w:rtl/>
          </w:rPr>
          <w:t>7.א.</w:t>
        </w:r>
      </w:hyperlink>
      <w:r w:rsidRPr="00C82C15">
        <w:rPr>
          <w:rFonts w:ascii="FrankRuehl" w:hAnsi="FrankRuehl" w:cs="FrankRuehl"/>
          <w:rtl/>
        </w:rPr>
        <w:t xml:space="preserve">, </w:t>
      </w:r>
      <w:hyperlink r:id="rId9" w:history="1">
        <w:r w:rsidRPr="00C82C15">
          <w:rPr>
            <w:rFonts w:ascii="FrankRuehl" w:hAnsi="FrankRuehl" w:cs="FrankRuehl"/>
            <w:color w:val="0000FF"/>
            <w:rtl/>
          </w:rPr>
          <w:t>7.ג</w:t>
        </w:r>
      </w:hyperlink>
      <w:r w:rsidRPr="00C82C15">
        <w:rPr>
          <w:rFonts w:ascii="FrankRuehl" w:hAnsi="FrankRuehl" w:cs="FrankRuehl"/>
          <w:rtl/>
        </w:rPr>
        <w:t xml:space="preserve">, </w:t>
      </w:r>
      <w:hyperlink r:id="rId10" w:history="1">
        <w:r w:rsidRPr="00C82C15">
          <w:rPr>
            <w:rFonts w:ascii="FrankRuehl" w:hAnsi="FrankRuehl" w:cs="FrankRuehl"/>
            <w:color w:val="0000FF"/>
            <w:rtl/>
          </w:rPr>
          <w:t>13</w:t>
        </w:r>
      </w:hyperlink>
      <w:r w:rsidRPr="00C82C15">
        <w:rPr>
          <w:rFonts w:ascii="FrankRuehl" w:hAnsi="FrankRuehl" w:cs="FrankRuehl"/>
          <w:rtl/>
        </w:rPr>
        <w:t xml:space="preserve">, </w:t>
      </w:r>
      <w:hyperlink r:id="rId11" w:history="1">
        <w:r w:rsidRPr="00C82C15">
          <w:rPr>
            <w:rFonts w:ascii="FrankRuehl" w:hAnsi="FrankRuehl" w:cs="FrankRuehl"/>
            <w:color w:val="0000FF"/>
            <w:rtl/>
          </w:rPr>
          <w:t>19א</w:t>
        </w:r>
      </w:hyperlink>
    </w:p>
    <w:p w14:paraId="4C9C48B1" w14:textId="77777777" w:rsidR="00C82C15" w:rsidRPr="00C82C15" w:rsidRDefault="00C82C15" w:rsidP="00C82C15">
      <w:pPr>
        <w:spacing w:before="120" w:after="120" w:line="240" w:lineRule="exact"/>
        <w:ind w:left="283" w:hanging="283"/>
        <w:jc w:val="both"/>
        <w:rPr>
          <w:rFonts w:ascii="FrankRuehl" w:hAnsi="FrankRuehl" w:cs="FrankRuehl"/>
          <w:rtl/>
        </w:rPr>
      </w:pPr>
      <w:hyperlink r:id="rId12" w:history="1">
        <w:r w:rsidRPr="00C82C15">
          <w:rPr>
            <w:rFonts w:ascii="FrankRuehl" w:hAnsi="FrankRuehl" w:cs="FrankRuehl"/>
            <w:color w:val="0000FF"/>
            <w:rtl/>
          </w:rPr>
          <w:t>חוק העונשין, תשל"ז-1977</w:t>
        </w:r>
      </w:hyperlink>
      <w:r w:rsidRPr="00C82C15">
        <w:rPr>
          <w:rFonts w:ascii="FrankRuehl" w:hAnsi="FrankRuehl" w:cs="FrankRuehl"/>
          <w:rtl/>
        </w:rPr>
        <w:t xml:space="preserve">: סע'  </w:t>
      </w:r>
      <w:hyperlink r:id="rId13" w:history="1">
        <w:r w:rsidRPr="00C82C15">
          <w:rPr>
            <w:rFonts w:ascii="FrankRuehl" w:hAnsi="FrankRuehl" w:cs="FrankRuehl"/>
            <w:color w:val="0000FF"/>
            <w:rtl/>
          </w:rPr>
          <w:t>40ג(א)</w:t>
        </w:r>
      </w:hyperlink>
      <w:r w:rsidRPr="00C82C15">
        <w:rPr>
          <w:rFonts w:ascii="FrankRuehl" w:hAnsi="FrankRuehl" w:cs="FrankRuehl"/>
          <w:rtl/>
        </w:rPr>
        <w:t xml:space="preserve">, </w:t>
      </w:r>
      <w:hyperlink r:id="rId14" w:history="1">
        <w:r w:rsidRPr="00C82C15">
          <w:rPr>
            <w:rFonts w:ascii="FrankRuehl" w:hAnsi="FrankRuehl" w:cs="FrankRuehl"/>
            <w:color w:val="0000FF"/>
            <w:rtl/>
          </w:rPr>
          <w:t>40ד</w:t>
        </w:r>
      </w:hyperlink>
    </w:p>
    <w:p w14:paraId="229D8A17" w14:textId="77777777" w:rsidR="00C82C15" w:rsidRPr="00C82C15" w:rsidRDefault="00C82C15" w:rsidP="00C82C15">
      <w:pPr>
        <w:rPr>
          <w:sz w:val="26"/>
          <w:szCs w:val="26"/>
          <w:rtl/>
        </w:rPr>
      </w:pPr>
      <w:bookmarkStart w:id="4" w:name="LawTable_End"/>
      <w:bookmarkEnd w:id="4"/>
    </w:p>
    <w:p w14:paraId="10C75B64" w14:textId="77777777" w:rsidR="00FF78AA" w:rsidRPr="00D10613" w:rsidRDefault="00FF78AA" w:rsidP="00D1061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78AA" w14:paraId="678CCFAE" w14:textId="77777777" w:rsidTr="00FF78AA">
        <w:trPr>
          <w:trHeight w:val="355"/>
          <w:jc w:val="center"/>
        </w:trPr>
        <w:tc>
          <w:tcPr>
            <w:tcW w:w="8820" w:type="dxa"/>
            <w:tcBorders>
              <w:top w:val="nil"/>
              <w:left w:val="nil"/>
              <w:bottom w:val="nil"/>
              <w:right w:val="nil"/>
            </w:tcBorders>
            <w:shd w:val="clear" w:color="auto" w:fill="auto"/>
          </w:tcPr>
          <w:p w14:paraId="4B09C64C" w14:textId="77777777" w:rsidR="009744BD" w:rsidRPr="009744BD" w:rsidRDefault="009744BD" w:rsidP="009744BD">
            <w:pPr>
              <w:jc w:val="center"/>
              <w:rPr>
                <w:rFonts w:ascii="David" w:hAnsi="David"/>
                <w:b/>
                <w:bCs/>
                <w:sz w:val="32"/>
                <w:szCs w:val="32"/>
                <w:u w:val="single"/>
                <w:rtl/>
              </w:rPr>
            </w:pPr>
            <w:bookmarkStart w:id="5" w:name="PsakDin" w:colFirst="0" w:colLast="0"/>
            <w:bookmarkEnd w:id="0"/>
            <w:r w:rsidRPr="009744BD">
              <w:rPr>
                <w:rFonts w:ascii="David" w:hAnsi="David"/>
                <w:b/>
                <w:bCs/>
                <w:sz w:val="32"/>
                <w:szCs w:val="32"/>
                <w:u w:val="single"/>
                <w:rtl/>
              </w:rPr>
              <w:t>גזר דין</w:t>
            </w:r>
          </w:p>
          <w:p w14:paraId="51092993" w14:textId="77777777" w:rsidR="00FF78AA" w:rsidRPr="009744BD" w:rsidRDefault="00FF78AA" w:rsidP="009744BD">
            <w:pPr>
              <w:jc w:val="center"/>
              <w:rPr>
                <w:rFonts w:ascii="David" w:hAnsi="David"/>
                <w:bCs/>
                <w:sz w:val="32"/>
                <w:szCs w:val="32"/>
                <w:u w:val="single"/>
                <w:rtl/>
              </w:rPr>
            </w:pPr>
          </w:p>
        </w:tc>
      </w:tr>
      <w:bookmarkEnd w:id="5"/>
    </w:tbl>
    <w:p w14:paraId="200839E7" w14:textId="77777777" w:rsidR="00FF78AA" w:rsidRPr="000F2247" w:rsidRDefault="00FF78AA" w:rsidP="00FF78AA">
      <w:pPr>
        <w:rPr>
          <w:rFonts w:ascii="Arial" w:hAnsi="Arial"/>
          <w:b/>
          <w:bCs/>
          <w:sz w:val="26"/>
          <w:szCs w:val="26"/>
          <w:rtl/>
        </w:rPr>
      </w:pPr>
    </w:p>
    <w:p w14:paraId="76A217C6" w14:textId="77777777" w:rsidR="00FF78AA" w:rsidRPr="000F2247" w:rsidRDefault="00FF78AA" w:rsidP="00FF78AA">
      <w:pPr>
        <w:rPr>
          <w:rFonts w:ascii="Arial" w:hAnsi="Arial"/>
          <w:b/>
          <w:bCs/>
          <w:sz w:val="26"/>
          <w:szCs w:val="26"/>
          <w:rtl/>
        </w:rPr>
      </w:pPr>
    </w:p>
    <w:p w14:paraId="4377045C" w14:textId="77777777" w:rsidR="00FF78AA" w:rsidRPr="00A10463" w:rsidRDefault="00FF78AA" w:rsidP="00FF78AA">
      <w:pPr>
        <w:spacing w:line="360" w:lineRule="auto"/>
        <w:jc w:val="both"/>
        <w:rPr>
          <w:rFonts w:ascii="David" w:hAnsi="David"/>
          <w:b/>
          <w:bCs/>
          <w:u w:val="single"/>
          <w:rtl/>
        </w:rPr>
      </w:pPr>
      <w:r w:rsidRPr="00A10463">
        <w:rPr>
          <w:rFonts w:ascii="David" w:hAnsi="David"/>
          <w:b/>
          <w:bCs/>
          <w:u w:val="single"/>
          <w:rtl/>
        </w:rPr>
        <w:t>רקע</w:t>
      </w:r>
    </w:p>
    <w:p w14:paraId="47EF19F5" w14:textId="77777777" w:rsidR="00FF78AA" w:rsidRPr="00CF0509" w:rsidRDefault="00FF78AA" w:rsidP="00FF78AA">
      <w:pPr>
        <w:pStyle w:val="aa"/>
        <w:numPr>
          <w:ilvl w:val="0"/>
          <w:numId w:val="1"/>
        </w:numPr>
        <w:spacing w:after="0" w:line="360" w:lineRule="auto"/>
        <w:ind w:left="360"/>
        <w:jc w:val="both"/>
        <w:rPr>
          <w:rFonts w:ascii="David" w:hAnsi="David" w:cs="David"/>
          <w:sz w:val="24"/>
          <w:szCs w:val="24"/>
        </w:rPr>
      </w:pPr>
      <w:bookmarkStart w:id="6" w:name="ABSTRACT_START"/>
      <w:bookmarkEnd w:id="6"/>
      <w:r w:rsidRPr="00CF0509">
        <w:rPr>
          <w:rFonts w:ascii="David" w:hAnsi="David" w:cs="David"/>
          <w:sz w:val="24"/>
          <w:szCs w:val="24"/>
          <w:rtl/>
        </w:rPr>
        <w:t xml:space="preserve">הנאשם הודה והורשע ביום </w:t>
      </w:r>
      <w:r w:rsidRPr="00CF0509">
        <w:rPr>
          <w:rFonts w:ascii="David" w:hAnsi="David" w:cs="David" w:hint="cs"/>
          <w:sz w:val="24"/>
          <w:szCs w:val="24"/>
          <w:rtl/>
        </w:rPr>
        <w:t>12.5.21</w:t>
      </w:r>
      <w:r w:rsidRPr="00CF0509">
        <w:rPr>
          <w:rFonts w:ascii="David" w:hAnsi="David" w:cs="David"/>
          <w:sz w:val="24"/>
          <w:szCs w:val="24"/>
          <w:rtl/>
        </w:rPr>
        <w:t xml:space="preserve">, במסגרת הסדר, בעובדות </w:t>
      </w:r>
      <w:r w:rsidRPr="00CF0509">
        <w:rPr>
          <w:rFonts w:ascii="David" w:hAnsi="David" w:cs="David" w:hint="cs"/>
          <w:sz w:val="24"/>
          <w:szCs w:val="24"/>
          <w:rtl/>
        </w:rPr>
        <w:t>כתב האישום המתוקן ב</w:t>
      </w:r>
      <w:r>
        <w:rPr>
          <w:rFonts w:ascii="David" w:hAnsi="David" w:cs="David" w:hint="cs"/>
          <w:sz w:val="24"/>
          <w:szCs w:val="24"/>
          <w:rtl/>
        </w:rPr>
        <w:t xml:space="preserve">ריבוי </w:t>
      </w:r>
      <w:r w:rsidRPr="00CF0509">
        <w:rPr>
          <w:rFonts w:ascii="David" w:hAnsi="David" w:cs="David" w:hint="cs"/>
          <w:sz w:val="24"/>
          <w:szCs w:val="24"/>
          <w:rtl/>
        </w:rPr>
        <w:t xml:space="preserve">עבירות </w:t>
      </w:r>
      <w:r w:rsidRPr="00CF0509">
        <w:rPr>
          <w:rFonts w:ascii="David" w:hAnsi="David" w:cs="David" w:hint="cs"/>
          <w:b/>
          <w:bCs/>
          <w:sz w:val="24"/>
          <w:szCs w:val="24"/>
          <w:rtl/>
        </w:rPr>
        <w:t>סחר</w:t>
      </w:r>
      <w:r w:rsidRPr="00CF0509">
        <w:rPr>
          <w:rFonts w:ascii="David" w:hAnsi="David" w:cs="David"/>
          <w:b/>
          <w:bCs/>
          <w:sz w:val="24"/>
          <w:szCs w:val="24"/>
          <w:rtl/>
        </w:rPr>
        <w:t xml:space="preserve"> </w:t>
      </w:r>
      <w:r w:rsidRPr="00CF0509">
        <w:rPr>
          <w:rFonts w:ascii="David" w:hAnsi="David" w:cs="David" w:hint="cs"/>
          <w:b/>
          <w:bCs/>
          <w:sz w:val="24"/>
          <w:szCs w:val="24"/>
          <w:rtl/>
        </w:rPr>
        <w:t>ב</w:t>
      </w:r>
      <w:r w:rsidRPr="00CF0509">
        <w:rPr>
          <w:rFonts w:ascii="David" w:hAnsi="David" w:cs="David"/>
          <w:b/>
          <w:bCs/>
          <w:sz w:val="24"/>
          <w:szCs w:val="24"/>
          <w:rtl/>
        </w:rPr>
        <w:t xml:space="preserve">סם מסוכן </w:t>
      </w:r>
      <w:r>
        <w:rPr>
          <w:rFonts w:ascii="David" w:hAnsi="David" w:cs="David"/>
          <w:sz w:val="24"/>
          <w:szCs w:val="24"/>
          <w:rtl/>
        </w:rPr>
        <w:t>– עביר</w:t>
      </w:r>
      <w:r>
        <w:rPr>
          <w:rFonts w:ascii="David" w:hAnsi="David" w:cs="David" w:hint="cs"/>
          <w:sz w:val="24"/>
          <w:szCs w:val="24"/>
          <w:rtl/>
        </w:rPr>
        <w:t>ה</w:t>
      </w:r>
      <w:r w:rsidRPr="00CF0509">
        <w:rPr>
          <w:rFonts w:ascii="David" w:hAnsi="David" w:cs="David"/>
          <w:sz w:val="24"/>
          <w:szCs w:val="24"/>
          <w:rtl/>
        </w:rPr>
        <w:t xml:space="preserve"> </w:t>
      </w:r>
      <w:r>
        <w:rPr>
          <w:rFonts w:ascii="David" w:hAnsi="David" w:cs="David" w:hint="cs"/>
          <w:sz w:val="24"/>
          <w:szCs w:val="24"/>
          <w:rtl/>
        </w:rPr>
        <w:t>לפי</w:t>
      </w:r>
      <w:r w:rsidRPr="00CF0509">
        <w:rPr>
          <w:rFonts w:ascii="David" w:hAnsi="David" w:cs="David"/>
          <w:sz w:val="24"/>
          <w:szCs w:val="24"/>
          <w:rtl/>
        </w:rPr>
        <w:t xml:space="preserve"> </w:t>
      </w:r>
      <w:hyperlink r:id="rId15" w:history="1">
        <w:r w:rsidR="00041C8C" w:rsidRPr="00041C8C">
          <w:rPr>
            <w:rStyle w:val="Hyperlink"/>
            <w:rFonts w:ascii="David" w:hAnsi="David" w:cs="David" w:hint="cs"/>
            <w:sz w:val="24"/>
            <w:szCs w:val="24"/>
            <w:rtl/>
          </w:rPr>
          <w:t>סעיף</w:t>
        </w:r>
        <w:r w:rsidR="00041C8C" w:rsidRPr="00041C8C">
          <w:rPr>
            <w:rStyle w:val="Hyperlink"/>
            <w:rFonts w:ascii="David" w:hAnsi="David" w:cs="David"/>
            <w:sz w:val="24"/>
            <w:szCs w:val="24"/>
            <w:rtl/>
          </w:rPr>
          <w:t xml:space="preserve"> 13</w:t>
        </w:r>
      </w:hyperlink>
      <w:r w:rsidRPr="00CF0509">
        <w:rPr>
          <w:rFonts w:ascii="David" w:hAnsi="David" w:cs="David" w:hint="cs"/>
          <w:sz w:val="24"/>
          <w:szCs w:val="24"/>
          <w:rtl/>
        </w:rPr>
        <w:t xml:space="preserve"> ביחד עם </w:t>
      </w:r>
      <w:hyperlink r:id="rId16" w:history="1">
        <w:r w:rsidR="00041C8C" w:rsidRPr="00041C8C">
          <w:rPr>
            <w:rStyle w:val="Hyperlink"/>
            <w:rFonts w:ascii="David" w:hAnsi="David" w:cs="David"/>
            <w:sz w:val="24"/>
            <w:szCs w:val="24"/>
            <w:rtl/>
          </w:rPr>
          <w:t>19א</w:t>
        </w:r>
      </w:hyperlink>
      <w:r w:rsidRPr="00CF0509">
        <w:rPr>
          <w:rFonts w:ascii="David" w:hAnsi="David" w:cs="David" w:hint="cs"/>
          <w:sz w:val="24"/>
          <w:szCs w:val="24"/>
          <w:rtl/>
        </w:rPr>
        <w:t xml:space="preserve"> </w:t>
      </w:r>
      <w:r w:rsidRPr="00CF0509">
        <w:rPr>
          <w:rFonts w:ascii="David" w:hAnsi="David" w:cs="David"/>
          <w:sz w:val="24"/>
          <w:szCs w:val="24"/>
          <w:rtl/>
        </w:rPr>
        <w:t>ל</w:t>
      </w:r>
      <w:hyperlink r:id="rId17" w:history="1">
        <w:r w:rsidR="009744BD" w:rsidRPr="009744BD">
          <w:rPr>
            <w:rFonts w:ascii="David" w:hAnsi="David" w:cs="David"/>
            <w:color w:val="0000FF"/>
            <w:sz w:val="24"/>
            <w:szCs w:val="24"/>
            <w:u w:val="single"/>
            <w:rtl/>
          </w:rPr>
          <w:t>פקודת הסמים המסוכנים</w:t>
        </w:r>
      </w:hyperlink>
      <w:r w:rsidRPr="00CF0509">
        <w:rPr>
          <w:rFonts w:ascii="David" w:hAnsi="David" w:cs="David"/>
          <w:sz w:val="24"/>
          <w:szCs w:val="24"/>
          <w:rtl/>
        </w:rPr>
        <w:t xml:space="preserve"> (נוסח חדש) תשל"ג – 1973.</w:t>
      </w:r>
      <w:r w:rsidRPr="00CF0509">
        <w:rPr>
          <w:rFonts w:ascii="David" w:hAnsi="David" w:cs="David" w:hint="cs"/>
          <w:sz w:val="24"/>
          <w:szCs w:val="24"/>
          <w:rtl/>
        </w:rPr>
        <w:t xml:space="preserve"> (להלן: "</w:t>
      </w:r>
      <w:r w:rsidRPr="00EF7A19">
        <w:rPr>
          <w:rFonts w:ascii="David" w:hAnsi="David" w:cs="David" w:hint="cs"/>
          <w:sz w:val="24"/>
          <w:szCs w:val="24"/>
          <w:rtl/>
        </w:rPr>
        <w:t>פקודת הסמים</w:t>
      </w:r>
      <w:r w:rsidRPr="00CF0509">
        <w:rPr>
          <w:rFonts w:ascii="David" w:hAnsi="David" w:cs="David" w:hint="cs"/>
          <w:sz w:val="24"/>
          <w:szCs w:val="24"/>
          <w:rtl/>
        </w:rPr>
        <w:t xml:space="preserve">") </w:t>
      </w:r>
      <w:r>
        <w:rPr>
          <w:rFonts w:ascii="David" w:hAnsi="David" w:cs="David" w:hint="cs"/>
          <w:sz w:val="24"/>
          <w:szCs w:val="24"/>
          <w:rtl/>
        </w:rPr>
        <w:t xml:space="preserve">ובעבירת </w:t>
      </w:r>
      <w:r w:rsidRPr="00EF7A19">
        <w:rPr>
          <w:rFonts w:ascii="David" w:hAnsi="David" w:cs="David" w:hint="cs"/>
          <w:b/>
          <w:bCs/>
          <w:sz w:val="24"/>
          <w:szCs w:val="24"/>
          <w:rtl/>
        </w:rPr>
        <w:t>החזקת סם מסוכן שלא לצריכה עצמית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עבירה לפי </w:t>
      </w:r>
      <w:hyperlink r:id="rId18" w:history="1">
        <w:r w:rsidR="00041C8C" w:rsidRPr="00041C8C">
          <w:rPr>
            <w:rStyle w:val="Hyperlink"/>
            <w:rFonts w:ascii="David" w:hAnsi="David" w:cs="David" w:hint="cs"/>
            <w:sz w:val="24"/>
            <w:szCs w:val="24"/>
            <w:rtl/>
          </w:rPr>
          <w:t>סעיף</w:t>
        </w:r>
        <w:r w:rsidR="00041C8C" w:rsidRPr="00041C8C">
          <w:rPr>
            <w:rStyle w:val="Hyperlink"/>
            <w:rFonts w:ascii="David" w:hAnsi="David" w:cs="David"/>
            <w:sz w:val="24"/>
            <w:szCs w:val="24"/>
            <w:rtl/>
          </w:rPr>
          <w:t xml:space="preserve"> 7(א)+7(ג)</w:t>
        </w:r>
      </w:hyperlink>
      <w:r>
        <w:rPr>
          <w:rFonts w:ascii="David" w:hAnsi="David" w:cs="David" w:hint="cs"/>
          <w:sz w:val="24"/>
          <w:szCs w:val="24"/>
          <w:rtl/>
        </w:rPr>
        <w:t xml:space="preserve"> רישא לפקודת הסמים.</w:t>
      </w:r>
    </w:p>
    <w:p w14:paraId="3AC3B25B" w14:textId="77777777" w:rsidR="00FF78AA" w:rsidRPr="00A10463" w:rsidRDefault="00FF78AA" w:rsidP="00FF78AA">
      <w:pPr>
        <w:pStyle w:val="aa"/>
        <w:spacing w:after="0" w:line="360" w:lineRule="auto"/>
        <w:ind w:left="1440"/>
        <w:jc w:val="both"/>
        <w:rPr>
          <w:rFonts w:ascii="David" w:hAnsi="David" w:cs="David"/>
          <w:sz w:val="24"/>
          <w:szCs w:val="24"/>
        </w:rPr>
      </w:pPr>
      <w:bookmarkStart w:id="7" w:name="ABSTRACT_END"/>
      <w:bookmarkEnd w:id="7"/>
      <w:r w:rsidRPr="00A10463">
        <w:rPr>
          <w:rFonts w:ascii="David" w:hAnsi="David" w:cs="David" w:hint="cs"/>
          <w:sz w:val="24"/>
          <w:szCs w:val="24"/>
          <w:rtl/>
        </w:rPr>
        <w:t xml:space="preserve"> </w:t>
      </w:r>
    </w:p>
    <w:p w14:paraId="009E2B8C" w14:textId="77777777" w:rsidR="00FF78AA" w:rsidRPr="0049172E" w:rsidRDefault="00FF78AA" w:rsidP="00FF78AA">
      <w:pPr>
        <w:pStyle w:val="aa"/>
        <w:numPr>
          <w:ilvl w:val="0"/>
          <w:numId w:val="1"/>
        </w:numPr>
        <w:spacing w:after="0" w:line="360" w:lineRule="auto"/>
        <w:ind w:left="352" w:hanging="352"/>
        <w:jc w:val="both"/>
        <w:rPr>
          <w:rFonts w:ascii="David" w:hAnsi="David" w:cs="David"/>
          <w:sz w:val="24"/>
          <w:szCs w:val="24"/>
        </w:rPr>
      </w:pPr>
      <w:r>
        <w:rPr>
          <w:rFonts w:ascii="David" w:hAnsi="David" w:cs="David" w:hint="cs"/>
          <w:sz w:val="24"/>
          <w:szCs w:val="24"/>
          <w:rtl/>
        </w:rPr>
        <w:t xml:space="preserve">מכתב האישום המתוקן עולה כי </w:t>
      </w:r>
      <w:r w:rsidRPr="0049172E">
        <w:rPr>
          <w:rFonts w:ascii="David" w:hAnsi="David" w:cs="David" w:hint="cs"/>
          <w:sz w:val="24"/>
          <w:szCs w:val="24"/>
          <w:rtl/>
        </w:rPr>
        <w:t xml:space="preserve">באישום </w:t>
      </w:r>
      <w:r w:rsidRPr="0049172E">
        <w:rPr>
          <w:rFonts w:ascii="David" w:hAnsi="David" w:cs="David" w:hint="cs"/>
          <w:b/>
          <w:bCs/>
          <w:sz w:val="24"/>
          <w:szCs w:val="24"/>
          <w:rtl/>
        </w:rPr>
        <w:t>הראשון</w:t>
      </w:r>
      <w:r w:rsidRPr="0049172E">
        <w:rPr>
          <w:rFonts w:ascii="David" w:hAnsi="David" w:cs="David" w:hint="cs"/>
          <w:sz w:val="24"/>
          <w:szCs w:val="24"/>
          <w:rtl/>
        </w:rPr>
        <w:t xml:space="preserve"> החזיק הנאשם 123 גרם קנבוס ו-5 מ"ל סם מסוכן מסוג </w:t>
      </w:r>
      <w:r w:rsidRPr="0049172E">
        <w:rPr>
          <w:rFonts w:ascii="David" w:hAnsi="David" w:cs="David" w:hint="cs"/>
          <w:sz w:val="24"/>
          <w:szCs w:val="24"/>
        </w:rPr>
        <w:t>THC</w:t>
      </w:r>
      <w:r w:rsidRPr="00F46B40">
        <w:rPr>
          <w:rFonts w:cs="David" w:hint="cs"/>
          <w:sz w:val="24"/>
          <w:szCs w:val="24"/>
          <w:rtl/>
        </w:rPr>
        <w:t>.</w:t>
      </w:r>
      <w:r w:rsidRPr="0049172E">
        <w:rPr>
          <w:rFonts w:ascii="David" w:hAnsi="David" w:cs="David" w:hint="cs"/>
          <w:sz w:val="24"/>
          <w:szCs w:val="24"/>
          <w:rtl/>
        </w:rPr>
        <w:t xml:space="preserve"> </w:t>
      </w:r>
      <w:r w:rsidRPr="00F46B40">
        <w:rPr>
          <w:rFonts w:cs="David" w:hint="cs"/>
          <w:sz w:val="24"/>
          <w:szCs w:val="24"/>
          <w:rtl/>
        </w:rPr>
        <w:t xml:space="preserve">באישום </w:t>
      </w:r>
      <w:r w:rsidRPr="00F46B40">
        <w:rPr>
          <w:rFonts w:cs="David" w:hint="cs"/>
          <w:b/>
          <w:bCs/>
          <w:sz w:val="24"/>
          <w:szCs w:val="24"/>
          <w:rtl/>
        </w:rPr>
        <w:t>השני</w:t>
      </w:r>
      <w:r w:rsidRPr="00F46B40">
        <w:rPr>
          <w:rFonts w:cs="David" w:hint="cs"/>
          <w:sz w:val="24"/>
          <w:szCs w:val="24"/>
          <w:rtl/>
        </w:rPr>
        <w:t xml:space="preserve"> מכר הנאשם סם מסוכן מסוג קנבוס במשקל 1 גרם לקטינה</w:t>
      </w:r>
      <w:r w:rsidRPr="0049172E">
        <w:rPr>
          <w:rFonts w:ascii="David" w:hAnsi="David" w:cs="David" w:hint="cs"/>
          <w:sz w:val="24"/>
          <w:szCs w:val="24"/>
          <w:rtl/>
        </w:rPr>
        <w:t xml:space="preserve">. </w:t>
      </w:r>
      <w:r w:rsidRPr="0049172E">
        <w:rPr>
          <w:rFonts w:cs="David" w:hint="cs"/>
          <w:sz w:val="24"/>
          <w:szCs w:val="24"/>
          <w:rtl/>
        </w:rPr>
        <w:t xml:space="preserve">באישום </w:t>
      </w:r>
      <w:r w:rsidRPr="0049172E">
        <w:rPr>
          <w:rFonts w:cs="David" w:hint="cs"/>
          <w:b/>
          <w:bCs/>
          <w:sz w:val="24"/>
          <w:szCs w:val="24"/>
          <w:rtl/>
        </w:rPr>
        <w:t>השלישי</w:t>
      </w:r>
      <w:r w:rsidRPr="0049172E">
        <w:rPr>
          <w:rFonts w:cs="David" w:hint="cs"/>
          <w:sz w:val="24"/>
          <w:szCs w:val="24"/>
          <w:rtl/>
        </w:rPr>
        <w:t xml:space="preserve"> מכר הנאשם סם מסוכן מסוג קנבוס במשקל 1 גרם לרון</w:t>
      </w:r>
      <w:r w:rsidRPr="0049172E">
        <w:rPr>
          <w:rFonts w:ascii="David" w:hAnsi="David" w:cs="David" w:hint="cs"/>
          <w:sz w:val="24"/>
          <w:szCs w:val="24"/>
          <w:rtl/>
        </w:rPr>
        <w:t xml:space="preserve">. </w:t>
      </w:r>
      <w:r w:rsidRPr="0049172E">
        <w:rPr>
          <w:rFonts w:cs="David" w:hint="cs"/>
          <w:sz w:val="24"/>
          <w:szCs w:val="24"/>
          <w:rtl/>
        </w:rPr>
        <w:t xml:space="preserve">באישום </w:t>
      </w:r>
      <w:r w:rsidRPr="0049172E">
        <w:rPr>
          <w:rFonts w:cs="David" w:hint="cs"/>
          <w:b/>
          <w:bCs/>
          <w:sz w:val="24"/>
          <w:szCs w:val="24"/>
          <w:rtl/>
        </w:rPr>
        <w:t>הרביעי</w:t>
      </w:r>
      <w:r w:rsidRPr="0049172E">
        <w:rPr>
          <w:rFonts w:cs="David" w:hint="cs"/>
          <w:sz w:val="24"/>
          <w:szCs w:val="24"/>
          <w:rtl/>
        </w:rPr>
        <w:t xml:space="preserve"> </w:t>
      </w:r>
      <w:r w:rsidRPr="0049172E">
        <w:rPr>
          <w:rFonts w:cs="David" w:hint="cs"/>
          <w:sz w:val="24"/>
          <w:szCs w:val="24"/>
          <w:rtl/>
        </w:rPr>
        <w:lastRenderedPageBreak/>
        <w:t xml:space="preserve">מכר הנאשם סם מסוכן מסוג </w:t>
      </w:r>
      <w:r w:rsidRPr="0049172E">
        <w:rPr>
          <w:rFonts w:ascii="David" w:hAnsi="David" w:cs="David" w:hint="cs"/>
          <w:sz w:val="24"/>
          <w:szCs w:val="24"/>
          <w:rtl/>
        </w:rPr>
        <w:t>קנבוס</w:t>
      </w:r>
      <w:r w:rsidRPr="0049172E">
        <w:rPr>
          <w:rFonts w:cs="David" w:hint="cs"/>
          <w:sz w:val="24"/>
          <w:szCs w:val="24"/>
          <w:rtl/>
        </w:rPr>
        <w:t xml:space="preserve"> במשקל 1 גרם לאיתי</w:t>
      </w:r>
      <w:r w:rsidRPr="0049172E">
        <w:rPr>
          <w:rFonts w:ascii="David" w:hAnsi="David" w:cs="David" w:hint="cs"/>
          <w:sz w:val="24"/>
          <w:szCs w:val="24"/>
          <w:rtl/>
        </w:rPr>
        <w:t xml:space="preserve">. </w:t>
      </w:r>
      <w:r w:rsidRPr="0049172E">
        <w:rPr>
          <w:rFonts w:cs="David" w:hint="cs"/>
          <w:sz w:val="24"/>
          <w:szCs w:val="24"/>
          <w:rtl/>
        </w:rPr>
        <w:t xml:space="preserve">באישום </w:t>
      </w:r>
      <w:r w:rsidRPr="0049172E">
        <w:rPr>
          <w:rFonts w:cs="David" w:hint="cs"/>
          <w:b/>
          <w:bCs/>
          <w:sz w:val="24"/>
          <w:szCs w:val="24"/>
          <w:rtl/>
        </w:rPr>
        <w:t>החמישי</w:t>
      </w:r>
      <w:r w:rsidRPr="0049172E">
        <w:rPr>
          <w:rFonts w:cs="David" w:hint="cs"/>
          <w:sz w:val="24"/>
          <w:szCs w:val="24"/>
          <w:rtl/>
        </w:rPr>
        <w:t xml:space="preserve"> מכר הנאשם סם מסוכן מסוג קנבוס במשקל 1 גרם לאביחי</w:t>
      </w:r>
      <w:r w:rsidRPr="0049172E">
        <w:rPr>
          <w:rFonts w:ascii="David" w:hAnsi="David" w:cs="David" w:hint="cs"/>
          <w:sz w:val="24"/>
          <w:szCs w:val="24"/>
          <w:rtl/>
        </w:rPr>
        <w:t xml:space="preserve">. </w:t>
      </w:r>
      <w:r w:rsidRPr="0049172E">
        <w:rPr>
          <w:rFonts w:cs="David" w:hint="cs"/>
          <w:sz w:val="24"/>
          <w:szCs w:val="24"/>
          <w:rtl/>
        </w:rPr>
        <w:t xml:space="preserve">באישום </w:t>
      </w:r>
      <w:r w:rsidRPr="0049172E">
        <w:rPr>
          <w:rFonts w:cs="David" w:hint="cs"/>
          <w:b/>
          <w:bCs/>
          <w:sz w:val="24"/>
          <w:szCs w:val="24"/>
          <w:rtl/>
        </w:rPr>
        <w:t>השישי</w:t>
      </w:r>
      <w:r w:rsidRPr="0049172E">
        <w:rPr>
          <w:rFonts w:cs="David" w:hint="cs"/>
          <w:sz w:val="24"/>
          <w:szCs w:val="24"/>
          <w:rtl/>
        </w:rPr>
        <w:t xml:space="preserve"> מכר הנאשם סם מסוכן מסוג קנבוס במשקל 1 גרם למעוז</w:t>
      </w:r>
      <w:r w:rsidRPr="0049172E">
        <w:rPr>
          <w:rFonts w:ascii="David" w:hAnsi="David" w:cs="David" w:hint="cs"/>
          <w:sz w:val="24"/>
          <w:szCs w:val="24"/>
          <w:rtl/>
        </w:rPr>
        <w:t xml:space="preserve">. </w:t>
      </w:r>
      <w:r w:rsidRPr="0049172E">
        <w:rPr>
          <w:rFonts w:cs="David" w:hint="cs"/>
          <w:sz w:val="24"/>
          <w:szCs w:val="24"/>
          <w:rtl/>
        </w:rPr>
        <w:t xml:space="preserve">באישום </w:t>
      </w:r>
      <w:r w:rsidRPr="0049172E">
        <w:rPr>
          <w:rFonts w:cs="David" w:hint="cs"/>
          <w:b/>
          <w:bCs/>
          <w:sz w:val="24"/>
          <w:szCs w:val="24"/>
          <w:rtl/>
        </w:rPr>
        <w:t>השביעי</w:t>
      </w:r>
      <w:r w:rsidRPr="0049172E">
        <w:rPr>
          <w:rFonts w:cs="David" w:hint="cs"/>
          <w:sz w:val="24"/>
          <w:szCs w:val="24"/>
          <w:rtl/>
        </w:rPr>
        <w:t xml:space="preserve"> מכר הנאשם סם מסוכן מסוג קנבוס במשקל 2 גרם לגל</w:t>
      </w:r>
      <w:r w:rsidRPr="0049172E">
        <w:rPr>
          <w:rFonts w:ascii="David" w:hAnsi="David" w:cs="David" w:hint="cs"/>
          <w:sz w:val="24"/>
          <w:szCs w:val="24"/>
          <w:rtl/>
        </w:rPr>
        <w:t xml:space="preserve">. </w:t>
      </w:r>
      <w:r w:rsidRPr="0049172E">
        <w:rPr>
          <w:rFonts w:cs="David" w:hint="cs"/>
          <w:sz w:val="24"/>
          <w:szCs w:val="24"/>
          <w:rtl/>
        </w:rPr>
        <w:t xml:space="preserve">באישום </w:t>
      </w:r>
      <w:r w:rsidRPr="0049172E">
        <w:rPr>
          <w:rFonts w:cs="David" w:hint="cs"/>
          <w:b/>
          <w:bCs/>
          <w:sz w:val="24"/>
          <w:szCs w:val="24"/>
          <w:rtl/>
        </w:rPr>
        <w:t>התשיעי</w:t>
      </w:r>
      <w:r w:rsidRPr="0049172E">
        <w:rPr>
          <w:rFonts w:cs="David" w:hint="cs"/>
          <w:sz w:val="24"/>
          <w:szCs w:val="24"/>
          <w:rtl/>
        </w:rPr>
        <w:t xml:space="preserve"> מכר הנאשם סם מסוכן מסוג קנבוס במשקל 2.5 גרם לסתיו</w:t>
      </w:r>
      <w:r w:rsidRPr="0049172E">
        <w:rPr>
          <w:rFonts w:ascii="David" w:hAnsi="David" w:cs="David" w:hint="cs"/>
          <w:sz w:val="24"/>
          <w:szCs w:val="24"/>
          <w:rtl/>
        </w:rPr>
        <w:t xml:space="preserve">. </w:t>
      </w:r>
      <w:r w:rsidRPr="0049172E">
        <w:rPr>
          <w:rFonts w:cs="David" w:hint="cs"/>
          <w:sz w:val="24"/>
          <w:szCs w:val="24"/>
          <w:rtl/>
        </w:rPr>
        <w:t xml:space="preserve">באישום </w:t>
      </w:r>
      <w:r w:rsidRPr="0049172E">
        <w:rPr>
          <w:rFonts w:cs="David" w:hint="cs"/>
          <w:b/>
          <w:bCs/>
          <w:sz w:val="24"/>
          <w:szCs w:val="24"/>
          <w:rtl/>
        </w:rPr>
        <w:t>האחד עשר</w:t>
      </w:r>
      <w:r w:rsidRPr="0049172E">
        <w:rPr>
          <w:rFonts w:cs="David" w:hint="cs"/>
          <w:sz w:val="24"/>
          <w:szCs w:val="24"/>
          <w:rtl/>
        </w:rPr>
        <w:t xml:space="preserve"> מכר הנאשם סם מסוכן מסוג קנבוס במשקל 4 גרם לאוראל</w:t>
      </w:r>
      <w:r w:rsidRPr="0049172E">
        <w:rPr>
          <w:rFonts w:ascii="David" w:hAnsi="David" w:cs="David" w:hint="cs"/>
          <w:sz w:val="24"/>
          <w:szCs w:val="24"/>
          <w:rtl/>
        </w:rPr>
        <w:t xml:space="preserve">. </w:t>
      </w:r>
      <w:r w:rsidRPr="0049172E">
        <w:rPr>
          <w:rFonts w:cs="David" w:hint="cs"/>
          <w:sz w:val="24"/>
          <w:szCs w:val="24"/>
          <w:rtl/>
        </w:rPr>
        <w:t xml:space="preserve">באישום </w:t>
      </w:r>
      <w:r w:rsidRPr="0049172E">
        <w:rPr>
          <w:rFonts w:cs="David" w:hint="cs"/>
          <w:b/>
          <w:bCs/>
          <w:sz w:val="24"/>
          <w:szCs w:val="24"/>
          <w:rtl/>
        </w:rPr>
        <w:t>השנים עשר</w:t>
      </w:r>
      <w:r w:rsidRPr="0049172E">
        <w:rPr>
          <w:rFonts w:cs="David" w:hint="cs"/>
          <w:sz w:val="24"/>
          <w:szCs w:val="24"/>
          <w:rtl/>
        </w:rPr>
        <w:t xml:space="preserve"> מכר הנאשם סם מסוכן מסוג קנבוס במשקל 1 גרם לנהוראי</w:t>
      </w:r>
      <w:r w:rsidRPr="0049172E">
        <w:rPr>
          <w:rFonts w:ascii="David" w:hAnsi="David" w:cs="David" w:hint="cs"/>
          <w:sz w:val="24"/>
          <w:szCs w:val="24"/>
          <w:rtl/>
        </w:rPr>
        <w:t>.</w:t>
      </w:r>
    </w:p>
    <w:p w14:paraId="4EF94F35" w14:textId="77777777" w:rsidR="00FF78AA" w:rsidRDefault="00FF78AA" w:rsidP="00FF78AA">
      <w:pPr>
        <w:pStyle w:val="aa"/>
        <w:rPr>
          <w:rFonts w:ascii="David" w:hAnsi="David" w:cs="David"/>
          <w:sz w:val="24"/>
          <w:szCs w:val="24"/>
          <w:rtl/>
        </w:rPr>
      </w:pPr>
    </w:p>
    <w:p w14:paraId="4D608AAE" w14:textId="77777777" w:rsidR="00FF78AA" w:rsidRPr="00A10463" w:rsidRDefault="00FF78AA" w:rsidP="00FF78AA">
      <w:pPr>
        <w:pStyle w:val="aa"/>
        <w:numPr>
          <w:ilvl w:val="0"/>
          <w:numId w:val="1"/>
        </w:numPr>
        <w:spacing w:after="0" w:line="360" w:lineRule="auto"/>
        <w:ind w:left="352" w:hanging="352"/>
        <w:jc w:val="both"/>
        <w:rPr>
          <w:rFonts w:ascii="David" w:hAnsi="David" w:cs="David"/>
          <w:sz w:val="24"/>
          <w:szCs w:val="24"/>
        </w:rPr>
      </w:pPr>
      <w:r w:rsidRPr="00A10463">
        <w:rPr>
          <w:rFonts w:ascii="David" w:hAnsi="David" w:cs="David"/>
          <w:sz w:val="24"/>
          <w:szCs w:val="24"/>
          <w:rtl/>
        </w:rPr>
        <w:t>במסגרת ההסדר סוכ</w:t>
      </w:r>
      <w:r w:rsidRPr="00A10463">
        <w:rPr>
          <w:rFonts w:ascii="David" w:hAnsi="David" w:cs="David" w:hint="cs"/>
          <w:sz w:val="24"/>
          <w:szCs w:val="24"/>
          <w:rtl/>
        </w:rPr>
        <w:t>ם כי הצדדים יטענו לעונש באופן חופשי</w:t>
      </w:r>
      <w:r w:rsidRPr="00A10463">
        <w:rPr>
          <w:rFonts w:ascii="David" w:hAnsi="David" w:cs="David"/>
          <w:sz w:val="24"/>
          <w:szCs w:val="24"/>
          <w:rtl/>
        </w:rPr>
        <w:t xml:space="preserve">. </w:t>
      </w:r>
    </w:p>
    <w:p w14:paraId="0BB52622" w14:textId="77777777" w:rsidR="00FF78AA" w:rsidRDefault="00FF78AA" w:rsidP="00FF78AA">
      <w:pPr>
        <w:spacing w:line="360" w:lineRule="auto"/>
        <w:jc w:val="both"/>
        <w:rPr>
          <w:rFonts w:ascii="David" w:hAnsi="David"/>
          <w:b/>
          <w:bCs/>
          <w:u w:val="single"/>
        </w:rPr>
      </w:pPr>
    </w:p>
    <w:p w14:paraId="3F848F90" w14:textId="77777777" w:rsidR="00FF78AA" w:rsidRPr="00A10463" w:rsidRDefault="00FF78AA" w:rsidP="00FF78AA">
      <w:pPr>
        <w:spacing w:line="360" w:lineRule="auto"/>
        <w:jc w:val="both"/>
        <w:rPr>
          <w:rFonts w:ascii="David" w:hAnsi="David"/>
          <w:b/>
          <w:bCs/>
          <w:u w:val="single"/>
          <w:rtl/>
        </w:rPr>
      </w:pPr>
      <w:r>
        <w:rPr>
          <w:rFonts w:ascii="David" w:hAnsi="David" w:hint="cs"/>
          <w:b/>
          <w:bCs/>
          <w:u w:val="single"/>
          <w:rtl/>
        </w:rPr>
        <w:t>תסקירי שירות המבחן</w:t>
      </w:r>
    </w:p>
    <w:p w14:paraId="5B845D67" w14:textId="77777777" w:rsidR="00FF78AA" w:rsidRPr="001D0EE1" w:rsidRDefault="00FF78AA" w:rsidP="00FF78AA">
      <w:pPr>
        <w:pStyle w:val="aa"/>
        <w:numPr>
          <w:ilvl w:val="0"/>
          <w:numId w:val="1"/>
        </w:numPr>
        <w:spacing w:after="0" w:line="360" w:lineRule="auto"/>
        <w:ind w:left="352" w:hanging="352"/>
        <w:jc w:val="both"/>
        <w:rPr>
          <w:rFonts w:ascii="David" w:hAnsi="David" w:cs="David"/>
          <w:sz w:val="24"/>
          <w:szCs w:val="24"/>
          <w:rtl/>
        </w:rPr>
      </w:pPr>
      <w:r w:rsidRPr="001D0EE1">
        <w:rPr>
          <w:rFonts w:ascii="David" w:hAnsi="David" w:cs="David" w:hint="cs"/>
          <w:sz w:val="24"/>
          <w:szCs w:val="24"/>
          <w:rtl/>
        </w:rPr>
        <w:t xml:space="preserve">בעניינו של הנאשם התקבלו מספר תסקירים. </w:t>
      </w:r>
    </w:p>
    <w:p w14:paraId="00002D4F" w14:textId="77777777" w:rsidR="00FF78AA" w:rsidRDefault="00FF78AA" w:rsidP="00FF78AA">
      <w:pPr>
        <w:pStyle w:val="aa"/>
        <w:spacing w:after="0" w:line="360" w:lineRule="auto"/>
        <w:ind w:left="352"/>
        <w:jc w:val="both"/>
        <w:rPr>
          <w:rFonts w:ascii="David" w:hAnsi="David" w:cs="David"/>
          <w:sz w:val="24"/>
          <w:szCs w:val="24"/>
        </w:rPr>
      </w:pPr>
    </w:p>
    <w:p w14:paraId="21D6F0F7" w14:textId="77777777" w:rsidR="00FF78AA" w:rsidRDefault="00FF78AA" w:rsidP="00FF78AA">
      <w:pPr>
        <w:pStyle w:val="aa"/>
        <w:numPr>
          <w:ilvl w:val="0"/>
          <w:numId w:val="1"/>
        </w:numPr>
        <w:spacing w:after="0" w:line="360" w:lineRule="auto"/>
        <w:ind w:left="352" w:hanging="352"/>
        <w:jc w:val="both"/>
        <w:rPr>
          <w:rFonts w:ascii="David" w:hAnsi="David" w:cs="David"/>
          <w:sz w:val="24"/>
          <w:szCs w:val="24"/>
        </w:rPr>
      </w:pPr>
      <w:r>
        <w:rPr>
          <w:rFonts w:ascii="David" w:hAnsi="David" w:cs="David" w:hint="cs"/>
          <w:sz w:val="24"/>
          <w:szCs w:val="24"/>
          <w:rtl/>
        </w:rPr>
        <w:t>ב</w:t>
      </w:r>
      <w:r w:rsidRPr="00A10463">
        <w:rPr>
          <w:rFonts w:ascii="David" w:hAnsi="David" w:cs="David" w:hint="cs"/>
          <w:sz w:val="24"/>
          <w:szCs w:val="24"/>
          <w:rtl/>
        </w:rPr>
        <w:t>תסקיר שירות המבחן מיום</w:t>
      </w:r>
      <w:r>
        <w:rPr>
          <w:rFonts w:ascii="David" w:hAnsi="David" w:cs="David" w:hint="cs"/>
          <w:sz w:val="24"/>
          <w:szCs w:val="24"/>
          <w:rtl/>
        </w:rPr>
        <w:t xml:space="preserve"> 11.5.21, נוכח המוטיבציה הטיפולית של הנאשם ונזקקותו הטיפולית, המליץ שירות המבחן לבחון אפשרות לשילובו בקהילה טיפולית. בתסקירו מיום 20.5.21 סקר שירות המבחן את נתוני הנאשם, לרבות מצבו המשפחתי והתעסוקתי. לאור נזקקותו הטיפולית והמוטיבציה שהביע התרשם שירות המבחן כי שילובו במסגרת קהילה טיפולית תיתן מענה לצרכיו. בתסקירו מיום 5.8.21 לאחר שהנאשם עבר את הליך הקבלה לקהילה המליץ שירות המבחן על שחרורו לטיפול בקהילה. בתסקירו מיום 3.11.21 תיאר שירות המבחן את שיתוף הפעולה של הנאשם והמליץ על דחיה לשם בחינת התקדמותו בהליך הטיפול. מתסקיר שירות המבחן מיום 9.2.22 עלה כי הנאשם התקדם לשלב ב' בקהילה, ועל אף הקשיים הרבים שהיו לו הצליח להתמיד. שירות המבחן המליץ לבחון את העברתו להוסטל עם סיום הקהילה. בתסקירו מיום 10.5.22 לאחר סיום תקופת השהות בקהילה, המליץ שירות המבחן על העברתו של הנאשם להוסטל. בתסקירו מיום 6.6.22 עתר שירות המבחן לדחיית מועד הטיעונים לעונש על מנת לאפשר לנאשם להשלים את תקופת הטיפול בהוסטל. בתסקיר מיום 20.10.22 תיאר שירות המבחן את תפקודו החיובי של הנאשם והמליץ על השבתו לביתו. בתסקירו מיום 8.11.22 תיאר שירות המבחן את ההליך הטיפולי החיובי שעבר הנאשם והמליץ על הטלת עונש של"צ, תוך הימנעות מהטלת עונש עבודות שירות שלשיטת שירות המבחן עלול לפגוע בתהליך השיקומי שעבר הנאשם. </w:t>
      </w:r>
    </w:p>
    <w:p w14:paraId="4DE6EF39" w14:textId="77777777" w:rsidR="00FF78AA" w:rsidRPr="00A10463" w:rsidRDefault="00FF78AA" w:rsidP="00FF78AA">
      <w:pPr>
        <w:pStyle w:val="aa"/>
        <w:spacing w:after="0" w:line="360" w:lineRule="auto"/>
        <w:ind w:left="1072"/>
        <w:jc w:val="both"/>
        <w:rPr>
          <w:rFonts w:ascii="David" w:hAnsi="David" w:cs="David"/>
          <w:sz w:val="24"/>
          <w:szCs w:val="24"/>
        </w:rPr>
      </w:pPr>
    </w:p>
    <w:p w14:paraId="2F744DE0" w14:textId="77777777" w:rsidR="00FF78AA" w:rsidRPr="00A10463" w:rsidRDefault="00FF78AA" w:rsidP="00FF78AA">
      <w:pPr>
        <w:spacing w:line="360" w:lineRule="auto"/>
        <w:jc w:val="both"/>
        <w:rPr>
          <w:rFonts w:ascii="David" w:hAnsi="David"/>
          <w:b/>
          <w:bCs/>
          <w:u w:val="single"/>
          <w:rtl/>
        </w:rPr>
      </w:pPr>
      <w:r w:rsidRPr="00A10463">
        <w:rPr>
          <w:rFonts w:ascii="David" w:hAnsi="David"/>
          <w:b/>
          <w:bCs/>
          <w:u w:val="single"/>
          <w:rtl/>
        </w:rPr>
        <w:t>טיעוני הצדדים:</w:t>
      </w:r>
    </w:p>
    <w:p w14:paraId="1BDC60FF" w14:textId="77777777" w:rsidR="00FF78AA" w:rsidRPr="00A10463" w:rsidRDefault="00FF78AA" w:rsidP="00FF78AA">
      <w:pPr>
        <w:spacing w:line="360" w:lineRule="auto"/>
        <w:ind w:left="360"/>
        <w:jc w:val="both"/>
        <w:rPr>
          <w:rFonts w:ascii="David" w:hAnsi="David"/>
          <w:b/>
          <w:bCs/>
          <w:u w:val="single"/>
          <w:rtl/>
        </w:rPr>
      </w:pPr>
    </w:p>
    <w:p w14:paraId="7081C936" w14:textId="77777777" w:rsidR="00FF78AA" w:rsidRPr="00A10463" w:rsidRDefault="00FF78AA" w:rsidP="00FF78AA">
      <w:pPr>
        <w:pStyle w:val="aa"/>
        <w:numPr>
          <w:ilvl w:val="0"/>
          <w:numId w:val="1"/>
        </w:numPr>
        <w:spacing w:after="0" w:line="360" w:lineRule="auto"/>
        <w:ind w:left="360"/>
        <w:jc w:val="both"/>
        <w:rPr>
          <w:rFonts w:ascii="David" w:hAnsi="David" w:cs="David"/>
          <w:sz w:val="24"/>
          <w:szCs w:val="24"/>
        </w:rPr>
      </w:pPr>
      <w:r w:rsidRPr="001D0EE1">
        <w:rPr>
          <w:rFonts w:ascii="David" w:hAnsi="David" w:cs="David"/>
          <w:sz w:val="24"/>
          <w:szCs w:val="24"/>
          <w:rtl/>
        </w:rPr>
        <w:t>ב"כ המאשימה</w:t>
      </w:r>
      <w:r w:rsidRPr="00A10463">
        <w:rPr>
          <w:rFonts w:ascii="David" w:hAnsi="David" w:cs="David"/>
          <w:sz w:val="24"/>
          <w:szCs w:val="24"/>
          <w:rtl/>
        </w:rPr>
        <w:t xml:space="preserve">, </w:t>
      </w:r>
      <w:r>
        <w:rPr>
          <w:rFonts w:ascii="David" w:hAnsi="David" w:cs="David" w:hint="cs"/>
          <w:sz w:val="24"/>
          <w:szCs w:val="24"/>
          <w:rtl/>
        </w:rPr>
        <w:t>הגישה טיעונים לעונש בכתב (ת/1) ועתרה למתחם עונש אחד של 36-64 חודשי מאסר ובתוך המתחם עתרה להטיל עונש ברף התחתון של המתחם.</w:t>
      </w:r>
      <w:r w:rsidRPr="00A10463">
        <w:rPr>
          <w:rFonts w:ascii="David" w:hAnsi="David" w:cs="David" w:hint="cs"/>
          <w:sz w:val="24"/>
          <w:szCs w:val="24"/>
          <w:rtl/>
        </w:rPr>
        <w:t xml:space="preserve"> </w:t>
      </w:r>
      <w:r>
        <w:rPr>
          <w:rFonts w:ascii="David" w:hAnsi="David" w:cs="David" w:hint="cs"/>
          <w:sz w:val="24"/>
          <w:szCs w:val="24"/>
          <w:rtl/>
        </w:rPr>
        <w:t xml:space="preserve">התביעה הפנתה למספר פסקי דין שלטענתה תומכים בעתירתה. </w:t>
      </w:r>
      <w:r w:rsidRPr="00A10463">
        <w:rPr>
          <w:rFonts w:ascii="David" w:hAnsi="David" w:cs="David" w:hint="cs"/>
          <w:sz w:val="24"/>
          <w:szCs w:val="24"/>
          <w:rtl/>
        </w:rPr>
        <w:t xml:space="preserve"> </w:t>
      </w:r>
    </w:p>
    <w:p w14:paraId="3E110DC2" w14:textId="77777777" w:rsidR="00FF78AA" w:rsidRPr="00A10463" w:rsidRDefault="00FF78AA" w:rsidP="00FF78AA">
      <w:pPr>
        <w:pStyle w:val="aa"/>
        <w:spacing w:after="0" w:line="360" w:lineRule="auto"/>
        <w:ind w:left="360"/>
        <w:jc w:val="both"/>
        <w:rPr>
          <w:rFonts w:ascii="David" w:hAnsi="David" w:cs="David"/>
          <w:sz w:val="24"/>
          <w:szCs w:val="24"/>
        </w:rPr>
      </w:pPr>
    </w:p>
    <w:p w14:paraId="2F49B01B" w14:textId="77777777" w:rsidR="00FF78AA" w:rsidRDefault="00FF78AA" w:rsidP="00FF78AA">
      <w:pPr>
        <w:pStyle w:val="aa"/>
        <w:numPr>
          <w:ilvl w:val="0"/>
          <w:numId w:val="1"/>
        </w:numPr>
        <w:spacing w:after="0" w:line="360" w:lineRule="auto"/>
        <w:ind w:left="360"/>
        <w:jc w:val="both"/>
        <w:rPr>
          <w:rFonts w:ascii="David" w:hAnsi="David" w:cs="David"/>
          <w:sz w:val="24"/>
          <w:szCs w:val="24"/>
        </w:rPr>
      </w:pPr>
      <w:r w:rsidRPr="001D0EE1">
        <w:rPr>
          <w:rFonts w:ascii="David" w:hAnsi="David" w:cs="David" w:hint="cs"/>
          <w:sz w:val="24"/>
          <w:szCs w:val="24"/>
          <w:rtl/>
        </w:rPr>
        <w:lastRenderedPageBreak/>
        <w:t xml:space="preserve">ב"כ הנאשם </w:t>
      </w:r>
      <w:r>
        <w:rPr>
          <w:rFonts w:ascii="David" w:hAnsi="David" w:cs="David" w:hint="cs"/>
          <w:sz w:val="24"/>
          <w:szCs w:val="24"/>
          <w:rtl/>
        </w:rPr>
        <w:t xml:space="preserve">עתר לאמץ את המלצת שירות המבחן. </w:t>
      </w:r>
      <w:r w:rsidRPr="001D0EE1">
        <w:rPr>
          <w:rFonts w:ascii="David" w:hAnsi="David" w:cs="David" w:hint="cs"/>
          <w:sz w:val="24"/>
          <w:szCs w:val="24"/>
          <w:rtl/>
        </w:rPr>
        <w:t xml:space="preserve"> </w:t>
      </w:r>
      <w:r>
        <w:rPr>
          <w:rFonts w:ascii="David" w:hAnsi="David" w:cs="David" w:hint="cs"/>
          <w:sz w:val="24"/>
          <w:szCs w:val="24"/>
          <w:rtl/>
        </w:rPr>
        <w:t>עתר למתחם אחד שנע החל משל"צ ועד 9 חודשי עבודות שירות. תיאר בהרחבה את נסיבותיו האישיות של הנאשם ואת הדרך הטיפולית הארוכה והמשמעותית שעבר. וטען כי יש בה כדי להצדיק חריגה ממתחם העונש ההולם. הפנה לכך שהנאשם נורמטיבי ומתפקד ועובד מזה זמן מה בחנות. ב"</w:t>
      </w:r>
      <w:r w:rsidRPr="00F46B40">
        <w:rPr>
          <w:rFonts w:cs="David" w:hint="cs"/>
          <w:sz w:val="24"/>
          <w:szCs w:val="24"/>
          <w:rtl/>
        </w:rPr>
        <w:t xml:space="preserve">כ הנאשם הגיש פסיקה שלטענתו תומכת בעתירתו. </w:t>
      </w:r>
    </w:p>
    <w:p w14:paraId="38F5D37A" w14:textId="77777777" w:rsidR="00FF78AA" w:rsidRDefault="00FF78AA" w:rsidP="00FF78AA">
      <w:pPr>
        <w:pStyle w:val="aa"/>
        <w:rPr>
          <w:rFonts w:ascii="David" w:hAnsi="David" w:cs="David"/>
          <w:sz w:val="24"/>
          <w:szCs w:val="24"/>
          <w:rtl/>
        </w:rPr>
      </w:pPr>
    </w:p>
    <w:p w14:paraId="49BEB6BA" w14:textId="77777777" w:rsidR="00FF78AA" w:rsidRPr="001D0EE1" w:rsidRDefault="00FF78AA" w:rsidP="00FF78AA">
      <w:pPr>
        <w:pStyle w:val="aa"/>
        <w:numPr>
          <w:ilvl w:val="0"/>
          <w:numId w:val="1"/>
        </w:numPr>
        <w:spacing w:after="0" w:line="360" w:lineRule="auto"/>
        <w:ind w:left="360"/>
        <w:jc w:val="both"/>
        <w:rPr>
          <w:rFonts w:ascii="David" w:hAnsi="David" w:cs="David"/>
          <w:sz w:val="24"/>
          <w:szCs w:val="24"/>
        </w:rPr>
      </w:pPr>
      <w:r>
        <w:rPr>
          <w:rFonts w:ascii="David" w:hAnsi="David" w:cs="David" w:hint="cs"/>
          <w:sz w:val="24"/>
          <w:szCs w:val="24"/>
          <w:rtl/>
        </w:rPr>
        <w:t xml:space="preserve">הנאשם לקח אחריות על מעשיו והסביר מעשיו בהתדרדרות שחווה בחייו. ציין כי השלים את הליך הטיפול וכעת חייו השתנו. </w:t>
      </w:r>
    </w:p>
    <w:p w14:paraId="3474DB62" w14:textId="77777777" w:rsidR="00FF78AA" w:rsidRPr="00A10463" w:rsidRDefault="00FF78AA" w:rsidP="00FF78AA">
      <w:pPr>
        <w:pStyle w:val="aa"/>
        <w:spacing w:after="0" w:line="360" w:lineRule="auto"/>
        <w:jc w:val="both"/>
        <w:rPr>
          <w:rFonts w:ascii="David" w:hAnsi="David" w:cs="David"/>
          <w:sz w:val="24"/>
          <w:szCs w:val="24"/>
        </w:rPr>
      </w:pPr>
    </w:p>
    <w:p w14:paraId="021101F7" w14:textId="77777777" w:rsidR="00FF78AA" w:rsidRPr="00A10463" w:rsidRDefault="00FF78AA" w:rsidP="00FF78AA">
      <w:pPr>
        <w:spacing w:line="360" w:lineRule="auto"/>
        <w:contextualSpacing/>
        <w:jc w:val="both"/>
        <w:rPr>
          <w:rFonts w:ascii="David" w:hAnsi="David"/>
          <w:b/>
          <w:bCs/>
          <w:u w:val="single"/>
          <w:rtl/>
        </w:rPr>
      </w:pPr>
      <w:r w:rsidRPr="00A10463">
        <w:rPr>
          <w:rFonts w:ascii="David" w:hAnsi="David"/>
          <w:b/>
          <w:bCs/>
          <w:u w:val="single"/>
          <w:rtl/>
        </w:rPr>
        <w:t>קביעת מתחם העונש ההולם</w:t>
      </w:r>
    </w:p>
    <w:p w14:paraId="61851F85" w14:textId="77777777" w:rsidR="00FF78AA" w:rsidRDefault="00FF78AA" w:rsidP="00FF78AA">
      <w:pPr>
        <w:pStyle w:val="aa"/>
        <w:numPr>
          <w:ilvl w:val="0"/>
          <w:numId w:val="1"/>
        </w:numPr>
        <w:spacing w:after="0" w:line="360" w:lineRule="auto"/>
        <w:ind w:left="360"/>
        <w:jc w:val="both"/>
        <w:rPr>
          <w:rFonts w:ascii="David" w:hAnsi="David" w:cs="David"/>
          <w:sz w:val="24"/>
          <w:szCs w:val="24"/>
        </w:rPr>
      </w:pPr>
      <w:r>
        <w:rPr>
          <w:rFonts w:ascii="David" w:hAnsi="David" w:cs="David" w:hint="cs"/>
          <w:sz w:val="24"/>
          <w:szCs w:val="24"/>
          <w:rtl/>
        </w:rPr>
        <w:t>הנאשם הורשע בעשרה אישומים</w:t>
      </w:r>
      <w:r w:rsidRPr="0073344D">
        <w:rPr>
          <w:rFonts w:ascii="David" w:hAnsi="David" w:cs="David"/>
          <w:sz w:val="24"/>
          <w:szCs w:val="24"/>
          <w:rtl/>
        </w:rPr>
        <w:t xml:space="preserve">, </w:t>
      </w:r>
      <w:r>
        <w:rPr>
          <w:rFonts w:ascii="David" w:hAnsi="David" w:cs="David" w:hint="cs"/>
          <w:sz w:val="24"/>
          <w:szCs w:val="24"/>
          <w:rtl/>
        </w:rPr>
        <w:t xml:space="preserve">תשעה מתוכם בעבירות סחר בסם מסוכן, ואחד בעבירת החזקת סם מסוכן שלא לצריכה עצמית. </w:t>
      </w:r>
      <w:r w:rsidRPr="0073344D">
        <w:rPr>
          <w:rFonts w:ascii="David" w:hAnsi="David" w:cs="David"/>
          <w:sz w:val="24"/>
          <w:szCs w:val="24"/>
          <w:rtl/>
        </w:rPr>
        <w:t xml:space="preserve">מדובר </w:t>
      </w:r>
      <w:r>
        <w:rPr>
          <w:rFonts w:ascii="David" w:hAnsi="David" w:cs="David" w:hint="cs"/>
          <w:sz w:val="24"/>
          <w:szCs w:val="24"/>
          <w:rtl/>
        </w:rPr>
        <w:t>במעשים</w:t>
      </w:r>
      <w:r w:rsidRPr="0073344D">
        <w:rPr>
          <w:rFonts w:ascii="David" w:hAnsi="David" w:cs="David"/>
          <w:sz w:val="24"/>
          <w:szCs w:val="24"/>
          <w:rtl/>
        </w:rPr>
        <w:t xml:space="preserve"> שונים זה מזה</w:t>
      </w:r>
      <w:r>
        <w:rPr>
          <w:rFonts w:ascii="David" w:hAnsi="David" w:cs="David" w:hint="cs"/>
          <w:sz w:val="24"/>
          <w:szCs w:val="24"/>
          <w:rtl/>
        </w:rPr>
        <w:t>,</w:t>
      </w:r>
      <w:r w:rsidRPr="0073344D">
        <w:rPr>
          <w:rFonts w:ascii="David" w:hAnsi="David" w:cs="David"/>
          <w:sz w:val="24"/>
          <w:szCs w:val="24"/>
          <w:rtl/>
        </w:rPr>
        <w:t xml:space="preserve"> אשר התרחשו </w:t>
      </w:r>
      <w:r>
        <w:rPr>
          <w:rFonts w:ascii="David" w:hAnsi="David" w:cs="David" w:hint="cs"/>
          <w:sz w:val="24"/>
          <w:szCs w:val="24"/>
          <w:rtl/>
        </w:rPr>
        <w:t>במועדים שונים</w:t>
      </w:r>
      <w:r w:rsidRPr="0073344D">
        <w:rPr>
          <w:rFonts w:ascii="David" w:hAnsi="David" w:cs="David"/>
          <w:sz w:val="24"/>
          <w:szCs w:val="24"/>
          <w:rtl/>
        </w:rPr>
        <w:t xml:space="preserve">, </w:t>
      </w:r>
      <w:r>
        <w:rPr>
          <w:rFonts w:ascii="David" w:hAnsi="David" w:cs="David" w:hint="cs"/>
          <w:sz w:val="24"/>
          <w:szCs w:val="24"/>
          <w:rtl/>
        </w:rPr>
        <w:t xml:space="preserve">גם אם על פני פרק זמן של כשבועיים ימים. בהתאם למבחן </w:t>
      </w:r>
      <w:r w:rsidRPr="000D493D">
        <w:rPr>
          <w:rFonts w:ascii="David" w:hAnsi="David" w:cs="David" w:hint="cs"/>
          <w:b/>
          <w:bCs/>
          <w:sz w:val="24"/>
          <w:szCs w:val="24"/>
          <w:rtl/>
        </w:rPr>
        <w:t>הצורני-עובדתי</w:t>
      </w:r>
      <w:r>
        <w:rPr>
          <w:rFonts w:ascii="David" w:hAnsi="David" w:cs="David" w:hint="cs"/>
          <w:sz w:val="24"/>
          <w:szCs w:val="24"/>
          <w:rtl/>
        </w:rPr>
        <w:t xml:space="preserve"> לא מדובר בפעולה נמשכת אחת שלא ניתן לפצלה לתת-פעולות. ובהתאם למבחן </w:t>
      </w:r>
      <w:r w:rsidRPr="000D493D">
        <w:rPr>
          <w:rFonts w:ascii="David" w:hAnsi="David" w:cs="David" w:hint="cs"/>
          <w:b/>
          <w:bCs/>
          <w:sz w:val="24"/>
          <w:szCs w:val="24"/>
          <w:rtl/>
        </w:rPr>
        <w:t>המהותי-מוסרי</w:t>
      </w:r>
      <w:r>
        <w:rPr>
          <w:rFonts w:ascii="David" w:hAnsi="David" w:cs="David" w:hint="cs"/>
          <w:sz w:val="24"/>
          <w:szCs w:val="24"/>
          <w:rtl/>
        </w:rPr>
        <w:t xml:space="preserve"> קיימים מספר קורבנות שונים לעבירה. אשר על כן, נראה כי וודאי מדובר במעשים נפרדים. ראו למשל </w:t>
      </w:r>
      <w:hyperlink r:id="rId19" w:history="1">
        <w:r w:rsidR="009744BD" w:rsidRPr="009744BD">
          <w:rPr>
            <w:rFonts w:ascii="David" w:hAnsi="David" w:cs="David"/>
            <w:color w:val="0000FF"/>
            <w:sz w:val="24"/>
            <w:szCs w:val="24"/>
            <w:u w:val="single"/>
            <w:rtl/>
          </w:rPr>
          <w:t>ע"פ 245/15</w:t>
        </w:r>
      </w:hyperlink>
      <w:r>
        <w:rPr>
          <w:rFonts w:ascii="David" w:hAnsi="David" w:cs="David" w:hint="cs"/>
          <w:sz w:val="24"/>
          <w:szCs w:val="24"/>
          <w:rtl/>
        </w:rPr>
        <w:t xml:space="preserve"> </w:t>
      </w:r>
      <w:r w:rsidRPr="000D493D">
        <w:rPr>
          <w:rFonts w:ascii="David" w:hAnsi="David" w:cs="David" w:hint="cs"/>
          <w:b/>
          <w:bCs/>
          <w:sz w:val="24"/>
          <w:szCs w:val="24"/>
          <w:rtl/>
        </w:rPr>
        <w:t xml:space="preserve">חיימוב נ' מדינת ישראל. </w:t>
      </w:r>
    </w:p>
    <w:p w14:paraId="4B171366" w14:textId="77777777" w:rsidR="00FF78AA" w:rsidRDefault="00FF78AA" w:rsidP="00FF78AA">
      <w:pPr>
        <w:pStyle w:val="aa"/>
        <w:spacing w:after="0" w:line="360" w:lineRule="auto"/>
        <w:ind w:left="360"/>
        <w:jc w:val="both"/>
        <w:rPr>
          <w:rFonts w:ascii="David" w:hAnsi="David" w:cs="David"/>
          <w:sz w:val="24"/>
          <w:szCs w:val="24"/>
        </w:rPr>
      </w:pPr>
    </w:p>
    <w:p w14:paraId="4F5017FB" w14:textId="77777777" w:rsidR="00FF78AA" w:rsidRDefault="00FF78AA" w:rsidP="00FF78AA">
      <w:pPr>
        <w:pStyle w:val="aa"/>
        <w:numPr>
          <w:ilvl w:val="0"/>
          <w:numId w:val="1"/>
        </w:numPr>
        <w:spacing w:after="0" w:line="360" w:lineRule="auto"/>
        <w:ind w:left="360"/>
        <w:jc w:val="both"/>
        <w:rPr>
          <w:rFonts w:ascii="David" w:hAnsi="David" w:cs="David"/>
          <w:sz w:val="24"/>
          <w:szCs w:val="24"/>
        </w:rPr>
      </w:pPr>
      <w:r>
        <w:rPr>
          <w:rFonts w:ascii="David" w:hAnsi="David" w:cs="David" w:hint="cs"/>
          <w:sz w:val="24"/>
          <w:szCs w:val="24"/>
          <w:rtl/>
        </w:rPr>
        <w:t>משקבעתי כי מדובר במעשים נפרדים יש לבחון האם מדובר באירוע אחד או באירועים נפרדים. ב</w:t>
      </w:r>
      <w:hyperlink r:id="rId20" w:history="1">
        <w:r w:rsidR="009744BD" w:rsidRPr="009744BD">
          <w:rPr>
            <w:rFonts w:ascii="David" w:hAnsi="David" w:cs="David"/>
            <w:color w:val="0000FF"/>
            <w:sz w:val="24"/>
            <w:szCs w:val="24"/>
            <w:u w:val="single"/>
            <w:rtl/>
          </w:rPr>
          <w:t>ע"פ 4910/13</w:t>
        </w:r>
      </w:hyperlink>
      <w:r w:rsidRPr="0073344D">
        <w:rPr>
          <w:rFonts w:ascii="David" w:hAnsi="David" w:cs="David"/>
          <w:sz w:val="24"/>
          <w:szCs w:val="24"/>
          <w:rtl/>
        </w:rPr>
        <w:t xml:space="preserve">  </w:t>
      </w:r>
      <w:r w:rsidRPr="0073344D">
        <w:rPr>
          <w:rFonts w:ascii="David" w:hAnsi="David" w:cs="David"/>
          <w:b/>
          <w:bCs/>
          <w:sz w:val="24"/>
          <w:szCs w:val="24"/>
          <w:rtl/>
        </w:rPr>
        <w:t>ג'אבר נ' מדינת ישראל</w:t>
      </w:r>
      <w:r>
        <w:rPr>
          <w:rFonts w:ascii="David" w:hAnsi="David" w:cs="David" w:hint="cs"/>
          <w:sz w:val="24"/>
          <w:szCs w:val="24"/>
          <w:rtl/>
        </w:rPr>
        <w:t xml:space="preserve"> נקבע כי עבירות שיש ביניהן "</w:t>
      </w:r>
      <w:r w:rsidRPr="00835EFB">
        <w:rPr>
          <w:rFonts w:ascii="David" w:hAnsi="David" w:cs="David" w:hint="cs"/>
          <w:b/>
          <w:bCs/>
          <w:sz w:val="24"/>
          <w:szCs w:val="24"/>
          <w:rtl/>
        </w:rPr>
        <w:t>קשר ענייני הדוק</w:t>
      </w:r>
      <w:r>
        <w:rPr>
          <w:rFonts w:ascii="David" w:hAnsi="David" w:cs="David" w:hint="cs"/>
          <w:sz w:val="24"/>
          <w:szCs w:val="24"/>
          <w:rtl/>
        </w:rPr>
        <w:t>" ואשר ניתן להשקיף עליהן כעל "</w:t>
      </w:r>
      <w:r w:rsidRPr="00835EFB">
        <w:rPr>
          <w:rFonts w:ascii="David" w:hAnsi="David" w:cs="David" w:hint="cs"/>
          <w:b/>
          <w:bCs/>
          <w:sz w:val="24"/>
          <w:szCs w:val="24"/>
          <w:rtl/>
        </w:rPr>
        <w:t>מסכת עבריינית אחת"</w:t>
      </w:r>
      <w:r>
        <w:rPr>
          <w:rFonts w:ascii="David" w:hAnsi="David" w:cs="David" w:hint="cs"/>
          <w:sz w:val="24"/>
          <w:szCs w:val="24"/>
          <w:rtl/>
        </w:rPr>
        <w:t xml:space="preserve">, ייחשבו לאירוע אחד. </w:t>
      </w:r>
    </w:p>
    <w:p w14:paraId="4EB4CF8D" w14:textId="77777777" w:rsidR="00FF78AA" w:rsidRDefault="00FF78AA" w:rsidP="00FF78AA">
      <w:pPr>
        <w:pStyle w:val="aa"/>
        <w:rPr>
          <w:rFonts w:ascii="David" w:hAnsi="David" w:cs="David"/>
          <w:sz w:val="24"/>
          <w:szCs w:val="24"/>
          <w:rtl/>
        </w:rPr>
      </w:pPr>
    </w:p>
    <w:p w14:paraId="098B261F" w14:textId="77777777" w:rsidR="00FF78AA" w:rsidRDefault="00FF78AA" w:rsidP="00FF78AA">
      <w:pPr>
        <w:pStyle w:val="aa"/>
        <w:numPr>
          <w:ilvl w:val="0"/>
          <w:numId w:val="1"/>
        </w:numPr>
        <w:spacing w:after="0" w:line="360" w:lineRule="auto"/>
        <w:ind w:left="360"/>
        <w:jc w:val="both"/>
        <w:rPr>
          <w:rFonts w:ascii="David" w:hAnsi="David" w:cs="David"/>
          <w:sz w:val="24"/>
          <w:szCs w:val="24"/>
        </w:rPr>
      </w:pPr>
      <w:r>
        <w:rPr>
          <w:rFonts w:ascii="Times New Roman" w:hAnsi="Times New Roman" w:cs="David" w:hint="cs"/>
          <w:sz w:val="24"/>
          <w:szCs w:val="24"/>
          <w:rtl/>
        </w:rPr>
        <w:t>בפסיקה נקבעו מבחני עזר למבחן הקשר ההדוק, ובין השאר: "</w:t>
      </w:r>
      <w:r w:rsidRPr="00835EFB">
        <w:rPr>
          <w:rFonts w:ascii="Times New Roman" w:hAnsi="Times New Roman" w:cs="David" w:hint="cs"/>
          <w:b/>
          <w:bCs/>
          <w:sz w:val="24"/>
          <w:szCs w:val="24"/>
          <w:rtl/>
        </w:rPr>
        <w:t xml:space="preserve">האם ביצוען של העבירות מאופיין בתכנון; האם ניתן להצביע על שיטתיות בביצוע העבירות; </w:t>
      </w:r>
      <w:r w:rsidRPr="00835EFB">
        <w:rPr>
          <w:rFonts w:ascii="David" w:hAnsi="David" w:cs="David" w:hint="cs"/>
          <w:b/>
          <w:bCs/>
          <w:sz w:val="24"/>
          <w:szCs w:val="24"/>
          <w:rtl/>
        </w:rPr>
        <w:t>האם</w:t>
      </w:r>
      <w:r w:rsidRPr="00835EFB">
        <w:rPr>
          <w:rFonts w:ascii="Times New Roman" w:hAnsi="Times New Roman" w:cs="David" w:hint="cs"/>
          <w:b/>
          <w:bCs/>
          <w:sz w:val="24"/>
          <w:szCs w:val="24"/>
          <w:rtl/>
        </w:rPr>
        <w:t xml:space="preserve"> העבירות התרחשו בסמיכות של זמן או מקום; האם ביצועה של עבירה אחת נועד לאפשר את ביצועה של העבירה האחרת או את ההימלטות לאחר ביצועה, וכיוצא באלו נסיבות עובדתיות</w:t>
      </w:r>
      <w:r>
        <w:rPr>
          <w:rFonts w:ascii="Times New Roman" w:hAnsi="Times New Roman" w:cs="David" w:hint="cs"/>
          <w:sz w:val="24"/>
          <w:szCs w:val="24"/>
          <w:rtl/>
        </w:rPr>
        <w:t>. "</w:t>
      </w:r>
      <w:r>
        <w:rPr>
          <w:rFonts w:ascii="David" w:hAnsi="David" w:cs="David" w:hint="cs"/>
          <w:sz w:val="24"/>
          <w:szCs w:val="24"/>
          <w:rtl/>
        </w:rPr>
        <w:t xml:space="preserve"> ראו </w:t>
      </w:r>
      <w:hyperlink r:id="rId21" w:history="1">
        <w:r w:rsidR="009744BD" w:rsidRPr="009744BD">
          <w:rPr>
            <w:rFonts w:ascii="David" w:hAnsi="David" w:cs="David"/>
            <w:color w:val="0000FF"/>
            <w:sz w:val="24"/>
            <w:szCs w:val="24"/>
            <w:u w:val="single"/>
            <w:rtl/>
          </w:rPr>
          <w:t>ע"פ 1261/15</w:t>
        </w:r>
      </w:hyperlink>
      <w:r>
        <w:rPr>
          <w:rFonts w:ascii="David" w:hAnsi="David" w:cs="David" w:hint="cs"/>
          <w:sz w:val="24"/>
          <w:szCs w:val="24"/>
          <w:rtl/>
        </w:rPr>
        <w:t xml:space="preserve"> </w:t>
      </w:r>
      <w:r w:rsidRPr="00835EFB">
        <w:rPr>
          <w:rFonts w:ascii="David" w:hAnsi="David" w:cs="David" w:hint="cs"/>
          <w:b/>
          <w:bCs/>
          <w:sz w:val="24"/>
          <w:szCs w:val="24"/>
          <w:rtl/>
        </w:rPr>
        <w:t>מדינת ישראל נ' דלאל</w:t>
      </w:r>
      <w:r>
        <w:rPr>
          <w:rFonts w:ascii="David" w:hAnsi="David" w:cs="David" w:hint="cs"/>
          <w:b/>
          <w:bCs/>
          <w:sz w:val="24"/>
          <w:szCs w:val="24"/>
          <w:rtl/>
        </w:rPr>
        <w:t xml:space="preserve">. </w:t>
      </w:r>
      <w:r>
        <w:rPr>
          <w:rFonts w:ascii="David" w:hAnsi="David" w:cs="David" w:hint="cs"/>
          <w:sz w:val="24"/>
          <w:szCs w:val="24"/>
          <w:rtl/>
        </w:rPr>
        <w:t xml:space="preserve">בענייננו, כל אחת מן העבירות בוצעה תוך תכנון נפרד ועצמאי. העבירות לא התרחשו בסמיכות של זמן, וקיים פער של לפחות יום בין כל עבירה. כמו כן, העבירה האחת לא נועדה לאפשר את ביצוע האחרות. כמו כן, העבירות לא נובעות האחת מן השנייה.  </w:t>
      </w:r>
    </w:p>
    <w:p w14:paraId="3A423B32" w14:textId="77777777" w:rsidR="00FF78AA" w:rsidRDefault="00FF78AA" w:rsidP="00FF78AA">
      <w:pPr>
        <w:pStyle w:val="aa"/>
        <w:rPr>
          <w:rFonts w:ascii="David" w:hAnsi="David" w:cs="David"/>
          <w:sz w:val="24"/>
          <w:szCs w:val="24"/>
          <w:rtl/>
        </w:rPr>
      </w:pPr>
    </w:p>
    <w:p w14:paraId="19E5AF07" w14:textId="77777777" w:rsidR="00FF78AA" w:rsidRPr="00EF7A19" w:rsidRDefault="00FF78AA" w:rsidP="00FF78AA">
      <w:pPr>
        <w:pStyle w:val="aa"/>
        <w:numPr>
          <w:ilvl w:val="0"/>
          <w:numId w:val="1"/>
        </w:numPr>
        <w:spacing w:after="0" w:line="360" w:lineRule="auto"/>
        <w:ind w:left="360"/>
        <w:jc w:val="both"/>
        <w:rPr>
          <w:rFonts w:ascii="David" w:hAnsi="David" w:cs="David"/>
          <w:sz w:val="24"/>
          <w:szCs w:val="24"/>
        </w:rPr>
      </w:pPr>
      <w:r w:rsidRPr="00EF7A19">
        <w:rPr>
          <w:rFonts w:ascii="David" w:hAnsi="David" w:cs="David" w:hint="cs"/>
          <w:sz w:val="24"/>
          <w:szCs w:val="24"/>
          <w:rtl/>
        </w:rPr>
        <w:t xml:space="preserve">מבחן הקשר ההדוק אינו חף מביקורת משום שהוא מרחיב את שיקול הדעת השיפוטי באופן העלול לפגוע במידת האשם המוגברת הנובעת מביצוע מעשים שונים מרוחקים בזמן, ואף בעקרון אחידות הענישה והוא אף מתרחק מהפרשנות המילולית הטבעית של המילה אירוע. לביקורת על כך ראו תזכיר </w:t>
      </w:r>
      <w:hyperlink r:id="rId22" w:history="1">
        <w:r w:rsidR="009744BD" w:rsidRPr="009744BD">
          <w:rPr>
            <w:rFonts w:ascii="David" w:hAnsi="David" w:cs="David"/>
            <w:color w:val="0000FF"/>
            <w:sz w:val="24"/>
            <w:szCs w:val="24"/>
            <w:u w:val="single"/>
            <w:rtl/>
          </w:rPr>
          <w:t>חוק העונשין</w:t>
        </w:r>
      </w:hyperlink>
      <w:r w:rsidRPr="00EF7A19">
        <w:rPr>
          <w:rFonts w:ascii="David" w:hAnsi="David" w:cs="David" w:hint="cs"/>
          <w:sz w:val="24"/>
          <w:szCs w:val="24"/>
          <w:rtl/>
        </w:rPr>
        <w:t xml:space="preserve"> (הבניית שיקול הדעת השיפוטי בענישה </w:t>
      </w:r>
      <w:r w:rsidRPr="00EF7A19">
        <w:rPr>
          <w:rFonts w:ascii="David" w:hAnsi="David" w:cs="David"/>
          <w:sz w:val="24"/>
          <w:szCs w:val="24"/>
          <w:rtl/>
        </w:rPr>
        <w:t>–</w:t>
      </w:r>
      <w:r w:rsidRPr="00EF7A19">
        <w:rPr>
          <w:rFonts w:ascii="David" w:hAnsi="David" w:cs="David" w:hint="cs"/>
          <w:sz w:val="24"/>
          <w:szCs w:val="24"/>
          <w:rtl/>
        </w:rPr>
        <w:t xml:space="preserve"> תיקונים שונים) התשע"ו-2015. אך לטעמי הקושי העיקרי הוא שבעוד פרשנות מילוליות של המילה "אירוע" יכולה להכיל מספר מעשים של שודד, שברח משוטרים ובסוף המרדף אף תקף שוטר, הרי שהמילה אירוע אינה יכולה להתיישב מילולית, ככל שתהפוך בה, עם 10 עסקאות סם שבוצעו בימים שונים אל מול אנשים שונים.  ובעניין זה </w:t>
      </w:r>
      <w:r>
        <w:rPr>
          <w:rFonts w:ascii="David" w:hAnsi="David" w:cs="David" w:hint="cs"/>
          <w:sz w:val="24"/>
          <w:szCs w:val="24"/>
          <w:rtl/>
        </w:rPr>
        <w:t xml:space="preserve">ממש, </w:t>
      </w:r>
      <w:r w:rsidRPr="00EF7A19">
        <w:rPr>
          <w:rFonts w:ascii="David" w:hAnsi="David" w:cs="David" w:hint="cs"/>
          <w:sz w:val="24"/>
          <w:szCs w:val="24"/>
          <w:rtl/>
        </w:rPr>
        <w:t xml:space="preserve">ראו למשל </w:t>
      </w:r>
      <w:hyperlink r:id="rId23" w:history="1">
        <w:r w:rsidR="009744BD" w:rsidRPr="009744BD">
          <w:rPr>
            <w:rFonts w:cs="David" w:hint="cs"/>
            <w:color w:val="0000FF"/>
            <w:sz w:val="24"/>
            <w:szCs w:val="24"/>
            <w:u w:val="single"/>
            <w:rtl/>
          </w:rPr>
          <w:t>רע</w:t>
        </w:r>
        <w:r w:rsidR="009744BD" w:rsidRPr="009744BD">
          <w:rPr>
            <w:rFonts w:cs="David"/>
            <w:color w:val="0000FF"/>
            <w:sz w:val="24"/>
            <w:szCs w:val="24"/>
            <w:u w:val="single"/>
            <w:rtl/>
          </w:rPr>
          <w:t>"</w:t>
        </w:r>
        <w:r w:rsidR="009744BD" w:rsidRPr="009744BD">
          <w:rPr>
            <w:rFonts w:cs="David" w:hint="cs"/>
            <w:color w:val="0000FF"/>
            <w:sz w:val="24"/>
            <w:szCs w:val="24"/>
            <w:u w:val="single"/>
            <w:rtl/>
          </w:rPr>
          <w:t>פ</w:t>
        </w:r>
        <w:r w:rsidR="009744BD" w:rsidRPr="009744BD">
          <w:rPr>
            <w:rFonts w:cs="David"/>
            <w:color w:val="0000FF"/>
            <w:sz w:val="24"/>
            <w:szCs w:val="24"/>
            <w:u w:val="single"/>
            <w:rtl/>
          </w:rPr>
          <w:t xml:space="preserve"> 126/15</w:t>
        </w:r>
      </w:hyperlink>
      <w:r w:rsidRPr="00EF7A19">
        <w:rPr>
          <w:rFonts w:cs="David" w:hint="cs"/>
          <w:sz w:val="24"/>
          <w:szCs w:val="24"/>
          <w:rtl/>
        </w:rPr>
        <w:t xml:space="preserve"> </w:t>
      </w:r>
      <w:r w:rsidRPr="00EF7A19">
        <w:rPr>
          <w:rFonts w:cs="David" w:hint="cs"/>
          <w:b/>
          <w:bCs/>
          <w:sz w:val="24"/>
          <w:szCs w:val="24"/>
          <w:rtl/>
        </w:rPr>
        <w:t xml:space="preserve">חביף </w:t>
      </w:r>
      <w:r>
        <w:rPr>
          <w:rFonts w:cs="David" w:hint="cs"/>
          <w:b/>
          <w:bCs/>
          <w:sz w:val="24"/>
          <w:szCs w:val="24"/>
          <w:rtl/>
        </w:rPr>
        <w:t>נ'</w:t>
      </w:r>
      <w:r w:rsidRPr="00EF7A19">
        <w:rPr>
          <w:rFonts w:cs="David" w:hint="cs"/>
          <w:b/>
          <w:bCs/>
          <w:sz w:val="24"/>
          <w:szCs w:val="24"/>
          <w:rtl/>
        </w:rPr>
        <w:t xml:space="preserve"> מדינת ישראל</w:t>
      </w:r>
      <w:r w:rsidRPr="00EF7A19">
        <w:rPr>
          <w:rFonts w:ascii="David" w:hAnsi="David" w:cs="David" w:hint="cs"/>
          <w:sz w:val="24"/>
          <w:szCs w:val="24"/>
          <w:rtl/>
        </w:rPr>
        <w:t>, שם נקבע מתחם לכל אחת משלוש עבירות הסחר בסם</w:t>
      </w:r>
      <w:r>
        <w:rPr>
          <w:rFonts w:ascii="David" w:hAnsi="David" w:cs="David" w:hint="cs"/>
          <w:sz w:val="24"/>
          <w:szCs w:val="24"/>
          <w:rtl/>
        </w:rPr>
        <w:t>,</w:t>
      </w:r>
      <w:r w:rsidRPr="00EF7A19">
        <w:rPr>
          <w:rFonts w:ascii="David" w:hAnsi="David" w:cs="David" w:hint="cs"/>
          <w:sz w:val="24"/>
          <w:szCs w:val="24"/>
          <w:rtl/>
        </w:rPr>
        <w:t xml:space="preserve"> על אף שהסם נמכר לסוכן משטרתי.</w:t>
      </w:r>
    </w:p>
    <w:p w14:paraId="1B786C6C" w14:textId="77777777" w:rsidR="00FF78AA" w:rsidRDefault="00FF78AA" w:rsidP="00FF78AA">
      <w:pPr>
        <w:pStyle w:val="aa"/>
        <w:rPr>
          <w:rFonts w:ascii="David" w:hAnsi="David" w:cs="David"/>
          <w:sz w:val="24"/>
          <w:szCs w:val="24"/>
          <w:rtl/>
        </w:rPr>
      </w:pPr>
    </w:p>
    <w:p w14:paraId="75E42CA5" w14:textId="77777777" w:rsidR="00FF78AA" w:rsidRDefault="00FF78AA" w:rsidP="00FF78AA">
      <w:pPr>
        <w:pStyle w:val="aa"/>
        <w:numPr>
          <w:ilvl w:val="0"/>
          <w:numId w:val="1"/>
        </w:numPr>
        <w:spacing w:after="0" w:line="360" w:lineRule="auto"/>
        <w:ind w:left="360"/>
        <w:jc w:val="both"/>
        <w:rPr>
          <w:rFonts w:ascii="David" w:hAnsi="David" w:cs="David"/>
          <w:sz w:val="24"/>
          <w:szCs w:val="24"/>
        </w:rPr>
      </w:pPr>
      <w:r>
        <w:rPr>
          <w:rFonts w:ascii="David" w:hAnsi="David" w:cs="David" w:hint="cs"/>
          <w:sz w:val="24"/>
          <w:szCs w:val="24"/>
          <w:rtl/>
        </w:rPr>
        <w:t xml:space="preserve">נתון חשוב נוסף הוא קיומם של קורבנות שונים בכל אחד מן האישומים. </w:t>
      </w:r>
      <w:r w:rsidRPr="00053C89">
        <w:rPr>
          <w:rFonts w:ascii="David" w:hAnsi="David" w:cs="David"/>
          <w:sz w:val="24"/>
          <w:szCs w:val="24"/>
          <w:rtl/>
        </w:rPr>
        <w:t>בפסיקה נקבע כי: "</w:t>
      </w:r>
      <w:r w:rsidRPr="00053C89">
        <w:rPr>
          <w:rFonts w:ascii="David" w:hAnsi="David" w:cs="David"/>
          <w:b/>
          <w:bCs/>
          <w:sz w:val="24"/>
          <w:szCs w:val="24"/>
          <w:rtl/>
        </w:rPr>
        <w:t>כאשר בפני בית המשפט מספר מעשי עבירה, באישומים שונים, כלפי קורבנות שונים, אף אם יש בו קווי אפיון דומים – מדובר ב"מספר אירועים" שיש לקבוע להם מתחמי עונש הולמים נפרדים</w:t>
      </w:r>
      <w:r w:rsidRPr="00053C89">
        <w:rPr>
          <w:rFonts w:ascii="David" w:hAnsi="David" w:cs="David"/>
          <w:sz w:val="24"/>
          <w:szCs w:val="24"/>
          <w:rtl/>
        </w:rPr>
        <w:t xml:space="preserve">." ראו למשל </w:t>
      </w:r>
      <w:hyperlink r:id="rId24" w:history="1">
        <w:r w:rsidR="009744BD" w:rsidRPr="009744BD">
          <w:rPr>
            <w:rFonts w:ascii="David" w:hAnsi="David" w:cs="David"/>
            <w:color w:val="0000FF"/>
            <w:sz w:val="24"/>
            <w:szCs w:val="24"/>
            <w:u w:val="single"/>
            <w:rtl/>
          </w:rPr>
          <w:t>ע"פ 1605/13</w:t>
        </w:r>
      </w:hyperlink>
      <w:r w:rsidRPr="00053C89">
        <w:rPr>
          <w:rFonts w:ascii="David" w:hAnsi="David" w:cs="David"/>
          <w:sz w:val="24"/>
          <w:szCs w:val="24"/>
          <w:rtl/>
        </w:rPr>
        <w:t xml:space="preserve"> </w:t>
      </w:r>
      <w:r w:rsidRPr="00053C89">
        <w:rPr>
          <w:rFonts w:ascii="David" w:hAnsi="David" w:cs="David"/>
          <w:b/>
          <w:bCs/>
          <w:sz w:val="24"/>
          <w:szCs w:val="24"/>
          <w:rtl/>
        </w:rPr>
        <w:t>פלוני נ' מדינת ישראל</w:t>
      </w:r>
      <w:r w:rsidRPr="00053C89">
        <w:rPr>
          <w:rFonts w:ascii="David" w:hAnsi="David" w:cs="David"/>
          <w:sz w:val="24"/>
          <w:szCs w:val="24"/>
          <w:rtl/>
        </w:rPr>
        <w:t xml:space="preserve"> והדברים נכונים אף מקום בו יש </w:t>
      </w:r>
      <w:r w:rsidRPr="00053C89">
        <w:rPr>
          <w:rFonts w:ascii="David" w:hAnsi="David" w:cs="David" w:hint="cs"/>
          <w:sz w:val="24"/>
          <w:szCs w:val="24"/>
          <w:rtl/>
        </w:rPr>
        <w:t>דמיון</w:t>
      </w:r>
      <w:r w:rsidRPr="00053C89">
        <w:rPr>
          <w:rFonts w:ascii="David" w:hAnsi="David" w:cs="David"/>
          <w:sz w:val="24"/>
          <w:szCs w:val="24"/>
          <w:rtl/>
        </w:rPr>
        <w:t xml:space="preserve"> </w:t>
      </w:r>
      <w:r>
        <w:rPr>
          <w:rFonts w:ascii="David" w:hAnsi="David" w:cs="David"/>
          <w:sz w:val="24"/>
          <w:szCs w:val="24"/>
          <w:rtl/>
        </w:rPr>
        <w:t>באופיים של המעשים</w:t>
      </w:r>
      <w:r w:rsidRPr="00053C89">
        <w:rPr>
          <w:rFonts w:ascii="David" w:hAnsi="David" w:cs="David"/>
          <w:sz w:val="24"/>
          <w:szCs w:val="24"/>
          <w:rtl/>
        </w:rPr>
        <w:t xml:space="preserve">. ראו למשל ע"פ </w:t>
      </w:r>
      <w:hyperlink r:id="rId25" w:history="1">
        <w:r w:rsidR="00D10613" w:rsidRPr="00D10613">
          <w:rPr>
            <w:rFonts w:ascii="David" w:hAnsi="David" w:cs="David"/>
            <w:color w:val="0000FF"/>
            <w:sz w:val="24"/>
            <w:szCs w:val="24"/>
            <w:u w:val="single"/>
            <w:rtl/>
          </w:rPr>
          <w:t xml:space="preserve">319/17 </w:t>
        </w:r>
      </w:hyperlink>
      <w:r w:rsidRPr="00053C89">
        <w:rPr>
          <w:rFonts w:ascii="David" w:hAnsi="David" w:cs="David"/>
          <w:sz w:val="24"/>
          <w:szCs w:val="24"/>
          <w:rtl/>
        </w:rPr>
        <w:t xml:space="preserve"> </w:t>
      </w:r>
      <w:r w:rsidRPr="00053C89">
        <w:rPr>
          <w:rFonts w:ascii="David" w:hAnsi="David" w:cs="David"/>
          <w:b/>
          <w:bCs/>
          <w:sz w:val="24"/>
          <w:szCs w:val="24"/>
          <w:rtl/>
        </w:rPr>
        <w:t>פלוני נ' מדינת ישראל</w:t>
      </w:r>
      <w:r w:rsidRPr="00053C89">
        <w:rPr>
          <w:rFonts w:ascii="David" w:hAnsi="David" w:cs="David"/>
          <w:sz w:val="24"/>
          <w:szCs w:val="24"/>
          <w:rtl/>
        </w:rPr>
        <w:t>.</w:t>
      </w:r>
      <w:r>
        <w:rPr>
          <w:rFonts w:ascii="David" w:hAnsi="David" w:cs="David" w:hint="cs"/>
          <w:sz w:val="24"/>
          <w:szCs w:val="24"/>
          <w:rtl/>
        </w:rPr>
        <w:t xml:space="preserve">  </w:t>
      </w:r>
    </w:p>
    <w:p w14:paraId="4D91A5BC" w14:textId="77777777" w:rsidR="00FF78AA" w:rsidRDefault="00FF78AA" w:rsidP="00FF78AA">
      <w:pPr>
        <w:pStyle w:val="aa"/>
        <w:rPr>
          <w:rFonts w:ascii="David" w:hAnsi="David" w:cs="David"/>
          <w:sz w:val="24"/>
          <w:szCs w:val="24"/>
          <w:rtl/>
        </w:rPr>
      </w:pPr>
    </w:p>
    <w:p w14:paraId="678FF76F" w14:textId="77777777" w:rsidR="00FF78AA" w:rsidRPr="00D90AA8" w:rsidRDefault="00FF78AA" w:rsidP="00FF78AA">
      <w:pPr>
        <w:pStyle w:val="aa"/>
        <w:numPr>
          <w:ilvl w:val="0"/>
          <w:numId w:val="1"/>
        </w:numPr>
        <w:spacing w:after="0" w:line="360" w:lineRule="auto"/>
        <w:ind w:left="360"/>
        <w:jc w:val="both"/>
        <w:rPr>
          <w:rFonts w:ascii="David" w:hAnsi="David" w:cs="David"/>
          <w:sz w:val="24"/>
          <w:szCs w:val="24"/>
        </w:rPr>
      </w:pPr>
      <w:r w:rsidRPr="00D90AA8">
        <w:rPr>
          <w:rFonts w:ascii="David" w:hAnsi="David" w:cs="David" w:hint="cs"/>
          <w:sz w:val="24"/>
          <w:szCs w:val="24"/>
          <w:rtl/>
        </w:rPr>
        <w:t xml:space="preserve">בענייננו, אם כן ניתוח כלל הנסיבות מוביל למסקנה כי </w:t>
      </w:r>
      <w:r>
        <w:rPr>
          <w:rFonts w:ascii="David" w:hAnsi="David" w:cs="David" w:hint="cs"/>
          <w:sz w:val="24"/>
          <w:szCs w:val="24"/>
          <w:rtl/>
        </w:rPr>
        <w:t>מבחן הקשר ההדוק לא מתקיים</w:t>
      </w:r>
      <w:r w:rsidRPr="00D90AA8">
        <w:rPr>
          <w:rFonts w:ascii="David" w:hAnsi="David" w:cs="David" w:hint="cs"/>
          <w:sz w:val="24"/>
          <w:szCs w:val="24"/>
          <w:rtl/>
        </w:rPr>
        <w:t xml:space="preserve">. לפיכך, לא אוכל לקבל את עמדת הצדדים ואקבע מתחם נפרד לכל אחת מן העבירות. </w:t>
      </w:r>
      <w:r>
        <w:rPr>
          <w:rFonts w:ascii="David" w:hAnsi="David" w:cs="David" w:hint="cs"/>
          <w:sz w:val="24"/>
          <w:szCs w:val="24"/>
          <w:rtl/>
        </w:rPr>
        <w:t xml:space="preserve"> </w:t>
      </w:r>
    </w:p>
    <w:p w14:paraId="19144ADF" w14:textId="77777777" w:rsidR="00FF78AA" w:rsidRDefault="00FF78AA" w:rsidP="00FF78AA">
      <w:pPr>
        <w:pStyle w:val="aa"/>
        <w:rPr>
          <w:rFonts w:ascii="David" w:hAnsi="David" w:cs="David"/>
          <w:sz w:val="24"/>
          <w:szCs w:val="24"/>
          <w:rtl/>
        </w:rPr>
      </w:pPr>
    </w:p>
    <w:p w14:paraId="3A8915EB" w14:textId="77777777" w:rsidR="00FF78AA" w:rsidRPr="001A32F2" w:rsidRDefault="00FF78AA" w:rsidP="00FF78AA">
      <w:pPr>
        <w:pStyle w:val="aa"/>
        <w:numPr>
          <w:ilvl w:val="0"/>
          <w:numId w:val="1"/>
        </w:numPr>
        <w:spacing w:after="0" w:line="360" w:lineRule="auto"/>
        <w:ind w:left="360"/>
        <w:jc w:val="both"/>
        <w:rPr>
          <w:rFonts w:ascii="David" w:eastAsia="Times New Roman" w:hAnsi="David" w:cs="David"/>
          <w:sz w:val="24"/>
          <w:szCs w:val="24"/>
          <w:u w:val="single"/>
        </w:rPr>
      </w:pPr>
      <w:r w:rsidRPr="001A32F2">
        <w:rPr>
          <w:rFonts w:ascii="David" w:hAnsi="David" w:cs="David"/>
          <w:sz w:val="24"/>
          <w:szCs w:val="24"/>
          <w:rtl/>
        </w:rPr>
        <w:t xml:space="preserve">בהתאם לתיקון מספר 113, </w:t>
      </w:r>
      <w:hyperlink r:id="rId26" w:history="1">
        <w:r w:rsidR="00041C8C" w:rsidRPr="00041C8C">
          <w:rPr>
            <w:rStyle w:val="Hyperlink"/>
            <w:rFonts w:ascii="David" w:hAnsi="David" w:cs="David"/>
            <w:sz w:val="24"/>
            <w:szCs w:val="24"/>
            <w:rtl/>
          </w:rPr>
          <w:t>סעיף 40ג(א)</w:t>
        </w:r>
      </w:hyperlink>
      <w:r w:rsidRPr="001A32F2">
        <w:rPr>
          <w:rFonts w:ascii="David" w:hAnsi="David" w:cs="David"/>
          <w:sz w:val="24"/>
          <w:szCs w:val="24"/>
          <w:rtl/>
        </w:rPr>
        <w:t xml:space="preserve"> ל</w:t>
      </w:r>
      <w:hyperlink r:id="rId27" w:history="1">
        <w:r w:rsidR="009744BD" w:rsidRPr="009744BD">
          <w:rPr>
            <w:rFonts w:ascii="David" w:hAnsi="David" w:cs="David"/>
            <w:color w:val="0000FF"/>
            <w:sz w:val="24"/>
            <w:szCs w:val="24"/>
            <w:u w:val="single"/>
            <w:rtl/>
          </w:rPr>
          <w:t>חוק העונשין</w:t>
        </w:r>
      </w:hyperlink>
      <w:r w:rsidRPr="001A32F2">
        <w:rPr>
          <w:rFonts w:ascii="David" w:eastAsia="Times New Roman" w:hAnsi="David" w:cs="David"/>
          <w:sz w:val="24"/>
          <w:szCs w:val="24"/>
          <w:rtl/>
        </w:rPr>
        <w:t xml:space="preserve"> בקביעת מתחם ענישה הולם על בית </w:t>
      </w:r>
      <w:r w:rsidRPr="000D493D">
        <w:rPr>
          <w:rFonts w:ascii="David" w:hAnsi="David" w:cs="David"/>
          <w:sz w:val="24"/>
          <w:szCs w:val="24"/>
          <w:rtl/>
        </w:rPr>
        <w:t>המשפט</w:t>
      </w:r>
      <w:r w:rsidRPr="001A32F2">
        <w:rPr>
          <w:rFonts w:ascii="David" w:eastAsia="Times New Roman" w:hAnsi="David" w:cs="David"/>
          <w:sz w:val="24"/>
          <w:szCs w:val="24"/>
          <w:rtl/>
        </w:rPr>
        <w:t xml:space="preserve"> להתחשב בערכים המוגנים, במידת הפגיעה בהם, בענישה הנוהגת ובנסיבות הקשורות בביצוע העבירה.</w:t>
      </w:r>
    </w:p>
    <w:p w14:paraId="381AA818" w14:textId="77777777" w:rsidR="00FF78AA" w:rsidRPr="00BF6FCB" w:rsidRDefault="00FF78AA" w:rsidP="00FF78AA">
      <w:pPr>
        <w:spacing w:line="360" w:lineRule="auto"/>
        <w:contextualSpacing/>
        <w:jc w:val="both"/>
        <w:rPr>
          <w:rFonts w:ascii="David" w:hAnsi="David"/>
          <w:b/>
          <w:bCs/>
          <w:u w:val="single"/>
          <w:rtl/>
        </w:rPr>
      </w:pPr>
    </w:p>
    <w:p w14:paraId="71AF84BF" w14:textId="77777777" w:rsidR="00FF78AA" w:rsidRDefault="00FF78AA" w:rsidP="00FF78AA">
      <w:pPr>
        <w:spacing w:line="360" w:lineRule="auto"/>
        <w:ind w:firstLine="360"/>
        <w:jc w:val="both"/>
        <w:rPr>
          <w:rFonts w:ascii="David" w:hAnsi="David"/>
          <w:u w:val="single"/>
          <w:rtl/>
        </w:rPr>
      </w:pPr>
      <w:r w:rsidRPr="00A10463">
        <w:rPr>
          <w:rFonts w:ascii="David" w:hAnsi="David"/>
          <w:b/>
          <w:bCs/>
          <w:u w:val="single"/>
          <w:rtl/>
        </w:rPr>
        <w:t>הערכים המוגנים</w:t>
      </w:r>
      <w:r w:rsidRPr="00A10463">
        <w:rPr>
          <w:rFonts w:ascii="David" w:hAnsi="David"/>
          <w:rtl/>
        </w:rPr>
        <w:t xml:space="preserve">: </w:t>
      </w:r>
    </w:p>
    <w:p w14:paraId="75848008" w14:textId="77777777" w:rsidR="00FF78AA" w:rsidRPr="000D493D" w:rsidRDefault="00FF78AA" w:rsidP="00FF78AA">
      <w:pPr>
        <w:pStyle w:val="aa"/>
        <w:spacing w:after="0" w:line="360" w:lineRule="auto"/>
        <w:ind w:left="360"/>
        <w:jc w:val="both"/>
        <w:rPr>
          <w:rFonts w:cs="David"/>
          <w:sz w:val="24"/>
          <w:szCs w:val="24"/>
        </w:rPr>
      </w:pPr>
    </w:p>
    <w:p w14:paraId="77309B6E" w14:textId="77777777" w:rsidR="00FF78AA" w:rsidRPr="00A10463" w:rsidRDefault="00FF78AA" w:rsidP="00FF78AA">
      <w:pPr>
        <w:pStyle w:val="aa"/>
        <w:numPr>
          <w:ilvl w:val="0"/>
          <w:numId w:val="1"/>
        </w:numPr>
        <w:spacing w:after="0" w:line="360" w:lineRule="auto"/>
        <w:ind w:left="360"/>
        <w:jc w:val="both"/>
        <w:rPr>
          <w:rFonts w:cs="David"/>
          <w:sz w:val="24"/>
          <w:szCs w:val="24"/>
        </w:rPr>
      </w:pPr>
      <w:r w:rsidRPr="00A10463">
        <w:rPr>
          <w:rFonts w:ascii="David" w:hAnsi="David" w:cs="David" w:hint="cs"/>
          <w:sz w:val="24"/>
          <w:szCs w:val="24"/>
          <w:rtl/>
        </w:rPr>
        <w:t xml:space="preserve">בכל הנוגע לעבירות החזקת הסמים לצריכה עצמית </w:t>
      </w:r>
      <w:r w:rsidRPr="00A10463">
        <w:rPr>
          <w:rFonts w:cs="David" w:hint="eastAsia"/>
          <w:sz w:val="24"/>
          <w:szCs w:val="24"/>
          <w:rtl/>
        </w:rPr>
        <w:t>הערכים</w:t>
      </w:r>
      <w:r w:rsidRPr="00A10463">
        <w:rPr>
          <w:rFonts w:cs="David"/>
          <w:sz w:val="24"/>
          <w:szCs w:val="24"/>
          <w:rtl/>
        </w:rPr>
        <w:t xml:space="preserve"> </w:t>
      </w:r>
      <w:r w:rsidRPr="00A10463">
        <w:rPr>
          <w:rFonts w:cs="David" w:hint="eastAsia"/>
          <w:sz w:val="24"/>
          <w:szCs w:val="24"/>
          <w:rtl/>
        </w:rPr>
        <w:t>המוגנים</w:t>
      </w:r>
      <w:r w:rsidRPr="00A10463">
        <w:rPr>
          <w:rFonts w:cs="David"/>
          <w:sz w:val="24"/>
          <w:szCs w:val="24"/>
          <w:rtl/>
        </w:rPr>
        <w:t xml:space="preserve"> </w:t>
      </w:r>
      <w:r w:rsidRPr="00A10463">
        <w:rPr>
          <w:rFonts w:cs="David" w:hint="cs"/>
          <w:sz w:val="24"/>
          <w:szCs w:val="24"/>
          <w:rtl/>
        </w:rPr>
        <w:t>רבים ונרחבים משום</w:t>
      </w:r>
      <w:r w:rsidRPr="00A10463">
        <w:rPr>
          <w:rFonts w:cs="David"/>
          <w:sz w:val="24"/>
          <w:szCs w:val="24"/>
          <w:rtl/>
        </w:rPr>
        <w:t xml:space="preserve"> </w:t>
      </w:r>
      <w:r w:rsidRPr="00A10463">
        <w:rPr>
          <w:rFonts w:cs="David" w:hint="cs"/>
          <w:sz w:val="24"/>
          <w:szCs w:val="24"/>
          <w:rtl/>
        </w:rPr>
        <w:t>שה</w:t>
      </w:r>
      <w:r w:rsidRPr="00A10463">
        <w:rPr>
          <w:rFonts w:cs="David" w:hint="eastAsia"/>
          <w:sz w:val="24"/>
          <w:szCs w:val="24"/>
          <w:rtl/>
        </w:rPr>
        <w:t>השפעה</w:t>
      </w:r>
      <w:r w:rsidRPr="00A10463">
        <w:rPr>
          <w:rFonts w:cs="David"/>
          <w:sz w:val="24"/>
          <w:szCs w:val="24"/>
          <w:rtl/>
        </w:rPr>
        <w:t xml:space="preserve"> </w:t>
      </w:r>
      <w:r w:rsidRPr="00A10463">
        <w:rPr>
          <w:rFonts w:cs="David" w:hint="eastAsia"/>
          <w:sz w:val="24"/>
          <w:szCs w:val="24"/>
          <w:rtl/>
        </w:rPr>
        <w:t>של</w:t>
      </w:r>
      <w:r w:rsidRPr="00A10463">
        <w:rPr>
          <w:rFonts w:cs="David"/>
          <w:sz w:val="24"/>
          <w:szCs w:val="24"/>
          <w:rtl/>
        </w:rPr>
        <w:t xml:space="preserve"> </w:t>
      </w:r>
      <w:r w:rsidRPr="00A10463">
        <w:rPr>
          <w:rFonts w:cs="David" w:hint="eastAsia"/>
          <w:sz w:val="24"/>
          <w:szCs w:val="24"/>
          <w:rtl/>
        </w:rPr>
        <w:t>שימוש</w:t>
      </w:r>
      <w:r w:rsidRPr="00A10463">
        <w:rPr>
          <w:rFonts w:cs="David"/>
          <w:sz w:val="24"/>
          <w:szCs w:val="24"/>
          <w:rtl/>
        </w:rPr>
        <w:t xml:space="preserve"> </w:t>
      </w:r>
      <w:r w:rsidRPr="00A10463">
        <w:rPr>
          <w:rFonts w:cs="David" w:hint="eastAsia"/>
          <w:sz w:val="24"/>
          <w:szCs w:val="24"/>
          <w:rtl/>
        </w:rPr>
        <w:t>בסם</w:t>
      </w:r>
      <w:r w:rsidRPr="00A10463">
        <w:rPr>
          <w:rFonts w:cs="David"/>
          <w:sz w:val="24"/>
          <w:szCs w:val="24"/>
          <w:rtl/>
        </w:rPr>
        <w:t xml:space="preserve"> </w:t>
      </w:r>
      <w:r w:rsidRPr="00A10463">
        <w:rPr>
          <w:rFonts w:cs="David" w:hint="eastAsia"/>
          <w:sz w:val="24"/>
          <w:szCs w:val="24"/>
          <w:rtl/>
        </w:rPr>
        <w:t>הינה</w:t>
      </w:r>
      <w:r w:rsidRPr="00A10463">
        <w:rPr>
          <w:rFonts w:cs="David"/>
          <w:sz w:val="24"/>
          <w:szCs w:val="24"/>
          <w:rtl/>
        </w:rPr>
        <w:t xml:space="preserve"> </w:t>
      </w:r>
      <w:r w:rsidRPr="00A10463">
        <w:rPr>
          <w:rFonts w:cs="David" w:hint="eastAsia"/>
          <w:sz w:val="24"/>
          <w:szCs w:val="24"/>
          <w:rtl/>
        </w:rPr>
        <w:t>השפעה</w:t>
      </w:r>
      <w:r w:rsidRPr="00A10463">
        <w:rPr>
          <w:rFonts w:cs="David"/>
          <w:sz w:val="24"/>
          <w:szCs w:val="24"/>
          <w:rtl/>
        </w:rPr>
        <w:t xml:space="preserve"> </w:t>
      </w:r>
      <w:r w:rsidRPr="00A10463">
        <w:rPr>
          <w:rFonts w:cs="David" w:hint="cs"/>
          <w:sz w:val="24"/>
          <w:szCs w:val="24"/>
          <w:rtl/>
        </w:rPr>
        <w:t xml:space="preserve">אשר חוצה </w:t>
      </w:r>
      <w:r w:rsidRPr="00A10463">
        <w:rPr>
          <w:rFonts w:cs="David" w:hint="eastAsia"/>
          <w:sz w:val="24"/>
          <w:szCs w:val="24"/>
          <w:rtl/>
        </w:rPr>
        <w:t>גבולות</w:t>
      </w:r>
      <w:r w:rsidRPr="00A10463">
        <w:rPr>
          <w:rFonts w:cs="David"/>
          <w:sz w:val="24"/>
          <w:szCs w:val="24"/>
          <w:rtl/>
        </w:rPr>
        <w:t xml:space="preserve"> </w:t>
      </w:r>
      <w:r w:rsidRPr="00A10463">
        <w:rPr>
          <w:rFonts w:cs="David" w:hint="eastAsia"/>
          <w:sz w:val="24"/>
          <w:szCs w:val="24"/>
          <w:rtl/>
        </w:rPr>
        <w:t>וערכים</w:t>
      </w:r>
      <w:r w:rsidRPr="00A10463">
        <w:rPr>
          <w:rFonts w:cs="David" w:hint="cs"/>
          <w:sz w:val="24"/>
          <w:szCs w:val="24"/>
          <w:rtl/>
        </w:rPr>
        <w:t xml:space="preserve"> ומהווה מצע לביצוע </w:t>
      </w:r>
      <w:r w:rsidRPr="00A10463">
        <w:rPr>
          <w:rFonts w:cs="David" w:hint="eastAsia"/>
          <w:sz w:val="24"/>
          <w:szCs w:val="24"/>
          <w:rtl/>
        </w:rPr>
        <w:t>עבירות</w:t>
      </w:r>
      <w:r w:rsidRPr="00A10463">
        <w:rPr>
          <w:rFonts w:cs="David"/>
          <w:sz w:val="24"/>
          <w:szCs w:val="24"/>
          <w:rtl/>
        </w:rPr>
        <w:t xml:space="preserve"> </w:t>
      </w:r>
      <w:r w:rsidRPr="00A10463">
        <w:rPr>
          <w:rFonts w:cs="David" w:hint="eastAsia"/>
          <w:sz w:val="24"/>
          <w:szCs w:val="24"/>
          <w:rtl/>
        </w:rPr>
        <w:t>רכוש</w:t>
      </w:r>
      <w:r w:rsidRPr="00A10463">
        <w:rPr>
          <w:rFonts w:cs="David"/>
          <w:sz w:val="24"/>
          <w:szCs w:val="24"/>
          <w:rtl/>
        </w:rPr>
        <w:t xml:space="preserve">, </w:t>
      </w:r>
      <w:r w:rsidRPr="00A10463">
        <w:rPr>
          <w:rFonts w:cs="David" w:hint="eastAsia"/>
          <w:sz w:val="24"/>
          <w:szCs w:val="24"/>
          <w:rtl/>
        </w:rPr>
        <w:t>עבירות</w:t>
      </w:r>
      <w:r w:rsidRPr="00A10463">
        <w:rPr>
          <w:rFonts w:cs="David"/>
          <w:sz w:val="24"/>
          <w:szCs w:val="24"/>
          <w:rtl/>
        </w:rPr>
        <w:t xml:space="preserve"> </w:t>
      </w:r>
      <w:r w:rsidRPr="00A10463">
        <w:rPr>
          <w:rFonts w:cs="David" w:hint="eastAsia"/>
          <w:sz w:val="24"/>
          <w:szCs w:val="24"/>
          <w:rtl/>
        </w:rPr>
        <w:t>אלימות</w:t>
      </w:r>
      <w:r w:rsidRPr="00A10463">
        <w:rPr>
          <w:rFonts w:cs="David"/>
          <w:sz w:val="24"/>
          <w:szCs w:val="24"/>
          <w:rtl/>
        </w:rPr>
        <w:t xml:space="preserve"> </w:t>
      </w:r>
      <w:r w:rsidRPr="00A10463">
        <w:rPr>
          <w:rFonts w:cs="David" w:hint="eastAsia"/>
          <w:sz w:val="24"/>
          <w:szCs w:val="24"/>
          <w:rtl/>
        </w:rPr>
        <w:t>ועבירות</w:t>
      </w:r>
      <w:r w:rsidRPr="00A10463">
        <w:rPr>
          <w:rFonts w:cs="David"/>
          <w:sz w:val="24"/>
          <w:szCs w:val="24"/>
          <w:rtl/>
        </w:rPr>
        <w:t xml:space="preserve"> </w:t>
      </w:r>
      <w:r w:rsidRPr="00A10463">
        <w:rPr>
          <w:rFonts w:cs="David" w:hint="eastAsia"/>
          <w:sz w:val="24"/>
          <w:szCs w:val="24"/>
          <w:rtl/>
        </w:rPr>
        <w:t>נוספות</w:t>
      </w:r>
      <w:r w:rsidRPr="00A10463">
        <w:rPr>
          <w:rFonts w:cs="David"/>
          <w:sz w:val="24"/>
          <w:szCs w:val="24"/>
          <w:rtl/>
        </w:rPr>
        <w:t xml:space="preserve"> </w:t>
      </w:r>
      <w:r w:rsidRPr="00A10463">
        <w:rPr>
          <w:rFonts w:cs="David" w:hint="eastAsia"/>
          <w:sz w:val="24"/>
          <w:szCs w:val="24"/>
          <w:rtl/>
        </w:rPr>
        <w:t>המבוצעות</w:t>
      </w:r>
      <w:r w:rsidRPr="00A10463">
        <w:rPr>
          <w:rFonts w:cs="David"/>
          <w:sz w:val="24"/>
          <w:szCs w:val="24"/>
          <w:rtl/>
        </w:rPr>
        <w:t xml:space="preserve"> </w:t>
      </w:r>
      <w:r w:rsidRPr="00A10463">
        <w:rPr>
          <w:rFonts w:cs="David" w:hint="eastAsia"/>
          <w:sz w:val="24"/>
          <w:szCs w:val="24"/>
          <w:rtl/>
        </w:rPr>
        <w:t>על</w:t>
      </w:r>
      <w:r w:rsidRPr="00A10463">
        <w:rPr>
          <w:rFonts w:cs="David"/>
          <w:sz w:val="24"/>
          <w:szCs w:val="24"/>
          <w:rtl/>
        </w:rPr>
        <w:t xml:space="preserve"> </w:t>
      </w:r>
      <w:r w:rsidRPr="00A10463">
        <w:rPr>
          <w:rFonts w:cs="David" w:hint="eastAsia"/>
          <w:sz w:val="24"/>
          <w:szCs w:val="24"/>
          <w:rtl/>
        </w:rPr>
        <w:t>ידי</w:t>
      </w:r>
      <w:r w:rsidRPr="00A10463">
        <w:rPr>
          <w:rFonts w:cs="David"/>
          <w:sz w:val="24"/>
          <w:szCs w:val="24"/>
          <w:rtl/>
        </w:rPr>
        <w:t xml:space="preserve"> </w:t>
      </w:r>
      <w:r w:rsidRPr="00A10463">
        <w:rPr>
          <w:rFonts w:cs="David" w:hint="eastAsia"/>
          <w:sz w:val="24"/>
          <w:szCs w:val="24"/>
          <w:rtl/>
        </w:rPr>
        <w:t>מי</w:t>
      </w:r>
      <w:r w:rsidRPr="00A10463">
        <w:rPr>
          <w:rFonts w:cs="David"/>
          <w:sz w:val="24"/>
          <w:szCs w:val="24"/>
          <w:rtl/>
        </w:rPr>
        <w:t xml:space="preserve"> </w:t>
      </w:r>
      <w:r w:rsidRPr="00A10463">
        <w:rPr>
          <w:rFonts w:cs="David" w:hint="eastAsia"/>
          <w:sz w:val="24"/>
          <w:szCs w:val="24"/>
          <w:rtl/>
        </w:rPr>
        <w:t>שמשתמש</w:t>
      </w:r>
      <w:r w:rsidRPr="00A10463">
        <w:rPr>
          <w:rFonts w:cs="David" w:hint="cs"/>
          <w:sz w:val="24"/>
          <w:szCs w:val="24"/>
          <w:rtl/>
        </w:rPr>
        <w:t xml:space="preserve">, </w:t>
      </w:r>
      <w:r w:rsidRPr="00A10463">
        <w:rPr>
          <w:rFonts w:cs="David" w:hint="eastAsia"/>
          <w:sz w:val="24"/>
          <w:szCs w:val="24"/>
          <w:rtl/>
        </w:rPr>
        <w:t>סוחר</w:t>
      </w:r>
      <w:r w:rsidRPr="00A10463">
        <w:rPr>
          <w:rFonts w:cs="David"/>
          <w:sz w:val="24"/>
          <w:szCs w:val="24"/>
          <w:rtl/>
        </w:rPr>
        <w:t xml:space="preserve"> </w:t>
      </w:r>
      <w:r w:rsidRPr="00A10463">
        <w:rPr>
          <w:rFonts w:cs="David" w:hint="eastAsia"/>
          <w:sz w:val="24"/>
          <w:szCs w:val="24"/>
          <w:rtl/>
        </w:rPr>
        <w:t>או</w:t>
      </w:r>
      <w:r w:rsidRPr="00A10463">
        <w:rPr>
          <w:rFonts w:cs="David"/>
          <w:sz w:val="24"/>
          <w:szCs w:val="24"/>
          <w:rtl/>
        </w:rPr>
        <w:t xml:space="preserve"> </w:t>
      </w:r>
      <w:r w:rsidRPr="00A10463">
        <w:rPr>
          <w:rFonts w:cs="David" w:hint="eastAsia"/>
          <w:sz w:val="24"/>
          <w:szCs w:val="24"/>
          <w:rtl/>
        </w:rPr>
        <w:t>מחזיק</w:t>
      </w:r>
      <w:r w:rsidRPr="00A10463">
        <w:rPr>
          <w:rFonts w:cs="David"/>
          <w:sz w:val="24"/>
          <w:szCs w:val="24"/>
          <w:rtl/>
        </w:rPr>
        <w:t xml:space="preserve"> </w:t>
      </w:r>
      <w:r w:rsidRPr="00A10463">
        <w:rPr>
          <w:rFonts w:cs="David" w:hint="eastAsia"/>
          <w:sz w:val="24"/>
          <w:szCs w:val="24"/>
          <w:rtl/>
        </w:rPr>
        <w:t>בסם</w:t>
      </w:r>
      <w:r w:rsidRPr="00A10463">
        <w:rPr>
          <w:rFonts w:cs="David"/>
          <w:sz w:val="24"/>
          <w:szCs w:val="24"/>
          <w:rtl/>
        </w:rPr>
        <w:t xml:space="preserve"> </w:t>
      </w:r>
      <w:r w:rsidRPr="00A10463">
        <w:rPr>
          <w:rFonts w:cs="David" w:hint="eastAsia"/>
          <w:sz w:val="24"/>
          <w:szCs w:val="24"/>
          <w:rtl/>
        </w:rPr>
        <w:t>מסוכן</w:t>
      </w:r>
      <w:r w:rsidRPr="00A10463">
        <w:rPr>
          <w:rFonts w:cs="David"/>
          <w:sz w:val="24"/>
          <w:szCs w:val="24"/>
          <w:rtl/>
        </w:rPr>
        <w:t>.</w:t>
      </w:r>
      <w:r w:rsidRPr="00A10463">
        <w:rPr>
          <w:rFonts w:cs="David" w:hint="cs"/>
          <w:sz w:val="24"/>
          <w:szCs w:val="24"/>
          <w:rtl/>
        </w:rPr>
        <w:t xml:space="preserve"> ואם בכך לא די, הרי שהפגיעה של אדם בעצמו באמצעות שימוש בסם, לא מסתכמת בכך בלבד. שימוש ממושך בסם מסוכן עלול לגרום לפגיעה גופנית ונפשית של המשתמש בו, כזו שתצריך טיפול רפואי שעלותו נופלת על החברה. </w:t>
      </w:r>
      <w:r w:rsidRPr="00A10463">
        <w:rPr>
          <w:rFonts w:cs="David" w:hint="cs"/>
          <w:sz w:val="24"/>
          <w:szCs w:val="24"/>
          <w:rtl/>
          <w:lang w:eastAsia="he-IL"/>
        </w:rPr>
        <w:t>ב</w:t>
      </w:r>
      <w:hyperlink r:id="rId28" w:history="1">
        <w:r w:rsidR="009744BD" w:rsidRPr="009744BD">
          <w:rPr>
            <w:rFonts w:cs="David" w:hint="cs"/>
            <w:color w:val="0000FF"/>
            <w:sz w:val="24"/>
            <w:szCs w:val="24"/>
            <w:u w:val="single"/>
            <w:rtl/>
            <w:lang w:eastAsia="he-IL"/>
          </w:rPr>
          <w:t>ע</w:t>
        </w:r>
        <w:r w:rsidR="009744BD" w:rsidRPr="009744BD">
          <w:rPr>
            <w:rFonts w:cs="David"/>
            <w:color w:val="0000FF"/>
            <w:sz w:val="24"/>
            <w:szCs w:val="24"/>
            <w:u w:val="single"/>
            <w:rtl/>
            <w:lang w:eastAsia="he-IL"/>
          </w:rPr>
          <w:t>"</w:t>
        </w:r>
        <w:r w:rsidR="009744BD" w:rsidRPr="009744BD">
          <w:rPr>
            <w:rFonts w:cs="David" w:hint="cs"/>
            <w:color w:val="0000FF"/>
            <w:sz w:val="24"/>
            <w:szCs w:val="24"/>
            <w:u w:val="single"/>
            <w:rtl/>
            <w:lang w:eastAsia="he-IL"/>
          </w:rPr>
          <w:t>פ</w:t>
        </w:r>
        <w:r w:rsidR="009744BD" w:rsidRPr="009744BD">
          <w:rPr>
            <w:rFonts w:cs="David"/>
            <w:color w:val="0000FF"/>
            <w:sz w:val="24"/>
            <w:szCs w:val="24"/>
            <w:u w:val="single"/>
            <w:rtl/>
            <w:lang w:eastAsia="he-IL"/>
          </w:rPr>
          <w:t xml:space="preserve"> 3117/12</w:t>
        </w:r>
      </w:hyperlink>
      <w:r w:rsidRPr="00A10463">
        <w:rPr>
          <w:rFonts w:cs="David" w:hint="cs"/>
          <w:sz w:val="24"/>
          <w:szCs w:val="24"/>
          <w:rtl/>
          <w:lang w:eastAsia="he-IL"/>
        </w:rPr>
        <w:t xml:space="preserve"> </w:t>
      </w:r>
      <w:r w:rsidRPr="00A10463">
        <w:rPr>
          <w:rFonts w:cs="David" w:hint="cs"/>
          <w:b/>
          <w:bCs/>
          <w:sz w:val="24"/>
          <w:szCs w:val="24"/>
          <w:rtl/>
          <w:lang w:eastAsia="he-IL"/>
        </w:rPr>
        <w:t xml:space="preserve">ארביב נ' מדינת ישראל </w:t>
      </w:r>
      <w:r w:rsidRPr="00A10463">
        <w:rPr>
          <w:rFonts w:cs="David" w:hint="cs"/>
          <w:sz w:val="24"/>
          <w:szCs w:val="24"/>
          <w:rtl/>
          <w:lang w:eastAsia="he-IL"/>
        </w:rPr>
        <w:t>נקבע כי:</w:t>
      </w:r>
    </w:p>
    <w:p w14:paraId="1EC7B3CA" w14:textId="77777777" w:rsidR="00FF78AA" w:rsidRPr="00A10463" w:rsidRDefault="00FF78AA" w:rsidP="00FF78AA">
      <w:pPr>
        <w:pStyle w:val="aa"/>
        <w:spacing w:after="0" w:line="360" w:lineRule="auto"/>
        <w:ind w:left="360"/>
        <w:jc w:val="both"/>
        <w:rPr>
          <w:rFonts w:cs="David"/>
          <w:sz w:val="24"/>
          <w:szCs w:val="24"/>
          <w:rtl/>
        </w:rPr>
      </w:pPr>
    </w:p>
    <w:p w14:paraId="6E49045A" w14:textId="77777777" w:rsidR="00FF78AA" w:rsidRPr="00A10463" w:rsidRDefault="00FF78AA" w:rsidP="00FF78AA">
      <w:pPr>
        <w:pStyle w:val="aa"/>
        <w:spacing w:after="0" w:line="360" w:lineRule="auto"/>
        <w:ind w:left="1080"/>
        <w:jc w:val="both"/>
        <w:rPr>
          <w:rFonts w:ascii="David" w:hAnsi="David" w:cs="David"/>
          <w:b/>
          <w:bCs/>
          <w:sz w:val="24"/>
          <w:szCs w:val="24"/>
          <w:u w:val="single"/>
          <w:rtl/>
        </w:rPr>
      </w:pPr>
      <w:r w:rsidRPr="00A10463">
        <w:rPr>
          <w:rFonts w:ascii="David" w:hAnsi="David" w:cs="David"/>
          <w:b/>
          <w:bCs/>
          <w:sz w:val="24"/>
          <w:szCs w:val="24"/>
          <w:rtl/>
        </w:rPr>
        <w:t>"בית משפט זה עמד, לא אחת, על חומרתן היתירה של עבירות הסמים, ועל ההשלכות הקשות שיש לשימוש בסם על גופו ועל נפשו של המשתמש"</w:t>
      </w:r>
    </w:p>
    <w:p w14:paraId="0238E4D7" w14:textId="77777777" w:rsidR="00FF78AA" w:rsidRPr="00BF6FCB" w:rsidRDefault="00FF78AA" w:rsidP="00FF78AA">
      <w:pPr>
        <w:pStyle w:val="aa"/>
        <w:spacing w:after="0" w:line="360" w:lineRule="auto"/>
        <w:ind w:left="360"/>
        <w:jc w:val="both"/>
        <w:rPr>
          <w:rFonts w:ascii="David" w:hAnsi="David" w:cs="David"/>
          <w:sz w:val="24"/>
          <w:szCs w:val="24"/>
          <w:rtl/>
        </w:rPr>
      </w:pPr>
    </w:p>
    <w:p w14:paraId="5BAFAE32" w14:textId="77777777" w:rsidR="00FF78AA" w:rsidRDefault="00FF78AA" w:rsidP="00FF78AA">
      <w:pPr>
        <w:pStyle w:val="aa"/>
        <w:numPr>
          <w:ilvl w:val="0"/>
          <w:numId w:val="1"/>
        </w:numPr>
        <w:spacing w:after="0" w:line="360" w:lineRule="auto"/>
        <w:ind w:left="360"/>
        <w:jc w:val="both"/>
        <w:rPr>
          <w:rFonts w:ascii="David" w:hAnsi="David" w:cs="David"/>
          <w:sz w:val="24"/>
          <w:szCs w:val="24"/>
        </w:rPr>
      </w:pPr>
      <w:r w:rsidRPr="0073344D">
        <w:rPr>
          <w:rFonts w:ascii="David" w:hAnsi="David" w:cs="David"/>
          <w:sz w:val="24"/>
          <w:szCs w:val="24"/>
          <w:rtl/>
        </w:rPr>
        <w:t>לאחרונה, בית המשפט העליון שב והדגיש כי קנבוס היה ועודנו נותר סם מסוכן (רא</w:t>
      </w:r>
      <w:r>
        <w:rPr>
          <w:rFonts w:ascii="David" w:hAnsi="David" w:cs="David" w:hint="cs"/>
          <w:sz w:val="24"/>
          <w:szCs w:val="24"/>
          <w:rtl/>
        </w:rPr>
        <w:t>ו</w:t>
      </w:r>
      <w:r w:rsidRPr="0073344D">
        <w:rPr>
          <w:rFonts w:ascii="David" w:hAnsi="David" w:cs="David" w:hint="cs"/>
          <w:sz w:val="24"/>
          <w:szCs w:val="24"/>
          <w:rtl/>
        </w:rPr>
        <w:t xml:space="preserve"> </w:t>
      </w:r>
      <w:hyperlink r:id="rId29" w:history="1">
        <w:r w:rsidR="009744BD" w:rsidRPr="009744BD">
          <w:rPr>
            <w:rFonts w:ascii="David" w:hAnsi="David" w:cs="David"/>
            <w:color w:val="0000FF"/>
            <w:sz w:val="24"/>
            <w:szCs w:val="24"/>
            <w:u w:val="single"/>
            <w:rtl/>
          </w:rPr>
          <w:t>רע"פ 174/21</w:t>
        </w:r>
      </w:hyperlink>
      <w:r w:rsidRPr="0073344D">
        <w:rPr>
          <w:rFonts w:ascii="David" w:hAnsi="David" w:cs="David"/>
          <w:sz w:val="24"/>
          <w:szCs w:val="24"/>
          <w:rtl/>
        </w:rPr>
        <w:t xml:space="preserve"> </w:t>
      </w:r>
      <w:r w:rsidRPr="0073344D">
        <w:rPr>
          <w:rFonts w:ascii="David" w:hAnsi="David" w:cs="David"/>
          <w:b/>
          <w:bCs/>
          <w:sz w:val="24"/>
          <w:szCs w:val="24"/>
          <w:rtl/>
        </w:rPr>
        <w:t>סויסה נ' מדינת ישראל</w:t>
      </w:r>
      <w:r>
        <w:rPr>
          <w:rFonts w:ascii="David" w:hAnsi="David" w:cs="David" w:hint="cs"/>
          <w:sz w:val="24"/>
          <w:szCs w:val="24"/>
          <w:rtl/>
        </w:rPr>
        <w:t>,</w:t>
      </w:r>
      <w:r w:rsidRPr="0073344D">
        <w:rPr>
          <w:rFonts w:ascii="David" w:hAnsi="David" w:cs="David"/>
          <w:sz w:val="24"/>
          <w:szCs w:val="24"/>
          <w:rtl/>
        </w:rPr>
        <w:t xml:space="preserve"> וככלל מגמת הענישה בעבירות סמים, היא של החמרה והרתעה (רא</w:t>
      </w:r>
      <w:r>
        <w:rPr>
          <w:rFonts w:ascii="David" w:hAnsi="David" w:cs="David" w:hint="cs"/>
          <w:sz w:val="24"/>
          <w:szCs w:val="24"/>
          <w:rtl/>
        </w:rPr>
        <w:t xml:space="preserve">ו </w:t>
      </w:r>
      <w:hyperlink r:id="rId30" w:history="1">
        <w:r w:rsidR="009744BD" w:rsidRPr="009744BD">
          <w:rPr>
            <w:rFonts w:ascii="David" w:hAnsi="David" w:cs="David"/>
            <w:color w:val="0000FF"/>
            <w:sz w:val="24"/>
            <w:szCs w:val="24"/>
            <w:u w:val="single"/>
            <w:rtl/>
          </w:rPr>
          <w:t>ע"פ 8048/19</w:t>
        </w:r>
      </w:hyperlink>
      <w:r w:rsidRPr="0073344D">
        <w:rPr>
          <w:rFonts w:ascii="David" w:hAnsi="David" w:cs="David"/>
          <w:sz w:val="24"/>
          <w:szCs w:val="24"/>
          <w:rtl/>
        </w:rPr>
        <w:t xml:space="preserve"> </w:t>
      </w:r>
      <w:r w:rsidRPr="0073344D">
        <w:rPr>
          <w:rFonts w:ascii="David" w:hAnsi="David" w:cs="David"/>
          <w:b/>
          <w:bCs/>
          <w:sz w:val="24"/>
          <w:szCs w:val="24"/>
          <w:rtl/>
        </w:rPr>
        <w:t>פיצ'חדזה נ' מדינת ישראל</w:t>
      </w:r>
      <w:r>
        <w:rPr>
          <w:rFonts w:ascii="David" w:hAnsi="David" w:cs="David" w:hint="cs"/>
          <w:sz w:val="24"/>
          <w:szCs w:val="24"/>
          <w:rtl/>
        </w:rPr>
        <w:t xml:space="preserve">). משכל זה נאמר, וגם אם סם הקנבוס הינו סם מסוכן, וודאי ישנם סמים מסוכנים ממנו.  </w:t>
      </w:r>
    </w:p>
    <w:p w14:paraId="7DBAA6CE" w14:textId="77777777" w:rsidR="00FF78AA" w:rsidRDefault="00FF78AA" w:rsidP="00FF78AA">
      <w:pPr>
        <w:pStyle w:val="a"/>
        <w:numPr>
          <w:ilvl w:val="0"/>
          <w:numId w:val="0"/>
        </w:numPr>
        <w:spacing w:after="200"/>
        <w:ind w:left="360"/>
        <w:contextualSpacing/>
        <w:jc w:val="both"/>
      </w:pPr>
    </w:p>
    <w:p w14:paraId="7C9E1A3A" w14:textId="77777777" w:rsidR="00FF78AA" w:rsidRPr="00A10463" w:rsidRDefault="00FF78AA" w:rsidP="00FF78AA">
      <w:pPr>
        <w:pStyle w:val="a"/>
        <w:numPr>
          <w:ilvl w:val="0"/>
          <w:numId w:val="1"/>
        </w:numPr>
        <w:spacing w:after="200"/>
        <w:ind w:left="360"/>
        <w:contextualSpacing/>
        <w:jc w:val="both"/>
      </w:pPr>
      <w:r w:rsidRPr="00A10463">
        <w:rPr>
          <w:rtl/>
        </w:rPr>
        <w:t xml:space="preserve">מידת הפגיעה בערכים הללו הינה ברף </w:t>
      </w:r>
      <w:r>
        <w:rPr>
          <w:rFonts w:hint="cs"/>
          <w:rtl/>
        </w:rPr>
        <w:t>הבינוני-גבוה</w:t>
      </w:r>
      <w:r w:rsidRPr="00A10463">
        <w:rPr>
          <w:rFonts w:hint="cs"/>
          <w:rtl/>
        </w:rPr>
        <w:t>, משום ש</w:t>
      </w:r>
      <w:r>
        <w:rPr>
          <w:rFonts w:hint="cs"/>
          <w:rtl/>
        </w:rPr>
        <w:t xml:space="preserve">מחד גיסא מדובר במספר רב של עסקאות שהתממשו ובסופן הסמים עברו לידי הקונים ובאחד מן האירועים מדובר בקטינה שקיבלה את הסמים לידיה, ומאידך גיסא מדובר בסם שאינו מן הקשים ובכמויות לא גבוהות. </w:t>
      </w:r>
      <w:r>
        <w:rPr>
          <w:rFonts w:hint="cs"/>
        </w:rPr>
        <w:t xml:space="preserve"> </w:t>
      </w:r>
    </w:p>
    <w:p w14:paraId="58612AC4" w14:textId="77777777" w:rsidR="00FF78AA" w:rsidRPr="00A10463" w:rsidRDefault="00FF78AA" w:rsidP="00FF78AA">
      <w:pPr>
        <w:spacing w:line="360" w:lineRule="auto"/>
        <w:ind w:left="720"/>
        <w:contextualSpacing/>
        <w:jc w:val="both"/>
        <w:rPr>
          <w:rFonts w:ascii="David" w:hAnsi="David"/>
          <w:b/>
          <w:bCs/>
          <w:u w:val="single"/>
        </w:rPr>
      </w:pPr>
      <w:r w:rsidRPr="00A10463">
        <w:rPr>
          <w:rFonts w:ascii="David" w:hAnsi="David"/>
          <w:rtl/>
        </w:rPr>
        <w:t xml:space="preserve"> </w:t>
      </w:r>
      <w:r w:rsidRPr="00A10463">
        <w:rPr>
          <w:rFonts w:ascii="David" w:hAnsi="David"/>
          <w:b/>
          <w:bCs/>
          <w:u w:val="single"/>
          <w:rtl/>
        </w:rPr>
        <w:t xml:space="preserve"> </w:t>
      </w:r>
    </w:p>
    <w:p w14:paraId="22B2793F" w14:textId="77777777" w:rsidR="00FF78AA" w:rsidRPr="00A10463" w:rsidRDefault="00FF78AA" w:rsidP="00FF78AA">
      <w:pPr>
        <w:spacing w:line="360" w:lineRule="auto"/>
        <w:ind w:firstLine="360"/>
        <w:contextualSpacing/>
        <w:jc w:val="both"/>
        <w:rPr>
          <w:rFonts w:ascii="David" w:hAnsi="David"/>
          <w:b/>
          <w:bCs/>
          <w:u w:val="single"/>
          <w:rtl/>
        </w:rPr>
      </w:pPr>
      <w:r w:rsidRPr="00A10463">
        <w:rPr>
          <w:rFonts w:ascii="David" w:hAnsi="David"/>
          <w:b/>
          <w:bCs/>
          <w:u w:val="single"/>
          <w:rtl/>
        </w:rPr>
        <w:t>מדיניות הענישה הנוהגת:</w:t>
      </w:r>
    </w:p>
    <w:p w14:paraId="33E229C6" w14:textId="77777777" w:rsidR="00FF78AA" w:rsidRDefault="00FF78AA" w:rsidP="00FF78AA">
      <w:pPr>
        <w:pStyle w:val="a"/>
        <w:numPr>
          <w:ilvl w:val="0"/>
          <w:numId w:val="1"/>
        </w:numPr>
        <w:spacing w:after="200"/>
        <w:ind w:left="360"/>
        <w:contextualSpacing/>
        <w:jc w:val="both"/>
      </w:pPr>
      <w:r w:rsidRPr="00A10463">
        <w:rPr>
          <w:rFonts w:hint="cs"/>
          <w:rtl/>
        </w:rPr>
        <w:t>בכל הנוגע לענישה נוהגת בעבירת סחר בסם מסוכן</w:t>
      </w:r>
      <w:r>
        <w:rPr>
          <w:rFonts w:hint="cs"/>
          <w:rtl/>
        </w:rPr>
        <w:t xml:space="preserve"> מסוג קנאביס הענישה מגוונת, אך ככלל תחתית המתחם הינה בעבודות שירות והרף העליון הינו למאסר משמעותי מאחורי סורג ובריח. </w:t>
      </w:r>
    </w:p>
    <w:p w14:paraId="06695A23" w14:textId="77777777" w:rsidR="00FF78AA" w:rsidRDefault="00FF78AA" w:rsidP="00FF78AA">
      <w:pPr>
        <w:pStyle w:val="a"/>
        <w:numPr>
          <w:ilvl w:val="0"/>
          <w:numId w:val="0"/>
        </w:numPr>
        <w:spacing w:after="200"/>
        <w:ind w:left="360"/>
        <w:contextualSpacing/>
        <w:jc w:val="both"/>
      </w:pPr>
    </w:p>
    <w:p w14:paraId="12B3B5F4" w14:textId="77777777" w:rsidR="00FF78AA" w:rsidRPr="00D330C1" w:rsidRDefault="00FF78AA" w:rsidP="00FF78AA">
      <w:pPr>
        <w:pStyle w:val="a"/>
        <w:numPr>
          <w:ilvl w:val="0"/>
          <w:numId w:val="1"/>
        </w:numPr>
        <w:spacing w:after="200"/>
        <w:ind w:left="360"/>
        <w:contextualSpacing/>
        <w:jc w:val="both"/>
        <w:rPr>
          <w:rtl/>
        </w:rPr>
      </w:pPr>
      <w:r>
        <w:rPr>
          <w:rFonts w:hint="cs"/>
          <w:rtl/>
        </w:rPr>
        <w:t xml:space="preserve">מפסיקת בית המשפט העליון ראו </w:t>
      </w:r>
      <w:hyperlink r:id="rId31" w:history="1">
        <w:r w:rsidR="009744BD" w:rsidRPr="009744BD">
          <w:rPr>
            <w:color w:val="0000FF"/>
            <w:u w:val="single"/>
            <w:rtl/>
          </w:rPr>
          <w:t>רע"פ 5712/16</w:t>
        </w:r>
      </w:hyperlink>
      <w:r w:rsidRPr="00D330C1">
        <w:rPr>
          <w:b/>
          <w:bCs/>
          <w:rtl/>
        </w:rPr>
        <w:t xml:space="preserve"> אייזנבאך נ' מדינת ישראל</w:t>
      </w:r>
      <w:r w:rsidRPr="00D330C1">
        <w:rPr>
          <w:rtl/>
        </w:rPr>
        <w:t xml:space="preserve"> </w:t>
      </w:r>
      <w:r>
        <w:rPr>
          <w:rFonts w:hint="cs"/>
          <w:rtl/>
        </w:rPr>
        <w:t xml:space="preserve">שם </w:t>
      </w:r>
      <w:r w:rsidRPr="00D330C1">
        <w:rPr>
          <w:rFonts w:hint="cs"/>
          <w:rtl/>
        </w:rPr>
        <w:t xml:space="preserve">הורשע הנאשם </w:t>
      </w:r>
      <w:r w:rsidRPr="00D330C1">
        <w:rPr>
          <w:rtl/>
        </w:rPr>
        <w:t>בארבע עבירות של סחר בסמים מסוג קנבוס בסכומים של כמה מאות שקלים. בית המשפט</w:t>
      </w:r>
      <w:r>
        <w:rPr>
          <w:rFonts w:hint="cs"/>
          <w:rtl/>
        </w:rPr>
        <w:t xml:space="preserve"> קבע מתחם ענישה הנע בין 8-24 חודשי מאסר ו</w:t>
      </w:r>
      <w:r w:rsidRPr="00D330C1">
        <w:rPr>
          <w:rtl/>
        </w:rPr>
        <w:t>הטיל על הנאשם</w:t>
      </w:r>
      <w:r>
        <w:rPr>
          <w:rFonts w:hint="cs"/>
          <w:rtl/>
        </w:rPr>
        <w:t>, שהייתה לחובתו הרשעה יחידה של היעדרות משירות צבאי,</w:t>
      </w:r>
      <w:r w:rsidRPr="00D330C1">
        <w:rPr>
          <w:rtl/>
        </w:rPr>
        <w:t xml:space="preserve"> מאסר לתקופה של 8 חודשים</w:t>
      </w:r>
      <w:r>
        <w:rPr>
          <w:rFonts w:hint="cs"/>
          <w:rtl/>
        </w:rPr>
        <w:t>, על אף המלצת שירות המבחן להטיל עונש של"צ נוכח הטיפול שעבר הנאשם</w:t>
      </w:r>
      <w:r w:rsidRPr="00D330C1">
        <w:rPr>
          <w:rFonts w:hint="cs"/>
          <w:rtl/>
        </w:rPr>
        <w:t>.</w:t>
      </w:r>
      <w:r w:rsidRPr="00D330C1">
        <w:rPr>
          <w:rtl/>
        </w:rPr>
        <w:t xml:space="preserve"> </w:t>
      </w:r>
      <w:hyperlink r:id="rId32" w:history="1">
        <w:r w:rsidR="009744BD" w:rsidRPr="009744BD">
          <w:rPr>
            <w:color w:val="0000FF"/>
            <w:u w:val="single"/>
            <w:rtl/>
          </w:rPr>
          <w:t>רע"פ 3059/21</w:t>
        </w:r>
      </w:hyperlink>
      <w:r>
        <w:rPr>
          <w:rFonts w:hint="cs"/>
          <w:rtl/>
        </w:rPr>
        <w:t xml:space="preserve"> </w:t>
      </w:r>
      <w:r w:rsidRPr="00E20A8E">
        <w:rPr>
          <w:rFonts w:hint="cs"/>
          <w:b/>
          <w:bCs/>
          <w:rtl/>
        </w:rPr>
        <w:t>ימין נ' מדינת ישראל</w:t>
      </w:r>
      <w:r>
        <w:rPr>
          <w:rFonts w:hint="cs"/>
          <w:rtl/>
        </w:rPr>
        <w:t xml:space="preserve">, שם הורשע הנאשם בחמש עסקות סחר בסם מסוג קנבוס. הנאשם קיבל שכר יומי עבור מעשיו, דהיינו היה ממוקם נמוך בשרשרת העבריינית. בית המשפט קבע מתחם אחד של 10-20 חודשי מאסר. על אף המלצת שירות המבחן להסתפק בעונש של"צ, הטיל עונש מאסר בן 8 חודשים לריצוי על דרך עבודות שירות, תוך שהוא חורג לקולא ממתחם העונש ההולם. </w:t>
      </w:r>
      <w:hyperlink r:id="rId33" w:history="1">
        <w:r w:rsidR="009744BD" w:rsidRPr="009744BD">
          <w:rPr>
            <w:color w:val="0000FF"/>
            <w:u w:val="single"/>
            <w:rtl/>
          </w:rPr>
          <w:t>רע"פ 7275/11</w:t>
        </w:r>
      </w:hyperlink>
      <w:r w:rsidRPr="00D330C1">
        <w:rPr>
          <w:rtl/>
        </w:rPr>
        <w:t xml:space="preserve"> </w:t>
      </w:r>
      <w:r w:rsidRPr="00D330C1">
        <w:rPr>
          <w:b/>
          <w:bCs/>
          <w:rtl/>
        </w:rPr>
        <w:t xml:space="preserve">נאסר נ' מדינת ישראל </w:t>
      </w:r>
      <w:r w:rsidRPr="00D330C1">
        <w:rPr>
          <w:rFonts w:hint="cs"/>
          <w:rtl/>
        </w:rPr>
        <w:t xml:space="preserve">שם דחה בית המשפט העליון בקשת </w:t>
      </w:r>
      <w:r w:rsidRPr="00D330C1">
        <w:rPr>
          <w:rtl/>
        </w:rPr>
        <w:t xml:space="preserve">רשות ערעור של נאשם שהורשע בעבירות סחר בסמים </w:t>
      </w:r>
      <w:r w:rsidRPr="00D330C1">
        <w:rPr>
          <w:rFonts w:hint="cs"/>
          <w:rtl/>
        </w:rPr>
        <w:t>ל</w:t>
      </w:r>
      <w:r w:rsidRPr="00D330C1">
        <w:rPr>
          <w:rtl/>
        </w:rPr>
        <w:t>סוכן משטרתי במספר מקרים</w:t>
      </w:r>
      <w:r>
        <w:rPr>
          <w:rFonts w:hint="cs"/>
          <w:rtl/>
        </w:rPr>
        <w:t>.</w:t>
      </w:r>
      <w:r w:rsidRPr="00D330C1">
        <w:rPr>
          <w:rFonts w:hint="cs"/>
          <w:rtl/>
        </w:rPr>
        <w:t xml:space="preserve"> הנאשם היה נעדר עבר פלילי והוא </w:t>
      </w:r>
      <w:r w:rsidRPr="00D330C1">
        <w:rPr>
          <w:rtl/>
        </w:rPr>
        <w:t>נדון ל- 5 חודשי מאסר בפועל.</w:t>
      </w:r>
      <w:r w:rsidRPr="00D330C1">
        <w:rPr>
          <w:rFonts w:hint="cs"/>
          <w:rtl/>
        </w:rPr>
        <w:t xml:space="preserve"> </w:t>
      </w:r>
      <w:r>
        <w:rPr>
          <w:rFonts w:hint="cs"/>
          <w:rtl/>
        </w:rPr>
        <w:t xml:space="preserve"> </w:t>
      </w:r>
      <w:r w:rsidRPr="00A10463">
        <w:rPr>
          <w:rFonts w:hint="cs"/>
          <w:rtl/>
        </w:rPr>
        <w:t xml:space="preserve"> </w:t>
      </w:r>
    </w:p>
    <w:p w14:paraId="1357FED3" w14:textId="77777777" w:rsidR="00FF78AA" w:rsidRDefault="00FF78AA" w:rsidP="00FF78AA">
      <w:pPr>
        <w:pStyle w:val="a"/>
        <w:numPr>
          <w:ilvl w:val="0"/>
          <w:numId w:val="0"/>
        </w:numPr>
        <w:spacing w:after="200"/>
        <w:ind w:left="360"/>
        <w:contextualSpacing/>
        <w:jc w:val="both"/>
      </w:pPr>
    </w:p>
    <w:p w14:paraId="31D7AC6F" w14:textId="77777777" w:rsidR="00FF78AA" w:rsidRDefault="00FF78AA" w:rsidP="00FF78AA">
      <w:pPr>
        <w:pStyle w:val="a"/>
        <w:numPr>
          <w:ilvl w:val="0"/>
          <w:numId w:val="1"/>
        </w:numPr>
        <w:spacing w:after="200"/>
        <w:ind w:left="360"/>
        <w:contextualSpacing/>
        <w:jc w:val="both"/>
      </w:pPr>
      <w:r>
        <w:rPr>
          <w:rFonts w:hint="cs"/>
          <w:rtl/>
        </w:rPr>
        <w:t xml:space="preserve">מבתי המשפט המחוזיים ראו למשל </w:t>
      </w:r>
      <w:hyperlink r:id="rId34" w:history="1">
        <w:r w:rsidR="009744BD" w:rsidRPr="009744BD">
          <w:rPr>
            <w:color w:val="0000FF"/>
            <w:u w:val="single"/>
            <w:rtl/>
          </w:rPr>
          <w:t>עפ"ג 11549-01-20</w:t>
        </w:r>
      </w:hyperlink>
      <w:r>
        <w:rPr>
          <w:rFonts w:hint="cs"/>
          <w:rtl/>
        </w:rPr>
        <w:t xml:space="preserve"> </w:t>
      </w:r>
      <w:r>
        <w:rPr>
          <w:rFonts w:hint="cs"/>
          <w:b/>
          <w:bCs/>
          <w:rtl/>
        </w:rPr>
        <w:t>סלימוב</w:t>
      </w:r>
      <w:r w:rsidRPr="00EA4B3C">
        <w:rPr>
          <w:rFonts w:hint="cs"/>
          <w:b/>
          <w:bCs/>
          <w:rtl/>
        </w:rPr>
        <w:t xml:space="preserve"> נ' מדינת ישראל</w:t>
      </w:r>
      <w:r>
        <w:rPr>
          <w:rFonts w:hint="cs"/>
          <w:rtl/>
        </w:rPr>
        <w:t xml:space="preserve">, שם אישר בית המשפט המחוזי עונש של 32 חודשי מאסר בעניינו של מערער בעל עבר פלילי שהורשע בארבע  עבירות של סחר בסם מסוכן מסוג קנבוס, בהחזקת סם מסוכן מסוג קנבוס בכמות 58 גרם ובעבירה של הפרעה לשוטר. ראו אף </w:t>
      </w:r>
      <w:hyperlink r:id="rId35" w:history="1">
        <w:r w:rsidR="009744BD" w:rsidRPr="009744BD">
          <w:rPr>
            <w:color w:val="0000FF"/>
            <w:u w:val="single"/>
            <w:rtl/>
          </w:rPr>
          <w:t>עפ"ג 68646-02-19</w:t>
        </w:r>
      </w:hyperlink>
      <w:r>
        <w:rPr>
          <w:rFonts w:hint="cs"/>
          <w:rtl/>
        </w:rPr>
        <w:t xml:space="preserve"> </w:t>
      </w:r>
      <w:r w:rsidRPr="00EA4B3C">
        <w:rPr>
          <w:rFonts w:hint="cs"/>
          <w:b/>
          <w:bCs/>
          <w:rtl/>
        </w:rPr>
        <w:t>נגורני נ' מדינת ישראל</w:t>
      </w:r>
      <w:r>
        <w:rPr>
          <w:rFonts w:hint="cs"/>
          <w:rtl/>
        </w:rPr>
        <w:t>, שם אישר בית המשפט המחוזי מתחם של 32-60 חודשי מאסר בעניינו של מערער שהורשע בשמונה עבירות של סחר בסם מסוכן מסוג קנבוס באמצעות אפליקציית הטלגראס. ובעבירה של החזקה 267 גרם סם מסוכן מסוג קנבוס.</w:t>
      </w:r>
    </w:p>
    <w:p w14:paraId="39FEF89D" w14:textId="77777777" w:rsidR="00FF78AA" w:rsidRDefault="00FF78AA" w:rsidP="00FF78AA">
      <w:pPr>
        <w:pStyle w:val="a"/>
        <w:numPr>
          <w:ilvl w:val="0"/>
          <w:numId w:val="0"/>
        </w:numPr>
        <w:spacing w:after="200"/>
        <w:ind w:left="360"/>
        <w:contextualSpacing/>
        <w:jc w:val="both"/>
      </w:pPr>
    </w:p>
    <w:p w14:paraId="05947428" w14:textId="77777777" w:rsidR="00FF78AA" w:rsidRDefault="00FF78AA" w:rsidP="00FF78AA">
      <w:pPr>
        <w:pStyle w:val="a"/>
        <w:numPr>
          <w:ilvl w:val="0"/>
          <w:numId w:val="1"/>
        </w:numPr>
        <w:spacing w:after="200"/>
        <w:ind w:left="360"/>
        <w:contextualSpacing/>
        <w:jc w:val="both"/>
      </w:pPr>
      <w:r>
        <w:rPr>
          <w:rFonts w:hint="cs"/>
          <w:rtl/>
        </w:rPr>
        <w:t xml:space="preserve">מבתי משפט השלום ראו </w:t>
      </w:r>
      <w:hyperlink r:id="rId36" w:history="1">
        <w:r w:rsidR="009744BD" w:rsidRPr="009744BD">
          <w:rPr>
            <w:color w:val="0000FF"/>
            <w:u w:val="single"/>
            <w:rtl/>
          </w:rPr>
          <w:t>ת"פ 26513-05-12</w:t>
        </w:r>
      </w:hyperlink>
      <w:r w:rsidRPr="00A10463">
        <w:rPr>
          <w:rFonts w:hint="cs"/>
          <w:rtl/>
        </w:rPr>
        <w:t xml:space="preserve"> </w:t>
      </w:r>
      <w:r w:rsidRPr="00CF0509">
        <w:rPr>
          <w:rFonts w:hint="cs"/>
          <w:b/>
          <w:bCs/>
          <w:rtl/>
        </w:rPr>
        <w:t>מדינת ישראל נ' עיסא איברהים</w:t>
      </w:r>
      <w:r w:rsidRPr="00A10463">
        <w:rPr>
          <w:rFonts w:hint="cs"/>
          <w:rtl/>
        </w:rPr>
        <w:t xml:space="preserve"> שם קבע בית המשפט מתחם של 5-12 ח' מאסר בעבירת סחר</w:t>
      </w:r>
      <w:r>
        <w:rPr>
          <w:rFonts w:hint="cs"/>
          <w:rtl/>
        </w:rPr>
        <w:t xml:space="preserve"> יחידה של כמות קטנה של סם קנבוס.</w:t>
      </w:r>
      <w:r w:rsidRPr="007709C0">
        <w:rPr>
          <w:rFonts w:hint="cs"/>
          <w:rtl/>
        </w:rPr>
        <w:t xml:space="preserve"> </w:t>
      </w:r>
      <w:hyperlink r:id="rId37" w:history="1">
        <w:r w:rsidR="009744BD" w:rsidRPr="009744BD">
          <w:rPr>
            <w:color w:val="0000FF"/>
            <w:u w:val="single"/>
            <w:rtl/>
          </w:rPr>
          <w:t>ת"פ (ב"ש) 13757-10-19</w:t>
        </w:r>
      </w:hyperlink>
      <w:r w:rsidRPr="00D330C1">
        <w:rPr>
          <w:rFonts w:hint="cs"/>
          <w:rtl/>
        </w:rPr>
        <w:t xml:space="preserve"> </w:t>
      </w:r>
      <w:r w:rsidRPr="00D330C1">
        <w:rPr>
          <w:rFonts w:hint="cs"/>
          <w:b/>
          <w:bCs/>
          <w:rtl/>
        </w:rPr>
        <w:t>מדינת ישראל נ' אסד</w:t>
      </w:r>
      <w:r w:rsidRPr="00D330C1">
        <w:rPr>
          <w:rFonts w:hint="cs"/>
          <w:rtl/>
        </w:rPr>
        <w:t xml:space="preserve">, </w:t>
      </w:r>
      <w:r>
        <w:rPr>
          <w:rFonts w:hint="cs"/>
          <w:rtl/>
        </w:rPr>
        <w:t xml:space="preserve">שם </w:t>
      </w:r>
      <w:r w:rsidRPr="00D330C1">
        <w:rPr>
          <w:rFonts w:hint="cs"/>
          <w:rtl/>
        </w:rPr>
        <w:t>הורשע נאשם בעסקה יחידה בסם קנבוס במשקל 13 גרם</w:t>
      </w:r>
      <w:r>
        <w:rPr>
          <w:rFonts w:hint="cs"/>
          <w:rtl/>
        </w:rPr>
        <w:t xml:space="preserve">. בית המשפט </w:t>
      </w:r>
      <w:r w:rsidRPr="00D330C1">
        <w:rPr>
          <w:rFonts w:hint="cs"/>
          <w:rtl/>
        </w:rPr>
        <w:t>קבע מתחם ענישה הנע בין מספר חודשי עבודות שירות ועד 8 חודשי מאסר בפועל</w:t>
      </w:r>
      <w:r>
        <w:rPr>
          <w:rFonts w:hint="cs"/>
          <w:rtl/>
        </w:rPr>
        <w:t>.</w:t>
      </w:r>
    </w:p>
    <w:p w14:paraId="2B38E332" w14:textId="77777777" w:rsidR="00FF78AA" w:rsidRDefault="00FF78AA" w:rsidP="00FF78AA">
      <w:pPr>
        <w:pStyle w:val="a"/>
        <w:numPr>
          <w:ilvl w:val="0"/>
          <w:numId w:val="0"/>
        </w:numPr>
        <w:spacing w:after="200"/>
        <w:ind w:left="360"/>
        <w:contextualSpacing/>
        <w:jc w:val="both"/>
      </w:pPr>
    </w:p>
    <w:p w14:paraId="4070C5A3" w14:textId="77777777" w:rsidR="00FF78AA" w:rsidRDefault="00FF78AA" w:rsidP="00FF78AA">
      <w:pPr>
        <w:pStyle w:val="a"/>
        <w:numPr>
          <w:ilvl w:val="0"/>
          <w:numId w:val="1"/>
        </w:numPr>
        <w:spacing w:after="200"/>
        <w:ind w:left="360"/>
        <w:contextualSpacing/>
        <w:jc w:val="both"/>
      </w:pPr>
      <w:r>
        <w:rPr>
          <w:rFonts w:hint="cs"/>
          <w:rtl/>
        </w:rPr>
        <w:t xml:space="preserve">ביחס לעבירת החזקת הסמים שלא לצריכה עצמית, ראו למשל </w:t>
      </w:r>
      <w:hyperlink r:id="rId38" w:history="1">
        <w:r w:rsidR="009744BD" w:rsidRPr="009744BD">
          <w:rPr>
            <w:color w:val="0000FF"/>
            <w:u w:val="single"/>
            <w:rtl/>
          </w:rPr>
          <w:t>רע"פ 8759/21</w:t>
        </w:r>
      </w:hyperlink>
      <w:r w:rsidRPr="0073344D">
        <w:rPr>
          <w:rtl/>
        </w:rPr>
        <w:t xml:space="preserve"> </w:t>
      </w:r>
      <w:r w:rsidRPr="0073344D">
        <w:rPr>
          <w:b/>
          <w:bCs/>
          <w:rtl/>
        </w:rPr>
        <w:t>אלעד קסלר נ' מדינת</w:t>
      </w:r>
      <w:r>
        <w:rPr>
          <w:rFonts w:hint="cs"/>
          <w:b/>
          <w:bCs/>
          <w:rtl/>
        </w:rPr>
        <w:t>,</w:t>
      </w:r>
      <w:r w:rsidRPr="00BF6FCB">
        <w:rPr>
          <w:rFonts w:hint="cs"/>
          <w:rtl/>
        </w:rPr>
        <w:t xml:space="preserve"> שם</w:t>
      </w:r>
      <w:r w:rsidRPr="0073344D">
        <w:rPr>
          <w:b/>
          <w:bCs/>
          <w:rtl/>
        </w:rPr>
        <w:t xml:space="preserve"> </w:t>
      </w:r>
      <w:r w:rsidRPr="0073344D">
        <w:rPr>
          <w:rtl/>
        </w:rPr>
        <w:t xml:space="preserve">הנאשם החזיק בביתו סם קנבוס במשקל כולל של 229.35 גרם, בית המשפט קבע מתחם עונש </w:t>
      </w:r>
      <w:r>
        <w:rPr>
          <w:rFonts w:hint="cs"/>
          <w:rtl/>
        </w:rPr>
        <w:t xml:space="preserve">לעבירה </w:t>
      </w:r>
      <w:r w:rsidRPr="0073344D">
        <w:rPr>
          <w:rtl/>
        </w:rPr>
        <w:t>הנע בין מאסר על תנאי לצד צו של"צ, וענישה נלווית ועד ל-8 חודשי מאסר בפועל.</w:t>
      </w:r>
    </w:p>
    <w:p w14:paraId="415ADB33" w14:textId="77777777" w:rsidR="00FF78AA" w:rsidRDefault="00FF78AA" w:rsidP="00FF78AA">
      <w:pPr>
        <w:pStyle w:val="a"/>
        <w:numPr>
          <w:ilvl w:val="0"/>
          <w:numId w:val="0"/>
        </w:numPr>
        <w:spacing w:after="200"/>
        <w:ind w:left="360"/>
        <w:contextualSpacing/>
        <w:jc w:val="both"/>
      </w:pPr>
    </w:p>
    <w:p w14:paraId="55981D53" w14:textId="77777777" w:rsidR="00FF78AA" w:rsidRPr="00A10463" w:rsidRDefault="00FF78AA" w:rsidP="00FF78AA">
      <w:pPr>
        <w:spacing w:line="360" w:lineRule="auto"/>
        <w:ind w:firstLine="360"/>
        <w:jc w:val="both"/>
        <w:rPr>
          <w:rFonts w:ascii="David" w:hAnsi="David"/>
          <w:b/>
          <w:bCs/>
          <w:u w:val="single"/>
        </w:rPr>
      </w:pPr>
      <w:r w:rsidRPr="00A10463">
        <w:rPr>
          <w:rFonts w:ascii="David" w:hAnsi="David"/>
          <w:b/>
          <w:bCs/>
          <w:u w:val="single"/>
          <w:rtl/>
        </w:rPr>
        <w:t>הנסיבות הקשורות בביצוע העבירה:</w:t>
      </w:r>
    </w:p>
    <w:p w14:paraId="47A9E546" w14:textId="77777777" w:rsidR="00FF78AA" w:rsidRPr="00BF6FCB" w:rsidRDefault="00FF78AA" w:rsidP="00FF78AA">
      <w:pPr>
        <w:pStyle w:val="aa"/>
        <w:numPr>
          <w:ilvl w:val="0"/>
          <w:numId w:val="1"/>
        </w:numPr>
        <w:spacing w:after="0" w:line="360" w:lineRule="auto"/>
        <w:ind w:left="360"/>
        <w:jc w:val="both"/>
        <w:rPr>
          <w:rFonts w:ascii="David" w:hAnsi="David" w:cs="David"/>
          <w:sz w:val="24"/>
          <w:szCs w:val="24"/>
        </w:rPr>
      </w:pPr>
      <w:r>
        <w:rPr>
          <w:rFonts w:ascii="David" w:hAnsi="David" w:cs="David" w:hint="cs"/>
          <w:sz w:val="24"/>
          <w:szCs w:val="24"/>
          <w:rtl/>
        </w:rPr>
        <w:t>מדובר בריבוי עבירות סחר בסם, העבירות היו מתוכננות כדבעי, המכירה הייתה שיטתית ומתמשכת. הנאשם הינו המבצע העיקרי, ובאחד מן האירועים מכר הנאשם סם לקטינה. בצד האמור, מדובר בסם מסוג קנאביס שאינו מן הסמים הקשים, כמויות הסמים שנמכרו בכל אחד מן האירועים הייתה נמוכה וגם אם מדובר במספר רב של עסקאות סחר בסם הן בוצעו במהלך תקופה קצרה של שבועיים ימים</w:t>
      </w:r>
      <w:r w:rsidRPr="00BF6FCB">
        <w:rPr>
          <w:rFonts w:ascii="David" w:hAnsi="David" w:cs="David" w:hint="cs"/>
          <w:sz w:val="24"/>
          <w:szCs w:val="24"/>
          <w:rtl/>
        </w:rPr>
        <w:t xml:space="preserve">. </w:t>
      </w:r>
      <w:r>
        <w:rPr>
          <w:rFonts w:ascii="David" w:hAnsi="David" w:cs="David" w:hint="cs"/>
          <w:sz w:val="24"/>
          <w:szCs w:val="24"/>
          <w:rtl/>
        </w:rPr>
        <w:t>נקודה לחומרה ביחס לאישום השני הוא שהסם נמכר לקטינה.</w:t>
      </w:r>
    </w:p>
    <w:p w14:paraId="5BCD8C63" w14:textId="77777777" w:rsidR="00FF78AA" w:rsidRPr="00A10463" w:rsidRDefault="00FF78AA" w:rsidP="00FF78AA">
      <w:pPr>
        <w:pStyle w:val="aa"/>
        <w:spacing w:after="0" w:line="360" w:lineRule="auto"/>
        <w:ind w:left="360"/>
        <w:jc w:val="both"/>
        <w:rPr>
          <w:rFonts w:ascii="David" w:hAnsi="David" w:cs="David"/>
          <w:sz w:val="24"/>
          <w:szCs w:val="24"/>
        </w:rPr>
      </w:pPr>
    </w:p>
    <w:p w14:paraId="778FA99F" w14:textId="77777777" w:rsidR="00FF78AA" w:rsidRPr="00CF0509" w:rsidRDefault="00FF78AA" w:rsidP="00FF78AA">
      <w:pPr>
        <w:pStyle w:val="aa"/>
        <w:numPr>
          <w:ilvl w:val="0"/>
          <w:numId w:val="1"/>
        </w:numPr>
        <w:spacing w:after="0" w:line="360" w:lineRule="auto"/>
        <w:ind w:left="360"/>
        <w:jc w:val="both"/>
        <w:rPr>
          <w:rFonts w:ascii="David" w:hAnsi="David" w:cs="David"/>
          <w:sz w:val="24"/>
          <w:szCs w:val="24"/>
        </w:rPr>
      </w:pPr>
      <w:r w:rsidRPr="00CF0509">
        <w:rPr>
          <w:rFonts w:ascii="David" w:hAnsi="David" w:cs="David"/>
          <w:sz w:val="24"/>
          <w:szCs w:val="24"/>
          <w:rtl/>
        </w:rPr>
        <w:t xml:space="preserve">לאחר שבחנתי את הערכים המוגנים שנפגעו מביצוע העבירה על ידי הנאשם, מידת הפגיעה בערכים אלו, ובנסיבות ביצוע העבירה, הרי שאני קובע </w:t>
      </w:r>
      <w:r>
        <w:rPr>
          <w:rFonts w:ascii="David" w:hAnsi="David" w:cs="David" w:hint="cs"/>
          <w:sz w:val="24"/>
          <w:szCs w:val="24"/>
          <w:rtl/>
        </w:rPr>
        <w:t>כדלקמן:</w:t>
      </w:r>
      <w:r w:rsidRPr="00CF0509">
        <w:rPr>
          <w:rFonts w:ascii="David" w:hAnsi="David" w:cs="David"/>
          <w:sz w:val="24"/>
          <w:szCs w:val="24"/>
          <w:rtl/>
        </w:rPr>
        <w:t xml:space="preserve"> </w:t>
      </w:r>
    </w:p>
    <w:p w14:paraId="5D6B3C09" w14:textId="77777777" w:rsidR="00FF78AA" w:rsidRPr="00CF0509" w:rsidRDefault="00FF78AA" w:rsidP="00FF78AA">
      <w:pPr>
        <w:pStyle w:val="aa"/>
        <w:spacing w:line="360" w:lineRule="auto"/>
        <w:ind w:left="360"/>
        <w:rPr>
          <w:rFonts w:ascii="David" w:hAnsi="David" w:cs="David"/>
          <w:sz w:val="24"/>
          <w:szCs w:val="24"/>
          <w:rtl/>
        </w:rPr>
      </w:pPr>
    </w:p>
    <w:p w14:paraId="75EB0819" w14:textId="77777777" w:rsidR="00FF78AA" w:rsidRDefault="00FF78AA" w:rsidP="00FF78AA">
      <w:pPr>
        <w:pStyle w:val="aa"/>
        <w:numPr>
          <w:ilvl w:val="1"/>
          <w:numId w:val="1"/>
        </w:numPr>
        <w:spacing w:after="0" w:line="360" w:lineRule="auto"/>
        <w:ind w:left="1080"/>
        <w:jc w:val="both"/>
        <w:rPr>
          <w:rFonts w:ascii="David" w:hAnsi="David" w:cs="David"/>
          <w:sz w:val="24"/>
          <w:szCs w:val="24"/>
        </w:rPr>
      </w:pPr>
      <w:r w:rsidRPr="00CF0509">
        <w:rPr>
          <w:rFonts w:ascii="David" w:hAnsi="David" w:cs="David" w:hint="cs"/>
          <w:sz w:val="24"/>
          <w:szCs w:val="24"/>
          <w:rtl/>
        </w:rPr>
        <w:t xml:space="preserve">מתחם העונש ההולם לעבירת החזקת סם מסוכן שלא לצריכה עצמית באישום הראשון </w:t>
      </w:r>
      <w:r>
        <w:rPr>
          <w:rFonts w:ascii="David" w:hAnsi="David" w:cs="David" w:hint="cs"/>
          <w:sz w:val="24"/>
          <w:szCs w:val="24"/>
          <w:rtl/>
        </w:rPr>
        <w:t xml:space="preserve">נע בין מאסר על תנאי ועד 6 חודשי מאסר מאחורי סורג ובריח. </w:t>
      </w:r>
    </w:p>
    <w:p w14:paraId="54A29753" w14:textId="77777777" w:rsidR="00FF78AA" w:rsidRPr="00CF0509" w:rsidRDefault="00FF78AA" w:rsidP="00FF78AA">
      <w:pPr>
        <w:pStyle w:val="aa"/>
        <w:spacing w:after="0" w:line="360" w:lineRule="auto"/>
        <w:ind w:left="1080"/>
        <w:jc w:val="both"/>
        <w:rPr>
          <w:rFonts w:ascii="David" w:hAnsi="David" w:cs="David"/>
          <w:sz w:val="24"/>
          <w:szCs w:val="24"/>
        </w:rPr>
      </w:pPr>
      <w:r w:rsidRPr="00CF0509">
        <w:rPr>
          <w:rFonts w:ascii="David" w:hAnsi="David" w:cs="David" w:hint="cs"/>
          <w:sz w:val="24"/>
          <w:szCs w:val="24"/>
          <w:rtl/>
        </w:rPr>
        <w:t xml:space="preserve"> </w:t>
      </w:r>
    </w:p>
    <w:p w14:paraId="7C9428E2" w14:textId="77777777" w:rsidR="00FF78AA" w:rsidRDefault="00FF78AA" w:rsidP="00FF78AA">
      <w:pPr>
        <w:pStyle w:val="aa"/>
        <w:numPr>
          <w:ilvl w:val="1"/>
          <w:numId w:val="1"/>
        </w:numPr>
        <w:spacing w:after="0" w:line="360" w:lineRule="auto"/>
        <w:ind w:left="1080"/>
        <w:jc w:val="both"/>
        <w:rPr>
          <w:rFonts w:ascii="David" w:hAnsi="David" w:cs="David"/>
          <w:sz w:val="24"/>
          <w:szCs w:val="24"/>
        </w:rPr>
      </w:pPr>
      <w:r w:rsidRPr="00CF0509">
        <w:rPr>
          <w:rFonts w:ascii="David" w:hAnsi="David" w:cs="David" w:hint="cs"/>
          <w:sz w:val="24"/>
          <w:szCs w:val="24"/>
          <w:rtl/>
        </w:rPr>
        <w:t xml:space="preserve">מתחם העונש </w:t>
      </w:r>
      <w:r>
        <w:rPr>
          <w:rFonts w:ascii="David" w:hAnsi="David" w:cs="David" w:hint="cs"/>
          <w:sz w:val="24"/>
          <w:szCs w:val="24"/>
          <w:rtl/>
        </w:rPr>
        <w:t>ההולם</w:t>
      </w:r>
      <w:r w:rsidRPr="00CF0509">
        <w:rPr>
          <w:rFonts w:ascii="David" w:hAnsi="David" w:cs="David" w:hint="cs"/>
          <w:sz w:val="24"/>
          <w:szCs w:val="24"/>
          <w:rtl/>
        </w:rPr>
        <w:t xml:space="preserve"> לעבירת הסחר בסם מסוכן באישום השני </w:t>
      </w:r>
      <w:r>
        <w:rPr>
          <w:rFonts w:ascii="David" w:hAnsi="David" w:cs="David" w:hint="cs"/>
          <w:sz w:val="24"/>
          <w:szCs w:val="24"/>
          <w:rtl/>
        </w:rPr>
        <w:t>נע בין 4 חודשי מאסר שיכול וירוצו בדרך של עבודות שירות ועד 12 חודשי מאסר בפועל מאחורי סורג ובריח.</w:t>
      </w:r>
      <w:r w:rsidRPr="00CF0509">
        <w:rPr>
          <w:rFonts w:ascii="David" w:hAnsi="David" w:cs="David" w:hint="cs"/>
          <w:sz w:val="24"/>
          <w:szCs w:val="24"/>
          <w:rtl/>
        </w:rPr>
        <w:t xml:space="preserve"> </w:t>
      </w:r>
      <w:r w:rsidRPr="00CF0509">
        <w:rPr>
          <w:rFonts w:ascii="David" w:hAnsi="David" w:cs="David"/>
          <w:sz w:val="24"/>
          <w:szCs w:val="24"/>
          <w:rtl/>
        </w:rPr>
        <w:t xml:space="preserve"> </w:t>
      </w:r>
      <w:r w:rsidRPr="00CF0509">
        <w:rPr>
          <w:rFonts w:ascii="David" w:hAnsi="David" w:cs="David" w:hint="cs"/>
          <w:sz w:val="24"/>
          <w:szCs w:val="24"/>
          <w:rtl/>
        </w:rPr>
        <w:t xml:space="preserve"> </w:t>
      </w:r>
    </w:p>
    <w:p w14:paraId="5AF16F38" w14:textId="77777777" w:rsidR="00FF78AA" w:rsidRDefault="00FF78AA" w:rsidP="00FF78AA">
      <w:pPr>
        <w:pStyle w:val="aa"/>
        <w:spacing w:line="360" w:lineRule="auto"/>
        <w:rPr>
          <w:rFonts w:ascii="David" w:hAnsi="David" w:cs="David"/>
          <w:sz w:val="24"/>
          <w:szCs w:val="24"/>
          <w:rtl/>
        </w:rPr>
      </w:pPr>
    </w:p>
    <w:p w14:paraId="7B44A0C4" w14:textId="77777777" w:rsidR="00FF78AA" w:rsidRPr="00CF0509" w:rsidRDefault="00FF78AA" w:rsidP="00FF78AA">
      <w:pPr>
        <w:pStyle w:val="aa"/>
        <w:numPr>
          <w:ilvl w:val="1"/>
          <w:numId w:val="1"/>
        </w:numPr>
        <w:spacing w:after="0" w:line="360" w:lineRule="auto"/>
        <w:ind w:left="1080"/>
        <w:jc w:val="both"/>
        <w:rPr>
          <w:rFonts w:ascii="David" w:hAnsi="David" w:cs="David"/>
          <w:sz w:val="24"/>
          <w:szCs w:val="24"/>
        </w:rPr>
      </w:pPr>
      <w:r w:rsidRPr="00CF0509">
        <w:rPr>
          <w:rFonts w:ascii="David" w:hAnsi="David" w:cs="David"/>
          <w:sz w:val="24"/>
          <w:szCs w:val="24"/>
          <w:rtl/>
        </w:rPr>
        <w:t>מתח</w:t>
      </w:r>
      <w:r w:rsidRPr="00CF0509">
        <w:rPr>
          <w:rFonts w:ascii="David" w:hAnsi="David" w:cs="David" w:hint="cs"/>
          <w:sz w:val="24"/>
          <w:szCs w:val="24"/>
          <w:rtl/>
        </w:rPr>
        <w:t>ם</w:t>
      </w:r>
      <w:r w:rsidRPr="00CF0509">
        <w:rPr>
          <w:rFonts w:ascii="David" w:hAnsi="David" w:cs="David"/>
          <w:sz w:val="24"/>
          <w:szCs w:val="24"/>
          <w:rtl/>
        </w:rPr>
        <w:t xml:space="preserve"> העונש</w:t>
      </w:r>
      <w:r w:rsidRPr="00CF0509">
        <w:rPr>
          <w:rFonts w:ascii="David" w:hAnsi="David" w:cs="David" w:hint="cs"/>
          <w:sz w:val="24"/>
          <w:szCs w:val="24"/>
          <w:rtl/>
        </w:rPr>
        <w:t xml:space="preserve"> </w:t>
      </w:r>
      <w:r>
        <w:rPr>
          <w:rFonts w:ascii="David" w:hAnsi="David" w:cs="David" w:hint="cs"/>
          <w:sz w:val="24"/>
          <w:szCs w:val="24"/>
          <w:rtl/>
        </w:rPr>
        <w:t>ההולם</w:t>
      </w:r>
      <w:r w:rsidRPr="00CF0509">
        <w:rPr>
          <w:rFonts w:ascii="David" w:hAnsi="David" w:cs="David" w:hint="cs"/>
          <w:sz w:val="24"/>
          <w:szCs w:val="24"/>
          <w:rtl/>
        </w:rPr>
        <w:t xml:space="preserve"> לכל אחת מעבירות הסחר בסם מסוכן באישומים 3-7, 9 , 11 -12 </w:t>
      </w:r>
      <w:r>
        <w:rPr>
          <w:rFonts w:ascii="David" w:hAnsi="David" w:cs="David" w:hint="cs"/>
          <w:sz w:val="24"/>
          <w:szCs w:val="24"/>
          <w:rtl/>
        </w:rPr>
        <w:t>נע בין 3 חודשי מאסר שיכול וירוצו בעבודות שירות ועד 9 חודשי מאסר מאחורי סורג ובריח.</w:t>
      </w:r>
      <w:r w:rsidRPr="00CF0509">
        <w:rPr>
          <w:rFonts w:ascii="David" w:hAnsi="David" w:cs="David" w:hint="cs"/>
          <w:sz w:val="24"/>
          <w:szCs w:val="24"/>
          <w:rtl/>
        </w:rPr>
        <w:t xml:space="preserve"> </w:t>
      </w:r>
    </w:p>
    <w:p w14:paraId="12D86ED9" w14:textId="77777777" w:rsidR="00FF78AA" w:rsidRPr="00A10463" w:rsidRDefault="00FF78AA" w:rsidP="00FF78AA">
      <w:pPr>
        <w:pStyle w:val="aa"/>
        <w:spacing w:after="0" w:line="360" w:lineRule="auto"/>
        <w:ind w:left="1080"/>
        <w:jc w:val="both"/>
        <w:rPr>
          <w:rFonts w:ascii="David" w:hAnsi="David" w:cs="David"/>
          <w:sz w:val="24"/>
          <w:szCs w:val="24"/>
        </w:rPr>
      </w:pPr>
    </w:p>
    <w:p w14:paraId="14214730" w14:textId="77777777" w:rsidR="00FF78AA" w:rsidRPr="00CF0509" w:rsidRDefault="00FF78AA" w:rsidP="00FF78AA">
      <w:pPr>
        <w:pStyle w:val="aa"/>
        <w:numPr>
          <w:ilvl w:val="0"/>
          <w:numId w:val="1"/>
        </w:numPr>
        <w:spacing w:after="0" w:line="360" w:lineRule="auto"/>
        <w:ind w:left="360"/>
        <w:jc w:val="both"/>
        <w:rPr>
          <w:rFonts w:ascii="David" w:hAnsi="David" w:cs="David"/>
          <w:sz w:val="24"/>
          <w:szCs w:val="24"/>
          <w:rtl/>
        </w:rPr>
      </w:pPr>
      <w:r w:rsidRPr="00CF0509">
        <w:rPr>
          <w:rFonts w:ascii="David" w:hAnsi="David" w:cs="David" w:hint="cs"/>
          <w:sz w:val="24"/>
          <w:szCs w:val="24"/>
          <w:rtl/>
        </w:rPr>
        <w:t xml:space="preserve">כל </w:t>
      </w:r>
      <w:r w:rsidRPr="00CF0509">
        <w:rPr>
          <w:rFonts w:ascii="David" w:hAnsi="David" w:cs="David"/>
          <w:sz w:val="24"/>
          <w:szCs w:val="24"/>
          <w:rtl/>
        </w:rPr>
        <w:t>זאת</w:t>
      </w:r>
      <w:r>
        <w:rPr>
          <w:rFonts w:ascii="David" w:hAnsi="David" w:cs="David" w:hint="cs"/>
          <w:sz w:val="24"/>
          <w:szCs w:val="24"/>
          <w:rtl/>
        </w:rPr>
        <w:t>,</w:t>
      </w:r>
      <w:r w:rsidRPr="00CF0509">
        <w:rPr>
          <w:rFonts w:ascii="David" w:hAnsi="David" w:cs="David"/>
          <w:sz w:val="24"/>
          <w:szCs w:val="24"/>
          <w:rtl/>
        </w:rPr>
        <w:t xml:space="preserve"> לצד רכיבי ענישה אחרים.</w:t>
      </w:r>
    </w:p>
    <w:p w14:paraId="5BB4B36F" w14:textId="77777777" w:rsidR="00FF78AA" w:rsidRDefault="00FF78AA" w:rsidP="00FF78AA">
      <w:pPr>
        <w:spacing w:line="360" w:lineRule="auto"/>
        <w:jc w:val="both"/>
        <w:rPr>
          <w:rFonts w:ascii="David" w:hAnsi="David"/>
          <w:b/>
          <w:bCs/>
          <w:u w:val="single"/>
          <w:rtl/>
        </w:rPr>
      </w:pPr>
    </w:p>
    <w:p w14:paraId="3E548F9A" w14:textId="77777777" w:rsidR="00FF78AA" w:rsidRPr="00A10463" w:rsidRDefault="00FF78AA" w:rsidP="00FF78AA">
      <w:pPr>
        <w:spacing w:line="360" w:lineRule="auto"/>
        <w:jc w:val="both"/>
        <w:rPr>
          <w:rFonts w:ascii="David" w:hAnsi="David"/>
          <w:b/>
          <w:bCs/>
          <w:u w:val="single"/>
          <w:rtl/>
        </w:rPr>
      </w:pPr>
      <w:r w:rsidRPr="00A10463">
        <w:rPr>
          <w:rFonts w:ascii="David" w:hAnsi="David"/>
          <w:b/>
          <w:bCs/>
          <w:u w:val="single"/>
          <w:rtl/>
        </w:rPr>
        <w:t>קביעת העונש ההולם בתוך המתחם</w:t>
      </w:r>
    </w:p>
    <w:p w14:paraId="4D15DE76" w14:textId="77777777" w:rsidR="00FF78AA" w:rsidRPr="00A10463" w:rsidRDefault="00FF78AA" w:rsidP="00FF78AA">
      <w:pPr>
        <w:pStyle w:val="aa"/>
        <w:numPr>
          <w:ilvl w:val="0"/>
          <w:numId w:val="1"/>
        </w:numPr>
        <w:spacing w:after="0" w:line="360" w:lineRule="auto"/>
        <w:ind w:left="360"/>
        <w:jc w:val="both"/>
        <w:rPr>
          <w:rFonts w:ascii="David" w:hAnsi="David" w:cs="David"/>
          <w:sz w:val="24"/>
          <w:szCs w:val="24"/>
        </w:rPr>
      </w:pPr>
      <w:r w:rsidRPr="00A10463">
        <w:rPr>
          <w:rFonts w:ascii="David" w:hAnsi="David" w:cs="David"/>
          <w:sz w:val="24"/>
          <w:szCs w:val="24"/>
          <w:rtl/>
        </w:rPr>
        <w:t xml:space="preserve">לשם קביעת העונש ההולם, בגדרי מתחם העונש, על בית המשפט להידרש לנסיבות שאינן קשורות בביצוע העבירה:  </w:t>
      </w:r>
    </w:p>
    <w:p w14:paraId="5B0434B3" w14:textId="77777777" w:rsidR="00FF78AA" w:rsidRPr="00A10463" w:rsidRDefault="00FF78AA" w:rsidP="00FF78AA">
      <w:pPr>
        <w:pStyle w:val="aa"/>
        <w:spacing w:after="0" w:line="360" w:lineRule="auto"/>
        <w:jc w:val="both"/>
        <w:rPr>
          <w:rFonts w:ascii="David" w:hAnsi="David" w:cs="David"/>
          <w:sz w:val="24"/>
          <w:szCs w:val="24"/>
        </w:rPr>
      </w:pPr>
    </w:p>
    <w:p w14:paraId="4B669D14" w14:textId="77777777" w:rsidR="00FF78AA" w:rsidRPr="00A10463" w:rsidRDefault="00FF78AA" w:rsidP="00FF78AA">
      <w:pPr>
        <w:numPr>
          <w:ilvl w:val="0"/>
          <w:numId w:val="3"/>
        </w:numPr>
        <w:spacing w:line="360" w:lineRule="auto"/>
        <w:contextualSpacing/>
        <w:jc w:val="both"/>
        <w:rPr>
          <w:rFonts w:ascii="David" w:hAnsi="David"/>
        </w:rPr>
      </w:pPr>
      <w:r>
        <w:rPr>
          <w:rFonts w:ascii="David" w:hAnsi="David" w:hint="cs"/>
          <w:rtl/>
        </w:rPr>
        <w:t>הנאשם נעדר עבר פלילי.</w:t>
      </w:r>
    </w:p>
    <w:p w14:paraId="3AA4F13E" w14:textId="77777777" w:rsidR="00FF78AA" w:rsidRPr="00A10463" w:rsidRDefault="00FF78AA" w:rsidP="00FF78AA">
      <w:pPr>
        <w:spacing w:line="360" w:lineRule="auto"/>
        <w:ind w:left="720"/>
        <w:contextualSpacing/>
        <w:jc w:val="both"/>
        <w:rPr>
          <w:rFonts w:ascii="David" w:hAnsi="David"/>
        </w:rPr>
      </w:pPr>
    </w:p>
    <w:p w14:paraId="64C79D5B" w14:textId="77777777" w:rsidR="00FF78AA" w:rsidRPr="00A10463" w:rsidRDefault="00FF78AA" w:rsidP="00FF78AA">
      <w:pPr>
        <w:numPr>
          <w:ilvl w:val="0"/>
          <w:numId w:val="3"/>
        </w:numPr>
        <w:spacing w:line="360" w:lineRule="auto"/>
        <w:contextualSpacing/>
        <w:jc w:val="both"/>
        <w:rPr>
          <w:rFonts w:ascii="David" w:hAnsi="David"/>
        </w:rPr>
      </w:pPr>
      <w:r w:rsidRPr="00A10463">
        <w:rPr>
          <w:rFonts w:ascii="David" w:hAnsi="David" w:hint="cs"/>
          <w:rtl/>
        </w:rPr>
        <w:t xml:space="preserve">הנאשם </w:t>
      </w:r>
      <w:r>
        <w:rPr>
          <w:rFonts w:ascii="David" w:hAnsi="David" w:hint="cs"/>
          <w:rtl/>
        </w:rPr>
        <w:t>עבר הליך שיקומי משמעותי ושינה דרכיו.</w:t>
      </w:r>
      <w:r w:rsidRPr="00A10463">
        <w:rPr>
          <w:rFonts w:ascii="David" w:hAnsi="David" w:hint="cs"/>
          <w:rtl/>
        </w:rPr>
        <w:t xml:space="preserve"> </w:t>
      </w:r>
    </w:p>
    <w:p w14:paraId="58EC90FC" w14:textId="77777777" w:rsidR="00FF78AA" w:rsidRPr="00835EFB" w:rsidRDefault="00FF78AA" w:rsidP="00FF78AA">
      <w:pPr>
        <w:spacing w:line="360" w:lineRule="auto"/>
        <w:ind w:left="720"/>
        <w:contextualSpacing/>
        <w:jc w:val="both"/>
        <w:rPr>
          <w:rFonts w:ascii="David" w:hAnsi="David"/>
        </w:rPr>
      </w:pPr>
    </w:p>
    <w:p w14:paraId="06830717" w14:textId="77777777" w:rsidR="00FF78AA" w:rsidRPr="00A10463" w:rsidRDefault="00FF78AA" w:rsidP="00FF78AA">
      <w:pPr>
        <w:numPr>
          <w:ilvl w:val="0"/>
          <w:numId w:val="3"/>
        </w:numPr>
        <w:spacing w:line="360" w:lineRule="auto"/>
        <w:contextualSpacing/>
        <w:jc w:val="both"/>
        <w:rPr>
          <w:rFonts w:ascii="David" w:hAnsi="David"/>
        </w:rPr>
      </w:pPr>
      <w:r w:rsidRPr="00A10463">
        <w:rPr>
          <w:rFonts w:ascii="David" w:hAnsi="David"/>
          <w:rtl/>
        </w:rPr>
        <w:t>הנאשם הודה, ולקח אחריות</w:t>
      </w:r>
      <w:r w:rsidRPr="00A10463">
        <w:rPr>
          <w:rFonts w:ascii="David" w:hAnsi="David" w:hint="cs"/>
          <w:rtl/>
        </w:rPr>
        <w:t xml:space="preserve"> על מעשיו.</w:t>
      </w:r>
    </w:p>
    <w:p w14:paraId="6BB3B447" w14:textId="77777777" w:rsidR="00FF78AA" w:rsidRPr="00A10463" w:rsidRDefault="00FF78AA" w:rsidP="00FF78AA">
      <w:pPr>
        <w:spacing w:line="360" w:lineRule="auto"/>
        <w:contextualSpacing/>
        <w:jc w:val="both"/>
        <w:rPr>
          <w:rFonts w:ascii="David" w:hAnsi="David"/>
        </w:rPr>
      </w:pPr>
    </w:p>
    <w:p w14:paraId="6817E71A" w14:textId="77777777" w:rsidR="00FF78AA" w:rsidRDefault="00FF78AA" w:rsidP="00FF78AA">
      <w:pPr>
        <w:numPr>
          <w:ilvl w:val="0"/>
          <w:numId w:val="3"/>
        </w:numPr>
        <w:spacing w:line="360" w:lineRule="auto"/>
        <w:contextualSpacing/>
        <w:jc w:val="both"/>
        <w:rPr>
          <w:rFonts w:ascii="David" w:hAnsi="David"/>
        </w:rPr>
      </w:pPr>
      <w:r w:rsidRPr="00A10463">
        <w:rPr>
          <w:rFonts w:ascii="David" w:hAnsi="David"/>
          <w:rtl/>
        </w:rPr>
        <w:t xml:space="preserve">נוכח נתונים אלו, </w:t>
      </w:r>
      <w:r w:rsidRPr="00A10463">
        <w:rPr>
          <w:rFonts w:ascii="David" w:hAnsi="David" w:hint="cs"/>
          <w:rtl/>
        </w:rPr>
        <w:t>הרי ש</w:t>
      </w:r>
      <w:r>
        <w:rPr>
          <w:rFonts w:ascii="David" w:hAnsi="David" w:hint="cs"/>
          <w:rtl/>
        </w:rPr>
        <w:t xml:space="preserve">ברגיל היה להטיל עונש בתחתית </w:t>
      </w:r>
      <w:r w:rsidRPr="00A10463">
        <w:rPr>
          <w:rFonts w:ascii="David" w:hAnsi="David" w:hint="cs"/>
          <w:rtl/>
        </w:rPr>
        <w:t>המתחם.</w:t>
      </w:r>
      <w:r>
        <w:rPr>
          <w:rFonts w:ascii="David" w:hAnsi="David" w:hint="cs"/>
          <w:rtl/>
        </w:rPr>
        <w:t xml:space="preserve"> יחד עם זאת, בעניינו של הנאשם יש מקום לסטות לקולא ממתחם העונש מהטעמים שאפרט להלן.</w:t>
      </w:r>
    </w:p>
    <w:p w14:paraId="7809AC14" w14:textId="77777777" w:rsidR="00FF78AA" w:rsidRPr="00D330C1" w:rsidRDefault="00FF78AA" w:rsidP="00FF78AA">
      <w:pPr>
        <w:spacing w:line="360" w:lineRule="auto"/>
        <w:jc w:val="both"/>
        <w:rPr>
          <w:rFonts w:ascii="David" w:hAnsi="David"/>
          <w:b/>
          <w:bCs/>
          <w:u w:val="single"/>
          <w:rtl/>
        </w:rPr>
      </w:pPr>
    </w:p>
    <w:p w14:paraId="261B8117" w14:textId="77777777" w:rsidR="00FF78AA" w:rsidRPr="00A10463" w:rsidRDefault="00FF78AA" w:rsidP="00FF78AA">
      <w:pPr>
        <w:spacing w:line="360" w:lineRule="auto"/>
        <w:jc w:val="both"/>
        <w:rPr>
          <w:rFonts w:ascii="David" w:hAnsi="David"/>
          <w:rtl/>
        </w:rPr>
      </w:pPr>
      <w:r w:rsidRPr="00A10463">
        <w:rPr>
          <w:rFonts w:ascii="David" w:hAnsi="David"/>
          <w:b/>
          <w:bCs/>
          <w:u w:val="single"/>
          <w:rtl/>
        </w:rPr>
        <w:t>סטייה ממתחם העונש ההולם</w:t>
      </w:r>
      <w:r w:rsidRPr="00A10463">
        <w:rPr>
          <w:rFonts w:ascii="David" w:hAnsi="David"/>
          <w:rtl/>
        </w:rPr>
        <w:t>:</w:t>
      </w:r>
    </w:p>
    <w:p w14:paraId="083412B8" w14:textId="77777777" w:rsidR="00FF78AA" w:rsidRDefault="00FF78AA" w:rsidP="00FF78AA">
      <w:pPr>
        <w:pStyle w:val="aa"/>
        <w:numPr>
          <w:ilvl w:val="0"/>
          <w:numId w:val="1"/>
        </w:numPr>
        <w:spacing w:after="0" w:line="360" w:lineRule="auto"/>
        <w:ind w:left="360"/>
        <w:jc w:val="both"/>
        <w:rPr>
          <w:rFonts w:ascii="David" w:hAnsi="David" w:cs="David"/>
          <w:sz w:val="24"/>
          <w:szCs w:val="24"/>
        </w:rPr>
      </w:pPr>
      <w:r w:rsidRPr="004354BC">
        <w:rPr>
          <w:rFonts w:ascii="David" w:hAnsi="David" w:cs="David"/>
          <w:sz w:val="24"/>
          <w:szCs w:val="24"/>
          <w:rtl/>
        </w:rPr>
        <w:t xml:space="preserve">על נאשם המבקש לסטות לקולה ממתחם העונש ההולם הנטל להציג ראיות לכך שעבר הליך שיקומי משמעותי. [ראו למשל </w:t>
      </w:r>
      <w:hyperlink r:id="rId39" w:history="1">
        <w:r w:rsidR="009744BD" w:rsidRPr="009744BD">
          <w:rPr>
            <w:rFonts w:ascii="David" w:hAnsi="David" w:cs="David"/>
            <w:color w:val="0000FF"/>
            <w:sz w:val="24"/>
            <w:szCs w:val="24"/>
            <w:u w:val="single"/>
            <w:rtl/>
          </w:rPr>
          <w:t>רע"פ 1705/22</w:t>
        </w:r>
      </w:hyperlink>
      <w:r w:rsidRPr="004354BC">
        <w:rPr>
          <w:rFonts w:ascii="David" w:hAnsi="David" w:cs="David"/>
          <w:sz w:val="24"/>
          <w:szCs w:val="24"/>
          <w:rtl/>
        </w:rPr>
        <w:t xml:space="preserve"> </w:t>
      </w:r>
      <w:r w:rsidRPr="004354BC">
        <w:rPr>
          <w:rFonts w:ascii="David" w:hAnsi="David" w:cs="David"/>
          <w:b/>
          <w:bCs/>
          <w:sz w:val="24"/>
          <w:szCs w:val="24"/>
          <w:rtl/>
        </w:rPr>
        <w:t>אלצראיעה נ' מדינת ישראל</w:t>
      </w:r>
      <w:r w:rsidRPr="004354BC">
        <w:rPr>
          <w:rFonts w:ascii="David" w:hAnsi="David" w:cs="David"/>
          <w:sz w:val="24"/>
          <w:szCs w:val="24"/>
          <w:rtl/>
        </w:rPr>
        <w:t xml:space="preserve">] </w:t>
      </w:r>
      <w:r>
        <w:rPr>
          <w:rFonts w:ascii="David" w:hAnsi="David" w:cs="David" w:hint="cs"/>
          <w:sz w:val="24"/>
          <w:szCs w:val="24"/>
          <w:rtl/>
        </w:rPr>
        <w:t>משום שהלכה היא כי: "</w:t>
      </w:r>
      <w:r w:rsidRPr="004D6EC3">
        <w:rPr>
          <w:rFonts w:ascii="David" w:hAnsi="David" w:cs="David" w:hint="cs"/>
          <w:b/>
          <w:bCs/>
          <w:sz w:val="24"/>
          <w:szCs w:val="24"/>
          <w:rtl/>
        </w:rPr>
        <w:t>לא בכל מקרה שבו תהליך טיפולי מתקדם בכיוון חיובי, יש להפעיל את הסמכות הקבועה בסעיף 40ד, שאחרת בא החריג ומרוקן את הכלל מתוכן</w:t>
      </w:r>
      <w:r>
        <w:rPr>
          <w:rFonts w:ascii="David" w:hAnsi="David" w:cs="David" w:hint="cs"/>
          <w:sz w:val="24"/>
          <w:szCs w:val="24"/>
          <w:rtl/>
        </w:rPr>
        <w:t xml:space="preserve">". [ראו למשל </w:t>
      </w:r>
      <w:hyperlink r:id="rId40" w:history="1">
        <w:r w:rsidR="009744BD" w:rsidRPr="009744BD">
          <w:rPr>
            <w:rFonts w:ascii="David" w:hAnsi="David" w:cs="David"/>
            <w:color w:val="0000FF"/>
            <w:sz w:val="24"/>
            <w:szCs w:val="24"/>
            <w:u w:val="single"/>
            <w:rtl/>
          </w:rPr>
          <w:t>ע"פ 7757/21</w:t>
        </w:r>
      </w:hyperlink>
      <w:r>
        <w:rPr>
          <w:rFonts w:ascii="David" w:hAnsi="David" w:cs="David" w:hint="cs"/>
          <w:sz w:val="24"/>
          <w:szCs w:val="24"/>
          <w:rtl/>
        </w:rPr>
        <w:t xml:space="preserve"> </w:t>
      </w:r>
      <w:r w:rsidRPr="004D6EC3">
        <w:rPr>
          <w:rFonts w:ascii="David" w:hAnsi="David" w:cs="David" w:hint="cs"/>
          <w:b/>
          <w:bCs/>
          <w:sz w:val="24"/>
          <w:szCs w:val="24"/>
          <w:rtl/>
        </w:rPr>
        <w:t>אהרון קיי מרזוקי נ' מדינת ישראל</w:t>
      </w:r>
      <w:r>
        <w:rPr>
          <w:rFonts w:ascii="David" w:hAnsi="David" w:cs="David" w:hint="cs"/>
          <w:sz w:val="24"/>
          <w:szCs w:val="24"/>
          <w:rtl/>
        </w:rPr>
        <w:t xml:space="preserve">.] </w:t>
      </w:r>
    </w:p>
    <w:p w14:paraId="50BEDBA2" w14:textId="77777777" w:rsidR="00FF78AA" w:rsidRDefault="00FF78AA" w:rsidP="00FF78AA">
      <w:pPr>
        <w:pStyle w:val="aa"/>
        <w:spacing w:after="0" w:line="360" w:lineRule="auto"/>
        <w:ind w:left="360"/>
        <w:jc w:val="both"/>
        <w:rPr>
          <w:rFonts w:ascii="David" w:hAnsi="David" w:cs="David"/>
          <w:sz w:val="24"/>
          <w:szCs w:val="24"/>
        </w:rPr>
      </w:pPr>
    </w:p>
    <w:p w14:paraId="44FCB7EF" w14:textId="77777777" w:rsidR="00FF78AA" w:rsidRDefault="00FF78AA" w:rsidP="00FF78AA">
      <w:pPr>
        <w:pStyle w:val="aa"/>
        <w:numPr>
          <w:ilvl w:val="0"/>
          <w:numId w:val="1"/>
        </w:numPr>
        <w:spacing w:after="0" w:line="360" w:lineRule="auto"/>
        <w:ind w:left="360"/>
        <w:jc w:val="both"/>
        <w:rPr>
          <w:rFonts w:ascii="David" w:hAnsi="David" w:cs="David"/>
          <w:sz w:val="24"/>
          <w:szCs w:val="24"/>
        </w:rPr>
      </w:pPr>
      <w:r w:rsidRPr="007C1701">
        <w:rPr>
          <w:rFonts w:ascii="David" w:hAnsi="David" w:cs="David" w:hint="cs"/>
          <w:sz w:val="24"/>
          <w:szCs w:val="24"/>
          <w:rtl/>
        </w:rPr>
        <w:t>במסגרת המבחנים שנקבעו בפסיקה לחריגה מטעמי שיקום, נקבע כי בית המשפט ישקול את: "</w:t>
      </w:r>
      <w:r w:rsidRPr="007C1701">
        <w:rPr>
          <w:rFonts w:ascii="David" w:hAnsi="David" w:cs="David" w:hint="cs"/>
          <w:b/>
          <w:bCs/>
          <w:sz w:val="24"/>
          <w:szCs w:val="24"/>
          <w:rtl/>
        </w:rPr>
        <w:t>המוטיבציה שהפגין האדם שהשתקם, הליך של גמילה מהתמכרות שהוא עובר, השתלבות מוצלחת בהליכים טיפוליים שונים אינדיקציות לשינוי עמוק בהתנהגות ובדרך החשיבה, הבעת חרטה על המעשים והפגנת אמפתיה כלפי נפגעי העבירה</w:t>
      </w:r>
      <w:r w:rsidRPr="007C1701">
        <w:rPr>
          <w:rFonts w:ascii="David" w:hAnsi="David" w:cs="David" w:hint="cs"/>
          <w:sz w:val="24"/>
          <w:szCs w:val="24"/>
          <w:rtl/>
        </w:rPr>
        <w:t xml:space="preserve">". ראו </w:t>
      </w:r>
      <w:hyperlink r:id="rId41" w:history="1">
        <w:r w:rsidR="009744BD" w:rsidRPr="009744BD">
          <w:rPr>
            <w:rFonts w:ascii="David" w:hAnsi="David" w:cs="David"/>
            <w:color w:val="0000FF"/>
            <w:sz w:val="24"/>
            <w:szCs w:val="24"/>
            <w:u w:val="single"/>
            <w:rtl/>
          </w:rPr>
          <w:t>ע"פ 1229/19</w:t>
        </w:r>
      </w:hyperlink>
      <w:r w:rsidRPr="007C1701">
        <w:rPr>
          <w:rFonts w:ascii="David" w:hAnsi="David" w:cs="David" w:hint="cs"/>
          <w:sz w:val="24"/>
          <w:szCs w:val="24"/>
          <w:rtl/>
        </w:rPr>
        <w:t xml:space="preserve"> </w:t>
      </w:r>
      <w:r w:rsidRPr="007C1701">
        <w:rPr>
          <w:rFonts w:ascii="David" w:hAnsi="David" w:cs="David" w:hint="cs"/>
          <w:b/>
          <w:bCs/>
          <w:sz w:val="24"/>
          <w:szCs w:val="24"/>
          <w:rtl/>
        </w:rPr>
        <w:t>סלומינסקי נ' מדינת ישראל</w:t>
      </w:r>
      <w:r w:rsidRPr="007C1701">
        <w:rPr>
          <w:rFonts w:ascii="David" w:hAnsi="David" w:cs="David" w:hint="cs"/>
          <w:sz w:val="24"/>
          <w:szCs w:val="24"/>
          <w:rtl/>
        </w:rPr>
        <w:t xml:space="preserve">. וכן ראו </w:t>
      </w:r>
      <w:hyperlink r:id="rId42" w:history="1">
        <w:r w:rsidR="009744BD" w:rsidRPr="009744BD">
          <w:rPr>
            <w:rFonts w:ascii="David" w:hAnsi="David" w:cs="David"/>
            <w:color w:val="0000FF"/>
            <w:sz w:val="24"/>
            <w:szCs w:val="24"/>
            <w:u w:val="single"/>
            <w:rtl/>
          </w:rPr>
          <w:t>ע"פ 6637/17</w:t>
        </w:r>
      </w:hyperlink>
      <w:r w:rsidRPr="007C1701">
        <w:rPr>
          <w:rFonts w:ascii="David" w:hAnsi="David" w:cs="David" w:hint="cs"/>
          <w:sz w:val="24"/>
          <w:szCs w:val="24"/>
          <w:rtl/>
        </w:rPr>
        <w:t xml:space="preserve"> </w:t>
      </w:r>
      <w:r w:rsidRPr="007C1701">
        <w:rPr>
          <w:rFonts w:ascii="David" w:hAnsi="David" w:cs="David" w:hint="cs"/>
          <w:b/>
          <w:bCs/>
          <w:sz w:val="24"/>
          <w:szCs w:val="24"/>
          <w:rtl/>
        </w:rPr>
        <w:t>קרנדל נ' מדינת ישראל</w:t>
      </w:r>
      <w:r>
        <w:rPr>
          <w:rFonts w:ascii="David" w:hAnsi="David" w:cs="David" w:hint="cs"/>
          <w:b/>
          <w:bCs/>
          <w:sz w:val="24"/>
          <w:szCs w:val="24"/>
          <w:rtl/>
        </w:rPr>
        <w:t xml:space="preserve">. </w:t>
      </w:r>
      <w:r>
        <w:rPr>
          <w:rFonts w:ascii="David" w:hAnsi="David" w:cs="David" w:hint="cs"/>
          <w:sz w:val="24"/>
          <w:szCs w:val="24"/>
          <w:rtl/>
        </w:rPr>
        <w:t xml:space="preserve">ובצד האמור יש לזכור כי ככל שהעבירה ונסיבותיה חמורות יותר, כך גובר הנטל על הוטען להקלה בשל שיקולי שיקום. ראו למשל </w:t>
      </w:r>
      <w:hyperlink r:id="rId43" w:history="1">
        <w:r w:rsidR="009744BD" w:rsidRPr="009744BD">
          <w:rPr>
            <w:rFonts w:ascii="David" w:hAnsi="David" w:cs="David"/>
            <w:color w:val="0000FF"/>
            <w:sz w:val="24"/>
            <w:szCs w:val="24"/>
            <w:u w:val="single"/>
            <w:rtl/>
          </w:rPr>
          <w:t>ע"פ 3429/14</w:t>
        </w:r>
      </w:hyperlink>
      <w:r>
        <w:rPr>
          <w:rFonts w:ascii="David" w:hAnsi="David" w:cs="David" w:hint="cs"/>
          <w:sz w:val="24"/>
          <w:szCs w:val="24"/>
          <w:rtl/>
        </w:rPr>
        <w:t xml:space="preserve"> </w:t>
      </w:r>
      <w:r w:rsidRPr="00D330C1">
        <w:rPr>
          <w:rFonts w:ascii="David" w:hAnsi="David" w:cs="David" w:hint="cs"/>
          <w:b/>
          <w:bCs/>
          <w:sz w:val="24"/>
          <w:szCs w:val="24"/>
          <w:rtl/>
        </w:rPr>
        <w:t xml:space="preserve">פלוני נ' מדינת ישראל. </w:t>
      </w:r>
    </w:p>
    <w:p w14:paraId="2E291CC0" w14:textId="77777777" w:rsidR="00FF78AA" w:rsidRDefault="00FF78AA" w:rsidP="00FF78AA">
      <w:pPr>
        <w:pStyle w:val="aa"/>
        <w:spacing w:line="360" w:lineRule="auto"/>
        <w:rPr>
          <w:rFonts w:ascii="David" w:hAnsi="David" w:cs="David"/>
          <w:sz w:val="24"/>
          <w:szCs w:val="24"/>
          <w:rtl/>
        </w:rPr>
      </w:pPr>
    </w:p>
    <w:p w14:paraId="7A40ABD1" w14:textId="77777777" w:rsidR="00FF78AA" w:rsidRDefault="00FF78AA" w:rsidP="00FF78AA">
      <w:pPr>
        <w:pStyle w:val="aa"/>
        <w:numPr>
          <w:ilvl w:val="0"/>
          <w:numId w:val="1"/>
        </w:numPr>
        <w:spacing w:after="0" w:line="360" w:lineRule="auto"/>
        <w:ind w:left="360"/>
        <w:jc w:val="both"/>
        <w:rPr>
          <w:rFonts w:ascii="David" w:hAnsi="David" w:cs="David"/>
          <w:sz w:val="24"/>
          <w:szCs w:val="24"/>
        </w:rPr>
      </w:pPr>
      <w:r w:rsidRPr="007C1701">
        <w:rPr>
          <w:rFonts w:ascii="David" w:hAnsi="David" w:cs="David" w:hint="cs"/>
          <w:sz w:val="24"/>
          <w:szCs w:val="24"/>
          <w:rtl/>
        </w:rPr>
        <w:t>בענייננו, מצאתי כי מרבית התנאים מתקיימים. הנאשם</w:t>
      </w:r>
      <w:r>
        <w:rPr>
          <w:rFonts w:ascii="David" w:hAnsi="David" w:cs="David" w:hint="cs"/>
          <w:sz w:val="24"/>
          <w:szCs w:val="24"/>
          <w:rtl/>
        </w:rPr>
        <w:t xml:space="preserve"> שולב תחילה בקהילה הטיפולית "רוח במדבר" סיים בהצלחה את שלב א' ושלב ב' תוך שיתוף פעולה עם גורמי הטיפול. ביום 16.5.22 סיים את שהותו בקהילה וע</w:t>
      </w:r>
      <w:r w:rsidRPr="007C1701">
        <w:rPr>
          <w:rFonts w:ascii="David" w:hAnsi="David" w:cs="David" w:hint="cs"/>
          <w:sz w:val="24"/>
          <w:szCs w:val="24"/>
          <w:rtl/>
        </w:rPr>
        <w:t xml:space="preserve">בר </w:t>
      </w:r>
      <w:r>
        <w:rPr>
          <w:rFonts w:ascii="David" w:hAnsi="David" w:cs="David" w:hint="cs"/>
          <w:sz w:val="24"/>
          <w:szCs w:val="24"/>
          <w:rtl/>
        </w:rPr>
        <w:t xml:space="preserve">להוסטל אותו סיים ביום 19.10.22. לאורך דרכו הטיפולית הארוכה גילה מוטיבציה והתמדה והפגין מאמצים לערוך שינוי משמעותי בחייו, וכיום אף עובד בחנות בגדים. אשר על כן, המליץ שירות המבחן להטיל על הנאשם עונש של"ץ. </w:t>
      </w:r>
    </w:p>
    <w:p w14:paraId="1E0C685D" w14:textId="77777777" w:rsidR="00FF78AA" w:rsidRDefault="00FF78AA" w:rsidP="00FF78AA">
      <w:pPr>
        <w:pStyle w:val="aa"/>
        <w:spacing w:line="360" w:lineRule="auto"/>
        <w:rPr>
          <w:rFonts w:ascii="David" w:hAnsi="David" w:cs="David"/>
          <w:sz w:val="24"/>
          <w:szCs w:val="24"/>
          <w:rtl/>
        </w:rPr>
      </w:pPr>
    </w:p>
    <w:p w14:paraId="5D0C7FF1" w14:textId="77777777" w:rsidR="00FF78AA" w:rsidRDefault="00FF78AA" w:rsidP="00FF78AA">
      <w:pPr>
        <w:pStyle w:val="aa"/>
        <w:numPr>
          <w:ilvl w:val="0"/>
          <w:numId w:val="1"/>
        </w:numPr>
        <w:spacing w:after="0" w:line="360" w:lineRule="auto"/>
        <w:ind w:left="360"/>
        <w:jc w:val="both"/>
        <w:rPr>
          <w:rFonts w:ascii="David" w:hAnsi="David" w:cs="David"/>
          <w:sz w:val="24"/>
          <w:szCs w:val="24"/>
        </w:rPr>
      </w:pPr>
      <w:r w:rsidRPr="00D330C1">
        <w:rPr>
          <w:rFonts w:ascii="David" w:hAnsi="David" w:cs="David" w:hint="cs"/>
          <w:sz w:val="24"/>
          <w:szCs w:val="24"/>
          <w:rtl/>
        </w:rPr>
        <w:t xml:space="preserve">נראה, כי זהו מסוג המקרים החריגים בהם על בית המשפט לסטות לקולא ממתחם העונש ההולם. באיזון בין טיב השיקום שעבר הנאשם בהצלחה לא מבוטלת, אשר כשלעצמו מצדיק סטייה ממתחם העונש ההולם, לבין חומרת העבירות שאינה מאפשרת כי הנאשם יצא בלא עונש ממשי ומרתיע, מצאתי כי ניתן לחרוג ממתחם העונש ההולם, </w:t>
      </w:r>
      <w:r>
        <w:rPr>
          <w:rFonts w:ascii="David" w:hAnsi="David" w:cs="David" w:hint="cs"/>
          <w:sz w:val="24"/>
          <w:szCs w:val="24"/>
          <w:rtl/>
        </w:rPr>
        <w:t xml:space="preserve">כך שיוטל על הנאשם עונש המאסר המקסימלי הניתן לריצוי בדרך של עבודות שירות. </w:t>
      </w:r>
    </w:p>
    <w:p w14:paraId="43951751" w14:textId="77777777" w:rsidR="00FF78AA" w:rsidRDefault="00FF78AA" w:rsidP="00FF78AA">
      <w:pPr>
        <w:pStyle w:val="aa"/>
        <w:spacing w:line="360" w:lineRule="auto"/>
        <w:rPr>
          <w:rFonts w:ascii="David" w:hAnsi="David" w:cs="David"/>
          <w:sz w:val="24"/>
          <w:szCs w:val="24"/>
          <w:rtl/>
        </w:rPr>
      </w:pPr>
    </w:p>
    <w:p w14:paraId="49AC654D" w14:textId="77777777" w:rsidR="00FF78AA" w:rsidRDefault="00FF78AA" w:rsidP="00FF78AA">
      <w:pPr>
        <w:numPr>
          <w:ilvl w:val="0"/>
          <w:numId w:val="1"/>
        </w:numPr>
        <w:spacing w:line="360" w:lineRule="auto"/>
        <w:ind w:left="360"/>
        <w:contextualSpacing/>
        <w:jc w:val="both"/>
        <w:rPr>
          <w:rFonts w:ascii="David" w:hAnsi="David"/>
        </w:rPr>
      </w:pPr>
      <w:r>
        <w:rPr>
          <w:rFonts w:ascii="David" w:hAnsi="David" w:hint="cs"/>
          <w:rtl/>
        </w:rPr>
        <w:t>במקרה דנא, על נסיבותיו הייחודיו</w:t>
      </w:r>
      <w:r>
        <w:rPr>
          <w:rFonts w:ascii="David" w:hAnsi="David" w:hint="eastAsia"/>
          <w:rtl/>
        </w:rPr>
        <w:t>ת</w:t>
      </w:r>
      <w:r>
        <w:rPr>
          <w:rFonts w:ascii="David" w:hAnsi="David" w:hint="cs"/>
          <w:rtl/>
        </w:rPr>
        <w:t xml:space="preserve">, הן מבחינת נסיבות המעשה, הן מבחינת נסיבות העושה, והן בשים לב להליך השיקום המשמעותי שעבר הנאשם, הרי שמן הראוי כי העונש ירוצה על דרך עבודות שירות. מדובר בנאשם שזו לו הסתבכותו הפלילית הראשונה, והכנסתו אל מאחורי סורג ובריח, בנסיבות בהן עבר הליך שיקומי מוצלח, על פניה, אינה מתיישבת עם האינטרס הציבורי. </w:t>
      </w:r>
      <w:r>
        <w:rPr>
          <w:rFonts w:ascii="David" w:hAnsi="David" w:hint="cs"/>
        </w:rPr>
        <w:t xml:space="preserve"> </w:t>
      </w:r>
    </w:p>
    <w:p w14:paraId="75B723DF" w14:textId="77777777" w:rsidR="00FF78AA" w:rsidRDefault="00FF78AA" w:rsidP="00FF78AA">
      <w:pPr>
        <w:spacing w:line="360" w:lineRule="auto"/>
        <w:ind w:left="360"/>
        <w:contextualSpacing/>
        <w:jc w:val="both"/>
        <w:rPr>
          <w:rFonts w:ascii="David" w:hAnsi="David"/>
        </w:rPr>
      </w:pPr>
    </w:p>
    <w:p w14:paraId="0DE8073E" w14:textId="77777777" w:rsidR="00FF78AA" w:rsidRDefault="00FF78AA" w:rsidP="00FF78AA">
      <w:pPr>
        <w:numPr>
          <w:ilvl w:val="0"/>
          <w:numId w:val="1"/>
        </w:numPr>
        <w:spacing w:line="360" w:lineRule="auto"/>
        <w:ind w:left="360"/>
        <w:contextualSpacing/>
        <w:jc w:val="both"/>
        <w:rPr>
          <w:rFonts w:ascii="David" w:hAnsi="David"/>
        </w:rPr>
      </w:pPr>
      <w:r>
        <w:rPr>
          <w:rFonts w:ascii="David" w:hAnsi="David" w:hint="cs"/>
          <w:rtl/>
        </w:rPr>
        <w:t>מן העבר השני, לא אוכל לקבל את המלצת שירות המבחן במלואה ולהסתפק בעונש של"צ וזאת מן הטעמים הבאים:</w:t>
      </w:r>
    </w:p>
    <w:p w14:paraId="196A984A" w14:textId="77777777" w:rsidR="00FF78AA" w:rsidRDefault="00FF78AA" w:rsidP="00FF78AA">
      <w:pPr>
        <w:pStyle w:val="aa"/>
        <w:spacing w:line="360" w:lineRule="auto"/>
        <w:rPr>
          <w:rFonts w:ascii="David" w:hAnsi="David" w:cs="David"/>
          <w:sz w:val="24"/>
          <w:szCs w:val="24"/>
          <w:rtl/>
        </w:rPr>
      </w:pPr>
    </w:p>
    <w:p w14:paraId="2960FC4B" w14:textId="77777777" w:rsidR="00FF78AA" w:rsidRDefault="00FF78AA" w:rsidP="00FF78AA">
      <w:pPr>
        <w:numPr>
          <w:ilvl w:val="0"/>
          <w:numId w:val="5"/>
        </w:numPr>
        <w:spacing w:line="360" w:lineRule="auto"/>
        <w:contextualSpacing/>
        <w:jc w:val="both"/>
        <w:rPr>
          <w:rFonts w:ascii="David" w:hAnsi="David"/>
        </w:rPr>
      </w:pPr>
      <w:r w:rsidRPr="00D36317">
        <w:rPr>
          <w:rFonts w:ascii="David" w:hAnsi="David" w:hint="cs"/>
          <w:b/>
          <w:bCs/>
          <w:rtl/>
        </w:rPr>
        <w:t>ראשית</w:t>
      </w:r>
      <w:r>
        <w:rPr>
          <w:rFonts w:ascii="David" w:hAnsi="David" w:hint="cs"/>
          <w:rtl/>
        </w:rPr>
        <w:t>, העבירות שביצע הנאשם הינן רבות וחמורות, על כל אחת מהן קבע המחוקק עונש מקסימום של 20 שנות מאסר. הימנעות מהטלת עונש מאסר, גם אם כזה שבנסיבות המיוחדות של הנאשם ירוצה על דרך עבודות שירות, עלולה לפגוע בעיקרון הגמול ואף לפגוע בעקרון ההרתעה באשר יש בה כדי לשדר מסר נרפה לעבריינים פוטנציאליי</w:t>
      </w:r>
      <w:r>
        <w:rPr>
          <w:rFonts w:ascii="David" w:hAnsi="David" w:hint="eastAsia"/>
          <w:rtl/>
        </w:rPr>
        <w:t>ם</w:t>
      </w:r>
      <w:r>
        <w:rPr>
          <w:rFonts w:ascii="David" w:hAnsi="David" w:hint="cs"/>
          <w:rtl/>
        </w:rPr>
        <w:t>. חריגה ממתחם העונש ההולם, אין משמעה ביטול שיקול הענישה האחרים, אלא מתן משקל מתאים לשיקול השיקום בגזירת העונש.</w:t>
      </w:r>
      <w:r w:rsidRPr="002D0B4B">
        <w:rPr>
          <w:rFonts w:ascii="David" w:hAnsi="David" w:hint="cs"/>
          <w:rtl/>
        </w:rPr>
        <w:t xml:space="preserve"> ראו למשל </w:t>
      </w:r>
      <w:hyperlink r:id="rId44" w:history="1">
        <w:r w:rsidR="009744BD" w:rsidRPr="009744BD">
          <w:rPr>
            <w:rFonts w:ascii="David" w:hAnsi="David"/>
            <w:color w:val="0000FF"/>
            <w:u w:val="single"/>
            <w:rtl/>
          </w:rPr>
          <w:t>רע"פ 189/15</w:t>
        </w:r>
      </w:hyperlink>
      <w:r w:rsidRPr="002D0B4B">
        <w:rPr>
          <w:rFonts w:ascii="David" w:hAnsi="David" w:hint="cs"/>
          <w:rtl/>
        </w:rPr>
        <w:t xml:space="preserve"> </w:t>
      </w:r>
      <w:r w:rsidRPr="002D0B4B">
        <w:rPr>
          <w:rFonts w:ascii="David" w:hAnsi="David" w:hint="cs"/>
          <w:b/>
          <w:bCs/>
          <w:rtl/>
        </w:rPr>
        <w:t>עומר כהן נ' מדינת ישראל</w:t>
      </w:r>
    </w:p>
    <w:p w14:paraId="08BB7F93" w14:textId="77777777" w:rsidR="00FF78AA" w:rsidRPr="009B0555" w:rsidRDefault="00FF78AA" w:rsidP="00FF78AA">
      <w:pPr>
        <w:spacing w:line="360" w:lineRule="auto"/>
        <w:ind w:left="720"/>
        <w:contextualSpacing/>
        <w:jc w:val="both"/>
        <w:rPr>
          <w:rFonts w:ascii="David" w:hAnsi="David"/>
        </w:rPr>
      </w:pPr>
    </w:p>
    <w:p w14:paraId="1C19D1F8" w14:textId="77777777" w:rsidR="00FF78AA" w:rsidRPr="002D0B4B" w:rsidRDefault="00FF78AA" w:rsidP="00FF78AA">
      <w:pPr>
        <w:numPr>
          <w:ilvl w:val="0"/>
          <w:numId w:val="5"/>
        </w:numPr>
        <w:spacing w:line="360" w:lineRule="auto"/>
        <w:contextualSpacing/>
        <w:jc w:val="both"/>
        <w:rPr>
          <w:rFonts w:ascii="David" w:hAnsi="David"/>
        </w:rPr>
      </w:pPr>
      <w:r w:rsidRPr="002D0B4B">
        <w:rPr>
          <w:rFonts w:ascii="David" w:hAnsi="David" w:hint="cs"/>
          <w:b/>
          <w:bCs/>
          <w:rtl/>
        </w:rPr>
        <w:t>שנית</w:t>
      </w:r>
      <w:r w:rsidRPr="002D0B4B">
        <w:rPr>
          <w:rFonts w:ascii="David" w:hAnsi="David" w:hint="cs"/>
          <w:rtl/>
        </w:rPr>
        <w:t xml:space="preserve">, בעוד שירות המבחן אמון על שיקומו של הנאשם, בית המשפט אמון בצד הגשמת שיקולי שיקום גם על הגשמת עקרון הגמול וההרתעה. שיקול השיקום, אם כן, מהווה שיקול אחד מתוך כלל שיקולי הענישה </w:t>
      </w:r>
      <w:hyperlink r:id="rId45" w:history="1">
        <w:r w:rsidR="00041C8C" w:rsidRPr="00041C8C">
          <w:rPr>
            <w:rStyle w:val="Hyperlink"/>
            <w:rFonts w:ascii="David" w:hAnsi="David" w:hint="eastAsia"/>
            <w:rtl/>
          </w:rPr>
          <w:t>וסעיף</w:t>
        </w:r>
        <w:r w:rsidR="00041C8C" w:rsidRPr="00041C8C">
          <w:rPr>
            <w:rStyle w:val="Hyperlink"/>
            <w:rFonts w:ascii="David" w:hAnsi="David"/>
            <w:rtl/>
          </w:rPr>
          <w:t xml:space="preserve"> 40ד</w:t>
        </w:r>
      </w:hyperlink>
      <w:r w:rsidRPr="002D0B4B">
        <w:rPr>
          <w:rFonts w:ascii="David" w:hAnsi="David" w:hint="cs"/>
          <w:rtl/>
        </w:rPr>
        <w:t xml:space="preserve"> ל</w:t>
      </w:r>
      <w:hyperlink r:id="rId46" w:history="1">
        <w:r w:rsidR="009744BD" w:rsidRPr="009744BD">
          <w:rPr>
            <w:rFonts w:ascii="David" w:hAnsi="David"/>
            <w:color w:val="0000FF"/>
            <w:u w:val="single"/>
            <w:rtl/>
          </w:rPr>
          <w:t>חוק העונשין</w:t>
        </w:r>
      </w:hyperlink>
      <w:r w:rsidRPr="002D0B4B">
        <w:rPr>
          <w:rFonts w:ascii="David" w:hAnsi="David" w:hint="cs"/>
          <w:rtl/>
        </w:rPr>
        <w:t xml:space="preserve"> לא בא לשנות ממצב דברים זה. ראו למשל </w:t>
      </w:r>
      <w:hyperlink r:id="rId47" w:history="1">
        <w:r w:rsidR="009744BD" w:rsidRPr="009744BD">
          <w:rPr>
            <w:rFonts w:ascii="David" w:hAnsi="David"/>
            <w:color w:val="0000FF"/>
            <w:u w:val="single"/>
            <w:rtl/>
          </w:rPr>
          <w:t>בש"פ 189/15</w:t>
        </w:r>
      </w:hyperlink>
      <w:r w:rsidRPr="002D0B4B">
        <w:rPr>
          <w:rFonts w:ascii="David" w:hAnsi="David" w:hint="cs"/>
          <w:rtl/>
        </w:rPr>
        <w:t xml:space="preserve"> </w:t>
      </w:r>
      <w:r w:rsidRPr="002D0B4B">
        <w:rPr>
          <w:rFonts w:ascii="David" w:hAnsi="David" w:hint="cs"/>
          <w:b/>
          <w:bCs/>
          <w:rtl/>
        </w:rPr>
        <w:t>כהן נ' מדינת ישראל</w:t>
      </w:r>
      <w:r w:rsidRPr="002D0B4B">
        <w:rPr>
          <w:rFonts w:ascii="David" w:hAnsi="David" w:hint="cs"/>
          <w:rtl/>
        </w:rPr>
        <w:t xml:space="preserve">. על כן, אך טבעי הוא שבית המשפט אינו מחויב לקבל את המלצות שירות המבחן. </w:t>
      </w:r>
      <w:r w:rsidRPr="002D0B4B">
        <w:rPr>
          <w:rFonts w:ascii="David" w:hAnsi="David"/>
          <w:rtl/>
        </w:rPr>
        <w:t xml:space="preserve">על אף הערכת מקצועיותו הרבה, של שירות מבחן הלכה היא כי היא: </w:t>
      </w:r>
      <w:r w:rsidRPr="002D0B4B">
        <w:rPr>
          <w:rFonts w:ascii="David" w:hAnsi="David"/>
          <w:b/>
          <w:bCs/>
          <w:rtl/>
        </w:rPr>
        <w:t>"מהווה המלצה בלבד, ובית המשפט רשאי להפעיל את שיקול דעתו בהתחשב בכלל האינטרסים העומדים לפניו</w:t>
      </w:r>
      <w:r w:rsidRPr="002D0B4B">
        <w:rPr>
          <w:rFonts w:ascii="David" w:hAnsi="David"/>
          <w:rtl/>
        </w:rPr>
        <w:t xml:space="preserve">" ראו למשל </w:t>
      </w:r>
      <w:hyperlink r:id="rId48" w:history="1">
        <w:r w:rsidR="009744BD" w:rsidRPr="009744BD">
          <w:rPr>
            <w:rFonts w:ascii="David" w:hAnsi="David"/>
            <w:color w:val="0000FF"/>
            <w:u w:val="single"/>
            <w:rtl/>
          </w:rPr>
          <w:t>ע"פ 5626/14</w:t>
        </w:r>
      </w:hyperlink>
      <w:r w:rsidRPr="002D0B4B">
        <w:rPr>
          <w:rFonts w:ascii="David" w:hAnsi="David"/>
          <w:rtl/>
        </w:rPr>
        <w:t xml:space="preserve"> </w:t>
      </w:r>
      <w:r w:rsidRPr="002D0B4B">
        <w:rPr>
          <w:rFonts w:ascii="David" w:hAnsi="David"/>
          <w:b/>
          <w:bCs/>
          <w:rtl/>
        </w:rPr>
        <w:t>לנקין נ' מדינת ישראל</w:t>
      </w:r>
      <w:r w:rsidRPr="002D0B4B">
        <w:rPr>
          <w:rFonts w:ascii="David" w:hAnsi="David"/>
          <w:rtl/>
        </w:rPr>
        <w:t xml:space="preserve"> וכן </w:t>
      </w:r>
      <w:hyperlink r:id="rId49" w:history="1">
        <w:r w:rsidR="009744BD" w:rsidRPr="009744BD">
          <w:rPr>
            <w:rFonts w:ascii="David" w:hAnsi="David"/>
            <w:color w:val="0000FF"/>
            <w:u w:val="single"/>
            <w:rtl/>
          </w:rPr>
          <w:t>רע"פ 4144/15</w:t>
        </w:r>
      </w:hyperlink>
      <w:r w:rsidRPr="002D0B4B">
        <w:rPr>
          <w:rFonts w:ascii="David" w:hAnsi="David"/>
          <w:rtl/>
        </w:rPr>
        <w:t xml:space="preserve"> </w:t>
      </w:r>
      <w:r w:rsidRPr="002D0B4B">
        <w:rPr>
          <w:rFonts w:ascii="David" w:hAnsi="David"/>
          <w:b/>
          <w:bCs/>
          <w:rtl/>
        </w:rPr>
        <w:t>אבו אלטיף נ' מדינת ישראל</w:t>
      </w:r>
      <w:r w:rsidRPr="002D0B4B">
        <w:rPr>
          <w:rFonts w:ascii="David" w:hAnsi="David"/>
          <w:rtl/>
        </w:rPr>
        <w:t>.</w:t>
      </w:r>
      <w:r>
        <w:rPr>
          <w:rFonts w:ascii="David" w:hAnsi="David" w:hint="cs"/>
          <w:rtl/>
        </w:rPr>
        <w:t xml:space="preserve"> ודוק, בענייננו, נתתי משקל משמעותי להמלצת שירות המבחן בהחלטתי לסטות ממתחם העונש ההולם. </w:t>
      </w:r>
    </w:p>
    <w:p w14:paraId="2598C6FA" w14:textId="77777777" w:rsidR="00FF78AA" w:rsidRDefault="00FF78AA" w:rsidP="00FF78AA">
      <w:pPr>
        <w:pStyle w:val="aa"/>
        <w:spacing w:line="360" w:lineRule="auto"/>
        <w:rPr>
          <w:rFonts w:ascii="David" w:hAnsi="David" w:cs="David"/>
          <w:b/>
          <w:bCs/>
          <w:sz w:val="24"/>
          <w:szCs w:val="24"/>
          <w:rtl/>
        </w:rPr>
      </w:pPr>
    </w:p>
    <w:p w14:paraId="71161AEA" w14:textId="77777777" w:rsidR="00FF78AA" w:rsidRDefault="00FF78AA" w:rsidP="00FF78AA">
      <w:pPr>
        <w:numPr>
          <w:ilvl w:val="0"/>
          <w:numId w:val="5"/>
        </w:numPr>
        <w:spacing w:line="360" w:lineRule="auto"/>
        <w:contextualSpacing/>
        <w:jc w:val="both"/>
        <w:rPr>
          <w:rFonts w:ascii="David" w:hAnsi="David"/>
        </w:rPr>
      </w:pPr>
      <w:r>
        <w:rPr>
          <w:rFonts w:ascii="David" w:hAnsi="David" w:hint="cs"/>
          <w:b/>
          <w:bCs/>
          <w:rtl/>
        </w:rPr>
        <w:t>שלישית</w:t>
      </w:r>
      <w:r>
        <w:rPr>
          <w:rFonts w:ascii="David" w:hAnsi="David" w:hint="cs"/>
          <w:rtl/>
        </w:rPr>
        <w:t xml:space="preserve">, איני יכול לקבל את מסקנת שירות המבחן לפי ריצוי עונש בדרך של עבודות שירות יפגע </w:t>
      </w:r>
      <w:r w:rsidRPr="009B0555">
        <w:rPr>
          <w:rFonts w:ascii="David" w:hAnsi="David" w:hint="cs"/>
          <w:rtl/>
        </w:rPr>
        <w:t>בשיקומו</w:t>
      </w:r>
      <w:r>
        <w:rPr>
          <w:rFonts w:ascii="David" w:hAnsi="David" w:hint="cs"/>
          <w:rtl/>
        </w:rPr>
        <w:t xml:space="preserve"> של הנאשם. ריצוי עונש בדרך של עבודות שירות יאפשר לנאשם לרצות את עונשו בקהילה, שלא מאחורי סורג ובריח, תוך פגיעה פחותה בחירותו ובה בעת יאפשר הגשמת עקרונות גמול והרתעה. נראה כי ההיפך הוא הנכון - יש לראות בעונש מאסר המרוצה על דרך עבודות שירות, כחלק חיוני משיקומו של אדם, משום שבריצוי עונש עבודות שירות יש משום נשיאה ממשית באחריות על מעשי עבירה, תוך התנתקות מדורגת מעולם הטיפול ומעבר לעולם האמיתי בו התכנים הטיפוליים קורמים עור וגידים, הלכה למעשה. אכן, עונש מאסר לריצוי בדרך של עבודות שירות, אינו קל ואף כרוך בפגיעה לא מבוטלת בחירותו של הנאשם, אך הוא כלי אפקטיבי לשיקום עמוק וממשי, דווקא בשל האתגר הכרוך בריצויו. לא בכדי התייחס בית המשפט העליון פעם אחר פעם על עונש מאסר על דרך של עבודות שירות כאל פריבילגיה שבבסיסה תכלית שיקומית. ראו למשל </w:t>
      </w:r>
      <w:hyperlink r:id="rId50" w:history="1">
        <w:r w:rsidR="009744BD" w:rsidRPr="009744BD">
          <w:rPr>
            <w:rFonts w:ascii="David" w:hAnsi="David"/>
            <w:color w:val="0000FF"/>
            <w:u w:val="single"/>
            <w:rtl/>
          </w:rPr>
          <w:t>רע"ב 3867/17</w:t>
        </w:r>
      </w:hyperlink>
      <w:r>
        <w:rPr>
          <w:rFonts w:ascii="David" w:hAnsi="David" w:hint="cs"/>
          <w:rtl/>
        </w:rPr>
        <w:t xml:space="preserve"> </w:t>
      </w:r>
      <w:r w:rsidRPr="0036603E">
        <w:rPr>
          <w:rFonts w:ascii="David" w:hAnsi="David" w:hint="cs"/>
          <w:b/>
          <w:bCs/>
          <w:rtl/>
        </w:rPr>
        <w:t>חדד נ' מדינת ישראל</w:t>
      </w:r>
      <w:r>
        <w:rPr>
          <w:rFonts w:ascii="David" w:hAnsi="David" w:hint="cs"/>
          <w:rtl/>
        </w:rPr>
        <w:t xml:space="preserve">.   </w:t>
      </w:r>
    </w:p>
    <w:p w14:paraId="781388C0" w14:textId="77777777" w:rsidR="00FF78AA" w:rsidRDefault="00FF78AA" w:rsidP="00FF78AA">
      <w:pPr>
        <w:pStyle w:val="aa"/>
        <w:spacing w:line="360" w:lineRule="auto"/>
        <w:rPr>
          <w:rFonts w:ascii="David" w:hAnsi="David" w:cs="David"/>
          <w:sz w:val="24"/>
          <w:szCs w:val="24"/>
          <w:rtl/>
        </w:rPr>
      </w:pPr>
    </w:p>
    <w:p w14:paraId="207236CC" w14:textId="77777777" w:rsidR="00FF78AA" w:rsidRPr="00A10463" w:rsidRDefault="00FF78AA" w:rsidP="00FF78AA">
      <w:pPr>
        <w:spacing w:line="360" w:lineRule="auto"/>
        <w:jc w:val="both"/>
        <w:rPr>
          <w:rFonts w:ascii="David" w:hAnsi="David"/>
          <w:b/>
          <w:bCs/>
          <w:u w:val="single"/>
          <w:rtl/>
        </w:rPr>
      </w:pPr>
      <w:r>
        <w:rPr>
          <w:rFonts w:ascii="David" w:hAnsi="David" w:hint="cs"/>
          <w:b/>
          <w:bCs/>
          <w:u w:val="single"/>
          <w:rtl/>
        </w:rPr>
        <w:t>גזירת העונש</w:t>
      </w:r>
    </w:p>
    <w:p w14:paraId="58ACEC20" w14:textId="77777777" w:rsidR="00FF78AA" w:rsidRPr="00A10463" w:rsidRDefault="00FF78AA" w:rsidP="00FF78AA">
      <w:pPr>
        <w:pStyle w:val="aa"/>
        <w:numPr>
          <w:ilvl w:val="0"/>
          <w:numId w:val="1"/>
        </w:numPr>
        <w:spacing w:after="0" w:line="360" w:lineRule="auto"/>
        <w:ind w:left="360"/>
        <w:jc w:val="both"/>
        <w:rPr>
          <w:rFonts w:ascii="David" w:hAnsi="David" w:cs="David"/>
          <w:sz w:val="24"/>
          <w:szCs w:val="24"/>
        </w:rPr>
      </w:pPr>
      <w:r w:rsidRPr="00A10463">
        <w:rPr>
          <w:rFonts w:ascii="David" w:hAnsi="David" w:cs="David"/>
          <w:sz w:val="24"/>
          <w:szCs w:val="24"/>
          <w:rtl/>
        </w:rPr>
        <w:t>לאחר ששקלתי את כלל השיקולים לעיל, לקולה ולחומרה, אני גוזר על הנאשם את העונשים הבאים:</w:t>
      </w:r>
    </w:p>
    <w:p w14:paraId="7CEB746B" w14:textId="77777777" w:rsidR="00FF78AA" w:rsidRPr="00A10463" w:rsidRDefault="00FF78AA" w:rsidP="00FF78AA">
      <w:pPr>
        <w:pStyle w:val="aa"/>
        <w:spacing w:after="0" w:line="360" w:lineRule="auto"/>
        <w:ind w:left="360"/>
        <w:jc w:val="both"/>
        <w:rPr>
          <w:rFonts w:ascii="David" w:hAnsi="David" w:cs="David"/>
          <w:sz w:val="24"/>
          <w:szCs w:val="24"/>
          <w:rtl/>
        </w:rPr>
      </w:pPr>
    </w:p>
    <w:p w14:paraId="6FDE232E" w14:textId="77777777" w:rsidR="00FF78AA" w:rsidRDefault="00FF78AA" w:rsidP="00FF78AA">
      <w:pPr>
        <w:numPr>
          <w:ilvl w:val="0"/>
          <w:numId w:val="4"/>
        </w:numPr>
        <w:spacing w:line="360" w:lineRule="auto"/>
        <w:contextualSpacing/>
        <w:jc w:val="both"/>
        <w:rPr>
          <w:rFonts w:ascii="David" w:hAnsi="David"/>
        </w:rPr>
      </w:pPr>
      <w:r>
        <w:rPr>
          <w:rFonts w:ascii="David" w:hAnsi="David" w:hint="cs"/>
          <w:rtl/>
        </w:rPr>
        <w:t>9 חודשי מאסר בפועל שירוצו על דרך של עבודות שירות שירוצו במחלקת וטרינריה בבאר שבע החל מיום 26.3.23. ברחוב המכונאי 7 באר שבע.</w:t>
      </w:r>
    </w:p>
    <w:p w14:paraId="37F894B9" w14:textId="77777777" w:rsidR="00FF78AA" w:rsidRDefault="00FF78AA" w:rsidP="00FF78AA">
      <w:pPr>
        <w:pStyle w:val="aa"/>
        <w:spacing w:after="160" w:line="360" w:lineRule="auto"/>
        <w:jc w:val="both"/>
        <w:rPr>
          <w:rFonts w:ascii="David" w:hAnsi="David" w:cs="David"/>
          <w:sz w:val="24"/>
          <w:szCs w:val="24"/>
        </w:rPr>
      </w:pPr>
    </w:p>
    <w:p w14:paraId="566E3E2B" w14:textId="77777777" w:rsidR="00FF78AA" w:rsidRPr="004F19B5" w:rsidRDefault="00FF78AA" w:rsidP="00FF78AA">
      <w:pPr>
        <w:pStyle w:val="aa"/>
        <w:numPr>
          <w:ilvl w:val="0"/>
          <w:numId w:val="4"/>
        </w:numPr>
        <w:spacing w:after="160" w:line="360" w:lineRule="auto"/>
        <w:jc w:val="both"/>
        <w:rPr>
          <w:rFonts w:ascii="David" w:hAnsi="David" w:cs="David"/>
          <w:sz w:val="24"/>
          <w:szCs w:val="24"/>
        </w:rPr>
      </w:pPr>
      <w:r w:rsidRPr="004F19B5">
        <w:rPr>
          <w:rFonts w:ascii="David" w:hAnsi="David" w:cs="David"/>
          <w:sz w:val="24"/>
          <w:szCs w:val="24"/>
          <w:rtl/>
        </w:rPr>
        <w:t>אני מזהיר את הנאשם, כי עליו לנהוג בהתאם לכללים ולתנאים ש</w:t>
      </w:r>
      <w:r w:rsidRPr="004F19B5">
        <w:rPr>
          <w:rFonts w:ascii="David" w:hAnsi="David" w:cs="David" w:hint="cs"/>
          <w:sz w:val="24"/>
          <w:szCs w:val="24"/>
          <w:rtl/>
        </w:rPr>
        <w:t>י</w:t>
      </w:r>
      <w:r w:rsidRPr="004F19B5">
        <w:rPr>
          <w:rFonts w:ascii="David" w:hAnsi="David" w:cs="David"/>
          <w:sz w:val="24"/>
          <w:szCs w:val="24"/>
          <w:rtl/>
        </w:rPr>
        <w:t>קבע הממונה על עבודות השירות, ושאם לא יעשה כן, יכול ויופסקו עבודות השירות, והוא יידרש לרצות את יתרת עונשו בכלא.</w:t>
      </w:r>
    </w:p>
    <w:p w14:paraId="5E53E3F7" w14:textId="77777777" w:rsidR="00FF78AA" w:rsidRDefault="00FF78AA" w:rsidP="00FF78AA">
      <w:pPr>
        <w:pStyle w:val="aa"/>
        <w:spacing w:before="60" w:after="0" w:line="360" w:lineRule="auto"/>
        <w:jc w:val="both"/>
        <w:rPr>
          <w:rFonts w:ascii="David" w:hAnsi="David" w:cs="David"/>
          <w:sz w:val="24"/>
          <w:szCs w:val="24"/>
        </w:rPr>
      </w:pPr>
    </w:p>
    <w:p w14:paraId="535D6D98" w14:textId="77777777" w:rsidR="00FF78AA" w:rsidRPr="00A10463" w:rsidRDefault="00FF78AA" w:rsidP="00FF78AA">
      <w:pPr>
        <w:pStyle w:val="aa"/>
        <w:numPr>
          <w:ilvl w:val="0"/>
          <w:numId w:val="4"/>
        </w:numPr>
        <w:spacing w:before="60" w:after="0" w:line="360" w:lineRule="auto"/>
        <w:jc w:val="both"/>
        <w:rPr>
          <w:rFonts w:ascii="David" w:hAnsi="David" w:cs="David"/>
          <w:sz w:val="24"/>
          <w:szCs w:val="24"/>
        </w:rPr>
      </w:pPr>
      <w:r w:rsidRPr="00A10463">
        <w:rPr>
          <w:rFonts w:ascii="David" w:hAnsi="David" w:cs="David"/>
          <w:sz w:val="24"/>
          <w:szCs w:val="24"/>
          <w:rtl/>
        </w:rPr>
        <w:t>4 חודשי מאסר מותנה למשך 3 שנים מהיום. מאסר זה יופעל במידה והנאשם יעבור במשך תקופת התנאי עבירת סם מסוג עוון.</w:t>
      </w:r>
    </w:p>
    <w:p w14:paraId="42424B84" w14:textId="77777777" w:rsidR="00FF78AA" w:rsidRPr="00A10463" w:rsidRDefault="00FF78AA" w:rsidP="00FF78AA">
      <w:pPr>
        <w:pStyle w:val="aa"/>
        <w:spacing w:line="360" w:lineRule="auto"/>
        <w:ind w:left="360"/>
        <w:rPr>
          <w:rFonts w:ascii="David" w:hAnsi="David" w:cs="David"/>
          <w:sz w:val="24"/>
          <w:szCs w:val="24"/>
          <w:rtl/>
        </w:rPr>
      </w:pPr>
    </w:p>
    <w:p w14:paraId="0457E4FE" w14:textId="77777777" w:rsidR="00FF78AA" w:rsidRPr="00A10463" w:rsidRDefault="00FF78AA" w:rsidP="00FF78AA">
      <w:pPr>
        <w:pStyle w:val="aa"/>
        <w:numPr>
          <w:ilvl w:val="0"/>
          <w:numId w:val="4"/>
        </w:numPr>
        <w:spacing w:before="60" w:after="0" w:line="360" w:lineRule="auto"/>
        <w:jc w:val="both"/>
        <w:rPr>
          <w:rFonts w:ascii="David" w:hAnsi="David" w:cs="David"/>
          <w:sz w:val="24"/>
          <w:szCs w:val="24"/>
        </w:rPr>
      </w:pPr>
      <w:r w:rsidRPr="00A10463">
        <w:rPr>
          <w:rFonts w:ascii="David" w:hAnsi="David" w:cs="David"/>
          <w:sz w:val="24"/>
          <w:szCs w:val="24"/>
          <w:rtl/>
        </w:rPr>
        <w:t>6 חודשי מאסר מותנה למשך 3 שנים מהיום. מאסר זה יופעל במידה והנאשם יעבור במשך תקופת התנאי עבירת סם מסוג פשע.</w:t>
      </w:r>
    </w:p>
    <w:p w14:paraId="3AF8962D" w14:textId="77777777" w:rsidR="00FF78AA" w:rsidRPr="009744BD" w:rsidRDefault="009744BD" w:rsidP="00FF78AA">
      <w:pPr>
        <w:pStyle w:val="aa"/>
        <w:spacing w:before="60" w:after="0" w:line="360" w:lineRule="auto"/>
        <w:jc w:val="both"/>
        <w:rPr>
          <w:rFonts w:ascii="David" w:hAnsi="David" w:cs="David"/>
          <w:color w:val="FFFFFF"/>
          <w:sz w:val="2"/>
          <w:szCs w:val="2"/>
        </w:rPr>
      </w:pPr>
      <w:r w:rsidRPr="009744BD">
        <w:rPr>
          <w:rFonts w:ascii="David" w:hAnsi="David" w:cs="David"/>
          <w:color w:val="FFFFFF"/>
          <w:sz w:val="2"/>
          <w:szCs w:val="2"/>
          <w:rtl/>
        </w:rPr>
        <w:t>5129371</w:t>
      </w:r>
    </w:p>
    <w:p w14:paraId="6DA61523" w14:textId="77777777" w:rsidR="00FF78AA" w:rsidRPr="0067329A" w:rsidRDefault="009744BD" w:rsidP="00FF78AA">
      <w:pPr>
        <w:pStyle w:val="aa"/>
        <w:spacing w:before="60" w:after="0" w:line="360" w:lineRule="auto"/>
        <w:ind w:left="0"/>
        <w:jc w:val="both"/>
        <w:rPr>
          <w:rFonts w:ascii="David" w:hAnsi="David" w:cs="David"/>
          <w:b/>
          <w:bCs/>
          <w:sz w:val="24"/>
          <w:szCs w:val="24"/>
        </w:rPr>
      </w:pPr>
      <w:r w:rsidRPr="009744BD">
        <w:rPr>
          <w:rFonts w:ascii="David" w:hAnsi="David" w:cs="David"/>
          <w:b/>
          <w:bCs/>
          <w:color w:val="FFFFFF"/>
          <w:sz w:val="2"/>
          <w:szCs w:val="2"/>
          <w:rtl/>
        </w:rPr>
        <w:t>54678313</w:t>
      </w:r>
      <w:r w:rsidR="00FF78AA" w:rsidRPr="0067329A">
        <w:rPr>
          <w:rFonts w:ascii="David" w:hAnsi="David" w:cs="David"/>
          <w:b/>
          <w:bCs/>
          <w:sz w:val="24"/>
          <w:szCs w:val="24"/>
          <w:rtl/>
        </w:rPr>
        <w:t>זכות ערעור כדין.</w:t>
      </w:r>
    </w:p>
    <w:p w14:paraId="1785C2EC" w14:textId="77777777" w:rsidR="00FF78AA" w:rsidRPr="000F2247" w:rsidRDefault="00FF78AA" w:rsidP="00FF78AA">
      <w:pPr>
        <w:rPr>
          <w:rFonts w:ascii="Arial" w:hAnsi="Arial"/>
          <w:b/>
          <w:bCs/>
          <w:sz w:val="26"/>
          <w:szCs w:val="26"/>
          <w:rtl/>
        </w:rPr>
      </w:pPr>
    </w:p>
    <w:p w14:paraId="01939E19" w14:textId="77777777" w:rsidR="00FF78AA" w:rsidRPr="000F2247" w:rsidRDefault="009744BD" w:rsidP="00FF78A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ט"ו שבט תשפ"ג, 06 פברואר 2023, במעמד הצדדים. </w:t>
      </w:r>
      <w:bookmarkEnd w:id="8"/>
      <w:r w:rsidR="00FF78AA">
        <w:rPr>
          <w:rFonts w:ascii="Arial" w:hAnsi="Arial"/>
          <w:b/>
          <w:bCs/>
          <w:sz w:val="26"/>
          <w:szCs w:val="26"/>
          <w:rtl/>
        </w:rPr>
        <w:tab/>
      </w:r>
      <w:r w:rsidR="00FF78AA">
        <w:rPr>
          <w:rFonts w:ascii="Arial" w:hAnsi="Arial"/>
          <w:b/>
          <w:bCs/>
          <w:sz w:val="26"/>
          <w:szCs w:val="26"/>
          <w:rtl/>
        </w:rPr>
        <w:tab/>
      </w:r>
      <w:r w:rsidR="00FF78AA">
        <w:rPr>
          <w:rFonts w:ascii="Arial" w:hAnsi="Arial"/>
          <w:b/>
          <w:bCs/>
          <w:sz w:val="26"/>
          <w:szCs w:val="26"/>
          <w:rtl/>
        </w:rPr>
        <w:tab/>
      </w:r>
      <w:r w:rsidR="00FF78AA">
        <w:rPr>
          <w:rFonts w:ascii="Arial" w:hAnsi="Arial"/>
          <w:b/>
          <w:bCs/>
          <w:sz w:val="26"/>
          <w:szCs w:val="26"/>
          <w:rtl/>
        </w:rPr>
        <w:tab/>
      </w:r>
      <w:r w:rsidR="00FF78AA">
        <w:rPr>
          <w:rFonts w:ascii="Arial" w:hAnsi="Arial"/>
          <w:b/>
          <w:bCs/>
          <w:sz w:val="26"/>
          <w:szCs w:val="26"/>
          <w:rtl/>
        </w:rPr>
        <w:tab/>
      </w:r>
      <w:r w:rsidR="00FF78AA">
        <w:rPr>
          <w:rFonts w:ascii="Arial" w:hAnsi="Arial"/>
          <w:b/>
          <w:bCs/>
          <w:sz w:val="26"/>
          <w:szCs w:val="26"/>
          <w:rtl/>
        </w:rPr>
        <w:tab/>
      </w:r>
      <w:r w:rsidR="00FF78AA">
        <w:rPr>
          <w:rFonts w:ascii="Arial" w:hAnsi="Arial"/>
          <w:b/>
          <w:bCs/>
          <w:sz w:val="26"/>
          <w:szCs w:val="26"/>
          <w:rtl/>
        </w:rPr>
        <w:tab/>
      </w:r>
      <w:r w:rsidR="00FF78AA">
        <w:rPr>
          <w:rFonts w:ascii="Arial" w:hAnsi="Arial" w:hint="cs"/>
          <w:b/>
          <w:bCs/>
          <w:sz w:val="26"/>
          <w:szCs w:val="26"/>
          <w:rtl/>
        </w:rPr>
        <w:t xml:space="preserve">         </w:t>
      </w:r>
    </w:p>
    <w:p w14:paraId="1724C7B4" w14:textId="77777777" w:rsidR="00FF78AA" w:rsidRPr="000F2247" w:rsidRDefault="00FF78AA" w:rsidP="009744B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90DF4B8" w14:textId="77777777" w:rsidR="00FF78AA" w:rsidRPr="000F2247" w:rsidRDefault="00FF78AA" w:rsidP="00FF78AA">
      <w:pPr>
        <w:jc w:val="center"/>
        <w:rPr>
          <w:rFonts w:ascii="Arial" w:hAnsi="Arial"/>
          <w:b/>
          <w:bCs/>
          <w:sz w:val="26"/>
          <w:szCs w:val="26"/>
          <w:rtl/>
        </w:rPr>
      </w:pPr>
    </w:p>
    <w:p w14:paraId="27722241" w14:textId="77777777" w:rsidR="00B65809" w:rsidRPr="009744BD" w:rsidRDefault="00B65809" w:rsidP="009744BD">
      <w:pPr>
        <w:keepNext/>
        <w:rPr>
          <w:rFonts w:ascii="David" w:hAnsi="David"/>
          <w:color w:val="000000"/>
          <w:sz w:val="22"/>
          <w:szCs w:val="22"/>
          <w:rtl/>
        </w:rPr>
      </w:pPr>
    </w:p>
    <w:p w14:paraId="6098ECF4" w14:textId="77777777" w:rsidR="009744BD" w:rsidRPr="009744BD" w:rsidRDefault="009744BD" w:rsidP="009744BD">
      <w:pPr>
        <w:keepNext/>
        <w:rPr>
          <w:rFonts w:ascii="David" w:hAnsi="David"/>
          <w:color w:val="000000"/>
          <w:sz w:val="22"/>
          <w:szCs w:val="22"/>
          <w:rtl/>
        </w:rPr>
      </w:pPr>
      <w:r w:rsidRPr="009744BD">
        <w:rPr>
          <w:rFonts w:ascii="David" w:hAnsi="David"/>
          <w:color w:val="000000"/>
          <w:sz w:val="22"/>
          <w:szCs w:val="22"/>
          <w:rtl/>
        </w:rPr>
        <w:t>יניב בן הרוש 54678313</w:t>
      </w:r>
    </w:p>
    <w:p w14:paraId="65C74892" w14:textId="77777777" w:rsidR="009744BD" w:rsidRDefault="009744BD" w:rsidP="009744BD">
      <w:r w:rsidRPr="009744BD">
        <w:rPr>
          <w:color w:val="000000"/>
          <w:rtl/>
        </w:rPr>
        <w:t>נוסח מסמך זה כפוף לשינויי ניסוח ועריכה</w:t>
      </w:r>
    </w:p>
    <w:p w14:paraId="2937F384" w14:textId="77777777" w:rsidR="009744BD" w:rsidRDefault="009744BD" w:rsidP="009744BD">
      <w:pPr>
        <w:rPr>
          <w:rtl/>
        </w:rPr>
      </w:pPr>
    </w:p>
    <w:p w14:paraId="6285C6B3" w14:textId="77777777" w:rsidR="009744BD" w:rsidRDefault="009744BD" w:rsidP="009744BD">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4124A043" w14:textId="77777777" w:rsidR="009744BD" w:rsidRPr="009744BD" w:rsidRDefault="009744BD" w:rsidP="009744BD">
      <w:pPr>
        <w:jc w:val="center"/>
        <w:rPr>
          <w:color w:val="0000FF"/>
          <w:u w:val="single"/>
        </w:rPr>
      </w:pPr>
    </w:p>
    <w:sectPr w:rsidR="009744BD" w:rsidRPr="009744BD" w:rsidSect="009744BD">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6930C" w14:textId="77777777" w:rsidR="00DC6D14" w:rsidRDefault="00DC6D14" w:rsidP="00474BC7">
      <w:r>
        <w:separator/>
      </w:r>
    </w:p>
  </w:endnote>
  <w:endnote w:type="continuationSeparator" w:id="0">
    <w:p w14:paraId="5DC35798" w14:textId="77777777" w:rsidR="00DC6D14" w:rsidRDefault="00DC6D14" w:rsidP="00474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1BCF" w14:textId="77777777" w:rsidR="009744BD" w:rsidRDefault="009744BD" w:rsidP="009744B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B8C2A6" w14:textId="77777777" w:rsidR="00595A5E" w:rsidRPr="009744BD" w:rsidRDefault="009744BD" w:rsidP="009744B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C54A8" w14:textId="77777777" w:rsidR="009744BD" w:rsidRDefault="009744BD" w:rsidP="009744B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2263">
      <w:rPr>
        <w:rFonts w:ascii="FrankRuehl" w:hAnsi="FrankRuehl" w:cs="FrankRuehl"/>
        <w:noProof/>
        <w:rtl/>
      </w:rPr>
      <w:t>1</w:t>
    </w:r>
    <w:r>
      <w:rPr>
        <w:rFonts w:ascii="FrankRuehl" w:hAnsi="FrankRuehl" w:cs="FrankRuehl"/>
        <w:rtl/>
      </w:rPr>
      <w:fldChar w:fldCharType="end"/>
    </w:r>
  </w:p>
  <w:p w14:paraId="7AF8998E" w14:textId="77777777" w:rsidR="00595A5E" w:rsidRPr="009744BD" w:rsidRDefault="009744BD" w:rsidP="009744B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09D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7D34E" w14:textId="77777777" w:rsidR="00DC6D14" w:rsidRDefault="00DC6D14" w:rsidP="00474BC7">
      <w:r>
        <w:separator/>
      </w:r>
    </w:p>
  </w:footnote>
  <w:footnote w:type="continuationSeparator" w:id="0">
    <w:p w14:paraId="0182A283" w14:textId="77777777" w:rsidR="00DC6D14" w:rsidRDefault="00DC6D14" w:rsidP="00474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77484" w14:textId="77777777" w:rsidR="009744BD" w:rsidRPr="009744BD" w:rsidRDefault="009744BD" w:rsidP="009744B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30551-02-21</w:t>
    </w:r>
    <w:r>
      <w:rPr>
        <w:rFonts w:ascii="David" w:hAnsi="David"/>
        <w:color w:val="000000"/>
        <w:sz w:val="22"/>
        <w:szCs w:val="22"/>
        <w:rtl/>
      </w:rPr>
      <w:tab/>
      <w:t xml:space="preserve"> מדינת ישראל-תביעות נגב נ' פליפה אלברטו קג'רוס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57F91" w14:textId="77777777" w:rsidR="009744BD" w:rsidRPr="009744BD" w:rsidRDefault="009744BD" w:rsidP="009744B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30551-02-21</w:t>
    </w:r>
    <w:r>
      <w:rPr>
        <w:rFonts w:ascii="David" w:hAnsi="David"/>
        <w:color w:val="000000"/>
        <w:sz w:val="22"/>
        <w:szCs w:val="22"/>
        <w:rtl/>
      </w:rPr>
      <w:tab/>
      <w:t xml:space="preserve"> מדינת ישראל-תביעות נגב נ' פליפה אלברטו קג'רוס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1AD4A1A0"/>
    <w:lvl w:ilvl="0" w:tplc="9D6E0AA8">
      <w:start w:val="1"/>
      <w:numFmt w:val="decimal"/>
      <w:pStyle w:val="a"/>
      <w:lvlText w:val="%1."/>
      <w:lvlJc w:val="left"/>
      <w:pPr>
        <w:tabs>
          <w:tab w:val="num" w:pos="720"/>
        </w:tabs>
        <w:ind w:left="720" w:hanging="720"/>
      </w:pPr>
      <w:rPr>
        <w:rFonts w:cs="David" w:hint="default"/>
      </w:rPr>
    </w:lvl>
    <w:lvl w:ilvl="1" w:tplc="F774B552">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6CE3B61"/>
    <w:multiLevelType w:val="hybridMultilevel"/>
    <w:tmpl w:val="7A326CF0"/>
    <w:lvl w:ilvl="0" w:tplc="04090013">
      <w:start w:val="1"/>
      <w:numFmt w:val="hebrew1"/>
      <w:lvlText w:val="%1."/>
      <w:lvlJc w:val="center"/>
      <w:pPr>
        <w:ind w:left="720" w:hanging="360"/>
      </w:pPr>
      <w:rPr>
        <w:rFonts w:hint="default"/>
        <w:b w:val="0"/>
        <w:bCs w:val="0"/>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EC3747F"/>
    <w:multiLevelType w:val="hybridMultilevel"/>
    <w:tmpl w:val="E126F992"/>
    <w:lvl w:ilvl="0" w:tplc="1EAAA5A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56DA5"/>
    <w:multiLevelType w:val="hybridMultilevel"/>
    <w:tmpl w:val="8436AE48"/>
    <w:lvl w:ilvl="0" w:tplc="495E05A2">
      <w:start w:val="1"/>
      <w:numFmt w:val="decimal"/>
      <w:lvlText w:val="%1."/>
      <w:lvlJc w:val="left"/>
      <w:pPr>
        <w:ind w:left="720" w:hanging="360"/>
      </w:pPr>
      <w:rPr>
        <w:rFonts w:cs="Times New Roman" w:hint="default"/>
        <w:b w:val="0"/>
        <w:bCs w:val="0"/>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CB108DE"/>
    <w:multiLevelType w:val="hybridMultilevel"/>
    <w:tmpl w:val="E126F992"/>
    <w:lvl w:ilvl="0" w:tplc="1EAAA5A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559689">
    <w:abstractNumId w:val="3"/>
  </w:num>
  <w:num w:numId="2" w16cid:durableId="192353649">
    <w:abstractNumId w:val="0"/>
  </w:num>
  <w:num w:numId="3" w16cid:durableId="1104501682">
    <w:abstractNumId w:val="4"/>
  </w:num>
  <w:num w:numId="4" w16cid:durableId="1946880202">
    <w:abstractNumId w:val="2"/>
  </w:num>
  <w:num w:numId="5" w16cid:durableId="1364476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78AA"/>
    <w:rsid w:val="00041C8C"/>
    <w:rsid w:val="0007041F"/>
    <w:rsid w:val="002C56CB"/>
    <w:rsid w:val="00474BC7"/>
    <w:rsid w:val="00542263"/>
    <w:rsid w:val="00595A5E"/>
    <w:rsid w:val="00662DFB"/>
    <w:rsid w:val="00935015"/>
    <w:rsid w:val="009744BD"/>
    <w:rsid w:val="009A4E4C"/>
    <w:rsid w:val="009E67B8"/>
    <w:rsid w:val="00B65809"/>
    <w:rsid w:val="00C82C15"/>
    <w:rsid w:val="00D10613"/>
    <w:rsid w:val="00DC6D14"/>
    <w:rsid w:val="00FE4443"/>
    <w:rsid w:val="00FF78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3AAAB0"/>
  <w15:chartTrackingRefBased/>
  <w15:docId w15:val="{73464F30-4743-4E43-9EAC-AC73F746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F78AA"/>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F78AA"/>
    <w:pPr>
      <w:tabs>
        <w:tab w:val="center" w:pos="4153"/>
        <w:tab w:val="right" w:pos="8306"/>
      </w:tabs>
    </w:pPr>
  </w:style>
  <w:style w:type="character" w:customStyle="1" w:styleId="a5">
    <w:name w:val="כותרת עליונה תו"/>
    <w:link w:val="a4"/>
    <w:rsid w:val="00FF78AA"/>
    <w:rPr>
      <w:rFonts w:ascii="Times New Roman" w:eastAsia="Times New Roman" w:hAnsi="Times New Roman" w:cs="David"/>
      <w:sz w:val="24"/>
      <w:szCs w:val="24"/>
    </w:rPr>
  </w:style>
  <w:style w:type="paragraph" w:styleId="a6">
    <w:name w:val="footer"/>
    <w:basedOn w:val="a0"/>
    <w:link w:val="a7"/>
    <w:rsid w:val="00FF78AA"/>
    <w:pPr>
      <w:tabs>
        <w:tab w:val="center" w:pos="4153"/>
        <w:tab w:val="right" w:pos="8306"/>
      </w:tabs>
    </w:pPr>
  </w:style>
  <w:style w:type="character" w:customStyle="1" w:styleId="a7">
    <w:name w:val="כותרת תחתונה תו"/>
    <w:link w:val="a6"/>
    <w:rsid w:val="00FF78AA"/>
    <w:rPr>
      <w:rFonts w:ascii="Times New Roman" w:eastAsia="Times New Roman" w:hAnsi="Times New Roman" w:cs="David"/>
      <w:sz w:val="24"/>
      <w:szCs w:val="24"/>
    </w:rPr>
  </w:style>
  <w:style w:type="table" w:styleId="a8">
    <w:name w:val="Table Grid"/>
    <w:basedOn w:val="a2"/>
    <w:rsid w:val="00FF78A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FF78AA"/>
  </w:style>
  <w:style w:type="paragraph" w:styleId="aa">
    <w:name w:val="List Paragraph"/>
    <w:basedOn w:val="a0"/>
    <w:link w:val="ab"/>
    <w:qFormat/>
    <w:rsid w:val="00FF78AA"/>
    <w:pPr>
      <w:spacing w:after="200" w:line="276" w:lineRule="auto"/>
      <w:ind w:left="720"/>
      <w:contextualSpacing/>
    </w:pPr>
    <w:rPr>
      <w:rFonts w:ascii="Calibri" w:eastAsia="Calibri" w:hAnsi="Calibri" w:cs="Arial"/>
      <w:sz w:val="22"/>
      <w:szCs w:val="22"/>
    </w:rPr>
  </w:style>
  <w:style w:type="paragraph" w:customStyle="1" w:styleId="a">
    <w:name w:val="ממוספר"/>
    <w:basedOn w:val="a0"/>
    <w:rsid w:val="00FF78AA"/>
    <w:pPr>
      <w:numPr>
        <w:numId w:val="2"/>
      </w:numPr>
      <w:spacing w:after="120" w:line="360" w:lineRule="auto"/>
    </w:pPr>
    <w:rPr>
      <w:rFonts w:ascii="David" w:hAnsi="David"/>
      <w:color w:val="000000"/>
    </w:rPr>
  </w:style>
  <w:style w:type="character" w:customStyle="1" w:styleId="ab">
    <w:name w:val="פיסקת רשימה תו"/>
    <w:link w:val="aa"/>
    <w:locked/>
    <w:rsid w:val="00FF78AA"/>
    <w:rPr>
      <w:rFonts w:ascii="Calibri" w:eastAsia="Calibri" w:hAnsi="Calibri" w:cs="Arial"/>
    </w:rPr>
  </w:style>
  <w:style w:type="character" w:styleId="Hyperlink">
    <w:name w:val="Hyperlink"/>
    <w:rsid w:val="00974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7.a.;7.c" TargetMode="External"/><Relationship Id="rId26" Type="http://schemas.openxmlformats.org/officeDocument/2006/relationships/hyperlink" Target="http://www.nevo.co.il/law/70301/40c.a" TargetMode="External"/><Relationship Id="rId39" Type="http://schemas.openxmlformats.org/officeDocument/2006/relationships/hyperlink" Target="http://www.nevo.co.il/case/28388215" TargetMode="External"/><Relationship Id="rId21" Type="http://schemas.openxmlformats.org/officeDocument/2006/relationships/hyperlink" Target="http://www.nevo.co.il/case/20033641" TargetMode="External"/><Relationship Id="rId34" Type="http://schemas.openxmlformats.org/officeDocument/2006/relationships/hyperlink" Target="http://www.nevo.co.il/case/26335623" TargetMode="External"/><Relationship Id="rId42" Type="http://schemas.openxmlformats.org/officeDocument/2006/relationships/hyperlink" Target="http://www.nevo.co.il/case/22938500" TargetMode="External"/><Relationship Id="rId47" Type="http://schemas.openxmlformats.org/officeDocument/2006/relationships/hyperlink" Target="http://www.nevo.co.il/case/25383440" TargetMode="External"/><Relationship Id="rId50" Type="http://schemas.openxmlformats.org/officeDocument/2006/relationships/hyperlink" Target="http://www.nevo.co.il/case/22636425"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7313460"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6708658" TargetMode="External"/><Relationship Id="rId32" Type="http://schemas.openxmlformats.org/officeDocument/2006/relationships/hyperlink" Target="http://www.nevo.co.il/case/27592536" TargetMode="External"/><Relationship Id="rId37" Type="http://schemas.openxmlformats.org/officeDocument/2006/relationships/hyperlink" Target="http://www.nevo.co.il/case/26092940" TargetMode="External"/><Relationship Id="rId40" Type="http://schemas.openxmlformats.org/officeDocument/2006/relationships/hyperlink" Target="http://www.nevo.co.il/case/28092391" TargetMode="External"/><Relationship Id="rId45" Type="http://schemas.openxmlformats.org/officeDocument/2006/relationships/hyperlink" Target="http://www.nevo.co.il/law/70301/40d"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case/2538344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6246488" TargetMode="External"/><Relationship Id="rId35" Type="http://schemas.openxmlformats.org/officeDocument/2006/relationships/hyperlink" Target="http://www.nevo.co.il/case/25492398" TargetMode="External"/><Relationship Id="rId43" Type="http://schemas.openxmlformats.org/officeDocument/2006/relationships/hyperlink" Target="http://www.nevo.co.il/case/16941505" TargetMode="External"/><Relationship Id="rId48" Type="http://schemas.openxmlformats.org/officeDocument/2006/relationships/hyperlink" Target="http://www.nevo.co.il/case/17954253" TargetMode="External"/><Relationship Id="rId56"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2303378" TargetMode="External"/><Relationship Id="rId33" Type="http://schemas.openxmlformats.org/officeDocument/2006/relationships/hyperlink" Target="http://www.nevo.co.il/case/5600751" TargetMode="External"/><Relationship Id="rId38" Type="http://schemas.openxmlformats.org/officeDocument/2006/relationships/hyperlink" Target="http://www.nevo.co.il/case/28190928"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13093721" TargetMode="External"/><Relationship Id="rId41" Type="http://schemas.openxmlformats.org/officeDocument/2006/relationships/hyperlink" Target="http://www.nevo.co.il/case/25459244"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18793360" TargetMode="External"/><Relationship Id="rId28" Type="http://schemas.openxmlformats.org/officeDocument/2006/relationships/hyperlink" Target="http://www.nevo.co.il/case/5583030" TargetMode="External"/><Relationship Id="rId36" Type="http://schemas.openxmlformats.org/officeDocument/2006/relationships/hyperlink" Target="http://www.nevo.co.il/case/4871250" TargetMode="External"/><Relationship Id="rId49" Type="http://schemas.openxmlformats.org/officeDocument/2006/relationships/hyperlink" Target="http://www.nevo.co.il/case/20356752" TargetMode="External"/><Relationship Id="rId57" Type="http://schemas.openxmlformats.org/officeDocument/2006/relationships/theme" Target="theme/theme1.xml"/><Relationship Id="rId10" Type="http://schemas.openxmlformats.org/officeDocument/2006/relationships/hyperlink" Target="http://www.nevo.co.il/law/4216/13" TargetMode="External"/><Relationship Id="rId31" Type="http://schemas.openxmlformats.org/officeDocument/2006/relationships/hyperlink" Target="http://www.nevo.co.il/case/21477472" TargetMode="External"/><Relationship Id="rId44" Type="http://schemas.openxmlformats.org/officeDocument/2006/relationships/hyperlink" Target="http://www.nevo.co.il/case/19994719"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2982</Words>
  <Characters>14911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17858</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3145841</vt:i4>
      </vt:variant>
      <vt:variant>
        <vt:i4>129</vt:i4>
      </vt:variant>
      <vt:variant>
        <vt:i4>0</vt:i4>
      </vt:variant>
      <vt:variant>
        <vt:i4>5</vt:i4>
      </vt:variant>
      <vt:variant>
        <vt:lpwstr>http://www.nevo.co.il/case/22636425</vt:lpwstr>
      </vt:variant>
      <vt:variant>
        <vt:lpwstr/>
      </vt:variant>
      <vt:variant>
        <vt:i4>3276918</vt:i4>
      </vt:variant>
      <vt:variant>
        <vt:i4>126</vt:i4>
      </vt:variant>
      <vt:variant>
        <vt:i4>0</vt:i4>
      </vt:variant>
      <vt:variant>
        <vt:i4>5</vt:i4>
      </vt:variant>
      <vt:variant>
        <vt:lpwstr>http://www.nevo.co.il/case/20356752</vt:lpwstr>
      </vt:variant>
      <vt:variant>
        <vt:lpwstr/>
      </vt:variant>
      <vt:variant>
        <vt:i4>3735668</vt:i4>
      </vt:variant>
      <vt:variant>
        <vt:i4>123</vt:i4>
      </vt:variant>
      <vt:variant>
        <vt:i4>0</vt:i4>
      </vt:variant>
      <vt:variant>
        <vt:i4>5</vt:i4>
      </vt:variant>
      <vt:variant>
        <vt:lpwstr>http://www.nevo.co.il/case/17954253</vt:lpwstr>
      </vt:variant>
      <vt:variant>
        <vt:lpwstr/>
      </vt:variant>
      <vt:variant>
        <vt:i4>3539069</vt:i4>
      </vt:variant>
      <vt:variant>
        <vt:i4>120</vt:i4>
      </vt:variant>
      <vt:variant>
        <vt:i4>0</vt:i4>
      </vt:variant>
      <vt:variant>
        <vt:i4>5</vt:i4>
      </vt:variant>
      <vt:variant>
        <vt:lpwstr>http://www.nevo.co.il/case/25383440</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3997811</vt:i4>
      </vt:variant>
      <vt:variant>
        <vt:i4>111</vt:i4>
      </vt:variant>
      <vt:variant>
        <vt:i4>0</vt:i4>
      </vt:variant>
      <vt:variant>
        <vt:i4>5</vt:i4>
      </vt:variant>
      <vt:variant>
        <vt:lpwstr>http://www.nevo.co.il/case/19994719</vt:lpwstr>
      </vt:variant>
      <vt:variant>
        <vt:lpwstr/>
      </vt:variant>
      <vt:variant>
        <vt:i4>3735667</vt:i4>
      </vt:variant>
      <vt:variant>
        <vt:i4>108</vt:i4>
      </vt:variant>
      <vt:variant>
        <vt:i4>0</vt:i4>
      </vt:variant>
      <vt:variant>
        <vt:i4>5</vt:i4>
      </vt:variant>
      <vt:variant>
        <vt:lpwstr>http://www.nevo.co.il/case/16941505</vt:lpwstr>
      </vt:variant>
      <vt:variant>
        <vt:lpwstr/>
      </vt:variant>
      <vt:variant>
        <vt:i4>3342448</vt:i4>
      </vt:variant>
      <vt:variant>
        <vt:i4>105</vt:i4>
      </vt:variant>
      <vt:variant>
        <vt:i4>0</vt:i4>
      </vt:variant>
      <vt:variant>
        <vt:i4>5</vt:i4>
      </vt:variant>
      <vt:variant>
        <vt:lpwstr>http://www.nevo.co.il/case/22938500</vt:lpwstr>
      </vt:variant>
      <vt:variant>
        <vt:lpwstr/>
      </vt:variant>
      <vt:variant>
        <vt:i4>3866742</vt:i4>
      </vt:variant>
      <vt:variant>
        <vt:i4>102</vt:i4>
      </vt:variant>
      <vt:variant>
        <vt:i4>0</vt:i4>
      </vt:variant>
      <vt:variant>
        <vt:i4>5</vt:i4>
      </vt:variant>
      <vt:variant>
        <vt:lpwstr>http://www.nevo.co.il/case/25459244</vt:lpwstr>
      </vt:variant>
      <vt:variant>
        <vt:lpwstr/>
      </vt:variant>
      <vt:variant>
        <vt:i4>3735670</vt:i4>
      </vt:variant>
      <vt:variant>
        <vt:i4>99</vt:i4>
      </vt:variant>
      <vt:variant>
        <vt:i4>0</vt:i4>
      </vt:variant>
      <vt:variant>
        <vt:i4>5</vt:i4>
      </vt:variant>
      <vt:variant>
        <vt:lpwstr>http://www.nevo.co.il/case/28092391</vt:lpwstr>
      </vt:variant>
      <vt:variant>
        <vt:lpwstr/>
      </vt:variant>
      <vt:variant>
        <vt:i4>3670134</vt:i4>
      </vt:variant>
      <vt:variant>
        <vt:i4>96</vt:i4>
      </vt:variant>
      <vt:variant>
        <vt:i4>0</vt:i4>
      </vt:variant>
      <vt:variant>
        <vt:i4>5</vt:i4>
      </vt:variant>
      <vt:variant>
        <vt:lpwstr>http://www.nevo.co.il/case/28388215</vt:lpwstr>
      </vt:variant>
      <vt:variant>
        <vt:lpwstr/>
      </vt:variant>
      <vt:variant>
        <vt:i4>3211388</vt:i4>
      </vt:variant>
      <vt:variant>
        <vt:i4>93</vt:i4>
      </vt:variant>
      <vt:variant>
        <vt:i4>0</vt:i4>
      </vt:variant>
      <vt:variant>
        <vt:i4>5</vt:i4>
      </vt:variant>
      <vt:variant>
        <vt:lpwstr>http://www.nevo.co.il/case/28190928</vt:lpwstr>
      </vt:variant>
      <vt:variant>
        <vt:lpwstr/>
      </vt:variant>
      <vt:variant>
        <vt:i4>3407986</vt:i4>
      </vt:variant>
      <vt:variant>
        <vt:i4>90</vt:i4>
      </vt:variant>
      <vt:variant>
        <vt:i4>0</vt:i4>
      </vt:variant>
      <vt:variant>
        <vt:i4>5</vt:i4>
      </vt:variant>
      <vt:variant>
        <vt:lpwstr>http://www.nevo.co.il/case/26092940</vt:lpwstr>
      </vt:variant>
      <vt:variant>
        <vt:lpwstr/>
      </vt:variant>
      <vt:variant>
        <vt:i4>3211384</vt:i4>
      </vt:variant>
      <vt:variant>
        <vt:i4>87</vt:i4>
      </vt:variant>
      <vt:variant>
        <vt:i4>0</vt:i4>
      </vt:variant>
      <vt:variant>
        <vt:i4>5</vt:i4>
      </vt:variant>
      <vt:variant>
        <vt:lpwstr>http://www.nevo.co.il/case/4871250</vt:lpwstr>
      </vt:variant>
      <vt:variant>
        <vt:lpwstr/>
      </vt:variant>
      <vt:variant>
        <vt:i4>3997819</vt:i4>
      </vt:variant>
      <vt:variant>
        <vt:i4>84</vt:i4>
      </vt:variant>
      <vt:variant>
        <vt:i4>0</vt:i4>
      </vt:variant>
      <vt:variant>
        <vt:i4>5</vt:i4>
      </vt:variant>
      <vt:variant>
        <vt:lpwstr>http://www.nevo.co.il/case/25492398</vt:lpwstr>
      </vt:variant>
      <vt:variant>
        <vt:lpwstr/>
      </vt:variant>
      <vt:variant>
        <vt:i4>3539063</vt:i4>
      </vt:variant>
      <vt:variant>
        <vt:i4>81</vt:i4>
      </vt:variant>
      <vt:variant>
        <vt:i4>0</vt:i4>
      </vt:variant>
      <vt:variant>
        <vt:i4>5</vt:i4>
      </vt:variant>
      <vt:variant>
        <vt:lpwstr>http://www.nevo.co.il/case/26335623</vt:lpwstr>
      </vt:variant>
      <vt:variant>
        <vt:lpwstr/>
      </vt:variant>
      <vt:variant>
        <vt:i4>3342455</vt:i4>
      </vt:variant>
      <vt:variant>
        <vt:i4>78</vt:i4>
      </vt:variant>
      <vt:variant>
        <vt:i4>0</vt:i4>
      </vt:variant>
      <vt:variant>
        <vt:i4>5</vt:i4>
      </vt:variant>
      <vt:variant>
        <vt:lpwstr>http://www.nevo.co.il/case/5600751</vt:lpwstr>
      </vt:variant>
      <vt:variant>
        <vt:lpwstr/>
      </vt:variant>
      <vt:variant>
        <vt:i4>3539071</vt:i4>
      </vt:variant>
      <vt:variant>
        <vt:i4>75</vt:i4>
      </vt:variant>
      <vt:variant>
        <vt:i4>0</vt:i4>
      </vt:variant>
      <vt:variant>
        <vt:i4>5</vt:i4>
      </vt:variant>
      <vt:variant>
        <vt:lpwstr>http://www.nevo.co.il/case/27592536</vt:lpwstr>
      </vt:variant>
      <vt:variant>
        <vt:lpwstr/>
      </vt:variant>
      <vt:variant>
        <vt:i4>3539062</vt:i4>
      </vt:variant>
      <vt:variant>
        <vt:i4>72</vt:i4>
      </vt:variant>
      <vt:variant>
        <vt:i4>0</vt:i4>
      </vt:variant>
      <vt:variant>
        <vt:i4>5</vt:i4>
      </vt:variant>
      <vt:variant>
        <vt:lpwstr>http://www.nevo.co.il/case/21477472</vt:lpwstr>
      </vt:variant>
      <vt:variant>
        <vt:lpwstr/>
      </vt:variant>
      <vt:variant>
        <vt:i4>4063346</vt:i4>
      </vt:variant>
      <vt:variant>
        <vt:i4>69</vt:i4>
      </vt:variant>
      <vt:variant>
        <vt:i4>0</vt:i4>
      </vt:variant>
      <vt:variant>
        <vt:i4>5</vt:i4>
      </vt:variant>
      <vt:variant>
        <vt:lpwstr>http://www.nevo.co.il/case/26246488</vt:lpwstr>
      </vt:variant>
      <vt:variant>
        <vt:lpwstr/>
      </vt:variant>
      <vt:variant>
        <vt:i4>3407990</vt:i4>
      </vt:variant>
      <vt:variant>
        <vt:i4>66</vt:i4>
      </vt:variant>
      <vt:variant>
        <vt:i4>0</vt:i4>
      </vt:variant>
      <vt:variant>
        <vt:i4>5</vt:i4>
      </vt:variant>
      <vt:variant>
        <vt:lpwstr>http://www.nevo.co.il/case/27313460</vt:lpwstr>
      </vt:variant>
      <vt:variant>
        <vt:lpwstr/>
      </vt:variant>
      <vt:variant>
        <vt:i4>3997809</vt:i4>
      </vt:variant>
      <vt:variant>
        <vt:i4>63</vt:i4>
      </vt:variant>
      <vt:variant>
        <vt:i4>0</vt:i4>
      </vt:variant>
      <vt:variant>
        <vt:i4>5</vt:i4>
      </vt:variant>
      <vt:variant>
        <vt:lpwstr>http://www.nevo.co.il/case/5583030</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3473525</vt:i4>
      </vt:variant>
      <vt:variant>
        <vt:i4>54</vt:i4>
      </vt:variant>
      <vt:variant>
        <vt:i4>0</vt:i4>
      </vt:variant>
      <vt:variant>
        <vt:i4>5</vt:i4>
      </vt:variant>
      <vt:variant>
        <vt:lpwstr>http://www.nevo.co.il/case/22303378</vt:lpwstr>
      </vt:variant>
      <vt:variant>
        <vt:lpwstr/>
      </vt:variant>
      <vt:variant>
        <vt:i4>3670142</vt:i4>
      </vt:variant>
      <vt:variant>
        <vt:i4>51</vt:i4>
      </vt:variant>
      <vt:variant>
        <vt:i4>0</vt:i4>
      </vt:variant>
      <vt:variant>
        <vt:i4>5</vt:i4>
      </vt:variant>
      <vt:variant>
        <vt:lpwstr>http://www.nevo.co.il/case/6708658</vt:lpwstr>
      </vt:variant>
      <vt:variant>
        <vt:lpwstr/>
      </vt:variant>
      <vt:variant>
        <vt:i4>3342454</vt:i4>
      </vt:variant>
      <vt:variant>
        <vt:i4>48</vt:i4>
      </vt:variant>
      <vt:variant>
        <vt:i4>0</vt:i4>
      </vt:variant>
      <vt:variant>
        <vt:i4>5</vt:i4>
      </vt:variant>
      <vt:variant>
        <vt:lpwstr>http://www.nevo.co.il/case/18793360</vt:lpwstr>
      </vt:variant>
      <vt:variant>
        <vt:lpwstr/>
      </vt:variant>
      <vt:variant>
        <vt:i4>7995492</vt:i4>
      </vt:variant>
      <vt:variant>
        <vt:i4>45</vt:i4>
      </vt:variant>
      <vt:variant>
        <vt:i4>0</vt:i4>
      </vt:variant>
      <vt:variant>
        <vt:i4>5</vt:i4>
      </vt:variant>
      <vt:variant>
        <vt:lpwstr>http://www.nevo.co.il/law/70301</vt:lpwstr>
      </vt:variant>
      <vt:variant>
        <vt:lpwstr/>
      </vt:variant>
      <vt:variant>
        <vt:i4>3473521</vt:i4>
      </vt:variant>
      <vt:variant>
        <vt:i4>42</vt:i4>
      </vt:variant>
      <vt:variant>
        <vt:i4>0</vt:i4>
      </vt:variant>
      <vt:variant>
        <vt:i4>5</vt:i4>
      </vt:variant>
      <vt:variant>
        <vt:lpwstr>http://www.nevo.co.il/case/20033641</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3539069</vt:i4>
      </vt:variant>
      <vt:variant>
        <vt:i4>36</vt:i4>
      </vt:variant>
      <vt:variant>
        <vt:i4>0</vt:i4>
      </vt:variant>
      <vt:variant>
        <vt:i4>5</vt:i4>
      </vt:variant>
      <vt:variant>
        <vt:lpwstr>http://www.nevo.co.il/case/25383448</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2025-04-23T00:54:00Z</dcterms:created>
  <dcterms:modified xsi:type="dcterms:W3CDTF">2025-04-23T00:54:00Z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30551</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ישראל-תביעות נגב</vt:lpwstr>
  </property>
  <property fmtid="{D5CDD505-2E9C-101B-9397-08002B2CF9AE}" pid="9" name="APPELLEE">
    <vt:lpwstr>פליפה אלברטו קג'רוס</vt:lpwstr>
  </property>
  <property fmtid="{D5CDD505-2E9C-101B-9397-08002B2CF9AE}" pid="10" name="LAWYER">
    <vt:lpwstr>שירה רוג;יקיר שקרצ'י</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20230206</vt:lpwstr>
  </property>
  <property fmtid="{D5CDD505-2E9C-101B-9397-08002B2CF9AE}" pid="14" name="TYPE_N_DATE">
    <vt:lpwstr>38020230206</vt:lpwstr>
  </property>
  <property fmtid="{D5CDD505-2E9C-101B-9397-08002B2CF9AE}" pid="15" name="WORDNUMPAGES">
    <vt:lpwstr>9</vt:lpwstr>
  </property>
  <property fmtid="{D5CDD505-2E9C-101B-9397-08002B2CF9AE}" pid="16" name="TYPE_ABS_DATE">
    <vt:lpwstr>380020230206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25383448;13093721;20033641;18793360;6708658;22303378;5583030;27313460;26246488;21477472;27592536;5600751;26335623;25492398;4871250;26092940;28190928;28388215;28092391;25459244;22938500;16941505;19994719;25383440;17954253;20356752;22636425</vt:lpwstr>
  </property>
  <property fmtid="{D5CDD505-2E9C-101B-9397-08002B2CF9AE}" pid="36" name="LAWLISTTMP1">
    <vt:lpwstr>4216/013;019a;007.a;007.c</vt:lpwstr>
  </property>
  <property fmtid="{D5CDD505-2E9C-101B-9397-08002B2CF9AE}" pid="37" name="LAWLISTTMP2">
    <vt:lpwstr>70301/040c.a;040d</vt:lpwstr>
  </property>
</Properties>
</file>