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31"/>
        <w:gridCol w:w="1495"/>
        <w:gridCol w:w="2172"/>
        <w:gridCol w:w="99"/>
      </w:tblGrid>
      <w:tr w:rsidR="006F30EA" w:rsidRPr="0082246B" w14:paraId="5DB2AE10" w14:textId="77777777" w:rsidTr="0026282F">
        <w:trPr>
          <w:gridAfter w:val="1"/>
          <w:wAfter w:w="99" w:type="dxa"/>
          <w:trHeight w:hRule="exact" w:val="418"/>
          <w:jc w:val="center"/>
        </w:trPr>
        <w:tc>
          <w:tcPr>
            <w:tcW w:w="8721" w:type="dxa"/>
            <w:gridSpan w:val="4"/>
          </w:tcPr>
          <w:p w14:paraId="637369E7" w14:textId="77777777" w:rsidR="006F30EA" w:rsidRPr="0082246B" w:rsidRDefault="006F30EA" w:rsidP="000A3721">
            <w:pPr>
              <w:pStyle w:val="a3"/>
              <w:jc w:val="center"/>
              <w:rPr>
                <w:rFonts w:ascii="Tahoma" w:hAnsi="Tahoma" w:cs="Tahoma"/>
                <w:color w:val="000080"/>
                <w:rtl/>
              </w:rPr>
            </w:pPr>
            <w:bookmarkStart w:id="0" w:name="LastJudge"/>
            <w:r w:rsidRPr="0082246B">
              <w:rPr>
                <w:rFonts w:ascii="FrankRuehl" w:hAnsi="FrankRuehl" w:cs="FrankRuehl"/>
                <w:b/>
                <w:bCs/>
                <w:color w:val="000080"/>
                <w:sz w:val="28"/>
                <w:szCs w:val="28"/>
                <w:rtl/>
              </w:rPr>
              <w:t>בית משפט השלום בירושלים</w:t>
            </w:r>
          </w:p>
        </w:tc>
      </w:tr>
      <w:tr w:rsidR="006F30EA" w:rsidRPr="0082246B" w14:paraId="209AAD52" w14:textId="77777777" w:rsidTr="0026282F">
        <w:trPr>
          <w:gridAfter w:val="1"/>
          <w:wAfter w:w="99" w:type="dxa"/>
          <w:trHeight w:val="337"/>
          <w:jc w:val="center"/>
        </w:trPr>
        <w:tc>
          <w:tcPr>
            <w:tcW w:w="5054" w:type="dxa"/>
            <w:gridSpan w:val="2"/>
          </w:tcPr>
          <w:p w14:paraId="2ACC9247" w14:textId="77777777" w:rsidR="006F30EA" w:rsidRPr="0082246B" w:rsidRDefault="006F30EA" w:rsidP="000A3721">
            <w:pPr>
              <w:rPr>
                <w:rFonts w:cs="FrankRuehl"/>
                <w:sz w:val="28"/>
                <w:szCs w:val="28"/>
                <w:rtl/>
              </w:rPr>
            </w:pPr>
            <w:r w:rsidRPr="0082246B">
              <w:rPr>
                <w:rFonts w:cs="FrankRuehl"/>
                <w:sz w:val="28"/>
                <w:szCs w:val="28"/>
                <w:rtl/>
              </w:rPr>
              <w:t>ת"פ</w:t>
            </w:r>
            <w:r w:rsidRPr="0082246B">
              <w:rPr>
                <w:rFonts w:cs="FrankRuehl" w:hint="cs"/>
                <w:sz w:val="28"/>
                <w:szCs w:val="28"/>
                <w:rtl/>
              </w:rPr>
              <w:t xml:space="preserve"> </w:t>
            </w:r>
            <w:r w:rsidRPr="0082246B">
              <w:rPr>
                <w:rFonts w:cs="FrankRuehl"/>
                <w:sz w:val="28"/>
                <w:szCs w:val="28"/>
                <w:rtl/>
              </w:rPr>
              <w:t>31177-02-21</w:t>
            </w:r>
            <w:r w:rsidRPr="0082246B">
              <w:rPr>
                <w:rFonts w:cs="FrankRuehl" w:hint="cs"/>
                <w:sz w:val="28"/>
                <w:szCs w:val="28"/>
                <w:rtl/>
              </w:rPr>
              <w:t xml:space="preserve"> </w:t>
            </w:r>
            <w:r w:rsidRPr="0082246B">
              <w:rPr>
                <w:rFonts w:cs="FrankRuehl"/>
                <w:sz w:val="28"/>
                <w:szCs w:val="28"/>
                <w:rtl/>
              </w:rPr>
              <w:t>מדינת ישראל נ' ווברמן</w:t>
            </w:r>
          </w:p>
          <w:p w14:paraId="051467F1" w14:textId="77777777" w:rsidR="006F30EA" w:rsidRPr="0082246B" w:rsidRDefault="006F30EA" w:rsidP="000A3721">
            <w:pPr>
              <w:pStyle w:val="a3"/>
              <w:rPr>
                <w:rFonts w:cs="FrankRuehl"/>
                <w:sz w:val="28"/>
                <w:szCs w:val="28"/>
                <w:rtl/>
              </w:rPr>
            </w:pPr>
          </w:p>
        </w:tc>
        <w:tc>
          <w:tcPr>
            <w:tcW w:w="3667" w:type="dxa"/>
            <w:gridSpan w:val="2"/>
          </w:tcPr>
          <w:p w14:paraId="7AE43A3A" w14:textId="77777777" w:rsidR="006F30EA" w:rsidRPr="0082246B" w:rsidRDefault="006F30EA" w:rsidP="000A3721">
            <w:pPr>
              <w:pStyle w:val="a3"/>
              <w:jc w:val="right"/>
              <w:rPr>
                <w:rFonts w:cs="FrankRuehl"/>
                <w:sz w:val="28"/>
                <w:szCs w:val="28"/>
                <w:rtl/>
              </w:rPr>
            </w:pPr>
          </w:p>
        </w:tc>
      </w:tr>
      <w:tr w:rsidR="006F30EA" w:rsidRPr="0082246B" w14:paraId="63D53FF5" w14:textId="77777777" w:rsidTr="002628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8F7EC24" w14:textId="77777777" w:rsidR="006F30EA" w:rsidRPr="0082246B" w:rsidRDefault="006F30EA" w:rsidP="000A3721">
            <w:pPr>
              <w:rPr>
                <w:rFonts w:ascii="FrankRuehl" w:hAnsi="FrankRuehl" w:cs="FrankRuehl"/>
                <w:b/>
                <w:bCs/>
                <w:sz w:val="28"/>
                <w:szCs w:val="28"/>
              </w:rPr>
            </w:pPr>
            <w:r w:rsidRPr="0082246B">
              <w:rPr>
                <w:rFonts w:hint="cs"/>
                <w:rtl/>
              </w:rPr>
              <w:t xml:space="preserve"> </w:t>
            </w:r>
            <w:r w:rsidRPr="0082246B">
              <w:rPr>
                <w:rFonts w:ascii="FrankRuehl" w:hAnsi="FrankRuehl" w:cs="FrankRuehl"/>
                <w:b/>
                <w:bCs/>
                <w:sz w:val="28"/>
                <w:szCs w:val="28"/>
                <w:rtl/>
              </w:rPr>
              <w:t xml:space="preserve">בפני </w:t>
            </w:r>
          </w:p>
        </w:tc>
        <w:tc>
          <w:tcPr>
            <w:tcW w:w="7897" w:type="dxa"/>
            <w:gridSpan w:val="4"/>
            <w:tcBorders>
              <w:top w:val="nil"/>
              <w:left w:val="nil"/>
              <w:bottom w:val="nil"/>
              <w:right w:val="nil"/>
            </w:tcBorders>
            <w:shd w:val="clear" w:color="auto" w:fill="auto"/>
          </w:tcPr>
          <w:p w14:paraId="0A2B1A9E" w14:textId="77777777" w:rsidR="006F30EA" w:rsidRPr="0082246B" w:rsidRDefault="006F30EA" w:rsidP="000A3721">
            <w:pPr>
              <w:rPr>
                <w:rFonts w:ascii="FrankRuehl" w:hAnsi="FrankRuehl" w:cs="FrankRuehl"/>
                <w:b/>
                <w:bCs/>
                <w:sz w:val="28"/>
                <w:szCs w:val="28"/>
                <w:rtl/>
              </w:rPr>
            </w:pPr>
            <w:r w:rsidRPr="0082246B">
              <w:rPr>
                <w:rFonts w:ascii="FrankRuehl" w:hAnsi="FrankRuehl" w:cs="FrankRuehl"/>
                <w:b/>
                <w:bCs/>
                <w:sz w:val="28"/>
                <w:szCs w:val="28"/>
                <w:rtl/>
              </w:rPr>
              <w:t>כבוד השופט  דוד שאול גבאי ריכטר</w:t>
            </w:r>
          </w:p>
          <w:p w14:paraId="32A8C457" w14:textId="77777777" w:rsidR="006F30EA" w:rsidRPr="0082246B" w:rsidRDefault="006F30EA" w:rsidP="000A3721">
            <w:pPr>
              <w:rPr>
                <w:rFonts w:ascii="FrankRuehl" w:hAnsi="FrankRuehl" w:cs="FrankRuehl"/>
                <w:b/>
                <w:bCs/>
                <w:sz w:val="28"/>
                <w:szCs w:val="28"/>
              </w:rPr>
            </w:pPr>
          </w:p>
          <w:p w14:paraId="0F810624" w14:textId="77777777" w:rsidR="006F30EA" w:rsidRPr="0082246B" w:rsidRDefault="006F30EA" w:rsidP="000A3721">
            <w:pPr>
              <w:rPr>
                <w:rFonts w:ascii="FrankRuehl" w:hAnsi="FrankRuehl" w:cs="FrankRuehl"/>
                <w:b/>
                <w:bCs/>
                <w:sz w:val="28"/>
                <w:szCs w:val="28"/>
                <w:rtl/>
              </w:rPr>
            </w:pPr>
          </w:p>
        </w:tc>
      </w:tr>
      <w:tr w:rsidR="006F30EA" w:rsidRPr="0082246B" w14:paraId="124C0229" w14:textId="77777777" w:rsidTr="002628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70392A4" w14:textId="77777777" w:rsidR="006F30EA" w:rsidRPr="0082246B" w:rsidRDefault="006F30EA" w:rsidP="000A3721">
            <w:pPr>
              <w:rPr>
                <w:rFonts w:ascii="FrankRuehl" w:hAnsi="FrankRuehl" w:cs="FrankRuehl"/>
                <w:b/>
                <w:bCs/>
                <w:sz w:val="28"/>
                <w:szCs w:val="28"/>
                <w:rtl/>
              </w:rPr>
            </w:pPr>
            <w:bookmarkStart w:id="1" w:name="FirstAppellant"/>
            <w:r w:rsidRPr="0082246B">
              <w:rPr>
                <w:rFonts w:ascii="FrankRuehl" w:hAnsi="FrankRuehl" w:cs="FrankRuehl"/>
                <w:b/>
                <w:bCs/>
                <w:sz w:val="28"/>
                <w:szCs w:val="28"/>
                <w:rtl/>
              </w:rPr>
              <w:t>בעניין:</w:t>
            </w:r>
          </w:p>
        </w:tc>
        <w:tc>
          <w:tcPr>
            <w:tcW w:w="5626" w:type="dxa"/>
            <w:gridSpan w:val="2"/>
            <w:tcBorders>
              <w:top w:val="nil"/>
              <w:left w:val="nil"/>
              <w:bottom w:val="nil"/>
              <w:right w:val="nil"/>
            </w:tcBorders>
            <w:shd w:val="clear" w:color="auto" w:fill="auto"/>
          </w:tcPr>
          <w:p w14:paraId="2F1D61FD" w14:textId="77777777" w:rsidR="006F30EA" w:rsidRPr="0082246B" w:rsidRDefault="006F30EA" w:rsidP="000A3721">
            <w:pPr>
              <w:rPr>
                <w:rFonts w:ascii="FrankRuehl" w:hAnsi="FrankRuehl" w:cs="FrankRuehl"/>
                <w:b/>
                <w:bCs/>
                <w:sz w:val="28"/>
                <w:szCs w:val="28"/>
              </w:rPr>
            </w:pPr>
            <w:r w:rsidRPr="0082246B">
              <w:rPr>
                <w:rFonts w:ascii="FrankRuehl" w:hAnsi="FrankRuehl" w:cs="FrankRuehl"/>
                <w:b/>
                <w:bCs/>
                <w:sz w:val="28"/>
                <w:szCs w:val="28"/>
                <w:rtl/>
              </w:rPr>
              <w:t>מדינת ישראל</w:t>
            </w:r>
          </w:p>
        </w:tc>
        <w:tc>
          <w:tcPr>
            <w:tcW w:w="2271" w:type="dxa"/>
            <w:gridSpan w:val="2"/>
            <w:tcBorders>
              <w:top w:val="nil"/>
              <w:left w:val="nil"/>
              <w:bottom w:val="nil"/>
              <w:right w:val="nil"/>
            </w:tcBorders>
            <w:shd w:val="clear" w:color="auto" w:fill="auto"/>
          </w:tcPr>
          <w:p w14:paraId="1544FA88" w14:textId="77777777" w:rsidR="006F30EA" w:rsidRPr="0082246B" w:rsidRDefault="006F30EA" w:rsidP="000A3721">
            <w:pPr>
              <w:rPr>
                <w:rFonts w:ascii="FrankRuehl" w:hAnsi="FrankRuehl" w:cs="FrankRuehl"/>
                <w:b/>
                <w:bCs/>
                <w:sz w:val="28"/>
                <w:szCs w:val="28"/>
              </w:rPr>
            </w:pPr>
          </w:p>
        </w:tc>
      </w:tr>
      <w:tr w:rsidR="006F30EA" w:rsidRPr="0082246B" w14:paraId="0422F586" w14:textId="77777777" w:rsidTr="002628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8FB8EB4" w14:textId="77777777" w:rsidR="006F30EA" w:rsidRPr="0082246B" w:rsidRDefault="006F30EA" w:rsidP="000A3721">
            <w:pPr>
              <w:rPr>
                <w:rFonts w:ascii="FrankRuehl" w:hAnsi="FrankRuehl" w:cs="FrankRuehl"/>
                <w:b/>
                <w:bCs/>
                <w:sz w:val="28"/>
                <w:szCs w:val="28"/>
              </w:rPr>
            </w:pPr>
            <w:bookmarkStart w:id="2" w:name="FirstLawyer"/>
            <w:bookmarkEnd w:id="1"/>
          </w:p>
        </w:tc>
        <w:tc>
          <w:tcPr>
            <w:tcW w:w="5626" w:type="dxa"/>
            <w:gridSpan w:val="2"/>
            <w:tcBorders>
              <w:top w:val="nil"/>
              <w:left w:val="nil"/>
              <w:bottom w:val="nil"/>
              <w:right w:val="nil"/>
            </w:tcBorders>
            <w:shd w:val="clear" w:color="auto" w:fill="auto"/>
          </w:tcPr>
          <w:p w14:paraId="359E3E86" w14:textId="77777777" w:rsidR="006F30EA" w:rsidRPr="0082246B" w:rsidRDefault="006F30EA" w:rsidP="000A3721">
            <w:pPr>
              <w:rPr>
                <w:rFonts w:ascii="FrankRuehl" w:hAnsi="FrankRuehl" w:cs="FrankRuehl"/>
                <w:b/>
                <w:bCs/>
                <w:sz w:val="28"/>
                <w:szCs w:val="28"/>
              </w:rPr>
            </w:pPr>
            <w:r w:rsidRPr="0082246B">
              <w:rPr>
                <w:rFonts w:ascii="FrankRuehl" w:hAnsi="FrankRuehl" w:cs="FrankRuehl"/>
                <w:b/>
                <w:bCs/>
                <w:sz w:val="28"/>
                <w:szCs w:val="28"/>
                <w:rtl/>
              </w:rPr>
              <w:t xml:space="preserve">ע"י </w:t>
            </w:r>
            <w:r w:rsidRPr="0082246B">
              <w:rPr>
                <w:rFonts w:ascii="FrankRuehl" w:hAnsi="FrankRuehl" w:cs="FrankRuehl" w:hint="cs"/>
                <w:b/>
                <w:bCs/>
                <w:sz w:val="28"/>
                <w:szCs w:val="28"/>
                <w:rtl/>
              </w:rPr>
              <w:t>ב"כ עו"ד מאיר לוברבאום מ</w:t>
            </w:r>
            <w:r w:rsidRPr="0082246B">
              <w:rPr>
                <w:rFonts w:ascii="FrankRuehl" w:hAnsi="FrankRuehl" w:cs="FrankRuehl"/>
                <w:b/>
                <w:bCs/>
                <w:sz w:val="28"/>
                <w:szCs w:val="28"/>
                <w:rtl/>
              </w:rPr>
              <w:t>תביעות ירושלים</w:t>
            </w:r>
          </w:p>
        </w:tc>
        <w:tc>
          <w:tcPr>
            <w:tcW w:w="2271" w:type="dxa"/>
            <w:gridSpan w:val="2"/>
            <w:tcBorders>
              <w:top w:val="nil"/>
              <w:left w:val="nil"/>
              <w:bottom w:val="nil"/>
              <w:right w:val="nil"/>
            </w:tcBorders>
            <w:shd w:val="clear" w:color="auto" w:fill="auto"/>
          </w:tcPr>
          <w:p w14:paraId="12D157D3" w14:textId="77777777" w:rsidR="006F30EA" w:rsidRPr="0082246B" w:rsidRDefault="006F30EA" w:rsidP="006F30EA">
            <w:pPr>
              <w:bidi w:val="0"/>
              <w:rPr>
                <w:rFonts w:ascii="FrankRuehl" w:hAnsi="FrankRuehl" w:cs="FrankRuehl"/>
                <w:b/>
                <w:bCs/>
                <w:sz w:val="28"/>
                <w:szCs w:val="28"/>
                <w:rtl/>
              </w:rPr>
            </w:pPr>
            <w:r w:rsidRPr="0082246B">
              <w:rPr>
                <w:rFonts w:ascii="FrankRuehl" w:hAnsi="FrankRuehl" w:cs="FrankRuehl"/>
                <w:b/>
                <w:bCs/>
                <w:sz w:val="28"/>
                <w:szCs w:val="28"/>
                <w:rtl/>
              </w:rPr>
              <w:t>ה</w:t>
            </w:r>
            <w:r w:rsidRPr="0082246B">
              <w:rPr>
                <w:rFonts w:ascii="FrankRuehl" w:hAnsi="FrankRuehl" w:cs="FrankRuehl" w:hint="cs"/>
                <w:b/>
                <w:bCs/>
                <w:sz w:val="28"/>
                <w:szCs w:val="28"/>
                <w:rtl/>
              </w:rPr>
              <w:t>מאשימה</w:t>
            </w:r>
          </w:p>
        </w:tc>
      </w:tr>
      <w:bookmarkEnd w:id="2"/>
      <w:tr w:rsidR="006F30EA" w:rsidRPr="0082246B" w14:paraId="1200FE14" w14:textId="77777777" w:rsidTr="002628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C31CE2D" w14:textId="77777777" w:rsidR="006F30EA" w:rsidRPr="0082246B" w:rsidRDefault="006F30EA" w:rsidP="000A3721">
            <w:pPr>
              <w:rPr>
                <w:rFonts w:ascii="FrankRuehl" w:hAnsi="FrankRuehl" w:cs="FrankRuehl"/>
                <w:b/>
                <w:bCs/>
                <w:sz w:val="28"/>
                <w:szCs w:val="28"/>
                <w:rtl/>
              </w:rPr>
            </w:pPr>
          </w:p>
        </w:tc>
        <w:tc>
          <w:tcPr>
            <w:tcW w:w="7897" w:type="dxa"/>
            <w:gridSpan w:val="4"/>
            <w:tcBorders>
              <w:top w:val="nil"/>
              <w:left w:val="nil"/>
              <w:bottom w:val="nil"/>
              <w:right w:val="nil"/>
            </w:tcBorders>
            <w:shd w:val="clear" w:color="auto" w:fill="auto"/>
          </w:tcPr>
          <w:p w14:paraId="2DBF6C8A" w14:textId="77777777" w:rsidR="006F30EA" w:rsidRPr="0082246B" w:rsidRDefault="006F30EA" w:rsidP="000A3721">
            <w:pPr>
              <w:rPr>
                <w:rFonts w:ascii="FrankRuehl" w:hAnsi="FrankRuehl" w:cs="FrankRuehl"/>
                <w:b/>
                <w:bCs/>
                <w:sz w:val="28"/>
                <w:szCs w:val="28"/>
                <w:rtl/>
              </w:rPr>
            </w:pPr>
          </w:p>
          <w:p w14:paraId="23B3BBF5" w14:textId="77777777" w:rsidR="006F30EA" w:rsidRPr="0082246B" w:rsidRDefault="006F30EA" w:rsidP="000A3721">
            <w:pPr>
              <w:rPr>
                <w:rFonts w:ascii="FrankRuehl" w:hAnsi="FrankRuehl" w:cs="FrankRuehl"/>
                <w:b/>
                <w:bCs/>
                <w:sz w:val="28"/>
                <w:szCs w:val="28"/>
                <w:rtl/>
              </w:rPr>
            </w:pPr>
            <w:r w:rsidRPr="0082246B">
              <w:rPr>
                <w:rFonts w:ascii="FrankRuehl" w:hAnsi="FrankRuehl" w:cs="FrankRuehl"/>
                <w:b/>
                <w:bCs/>
                <w:sz w:val="28"/>
                <w:szCs w:val="28"/>
                <w:rtl/>
              </w:rPr>
              <w:t>נגד</w:t>
            </w:r>
          </w:p>
          <w:p w14:paraId="413E66F8" w14:textId="77777777" w:rsidR="006F30EA" w:rsidRPr="0082246B" w:rsidRDefault="006F30EA" w:rsidP="000A3721">
            <w:pPr>
              <w:rPr>
                <w:rFonts w:ascii="FrankRuehl" w:hAnsi="FrankRuehl" w:cs="FrankRuehl"/>
                <w:b/>
                <w:bCs/>
                <w:sz w:val="28"/>
                <w:szCs w:val="28"/>
                <w:rtl/>
              </w:rPr>
            </w:pPr>
          </w:p>
        </w:tc>
      </w:tr>
      <w:tr w:rsidR="006F30EA" w:rsidRPr="0082246B" w14:paraId="024C2B0A" w14:textId="77777777" w:rsidTr="002628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B2011C4" w14:textId="77777777" w:rsidR="006F30EA" w:rsidRPr="0082246B" w:rsidRDefault="006F30EA" w:rsidP="000A3721">
            <w:pPr>
              <w:rPr>
                <w:rFonts w:ascii="FrankRuehl" w:hAnsi="FrankRuehl" w:cs="FrankRuehl"/>
                <w:b/>
                <w:bCs/>
                <w:sz w:val="28"/>
                <w:szCs w:val="28"/>
                <w:rtl/>
              </w:rPr>
            </w:pPr>
          </w:p>
        </w:tc>
        <w:tc>
          <w:tcPr>
            <w:tcW w:w="5626" w:type="dxa"/>
            <w:gridSpan w:val="2"/>
            <w:tcBorders>
              <w:top w:val="nil"/>
              <w:left w:val="nil"/>
              <w:bottom w:val="nil"/>
              <w:right w:val="nil"/>
            </w:tcBorders>
            <w:shd w:val="clear" w:color="auto" w:fill="auto"/>
          </w:tcPr>
          <w:p w14:paraId="28567781" w14:textId="77777777" w:rsidR="006F30EA" w:rsidRPr="0082246B" w:rsidRDefault="006F30EA" w:rsidP="000A3721">
            <w:pPr>
              <w:rPr>
                <w:rFonts w:ascii="FrankRuehl" w:hAnsi="FrankRuehl" w:cs="FrankRuehl"/>
                <w:b/>
                <w:bCs/>
                <w:sz w:val="28"/>
                <w:szCs w:val="28"/>
              </w:rPr>
            </w:pPr>
            <w:r w:rsidRPr="0082246B">
              <w:rPr>
                <w:rFonts w:ascii="FrankRuehl" w:hAnsi="FrankRuehl" w:cs="FrankRuehl"/>
                <w:b/>
                <w:bCs/>
                <w:sz w:val="28"/>
                <w:szCs w:val="28"/>
                <w:rtl/>
              </w:rPr>
              <w:t>יהודה ווברמן</w:t>
            </w:r>
          </w:p>
        </w:tc>
        <w:tc>
          <w:tcPr>
            <w:tcW w:w="2271" w:type="dxa"/>
            <w:gridSpan w:val="2"/>
            <w:tcBorders>
              <w:top w:val="nil"/>
              <w:left w:val="nil"/>
              <w:bottom w:val="nil"/>
              <w:right w:val="nil"/>
            </w:tcBorders>
            <w:shd w:val="clear" w:color="auto" w:fill="auto"/>
          </w:tcPr>
          <w:p w14:paraId="1833478A" w14:textId="77777777" w:rsidR="006F30EA" w:rsidRPr="0082246B" w:rsidRDefault="006F30EA" w:rsidP="000A3721">
            <w:pPr>
              <w:rPr>
                <w:rFonts w:ascii="FrankRuehl" w:hAnsi="FrankRuehl" w:cs="FrankRuehl"/>
                <w:b/>
                <w:bCs/>
                <w:sz w:val="28"/>
                <w:szCs w:val="28"/>
                <w:rtl/>
              </w:rPr>
            </w:pPr>
          </w:p>
        </w:tc>
      </w:tr>
      <w:tr w:rsidR="006F30EA" w:rsidRPr="0082246B" w14:paraId="20384B9C" w14:textId="77777777" w:rsidTr="002628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F1BD10F" w14:textId="77777777" w:rsidR="006F30EA" w:rsidRPr="0082246B" w:rsidRDefault="006F30EA" w:rsidP="000A3721">
            <w:pPr>
              <w:rPr>
                <w:rFonts w:ascii="FrankRuehl" w:hAnsi="FrankRuehl" w:cs="FrankRuehl"/>
                <w:b/>
                <w:bCs/>
                <w:sz w:val="28"/>
                <w:szCs w:val="28"/>
                <w:rtl/>
              </w:rPr>
            </w:pPr>
          </w:p>
        </w:tc>
        <w:tc>
          <w:tcPr>
            <w:tcW w:w="5626" w:type="dxa"/>
            <w:gridSpan w:val="2"/>
            <w:tcBorders>
              <w:top w:val="nil"/>
              <w:left w:val="nil"/>
              <w:bottom w:val="nil"/>
              <w:right w:val="nil"/>
            </w:tcBorders>
            <w:shd w:val="clear" w:color="auto" w:fill="auto"/>
          </w:tcPr>
          <w:p w14:paraId="29300FA9" w14:textId="77777777" w:rsidR="006F30EA" w:rsidRPr="0082246B" w:rsidRDefault="006F30EA" w:rsidP="000A3721">
            <w:pPr>
              <w:rPr>
                <w:rFonts w:ascii="FrankRuehl" w:hAnsi="FrankRuehl" w:cs="FrankRuehl"/>
                <w:b/>
                <w:bCs/>
                <w:sz w:val="28"/>
                <w:szCs w:val="28"/>
              </w:rPr>
            </w:pPr>
            <w:r w:rsidRPr="0082246B">
              <w:rPr>
                <w:rFonts w:ascii="FrankRuehl" w:hAnsi="FrankRuehl" w:cs="FrankRuehl"/>
                <w:b/>
                <w:bCs/>
                <w:sz w:val="28"/>
                <w:szCs w:val="28"/>
                <w:rtl/>
              </w:rPr>
              <w:t>ע"י ב"כ עו"ד טליה רם</w:t>
            </w:r>
          </w:p>
        </w:tc>
        <w:tc>
          <w:tcPr>
            <w:tcW w:w="2271" w:type="dxa"/>
            <w:gridSpan w:val="2"/>
            <w:tcBorders>
              <w:top w:val="nil"/>
              <w:left w:val="nil"/>
              <w:bottom w:val="nil"/>
              <w:right w:val="nil"/>
            </w:tcBorders>
            <w:shd w:val="clear" w:color="auto" w:fill="auto"/>
          </w:tcPr>
          <w:p w14:paraId="33D57D65" w14:textId="77777777" w:rsidR="006F30EA" w:rsidRPr="0082246B" w:rsidRDefault="006F30EA" w:rsidP="006F30EA">
            <w:pPr>
              <w:bidi w:val="0"/>
              <w:rPr>
                <w:rFonts w:ascii="FrankRuehl" w:hAnsi="FrankRuehl" w:cs="FrankRuehl"/>
                <w:b/>
                <w:bCs/>
                <w:sz w:val="28"/>
                <w:szCs w:val="28"/>
                <w:rtl/>
              </w:rPr>
            </w:pPr>
            <w:r w:rsidRPr="0082246B">
              <w:rPr>
                <w:rFonts w:ascii="FrankRuehl" w:hAnsi="FrankRuehl" w:cs="FrankRuehl"/>
                <w:b/>
                <w:bCs/>
                <w:sz w:val="28"/>
                <w:szCs w:val="28"/>
                <w:rtl/>
              </w:rPr>
              <w:t>ה</w:t>
            </w:r>
            <w:r w:rsidRPr="0082246B">
              <w:rPr>
                <w:rFonts w:ascii="FrankRuehl" w:hAnsi="FrankRuehl" w:cs="FrankRuehl" w:hint="cs"/>
                <w:b/>
                <w:bCs/>
                <w:sz w:val="28"/>
                <w:szCs w:val="28"/>
                <w:rtl/>
              </w:rPr>
              <w:t>נאשם</w:t>
            </w:r>
          </w:p>
        </w:tc>
      </w:tr>
    </w:tbl>
    <w:p w14:paraId="2AB950D4" w14:textId="77777777" w:rsidR="0026282F" w:rsidRDefault="0026282F" w:rsidP="0082246B">
      <w:pPr>
        <w:rPr>
          <w:rtl/>
        </w:rPr>
      </w:pPr>
    </w:p>
    <w:p w14:paraId="225E8E7D" w14:textId="77777777" w:rsidR="0026282F" w:rsidRPr="0026282F" w:rsidRDefault="0026282F" w:rsidP="0026282F">
      <w:pPr>
        <w:spacing w:after="120" w:line="240" w:lineRule="exact"/>
        <w:ind w:left="283" w:hanging="283"/>
        <w:jc w:val="both"/>
        <w:rPr>
          <w:rFonts w:ascii="FrankRuehl" w:hAnsi="FrankRuehl" w:cs="FrankRuehl"/>
          <w:rtl/>
        </w:rPr>
      </w:pPr>
    </w:p>
    <w:p w14:paraId="208D111A" w14:textId="77777777" w:rsidR="007065D5" w:rsidRPr="007065D5" w:rsidRDefault="007065D5" w:rsidP="007065D5">
      <w:pPr>
        <w:spacing w:before="120" w:after="120" w:line="240" w:lineRule="exact"/>
        <w:ind w:left="283" w:hanging="283"/>
        <w:jc w:val="both"/>
        <w:rPr>
          <w:rFonts w:ascii="FrankRuehl" w:hAnsi="FrankRuehl" w:cs="FrankRuehl"/>
          <w:rtl/>
        </w:rPr>
      </w:pPr>
    </w:p>
    <w:p w14:paraId="5ED5D50E" w14:textId="77777777" w:rsidR="00F05CA3" w:rsidRDefault="00F05CA3" w:rsidP="00F05CA3">
      <w:pPr>
        <w:rPr>
          <w:rtl/>
        </w:rPr>
      </w:pPr>
      <w:bookmarkStart w:id="3" w:name="LawTable"/>
      <w:bookmarkEnd w:id="3"/>
    </w:p>
    <w:p w14:paraId="4C5B6648" w14:textId="77777777" w:rsidR="00F05CA3" w:rsidRPr="00F05CA3" w:rsidRDefault="00F05CA3" w:rsidP="00F05CA3">
      <w:pPr>
        <w:spacing w:before="120" w:after="120" w:line="240" w:lineRule="exact"/>
        <w:ind w:left="283" w:hanging="283"/>
        <w:jc w:val="both"/>
        <w:rPr>
          <w:rFonts w:ascii="FrankRuehl" w:hAnsi="FrankRuehl" w:cs="FrankRuehl"/>
          <w:rtl/>
        </w:rPr>
      </w:pPr>
    </w:p>
    <w:p w14:paraId="696FBD15" w14:textId="77777777" w:rsidR="00F05CA3" w:rsidRPr="00F05CA3" w:rsidRDefault="00F05CA3" w:rsidP="00F05CA3">
      <w:pPr>
        <w:spacing w:before="120" w:after="120" w:line="240" w:lineRule="exact"/>
        <w:ind w:left="283" w:hanging="283"/>
        <w:jc w:val="both"/>
        <w:rPr>
          <w:rFonts w:ascii="FrankRuehl" w:hAnsi="FrankRuehl" w:cs="FrankRuehl"/>
          <w:rtl/>
        </w:rPr>
      </w:pPr>
    </w:p>
    <w:p w14:paraId="7EB5C22A" w14:textId="77777777" w:rsidR="00F05CA3" w:rsidRPr="00F05CA3" w:rsidRDefault="00F05CA3" w:rsidP="00F05CA3">
      <w:pPr>
        <w:spacing w:before="120" w:after="120" w:line="240" w:lineRule="exact"/>
        <w:ind w:left="283" w:hanging="283"/>
        <w:jc w:val="both"/>
        <w:rPr>
          <w:rFonts w:ascii="FrankRuehl" w:hAnsi="FrankRuehl" w:cs="FrankRuehl"/>
          <w:rtl/>
        </w:rPr>
      </w:pPr>
      <w:r w:rsidRPr="00F05CA3">
        <w:rPr>
          <w:rFonts w:ascii="FrankRuehl" w:hAnsi="FrankRuehl" w:cs="FrankRuehl"/>
          <w:rtl/>
        </w:rPr>
        <w:t xml:space="preserve">חקיקה שאוזכרה: </w:t>
      </w:r>
    </w:p>
    <w:p w14:paraId="1DE6C8E9" w14:textId="77777777" w:rsidR="00F05CA3" w:rsidRPr="00F05CA3" w:rsidRDefault="00F05CA3" w:rsidP="00F05CA3">
      <w:pPr>
        <w:spacing w:before="120" w:after="120" w:line="240" w:lineRule="exact"/>
        <w:ind w:left="283" w:hanging="283"/>
        <w:jc w:val="both"/>
        <w:rPr>
          <w:rFonts w:ascii="FrankRuehl" w:hAnsi="FrankRuehl" w:cs="FrankRuehl"/>
          <w:rtl/>
        </w:rPr>
      </w:pPr>
      <w:hyperlink r:id="rId7" w:history="1">
        <w:r w:rsidRPr="00F05CA3">
          <w:rPr>
            <w:rFonts w:ascii="FrankRuehl" w:hAnsi="FrankRuehl" w:cs="FrankRuehl"/>
            <w:color w:val="0000FF"/>
            <w:rtl/>
          </w:rPr>
          <w:t>פקודת הסמים המסוכנים [נוסח חדש], תשל"ג-1973</w:t>
        </w:r>
      </w:hyperlink>
      <w:r w:rsidRPr="00F05CA3">
        <w:rPr>
          <w:rFonts w:ascii="FrankRuehl" w:hAnsi="FrankRuehl" w:cs="FrankRuehl"/>
          <w:rtl/>
        </w:rPr>
        <w:t xml:space="preserve">: סע'  </w:t>
      </w:r>
      <w:hyperlink r:id="rId8" w:history="1">
        <w:r w:rsidRPr="00F05CA3">
          <w:rPr>
            <w:rFonts w:ascii="FrankRuehl" w:hAnsi="FrankRuehl" w:cs="FrankRuehl"/>
            <w:color w:val="0000FF"/>
            <w:rtl/>
          </w:rPr>
          <w:t>7.א.</w:t>
        </w:r>
      </w:hyperlink>
      <w:r w:rsidRPr="00F05CA3">
        <w:rPr>
          <w:rFonts w:ascii="FrankRuehl" w:hAnsi="FrankRuehl" w:cs="FrankRuehl"/>
          <w:rtl/>
        </w:rPr>
        <w:t xml:space="preserve">, </w:t>
      </w:r>
      <w:hyperlink r:id="rId9" w:history="1">
        <w:r w:rsidRPr="00F05CA3">
          <w:rPr>
            <w:rFonts w:ascii="FrankRuehl" w:hAnsi="FrankRuehl" w:cs="FrankRuehl"/>
            <w:color w:val="0000FF"/>
            <w:rtl/>
          </w:rPr>
          <w:t>7.ג</w:t>
        </w:r>
      </w:hyperlink>
      <w:r w:rsidRPr="00F05CA3">
        <w:rPr>
          <w:rFonts w:ascii="FrankRuehl" w:hAnsi="FrankRuehl" w:cs="FrankRuehl"/>
          <w:rtl/>
        </w:rPr>
        <w:t xml:space="preserve">, </w:t>
      </w:r>
      <w:hyperlink r:id="rId10" w:history="1">
        <w:r w:rsidRPr="00F05CA3">
          <w:rPr>
            <w:rFonts w:ascii="FrankRuehl" w:hAnsi="FrankRuehl" w:cs="FrankRuehl"/>
            <w:color w:val="0000FF"/>
            <w:rtl/>
          </w:rPr>
          <w:t>13</w:t>
        </w:r>
      </w:hyperlink>
      <w:r w:rsidRPr="00F05CA3">
        <w:rPr>
          <w:rFonts w:ascii="FrankRuehl" w:hAnsi="FrankRuehl" w:cs="FrankRuehl"/>
          <w:rtl/>
        </w:rPr>
        <w:t xml:space="preserve">, </w:t>
      </w:r>
      <w:hyperlink r:id="rId11" w:history="1">
        <w:r w:rsidRPr="00F05CA3">
          <w:rPr>
            <w:rFonts w:ascii="FrankRuehl" w:hAnsi="FrankRuehl" w:cs="FrankRuehl"/>
            <w:color w:val="0000FF"/>
            <w:rtl/>
          </w:rPr>
          <w:t>19.א</w:t>
        </w:r>
      </w:hyperlink>
    </w:p>
    <w:p w14:paraId="39B64BAA" w14:textId="77777777" w:rsidR="00F05CA3" w:rsidRPr="00F05CA3" w:rsidRDefault="00F05CA3" w:rsidP="00F05CA3">
      <w:pPr>
        <w:spacing w:before="120" w:after="120" w:line="240" w:lineRule="exact"/>
        <w:ind w:left="283" w:hanging="283"/>
        <w:jc w:val="both"/>
        <w:rPr>
          <w:rFonts w:ascii="FrankRuehl" w:hAnsi="FrankRuehl" w:cs="FrankRuehl"/>
          <w:rtl/>
        </w:rPr>
      </w:pPr>
      <w:hyperlink r:id="rId12" w:history="1">
        <w:r w:rsidRPr="00F05CA3">
          <w:rPr>
            <w:rFonts w:ascii="FrankRuehl" w:hAnsi="FrankRuehl" w:cs="FrankRuehl"/>
            <w:color w:val="0000FF"/>
            <w:rtl/>
          </w:rPr>
          <w:t>חוק העונשין, תשל"ז-1977</w:t>
        </w:r>
      </w:hyperlink>
      <w:r w:rsidRPr="00F05CA3">
        <w:rPr>
          <w:rFonts w:ascii="FrankRuehl" w:hAnsi="FrankRuehl" w:cs="FrankRuehl"/>
          <w:rtl/>
        </w:rPr>
        <w:t xml:space="preserve">: סע'  </w:t>
      </w:r>
      <w:hyperlink r:id="rId13" w:history="1">
        <w:r w:rsidRPr="00F05CA3">
          <w:rPr>
            <w:rFonts w:ascii="FrankRuehl" w:hAnsi="FrankRuehl" w:cs="FrankRuehl"/>
            <w:color w:val="0000FF"/>
            <w:rtl/>
          </w:rPr>
          <w:t>29</w:t>
        </w:r>
      </w:hyperlink>
      <w:r w:rsidRPr="00F05CA3">
        <w:rPr>
          <w:rFonts w:ascii="FrankRuehl" w:hAnsi="FrankRuehl" w:cs="FrankRuehl"/>
          <w:rtl/>
        </w:rPr>
        <w:t xml:space="preserve">, </w:t>
      </w:r>
      <w:hyperlink r:id="rId14" w:history="1">
        <w:r w:rsidRPr="00F05CA3">
          <w:rPr>
            <w:rFonts w:ascii="FrankRuehl" w:hAnsi="FrankRuehl" w:cs="FrankRuehl"/>
            <w:color w:val="0000FF"/>
            <w:rtl/>
          </w:rPr>
          <w:t>40ט'</w:t>
        </w:r>
      </w:hyperlink>
      <w:r w:rsidRPr="00F05CA3">
        <w:rPr>
          <w:rFonts w:ascii="FrankRuehl" w:hAnsi="FrankRuehl" w:cs="FrankRuehl"/>
          <w:rtl/>
        </w:rPr>
        <w:t xml:space="preserve">, </w:t>
      </w:r>
      <w:hyperlink r:id="rId15" w:history="1">
        <w:r w:rsidRPr="00F05CA3">
          <w:rPr>
            <w:rFonts w:ascii="FrankRuehl" w:hAnsi="FrankRuehl" w:cs="FrankRuehl"/>
            <w:color w:val="0000FF"/>
            <w:rtl/>
          </w:rPr>
          <w:t>40יא</w:t>
        </w:r>
      </w:hyperlink>
    </w:p>
    <w:p w14:paraId="21819B5E" w14:textId="77777777" w:rsidR="00F05CA3" w:rsidRPr="00F05CA3" w:rsidRDefault="00F05CA3" w:rsidP="00F05CA3">
      <w:pPr>
        <w:rPr>
          <w:rtl/>
        </w:rPr>
      </w:pPr>
      <w:bookmarkStart w:id="4" w:name="LawTable_End"/>
      <w:bookmarkEnd w:id="4"/>
    </w:p>
    <w:p w14:paraId="04321A20" w14:textId="77777777" w:rsidR="006F30EA" w:rsidRPr="007065D5" w:rsidRDefault="006F30EA" w:rsidP="007065D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F30EA" w14:paraId="1C3AFAC8" w14:textId="77777777" w:rsidTr="006F30EA">
        <w:trPr>
          <w:trHeight w:val="74"/>
          <w:jc w:val="center"/>
        </w:trPr>
        <w:tc>
          <w:tcPr>
            <w:tcW w:w="8820" w:type="dxa"/>
            <w:tcBorders>
              <w:top w:val="nil"/>
              <w:left w:val="nil"/>
              <w:bottom w:val="nil"/>
              <w:right w:val="nil"/>
            </w:tcBorders>
            <w:shd w:val="clear" w:color="auto" w:fill="auto"/>
          </w:tcPr>
          <w:p w14:paraId="11210137" w14:textId="77777777" w:rsidR="0082246B" w:rsidRPr="0082246B" w:rsidRDefault="0082246B" w:rsidP="0082246B">
            <w:pPr>
              <w:jc w:val="center"/>
              <w:rPr>
                <w:rFonts w:ascii="FrankRuehl" w:hAnsi="FrankRuehl" w:cs="FrankRuehl"/>
                <w:b/>
                <w:bCs/>
                <w:sz w:val="32"/>
                <w:szCs w:val="32"/>
                <w:u w:val="single"/>
                <w:rtl/>
              </w:rPr>
            </w:pPr>
            <w:bookmarkStart w:id="5" w:name="PsakDin" w:colFirst="0" w:colLast="0"/>
            <w:bookmarkEnd w:id="0"/>
            <w:r w:rsidRPr="0082246B">
              <w:rPr>
                <w:rFonts w:ascii="FrankRuehl" w:hAnsi="FrankRuehl" w:cs="FrankRuehl"/>
                <w:b/>
                <w:bCs/>
                <w:sz w:val="32"/>
                <w:szCs w:val="32"/>
                <w:u w:val="single"/>
                <w:rtl/>
              </w:rPr>
              <w:t>גזר דין</w:t>
            </w:r>
          </w:p>
          <w:p w14:paraId="3A384850" w14:textId="77777777" w:rsidR="006F30EA" w:rsidRPr="0082246B" w:rsidRDefault="006F30EA" w:rsidP="0082246B">
            <w:pPr>
              <w:jc w:val="center"/>
              <w:rPr>
                <w:rFonts w:ascii="FrankRuehl" w:hAnsi="FrankRuehl" w:cs="FrankRuehl"/>
                <w:b/>
                <w:bCs/>
                <w:sz w:val="32"/>
                <w:szCs w:val="32"/>
                <w:u w:val="single"/>
              </w:rPr>
            </w:pPr>
          </w:p>
        </w:tc>
      </w:tr>
    </w:tbl>
    <w:bookmarkEnd w:id="5"/>
    <w:p w14:paraId="1DB39CB5" w14:textId="77777777" w:rsidR="006F30EA" w:rsidRDefault="006F30EA" w:rsidP="006F30EA">
      <w:pPr>
        <w:spacing w:line="360" w:lineRule="auto"/>
        <w:jc w:val="both"/>
        <w:rPr>
          <w:rFonts w:ascii="FrankRuehl" w:hAnsi="FrankRuehl" w:cs="FrankRuehl"/>
          <w:b/>
          <w:bCs/>
          <w:sz w:val="28"/>
          <w:szCs w:val="28"/>
          <w:u w:val="single"/>
        </w:rPr>
      </w:pPr>
      <w:r>
        <w:rPr>
          <w:rFonts w:ascii="FrankRuehl" w:hAnsi="FrankRuehl" w:cs="FrankRuehl"/>
          <w:b/>
          <w:bCs/>
          <w:sz w:val="28"/>
          <w:szCs w:val="28"/>
          <w:u w:val="single"/>
          <w:rtl/>
        </w:rPr>
        <w:t>כתב האישום המתוקן</w:t>
      </w:r>
    </w:p>
    <w:p w14:paraId="0E8F7B43" w14:textId="77777777" w:rsidR="006F30EA" w:rsidRDefault="006F30EA" w:rsidP="006F30EA">
      <w:pPr>
        <w:spacing w:line="360" w:lineRule="auto"/>
        <w:jc w:val="both"/>
        <w:rPr>
          <w:rFonts w:ascii="FrankRuehl" w:hAnsi="FrankRuehl" w:cs="FrankRuehl"/>
          <w:sz w:val="28"/>
          <w:szCs w:val="28"/>
          <w:rtl/>
        </w:rPr>
      </w:pPr>
      <w:bookmarkStart w:id="6" w:name="ABSTRACT_START"/>
      <w:bookmarkEnd w:id="6"/>
      <w:r>
        <w:rPr>
          <w:rFonts w:ascii="FrankRuehl" w:hAnsi="FrankRuehl" w:cs="FrankRuehl"/>
          <w:sz w:val="28"/>
          <w:szCs w:val="28"/>
          <w:rtl/>
        </w:rPr>
        <w:t>הנאשם הודה בעובדות כתב אישום מתוקן במסגרת הסדר טיעון ללא הסכמה עונשית.</w:t>
      </w:r>
    </w:p>
    <w:p w14:paraId="317872F6" w14:textId="77777777" w:rsidR="006F30EA" w:rsidRDefault="006F30EA" w:rsidP="006F30EA">
      <w:pPr>
        <w:spacing w:line="360" w:lineRule="auto"/>
        <w:jc w:val="both"/>
        <w:rPr>
          <w:rFonts w:ascii="FrankRuehl" w:hAnsi="FrankRuehl" w:cs="FrankRuehl"/>
          <w:sz w:val="28"/>
          <w:szCs w:val="28"/>
          <w:rtl/>
        </w:rPr>
      </w:pPr>
      <w:r>
        <w:rPr>
          <w:rFonts w:ascii="FrankRuehl" w:hAnsi="FrankRuehl" w:cs="FrankRuehl"/>
          <w:sz w:val="28"/>
          <w:szCs w:val="28"/>
          <w:rtl/>
        </w:rPr>
        <w:t>מעובדות האישום הראשון עולה כי, בסוף חודש ינואר שכר הנאשם חדר בבית מלון בירושלים לתקופה של שבועיים.  ביום 1.2.2021 אִפְשֵר הנאשם לבנימין וייס (</w:t>
      </w:r>
      <w:r>
        <w:rPr>
          <w:rFonts w:ascii="FrankRuehl" w:hAnsi="FrankRuehl" w:cs="FrankRuehl"/>
          <w:b/>
          <w:bCs/>
          <w:sz w:val="28"/>
          <w:szCs w:val="28"/>
          <w:rtl/>
        </w:rPr>
        <w:t>וייס</w:t>
      </w:r>
      <w:r>
        <w:rPr>
          <w:rFonts w:ascii="FrankRuehl" w:hAnsi="FrankRuehl" w:cs="FrankRuehl"/>
          <w:sz w:val="28"/>
          <w:szCs w:val="28"/>
          <w:rtl/>
        </w:rPr>
        <w:t xml:space="preserve">) לעשות שימוש בחדר ונתן לו מפתח לשם כך. וייס החל לעשות שימוש בחדר, בכך שהתקלח, צפה בטלוויזיה ולן שם. ביום 3.2.2021, בעוד וייס נמצא בחדר, נמצאו שם 361.27 גרם קנבוס מפוזרים במקומות שונים בחדר המלון. בנוסף, בקטנוע </w:t>
      </w:r>
      <w:r>
        <w:rPr>
          <w:rFonts w:ascii="FrankRuehl" w:hAnsi="FrankRuehl" w:cs="FrankRuehl" w:hint="cs"/>
          <w:sz w:val="28"/>
          <w:szCs w:val="28"/>
          <w:rtl/>
        </w:rPr>
        <w:t xml:space="preserve">בו החזיק </w:t>
      </w:r>
      <w:r>
        <w:rPr>
          <w:rFonts w:ascii="FrankRuehl" w:hAnsi="FrankRuehl" w:cs="FrankRuehl"/>
          <w:sz w:val="28"/>
          <w:szCs w:val="28"/>
          <w:rtl/>
        </w:rPr>
        <w:t xml:space="preserve">הנאשם אשר חנה מחוץ למקום, נמצאה שקית פלסטיק ובה 30 אריזות שהכילו 153.75 גרם קנבוס. </w:t>
      </w:r>
    </w:p>
    <w:p w14:paraId="74DF14FD" w14:textId="77777777" w:rsidR="006F30EA" w:rsidRDefault="006F30EA" w:rsidP="006F30EA">
      <w:pPr>
        <w:spacing w:line="360" w:lineRule="auto"/>
        <w:jc w:val="both"/>
        <w:rPr>
          <w:rFonts w:ascii="FrankRuehl" w:hAnsi="FrankRuehl" w:cs="FrankRuehl"/>
          <w:sz w:val="28"/>
          <w:szCs w:val="28"/>
          <w:rtl/>
        </w:rPr>
      </w:pPr>
      <w:bookmarkStart w:id="7" w:name="ABSTRACT_END"/>
      <w:bookmarkEnd w:id="7"/>
      <w:r>
        <w:rPr>
          <w:rFonts w:ascii="FrankRuehl" w:hAnsi="FrankRuehl" w:cs="FrankRuehl"/>
          <w:sz w:val="28"/>
          <w:szCs w:val="28"/>
          <w:rtl/>
        </w:rPr>
        <w:t xml:space="preserve">בשישה אישומים נוספים, בין התאריכים 24-27.1.2021 תיאם הנאשם באמצעות אפליקציית "טלגראם" פגישות עם לקוחות שלא הייתה בינם לבין הנאשם היכרות מוקדמת ובשישה מועדים </w:t>
      </w:r>
      <w:r>
        <w:rPr>
          <w:rFonts w:ascii="FrankRuehl" w:hAnsi="FrankRuehl" w:cs="FrankRuehl"/>
          <w:sz w:val="28"/>
          <w:szCs w:val="28"/>
          <w:rtl/>
        </w:rPr>
        <w:lastRenderedPageBreak/>
        <w:t xml:space="preserve">שונים, מכר לאותם לקוחות בין 10 ל – 40 גרם קנבוס בכל פעם תמורת כמה מאות שקלים. לכן הורשע הנאשם </w:t>
      </w:r>
      <w:r>
        <w:rPr>
          <w:rFonts w:ascii="FrankRuehl" w:hAnsi="FrankRuehl" w:cs="FrankRuehl"/>
          <w:b/>
          <w:bCs/>
          <w:sz w:val="28"/>
          <w:szCs w:val="28"/>
          <w:rtl/>
        </w:rPr>
        <w:t>בשש עבירות סחר בסם</w:t>
      </w:r>
      <w:r>
        <w:rPr>
          <w:rFonts w:ascii="FrankRuehl" w:hAnsi="FrankRuehl" w:cs="FrankRuehl"/>
          <w:sz w:val="28"/>
          <w:szCs w:val="28"/>
          <w:rtl/>
        </w:rPr>
        <w:t xml:space="preserve">, לפי סעיפים </w:t>
      </w:r>
      <w:hyperlink r:id="rId16" w:history="1">
        <w:r w:rsidR="0026282F" w:rsidRPr="0026282F">
          <w:rPr>
            <w:rStyle w:val="Hyperlink"/>
            <w:rFonts w:ascii="FrankRuehl" w:hAnsi="FrankRuehl" w:cs="FrankRuehl"/>
            <w:sz w:val="28"/>
            <w:szCs w:val="28"/>
            <w:rtl/>
          </w:rPr>
          <w:t>13 ו-19א</w:t>
        </w:r>
      </w:hyperlink>
      <w:r>
        <w:rPr>
          <w:rFonts w:ascii="FrankRuehl" w:hAnsi="FrankRuehl" w:cs="FrankRuehl"/>
          <w:sz w:val="28"/>
          <w:szCs w:val="28"/>
          <w:rtl/>
        </w:rPr>
        <w:t xml:space="preserve"> ל</w:t>
      </w:r>
      <w:hyperlink r:id="rId17" w:history="1">
        <w:r w:rsidR="0082246B" w:rsidRPr="0082246B">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ובעבירה של </w:t>
      </w:r>
      <w:r>
        <w:rPr>
          <w:rFonts w:ascii="FrankRuehl" w:hAnsi="FrankRuehl" w:cs="FrankRuehl"/>
          <w:b/>
          <w:bCs/>
          <w:sz w:val="28"/>
          <w:szCs w:val="28"/>
          <w:rtl/>
        </w:rPr>
        <w:t xml:space="preserve">החזקת סם שלא לצריכה עצמית בצוותא </w:t>
      </w:r>
      <w:r>
        <w:rPr>
          <w:rFonts w:ascii="FrankRuehl" w:hAnsi="FrankRuehl" w:cs="FrankRuehl"/>
          <w:sz w:val="28"/>
          <w:szCs w:val="28"/>
          <w:rtl/>
        </w:rPr>
        <w:t xml:space="preserve">לפי סעיפים </w:t>
      </w:r>
      <w:hyperlink r:id="rId18" w:history="1">
        <w:r w:rsidR="0026282F" w:rsidRPr="0026282F">
          <w:rPr>
            <w:rStyle w:val="Hyperlink"/>
            <w:rFonts w:ascii="FrankRuehl" w:hAnsi="FrankRuehl" w:cs="FrankRuehl"/>
            <w:sz w:val="28"/>
            <w:szCs w:val="28"/>
            <w:rtl/>
          </w:rPr>
          <w:t>7(א) ו-(ג)</w:t>
        </w:r>
      </w:hyperlink>
      <w:r>
        <w:rPr>
          <w:rFonts w:ascii="FrankRuehl" w:hAnsi="FrankRuehl" w:cs="FrankRuehl"/>
          <w:sz w:val="28"/>
          <w:szCs w:val="28"/>
          <w:rtl/>
        </w:rPr>
        <w:t xml:space="preserve"> רישא לפקודה + סעיף </w:t>
      </w:r>
      <w:hyperlink r:id="rId19" w:history="1">
        <w:r w:rsidR="0026282F" w:rsidRPr="0026282F">
          <w:rPr>
            <w:rStyle w:val="Hyperlink"/>
            <w:rFonts w:ascii="FrankRuehl" w:hAnsi="FrankRuehl" w:cs="FrankRuehl"/>
            <w:sz w:val="28"/>
            <w:szCs w:val="28"/>
            <w:rtl/>
          </w:rPr>
          <w:t>29</w:t>
        </w:r>
      </w:hyperlink>
      <w:r>
        <w:rPr>
          <w:rFonts w:ascii="FrankRuehl" w:hAnsi="FrankRuehl" w:cs="FrankRuehl"/>
          <w:sz w:val="28"/>
          <w:szCs w:val="28"/>
          <w:rtl/>
        </w:rPr>
        <w:t xml:space="preserve"> ל</w:t>
      </w:r>
      <w:hyperlink r:id="rId20" w:history="1">
        <w:r w:rsidR="0082246B" w:rsidRPr="0082246B">
          <w:rPr>
            <w:rFonts w:ascii="FrankRuehl" w:hAnsi="FrankRuehl" w:cs="FrankRuehl"/>
            <w:color w:val="0000FF"/>
            <w:sz w:val="28"/>
            <w:szCs w:val="28"/>
            <w:u w:val="single"/>
            <w:rtl/>
          </w:rPr>
          <w:t>חוק העונשין</w:t>
        </w:r>
      </w:hyperlink>
      <w:r>
        <w:rPr>
          <w:rFonts w:ascii="FrankRuehl" w:hAnsi="FrankRuehl" w:cs="FrankRuehl"/>
          <w:sz w:val="28"/>
          <w:szCs w:val="28"/>
          <w:rtl/>
        </w:rPr>
        <w:t>.</w:t>
      </w:r>
    </w:p>
    <w:p w14:paraId="2D353502" w14:textId="77777777" w:rsidR="006F30EA" w:rsidRDefault="006F30EA" w:rsidP="006F30EA">
      <w:pPr>
        <w:spacing w:line="360" w:lineRule="auto"/>
        <w:jc w:val="both"/>
        <w:rPr>
          <w:rFonts w:ascii="FrankRuehl" w:hAnsi="FrankRuehl" w:cs="FrankRuehl"/>
          <w:sz w:val="28"/>
          <w:szCs w:val="28"/>
          <w:rtl/>
        </w:rPr>
      </w:pPr>
    </w:p>
    <w:p w14:paraId="6D3F5462" w14:textId="77777777" w:rsidR="006F30EA" w:rsidRDefault="006F30EA" w:rsidP="006F30EA">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מהלך הדיון</w:t>
      </w:r>
    </w:p>
    <w:p w14:paraId="31951875" w14:textId="77777777" w:rsidR="006F30EA" w:rsidRDefault="006F30EA" w:rsidP="006F30EA">
      <w:pPr>
        <w:spacing w:line="360" w:lineRule="auto"/>
        <w:jc w:val="both"/>
        <w:rPr>
          <w:rFonts w:ascii="FrankRuehl" w:hAnsi="FrankRuehl" w:cs="FrankRuehl"/>
          <w:sz w:val="28"/>
          <w:szCs w:val="28"/>
          <w:rtl/>
        </w:rPr>
      </w:pPr>
      <w:r>
        <w:rPr>
          <w:rFonts w:ascii="FrankRuehl" w:hAnsi="FrankRuehl" w:cs="FrankRuehl"/>
          <w:sz w:val="28"/>
          <w:szCs w:val="28"/>
          <w:rtl/>
        </w:rPr>
        <w:t>נגד הנאשם הוגש כתב אישום יחד עם בקשה למעצר עד תום ההליכים נגדו ביום 15.2.2021. הנאשם שהה במעצר של ממש עד ליום 11.5.2021, עת שוחרר לקהילה הטיפולית "רטורנו". ביום 11.10.2021 הודה והורשע הנאשם בכתב האישום המתוקן, במסגרת הסדר טיעון שלא כלל הסכמה עונשית ושירות המבחן הגיש תסקיר בעניינו.</w:t>
      </w:r>
    </w:p>
    <w:p w14:paraId="3FD806DD" w14:textId="77777777" w:rsidR="006F30EA" w:rsidRDefault="006F30EA" w:rsidP="006F30EA">
      <w:pPr>
        <w:spacing w:line="360" w:lineRule="auto"/>
        <w:jc w:val="both"/>
        <w:rPr>
          <w:rFonts w:ascii="FrankRuehl" w:hAnsi="FrankRuehl" w:cs="FrankRuehl"/>
          <w:b/>
          <w:bCs/>
          <w:sz w:val="28"/>
          <w:szCs w:val="28"/>
          <w:u w:val="single"/>
          <w:rtl/>
        </w:rPr>
      </w:pPr>
    </w:p>
    <w:p w14:paraId="5D8C1544" w14:textId="77777777" w:rsidR="006F30EA" w:rsidRDefault="006F30EA" w:rsidP="006F30EA">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תסקיר שירות המבחן</w:t>
      </w:r>
    </w:p>
    <w:p w14:paraId="6218A865" w14:textId="77777777" w:rsidR="006F30EA" w:rsidRDefault="006F30EA" w:rsidP="006F30EA">
      <w:pPr>
        <w:spacing w:line="360" w:lineRule="auto"/>
        <w:jc w:val="both"/>
        <w:rPr>
          <w:rFonts w:ascii="FrankRuehl" w:hAnsi="FrankRuehl" w:cs="FrankRuehl"/>
          <w:sz w:val="28"/>
          <w:szCs w:val="28"/>
          <w:rtl/>
        </w:rPr>
      </w:pPr>
      <w:r>
        <w:rPr>
          <w:rFonts w:ascii="FrankRuehl" w:hAnsi="FrankRuehl" w:cs="FrankRuehl"/>
          <w:sz w:val="28"/>
          <w:szCs w:val="28"/>
          <w:rtl/>
        </w:rPr>
        <w:t>מהתסקיר שהוגש בעניינו של הנאשם עולה כי הוא בן 20, רווק ומתגורר בהוסטל המשך של קהילת "רטורנו". מסקירת חייו כפי שפורטה על ידי שירות מבחן</w:t>
      </w:r>
      <w:r>
        <w:rPr>
          <w:rFonts w:ascii="FrankRuehl" w:hAnsi="FrankRuehl" w:cs="FrankRuehl" w:hint="cs"/>
          <w:sz w:val="28"/>
          <w:szCs w:val="28"/>
          <w:rtl/>
        </w:rPr>
        <w:t xml:space="preserve"> </w:t>
      </w:r>
      <w:r>
        <w:rPr>
          <w:rFonts w:ascii="FrankRuehl" w:hAnsi="FrankRuehl" w:cs="FrankRuehl"/>
          <w:sz w:val="28"/>
          <w:szCs w:val="28"/>
          <w:rtl/>
        </w:rPr>
        <w:t>עולה</w:t>
      </w:r>
      <w:r>
        <w:rPr>
          <w:rFonts w:ascii="FrankRuehl" w:hAnsi="FrankRuehl" w:cs="FrankRuehl" w:hint="cs"/>
          <w:sz w:val="28"/>
          <w:szCs w:val="28"/>
          <w:rtl/>
        </w:rPr>
        <w:t>,</w:t>
      </w:r>
      <w:r>
        <w:rPr>
          <w:rFonts w:ascii="FrankRuehl" w:hAnsi="FrankRuehl" w:cs="FrankRuehl"/>
          <w:sz w:val="28"/>
          <w:szCs w:val="28"/>
          <w:rtl/>
        </w:rPr>
        <w:t xml:space="preserve"> כי הנאשם גדל והתחנך בחינוך החרדי וסיים 10 שנות לימוד תוך מעבר תדיר בין מסגרות והתמודדות עם קשיים שונים. לאחר סיום לימודיו, עבד בעבודות מזדמנות עד מעצרו בתיק זה. הנאשם לא התגייס לצה"ל בשל ההליך הפלילי, אך לדבריו נרשם למכינה קדם צבאית כשבסיומה, יִּבָּחֵן בשנית גיוסו ליחידה קרבית. הנאשם שיתף, כי החל לעשות שימוש בסמים בגיל 15, בעיקר בקוקאין, כשלדבריו השימוש היווה עבורו בריחה מסוימת מהתמודדות עם קשיים מול משפחתו שחווה באותה עת, על רקע תהליכי התרחקות שלו מהדת. שירות המבחן מסר, כי במסגרת הליך המעצר הופנה הנאשם לקהילת "רטורנו"</w:t>
      </w:r>
      <w:r>
        <w:rPr>
          <w:rFonts w:ascii="FrankRuehl" w:hAnsi="FrankRuehl" w:cs="FrankRuehl" w:hint="cs"/>
          <w:sz w:val="28"/>
          <w:szCs w:val="28"/>
          <w:rtl/>
        </w:rPr>
        <w:t>,</w:t>
      </w:r>
      <w:r>
        <w:rPr>
          <w:rFonts w:ascii="FrankRuehl" w:hAnsi="FrankRuehl" w:cs="FrankRuehl"/>
          <w:sz w:val="28"/>
          <w:szCs w:val="28"/>
          <w:rtl/>
        </w:rPr>
        <w:t xml:space="preserve"> שם סיים את הטיפול בהצלחה</w:t>
      </w:r>
      <w:r>
        <w:rPr>
          <w:rFonts w:ascii="FrankRuehl" w:hAnsi="FrankRuehl" w:cs="FrankRuehl" w:hint="cs"/>
          <w:sz w:val="28"/>
          <w:szCs w:val="28"/>
          <w:rtl/>
        </w:rPr>
        <w:t>,</w:t>
      </w:r>
      <w:r>
        <w:rPr>
          <w:rFonts w:ascii="FrankRuehl" w:hAnsi="FrankRuehl" w:cs="FrankRuehl"/>
          <w:sz w:val="28"/>
          <w:szCs w:val="28"/>
          <w:rtl/>
        </w:rPr>
        <w:t xml:space="preserve"> והתרשמות גורמי הטיפול היא, כי  התהליך הטיפולי של הנאשם היה מכונן ומשמעותי. לאחר סיום הטיפול, שוחרר הנאשם להוסטל המשך, שם הוא ממשיך בטיפול ובמקביל עובד בבית קפה במסגרת אותם תנאים. אשר לעבירות בהן הורשע, התרשמות שירות המבחן היא</w:t>
      </w:r>
      <w:r>
        <w:rPr>
          <w:rFonts w:ascii="FrankRuehl" w:hAnsi="FrankRuehl" w:cs="FrankRuehl" w:hint="cs"/>
          <w:sz w:val="28"/>
          <w:szCs w:val="28"/>
          <w:rtl/>
        </w:rPr>
        <w:t>,</w:t>
      </w:r>
      <w:r>
        <w:rPr>
          <w:rFonts w:ascii="FrankRuehl" w:hAnsi="FrankRuehl" w:cs="FrankRuehl"/>
          <w:sz w:val="28"/>
          <w:szCs w:val="28"/>
          <w:rtl/>
        </w:rPr>
        <w:t xml:space="preserve"> כי הנאשם קיבל אחריות מלאה על מעשיו, כאשר ייחס את המעשים להתנהלות לא בונה ולהתמכרות לקנבוס באותה תקופה וכן לקשיים כלכליים. שירות המבחן סבר, כי במסגרת ההליך הפלילי, גילה הנאשם כוחות לערוך שינוי חיובי בחייו, ומכאן לקיחת אחריותו המלאה על המעשים ועל חייו כאחד. לפיכך, המליץ שירות המבחן על הטלת 300 שעות של"ץ וצו מבחן למשך שנה לצד ענישה נלווית. </w:t>
      </w:r>
    </w:p>
    <w:p w14:paraId="67010A99" w14:textId="77777777" w:rsidR="006F30EA" w:rsidRDefault="006F30EA" w:rsidP="006F30EA">
      <w:pPr>
        <w:spacing w:line="360" w:lineRule="auto"/>
        <w:jc w:val="both"/>
        <w:rPr>
          <w:rFonts w:ascii="FrankRuehl" w:hAnsi="FrankRuehl" w:cs="FrankRuehl"/>
          <w:sz w:val="28"/>
          <w:szCs w:val="28"/>
          <w:rtl/>
        </w:rPr>
      </w:pPr>
    </w:p>
    <w:p w14:paraId="2E007C9B" w14:textId="77777777" w:rsidR="006F30EA" w:rsidRDefault="006F30EA" w:rsidP="006F30EA">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ראיות וטיעונים לעונש</w:t>
      </w:r>
    </w:p>
    <w:p w14:paraId="63B904CC" w14:textId="77777777" w:rsidR="006F30EA" w:rsidRDefault="006F30EA" w:rsidP="006F30EA">
      <w:pPr>
        <w:spacing w:line="360" w:lineRule="auto"/>
        <w:jc w:val="both"/>
        <w:rPr>
          <w:rFonts w:ascii="FrankRuehl" w:hAnsi="FrankRuehl" w:cs="FrankRuehl"/>
          <w:sz w:val="28"/>
          <w:szCs w:val="28"/>
          <w:rtl/>
        </w:rPr>
      </w:pPr>
      <w:r>
        <w:rPr>
          <w:rFonts w:ascii="FrankRuehl" w:hAnsi="FrankRuehl" w:cs="FrankRuehl"/>
          <w:sz w:val="28"/>
          <w:szCs w:val="28"/>
          <w:rtl/>
        </w:rPr>
        <w:lastRenderedPageBreak/>
        <w:t>הנאשם נעדר עבר פלילי.</w:t>
      </w:r>
    </w:p>
    <w:p w14:paraId="4BF9F2AE" w14:textId="77777777" w:rsidR="006F30EA" w:rsidRDefault="006F30EA" w:rsidP="006F30EA">
      <w:pPr>
        <w:spacing w:line="360" w:lineRule="auto"/>
        <w:jc w:val="both"/>
        <w:rPr>
          <w:rFonts w:ascii="FrankRuehl" w:hAnsi="FrankRuehl" w:cs="FrankRuehl"/>
          <w:sz w:val="28"/>
          <w:szCs w:val="28"/>
          <w:rtl/>
        </w:rPr>
      </w:pPr>
      <w:r>
        <w:rPr>
          <w:rFonts w:ascii="FrankRuehl" w:hAnsi="FrankRuehl" w:cs="FrankRuehl"/>
          <w:sz w:val="28"/>
          <w:szCs w:val="28"/>
          <w:rtl/>
        </w:rPr>
        <w:t xml:space="preserve">לעניין העונש, עתרה המאשימה למתחמי ענישה שבין </w:t>
      </w:r>
      <w:r>
        <w:rPr>
          <w:rFonts w:ascii="FrankRuehl" w:hAnsi="FrankRuehl" w:cs="FrankRuehl" w:hint="cs"/>
          <w:sz w:val="28"/>
          <w:szCs w:val="28"/>
          <w:rtl/>
        </w:rPr>
        <w:t>6 ל-12 חודשי מאסר בגין כל עבירת סחר ומתחם שבין 12 ל-24 חודשים ביחס לעבירה של החזקת סם שלא לצריכה עצמית. נטען כי ניתן למקם את הנאשם בתחתית מתחמי הענישה, דהיינו כי על הנאשם יוטל עונש מאסר בפועל לתקופה לא מבוטל וכן ענישה נלווית, הכרזה על הנאשם כסוחר סמים וחילוט התפוסים.</w:t>
      </w:r>
    </w:p>
    <w:p w14:paraId="4EDFDE9E" w14:textId="77777777" w:rsidR="006F30EA" w:rsidRDefault="006F30EA" w:rsidP="006F30EA">
      <w:pPr>
        <w:spacing w:line="360" w:lineRule="auto"/>
        <w:jc w:val="both"/>
        <w:rPr>
          <w:rFonts w:ascii="FrankRuehl" w:hAnsi="FrankRuehl" w:cs="FrankRuehl"/>
          <w:sz w:val="28"/>
          <w:szCs w:val="28"/>
          <w:rtl/>
        </w:rPr>
      </w:pPr>
    </w:p>
    <w:p w14:paraId="7D6C3254" w14:textId="77777777" w:rsidR="006F30EA" w:rsidRDefault="006F30EA" w:rsidP="006F30EA">
      <w:pPr>
        <w:spacing w:line="360" w:lineRule="auto"/>
        <w:jc w:val="both"/>
        <w:rPr>
          <w:rFonts w:ascii="FrankRuehl" w:hAnsi="FrankRuehl" w:cs="FrankRuehl"/>
          <w:sz w:val="28"/>
          <w:szCs w:val="28"/>
          <w:rtl/>
        </w:rPr>
      </w:pPr>
      <w:r>
        <w:rPr>
          <w:rFonts w:ascii="FrankRuehl" w:hAnsi="FrankRuehl" w:cs="FrankRuehl"/>
          <w:sz w:val="28"/>
          <w:szCs w:val="28"/>
          <w:rtl/>
        </w:rPr>
        <w:t xml:space="preserve">מנגד עתרה ב"כ הנאשם לאמץ את המלצת שירות המבחן נוכח נסיבותיו האישיות של הנאשם והמלצות שירות המבחן. </w:t>
      </w:r>
    </w:p>
    <w:p w14:paraId="3AD3C60A" w14:textId="77777777" w:rsidR="006F30EA" w:rsidRDefault="006F30EA" w:rsidP="006F30EA">
      <w:pPr>
        <w:spacing w:line="360" w:lineRule="auto"/>
        <w:jc w:val="both"/>
        <w:rPr>
          <w:rFonts w:ascii="FrankRuehl" w:hAnsi="FrankRuehl" w:cs="FrankRuehl"/>
          <w:sz w:val="28"/>
          <w:szCs w:val="28"/>
          <w:rtl/>
        </w:rPr>
      </w:pPr>
    </w:p>
    <w:p w14:paraId="69613B7B" w14:textId="77777777" w:rsidR="006F30EA" w:rsidRDefault="006F30EA" w:rsidP="006F30EA">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קביעת מתחם הענישה</w:t>
      </w:r>
    </w:p>
    <w:p w14:paraId="5233D352" w14:textId="77777777" w:rsidR="006F30EA" w:rsidRDefault="006F30EA" w:rsidP="006F30EA">
      <w:pPr>
        <w:spacing w:line="360" w:lineRule="auto"/>
        <w:jc w:val="both"/>
        <w:rPr>
          <w:rFonts w:ascii="FrankRuehl" w:hAnsi="FrankRuehl" w:cs="FrankRuehl"/>
          <w:sz w:val="28"/>
          <w:szCs w:val="28"/>
          <w:rtl/>
        </w:rPr>
      </w:pPr>
      <w:r>
        <w:rPr>
          <w:rFonts w:ascii="FrankRuehl" w:hAnsi="FrankRuehl" w:cs="FrankRuehl"/>
          <w:sz w:val="28"/>
          <w:szCs w:val="28"/>
          <w:rtl/>
        </w:rPr>
        <w:t xml:space="preserve">בבסיס מתחם הענישה העולם עומד </w:t>
      </w:r>
      <w:r>
        <w:rPr>
          <w:rFonts w:ascii="FrankRuehl" w:hAnsi="FrankRuehl" w:cs="FrankRuehl"/>
          <w:b/>
          <w:bCs/>
          <w:sz w:val="28"/>
          <w:szCs w:val="28"/>
          <w:rtl/>
        </w:rPr>
        <w:t>עקרון ההלימה</w:t>
      </w:r>
      <w:r>
        <w:rPr>
          <w:rFonts w:ascii="FrankRuehl" w:hAnsi="FrankRuehl" w:cs="FrankRuehl"/>
          <w:sz w:val="28"/>
          <w:szCs w:val="28"/>
          <w:rtl/>
        </w:rPr>
        <w:t>, שהוא נגזרת של הערכים המוגנים שנפגעו מביצוע העבירה, מידת הפגיעה בהם, נסיבות ביצוע העבירה ומידת אשמו של הנאשם, ומדיניות הענישה הנוהגת.</w:t>
      </w:r>
    </w:p>
    <w:p w14:paraId="293ED160" w14:textId="77777777" w:rsidR="006F30EA" w:rsidRDefault="006F30EA" w:rsidP="006F30EA">
      <w:pPr>
        <w:spacing w:line="360" w:lineRule="auto"/>
        <w:jc w:val="both"/>
        <w:rPr>
          <w:rFonts w:ascii="FrankRuehl" w:hAnsi="FrankRuehl" w:cs="FrankRuehl"/>
          <w:sz w:val="28"/>
          <w:szCs w:val="28"/>
          <w:rtl/>
        </w:rPr>
      </w:pPr>
    </w:p>
    <w:p w14:paraId="69F30885" w14:textId="77777777" w:rsidR="006F30EA" w:rsidRDefault="006F30EA" w:rsidP="006F30EA">
      <w:pPr>
        <w:spacing w:line="360" w:lineRule="auto"/>
        <w:jc w:val="both"/>
        <w:rPr>
          <w:rFonts w:ascii="FrankRuehl" w:hAnsi="FrankRuehl" w:cs="FrankRuehl"/>
          <w:sz w:val="28"/>
          <w:szCs w:val="28"/>
          <w:rtl/>
        </w:rPr>
      </w:pPr>
      <w:r>
        <w:rPr>
          <w:rFonts w:ascii="FrankRuehl" w:hAnsi="FrankRuehl" w:cs="FrankRuehl"/>
          <w:b/>
          <w:bCs/>
          <w:sz w:val="28"/>
          <w:szCs w:val="28"/>
          <w:u w:val="single"/>
          <w:rtl/>
        </w:rPr>
        <w:t>אשר לערכים המוגנים</w:t>
      </w:r>
      <w:r>
        <w:rPr>
          <w:rFonts w:ascii="FrankRuehl" w:hAnsi="FrankRuehl" w:cs="FrankRuehl"/>
          <w:sz w:val="28"/>
          <w:szCs w:val="28"/>
          <w:rtl/>
        </w:rPr>
        <w:t xml:space="preserve"> – עבירות של סחר בסם הן עבירות חמורות מטבען, המסייעות להרחיב את נגע הסמים בקרב האוכלוסייה הכללית, נגע הפוגע בכל רבדיה ומערער את יציבות החברה וביטחונה. כב' השופט עמית עמד ב</w:t>
      </w:r>
      <w:hyperlink r:id="rId21" w:history="1">
        <w:r w:rsidR="0082246B" w:rsidRPr="0082246B">
          <w:rPr>
            <w:rFonts w:ascii="FrankRuehl" w:hAnsi="FrankRuehl" w:cs="FrankRuehl"/>
            <w:color w:val="0000FF"/>
            <w:sz w:val="28"/>
            <w:szCs w:val="28"/>
            <w:u w:val="single"/>
            <w:rtl/>
          </w:rPr>
          <w:t>ע"פ 2596/18</w:t>
        </w:r>
      </w:hyperlink>
      <w:r>
        <w:rPr>
          <w:rFonts w:ascii="FrankRuehl" w:hAnsi="FrankRuehl" w:cs="FrankRuehl"/>
          <w:sz w:val="28"/>
          <w:szCs w:val="28"/>
          <w:rtl/>
        </w:rPr>
        <w:t xml:space="preserve"> </w:t>
      </w:r>
      <w:r>
        <w:rPr>
          <w:rFonts w:ascii="FrankRuehl" w:hAnsi="FrankRuehl" w:cs="FrankRuehl"/>
          <w:b/>
          <w:bCs/>
          <w:sz w:val="28"/>
          <w:szCs w:val="28"/>
          <w:u w:val="single"/>
          <w:rtl/>
        </w:rPr>
        <w:t>זנזורי</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12.8.2018) על הקלות הבלתי נסבלת של ביצוע עבירות מעין אלה באמצעות הסתייעות ביישומונים בטלפונים הניידים ועמד על חומרת המעשים והצורך להרתיע מי שמבצע עבירות מסוג זה, גם אם מדובר באדם נורמטיבי שבחר ליטול סיכון ולהסתבך בעולם הפלילי (פסקה 8). מידת הפגיעה בערכים המוגנים נמוכה-בינונית.</w:t>
      </w:r>
    </w:p>
    <w:p w14:paraId="2B9ABC72" w14:textId="77777777" w:rsidR="006F30EA" w:rsidRDefault="006F30EA" w:rsidP="006F30EA">
      <w:pPr>
        <w:spacing w:line="360" w:lineRule="auto"/>
        <w:jc w:val="both"/>
        <w:rPr>
          <w:rFonts w:ascii="FrankRuehl" w:hAnsi="FrankRuehl" w:cs="FrankRuehl"/>
          <w:sz w:val="28"/>
          <w:szCs w:val="28"/>
          <w:rtl/>
        </w:rPr>
      </w:pPr>
    </w:p>
    <w:p w14:paraId="6A3C2AFE" w14:textId="77777777" w:rsidR="006F30EA" w:rsidRDefault="006F30EA" w:rsidP="006F30EA">
      <w:pPr>
        <w:spacing w:line="360" w:lineRule="auto"/>
        <w:jc w:val="both"/>
        <w:rPr>
          <w:rFonts w:ascii="FrankRuehl" w:hAnsi="FrankRuehl" w:cs="FrankRuehl"/>
          <w:sz w:val="28"/>
          <w:szCs w:val="28"/>
          <w:rtl/>
        </w:rPr>
      </w:pPr>
      <w:r>
        <w:rPr>
          <w:rFonts w:ascii="FrankRuehl" w:hAnsi="FrankRuehl" w:cs="FrankRuehl"/>
          <w:b/>
          <w:bCs/>
          <w:sz w:val="28"/>
          <w:szCs w:val="28"/>
          <w:u w:val="single"/>
          <w:rtl/>
        </w:rPr>
        <w:t>אשר לנסיבות ביצוע העבירה</w:t>
      </w:r>
      <w:r>
        <w:rPr>
          <w:rFonts w:ascii="FrankRuehl" w:hAnsi="FrankRuehl" w:cs="FrankRuehl"/>
          <w:sz w:val="28"/>
          <w:szCs w:val="28"/>
          <w:u w:val="single"/>
          <w:rtl/>
        </w:rPr>
        <w:t xml:space="preserve"> </w:t>
      </w:r>
      <w:r>
        <w:rPr>
          <w:rFonts w:cs="FrankRuehl"/>
          <w:b/>
          <w:bCs/>
          <w:sz w:val="28"/>
          <w:szCs w:val="28"/>
          <w:u w:val="single"/>
          <w:rtl/>
        </w:rPr>
        <w:t xml:space="preserve">לפי </w:t>
      </w:r>
      <w:hyperlink r:id="rId22" w:history="1">
        <w:r w:rsidR="0026282F" w:rsidRPr="0026282F">
          <w:rPr>
            <w:rStyle w:val="Hyperlink"/>
            <w:rFonts w:cs="FrankRuehl"/>
            <w:b/>
            <w:bCs/>
            <w:sz w:val="28"/>
            <w:szCs w:val="28"/>
            <w:rtl/>
          </w:rPr>
          <w:t>סעיף 40ט'</w:t>
        </w:r>
      </w:hyperlink>
      <w:r>
        <w:rPr>
          <w:rFonts w:cs="FrankRuehl"/>
          <w:b/>
          <w:bCs/>
          <w:sz w:val="28"/>
          <w:szCs w:val="28"/>
          <w:u w:val="single"/>
          <w:rtl/>
        </w:rPr>
        <w:t xml:space="preserve"> ל</w:t>
      </w:r>
      <w:hyperlink r:id="rId23" w:history="1">
        <w:r w:rsidR="0082246B" w:rsidRPr="0082246B">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 xml:space="preserve">בין הנסיבות הקשורות בביצוע העבירה יש לשקול את אלה, לעניין קביעת המתחם: </w:t>
      </w:r>
      <w:r>
        <w:rPr>
          <w:rFonts w:ascii="FrankRuehl" w:hAnsi="FrankRuehl" w:cs="FrankRuehl"/>
          <w:sz w:val="28"/>
          <w:szCs w:val="28"/>
          <w:rtl/>
        </w:rPr>
        <w:t>מדובר בעבירה מתוכננת ומחושבת, כאשר הנאשם הצטייד מראש בכמות מסחרית של סמים, תיאם עסקאות בטלגראס והגיע ממקום למקום באמצעות אופנוע לצורך ביצוע העסקאות. הוא ביצע שש עסקאות, והכל מתוך מניע כספי, מול לקוחות שלא הכיר. כמו כן נתפסה בחדרו בבית המלון כמות יחסית גדולה של סמים וכמות גדולה של כסף מזומן. אלו נסיבות לחומרא. לקולא, סוג הסם</w:t>
      </w:r>
      <w:r>
        <w:rPr>
          <w:rFonts w:ascii="FrankRuehl" w:hAnsi="FrankRuehl" w:cs="FrankRuehl" w:hint="cs"/>
          <w:sz w:val="28"/>
          <w:szCs w:val="28"/>
          <w:rtl/>
        </w:rPr>
        <w:t xml:space="preserve"> וגילו הצעיר מאוד של הנאשם בעת ביצוע העבירות</w:t>
      </w:r>
      <w:r>
        <w:rPr>
          <w:rFonts w:ascii="FrankRuehl" w:hAnsi="FrankRuehl" w:cs="FrankRuehl"/>
          <w:sz w:val="28"/>
          <w:szCs w:val="28"/>
          <w:rtl/>
        </w:rPr>
        <w:t>. הנאשם אחראי בלעדית למעשים וצריך היה להימנע מהם. הנזק שנגרם בפועל מצומצם לאותם שישה לקוחות ואולם אם לא היה נתפס הנאשם, סביר להניח שהנזק היה רב יותר.</w:t>
      </w:r>
    </w:p>
    <w:p w14:paraId="214A3A5A" w14:textId="77777777" w:rsidR="006F30EA" w:rsidRDefault="006F30EA" w:rsidP="006F30EA">
      <w:pPr>
        <w:spacing w:line="360" w:lineRule="auto"/>
        <w:jc w:val="both"/>
        <w:rPr>
          <w:rFonts w:ascii="FrankRuehl" w:hAnsi="FrankRuehl" w:cs="FrankRuehl"/>
          <w:sz w:val="28"/>
          <w:szCs w:val="28"/>
          <w:rtl/>
        </w:rPr>
      </w:pPr>
    </w:p>
    <w:p w14:paraId="37AD4DA3" w14:textId="77777777" w:rsidR="006F30EA" w:rsidRDefault="006F30EA" w:rsidP="006F30EA">
      <w:pPr>
        <w:spacing w:line="360" w:lineRule="auto"/>
        <w:jc w:val="both"/>
        <w:rPr>
          <w:rFonts w:ascii="FrankRuehl" w:hAnsi="FrankRuehl" w:cs="FrankRuehl"/>
          <w:b/>
          <w:bCs/>
          <w:sz w:val="28"/>
          <w:szCs w:val="28"/>
          <w:rtl/>
        </w:rPr>
      </w:pPr>
      <w:r>
        <w:rPr>
          <w:rFonts w:ascii="FrankRuehl" w:hAnsi="FrankRuehl" w:cs="FrankRuehl"/>
          <w:b/>
          <w:bCs/>
          <w:sz w:val="28"/>
          <w:szCs w:val="28"/>
          <w:u w:val="single"/>
          <w:rtl/>
        </w:rPr>
        <w:t>מדיניות הענישה הנוהגת</w:t>
      </w:r>
      <w:r>
        <w:rPr>
          <w:rFonts w:ascii="FrankRuehl" w:hAnsi="FrankRuehl" w:cs="FrankRuehl"/>
          <w:sz w:val="28"/>
          <w:szCs w:val="28"/>
          <w:rtl/>
        </w:rPr>
        <w:t xml:space="preserve"> – לרוב בעבירות מסוג זה, מבכר בית המשפט את שיקולי ההרתעה על-פני שיקולים אחרים. במקרה חמור בהרבה ממקרנו, שבו בוצעו עשרות מכירות קנביס לעשרות לקוחות לרבות לקטין אושרו מתחמים הנעים ממאסר קצר ועד 14 חודשי מאסר בגין מכירת סם, ועונשו של נאשם הוחמר מ-9 חודשי עבודות שירות ל-18 חודשי מאסר – </w:t>
      </w:r>
      <w:hyperlink r:id="rId24" w:history="1">
        <w:r w:rsidR="0082246B" w:rsidRPr="0082246B">
          <w:rPr>
            <w:rFonts w:ascii="FrankRuehl" w:hAnsi="FrankRuehl" w:cs="FrankRuehl"/>
            <w:color w:val="0000FF"/>
            <w:sz w:val="28"/>
            <w:szCs w:val="28"/>
            <w:u w:val="single"/>
            <w:rtl/>
          </w:rPr>
          <w:t>רע"פ 7088/20</w:t>
        </w:r>
      </w:hyperlink>
      <w:r>
        <w:rPr>
          <w:rFonts w:ascii="FrankRuehl" w:hAnsi="FrankRuehl" w:cs="FrankRuehl"/>
          <w:sz w:val="28"/>
          <w:szCs w:val="28"/>
          <w:rtl/>
        </w:rPr>
        <w:t xml:space="preserve"> </w:t>
      </w:r>
      <w:r>
        <w:rPr>
          <w:rFonts w:ascii="FrankRuehl" w:hAnsi="FrankRuehl" w:cs="FrankRuehl"/>
          <w:b/>
          <w:bCs/>
          <w:sz w:val="28"/>
          <w:szCs w:val="28"/>
          <w:u w:val="single"/>
          <w:rtl/>
        </w:rPr>
        <w:t>זוהר</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21.10.2020). ממקרה זה יש לגזור לקולא. ב</w:t>
      </w:r>
      <w:hyperlink r:id="rId25" w:history="1">
        <w:r w:rsidR="0082246B" w:rsidRPr="0082246B">
          <w:rPr>
            <w:rFonts w:ascii="FrankRuehl" w:hAnsi="FrankRuehl" w:cs="FrankRuehl"/>
            <w:color w:val="0000FF"/>
            <w:sz w:val="28"/>
            <w:szCs w:val="28"/>
            <w:u w:val="single"/>
            <w:rtl/>
          </w:rPr>
          <w:t>רע"פ 8632/19</w:t>
        </w:r>
      </w:hyperlink>
      <w:r>
        <w:rPr>
          <w:rFonts w:ascii="FrankRuehl" w:hAnsi="FrankRuehl" w:cs="FrankRuehl"/>
          <w:sz w:val="28"/>
          <w:szCs w:val="28"/>
          <w:rtl/>
        </w:rPr>
        <w:t xml:space="preserve"> </w:t>
      </w:r>
      <w:r>
        <w:rPr>
          <w:rFonts w:ascii="FrankRuehl" w:hAnsi="FrankRuehl" w:cs="FrankRuehl"/>
          <w:b/>
          <w:bCs/>
          <w:sz w:val="28"/>
          <w:szCs w:val="28"/>
          <w:u w:val="single"/>
          <w:rtl/>
        </w:rPr>
        <w:t>כהן</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5.1.2020) אושר עונש של 9 חודשי עבודות שירות חלף עונש של של"ץ בנסיבות הדומות למקרנו, ואולם שם דובר במי שעמד לחובתו מאסר מותנה שהוחלט להפעילו בסופו של דבר ע"י ערכאת הערעור. מכאן שמדובר בנסיבות חמורות ממקרנו. ב</w:t>
      </w:r>
      <w:hyperlink r:id="rId26" w:history="1">
        <w:r w:rsidR="0082246B" w:rsidRPr="0082246B">
          <w:rPr>
            <w:rFonts w:ascii="FrankRuehl" w:hAnsi="FrankRuehl" w:cs="FrankRuehl"/>
            <w:color w:val="0000FF"/>
            <w:sz w:val="28"/>
            <w:szCs w:val="28"/>
            <w:u w:val="single"/>
            <w:rtl/>
          </w:rPr>
          <w:t>רע"פ 5494/19</w:t>
        </w:r>
      </w:hyperlink>
      <w:r>
        <w:rPr>
          <w:rFonts w:ascii="FrankRuehl" w:hAnsi="FrankRuehl" w:cs="FrankRuehl"/>
          <w:sz w:val="28"/>
          <w:szCs w:val="28"/>
          <w:rtl/>
        </w:rPr>
        <w:t xml:space="preserve"> </w:t>
      </w:r>
      <w:r>
        <w:rPr>
          <w:rFonts w:ascii="FrankRuehl" w:hAnsi="FrankRuehl" w:cs="FrankRuehl"/>
          <w:b/>
          <w:bCs/>
          <w:sz w:val="28"/>
          <w:szCs w:val="28"/>
          <w:u w:val="single"/>
          <w:rtl/>
        </w:rPr>
        <w:t>רנד</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22.8.2019) אושר מתחם שבין 6 ל-18 חודשי מאסר ועונש של 6 חודשי מאסר בעבודות שירות, במקרה שבו סחר נאשם פעמיים ב"קריסטל" ונמצאו אצלו סמים מסוג קוקאין והרואין. גם ממקרה זה ניתן לגזור לקולא. ב</w:t>
      </w:r>
      <w:hyperlink r:id="rId27" w:history="1">
        <w:r w:rsidR="0082246B" w:rsidRPr="0082246B">
          <w:rPr>
            <w:rFonts w:ascii="FrankRuehl" w:hAnsi="FrankRuehl" w:cs="FrankRuehl"/>
            <w:color w:val="0000FF"/>
            <w:sz w:val="28"/>
            <w:szCs w:val="28"/>
            <w:u w:val="single"/>
            <w:rtl/>
          </w:rPr>
          <w:t>רע"פ 5478/19</w:t>
        </w:r>
      </w:hyperlink>
      <w:r>
        <w:rPr>
          <w:rFonts w:ascii="FrankRuehl" w:hAnsi="FrankRuehl" w:cs="FrankRuehl"/>
          <w:sz w:val="28"/>
          <w:szCs w:val="28"/>
          <w:rtl/>
        </w:rPr>
        <w:t xml:space="preserve"> </w:t>
      </w:r>
      <w:r>
        <w:rPr>
          <w:rFonts w:ascii="FrankRuehl" w:hAnsi="FrankRuehl" w:cs="FrankRuehl"/>
          <w:b/>
          <w:bCs/>
          <w:sz w:val="28"/>
          <w:szCs w:val="28"/>
          <w:u w:val="single"/>
          <w:rtl/>
        </w:rPr>
        <w:t>לוין</w:t>
      </w:r>
      <w:r>
        <w:rPr>
          <w:rFonts w:ascii="FrankRuehl" w:hAnsi="FrankRuehl" w:cs="FrankRuehl"/>
          <w:sz w:val="28"/>
          <w:szCs w:val="28"/>
          <w:rtl/>
        </w:rPr>
        <w:t xml:space="preserve"> נ' </w:t>
      </w:r>
      <w:r>
        <w:rPr>
          <w:rFonts w:ascii="FrankRuehl" w:hAnsi="FrankRuehl" w:cs="FrankRuehl"/>
          <w:b/>
          <w:bCs/>
          <w:sz w:val="28"/>
          <w:szCs w:val="28"/>
          <w:u w:val="single"/>
          <w:rtl/>
        </w:rPr>
        <w:t>מ"י</w:t>
      </w:r>
      <w:r>
        <w:rPr>
          <w:rFonts w:ascii="FrankRuehl" w:hAnsi="FrankRuehl" w:cs="FrankRuehl"/>
          <w:sz w:val="28"/>
          <w:szCs w:val="28"/>
          <w:rtl/>
        </w:rPr>
        <w:t xml:space="preserve"> (מיום 25.8.2019) אושר עונש של 200 שעות של"ץ ומאסר על-תנאי בנסיבות חמורות יותר ממקרנו, של ריבוי מקרי סחר בטלגראס, לרבות סחר עם קטינים. נקבע כי באותן נסיבות לא ניתן היה להימנע מהרשעה. </w:t>
      </w:r>
      <w:r>
        <w:rPr>
          <w:rFonts w:ascii="FrankRuehl" w:hAnsi="FrankRuehl" w:cs="FrankRuehl" w:hint="cs"/>
          <w:b/>
          <w:bCs/>
          <w:sz w:val="28"/>
          <w:szCs w:val="28"/>
          <w:rtl/>
        </w:rPr>
        <w:t xml:space="preserve"> </w:t>
      </w:r>
      <w:r>
        <w:rPr>
          <w:rFonts w:ascii="FrankRuehl" w:hAnsi="FrankRuehl" w:cs="FrankRuehl" w:hint="cs"/>
          <w:sz w:val="28"/>
          <w:szCs w:val="28"/>
          <w:rtl/>
        </w:rPr>
        <w:t xml:space="preserve">בפסיקה אליה היפנתה הסניגורית אכן ניתן למצוא דוגמאות לחריגה ממתחמי הענישה בנסיבות דומות למקרנו, ואף חמורות ממנו. כך לדוגמה: עפ"ג (י-ם) </w:t>
      </w:r>
      <w:hyperlink r:id="rId28" w:history="1">
        <w:r w:rsidR="007065D5" w:rsidRPr="007065D5">
          <w:rPr>
            <w:rFonts w:ascii="FrankRuehl" w:hAnsi="FrankRuehl" w:cs="FrankRuehl"/>
            <w:color w:val="0000FF"/>
            <w:sz w:val="28"/>
            <w:szCs w:val="28"/>
            <w:u w:val="single"/>
            <w:rtl/>
          </w:rPr>
          <w:t xml:space="preserve">33947-10-17 </w:t>
        </w:r>
      </w:hyperlink>
      <w:r>
        <w:rPr>
          <w:rFonts w:ascii="FrankRuehl" w:hAnsi="FrankRuehl" w:cs="FrankRuehl" w:hint="cs"/>
          <w:sz w:val="28"/>
          <w:szCs w:val="28"/>
          <w:rtl/>
        </w:rPr>
        <w:t xml:space="preserve"> מ"י נ' קרוקוצקי (מיום 20.3.2018) שם אושרה הכרעת בית המשפט לבטל את הרשעתו של נאשם בנסיבות דומות לשלנו ולהסתפק בשל"ץ בהיקף נרחב מאוד בשל שיקולי שיקום. כך גם בעניין </w:t>
      </w:r>
      <w:hyperlink r:id="rId29" w:history="1">
        <w:r w:rsidR="0082246B" w:rsidRPr="0082246B">
          <w:rPr>
            <w:rFonts w:ascii="FrankRuehl" w:hAnsi="FrankRuehl" w:cs="FrankRuehl"/>
            <w:color w:val="0000FF"/>
            <w:sz w:val="28"/>
            <w:szCs w:val="28"/>
            <w:u w:val="single"/>
            <w:rtl/>
          </w:rPr>
          <w:t>ת"פ (י-ם) 42276-07-17</w:t>
        </w:r>
      </w:hyperlink>
      <w:r>
        <w:rPr>
          <w:rFonts w:ascii="FrankRuehl" w:hAnsi="FrankRuehl" w:cs="FrankRuehl" w:hint="cs"/>
          <w:sz w:val="28"/>
          <w:szCs w:val="28"/>
          <w:rtl/>
        </w:rPr>
        <w:t xml:space="preserve"> </w:t>
      </w:r>
      <w:r w:rsidRPr="004356CA">
        <w:rPr>
          <w:rFonts w:ascii="FrankRuehl" w:hAnsi="FrankRuehl" w:cs="FrankRuehl" w:hint="cs"/>
          <w:b/>
          <w:bCs/>
          <w:sz w:val="28"/>
          <w:szCs w:val="28"/>
          <w:u w:val="single"/>
          <w:rtl/>
        </w:rPr>
        <w:t>מ"י</w:t>
      </w:r>
      <w:r>
        <w:rPr>
          <w:rFonts w:ascii="FrankRuehl" w:hAnsi="FrankRuehl" w:cs="FrankRuehl" w:hint="cs"/>
          <w:sz w:val="28"/>
          <w:szCs w:val="28"/>
          <w:rtl/>
        </w:rPr>
        <w:t xml:space="preserve"> נ' </w:t>
      </w:r>
      <w:r w:rsidRPr="004356CA">
        <w:rPr>
          <w:rFonts w:ascii="FrankRuehl" w:hAnsi="FrankRuehl" w:cs="FrankRuehl" w:hint="cs"/>
          <w:b/>
          <w:bCs/>
          <w:sz w:val="28"/>
          <w:szCs w:val="28"/>
          <w:u w:val="single"/>
          <w:rtl/>
        </w:rPr>
        <w:t>טבנס</w:t>
      </w:r>
      <w:r>
        <w:rPr>
          <w:rFonts w:ascii="FrankRuehl" w:hAnsi="FrankRuehl" w:cs="FrankRuehl" w:hint="cs"/>
          <w:sz w:val="28"/>
          <w:szCs w:val="28"/>
          <w:rtl/>
        </w:rPr>
        <w:t xml:space="preserve"> (מיום 25.9.2019) שם דובר בנסיבות חמורות בהרבה ממקרנו. </w:t>
      </w:r>
      <w:r>
        <w:rPr>
          <w:rFonts w:ascii="FrankRuehl" w:hAnsi="FrankRuehl" w:cs="FrankRuehl" w:hint="cs"/>
          <w:b/>
          <w:bCs/>
          <w:sz w:val="28"/>
          <w:szCs w:val="28"/>
          <w:rtl/>
        </w:rPr>
        <w:t xml:space="preserve"> </w:t>
      </w:r>
      <w:r w:rsidRPr="004356CA">
        <w:rPr>
          <w:rFonts w:ascii="FrankRuehl" w:hAnsi="FrankRuehl" w:cs="FrankRuehl" w:hint="cs"/>
          <w:sz w:val="28"/>
          <w:szCs w:val="28"/>
          <w:rtl/>
        </w:rPr>
        <w:t>כאמור אין זה הכלל, ההיפך מכך. ואולם אלו הם מקרים בהם ניתן משקל מכריע לשיקום.</w:t>
      </w:r>
    </w:p>
    <w:p w14:paraId="0E882FDF" w14:textId="77777777" w:rsidR="006F30EA" w:rsidRDefault="006F30EA" w:rsidP="006F30EA">
      <w:pPr>
        <w:spacing w:line="360" w:lineRule="auto"/>
        <w:jc w:val="both"/>
        <w:rPr>
          <w:rFonts w:ascii="FrankRuehl" w:hAnsi="FrankRuehl" w:cs="FrankRuehl"/>
          <w:b/>
          <w:bCs/>
          <w:sz w:val="28"/>
          <w:szCs w:val="28"/>
          <w:rtl/>
        </w:rPr>
      </w:pPr>
    </w:p>
    <w:p w14:paraId="19A146B2" w14:textId="77777777" w:rsidR="006F30EA" w:rsidRDefault="006F30EA" w:rsidP="006F30EA">
      <w:pPr>
        <w:spacing w:line="360" w:lineRule="auto"/>
        <w:jc w:val="both"/>
        <w:rPr>
          <w:rFonts w:ascii="FrankRuehl" w:hAnsi="FrankRuehl" w:cs="FrankRuehl"/>
          <w:sz w:val="28"/>
          <w:szCs w:val="28"/>
          <w:rtl/>
        </w:rPr>
      </w:pPr>
      <w:r>
        <w:rPr>
          <w:rFonts w:ascii="FrankRuehl" w:hAnsi="FrankRuehl" w:cs="FrankRuehl"/>
          <w:b/>
          <w:bCs/>
          <w:sz w:val="28"/>
          <w:szCs w:val="28"/>
          <w:rtl/>
        </w:rPr>
        <w:t>מתחם הענישה</w:t>
      </w:r>
      <w:r>
        <w:rPr>
          <w:rFonts w:ascii="FrankRuehl" w:hAnsi="FrankRuehl" w:cs="FrankRuehl"/>
          <w:sz w:val="28"/>
          <w:szCs w:val="28"/>
          <w:rtl/>
        </w:rPr>
        <w:t xml:space="preserve"> – לפיכך, מתחם הענישה צריך לנוע חודש ל-12 חודשי מאסר שיכול וירוצו בעבודות שירות וענישה נלווית. יש להתייחס למכלול האירועים כאל אירוע אחד, משום שמתקיים בין כל חלקי האירוע קשר הדוק.</w:t>
      </w:r>
    </w:p>
    <w:p w14:paraId="5B21D57B" w14:textId="77777777" w:rsidR="006F30EA" w:rsidRDefault="006F30EA" w:rsidP="006F30EA">
      <w:pPr>
        <w:spacing w:line="360" w:lineRule="auto"/>
        <w:jc w:val="both"/>
        <w:rPr>
          <w:rFonts w:ascii="FrankRuehl" w:hAnsi="FrankRuehl" w:cs="FrankRuehl"/>
          <w:b/>
          <w:bCs/>
          <w:sz w:val="28"/>
          <w:szCs w:val="28"/>
          <w:u w:val="single"/>
          <w:rtl/>
        </w:rPr>
      </w:pPr>
    </w:p>
    <w:p w14:paraId="3C07C014" w14:textId="77777777" w:rsidR="006F30EA" w:rsidRDefault="006F30EA" w:rsidP="006F30EA">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 xml:space="preserve">נסיבות שאינן קשורות בביצוע העבירה </w:t>
      </w:r>
      <w:r>
        <w:rPr>
          <w:rFonts w:cs="FrankRuehl"/>
          <w:b/>
          <w:bCs/>
          <w:sz w:val="28"/>
          <w:szCs w:val="28"/>
          <w:u w:val="single"/>
          <w:rtl/>
        </w:rPr>
        <w:t xml:space="preserve">לפי </w:t>
      </w:r>
      <w:hyperlink r:id="rId30" w:history="1">
        <w:r w:rsidR="0026282F" w:rsidRPr="0026282F">
          <w:rPr>
            <w:rStyle w:val="Hyperlink"/>
            <w:rFonts w:cs="FrankRuehl"/>
            <w:b/>
            <w:bCs/>
            <w:sz w:val="28"/>
            <w:szCs w:val="28"/>
            <w:rtl/>
          </w:rPr>
          <w:t>סעיף 40י"א</w:t>
        </w:r>
      </w:hyperlink>
      <w:r>
        <w:rPr>
          <w:rFonts w:cs="FrankRuehl"/>
          <w:b/>
          <w:bCs/>
          <w:sz w:val="28"/>
          <w:szCs w:val="28"/>
          <w:u w:val="single"/>
          <w:rtl/>
        </w:rPr>
        <w:t xml:space="preserve"> ל</w:t>
      </w:r>
      <w:hyperlink r:id="rId31" w:history="1">
        <w:r w:rsidR="0082246B" w:rsidRPr="0082246B">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ascii="FrankRuehl" w:hAnsi="FrankRuehl" w:cs="FrankRuehl"/>
          <w:b/>
          <w:bCs/>
          <w:sz w:val="28"/>
          <w:szCs w:val="28"/>
          <w:rtl/>
        </w:rPr>
        <w:t xml:space="preserve"> </w:t>
      </w:r>
      <w:r>
        <w:rPr>
          <w:rFonts w:ascii="FrankRuehl" w:hAnsi="FrankRuehl" w:cs="FrankRuehl"/>
          <w:sz w:val="28"/>
          <w:szCs w:val="28"/>
          <w:rtl/>
        </w:rPr>
        <w:t xml:space="preserve">הנאשם צעיר, ללא עבר פלילי. הנאשם קיבל אחריות מלאה למעשיו וכן לחייו, בכך שהצליח להשתלב (לא בלי קשיים) בתהליך טיפולי שאותו סיים בהצלחה רבה, וכיום ממשיך את הטיפול במסגרת הוסטל המשך. הנאשם בעל שאיפות נורמטיביות, נרשם למכינה </w:t>
      </w:r>
      <w:r>
        <w:rPr>
          <w:rFonts w:ascii="FrankRuehl" w:hAnsi="FrankRuehl" w:cs="FrankRuehl" w:hint="cs"/>
          <w:sz w:val="28"/>
          <w:szCs w:val="28"/>
          <w:rtl/>
        </w:rPr>
        <w:t xml:space="preserve">קדם </w:t>
      </w:r>
      <w:r>
        <w:rPr>
          <w:rFonts w:ascii="FrankRuehl" w:hAnsi="FrankRuehl" w:cs="FrankRuehl"/>
          <w:sz w:val="28"/>
          <w:szCs w:val="28"/>
          <w:rtl/>
        </w:rPr>
        <w:t xml:space="preserve">צבאית ומתכוון להתגייס לשירות קרבי. נדמה, כי למרות קשיים לא פשוטים בילדותו ובשנות התבגרותו, הנאשם נמצא כעת במסלול חיובי שאם יושלם כהלכה, יאפשר לו לתפקד באופן נורמטיבי לאורך חייו. מכאן שהמלצת שירות המבחן מתאימה. הנאשם היה עצור בתיק זה מעצר ממש לראשונה בחייו במשך מספר חודשים, ולאורך כל ההליך לא נפתחו </w:t>
      </w:r>
      <w:r>
        <w:rPr>
          <w:rFonts w:ascii="FrankRuehl" w:hAnsi="FrankRuehl" w:cs="FrankRuehl" w:hint="cs"/>
          <w:sz w:val="28"/>
          <w:szCs w:val="28"/>
          <w:rtl/>
        </w:rPr>
        <w:t>נגדו</w:t>
      </w:r>
      <w:r>
        <w:rPr>
          <w:rFonts w:ascii="FrankRuehl" w:hAnsi="FrankRuehl" w:cs="FrankRuehl"/>
          <w:sz w:val="28"/>
          <w:szCs w:val="28"/>
          <w:rtl/>
        </w:rPr>
        <w:t xml:space="preserve"> תיקים חדשים. הדבר מאושש את מסקנת שירות המבחן. </w:t>
      </w:r>
    </w:p>
    <w:p w14:paraId="1060846D" w14:textId="77777777" w:rsidR="006F30EA" w:rsidRDefault="006F30EA" w:rsidP="006F30EA">
      <w:pPr>
        <w:spacing w:line="360" w:lineRule="auto"/>
        <w:jc w:val="both"/>
        <w:rPr>
          <w:rFonts w:ascii="FrankRuehl" w:hAnsi="FrankRuehl" w:cs="FrankRuehl"/>
          <w:sz w:val="28"/>
          <w:szCs w:val="28"/>
          <w:rtl/>
        </w:rPr>
      </w:pPr>
    </w:p>
    <w:p w14:paraId="61C5162C" w14:textId="77777777" w:rsidR="006F30EA" w:rsidRDefault="006F30EA" w:rsidP="006F30EA">
      <w:pPr>
        <w:spacing w:line="360" w:lineRule="auto"/>
        <w:jc w:val="both"/>
        <w:rPr>
          <w:rFonts w:ascii="FrankRuehl" w:hAnsi="FrankRuehl" w:cs="FrankRuehl"/>
          <w:sz w:val="28"/>
          <w:szCs w:val="28"/>
          <w:rtl/>
        </w:rPr>
      </w:pPr>
      <w:r>
        <w:rPr>
          <w:rFonts w:ascii="FrankRuehl" w:hAnsi="FrankRuehl" w:cs="FrankRuehl"/>
          <w:b/>
          <w:bCs/>
          <w:sz w:val="28"/>
          <w:szCs w:val="28"/>
          <w:u w:val="single"/>
          <w:rtl/>
        </w:rPr>
        <w:t>מיקום הנאשם במתחם</w:t>
      </w:r>
      <w:r>
        <w:rPr>
          <w:rFonts w:ascii="FrankRuehl" w:hAnsi="FrankRuehl" w:cs="FrankRuehl"/>
          <w:sz w:val="28"/>
          <w:szCs w:val="28"/>
          <w:rtl/>
        </w:rPr>
        <w:t xml:space="preserve"> </w:t>
      </w:r>
    </w:p>
    <w:p w14:paraId="60F08840" w14:textId="77777777" w:rsidR="006F30EA" w:rsidRDefault="006F30EA" w:rsidP="006F30EA">
      <w:pPr>
        <w:spacing w:line="360" w:lineRule="auto"/>
        <w:jc w:val="both"/>
        <w:rPr>
          <w:rFonts w:ascii="FrankRuehl" w:hAnsi="FrankRuehl" w:cs="FrankRuehl"/>
          <w:sz w:val="28"/>
          <w:szCs w:val="28"/>
          <w:rtl/>
        </w:rPr>
      </w:pPr>
      <w:r>
        <w:rPr>
          <w:rFonts w:ascii="FrankRuehl" w:hAnsi="FrankRuehl" w:cs="FrankRuehl"/>
          <w:sz w:val="28"/>
          <w:szCs w:val="28"/>
          <w:rtl/>
        </w:rPr>
        <w:t>אלמלא שיקולי שיקום, היה מקום להטיל על הנאשם מאסר בעבודות שירות עד לשליש העליון של המתחם. אם אמנע מהטלת עונש כזה, הרי שהדבר נובע מההערכה של שירות המבחן, לה אני שותף, כי הנאשם עבר תהליך משמעותי של שיקום במסגרת קהילת "רטורנו", תהליך שאינו פשוט, מבלי שפתח תיקים חדשים ואף ללא בעיות משמעת או חריגות התנהגותיות במהלך תקופת הטיפול. הנאשם עלה על פסים יצרניים ויש לו שאיפות להתגייס לצבא וטרם זאת להצטרף למכינה קדם צבאית. אני סבור כי הענישה צריכה לאפשר לנאשם להגשים מטרות אלו, ולחזק את הנטיות הפרודוקטיביות והנורמטיביות שהוא מגלה, כך שהן הנאשם והן החברה י</w:t>
      </w:r>
      <w:r>
        <w:rPr>
          <w:rFonts w:ascii="FrankRuehl" w:hAnsi="FrankRuehl" w:cs="FrankRuehl" w:hint="cs"/>
          <w:sz w:val="28"/>
          <w:szCs w:val="28"/>
          <w:rtl/>
        </w:rPr>
        <w:t>ֵ</w:t>
      </w:r>
      <w:r>
        <w:rPr>
          <w:rFonts w:ascii="FrankRuehl" w:hAnsi="FrankRuehl" w:cs="FrankRuehl"/>
          <w:sz w:val="28"/>
          <w:szCs w:val="28"/>
          <w:rtl/>
        </w:rPr>
        <w:t xml:space="preserve">צאו נשכרים מן ההליך הפלילי, ו"מעז ייצא מתוק". אני סבור כי הנאשם עומד בקריטריונים הנוגעים לשיקום ולסיכויי שיקום, ועוד סברתי, שהטלת מאסר ולו בעבודות שירות, לא יאפשר את הגשמת המטרות עליהן עמדתי. על-כן יש מקום לחרוג ממתחם הענישה לקולא כאמור לעיל. </w:t>
      </w:r>
      <w:r>
        <w:rPr>
          <w:rFonts w:ascii="FrankRuehl" w:hAnsi="FrankRuehl" w:cs="FrankRuehl" w:hint="cs"/>
          <w:sz w:val="28"/>
          <w:szCs w:val="28"/>
          <w:rtl/>
        </w:rPr>
        <w:t xml:space="preserve">מפנה לפסיקה אליה היפנתה הסניגורית בנסיבות חמורות אף יותר. </w:t>
      </w:r>
    </w:p>
    <w:p w14:paraId="06A7D92B" w14:textId="77777777" w:rsidR="006F30EA" w:rsidRDefault="006F30EA" w:rsidP="006F30EA">
      <w:pPr>
        <w:spacing w:line="360" w:lineRule="auto"/>
        <w:jc w:val="both"/>
        <w:rPr>
          <w:rFonts w:ascii="FrankRuehl" w:hAnsi="FrankRuehl" w:cs="FrankRuehl"/>
          <w:sz w:val="28"/>
          <w:szCs w:val="28"/>
          <w:rtl/>
        </w:rPr>
      </w:pPr>
    </w:p>
    <w:p w14:paraId="7042F8E5" w14:textId="77777777" w:rsidR="006F30EA" w:rsidRDefault="006F30EA" w:rsidP="006F30EA">
      <w:pPr>
        <w:spacing w:line="360" w:lineRule="auto"/>
        <w:jc w:val="both"/>
        <w:rPr>
          <w:rFonts w:ascii="FrankRuehl" w:hAnsi="FrankRuehl" w:cs="FrankRuehl"/>
          <w:b/>
          <w:bCs/>
          <w:sz w:val="28"/>
          <w:szCs w:val="28"/>
          <w:u w:val="single"/>
          <w:rtl/>
        </w:rPr>
      </w:pPr>
      <w:r>
        <w:rPr>
          <w:rFonts w:ascii="FrankRuehl" w:hAnsi="FrankRuehl" w:cs="FrankRuehl"/>
          <w:b/>
          <w:bCs/>
          <w:sz w:val="28"/>
          <w:szCs w:val="28"/>
          <w:u w:val="single"/>
          <w:rtl/>
        </w:rPr>
        <w:t>גזירת הדין</w:t>
      </w:r>
    </w:p>
    <w:p w14:paraId="545364D2" w14:textId="77777777" w:rsidR="006F30EA" w:rsidRDefault="006F30EA" w:rsidP="006F30EA">
      <w:pPr>
        <w:spacing w:line="360" w:lineRule="auto"/>
        <w:jc w:val="both"/>
        <w:rPr>
          <w:rFonts w:ascii="FrankRuehl" w:hAnsi="FrankRuehl" w:cs="FrankRuehl"/>
          <w:sz w:val="28"/>
          <w:szCs w:val="28"/>
          <w:rtl/>
        </w:rPr>
      </w:pPr>
      <w:r>
        <w:rPr>
          <w:rFonts w:ascii="FrankRuehl" w:hAnsi="FrankRuehl" w:cs="FrankRuehl"/>
          <w:sz w:val="28"/>
          <w:szCs w:val="28"/>
          <w:rtl/>
        </w:rPr>
        <w:t>נוכח כל האמור מכריז על הנאשם סוחר סמים, ומטיל עליו את העונשים הבאים:</w:t>
      </w:r>
    </w:p>
    <w:p w14:paraId="1E4FC168" w14:textId="77777777" w:rsidR="006F30EA" w:rsidRDefault="006F30EA" w:rsidP="006F30EA">
      <w:pPr>
        <w:pStyle w:val="a9"/>
        <w:numPr>
          <w:ilvl w:val="0"/>
          <w:numId w:val="1"/>
        </w:numPr>
        <w:spacing w:line="360" w:lineRule="auto"/>
        <w:jc w:val="both"/>
        <w:rPr>
          <w:rFonts w:ascii="FrankRuehl" w:hAnsi="FrankRuehl" w:cs="FrankRuehl"/>
          <w:sz w:val="28"/>
          <w:szCs w:val="28"/>
          <w:rtl/>
        </w:rPr>
      </w:pPr>
      <w:r>
        <w:rPr>
          <w:rFonts w:ascii="FrankRuehl" w:hAnsi="FrankRuehl" w:cs="FrankRuehl" w:hint="cs"/>
          <w:sz w:val="28"/>
          <w:szCs w:val="28"/>
          <w:rtl/>
        </w:rPr>
        <w:t>450</w:t>
      </w:r>
      <w:r>
        <w:rPr>
          <w:rFonts w:ascii="FrankRuehl" w:hAnsi="FrankRuehl" w:cs="FrankRuehl"/>
          <w:sz w:val="28"/>
          <w:szCs w:val="28"/>
          <w:rtl/>
        </w:rPr>
        <w:t xml:space="preserve"> שעות שירות לתועלת הציבור בהתאם לתוכנית שיכין שירות המבחן ויגישה לבית המשפט בתוך 30 יום מהיום. </w:t>
      </w:r>
      <w:r w:rsidRPr="007B5188">
        <w:rPr>
          <w:rFonts w:ascii="FrankRuehl" w:hAnsi="FrankRuehl" w:cs="FrankRuehl" w:hint="cs"/>
          <w:sz w:val="28"/>
          <w:szCs w:val="28"/>
          <w:u w:val="single"/>
          <w:rtl/>
        </w:rPr>
        <w:t>העבודות לא יחלו לפני 27.3.2022.</w:t>
      </w:r>
      <w:r>
        <w:rPr>
          <w:rFonts w:ascii="FrankRuehl" w:hAnsi="FrankRuehl" w:cs="FrankRuehl" w:hint="cs"/>
          <w:sz w:val="28"/>
          <w:szCs w:val="28"/>
          <w:rtl/>
        </w:rPr>
        <w:t xml:space="preserve"> </w:t>
      </w:r>
      <w:r>
        <w:rPr>
          <w:rFonts w:ascii="FrankRuehl" w:hAnsi="FrankRuehl" w:cs="FrankRuehl"/>
          <w:sz w:val="28"/>
          <w:szCs w:val="28"/>
          <w:rtl/>
        </w:rPr>
        <w:t>הובהר לנאשם שאם לא יבצע כראוי את השל"ץ, ניתן יהיה לגזור מחדש את דינו ולהטיל עליו כל עונש לרבות מאסר;</w:t>
      </w:r>
    </w:p>
    <w:p w14:paraId="74BB6295" w14:textId="77777777" w:rsidR="006F30EA" w:rsidRDefault="006F30EA" w:rsidP="006F30EA">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 xml:space="preserve">7 חודשי מאסר שלא ירוצו, אלא אם יעבור הנאשם כל עבירת פשע לפי </w:t>
      </w:r>
      <w:hyperlink r:id="rId32" w:history="1">
        <w:r w:rsidR="0082246B" w:rsidRPr="0082246B">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בתוך שלוש שנים מהיום;</w:t>
      </w:r>
    </w:p>
    <w:p w14:paraId="53C1E9FC" w14:textId="77777777" w:rsidR="006F30EA" w:rsidRDefault="006F30EA" w:rsidP="006F30EA">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 xml:space="preserve">חודש מאסר שלא ירוצה, אלא אם יעבור הנאשם כל עבירת עוון לפי </w:t>
      </w:r>
      <w:hyperlink r:id="rId33" w:history="1">
        <w:r w:rsidR="0082246B" w:rsidRPr="0082246B">
          <w:rPr>
            <w:rFonts w:ascii="FrankRuehl" w:hAnsi="FrankRuehl" w:cs="FrankRuehl"/>
            <w:color w:val="0000FF"/>
            <w:sz w:val="28"/>
            <w:szCs w:val="28"/>
            <w:u w:val="single"/>
            <w:rtl/>
          </w:rPr>
          <w:t>פקודת הסמים המסוכנים</w:t>
        </w:r>
      </w:hyperlink>
      <w:r>
        <w:rPr>
          <w:rFonts w:ascii="FrankRuehl" w:hAnsi="FrankRuehl" w:cs="FrankRuehl"/>
          <w:sz w:val="28"/>
          <w:szCs w:val="28"/>
          <w:rtl/>
        </w:rPr>
        <w:t xml:space="preserve"> בתוך שלוש שנים מהיום;</w:t>
      </w:r>
    </w:p>
    <w:p w14:paraId="513A4C20" w14:textId="77777777" w:rsidR="006F30EA" w:rsidRDefault="006F30EA" w:rsidP="006F30EA">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קנס בסך 5,000 ₪ או שבועיים מאסר תמורתו אם לא ישולם. הקנס ישולם ב-20 תשלומים שווים ורצופים החל מיום 1.3.2022 ובכל 1 לחודש רציף ועוקב. לא ישולם תשלום במועד יועמד הקנס פירעון מיידי;</w:t>
      </w:r>
    </w:p>
    <w:p w14:paraId="448750D3" w14:textId="77777777" w:rsidR="006F30EA" w:rsidRDefault="006F30EA" w:rsidP="006F30EA">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התחייבות בסך 10,000 ₪ שלא לעבור בתוך שנתיים מהיום כל עבירת פשע לפי פקודת הסמים;</w:t>
      </w:r>
    </w:p>
    <w:p w14:paraId="16348965" w14:textId="77777777" w:rsidR="006F30EA" w:rsidRDefault="006F30EA" w:rsidP="006F30EA">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צו מבחן למשך שנה מהיום. הנאשם מוזהר בדומה לשל"ץ, כי הפרת הצו עלולה להביא לפתיחה מחדש של העונש והטלת כל עונש לרבות מאסר.</w:t>
      </w:r>
    </w:p>
    <w:p w14:paraId="788799E4" w14:textId="77777777" w:rsidR="006F30EA" w:rsidRDefault="006F30EA" w:rsidP="006F30EA">
      <w:pPr>
        <w:pStyle w:val="a9"/>
        <w:numPr>
          <w:ilvl w:val="0"/>
          <w:numId w:val="1"/>
        </w:numPr>
        <w:spacing w:line="360" w:lineRule="auto"/>
        <w:jc w:val="both"/>
        <w:rPr>
          <w:rFonts w:ascii="FrankRuehl" w:hAnsi="FrankRuehl" w:cs="FrankRuehl"/>
          <w:sz w:val="28"/>
          <w:szCs w:val="28"/>
        </w:rPr>
      </w:pPr>
      <w:r>
        <w:rPr>
          <w:rFonts w:ascii="FrankRuehl" w:hAnsi="FrankRuehl" w:cs="FrankRuehl"/>
          <w:sz w:val="28"/>
          <w:szCs w:val="28"/>
          <w:rtl/>
        </w:rPr>
        <w:t>מורה על השמדת הסמים וחילוט המוצגים.</w:t>
      </w:r>
      <w:r>
        <w:rPr>
          <w:rFonts w:ascii="FrankRuehl" w:hAnsi="FrankRuehl" w:cs="FrankRuehl" w:hint="cs"/>
          <w:sz w:val="28"/>
          <w:szCs w:val="28"/>
          <w:rtl/>
        </w:rPr>
        <w:t xml:space="preserve"> אשר לאופנוע, מורה על חילוטו ככל שלא תוגש התנגדות מטעם טוען לזכות וזאת בתוך 60 יום מהיום. </w:t>
      </w:r>
      <w:r w:rsidRPr="003C2FD4">
        <w:rPr>
          <w:rFonts w:ascii="FrankRuehl" w:hAnsi="FrankRuehl" w:cs="FrankRuehl" w:hint="cs"/>
          <w:sz w:val="28"/>
          <w:szCs w:val="28"/>
          <w:u w:val="single"/>
          <w:rtl/>
        </w:rPr>
        <w:t>באחריות המאשימה ליידע את הבעלים הרשום לגבי האפשרות הנ"ל.</w:t>
      </w:r>
      <w:r>
        <w:rPr>
          <w:rFonts w:ascii="FrankRuehl" w:hAnsi="FrankRuehl" w:cs="FrankRuehl" w:hint="cs"/>
          <w:sz w:val="28"/>
          <w:szCs w:val="28"/>
          <w:rtl/>
        </w:rPr>
        <w:t xml:space="preserve"> </w:t>
      </w:r>
    </w:p>
    <w:p w14:paraId="0527B47F" w14:textId="77777777" w:rsidR="006F30EA" w:rsidRDefault="006F30EA" w:rsidP="006F30EA">
      <w:pPr>
        <w:spacing w:line="360" w:lineRule="auto"/>
        <w:jc w:val="both"/>
        <w:rPr>
          <w:rFonts w:ascii="FrankRuehl" w:hAnsi="FrankRuehl" w:cs="FrankRuehl"/>
          <w:sz w:val="28"/>
          <w:szCs w:val="28"/>
          <w:rtl/>
        </w:rPr>
      </w:pPr>
    </w:p>
    <w:p w14:paraId="5F441891" w14:textId="77777777" w:rsidR="006F30EA" w:rsidRDefault="0082246B" w:rsidP="006F30EA">
      <w:pPr>
        <w:spacing w:line="360" w:lineRule="auto"/>
        <w:jc w:val="both"/>
        <w:rPr>
          <w:rFonts w:ascii="FrankRuehl" w:hAnsi="FrankRuehl" w:cs="FrankRuehl"/>
          <w:sz w:val="28"/>
          <w:szCs w:val="28"/>
          <w:rtl/>
        </w:rPr>
      </w:pPr>
      <w:r w:rsidRPr="0082246B">
        <w:rPr>
          <w:rFonts w:ascii="FrankRuehl" w:hAnsi="FrankRuehl" w:cs="FrankRuehl"/>
          <w:color w:val="FFFFFF"/>
          <w:sz w:val="2"/>
          <w:szCs w:val="2"/>
          <w:rtl/>
        </w:rPr>
        <w:t>5129371</w:t>
      </w:r>
      <w:r w:rsidR="006F30EA">
        <w:rPr>
          <w:rFonts w:ascii="FrankRuehl" w:hAnsi="FrankRuehl" w:cs="FrankRuehl"/>
          <w:sz w:val="28"/>
          <w:szCs w:val="28"/>
          <w:rtl/>
        </w:rPr>
        <w:t>יש לשלוח לשירות המבחן.</w:t>
      </w:r>
    </w:p>
    <w:p w14:paraId="526F67DD" w14:textId="77777777" w:rsidR="006F30EA" w:rsidRDefault="0082246B" w:rsidP="006F30EA">
      <w:pPr>
        <w:spacing w:line="360" w:lineRule="auto"/>
        <w:jc w:val="both"/>
        <w:rPr>
          <w:rFonts w:ascii="FrankRuehl" w:hAnsi="FrankRuehl" w:cs="FrankRuehl"/>
          <w:sz w:val="28"/>
          <w:szCs w:val="28"/>
          <w:rtl/>
        </w:rPr>
      </w:pPr>
      <w:r w:rsidRPr="0082246B">
        <w:rPr>
          <w:rFonts w:ascii="FrankRuehl" w:hAnsi="FrankRuehl" w:cs="FrankRuehl"/>
          <w:color w:val="FFFFFF"/>
          <w:sz w:val="2"/>
          <w:szCs w:val="2"/>
          <w:rtl/>
        </w:rPr>
        <w:t>54678313</w:t>
      </w:r>
      <w:r w:rsidR="006F30EA">
        <w:rPr>
          <w:rFonts w:ascii="FrankRuehl" w:hAnsi="FrankRuehl" w:cs="FrankRuehl"/>
          <w:sz w:val="28"/>
          <w:szCs w:val="28"/>
          <w:rtl/>
        </w:rPr>
        <w:t>זכות ערעור כחוק.</w:t>
      </w:r>
    </w:p>
    <w:p w14:paraId="16F0666D" w14:textId="77777777" w:rsidR="006F30EA" w:rsidRPr="000F2247" w:rsidRDefault="006F30EA" w:rsidP="006F30EA">
      <w:pPr>
        <w:rPr>
          <w:rFonts w:ascii="Arial" w:hAnsi="Arial"/>
          <w:b/>
          <w:bCs/>
          <w:sz w:val="26"/>
          <w:szCs w:val="26"/>
          <w:rtl/>
        </w:rPr>
      </w:pPr>
    </w:p>
    <w:p w14:paraId="1F960E9C" w14:textId="77777777" w:rsidR="006F30EA" w:rsidRPr="000F2247" w:rsidRDefault="0082246B" w:rsidP="006F30EA">
      <w:pPr>
        <w:rPr>
          <w:rFonts w:ascii="Arial" w:hAnsi="Arial"/>
          <w:b/>
          <w:bCs/>
          <w:sz w:val="26"/>
          <w:szCs w:val="26"/>
          <w:rtl/>
        </w:rPr>
      </w:pPr>
      <w:bookmarkStart w:id="8" w:name="Nitan"/>
      <w:r>
        <w:rPr>
          <w:rFonts w:ascii="Arial" w:hAnsi="Arial"/>
          <w:b/>
          <w:bCs/>
          <w:sz w:val="26"/>
          <w:szCs w:val="26"/>
          <w:rtl/>
        </w:rPr>
        <w:t xml:space="preserve">ניתן היום,  ו' אדר א' תשפ"ב, 07 פברואר 2022, במעמד הצדדים. </w:t>
      </w:r>
      <w:bookmarkEnd w:id="8"/>
    </w:p>
    <w:p w14:paraId="5ABB3430" w14:textId="77777777" w:rsidR="0082246B" w:rsidRDefault="0082246B" w:rsidP="0082246B">
      <w:pPr>
        <w:rPr>
          <w:rtl/>
        </w:rPr>
      </w:pPr>
    </w:p>
    <w:p w14:paraId="5ACDF425" w14:textId="77777777" w:rsidR="0082246B" w:rsidRDefault="0082246B" w:rsidP="0082246B">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2A1C200F" w14:textId="77777777" w:rsidR="0026282F" w:rsidRPr="0026282F" w:rsidRDefault="0026282F" w:rsidP="0026282F">
      <w:pPr>
        <w:keepNext/>
        <w:rPr>
          <w:rFonts w:ascii="David" w:hAnsi="David"/>
          <w:color w:val="000000"/>
          <w:sz w:val="22"/>
          <w:szCs w:val="22"/>
          <w:rtl/>
        </w:rPr>
      </w:pPr>
    </w:p>
    <w:p w14:paraId="1406B984" w14:textId="77777777" w:rsidR="0026282F" w:rsidRPr="0026282F" w:rsidRDefault="0026282F" w:rsidP="0026282F">
      <w:pPr>
        <w:keepNext/>
        <w:rPr>
          <w:rFonts w:ascii="David" w:hAnsi="David"/>
          <w:color w:val="000000"/>
          <w:sz w:val="22"/>
          <w:szCs w:val="22"/>
          <w:rtl/>
        </w:rPr>
      </w:pPr>
      <w:r w:rsidRPr="0026282F">
        <w:rPr>
          <w:rFonts w:ascii="David" w:hAnsi="David"/>
          <w:color w:val="000000"/>
          <w:sz w:val="22"/>
          <w:szCs w:val="22"/>
          <w:rtl/>
        </w:rPr>
        <w:t>דוד שאול גבאי ריכטר 54678313-/</w:t>
      </w:r>
    </w:p>
    <w:p w14:paraId="6107BD2A" w14:textId="77777777" w:rsidR="0082246B" w:rsidRPr="0082246B" w:rsidRDefault="0026282F" w:rsidP="0026282F">
      <w:pPr>
        <w:rPr>
          <w:color w:val="0000FF"/>
          <w:u w:val="single"/>
        </w:rPr>
      </w:pPr>
      <w:r w:rsidRPr="0026282F">
        <w:rPr>
          <w:color w:val="000000"/>
          <w:u w:val="single"/>
          <w:rtl/>
        </w:rPr>
        <w:t>נוסח מסמך זה כפוף לשינויי ניסוח ועריכה</w:t>
      </w:r>
    </w:p>
    <w:sectPr w:rsidR="0082246B" w:rsidRPr="0082246B" w:rsidSect="0026282F">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2C70B" w14:textId="77777777" w:rsidR="005B69F4" w:rsidRDefault="005B69F4" w:rsidP="009B37BE">
      <w:r>
        <w:separator/>
      </w:r>
    </w:p>
  </w:endnote>
  <w:endnote w:type="continuationSeparator" w:id="0">
    <w:p w14:paraId="4D9C2E7C" w14:textId="77777777" w:rsidR="005B69F4" w:rsidRDefault="005B69F4" w:rsidP="009B3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E859C" w14:textId="77777777" w:rsidR="0026282F" w:rsidRDefault="0026282F" w:rsidP="0026282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458909C" w14:textId="77777777" w:rsidR="000A3721" w:rsidRPr="0026282F" w:rsidRDefault="0026282F" w:rsidP="0026282F">
    <w:pPr>
      <w:pStyle w:val="a5"/>
      <w:pBdr>
        <w:top w:val="single" w:sz="4" w:space="1" w:color="auto"/>
        <w:between w:val="single" w:sz="4" w:space="0" w:color="auto"/>
      </w:pBdr>
      <w:spacing w:after="60"/>
      <w:jc w:val="center"/>
      <w:rPr>
        <w:rFonts w:ascii="FrankRuehl" w:hAnsi="FrankRuehl" w:cs="FrankRuehl"/>
        <w:color w:val="000000"/>
      </w:rPr>
    </w:pPr>
    <w:r w:rsidRPr="0026282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AEE4C" w14:textId="77777777" w:rsidR="0026282F" w:rsidRDefault="0026282F" w:rsidP="0026282F">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C7A2E">
      <w:rPr>
        <w:rFonts w:ascii="FrankRuehl" w:hAnsi="FrankRuehl" w:cs="FrankRuehl"/>
        <w:noProof/>
        <w:rtl/>
      </w:rPr>
      <w:t>1</w:t>
    </w:r>
    <w:r>
      <w:rPr>
        <w:rFonts w:ascii="FrankRuehl" w:hAnsi="FrankRuehl" w:cs="FrankRuehl"/>
        <w:rtl/>
      </w:rPr>
      <w:fldChar w:fldCharType="end"/>
    </w:r>
  </w:p>
  <w:p w14:paraId="6A249AF2" w14:textId="77777777" w:rsidR="000A3721" w:rsidRPr="0026282F" w:rsidRDefault="0026282F" w:rsidP="0026282F">
    <w:pPr>
      <w:pStyle w:val="a5"/>
      <w:pBdr>
        <w:top w:val="single" w:sz="4" w:space="1" w:color="auto"/>
        <w:between w:val="single" w:sz="4" w:space="0" w:color="auto"/>
      </w:pBdr>
      <w:spacing w:after="60"/>
      <w:jc w:val="center"/>
      <w:rPr>
        <w:rFonts w:ascii="FrankRuehl" w:hAnsi="FrankRuehl" w:cs="FrankRuehl"/>
        <w:color w:val="000000"/>
      </w:rPr>
    </w:pPr>
    <w:r w:rsidRPr="0026282F">
      <w:rPr>
        <w:rFonts w:ascii="FrankRuehl" w:hAnsi="FrankRuehl" w:cs="FrankRuehl"/>
        <w:color w:val="000000"/>
      </w:rPr>
      <w:pict w14:anchorId="2A652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39AA8" w14:textId="77777777" w:rsidR="005B69F4" w:rsidRDefault="005B69F4" w:rsidP="009B37BE">
      <w:r>
        <w:separator/>
      </w:r>
    </w:p>
  </w:footnote>
  <w:footnote w:type="continuationSeparator" w:id="0">
    <w:p w14:paraId="6B26AABB" w14:textId="77777777" w:rsidR="005B69F4" w:rsidRDefault="005B69F4" w:rsidP="009B3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F5F38" w14:textId="77777777" w:rsidR="0082246B" w:rsidRPr="0026282F" w:rsidRDefault="0026282F" w:rsidP="0026282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31177-02-21</w:t>
    </w:r>
    <w:r>
      <w:rPr>
        <w:rFonts w:ascii="David" w:hAnsi="David"/>
        <w:color w:val="000000"/>
        <w:sz w:val="22"/>
        <w:szCs w:val="22"/>
        <w:rtl/>
      </w:rPr>
      <w:tab/>
      <w:t xml:space="preserve"> מדינת ישראל נ' יהודה ווברמן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41ADA" w14:textId="77777777" w:rsidR="0082246B" w:rsidRPr="0026282F" w:rsidRDefault="0026282F" w:rsidP="0026282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31177-02-21</w:t>
    </w:r>
    <w:r>
      <w:rPr>
        <w:rFonts w:ascii="David" w:hAnsi="David"/>
        <w:color w:val="000000"/>
        <w:sz w:val="22"/>
        <w:szCs w:val="22"/>
        <w:rtl/>
      </w:rPr>
      <w:tab/>
      <w:t xml:space="preserve"> מדינת ישראל נ' יהודה ווברמן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364C1B"/>
    <w:multiLevelType w:val="hybridMultilevel"/>
    <w:tmpl w:val="A1FA6540"/>
    <w:lvl w:ilvl="0" w:tplc="41362D3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650670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F30EA"/>
    <w:rsid w:val="000A3721"/>
    <w:rsid w:val="001B5A3B"/>
    <w:rsid w:val="0026282F"/>
    <w:rsid w:val="002F06EB"/>
    <w:rsid w:val="00552473"/>
    <w:rsid w:val="005B69F4"/>
    <w:rsid w:val="006F30EA"/>
    <w:rsid w:val="007065D5"/>
    <w:rsid w:val="007C7A2E"/>
    <w:rsid w:val="0082246B"/>
    <w:rsid w:val="00860E6E"/>
    <w:rsid w:val="009B37BE"/>
    <w:rsid w:val="00AA7846"/>
    <w:rsid w:val="00C0780B"/>
    <w:rsid w:val="00DC7B5E"/>
    <w:rsid w:val="00F05CA3"/>
    <w:rsid w:val="00F20D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A91410"/>
  <w15:chartTrackingRefBased/>
  <w15:docId w15:val="{7B997FA6-CB7E-43CF-BEED-482265FA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30E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30EA"/>
    <w:pPr>
      <w:tabs>
        <w:tab w:val="center" w:pos="4153"/>
        <w:tab w:val="right" w:pos="8306"/>
      </w:tabs>
    </w:pPr>
  </w:style>
  <w:style w:type="character" w:customStyle="1" w:styleId="a4">
    <w:name w:val="כותרת עליונה תו"/>
    <w:link w:val="a3"/>
    <w:rsid w:val="006F30EA"/>
    <w:rPr>
      <w:rFonts w:ascii="Times New Roman" w:eastAsia="Times New Roman" w:hAnsi="Times New Roman" w:cs="David"/>
      <w:sz w:val="24"/>
      <w:szCs w:val="24"/>
    </w:rPr>
  </w:style>
  <w:style w:type="paragraph" w:styleId="a5">
    <w:name w:val="footer"/>
    <w:basedOn w:val="a"/>
    <w:link w:val="a6"/>
    <w:rsid w:val="006F30EA"/>
    <w:pPr>
      <w:tabs>
        <w:tab w:val="center" w:pos="4153"/>
        <w:tab w:val="right" w:pos="8306"/>
      </w:tabs>
    </w:pPr>
  </w:style>
  <w:style w:type="character" w:customStyle="1" w:styleId="a6">
    <w:name w:val="כותרת תחתונה תו"/>
    <w:link w:val="a5"/>
    <w:rsid w:val="006F30EA"/>
    <w:rPr>
      <w:rFonts w:ascii="Times New Roman" w:eastAsia="Times New Roman" w:hAnsi="Times New Roman" w:cs="David"/>
      <w:sz w:val="24"/>
      <w:szCs w:val="24"/>
    </w:rPr>
  </w:style>
  <w:style w:type="table" w:styleId="a7">
    <w:name w:val="Table Grid"/>
    <w:basedOn w:val="a1"/>
    <w:rsid w:val="006F30E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F30EA"/>
  </w:style>
  <w:style w:type="paragraph" w:styleId="a9">
    <w:name w:val="List Paragraph"/>
    <w:basedOn w:val="a"/>
    <w:qFormat/>
    <w:rsid w:val="006F30EA"/>
    <w:pPr>
      <w:spacing w:after="160" w:line="254" w:lineRule="auto"/>
      <w:ind w:left="720"/>
      <w:contextualSpacing/>
    </w:pPr>
    <w:rPr>
      <w:rFonts w:ascii="Calibri" w:eastAsia="Calibri" w:hAnsi="Calibri" w:cs="Arial"/>
      <w:sz w:val="22"/>
      <w:szCs w:val="22"/>
    </w:rPr>
  </w:style>
  <w:style w:type="character" w:styleId="Hyperlink">
    <w:name w:val="Hyperlink"/>
    <w:rsid w:val="008224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25977712" TargetMode="External"/><Relationship Id="rId39" Type="http://schemas.openxmlformats.org/officeDocument/2006/relationships/fontTable" Target="fontTable.xml"/><Relationship Id="rId21" Type="http://schemas.openxmlformats.org/officeDocument/2006/relationships/hyperlink" Target="http://www.nevo.co.il/case/23827604"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6314376" TargetMode="External"/><Relationship Id="rId33" Type="http://schemas.openxmlformats.org/officeDocument/2006/relationships/hyperlink" Target="http://www.nevo.co.il/law/421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13;19.a"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28418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7078610" TargetMode="External"/><Relationship Id="rId32" Type="http://schemas.openxmlformats.org/officeDocument/2006/relationships/hyperlink" Target="http://www.nevo.co.il/law/4216"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3158178" TargetMode="External"/><Relationship Id="rId36"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law/70301/29"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i"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25975844" TargetMode="External"/><Relationship Id="rId30" Type="http://schemas.openxmlformats.org/officeDocument/2006/relationships/hyperlink" Target="http://www.nevo.co.il/law/70301/40ja" TargetMode="External"/><Relationship Id="rId35" Type="http://schemas.openxmlformats.org/officeDocument/2006/relationships/header" Target="header1.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1801</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10786</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8257637</vt:i4>
      </vt:variant>
      <vt:variant>
        <vt:i4>78</vt:i4>
      </vt:variant>
      <vt:variant>
        <vt:i4>0</vt:i4>
      </vt:variant>
      <vt:variant>
        <vt:i4>5</vt:i4>
      </vt:variant>
      <vt:variant>
        <vt:lpwstr>http://www.nevo.co.il/law/4216</vt:lpwstr>
      </vt:variant>
      <vt:variant>
        <vt:lpwstr/>
      </vt:variant>
      <vt:variant>
        <vt:i4>8257637</vt:i4>
      </vt:variant>
      <vt:variant>
        <vt:i4>75</vt:i4>
      </vt:variant>
      <vt:variant>
        <vt:i4>0</vt:i4>
      </vt:variant>
      <vt:variant>
        <vt:i4>5</vt:i4>
      </vt:variant>
      <vt:variant>
        <vt:lpwstr>http://www.nevo.co.il/law/4216</vt:lpwstr>
      </vt:variant>
      <vt:variant>
        <vt:lpwstr/>
      </vt:variant>
      <vt:variant>
        <vt:i4>7995492</vt:i4>
      </vt:variant>
      <vt:variant>
        <vt:i4>72</vt:i4>
      </vt:variant>
      <vt:variant>
        <vt:i4>0</vt:i4>
      </vt:variant>
      <vt:variant>
        <vt:i4>5</vt:i4>
      </vt:variant>
      <vt:variant>
        <vt:lpwstr>http://www.nevo.co.il/law/70301</vt:lpwstr>
      </vt:variant>
      <vt:variant>
        <vt:lpwstr/>
      </vt:variant>
      <vt:variant>
        <vt:i4>262155</vt:i4>
      </vt:variant>
      <vt:variant>
        <vt:i4>69</vt:i4>
      </vt:variant>
      <vt:variant>
        <vt:i4>0</vt:i4>
      </vt:variant>
      <vt:variant>
        <vt:i4>5</vt:i4>
      </vt:variant>
      <vt:variant>
        <vt:lpwstr>http://www.nevo.co.il/law/70301/40ja</vt:lpwstr>
      </vt:variant>
      <vt:variant>
        <vt:lpwstr/>
      </vt:variant>
      <vt:variant>
        <vt:i4>3342458</vt:i4>
      </vt:variant>
      <vt:variant>
        <vt:i4>66</vt:i4>
      </vt:variant>
      <vt:variant>
        <vt:i4>0</vt:i4>
      </vt:variant>
      <vt:variant>
        <vt:i4>5</vt:i4>
      </vt:variant>
      <vt:variant>
        <vt:lpwstr>http://www.nevo.co.il/case/22841888</vt:lpwstr>
      </vt:variant>
      <vt:variant>
        <vt:lpwstr/>
      </vt:variant>
      <vt:variant>
        <vt:i4>3932275</vt:i4>
      </vt:variant>
      <vt:variant>
        <vt:i4>63</vt:i4>
      </vt:variant>
      <vt:variant>
        <vt:i4>0</vt:i4>
      </vt:variant>
      <vt:variant>
        <vt:i4>5</vt:i4>
      </vt:variant>
      <vt:variant>
        <vt:lpwstr>http://www.nevo.co.il/case/23158178</vt:lpwstr>
      </vt:variant>
      <vt:variant>
        <vt:lpwstr/>
      </vt:variant>
      <vt:variant>
        <vt:i4>3801214</vt:i4>
      </vt:variant>
      <vt:variant>
        <vt:i4>60</vt:i4>
      </vt:variant>
      <vt:variant>
        <vt:i4>0</vt:i4>
      </vt:variant>
      <vt:variant>
        <vt:i4>5</vt:i4>
      </vt:variant>
      <vt:variant>
        <vt:lpwstr>http://www.nevo.co.il/case/25975844</vt:lpwstr>
      </vt:variant>
      <vt:variant>
        <vt:lpwstr/>
      </vt:variant>
      <vt:variant>
        <vt:i4>3997809</vt:i4>
      </vt:variant>
      <vt:variant>
        <vt:i4>57</vt:i4>
      </vt:variant>
      <vt:variant>
        <vt:i4>0</vt:i4>
      </vt:variant>
      <vt:variant>
        <vt:i4>5</vt:i4>
      </vt:variant>
      <vt:variant>
        <vt:lpwstr>http://www.nevo.co.il/case/25977712</vt:lpwstr>
      </vt:variant>
      <vt:variant>
        <vt:lpwstr/>
      </vt:variant>
      <vt:variant>
        <vt:i4>3276912</vt:i4>
      </vt:variant>
      <vt:variant>
        <vt:i4>54</vt:i4>
      </vt:variant>
      <vt:variant>
        <vt:i4>0</vt:i4>
      </vt:variant>
      <vt:variant>
        <vt:i4>5</vt:i4>
      </vt:variant>
      <vt:variant>
        <vt:lpwstr>http://www.nevo.co.il/case/26314376</vt:lpwstr>
      </vt:variant>
      <vt:variant>
        <vt:lpwstr/>
      </vt:variant>
      <vt:variant>
        <vt:i4>3866738</vt:i4>
      </vt:variant>
      <vt:variant>
        <vt:i4>51</vt:i4>
      </vt:variant>
      <vt:variant>
        <vt:i4>0</vt:i4>
      </vt:variant>
      <vt:variant>
        <vt:i4>5</vt:i4>
      </vt:variant>
      <vt:variant>
        <vt:lpwstr>http://www.nevo.co.il/case/27078610</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3997811</vt:i4>
      </vt:variant>
      <vt:variant>
        <vt:i4>42</vt:i4>
      </vt:variant>
      <vt:variant>
        <vt:i4>0</vt:i4>
      </vt:variant>
      <vt:variant>
        <vt:i4>5</vt:i4>
      </vt:variant>
      <vt:variant>
        <vt:lpwstr>http://www.nevo.co.il/case/23827604</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8257637</vt:i4>
      </vt:variant>
      <vt:variant>
        <vt:i4>30</vt:i4>
      </vt:variant>
      <vt:variant>
        <vt:i4>0</vt:i4>
      </vt:variant>
      <vt:variant>
        <vt:i4>5</vt:i4>
      </vt:variant>
      <vt:variant>
        <vt:lpwstr>http://www.nevo.co.il/law/4216</vt:lpwstr>
      </vt:variant>
      <vt:variant>
        <vt:lpwstr/>
      </vt:variant>
      <vt:variant>
        <vt:i4>2883686</vt:i4>
      </vt:variant>
      <vt:variant>
        <vt:i4>27</vt:i4>
      </vt:variant>
      <vt:variant>
        <vt:i4>0</vt:i4>
      </vt:variant>
      <vt:variant>
        <vt:i4>5</vt:i4>
      </vt:variant>
      <vt:variant>
        <vt:lpwstr>http://www.nevo.co.il/law/4216/13;19.a</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7995492</vt:i4>
      </vt:variant>
      <vt:variant>
        <vt:i4>15</vt:i4>
      </vt:variant>
      <vt:variant>
        <vt:i4>0</vt:i4>
      </vt:variant>
      <vt:variant>
        <vt:i4>5</vt:i4>
      </vt:variant>
      <vt:variant>
        <vt:lpwstr>http://www.nevo.co.il/law/70301</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2025-04-23T00:54:00Z</dcterms:created>
  <dcterms:modified xsi:type="dcterms:W3CDTF">2025-04-23T00:54:00Z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31177</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יהודה ווברמן</vt:lpwstr>
  </property>
  <property fmtid="{D5CDD505-2E9C-101B-9397-08002B2CF9AE}" pid="10" name="LAWYER">
    <vt:lpwstr>מאיר לוברבאום;טליה רם</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20220207</vt:lpwstr>
  </property>
  <property fmtid="{D5CDD505-2E9C-101B-9397-08002B2CF9AE}" pid="14" name="TYPE_N_DATE">
    <vt:lpwstr>38020220207</vt:lpwstr>
  </property>
  <property fmtid="{D5CDD505-2E9C-101B-9397-08002B2CF9AE}" pid="15" name="WORDNUMPAGES">
    <vt:lpwstr>6</vt:lpwstr>
  </property>
  <property fmtid="{D5CDD505-2E9C-101B-9397-08002B2CF9AE}" pid="16" name="TYPE_ABS_DATE">
    <vt:lpwstr>380020220207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23827604;27078610;26314376;25977712;25975844;23158178;22841888</vt:lpwstr>
  </property>
  <property fmtid="{D5CDD505-2E9C-101B-9397-08002B2CF9AE}" pid="36" name="LAWLISTTMP1">
    <vt:lpwstr>4216/013;019.a;007.a;007.c</vt:lpwstr>
  </property>
  <property fmtid="{D5CDD505-2E9C-101B-9397-08002B2CF9AE}" pid="37" name="LAWLISTTMP2">
    <vt:lpwstr>70301/029;040i;40ja</vt:lpwstr>
  </property>
</Properties>
</file>