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63ECE" w:rsidRPr="00D169E2" w14:paraId="1856737B" w14:textId="77777777" w:rsidTr="00625F70">
        <w:trPr>
          <w:trHeight w:hRule="exact" w:val="418"/>
          <w:jc w:val="center"/>
        </w:trPr>
        <w:tc>
          <w:tcPr>
            <w:tcW w:w="8721" w:type="dxa"/>
            <w:gridSpan w:val="2"/>
          </w:tcPr>
          <w:p w14:paraId="6CD090F8" w14:textId="77777777" w:rsidR="00F63ECE" w:rsidRPr="00D169E2" w:rsidRDefault="00F63ECE" w:rsidP="009205AC">
            <w:pPr>
              <w:pStyle w:val="a3"/>
              <w:jc w:val="center"/>
              <w:rPr>
                <w:rFonts w:ascii="Tahoma" w:hAnsi="Tahoma" w:cs="Tahoma"/>
                <w:color w:val="000080"/>
                <w:rtl/>
              </w:rPr>
            </w:pPr>
            <w:bookmarkStart w:id="0" w:name="LastJudge"/>
            <w:r w:rsidRPr="00D169E2">
              <w:rPr>
                <w:rFonts w:ascii="Tahoma" w:hAnsi="Tahoma" w:cs="Tahoma"/>
                <w:b/>
                <w:bCs/>
                <w:color w:val="000080"/>
                <w:rtl/>
              </w:rPr>
              <w:t>בית משפט השלום בבאר שבע</w:t>
            </w:r>
          </w:p>
        </w:tc>
      </w:tr>
      <w:tr w:rsidR="00F63ECE" w:rsidRPr="001C16AE" w14:paraId="0FEC7CA3" w14:textId="77777777" w:rsidTr="00625F70">
        <w:trPr>
          <w:trHeight w:val="337"/>
          <w:jc w:val="center"/>
        </w:trPr>
        <w:tc>
          <w:tcPr>
            <w:tcW w:w="5055" w:type="dxa"/>
          </w:tcPr>
          <w:p w14:paraId="4798F30D" w14:textId="77777777" w:rsidR="00F63ECE" w:rsidRPr="001C16AE" w:rsidRDefault="00F63ECE" w:rsidP="001C16AE">
            <w:pPr>
              <w:pStyle w:val="a3"/>
              <w:spacing w:before="120" w:after="120" w:line="240" w:lineRule="exact"/>
              <w:rPr>
                <w:rFonts w:cs="FrankRuehl"/>
                <w:sz w:val="26"/>
                <w:szCs w:val="26"/>
                <w:rtl/>
              </w:rPr>
            </w:pPr>
            <w:r w:rsidRPr="001C16AE">
              <w:rPr>
                <w:rFonts w:ascii="David" w:hAnsi="David"/>
                <w:b/>
                <w:bCs/>
                <w:sz w:val="26"/>
                <w:szCs w:val="26"/>
                <w:rtl/>
              </w:rPr>
              <w:t>ת"פ 43480-02-21 מדינת ישראל נ' סבן</w:t>
            </w:r>
          </w:p>
        </w:tc>
        <w:tc>
          <w:tcPr>
            <w:tcW w:w="3666" w:type="dxa"/>
          </w:tcPr>
          <w:p w14:paraId="51B10A7F" w14:textId="77777777" w:rsidR="00F63ECE" w:rsidRPr="001C16AE" w:rsidRDefault="00F63ECE" w:rsidP="001C16AE">
            <w:pPr>
              <w:pStyle w:val="a3"/>
              <w:spacing w:before="120" w:after="120" w:line="240" w:lineRule="exact"/>
              <w:jc w:val="right"/>
              <w:rPr>
                <w:rFonts w:cs="FrankRuehl"/>
                <w:sz w:val="26"/>
                <w:szCs w:val="26"/>
                <w:rtl/>
              </w:rPr>
            </w:pPr>
          </w:p>
        </w:tc>
      </w:tr>
    </w:tbl>
    <w:p w14:paraId="7E762C2A" w14:textId="77777777" w:rsidR="00F63ECE" w:rsidRPr="001C16AE" w:rsidRDefault="00F63ECE" w:rsidP="001C16AE">
      <w:pPr>
        <w:pStyle w:val="a3"/>
        <w:spacing w:before="120" w:after="120" w:line="240" w:lineRule="exact"/>
        <w:rPr>
          <w:sz w:val="26"/>
          <w:szCs w:val="26"/>
          <w:rtl/>
        </w:rPr>
      </w:pPr>
      <w:r w:rsidRPr="001C16AE">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260"/>
        <w:gridCol w:w="6637"/>
      </w:tblGrid>
      <w:tr w:rsidR="00F63ECE" w:rsidRPr="001C16AE" w14:paraId="2C361183" w14:textId="77777777" w:rsidTr="00F63ECE">
        <w:trPr>
          <w:trHeight w:val="295"/>
          <w:jc w:val="center"/>
        </w:trPr>
        <w:tc>
          <w:tcPr>
            <w:tcW w:w="923" w:type="dxa"/>
            <w:tcBorders>
              <w:top w:val="nil"/>
              <w:left w:val="nil"/>
              <w:bottom w:val="nil"/>
              <w:right w:val="nil"/>
            </w:tcBorders>
            <w:shd w:val="clear" w:color="auto" w:fill="auto"/>
          </w:tcPr>
          <w:p w14:paraId="168934E1" w14:textId="77777777" w:rsidR="00F63ECE" w:rsidRPr="001C16AE" w:rsidRDefault="00F63ECE" w:rsidP="001C16AE">
            <w:pPr>
              <w:spacing w:before="120" w:after="120" w:line="240" w:lineRule="exact"/>
              <w:jc w:val="both"/>
              <w:rPr>
                <w:rFonts w:ascii="David" w:hAnsi="David"/>
                <w:b/>
                <w:bCs/>
                <w:sz w:val="26"/>
                <w:szCs w:val="26"/>
              </w:rPr>
            </w:pPr>
            <w:r w:rsidRPr="001C16A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28BE6BB0" w14:textId="77777777" w:rsidR="00F63ECE" w:rsidRPr="001C16AE" w:rsidRDefault="00F63ECE" w:rsidP="001C16AE">
            <w:pPr>
              <w:spacing w:before="120" w:after="120" w:line="240" w:lineRule="exact"/>
              <w:jc w:val="both"/>
              <w:rPr>
                <w:rFonts w:ascii="David" w:hAnsi="David"/>
                <w:b/>
                <w:bCs/>
                <w:sz w:val="26"/>
                <w:szCs w:val="26"/>
              </w:rPr>
            </w:pPr>
            <w:r w:rsidRPr="001C16AE">
              <w:rPr>
                <w:rFonts w:ascii="David" w:hAnsi="David"/>
                <w:b/>
                <w:bCs/>
                <w:sz w:val="26"/>
                <w:szCs w:val="26"/>
                <w:rtl/>
              </w:rPr>
              <w:t>כבוד השופט  יניב בן הרוש</w:t>
            </w:r>
          </w:p>
        </w:tc>
      </w:tr>
      <w:tr w:rsidR="001C16AE" w:rsidRPr="001C16AE" w14:paraId="7525AF75" w14:textId="77777777" w:rsidTr="001C16AE">
        <w:trPr>
          <w:trHeight w:val="355"/>
          <w:jc w:val="center"/>
        </w:trPr>
        <w:tc>
          <w:tcPr>
            <w:tcW w:w="2183" w:type="dxa"/>
            <w:gridSpan w:val="2"/>
            <w:tcBorders>
              <w:top w:val="nil"/>
              <w:left w:val="nil"/>
              <w:bottom w:val="nil"/>
              <w:right w:val="nil"/>
            </w:tcBorders>
            <w:shd w:val="clear" w:color="auto" w:fill="auto"/>
          </w:tcPr>
          <w:p w14:paraId="314A8883" w14:textId="77777777" w:rsidR="001C16AE" w:rsidRPr="001C16AE" w:rsidRDefault="001C16AE" w:rsidP="001C16AE">
            <w:pPr>
              <w:spacing w:before="120" w:after="120" w:line="240" w:lineRule="exact"/>
              <w:jc w:val="both"/>
              <w:rPr>
                <w:rFonts w:ascii="David" w:hAnsi="David"/>
                <w:b/>
                <w:bCs/>
                <w:sz w:val="26"/>
                <w:szCs w:val="26"/>
              </w:rPr>
            </w:pPr>
            <w:bookmarkStart w:id="1" w:name="FirstAppellant"/>
            <w:bookmarkStart w:id="2" w:name="FirstLawyer"/>
            <w:r w:rsidRPr="001C16AE">
              <w:rPr>
                <w:rFonts w:ascii="David" w:hAnsi="David"/>
                <w:b/>
                <w:bCs/>
                <w:sz w:val="26"/>
                <w:szCs w:val="26"/>
                <w:rtl/>
              </w:rPr>
              <w:t>בעניין:</w:t>
            </w:r>
          </w:p>
          <w:p w14:paraId="1363CCBB" w14:textId="77777777" w:rsidR="001C16AE" w:rsidRPr="001C16AE" w:rsidRDefault="001C16AE" w:rsidP="001C16AE">
            <w:pPr>
              <w:spacing w:before="120" w:after="120" w:line="240" w:lineRule="exact"/>
              <w:rPr>
                <w:rFonts w:ascii="David" w:hAnsi="David"/>
                <w:b/>
                <w:bCs/>
                <w:sz w:val="26"/>
                <w:szCs w:val="26"/>
              </w:rPr>
            </w:pPr>
            <w:r w:rsidRPr="001C16AE">
              <w:rPr>
                <w:rFonts w:ascii="Arial" w:hAnsi="Arial" w:hint="cs"/>
                <w:b/>
                <w:bCs/>
                <w:sz w:val="26"/>
                <w:szCs w:val="26"/>
                <w:rtl/>
              </w:rPr>
              <w:t>ה</w:t>
            </w:r>
            <w:r w:rsidRPr="001C16AE">
              <w:rPr>
                <w:rFonts w:ascii="Arial" w:hAnsi="Arial"/>
                <w:b/>
                <w:bCs/>
                <w:sz w:val="26"/>
                <w:szCs w:val="26"/>
                <w:rtl/>
              </w:rPr>
              <w:t>מאשימה</w:t>
            </w:r>
          </w:p>
        </w:tc>
        <w:tc>
          <w:tcPr>
            <w:tcW w:w="6637" w:type="dxa"/>
            <w:tcBorders>
              <w:top w:val="nil"/>
              <w:left w:val="nil"/>
              <w:bottom w:val="nil"/>
              <w:right w:val="nil"/>
            </w:tcBorders>
            <w:shd w:val="clear" w:color="auto" w:fill="auto"/>
            <w:vAlign w:val="center"/>
          </w:tcPr>
          <w:p w14:paraId="76B1CBD1" w14:textId="77777777" w:rsidR="001C16AE" w:rsidRPr="001C16AE" w:rsidRDefault="001C16AE" w:rsidP="001C16AE">
            <w:pPr>
              <w:suppressLineNumbers/>
              <w:spacing w:before="120" w:after="120" w:line="240" w:lineRule="exact"/>
              <w:rPr>
                <w:rFonts w:ascii="Arial" w:hAnsi="Arial"/>
                <w:b/>
                <w:bCs/>
                <w:sz w:val="26"/>
                <w:szCs w:val="26"/>
                <w:rtl/>
              </w:rPr>
            </w:pPr>
            <w:r w:rsidRPr="001C16AE">
              <w:rPr>
                <w:rFonts w:ascii="Arial" w:hAnsi="Arial"/>
                <w:b/>
                <w:bCs/>
                <w:sz w:val="26"/>
                <w:szCs w:val="26"/>
                <w:rtl/>
              </w:rPr>
              <w:t>מדינת ישראל</w:t>
            </w:r>
            <w:r w:rsidRPr="001C16AE">
              <w:rPr>
                <w:rFonts w:ascii="Arial" w:hAnsi="Arial" w:hint="cs"/>
                <w:b/>
                <w:bCs/>
                <w:sz w:val="26"/>
                <w:szCs w:val="26"/>
                <w:rtl/>
              </w:rPr>
              <w:t xml:space="preserve">-תביעות נגב </w:t>
            </w:r>
          </w:p>
          <w:p w14:paraId="1DE4FF5F" w14:textId="77777777" w:rsidR="001C16AE" w:rsidRPr="001C16AE" w:rsidRDefault="001C16AE" w:rsidP="001C16AE">
            <w:pPr>
              <w:suppressLineNumbers/>
              <w:spacing w:before="120" w:after="120" w:line="240" w:lineRule="exact"/>
              <w:rPr>
                <w:b/>
                <w:bCs/>
                <w:sz w:val="26"/>
                <w:szCs w:val="26"/>
              </w:rPr>
            </w:pPr>
            <w:r w:rsidRPr="001C16AE">
              <w:rPr>
                <w:rFonts w:ascii="Arial" w:hAnsi="Arial"/>
                <w:b/>
                <w:bCs/>
                <w:sz w:val="26"/>
                <w:szCs w:val="26"/>
                <w:rtl/>
              </w:rPr>
              <w:t>ע"י ב"כ עוה"ד</w:t>
            </w:r>
            <w:r w:rsidRPr="001C16AE">
              <w:rPr>
                <w:rFonts w:ascii="Arial" w:hAnsi="Arial" w:hint="cs"/>
                <w:b/>
                <w:bCs/>
                <w:sz w:val="26"/>
                <w:szCs w:val="26"/>
                <w:rtl/>
              </w:rPr>
              <w:t xml:space="preserve"> שירה רוג</w:t>
            </w:r>
          </w:p>
        </w:tc>
      </w:tr>
      <w:bookmarkEnd w:id="1"/>
      <w:bookmarkEnd w:id="2"/>
      <w:tr w:rsidR="001C16AE" w:rsidRPr="001C16AE" w14:paraId="5A21ED1E" w14:textId="77777777" w:rsidTr="00A35284">
        <w:trPr>
          <w:trHeight w:val="355"/>
          <w:jc w:val="center"/>
        </w:trPr>
        <w:tc>
          <w:tcPr>
            <w:tcW w:w="8820" w:type="dxa"/>
            <w:gridSpan w:val="3"/>
            <w:tcBorders>
              <w:top w:val="nil"/>
              <w:left w:val="nil"/>
              <w:bottom w:val="nil"/>
              <w:right w:val="nil"/>
            </w:tcBorders>
            <w:shd w:val="clear" w:color="auto" w:fill="auto"/>
          </w:tcPr>
          <w:p w14:paraId="41C91470" w14:textId="77777777" w:rsidR="001C16AE" w:rsidRPr="001C16AE" w:rsidRDefault="001C16AE" w:rsidP="001C16AE">
            <w:pPr>
              <w:spacing w:before="240" w:after="240" w:line="240" w:lineRule="exact"/>
              <w:jc w:val="center"/>
              <w:rPr>
                <w:rFonts w:ascii="David" w:hAnsi="David" w:hint="cs"/>
                <w:b/>
                <w:bCs/>
                <w:sz w:val="26"/>
                <w:szCs w:val="26"/>
              </w:rPr>
            </w:pPr>
            <w:r w:rsidRPr="001C16AE">
              <w:rPr>
                <w:rFonts w:ascii="David" w:hAnsi="David"/>
                <w:b/>
                <w:bCs/>
                <w:sz w:val="26"/>
                <w:szCs w:val="26"/>
                <w:rtl/>
              </w:rPr>
              <w:t>נגד</w:t>
            </w:r>
          </w:p>
        </w:tc>
      </w:tr>
      <w:tr w:rsidR="001C16AE" w:rsidRPr="001C16AE" w14:paraId="5D6BDC62" w14:textId="77777777" w:rsidTr="001C16AE">
        <w:trPr>
          <w:trHeight w:val="355"/>
          <w:jc w:val="center"/>
        </w:trPr>
        <w:tc>
          <w:tcPr>
            <w:tcW w:w="2183" w:type="dxa"/>
            <w:gridSpan w:val="2"/>
            <w:tcBorders>
              <w:top w:val="nil"/>
              <w:left w:val="nil"/>
              <w:bottom w:val="nil"/>
              <w:right w:val="nil"/>
            </w:tcBorders>
            <w:shd w:val="clear" w:color="auto" w:fill="auto"/>
          </w:tcPr>
          <w:p w14:paraId="62928F55" w14:textId="77777777" w:rsidR="001C16AE" w:rsidRPr="001C16AE" w:rsidRDefault="001C16AE" w:rsidP="001C16AE">
            <w:pPr>
              <w:spacing w:before="120" w:after="120" w:line="240" w:lineRule="exact"/>
              <w:rPr>
                <w:rFonts w:ascii="Arial" w:hAnsi="Arial"/>
                <w:b/>
                <w:bCs/>
                <w:sz w:val="26"/>
                <w:szCs w:val="26"/>
                <w:rtl/>
              </w:rPr>
            </w:pPr>
            <w:r w:rsidRPr="001C16AE">
              <w:rPr>
                <w:rFonts w:ascii="Arial" w:hAnsi="Arial"/>
                <w:b/>
                <w:bCs/>
                <w:sz w:val="26"/>
                <w:szCs w:val="26"/>
                <w:rtl/>
              </w:rPr>
              <w:t>הנאשם</w:t>
            </w:r>
          </w:p>
        </w:tc>
        <w:tc>
          <w:tcPr>
            <w:tcW w:w="6637" w:type="dxa"/>
            <w:tcBorders>
              <w:top w:val="nil"/>
              <w:left w:val="nil"/>
              <w:bottom w:val="nil"/>
              <w:right w:val="nil"/>
            </w:tcBorders>
            <w:shd w:val="clear" w:color="auto" w:fill="auto"/>
            <w:vAlign w:val="center"/>
          </w:tcPr>
          <w:p w14:paraId="2B919E40" w14:textId="77777777" w:rsidR="001C16AE" w:rsidRPr="001C16AE" w:rsidRDefault="001C16AE" w:rsidP="001C16AE">
            <w:pPr>
              <w:suppressLineNumbers/>
              <w:spacing w:before="120" w:after="120" w:line="240" w:lineRule="exact"/>
              <w:rPr>
                <w:rFonts w:ascii="Arial" w:hAnsi="Arial"/>
                <w:b/>
                <w:bCs/>
                <w:sz w:val="26"/>
                <w:szCs w:val="26"/>
                <w:rtl/>
              </w:rPr>
            </w:pPr>
            <w:r w:rsidRPr="001C16AE">
              <w:rPr>
                <w:rFonts w:ascii="Arial" w:hAnsi="Arial"/>
                <w:b/>
                <w:bCs/>
                <w:sz w:val="26"/>
                <w:szCs w:val="26"/>
                <w:rtl/>
              </w:rPr>
              <w:t>מור סבן</w:t>
            </w:r>
            <w:r w:rsidRPr="001C16AE">
              <w:rPr>
                <w:rFonts w:ascii="Arial" w:hAnsi="Arial" w:hint="cs"/>
                <w:b/>
                <w:bCs/>
                <w:sz w:val="26"/>
                <w:szCs w:val="26"/>
                <w:rtl/>
              </w:rPr>
              <w:t xml:space="preserve">-בעצמו </w:t>
            </w:r>
          </w:p>
          <w:p w14:paraId="0C70C615" w14:textId="77777777" w:rsidR="001C16AE" w:rsidRPr="001C16AE" w:rsidRDefault="001C16AE" w:rsidP="001C16AE">
            <w:pPr>
              <w:suppressLineNumbers/>
              <w:spacing w:before="120" w:after="120" w:line="240" w:lineRule="exact"/>
              <w:rPr>
                <w:b/>
                <w:bCs/>
                <w:sz w:val="26"/>
                <w:szCs w:val="26"/>
              </w:rPr>
            </w:pPr>
            <w:r w:rsidRPr="001C16AE">
              <w:rPr>
                <w:rFonts w:ascii="Arial" w:hAnsi="Arial"/>
                <w:b/>
                <w:bCs/>
                <w:sz w:val="26"/>
                <w:szCs w:val="26"/>
                <w:rtl/>
              </w:rPr>
              <w:t>ע"י ב"כ עוה"ד</w:t>
            </w:r>
            <w:r w:rsidRPr="001C16AE">
              <w:rPr>
                <w:rFonts w:ascii="Arial" w:hAnsi="Arial" w:hint="cs"/>
                <w:b/>
                <w:bCs/>
                <w:sz w:val="26"/>
                <w:szCs w:val="26"/>
                <w:rtl/>
              </w:rPr>
              <w:t xml:space="preserve"> אדיר בן לולו</w:t>
            </w:r>
          </w:p>
        </w:tc>
      </w:tr>
    </w:tbl>
    <w:p w14:paraId="0DF283C1" w14:textId="77777777" w:rsidR="00625F70" w:rsidRDefault="00625F70" w:rsidP="00D169E2">
      <w:pPr>
        <w:rPr>
          <w:sz w:val="26"/>
          <w:szCs w:val="26"/>
          <w:rtl/>
        </w:rPr>
      </w:pPr>
    </w:p>
    <w:p w14:paraId="2BB54906" w14:textId="77777777" w:rsidR="001C16AE" w:rsidRPr="001C16AE" w:rsidRDefault="001C16AE" w:rsidP="001C16AE">
      <w:pPr>
        <w:spacing w:before="120" w:after="120" w:line="240" w:lineRule="exact"/>
        <w:ind w:left="283" w:hanging="283"/>
        <w:jc w:val="both"/>
        <w:rPr>
          <w:rFonts w:ascii="FrankRuehl" w:hAnsi="FrankRuehl" w:cs="FrankRuehl"/>
          <w:rtl/>
        </w:rPr>
      </w:pPr>
      <w:bookmarkStart w:id="3" w:name="LawTable"/>
      <w:bookmarkEnd w:id="3"/>
      <w:r w:rsidRPr="001C16AE">
        <w:rPr>
          <w:rFonts w:ascii="FrankRuehl" w:hAnsi="FrankRuehl" w:cs="FrankRuehl"/>
          <w:rtl/>
        </w:rPr>
        <w:t xml:space="preserve">חקיקה שאוזכרה: </w:t>
      </w:r>
    </w:p>
    <w:p w14:paraId="64BF30B6" w14:textId="77777777" w:rsidR="001C16AE" w:rsidRPr="001C16AE" w:rsidRDefault="001C16AE" w:rsidP="001C16AE">
      <w:pPr>
        <w:spacing w:before="120" w:after="120" w:line="240" w:lineRule="exact"/>
        <w:ind w:left="283" w:hanging="283"/>
        <w:jc w:val="both"/>
        <w:rPr>
          <w:rFonts w:ascii="FrankRuehl" w:hAnsi="FrankRuehl" w:cs="FrankRuehl"/>
          <w:color w:val="0000FF"/>
          <w:rtl/>
        </w:rPr>
      </w:pPr>
      <w:hyperlink r:id="rId7" w:history="1">
        <w:r w:rsidRPr="001C16AE">
          <w:rPr>
            <w:rStyle w:val="Hyperlink"/>
            <w:rFonts w:ascii="FrankRuehl" w:hAnsi="FrankRuehl" w:cs="FrankRuehl"/>
            <w:u w:val="none"/>
            <w:rtl/>
          </w:rPr>
          <w:t>פקודת הסמים המסוכנים [נוסח חדש], תשל"ג-1973</w:t>
        </w:r>
      </w:hyperlink>
      <w:r w:rsidRPr="001C16AE">
        <w:rPr>
          <w:rFonts w:ascii="FrankRuehl" w:hAnsi="FrankRuehl" w:cs="FrankRuehl"/>
          <w:color w:val="0000FF"/>
          <w:rtl/>
        </w:rPr>
        <w:t xml:space="preserve">: סע'  </w:t>
      </w:r>
      <w:hyperlink r:id="rId8" w:history="1">
        <w:r w:rsidRPr="001C16AE">
          <w:rPr>
            <w:rStyle w:val="Hyperlink"/>
            <w:rFonts w:ascii="FrankRuehl" w:hAnsi="FrankRuehl" w:cs="FrankRuehl"/>
            <w:u w:val="none"/>
          </w:rPr>
          <w:t xml:space="preserve">7 </w:t>
        </w:r>
      </w:hyperlink>
      <w:r w:rsidRPr="001C16AE">
        <w:rPr>
          <w:rFonts w:ascii="FrankRuehl" w:hAnsi="FrankRuehl" w:cs="FrankRuehl"/>
          <w:color w:val="0000FF"/>
          <w:rtl/>
        </w:rPr>
        <w:t xml:space="preserve">(א), </w:t>
      </w:r>
      <w:hyperlink r:id="rId9" w:history="1">
        <w:r w:rsidRPr="001C16AE">
          <w:rPr>
            <w:rStyle w:val="Hyperlink"/>
            <w:rFonts w:ascii="FrankRuehl" w:hAnsi="FrankRuehl" w:cs="FrankRuehl"/>
            <w:u w:val="none"/>
          </w:rPr>
          <w:t xml:space="preserve">7 </w:t>
        </w:r>
      </w:hyperlink>
      <w:r w:rsidRPr="001C16AE">
        <w:rPr>
          <w:rFonts w:ascii="FrankRuehl" w:hAnsi="FrankRuehl" w:cs="FrankRuehl"/>
          <w:color w:val="0000FF"/>
          <w:rtl/>
        </w:rPr>
        <w:t>(ג)</w:t>
      </w:r>
    </w:p>
    <w:p w14:paraId="15BCA58A" w14:textId="77777777" w:rsidR="001C16AE" w:rsidRPr="001C16AE" w:rsidRDefault="001C16AE" w:rsidP="001C16AE">
      <w:pPr>
        <w:spacing w:before="120" w:after="120" w:line="240" w:lineRule="exact"/>
        <w:ind w:left="283" w:hanging="283"/>
        <w:jc w:val="both"/>
        <w:rPr>
          <w:rFonts w:ascii="FrankRuehl" w:hAnsi="FrankRuehl" w:cs="FrankRuehl"/>
          <w:color w:val="0000FF"/>
          <w:rtl/>
        </w:rPr>
      </w:pPr>
      <w:hyperlink r:id="rId10" w:history="1">
        <w:r w:rsidRPr="001C16AE">
          <w:rPr>
            <w:rStyle w:val="Hyperlink"/>
            <w:rFonts w:ascii="FrankRuehl" w:hAnsi="FrankRuehl" w:cs="FrankRuehl"/>
            <w:u w:val="none"/>
            <w:rtl/>
          </w:rPr>
          <w:t>תקנות העבירות המינהליות, תשמ"ו-1986</w:t>
        </w:r>
      </w:hyperlink>
    </w:p>
    <w:p w14:paraId="0127566F" w14:textId="77777777" w:rsidR="001C16AE" w:rsidRPr="001C16AE" w:rsidRDefault="001C16AE" w:rsidP="001C16AE">
      <w:pPr>
        <w:spacing w:before="120" w:after="120" w:line="240" w:lineRule="exact"/>
        <w:ind w:left="283" w:hanging="283"/>
        <w:jc w:val="both"/>
        <w:rPr>
          <w:rFonts w:ascii="FrankRuehl" w:hAnsi="FrankRuehl" w:cs="FrankRuehl"/>
          <w:color w:val="0000FF"/>
          <w:rtl/>
        </w:rPr>
      </w:pPr>
      <w:hyperlink r:id="rId11" w:history="1">
        <w:r w:rsidRPr="001C16AE">
          <w:rPr>
            <w:rStyle w:val="Hyperlink"/>
            <w:rFonts w:ascii="FrankRuehl" w:hAnsi="FrankRuehl" w:cs="FrankRuehl"/>
            <w:u w:val="none"/>
            <w:rtl/>
          </w:rPr>
          <w:t>חוק העבירות המינהליות, תשמ"ו-1985</w:t>
        </w:r>
      </w:hyperlink>
      <w:r w:rsidRPr="001C16AE">
        <w:rPr>
          <w:rFonts w:ascii="FrankRuehl" w:hAnsi="FrankRuehl" w:cs="FrankRuehl"/>
          <w:color w:val="0000FF"/>
          <w:rtl/>
        </w:rPr>
        <w:t xml:space="preserve">: סע'  </w:t>
      </w:r>
      <w:hyperlink r:id="rId12" w:history="1">
        <w:r w:rsidRPr="001C16AE">
          <w:rPr>
            <w:rStyle w:val="Hyperlink"/>
            <w:rFonts w:ascii="FrankRuehl" w:hAnsi="FrankRuehl" w:cs="FrankRuehl"/>
            <w:u w:val="none"/>
          </w:rPr>
          <w:t>1</w:t>
        </w:r>
      </w:hyperlink>
      <w:r w:rsidRPr="001C16AE">
        <w:rPr>
          <w:rFonts w:ascii="FrankRuehl" w:hAnsi="FrankRuehl" w:cs="FrankRuehl"/>
          <w:color w:val="0000FF"/>
          <w:rtl/>
        </w:rPr>
        <w:t xml:space="preserve">(ג), </w:t>
      </w:r>
      <w:hyperlink r:id="rId13" w:history="1">
        <w:r w:rsidRPr="001C16AE">
          <w:rPr>
            <w:rStyle w:val="Hyperlink"/>
            <w:rFonts w:ascii="FrankRuehl" w:hAnsi="FrankRuehl" w:cs="FrankRuehl"/>
            <w:u w:val="none"/>
          </w:rPr>
          <w:t>23</w:t>
        </w:r>
      </w:hyperlink>
    </w:p>
    <w:p w14:paraId="5D2B95BF" w14:textId="77777777" w:rsidR="001C16AE" w:rsidRPr="001C16AE" w:rsidRDefault="001C16AE" w:rsidP="001C16AE">
      <w:pPr>
        <w:spacing w:before="120" w:after="120" w:line="240" w:lineRule="exact"/>
        <w:ind w:left="283" w:hanging="283"/>
        <w:jc w:val="both"/>
        <w:rPr>
          <w:rFonts w:ascii="FrankRuehl" w:hAnsi="FrankRuehl" w:cs="FrankRuehl"/>
          <w:color w:val="0000FF"/>
          <w:rtl/>
        </w:rPr>
      </w:pPr>
      <w:hyperlink r:id="rId14" w:history="1">
        <w:r w:rsidRPr="001C16AE">
          <w:rPr>
            <w:rStyle w:val="Hyperlink"/>
            <w:rFonts w:ascii="FrankRuehl" w:hAnsi="FrankRuehl" w:cs="FrankRuehl"/>
            <w:u w:val="none"/>
            <w:rtl/>
          </w:rPr>
          <w:t>חוק העונשין, תשל"ז-1977</w:t>
        </w:r>
      </w:hyperlink>
      <w:r w:rsidRPr="001C16AE">
        <w:rPr>
          <w:rFonts w:ascii="FrankRuehl" w:hAnsi="FrankRuehl" w:cs="FrankRuehl"/>
          <w:color w:val="0000FF"/>
          <w:rtl/>
        </w:rPr>
        <w:t xml:space="preserve">: סע'  </w:t>
      </w:r>
      <w:hyperlink r:id="rId15" w:history="1">
        <w:r w:rsidRPr="001C16AE">
          <w:rPr>
            <w:rStyle w:val="Hyperlink"/>
            <w:rFonts w:ascii="FrankRuehl" w:hAnsi="FrankRuehl" w:cs="FrankRuehl"/>
            <w:u w:val="none"/>
          </w:rPr>
          <w:t>5</w:t>
        </w:r>
      </w:hyperlink>
    </w:p>
    <w:p w14:paraId="6C1CADC8" w14:textId="77777777" w:rsidR="001C16AE" w:rsidRPr="001C16AE" w:rsidRDefault="001C16AE" w:rsidP="001C16AE">
      <w:pPr>
        <w:spacing w:before="120" w:after="120" w:line="240" w:lineRule="exact"/>
        <w:ind w:left="283" w:hanging="283"/>
        <w:jc w:val="both"/>
        <w:rPr>
          <w:rFonts w:ascii="FrankRuehl" w:hAnsi="FrankRuehl" w:cs="FrankRuehl"/>
          <w:color w:val="0000FF"/>
          <w:rtl/>
        </w:rPr>
      </w:pPr>
      <w:hyperlink r:id="rId16" w:history="1">
        <w:r w:rsidRPr="001C16AE">
          <w:rPr>
            <w:rStyle w:val="Hyperlink"/>
            <w:rFonts w:ascii="FrankRuehl" w:hAnsi="FrankRuehl" w:cs="FrankRuehl"/>
            <w:u w:val="none"/>
            <w:rtl/>
          </w:rPr>
          <w:t>חוק סדר הדין הפלילי [נוסח משולב], תשמ"ב-1982</w:t>
        </w:r>
      </w:hyperlink>
      <w:r w:rsidRPr="001C16AE">
        <w:rPr>
          <w:rFonts w:ascii="FrankRuehl" w:hAnsi="FrankRuehl" w:cs="FrankRuehl"/>
          <w:color w:val="0000FF"/>
          <w:rtl/>
        </w:rPr>
        <w:t xml:space="preserve">: סע'  </w:t>
      </w:r>
      <w:hyperlink r:id="rId17" w:history="1">
        <w:r w:rsidRPr="001C16AE">
          <w:rPr>
            <w:rStyle w:val="Hyperlink"/>
            <w:rFonts w:ascii="FrankRuehl" w:hAnsi="FrankRuehl" w:cs="FrankRuehl"/>
            <w:u w:val="none"/>
          </w:rPr>
          <w:t>192</w:t>
        </w:r>
        <w:r w:rsidRPr="001C16AE">
          <w:rPr>
            <w:rStyle w:val="Hyperlink"/>
            <w:rFonts w:ascii="FrankRuehl" w:hAnsi="FrankRuehl" w:cs="FrankRuehl"/>
            <w:u w:val="none"/>
            <w:rtl/>
          </w:rPr>
          <w:t>א</w:t>
        </w:r>
      </w:hyperlink>
    </w:p>
    <w:p w14:paraId="2343BE74" w14:textId="77777777" w:rsidR="00F63ECE" w:rsidRDefault="00F63ECE" w:rsidP="001C16AE">
      <w:pPr>
        <w:rPr>
          <w:rFonts w:hint="cs"/>
          <w:sz w:val="26"/>
          <w:szCs w:val="26"/>
          <w:rtl/>
        </w:rPr>
      </w:pPr>
      <w:bookmarkStart w:id="4" w:name="LawTable_End"/>
      <w:bookmarkEnd w:id="4"/>
    </w:p>
    <w:p w14:paraId="78EE3816"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607C94">
        <w:rPr>
          <w:rFonts w:cs="FrankRuehl" w:hint="cs"/>
          <w:szCs w:val="26"/>
          <w:rtl/>
        </w:rPr>
        <w:t>מיני-רציו:</w:t>
      </w:r>
    </w:p>
    <w:p w14:paraId="65EA9CED"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sidRPr="00607C94">
        <w:rPr>
          <w:rFonts w:cs="FrankRuehl" w:hint="cs"/>
          <w:szCs w:val="26"/>
          <w:rtl/>
        </w:rPr>
        <w:t xml:space="preserve">* ביהמ"ש הורה </w:t>
      </w:r>
      <w:r w:rsidRPr="00607C94">
        <w:rPr>
          <w:rFonts w:cs="FrankRuehl"/>
          <w:szCs w:val="26"/>
          <w:rtl/>
        </w:rPr>
        <w:t xml:space="preserve">על ביטול הרשעת הנאשם. עבירת החזקת סם לצריכה עצמית, בעניינו של </w:t>
      </w:r>
      <w:r w:rsidRPr="00607C94">
        <w:rPr>
          <w:rFonts w:cs="FrankRuehl" w:hint="cs"/>
          <w:szCs w:val="26"/>
          <w:rtl/>
        </w:rPr>
        <w:t xml:space="preserve">נאשם </w:t>
      </w:r>
      <w:r w:rsidRPr="00607C94">
        <w:rPr>
          <w:rFonts w:cs="FrankRuehl"/>
          <w:szCs w:val="26"/>
          <w:rtl/>
        </w:rPr>
        <w:t xml:space="preserve">נעדר עבר פלילי, מצדיקה על פניה ביטול הרשעה גם מבלי לערוך איזון עם הנזק הצפוי לנאשם מההרשעה. זאת ועוד, בהתאם </w:t>
      </w:r>
      <w:hyperlink r:id="rId18" w:history="1">
        <w:r w:rsidRPr="00607C94">
          <w:rPr>
            <w:rStyle w:val="Hyperlink"/>
            <w:rFonts w:cs="FrankRuehl"/>
            <w:color w:val="auto"/>
            <w:szCs w:val="26"/>
            <w:u w:val="none"/>
            <w:rtl/>
          </w:rPr>
          <w:t>לסעיף 5</w:t>
        </w:r>
      </w:hyperlink>
      <w:r w:rsidRPr="00607C94">
        <w:rPr>
          <w:rFonts w:cs="FrankRuehl"/>
          <w:szCs w:val="26"/>
          <w:rtl/>
        </w:rPr>
        <w:t xml:space="preserve"> ל</w:t>
      </w:r>
      <w:hyperlink r:id="rId19" w:history="1">
        <w:r w:rsidRPr="00607C94">
          <w:rPr>
            <w:rFonts w:cs="FrankRuehl"/>
            <w:szCs w:val="26"/>
            <w:rtl/>
          </w:rPr>
          <w:t>חוק העונשין</w:t>
        </w:r>
      </w:hyperlink>
      <w:r w:rsidRPr="00607C94">
        <w:rPr>
          <w:rFonts w:cs="FrankRuehl"/>
          <w:szCs w:val="26"/>
          <w:rtl/>
        </w:rPr>
        <w:t>, אם שונתה עבירה וטרם ניתן פסק דין חלוט יחול על העניין החיקוק המקל עם העושה. הדין המקל כיום הינו קנס מ</w:t>
      </w:r>
      <w:r w:rsidRPr="00607C94">
        <w:rPr>
          <w:rFonts w:cs="FrankRuehl" w:hint="cs"/>
          <w:szCs w:val="26"/>
          <w:rtl/>
        </w:rPr>
        <w:t>י</w:t>
      </w:r>
      <w:r w:rsidRPr="00607C94">
        <w:rPr>
          <w:rFonts w:cs="FrankRuehl"/>
          <w:szCs w:val="26"/>
          <w:rtl/>
        </w:rPr>
        <w:t>נהלי ללא הרשעה בפלילים.</w:t>
      </w:r>
    </w:p>
    <w:p w14:paraId="74931087"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sidRPr="00607C94">
        <w:rPr>
          <w:rFonts w:cs="FrankRuehl" w:hint="cs"/>
          <w:szCs w:val="26"/>
          <w:rtl/>
        </w:rPr>
        <w:t xml:space="preserve">* </w:t>
      </w:r>
      <w:r w:rsidRPr="00607C94">
        <w:rPr>
          <w:rFonts w:cs="FrankRuehl"/>
          <w:szCs w:val="26"/>
          <w:rtl/>
        </w:rPr>
        <w:t>עונשין – ענישה – הימנעות מהרשעה</w:t>
      </w:r>
    </w:p>
    <w:p w14:paraId="48EE027A"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sidRPr="00607C94">
        <w:rPr>
          <w:rFonts w:cs="FrankRuehl" w:hint="cs"/>
          <w:szCs w:val="26"/>
          <w:rtl/>
        </w:rPr>
        <w:t xml:space="preserve">* </w:t>
      </w:r>
      <w:r w:rsidRPr="00607C94">
        <w:rPr>
          <w:rFonts w:cs="FrankRuehl"/>
          <w:szCs w:val="26"/>
          <w:rtl/>
        </w:rPr>
        <w:t>עונשין – ענישה – מדיניות ענישה: עבירות סמים</w:t>
      </w:r>
    </w:p>
    <w:p w14:paraId="6DE1F0D6"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FE13EE0"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Pr>
      </w:pPr>
      <w:r w:rsidRPr="00607C94">
        <w:rPr>
          <w:rFonts w:cs="FrankRuehl"/>
          <w:szCs w:val="26"/>
          <w:rtl/>
        </w:rPr>
        <w:t>הנאשם הורשע</w:t>
      </w:r>
      <w:r w:rsidRPr="00607C94">
        <w:rPr>
          <w:rFonts w:cs="FrankRuehl" w:hint="cs"/>
          <w:szCs w:val="26"/>
          <w:rtl/>
        </w:rPr>
        <w:t>,</w:t>
      </w:r>
      <w:r w:rsidRPr="00607C94">
        <w:rPr>
          <w:rFonts w:cs="FrankRuehl"/>
          <w:szCs w:val="26"/>
          <w:rtl/>
        </w:rPr>
        <w:t xml:space="preserve"> במסגרת הסדר </w:t>
      </w:r>
      <w:r w:rsidRPr="00607C94">
        <w:rPr>
          <w:rFonts w:cs="FrankRuehl" w:hint="cs"/>
          <w:szCs w:val="26"/>
          <w:rtl/>
        </w:rPr>
        <w:t xml:space="preserve">טיעון, </w:t>
      </w:r>
      <w:r w:rsidRPr="00607C94">
        <w:rPr>
          <w:rFonts w:cs="FrankRuehl"/>
          <w:szCs w:val="26"/>
          <w:rtl/>
        </w:rPr>
        <w:t>בעבירת החזקת סם מסוכן לצריכה עצמית</w:t>
      </w:r>
      <w:r w:rsidRPr="00607C94">
        <w:rPr>
          <w:rFonts w:cs="FrankRuehl" w:hint="cs"/>
          <w:szCs w:val="26"/>
          <w:rtl/>
        </w:rPr>
        <w:t xml:space="preserve">, </w:t>
      </w:r>
      <w:r w:rsidRPr="00607C94">
        <w:rPr>
          <w:rFonts w:cs="FrankRuehl"/>
          <w:szCs w:val="26"/>
          <w:rtl/>
        </w:rPr>
        <w:t xml:space="preserve">לפי סעיף </w:t>
      </w:r>
      <w:hyperlink r:id="rId20" w:history="1">
        <w:r w:rsidRPr="00607C94">
          <w:rPr>
            <w:rStyle w:val="Hyperlink"/>
            <w:rFonts w:cs="FrankRuehl"/>
            <w:color w:val="auto"/>
            <w:szCs w:val="26"/>
            <w:u w:val="none"/>
            <w:rtl/>
          </w:rPr>
          <w:t>7(א)</w:t>
        </w:r>
      </w:hyperlink>
      <w:r w:rsidRPr="00607C94">
        <w:rPr>
          <w:rFonts w:cs="FrankRuehl"/>
          <w:szCs w:val="26"/>
          <w:rtl/>
        </w:rPr>
        <w:t xml:space="preserve"> יחד עם סעיף </w:t>
      </w:r>
      <w:hyperlink r:id="rId21" w:history="1">
        <w:r w:rsidRPr="00607C94">
          <w:rPr>
            <w:rStyle w:val="Hyperlink"/>
            <w:rFonts w:cs="FrankRuehl"/>
            <w:color w:val="auto"/>
            <w:szCs w:val="26"/>
            <w:u w:val="none"/>
            <w:rtl/>
          </w:rPr>
          <w:t xml:space="preserve">7(ג) </w:t>
        </w:r>
      </w:hyperlink>
      <w:r w:rsidRPr="00607C94">
        <w:rPr>
          <w:rFonts w:cs="FrankRuehl"/>
          <w:szCs w:val="26"/>
          <w:rtl/>
        </w:rPr>
        <w:t>סיפא ל</w:t>
      </w:r>
      <w:hyperlink r:id="rId22" w:history="1">
        <w:r w:rsidRPr="00607C94">
          <w:rPr>
            <w:rFonts w:cs="FrankRuehl"/>
            <w:szCs w:val="26"/>
            <w:rtl/>
          </w:rPr>
          <w:t>פקודת הסמים המסוכנים</w:t>
        </w:r>
      </w:hyperlink>
      <w:r w:rsidRPr="00607C94">
        <w:rPr>
          <w:rFonts w:cs="FrankRuehl"/>
          <w:szCs w:val="26"/>
          <w:rtl/>
        </w:rPr>
        <w:t>. מכתב האישום המתוקן עולה כי החזיק בביתו 2 שתילי קנאביס לצריכתו העצמית. במועד האמור אף החזיק הנאשם כלים המשמשים להכנת סם, אך המאשימה מחקה את עבירת החזקת כלי הסם מכתב האישום.</w:t>
      </w:r>
    </w:p>
    <w:p w14:paraId="4F35D80A"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FADC81B"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sidRPr="00607C94">
        <w:rPr>
          <w:rFonts w:cs="FrankRuehl" w:hint="cs"/>
          <w:szCs w:val="26"/>
          <w:rtl/>
        </w:rPr>
        <w:t>בית המשפט פסק כלהלן:</w:t>
      </w:r>
    </w:p>
    <w:p w14:paraId="28E290CC" w14:textId="77777777" w:rsidR="00C45BF3" w:rsidRPr="00607C94" w:rsidRDefault="00C45BF3" w:rsidP="00C45BF3">
      <w:pPr>
        <w:pBdr>
          <w:top w:val="single" w:sz="4" w:space="1" w:color="auto"/>
          <w:bottom w:val="single" w:sz="4" w:space="1" w:color="auto"/>
        </w:pBdr>
        <w:spacing w:after="120" w:line="320" w:lineRule="exact"/>
        <w:jc w:val="both"/>
        <w:rPr>
          <w:rFonts w:cs="FrankRuehl"/>
          <w:szCs w:val="26"/>
          <w:rtl/>
        </w:rPr>
      </w:pPr>
      <w:r w:rsidRPr="00607C94">
        <w:rPr>
          <w:rFonts w:cs="FrankRuehl"/>
          <w:szCs w:val="26"/>
          <w:rtl/>
        </w:rPr>
        <w:lastRenderedPageBreak/>
        <w:t>משקבע המחוקק כי מדובר בעבירה מ</w:t>
      </w:r>
      <w:r w:rsidRPr="00607C94">
        <w:rPr>
          <w:rFonts w:cs="FrankRuehl" w:hint="cs"/>
          <w:szCs w:val="26"/>
          <w:rtl/>
        </w:rPr>
        <w:t>י</w:t>
      </w:r>
      <w:r w:rsidRPr="00607C94">
        <w:rPr>
          <w:rFonts w:cs="FrankRuehl"/>
          <w:szCs w:val="26"/>
          <w:rtl/>
        </w:rPr>
        <w:t xml:space="preserve">נהלית, לא מדובר עוד בעבירה שחומרתה כשלעצמה מצדיקה הרשעה. משאלו הם פני הדברים, הרי שמכאן ואילך עבירת החזקת סם לצריכה עצמית, בעניינו של </w:t>
      </w:r>
      <w:r w:rsidRPr="00607C94">
        <w:rPr>
          <w:rFonts w:cs="FrankRuehl" w:hint="cs"/>
          <w:szCs w:val="26"/>
          <w:rtl/>
        </w:rPr>
        <w:t xml:space="preserve">נאשם </w:t>
      </w:r>
      <w:r w:rsidRPr="00607C94">
        <w:rPr>
          <w:rFonts w:cs="FrankRuehl"/>
          <w:szCs w:val="26"/>
          <w:rtl/>
        </w:rPr>
        <w:t>נעדר עבר פלילי, מצדיקה על פניה ביטול הרשעה גם מבלי לערוך איזון עם הנזק הצפוי לנאשם מההרשעה. המחוקק אמר את דברו.</w:t>
      </w:r>
    </w:p>
    <w:p w14:paraId="16D9A58C"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sidRPr="00607C94">
        <w:rPr>
          <w:rFonts w:cs="FrankRuehl"/>
          <w:szCs w:val="26"/>
          <w:rtl/>
        </w:rPr>
        <w:t xml:space="preserve">זאת ועוד, בהתאם </w:t>
      </w:r>
      <w:hyperlink r:id="rId23" w:history="1">
        <w:r w:rsidRPr="00607C94">
          <w:rPr>
            <w:rStyle w:val="Hyperlink"/>
            <w:rFonts w:cs="FrankRuehl"/>
            <w:color w:val="auto"/>
            <w:szCs w:val="26"/>
            <w:u w:val="none"/>
            <w:rtl/>
          </w:rPr>
          <w:t>לסעיף 5</w:t>
        </w:r>
      </w:hyperlink>
      <w:r w:rsidRPr="00607C94">
        <w:rPr>
          <w:rFonts w:cs="FrankRuehl"/>
          <w:szCs w:val="26"/>
          <w:rtl/>
        </w:rPr>
        <w:t xml:space="preserve"> ל</w:t>
      </w:r>
      <w:hyperlink r:id="rId24" w:history="1">
        <w:r w:rsidRPr="00607C94">
          <w:rPr>
            <w:rFonts w:cs="FrankRuehl"/>
            <w:szCs w:val="26"/>
            <w:rtl/>
          </w:rPr>
          <w:t>חוק העונשין</w:t>
        </w:r>
      </w:hyperlink>
      <w:r w:rsidRPr="00607C94">
        <w:rPr>
          <w:rFonts w:cs="FrankRuehl"/>
          <w:szCs w:val="26"/>
          <w:rtl/>
        </w:rPr>
        <w:t>, אם שונתה עבירה וטרם ניתן פסק דין חלוט יחול על העניין החיקוק המקל עם העושה. הדין המקל כיום הינו קנס מ</w:t>
      </w:r>
      <w:r w:rsidRPr="00607C94">
        <w:rPr>
          <w:rFonts w:cs="FrankRuehl" w:hint="cs"/>
          <w:szCs w:val="26"/>
          <w:rtl/>
        </w:rPr>
        <w:t>י</w:t>
      </w:r>
      <w:r w:rsidRPr="00607C94">
        <w:rPr>
          <w:rFonts w:cs="FrankRuehl"/>
          <w:szCs w:val="26"/>
          <w:rtl/>
        </w:rPr>
        <w:t>נהלי ללא הרשעה בפלילים. לפיכך, נראה כי הקו המנחה הוא שבעבירות החזקת סם קנאביס לצריכה עצמית, מצופה מהתביעה, לכל הפחות בנסיבות בהן מדובר במי שהינו נעדר עבר פלילי, ונעדר סנקציות מ</w:t>
      </w:r>
      <w:r w:rsidRPr="00607C94">
        <w:rPr>
          <w:rFonts w:cs="FrankRuehl" w:hint="cs"/>
          <w:szCs w:val="26"/>
          <w:rtl/>
        </w:rPr>
        <w:t>י</w:t>
      </w:r>
      <w:r w:rsidRPr="00607C94">
        <w:rPr>
          <w:rFonts w:cs="FrankRuehl"/>
          <w:szCs w:val="26"/>
          <w:rtl/>
        </w:rPr>
        <w:t>נהליות קודמות, להסכים כי הנאשם לא יורשע.</w:t>
      </w:r>
    </w:p>
    <w:p w14:paraId="36B0B19E"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sidRPr="00607C94">
        <w:rPr>
          <w:rFonts w:cs="FrankRuehl"/>
          <w:szCs w:val="26"/>
          <w:rtl/>
        </w:rPr>
        <w:t>אם בכך לא די, הרי שלאחרונה מחלקת חנינות של משרד המשפטים יצאה בקריאה נרגשת לציבור שכותרתה: "קריאה מיוחדת להגשת בקשות למחיקת רישום פלילי בגין החזקה או שימוש בקנאביס לצריכה עצמית בלבד". לא ברור מדוע מבקשת המדינה בידה האחת להרשיע נאשם נעדר עבר פלילי, בעבירה של החזקת סם לצריכה עצמית, ואילו בידה השנייה, מזמינה את מי שכבר הורשע בעבירה של החזקת סם לצריכה עצמית להגיש בקשת חנינה.</w:t>
      </w:r>
    </w:p>
    <w:p w14:paraId="339AD85C" w14:textId="77777777" w:rsidR="00C45BF3" w:rsidRPr="00607C94" w:rsidRDefault="00C45BF3" w:rsidP="00C45BF3">
      <w:pPr>
        <w:pBdr>
          <w:top w:val="single" w:sz="4" w:space="1" w:color="auto"/>
          <w:bottom w:val="single" w:sz="4" w:space="1" w:color="auto"/>
        </w:pBdr>
        <w:spacing w:after="120" w:line="320" w:lineRule="exact"/>
        <w:jc w:val="both"/>
        <w:rPr>
          <w:rFonts w:cs="FrankRuehl" w:hint="cs"/>
          <w:szCs w:val="26"/>
          <w:rtl/>
        </w:rPr>
      </w:pPr>
      <w:r w:rsidRPr="00607C94">
        <w:rPr>
          <w:rFonts w:cs="FrankRuehl"/>
          <w:szCs w:val="26"/>
          <w:rtl/>
        </w:rPr>
        <w:t xml:space="preserve">עוד יצוין כי </w:t>
      </w:r>
      <w:hyperlink r:id="rId25" w:history="1">
        <w:r w:rsidRPr="00607C94">
          <w:rPr>
            <w:rStyle w:val="Hyperlink"/>
            <w:rFonts w:cs="FrankRuehl"/>
            <w:color w:val="auto"/>
            <w:szCs w:val="26"/>
            <w:u w:val="none"/>
            <w:rtl/>
          </w:rPr>
          <w:t>סעיף 23</w:t>
        </w:r>
      </w:hyperlink>
      <w:r w:rsidRPr="00607C94">
        <w:rPr>
          <w:rFonts w:cs="FrankRuehl"/>
          <w:szCs w:val="26"/>
          <w:rtl/>
        </w:rPr>
        <w:t xml:space="preserve"> ל</w:t>
      </w:r>
      <w:hyperlink r:id="rId26" w:history="1">
        <w:r w:rsidRPr="00607C94">
          <w:rPr>
            <w:rFonts w:cs="FrankRuehl"/>
            <w:szCs w:val="26"/>
            <w:rtl/>
          </w:rPr>
          <w:t>חוק העבירות המ</w:t>
        </w:r>
        <w:r w:rsidRPr="00607C94">
          <w:rPr>
            <w:rFonts w:cs="FrankRuehl" w:hint="cs"/>
            <w:szCs w:val="26"/>
            <w:rtl/>
          </w:rPr>
          <w:t>י</w:t>
        </w:r>
        <w:r w:rsidRPr="00607C94">
          <w:rPr>
            <w:rFonts w:cs="FrankRuehl"/>
            <w:szCs w:val="26"/>
            <w:rtl/>
          </w:rPr>
          <w:t>נהליות</w:t>
        </w:r>
      </w:hyperlink>
      <w:r w:rsidRPr="00607C94">
        <w:rPr>
          <w:rFonts w:cs="FrankRuehl"/>
          <w:szCs w:val="26"/>
          <w:rtl/>
        </w:rPr>
        <w:t xml:space="preserve"> קובע כי:</w:t>
      </w:r>
      <w:r w:rsidRPr="00607C94">
        <w:rPr>
          <w:rFonts w:cs="FrankRuehl"/>
          <w:szCs w:val="26"/>
        </w:rPr>
        <w:t xml:space="preserve"> </w:t>
      </w:r>
      <w:r w:rsidRPr="00607C94">
        <w:rPr>
          <w:rFonts w:cs="FrankRuehl"/>
          <w:szCs w:val="26"/>
          <w:rtl/>
        </w:rPr>
        <w:t xml:space="preserve">"שילם אדם קנס מינהלי שהוטל עליו – כופרה העבירה". דהיינו, </w:t>
      </w:r>
      <w:hyperlink r:id="rId27" w:history="1">
        <w:r w:rsidRPr="00607C94">
          <w:rPr>
            <w:rFonts w:cs="FrankRuehl"/>
            <w:szCs w:val="26"/>
            <w:rtl/>
          </w:rPr>
          <w:t>חוק העבירות המ</w:t>
        </w:r>
        <w:r w:rsidRPr="00607C94">
          <w:rPr>
            <w:rFonts w:cs="FrankRuehl" w:hint="cs"/>
            <w:szCs w:val="26"/>
            <w:rtl/>
          </w:rPr>
          <w:t>י</w:t>
        </w:r>
        <w:r w:rsidRPr="00607C94">
          <w:rPr>
            <w:rFonts w:cs="FrankRuehl"/>
            <w:szCs w:val="26"/>
            <w:rtl/>
          </w:rPr>
          <w:t>נהליות</w:t>
        </w:r>
      </w:hyperlink>
      <w:r w:rsidRPr="00607C94">
        <w:rPr>
          <w:rFonts w:cs="FrankRuehl"/>
          <w:szCs w:val="26"/>
          <w:rtl/>
        </w:rPr>
        <w:t xml:space="preserve"> מאפשר לאדם לכפר על מעשיו על ידי שילום הקנס ובכך להימנע מהכתמה בפלילים. בענייננו הרים הנאשם תרומה בסך 500 ₪ לעמותת "אל סם", ונראה כי די בכך כדי לכפר על המעשה, שאינו מצדיק עוד לשיטת המחוקק הכתמה בפלילים. אף בטעם זה יש כדי לחזק את המסקנה כי יש לבטל את הרשעתו של הנאשם. אשר על כן</w:t>
      </w:r>
      <w:r w:rsidRPr="00607C94">
        <w:rPr>
          <w:rFonts w:cs="FrankRuehl" w:hint="cs"/>
          <w:szCs w:val="26"/>
          <w:rtl/>
        </w:rPr>
        <w:t xml:space="preserve">, יש להורות </w:t>
      </w:r>
      <w:r w:rsidRPr="00607C94">
        <w:rPr>
          <w:rFonts w:cs="FrankRuehl"/>
          <w:szCs w:val="26"/>
          <w:rtl/>
        </w:rPr>
        <w:t>על ביטול הרשעת הנאשם.</w:t>
      </w:r>
    </w:p>
    <w:p w14:paraId="566B12B8" w14:textId="77777777" w:rsidR="00C45BF3" w:rsidRPr="001C16AE" w:rsidRDefault="00C45BF3" w:rsidP="001C16AE">
      <w:pPr>
        <w:rPr>
          <w:rFonts w:hint="cs"/>
          <w:sz w:val="26"/>
          <w:szCs w:val="26"/>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63ECE" w14:paraId="57CE64CB" w14:textId="77777777" w:rsidTr="00F63ECE">
        <w:trPr>
          <w:trHeight w:val="355"/>
          <w:jc w:val="center"/>
        </w:trPr>
        <w:tc>
          <w:tcPr>
            <w:tcW w:w="8820" w:type="dxa"/>
            <w:tcBorders>
              <w:top w:val="nil"/>
              <w:left w:val="nil"/>
              <w:bottom w:val="nil"/>
              <w:right w:val="nil"/>
            </w:tcBorders>
            <w:shd w:val="clear" w:color="auto" w:fill="auto"/>
          </w:tcPr>
          <w:p w14:paraId="64B9F9C1" w14:textId="77777777" w:rsidR="00D169E2" w:rsidRPr="00D169E2" w:rsidRDefault="00D169E2" w:rsidP="00D169E2">
            <w:pPr>
              <w:jc w:val="center"/>
              <w:rPr>
                <w:rFonts w:ascii="David" w:hAnsi="David"/>
                <w:b/>
                <w:bCs/>
                <w:sz w:val="32"/>
                <w:szCs w:val="32"/>
                <w:u w:val="single"/>
                <w:rtl/>
              </w:rPr>
            </w:pPr>
            <w:bookmarkStart w:id="7" w:name="PsakDin" w:colFirst="0" w:colLast="0"/>
            <w:bookmarkEnd w:id="0"/>
            <w:r w:rsidRPr="00D169E2">
              <w:rPr>
                <w:rFonts w:ascii="David" w:hAnsi="David"/>
                <w:b/>
                <w:bCs/>
                <w:sz w:val="32"/>
                <w:szCs w:val="32"/>
                <w:u w:val="single"/>
                <w:rtl/>
              </w:rPr>
              <w:t>גזר דין</w:t>
            </w:r>
          </w:p>
          <w:p w14:paraId="4DAF43F1" w14:textId="77777777" w:rsidR="00F63ECE" w:rsidRPr="00D169E2" w:rsidRDefault="00F63ECE" w:rsidP="00D169E2">
            <w:pPr>
              <w:jc w:val="center"/>
              <w:rPr>
                <w:rFonts w:ascii="David" w:hAnsi="David"/>
                <w:bCs/>
                <w:sz w:val="32"/>
                <w:szCs w:val="32"/>
                <w:u w:val="single"/>
                <w:rtl/>
              </w:rPr>
            </w:pPr>
          </w:p>
        </w:tc>
      </w:tr>
      <w:bookmarkEnd w:id="7"/>
    </w:tbl>
    <w:p w14:paraId="23FD9D55" w14:textId="77777777" w:rsidR="00F63ECE" w:rsidRPr="000F2247" w:rsidRDefault="00F63ECE" w:rsidP="00F63ECE">
      <w:pPr>
        <w:rPr>
          <w:rFonts w:ascii="Arial" w:hAnsi="Arial"/>
          <w:b/>
          <w:bCs/>
          <w:sz w:val="26"/>
          <w:szCs w:val="26"/>
          <w:rtl/>
        </w:rPr>
      </w:pPr>
    </w:p>
    <w:p w14:paraId="53899AB2" w14:textId="77777777" w:rsidR="00F63ECE" w:rsidRDefault="00F63ECE" w:rsidP="00F63ECE">
      <w:pPr>
        <w:widowControl w:val="0"/>
        <w:spacing w:before="240" w:line="360" w:lineRule="auto"/>
        <w:jc w:val="both"/>
        <w:rPr>
          <w:rFonts w:ascii="David" w:hAnsi="David"/>
          <w:b/>
          <w:bCs/>
          <w:sz w:val="28"/>
          <w:szCs w:val="28"/>
          <w:u w:val="single"/>
        </w:rPr>
      </w:pPr>
      <w:r>
        <w:rPr>
          <w:rFonts w:ascii="David" w:hAnsi="David"/>
          <w:b/>
          <w:bCs/>
          <w:sz w:val="28"/>
          <w:szCs w:val="28"/>
          <w:u w:val="single"/>
          <w:rtl/>
        </w:rPr>
        <w:t xml:space="preserve">רקע עובדתי </w:t>
      </w:r>
    </w:p>
    <w:p w14:paraId="6100902E" w14:textId="77777777" w:rsidR="00F63ECE" w:rsidRDefault="00F63ECE" w:rsidP="00F63ECE">
      <w:pPr>
        <w:pStyle w:val="ListParagraph"/>
        <w:numPr>
          <w:ilvl w:val="0"/>
          <w:numId w:val="1"/>
        </w:numPr>
        <w:spacing w:line="360" w:lineRule="auto"/>
        <w:ind w:left="360"/>
        <w:jc w:val="both"/>
        <w:rPr>
          <w:rFonts w:ascii="David" w:hAnsi="David" w:cs="David"/>
          <w:sz w:val="24"/>
          <w:szCs w:val="24"/>
        </w:rPr>
      </w:pPr>
      <w:r>
        <w:rPr>
          <w:rFonts w:ascii="David" w:hAnsi="David" w:cs="David"/>
          <w:sz w:val="24"/>
          <w:szCs w:val="24"/>
          <w:rtl/>
        </w:rPr>
        <w:t>הנאשם הודה והורשע במסגרת הסדר בעבירת</w:t>
      </w:r>
      <w:r>
        <w:rPr>
          <w:rFonts w:ascii="David" w:hAnsi="David" w:cs="David"/>
          <w:b/>
          <w:bCs/>
          <w:sz w:val="24"/>
          <w:szCs w:val="24"/>
          <w:rtl/>
        </w:rPr>
        <w:t xml:space="preserve"> החזקת סם מסוכן לצריכה עצמית</w:t>
      </w:r>
      <w:r>
        <w:rPr>
          <w:rFonts w:ascii="David" w:hAnsi="David" w:cs="David"/>
          <w:sz w:val="24"/>
          <w:szCs w:val="24"/>
          <w:rtl/>
        </w:rPr>
        <w:t xml:space="preserve"> -  עבירה לפי סעיף </w:t>
      </w:r>
      <w:hyperlink r:id="rId28" w:history="1">
        <w:r w:rsidR="00625F70" w:rsidRPr="00625F70">
          <w:rPr>
            <w:rStyle w:val="Hyperlink"/>
            <w:rFonts w:ascii="David" w:hAnsi="David" w:cs="David"/>
            <w:sz w:val="24"/>
            <w:szCs w:val="24"/>
            <w:rtl/>
          </w:rPr>
          <w:t>7 (א)</w:t>
        </w:r>
      </w:hyperlink>
      <w:r>
        <w:rPr>
          <w:rFonts w:ascii="David" w:hAnsi="David" w:cs="David"/>
          <w:sz w:val="24"/>
          <w:szCs w:val="24"/>
          <w:rtl/>
        </w:rPr>
        <w:t xml:space="preserve"> יחד עם סעיף </w:t>
      </w:r>
      <w:hyperlink r:id="rId29" w:history="1">
        <w:r w:rsidR="00625F70" w:rsidRPr="00625F70">
          <w:rPr>
            <w:rStyle w:val="Hyperlink"/>
            <w:rFonts w:ascii="David" w:hAnsi="David" w:cs="David"/>
            <w:sz w:val="24"/>
            <w:szCs w:val="24"/>
            <w:rtl/>
          </w:rPr>
          <w:t xml:space="preserve">7 (ג) </w:t>
        </w:r>
      </w:hyperlink>
      <w:r>
        <w:rPr>
          <w:rFonts w:ascii="David" w:hAnsi="David" w:cs="David"/>
          <w:sz w:val="24"/>
          <w:szCs w:val="24"/>
          <w:rtl/>
        </w:rPr>
        <w:t xml:space="preserve">  סיפא ל</w:t>
      </w:r>
      <w:hyperlink r:id="rId30" w:history="1">
        <w:r w:rsidR="00D169E2" w:rsidRPr="00D169E2">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מכתב האישום המתוקן עולה כי ביום 17.1.20 החזיק בביתו 2 שתילי קנאביס לצריכתו העצמית. במועד האמור אף החזיק הנאשם כלים המשמשים להכנת סם, אך המאשימה מחקה את עבירת החזקת כלי הסם מכתב האישום.   </w:t>
      </w:r>
    </w:p>
    <w:p w14:paraId="6DA815AA" w14:textId="77777777" w:rsidR="00F63ECE" w:rsidRDefault="00F63ECE" w:rsidP="00F63ECE">
      <w:pPr>
        <w:pStyle w:val="ListParagraph"/>
        <w:spacing w:line="360" w:lineRule="auto"/>
        <w:ind w:left="1080"/>
        <w:jc w:val="both"/>
        <w:rPr>
          <w:rFonts w:ascii="David" w:hAnsi="David" w:cs="David"/>
          <w:sz w:val="24"/>
          <w:szCs w:val="24"/>
        </w:rPr>
      </w:pPr>
    </w:p>
    <w:p w14:paraId="64541C9B" w14:textId="77777777" w:rsidR="00F63ECE" w:rsidRDefault="00F63ECE" w:rsidP="00F63ECE">
      <w:pPr>
        <w:spacing w:line="360" w:lineRule="auto"/>
        <w:rPr>
          <w:rFonts w:ascii="David" w:hAnsi="David"/>
          <w:sz w:val="28"/>
          <w:szCs w:val="28"/>
        </w:rPr>
      </w:pPr>
      <w:r>
        <w:rPr>
          <w:rFonts w:ascii="David" w:hAnsi="David"/>
          <w:b/>
          <w:bCs/>
          <w:sz w:val="28"/>
          <w:szCs w:val="28"/>
          <w:u w:val="single"/>
          <w:rtl/>
        </w:rPr>
        <w:t xml:space="preserve">תסקירי שירות המבחן  </w:t>
      </w:r>
    </w:p>
    <w:p w14:paraId="09DA5E46" w14:textId="77777777" w:rsidR="00F63ECE" w:rsidRDefault="00F63ECE" w:rsidP="00F63ECE">
      <w:pPr>
        <w:pStyle w:val="ListParagraph"/>
        <w:spacing w:line="360" w:lineRule="auto"/>
        <w:rPr>
          <w:rFonts w:ascii="David" w:hAnsi="David" w:cs="David"/>
          <w:b/>
          <w:bCs/>
          <w:sz w:val="24"/>
          <w:szCs w:val="24"/>
          <w:u w:val="single"/>
          <w:rtl/>
        </w:rPr>
      </w:pPr>
    </w:p>
    <w:p w14:paraId="195F4F7D"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בעניינו של הנאשם התקבלו  שני תסקירים, האחרון שבהם מיום 15.9.22. </w:t>
      </w:r>
    </w:p>
    <w:p w14:paraId="787940C1" w14:textId="77777777" w:rsidR="00F63ECE" w:rsidRDefault="00F63ECE" w:rsidP="00F63ECE">
      <w:pPr>
        <w:pStyle w:val="ListParagraph"/>
        <w:spacing w:line="360" w:lineRule="auto"/>
        <w:ind w:left="360"/>
        <w:jc w:val="both"/>
        <w:rPr>
          <w:rFonts w:ascii="David" w:hAnsi="David" w:cs="David"/>
          <w:sz w:val="24"/>
          <w:szCs w:val="24"/>
        </w:rPr>
      </w:pPr>
    </w:p>
    <w:p w14:paraId="5EB61DDA" w14:textId="77777777" w:rsidR="00F63ECE" w:rsidRDefault="00F63ECE" w:rsidP="00F63ECE">
      <w:pPr>
        <w:pStyle w:val="ListParagraph"/>
        <w:numPr>
          <w:ilvl w:val="0"/>
          <w:numId w:val="1"/>
        </w:numPr>
        <w:spacing w:line="360" w:lineRule="auto"/>
        <w:ind w:left="360"/>
        <w:jc w:val="both"/>
        <w:rPr>
          <w:rFonts w:ascii="David" w:hAnsi="David" w:cs="David"/>
          <w:b/>
          <w:bCs/>
          <w:sz w:val="24"/>
          <w:szCs w:val="24"/>
        </w:rPr>
      </w:pPr>
      <w:r>
        <w:rPr>
          <w:rFonts w:ascii="David" w:hAnsi="David" w:cs="David"/>
          <w:sz w:val="24"/>
          <w:szCs w:val="24"/>
          <w:rtl/>
        </w:rPr>
        <w:lastRenderedPageBreak/>
        <w:t xml:space="preserve">מתסקיר שירות המבחן עולה כי המשיב מגלה יציבות תעסוקתית, וניהל עד כה חיים נורמטיביים, הסדיר חוקית את השימוש בקנאביס, לקח אחריות על מעשיו, הורתע מההליך הפלילי, והמשפט הפלילי הציב לו גבולות. לאחר שנעדר ממספר בדיקות שתן, הגיע לחמש בדיקות שתן רצופות שהיו ללא שרידי סמי רחוב. </w:t>
      </w:r>
      <w:r>
        <w:rPr>
          <w:rFonts w:ascii="David" w:hAnsi="David" w:cs="David"/>
          <w:b/>
          <w:bCs/>
          <w:sz w:val="24"/>
          <w:szCs w:val="24"/>
        </w:rPr>
        <w:t xml:space="preserve"> </w:t>
      </w:r>
      <w:r>
        <w:rPr>
          <w:rFonts w:ascii="David" w:hAnsi="David" w:cs="David"/>
          <w:sz w:val="24"/>
          <w:szCs w:val="24"/>
          <w:rtl/>
        </w:rPr>
        <w:t>א הציג מסמכים המלמדים על כך שייפגע כתוצאה מהרשעתו ולפיכך שירות המבחן לא המליץ על ביטול הרשעתו.</w:t>
      </w:r>
      <w:r>
        <w:rPr>
          <w:rFonts w:ascii="David" w:hAnsi="David" w:cs="David"/>
          <w:b/>
          <w:bCs/>
          <w:sz w:val="24"/>
          <w:szCs w:val="24"/>
          <w:rtl/>
        </w:rPr>
        <w:t xml:space="preserve"> </w:t>
      </w:r>
    </w:p>
    <w:p w14:paraId="0BA42A36" w14:textId="77777777" w:rsidR="00F63ECE" w:rsidRDefault="00F63ECE" w:rsidP="00F63ECE">
      <w:pPr>
        <w:pStyle w:val="ListParagraph"/>
        <w:rPr>
          <w:rFonts w:ascii="David" w:hAnsi="David" w:cs="David"/>
          <w:b/>
          <w:bCs/>
          <w:sz w:val="24"/>
          <w:szCs w:val="24"/>
        </w:rPr>
      </w:pPr>
    </w:p>
    <w:p w14:paraId="33F41051" w14:textId="77777777" w:rsidR="00F63ECE" w:rsidRDefault="00F63ECE" w:rsidP="00F63ECE">
      <w:pPr>
        <w:spacing w:line="360" w:lineRule="auto"/>
        <w:jc w:val="both"/>
        <w:rPr>
          <w:rFonts w:ascii="David" w:hAnsi="David"/>
          <w:bCs/>
          <w:sz w:val="28"/>
          <w:szCs w:val="28"/>
          <w:u w:val="single"/>
          <w:rtl/>
        </w:rPr>
      </w:pPr>
      <w:r>
        <w:rPr>
          <w:rFonts w:ascii="David" w:hAnsi="David"/>
          <w:bCs/>
          <w:sz w:val="28"/>
          <w:szCs w:val="28"/>
          <w:u w:val="single"/>
          <w:rtl/>
        </w:rPr>
        <w:t>טיעוני הצדדים</w:t>
      </w:r>
    </w:p>
    <w:p w14:paraId="3522BDD5"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ב"כ המאשימה עמד על הפגיעה בערכים המוגנים . עתר למתחם ענישה שבין מאסר על תנאי ועד 6 חודשי מאסר שיכול וירוצו בעבודות שירות, מאסר על תנאי, קנס והתחייבות. הפנה לכך שבתסקיר אין המלצה לגבי אי הרשעה. </w:t>
      </w:r>
      <w:r>
        <w:rPr>
          <w:rFonts w:ascii="David" w:hAnsi="David" w:cs="David"/>
          <w:sz w:val="24"/>
          <w:szCs w:val="24"/>
        </w:rPr>
        <w:t xml:space="preserve"> </w:t>
      </w:r>
      <w:r>
        <w:rPr>
          <w:rFonts w:ascii="David" w:hAnsi="David" w:cs="David"/>
          <w:sz w:val="24"/>
          <w:szCs w:val="24"/>
          <w:rtl/>
        </w:rPr>
        <w:t>בנוגע להפיכת עבירת החזקת סם לצריכה עצמית לעבירה מנהלית טען כי משהחל משפטו של הנאשם אין להפסיק את ההליך הפלילי.</w:t>
      </w:r>
    </w:p>
    <w:p w14:paraId="10D95605" w14:textId="77777777" w:rsidR="00F63ECE" w:rsidRDefault="00F63ECE" w:rsidP="00F63ECE">
      <w:pPr>
        <w:pStyle w:val="ListParagraph"/>
        <w:spacing w:line="360" w:lineRule="auto"/>
        <w:ind w:left="360"/>
        <w:jc w:val="both"/>
        <w:rPr>
          <w:rFonts w:ascii="David" w:hAnsi="David" w:cs="David"/>
          <w:sz w:val="24"/>
          <w:szCs w:val="24"/>
        </w:rPr>
      </w:pPr>
    </w:p>
    <w:p w14:paraId="7CC5B5C9" w14:textId="77777777" w:rsidR="00F63ECE" w:rsidRDefault="00F63ECE" w:rsidP="00F63ECE">
      <w:pPr>
        <w:pStyle w:val="ListParagraph"/>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ב"כ הנאשם, עתר לאי הרשעת הנאשם, בשים לב לכך שמדובר בנאשם נעדר עבר פלילי אשר שיתף פעולה עם שירות המבחן, שהרשעתו עלולה לפגוע בפרנסתו ובשים לב לכך שכיום ממילא כל מורשע בעבירת החזקת סם לצריכה עצמית מוזמן להגיש בקשת חנינה. </w:t>
      </w:r>
    </w:p>
    <w:p w14:paraId="47DBD429" w14:textId="77777777" w:rsidR="00F63ECE" w:rsidRDefault="00F63ECE" w:rsidP="00F63ECE">
      <w:pPr>
        <w:pStyle w:val="ListParagraph"/>
        <w:spacing w:line="360" w:lineRule="auto"/>
        <w:rPr>
          <w:rFonts w:ascii="David" w:hAnsi="David" w:cs="David"/>
          <w:sz w:val="24"/>
          <w:szCs w:val="24"/>
        </w:rPr>
      </w:pPr>
    </w:p>
    <w:p w14:paraId="5766F159" w14:textId="77777777" w:rsidR="00F63ECE" w:rsidRDefault="00F63ECE" w:rsidP="00F63ECE">
      <w:pPr>
        <w:spacing w:line="360" w:lineRule="auto"/>
        <w:jc w:val="both"/>
        <w:rPr>
          <w:rFonts w:ascii="David" w:hAnsi="David"/>
          <w:bCs/>
          <w:sz w:val="30"/>
          <w:szCs w:val="30"/>
          <w:u w:val="single"/>
          <w:rtl/>
        </w:rPr>
      </w:pPr>
      <w:r>
        <w:rPr>
          <w:rFonts w:ascii="David" w:hAnsi="David"/>
          <w:bCs/>
          <w:sz w:val="30"/>
          <w:szCs w:val="30"/>
          <w:u w:val="single"/>
          <w:rtl/>
        </w:rPr>
        <w:t xml:space="preserve">דיון </w:t>
      </w:r>
    </w:p>
    <w:p w14:paraId="2345D5F9"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בתיק זה, טרם גזירת העונש, יש להידרש לשלוש סוגיות משפטיות הטעונות הכרעה. </w:t>
      </w:r>
    </w:p>
    <w:p w14:paraId="492E87D9" w14:textId="77777777" w:rsidR="00F63ECE" w:rsidRDefault="00F63ECE" w:rsidP="00F63ECE">
      <w:pPr>
        <w:pStyle w:val="ListParagraph"/>
        <w:spacing w:line="360" w:lineRule="auto"/>
        <w:ind w:left="360"/>
        <w:jc w:val="both"/>
        <w:rPr>
          <w:rFonts w:ascii="David" w:hAnsi="David" w:cs="David"/>
          <w:sz w:val="24"/>
          <w:szCs w:val="24"/>
        </w:rPr>
      </w:pPr>
    </w:p>
    <w:p w14:paraId="191E7A3C" w14:textId="77777777" w:rsidR="00F63ECE" w:rsidRDefault="00F63ECE" w:rsidP="00F63ECE">
      <w:pPr>
        <w:pStyle w:val="ListParagraph"/>
        <w:numPr>
          <w:ilvl w:val="0"/>
          <w:numId w:val="1"/>
        </w:numPr>
        <w:spacing w:line="360" w:lineRule="auto"/>
        <w:ind w:left="360"/>
        <w:jc w:val="both"/>
        <w:rPr>
          <w:rFonts w:ascii="David" w:hAnsi="David" w:cs="David"/>
          <w:sz w:val="24"/>
          <w:szCs w:val="24"/>
        </w:rPr>
      </w:pPr>
      <w:r>
        <w:rPr>
          <w:rFonts w:ascii="David" w:hAnsi="David" w:cs="David"/>
          <w:sz w:val="24"/>
          <w:szCs w:val="24"/>
          <w:rtl/>
        </w:rPr>
        <w:t>הסוגיה</w:t>
      </w:r>
      <w:r>
        <w:rPr>
          <w:rFonts w:ascii="David" w:hAnsi="David" w:cs="David"/>
          <w:b/>
          <w:bCs/>
          <w:sz w:val="24"/>
          <w:szCs w:val="24"/>
          <w:rtl/>
        </w:rPr>
        <w:t xml:space="preserve"> </w:t>
      </w:r>
      <w:r>
        <w:rPr>
          <w:rFonts w:ascii="David" w:hAnsi="David" w:cs="David"/>
          <w:sz w:val="24"/>
          <w:szCs w:val="24"/>
          <w:rtl/>
        </w:rPr>
        <w:t>הראשונה</w:t>
      </w:r>
      <w:r>
        <w:rPr>
          <w:rFonts w:ascii="David" w:hAnsi="David" w:cs="David"/>
          <w:b/>
          <w:bCs/>
          <w:sz w:val="24"/>
          <w:szCs w:val="24"/>
          <w:rtl/>
        </w:rPr>
        <w:t xml:space="preserve">, </w:t>
      </w:r>
      <w:r>
        <w:rPr>
          <w:rFonts w:ascii="David" w:hAnsi="David" w:cs="David"/>
          <w:sz w:val="24"/>
          <w:szCs w:val="24"/>
          <w:rtl/>
        </w:rPr>
        <w:t xml:space="preserve">עניינה סמכות התביעה להמשיך בניהול ההליך הפלילי. </w:t>
      </w:r>
    </w:p>
    <w:p w14:paraId="41440093" w14:textId="77777777" w:rsidR="00F63ECE" w:rsidRDefault="00F63ECE" w:rsidP="00F63ECE">
      <w:pPr>
        <w:pStyle w:val="ListParagraph"/>
        <w:spacing w:line="360" w:lineRule="auto"/>
        <w:rPr>
          <w:rFonts w:ascii="David" w:hAnsi="David" w:cs="David"/>
          <w:sz w:val="24"/>
          <w:szCs w:val="24"/>
        </w:rPr>
      </w:pPr>
    </w:p>
    <w:p w14:paraId="68D6EAC1" w14:textId="77777777" w:rsidR="00F63ECE" w:rsidRDefault="00F63ECE" w:rsidP="00F63ECE">
      <w:pPr>
        <w:pStyle w:val="ListParagraph"/>
        <w:numPr>
          <w:ilvl w:val="1"/>
          <w:numId w:val="1"/>
        </w:numPr>
        <w:spacing w:line="360" w:lineRule="auto"/>
        <w:ind w:left="1080"/>
        <w:jc w:val="both"/>
        <w:rPr>
          <w:rFonts w:ascii="David" w:hAnsi="David" w:cs="David"/>
          <w:sz w:val="24"/>
          <w:szCs w:val="24"/>
          <w:rtl/>
        </w:rPr>
      </w:pPr>
      <w:r>
        <w:rPr>
          <w:rFonts w:ascii="David" w:hAnsi="David" w:cs="David"/>
          <w:sz w:val="24"/>
          <w:szCs w:val="24"/>
          <w:rtl/>
        </w:rPr>
        <w:t xml:space="preserve">בהתאם </w:t>
      </w:r>
      <w:r>
        <w:rPr>
          <w:rFonts w:ascii="David" w:hAnsi="David" w:cs="David"/>
          <w:b/>
          <w:bCs/>
          <w:sz w:val="24"/>
          <w:szCs w:val="24"/>
          <w:rtl/>
        </w:rPr>
        <w:t>ל</w:t>
      </w:r>
      <w:hyperlink r:id="rId31" w:history="1">
        <w:r w:rsidR="00D169E2" w:rsidRPr="00D169E2">
          <w:rPr>
            <w:rFonts w:ascii="David" w:hAnsi="David" w:cs="David"/>
            <w:b/>
            <w:bCs/>
            <w:color w:val="0000FF"/>
            <w:sz w:val="24"/>
            <w:szCs w:val="24"/>
            <w:u w:val="single"/>
            <w:rtl/>
          </w:rPr>
          <w:t>תקנות העבירות המנהליות</w:t>
        </w:r>
      </w:hyperlink>
      <w:r>
        <w:rPr>
          <w:rFonts w:ascii="David" w:hAnsi="David" w:cs="David"/>
          <w:sz w:val="24"/>
          <w:szCs w:val="24"/>
          <w:rtl/>
        </w:rPr>
        <w:t xml:space="preserve"> (קנס מינהלי – החזקת קנאביס ושימוש בו לצריכה עצמית), תשפ"ב-2022, שנכנסו לתוקף ביום 1.4.22, החזקת סם קנאביס לצריכה עצמית הינה עבירה מנהלית שדינה קנס בסך 500 ₪.  </w:t>
      </w:r>
    </w:p>
    <w:p w14:paraId="17F8E8C6" w14:textId="77777777" w:rsidR="00F63ECE" w:rsidRDefault="00F63ECE" w:rsidP="00F63ECE">
      <w:pPr>
        <w:pStyle w:val="ListParagraph"/>
        <w:spacing w:line="360" w:lineRule="auto"/>
        <w:ind w:left="1080"/>
        <w:jc w:val="both"/>
        <w:rPr>
          <w:rFonts w:ascii="David" w:hAnsi="David" w:cs="David"/>
          <w:sz w:val="24"/>
          <w:szCs w:val="24"/>
        </w:rPr>
      </w:pPr>
    </w:p>
    <w:p w14:paraId="4306B4AB" w14:textId="77777777" w:rsidR="00F63ECE" w:rsidRDefault="00625F70" w:rsidP="00F63ECE">
      <w:pPr>
        <w:pStyle w:val="ListParagraph"/>
        <w:numPr>
          <w:ilvl w:val="1"/>
          <w:numId w:val="1"/>
        </w:numPr>
        <w:spacing w:line="360" w:lineRule="auto"/>
        <w:ind w:left="1080"/>
        <w:jc w:val="both"/>
        <w:rPr>
          <w:rFonts w:ascii="David" w:hAnsi="David" w:cs="David"/>
          <w:sz w:val="24"/>
          <w:szCs w:val="24"/>
        </w:rPr>
      </w:pPr>
      <w:hyperlink r:id="rId32" w:history="1">
        <w:r w:rsidRPr="00625F70">
          <w:rPr>
            <w:rStyle w:val="Hyperlink"/>
            <w:rFonts w:ascii="David" w:hAnsi="David" w:cs="David"/>
            <w:sz w:val="24"/>
            <w:szCs w:val="24"/>
            <w:rtl/>
          </w:rPr>
          <w:t>סעיף 1(ג)</w:t>
        </w:r>
      </w:hyperlink>
      <w:r w:rsidR="00F63ECE">
        <w:rPr>
          <w:rFonts w:ascii="David" w:hAnsi="David" w:cs="David"/>
          <w:sz w:val="24"/>
          <w:szCs w:val="24"/>
          <w:rtl/>
        </w:rPr>
        <w:t xml:space="preserve"> ל</w:t>
      </w:r>
      <w:hyperlink r:id="rId33" w:history="1">
        <w:r w:rsidR="00D169E2" w:rsidRPr="00D169E2">
          <w:rPr>
            <w:rFonts w:ascii="David" w:hAnsi="David" w:cs="David"/>
            <w:color w:val="0000FF"/>
            <w:sz w:val="24"/>
            <w:szCs w:val="24"/>
            <w:u w:val="single"/>
            <w:rtl/>
          </w:rPr>
          <w:t>חוק העבירות המנהליות</w:t>
        </w:r>
      </w:hyperlink>
      <w:r w:rsidR="00F63ECE">
        <w:rPr>
          <w:rFonts w:ascii="David" w:hAnsi="David" w:cs="David"/>
          <w:sz w:val="24"/>
          <w:szCs w:val="24"/>
          <w:rtl/>
        </w:rPr>
        <w:t xml:space="preserve">, מורה כי משנקבע בתקנות כי עבירה פלונית היא עבירה מנהלית, יחולו הוראות חוק העבירות המנהליות גם לגבי עבירה שנעברה לפני תחילתן של התקנות ובלבד שאם הוגש כתב אישום טרם החל המשפט. </w:t>
      </w:r>
    </w:p>
    <w:p w14:paraId="734DDB8F" w14:textId="77777777" w:rsidR="00F63ECE" w:rsidRDefault="00F63ECE" w:rsidP="00F63ECE">
      <w:pPr>
        <w:pStyle w:val="ListParagraph"/>
        <w:rPr>
          <w:rFonts w:ascii="David" w:hAnsi="David" w:cs="David"/>
          <w:sz w:val="24"/>
          <w:szCs w:val="24"/>
        </w:rPr>
      </w:pPr>
    </w:p>
    <w:p w14:paraId="0CECFC2E" w14:textId="77777777" w:rsidR="00F63ECE" w:rsidRDefault="00F63ECE" w:rsidP="00F63ECE">
      <w:pPr>
        <w:pStyle w:val="ListParagraph"/>
        <w:numPr>
          <w:ilvl w:val="1"/>
          <w:numId w:val="1"/>
        </w:numPr>
        <w:spacing w:line="360" w:lineRule="auto"/>
        <w:ind w:left="1080"/>
        <w:jc w:val="both"/>
        <w:rPr>
          <w:rFonts w:ascii="David" w:hAnsi="David" w:cs="David"/>
          <w:sz w:val="24"/>
          <w:szCs w:val="24"/>
          <w:rtl/>
        </w:rPr>
      </w:pPr>
      <w:r>
        <w:rPr>
          <w:rFonts w:ascii="David" w:hAnsi="David" w:cs="David"/>
          <w:sz w:val="24"/>
          <w:szCs w:val="24"/>
          <w:rtl/>
        </w:rPr>
        <w:t xml:space="preserve">הנה כי כן, באופן רגיל גם אם הנאשם ביצע את העבירות לפני מועד כניסת התקנות לתוקף, הן יחולו עליו. אלא, שבענייננו הוגש כתב אישום והחל המשפט. לכן, על פניו נראה כי לתביעה יש סמכות להמשיך ולנהל את ההליך הפלילי כנגד הנאשם. </w:t>
      </w:r>
    </w:p>
    <w:p w14:paraId="7A9334AB" w14:textId="77777777" w:rsidR="00F63ECE" w:rsidRDefault="00F63ECE" w:rsidP="00F63ECE">
      <w:pPr>
        <w:pStyle w:val="ListParagraph"/>
        <w:rPr>
          <w:rFonts w:ascii="David" w:hAnsi="David" w:cs="David"/>
          <w:sz w:val="24"/>
          <w:szCs w:val="24"/>
        </w:rPr>
      </w:pPr>
    </w:p>
    <w:p w14:paraId="7C587AA8" w14:textId="77777777" w:rsidR="00F63ECE" w:rsidRDefault="00F63ECE" w:rsidP="00F63ECE">
      <w:pPr>
        <w:pStyle w:val="ListParagraph"/>
        <w:numPr>
          <w:ilvl w:val="1"/>
          <w:numId w:val="1"/>
        </w:numPr>
        <w:spacing w:line="360" w:lineRule="auto"/>
        <w:ind w:left="1080"/>
        <w:jc w:val="both"/>
        <w:rPr>
          <w:rFonts w:ascii="David" w:hAnsi="David" w:cs="David"/>
          <w:sz w:val="24"/>
          <w:szCs w:val="24"/>
          <w:rtl/>
        </w:rPr>
      </w:pPr>
      <w:r>
        <w:rPr>
          <w:rFonts w:ascii="David" w:hAnsi="David" w:cs="David"/>
          <w:sz w:val="24"/>
          <w:szCs w:val="24"/>
          <w:rtl/>
        </w:rPr>
        <w:t>ודוק, קיומה של סמכות כשלעצמה אינה סיבה מספקת לממש אותה. זאת משום שהתביעה מחויבת להפעיל שיקול דעת, גם כאשר קיימת לה סמכות, ועליה לעשות זאת באופן המתיישב עם האינטרס הציבורי.</w:t>
      </w:r>
    </w:p>
    <w:p w14:paraId="696666A8" w14:textId="77777777" w:rsidR="00F63ECE" w:rsidRDefault="00F63ECE" w:rsidP="00F63ECE">
      <w:pPr>
        <w:pStyle w:val="ListParagraph"/>
        <w:rPr>
          <w:rFonts w:ascii="David" w:hAnsi="David" w:cs="David"/>
          <w:sz w:val="24"/>
          <w:szCs w:val="24"/>
        </w:rPr>
      </w:pPr>
      <w:r>
        <w:rPr>
          <w:rFonts w:ascii="David" w:hAnsi="David" w:cs="David"/>
          <w:sz w:val="24"/>
          <w:szCs w:val="24"/>
          <w:rtl/>
        </w:rPr>
        <w:t xml:space="preserve"> </w:t>
      </w:r>
    </w:p>
    <w:p w14:paraId="187D1CF7" w14:textId="77777777" w:rsidR="00F63ECE" w:rsidRDefault="00F63ECE" w:rsidP="00F63ECE">
      <w:pPr>
        <w:pStyle w:val="ListParagraph"/>
        <w:numPr>
          <w:ilvl w:val="1"/>
          <w:numId w:val="1"/>
        </w:numPr>
        <w:spacing w:line="360" w:lineRule="auto"/>
        <w:ind w:left="1080"/>
        <w:jc w:val="both"/>
        <w:rPr>
          <w:rFonts w:ascii="David" w:hAnsi="David" w:cs="David"/>
          <w:sz w:val="24"/>
          <w:szCs w:val="24"/>
          <w:rtl/>
        </w:rPr>
      </w:pPr>
      <w:r>
        <w:rPr>
          <w:rFonts w:ascii="David" w:hAnsi="David" w:cs="David"/>
          <w:sz w:val="24"/>
          <w:szCs w:val="24"/>
          <w:rtl/>
        </w:rPr>
        <w:t xml:space="preserve">בהיעדר התייחסות לכך בהצעת החוק, ניתן להניח, כי בין השיקולים שהנחו את המחוקק להחריג </w:t>
      </w:r>
      <w:hyperlink r:id="rId34" w:history="1">
        <w:r w:rsidR="00625F70" w:rsidRPr="00625F70">
          <w:rPr>
            <w:rStyle w:val="Hyperlink"/>
            <w:rFonts w:ascii="David" w:hAnsi="David" w:cs="David"/>
            <w:sz w:val="24"/>
            <w:szCs w:val="24"/>
            <w:rtl/>
          </w:rPr>
          <w:t>בסעיף 1(ג)</w:t>
        </w:r>
      </w:hyperlink>
      <w:r>
        <w:rPr>
          <w:rFonts w:ascii="David" w:hAnsi="David" w:cs="David"/>
          <w:sz w:val="24"/>
          <w:szCs w:val="24"/>
          <w:rtl/>
        </w:rPr>
        <w:t xml:space="preserve"> ל</w:t>
      </w:r>
      <w:hyperlink r:id="rId35" w:history="1">
        <w:r w:rsidR="00D169E2" w:rsidRPr="00D169E2">
          <w:rPr>
            <w:rFonts w:ascii="David" w:hAnsi="David" w:cs="David"/>
            <w:color w:val="0000FF"/>
            <w:sz w:val="24"/>
            <w:szCs w:val="24"/>
            <w:u w:val="single"/>
            <w:rtl/>
          </w:rPr>
          <w:t>חוק העבירות המנהליות</w:t>
        </w:r>
      </w:hyperlink>
      <w:r>
        <w:rPr>
          <w:rFonts w:ascii="David" w:hAnsi="David" w:cs="David"/>
          <w:sz w:val="24"/>
          <w:szCs w:val="24"/>
          <w:rtl/>
        </w:rPr>
        <w:t xml:space="preserve"> מצב בו "</w:t>
      </w:r>
      <w:r>
        <w:rPr>
          <w:rFonts w:ascii="David" w:hAnsi="David" w:cs="David"/>
          <w:b/>
          <w:bCs/>
          <w:sz w:val="24"/>
          <w:szCs w:val="24"/>
          <w:rtl/>
        </w:rPr>
        <w:t>החל המשפט</w:t>
      </w:r>
      <w:r>
        <w:rPr>
          <w:rFonts w:ascii="David" w:hAnsi="David" w:cs="David"/>
          <w:sz w:val="24"/>
          <w:szCs w:val="24"/>
          <w:rtl/>
        </w:rPr>
        <w:t xml:space="preserve">", עמדו שני שיקולים עיקריים: </w:t>
      </w:r>
      <w:r>
        <w:rPr>
          <w:rFonts w:ascii="David" w:hAnsi="David" w:cs="David"/>
          <w:b/>
          <w:bCs/>
          <w:sz w:val="24"/>
          <w:szCs w:val="24"/>
          <w:rtl/>
        </w:rPr>
        <w:t>האחד</w:t>
      </w:r>
      <w:r>
        <w:rPr>
          <w:rFonts w:ascii="David" w:hAnsi="David" w:cs="David"/>
          <w:sz w:val="24"/>
          <w:szCs w:val="24"/>
          <w:rtl/>
        </w:rPr>
        <w:t xml:space="preserve">, הוא שאם המשפט החל, מחיקת כתב האישום תוביל לזיכוי הנאשם ואז לא ניתן יהיה לנקוט בהליך המנהלי תחת ההליך הפלילי. </w:t>
      </w:r>
      <w:r>
        <w:rPr>
          <w:rFonts w:ascii="David" w:hAnsi="David" w:cs="David"/>
          <w:b/>
          <w:bCs/>
          <w:sz w:val="24"/>
          <w:szCs w:val="24"/>
          <w:rtl/>
        </w:rPr>
        <w:t>השני</w:t>
      </w:r>
      <w:r>
        <w:rPr>
          <w:rFonts w:ascii="David" w:hAnsi="David" w:cs="David"/>
          <w:sz w:val="24"/>
          <w:szCs w:val="24"/>
          <w:rtl/>
        </w:rPr>
        <w:t xml:space="preserve">, הוא שאם החל המשפט ומתבררת אחריות הנאשם, הרי שיש בכך כמעין מצב מקביל לבקשה להישפט וממילא יש לסיים את הליך הבירור שהחל במסלול הפלילי.  </w:t>
      </w:r>
    </w:p>
    <w:p w14:paraId="12CCF2B8" w14:textId="77777777" w:rsidR="00F63ECE" w:rsidRDefault="00F63ECE" w:rsidP="00F63ECE">
      <w:pPr>
        <w:pStyle w:val="ListParagraph"/>
        <w:rPr>
          <w:rFonts w:ascii="David" w:hAnsi="David" w:cs="David"/>
          <w:sz w:val="24"/>
          <w:szCs w:val="24"/>
        </w:rPr>
      </w:pPr>
    </w:p>
    <w:p w14:paraId="5B883F27" w14:textId="77777777" w:rsidR="00F63ECE" w:rsidRDefault="00F63ECE" w:rsidP="00F63ECE">
      <w:pPr>
        <w:pStyle w:val="ListParagraph"/>
        <w:numPr>
          <w:ilvl w:val="1"/>
          <w:numId w:val="1"/>
        </w:numPr>
        <w:spacing w:line="360" w:lineRule="auto"/>
        <w:ind w:left="1080"/>
        <w:jc w:val="both"/>
        <w:rPr>
          <w:rFonts w:ascii="David" w:hAnsi="David" w:cs="David"/>
          <w:sz w:val="24"/>
          <w:szCs w:val="24"/>
          <w:rtl/>
        </w:rPr>
      </w:pPr>
      <w:r>
        <w:rPr>
          <w:rFonts w:ascii="David" w:hAnsi="David" w:cs="David"/>
          <w:sz w:val="24"/>
          <w:szCs w:val="24"/>
          <w:rtl/>
        </w:rPr>
        <w:t xml:space="preserve">על פניו, המשך ניהול ההליך הפלילי בעניינו של הנאשם לא עונה לאף אחד מהשיקולים האמורים, משום שהנאשם מודה במיוחס לו, ומשום שהרים תרומה שוות ערך לקנס לו הוא צפוי בהליך המנהלי. </w:t>
      </w:r>
      <w:r>
        <w:rPr>
          <w:rFonts w:ascii="David" w:hAnsi="David" w:cs="David"/>
          <w:sz w:val="24"/>
          <w:szCs w:val="24"/>
        </w:rPr>
        <w:t xml:space="preserve"> </w:t>
      </w:r>
    </w:p>
    <w:p w14:paraId="14EBB1DB" w14:textId="77777777" w:rsidR="00F63ECE" w:rsidRDefault="00F63ECE" w:rsidP="00F63ECE">
      <w:pPr>
        <w:pStyle w:val="ListParagraph"/>
        <w:rPr>
          <w:rFonts w:ascii="David" w:hAnsi="David" w:cs="David"/>
          <w:sz w:val="24"/>
          <w:szCs w:val="24"/>
        </w:rPr>
      </w:pPr>
    </w:p>
    <w:p w14:paraId="3112ED9C" w14:textId="77777777" w:rsidR="00F63ECE" w:rsidRDefault="00F63ECE" w:rsidP="00F63ECE">
      <w:pPr>
        <w:pStyle w:val="ListParagraph"/>
        <w:numPr>
          <w:ilvl w:val="1"/>
          <w:numId w:val="1"/>
        </w:numPr>
        <w:spacing w:line="360" w:lineRule="auto"/>
        <w:ind w:left="1080"/>
        <w:jc w:val="both"/>
        <w:rPr>
          <w:rFonts w:ascii="David" w:hAnsi="David" w:cs="David"/>
          <w:sz w:val="24"/>
          <w:szCs w:val="24"/>
          <w:rtl/>
        </w:rPr>
      </w:pPr>
      <w:r>
        <w:rPr>
          <w:rFonts w:ascii="David" w:hAnsi="David" w:cs="David"/>
          <w:sz w:val="24"/>
          <w:szCs w:val="24"/>
          <w:rtl/>
        </w:rPr>
        <w:t xml:space="preserve">עיון בהנחיית היועץ המשפטי לממשלה 4.3041 מלמד מהם השיקולים המצדיקים הגשת כתב אישום נוכח קיומה של חלופה מנהלית: </w:t>
      </w:r>
    </w:p>
    <w:p w14:paraId="3E32455A" w14:textId="77777777" w:rsidR="00F63ECE" w:rsidRDefault="00F63ECE" w:rsidP="00F63ECE">
      <w:pPr>
        <w:pStyle w:val="ListParagraph"/>
        <w:spacing w:line="360" w:lineRule="auto"/>
        <w:ind w:left="1080"/>
        <w:jc w:val="both"/>
        <w:rPr>
          <w:rFonts w:ascii="David" w:hAnsi="David" w:cs="David"/>
          <w:sz w:val="24"/>
          <w:szCs w:val="24"/>
        </w:rPr>
      </w:pPr>
    </w:p>
    <w:p w14:paraId="299B52B5" w14:textId="77777777" w:rsidR="00F63ECE" w:rsidRDefault="00F63ECE" w:rsidP="00F63ECE">
      <w:pPr>
        <w:pStyle w:val="ListParagraph"/>
        <w:numPr>
          <w:ilvl w:val="2"/>
          <w:numId w:val="2"/>
        </w:numPr>
        <w:spacing w:line="360" w:lineRule="auto"/>
        <w:jc w:val="both"/>
        <w:rPr>
          <w:rFonts w:ascii="David" w:hAnsi="David" w:cs="David"/>
          <w:sz w:val="24"/>
          <w:szCs w:val="24"/>
        </w:rPr>
      </w:pPr>
      <w:r>
        <w:rPr>
          <w:rFonts w:ascii="David" w:hAnsi="David" w:cs="David"/>
          <w:sz w:val="24"/>
          <w:szCs w:val="24"/>
          <w:rtl/>
        </w:rPr>
        <w:t>הטלת קנס מנהלי על אותו אדם אין בה משום גורם מרתיע במידה מספקת</w:t>
      </w:r>
    </w:p>
    <w:p w14:paraId="46C0A865" w14:textId="77777777" w:rsidR="00F63ECE" w:rsidRDefault="00F63ECE" w:rsidP="00F63ECE">
      <w:pPr>
        <w:pStyle w:val="ListParagraph"/>
        <w:spacing w:line="360" w:lineRule="auto"/>
        <w:ind w:left="2160"/>
        <w:jc w:val="both"/>
        <w:rPr>
          <w:rFonts w:ascii="David" w:hAnsi="David" w:cs="David"/>
          <w:sz w:val="24"/>
          <w:szCs w:val="24"/>
        </w:rPr>
      </w:pPr>
    </w:p>
    <w:p w14:paraId="6808FED5" w14:textId="77777777" w:rsidR="00F63ECE" w:rsidRDefault="00F63ECE" w:rsidP="00F63ECE">
      <w:pPr>
        <w:pStyle w:val="ListParagraph"/>
        <w:numPr>
          <w:ilvl w:val="2"/>
          <w:numId w:val="2"/>
        </w:numPr>
        <w:spacing w:line="360" w:lineRule="auto"/>
        <w:jc w:val="both"/>
        <w:rPr>
          <w:rFonts w:ascii="David" w:hAnsi="David" w:cs="David"/>
          <w:sz w:val="24"/>
          <w:szCs w:val="24"/>
        </w:rPr>
      </w:pPr>
      <w:r>
        <w:rPr>
          <w:rFonts w:ascii="David" w:hAnsi="David" w:cs="David"/>
          <w:sz w:val="24"/>
          <w:szCs w:val="24"/>
          <w:rtl/>
        </w:rPr>
        <w:t>אותו אדם לא שילם את הקנסות המנהליים שהוטלו עליו בעבר</w:t>
      </w:r>
    </w:p>
    <w:p w14:paraId="3C2530E8" w14:textId="77777777" w:rsidR="00F63ECE" w:rsidRDefault="00F63ECE" w:rsidP="00F63ECE">
      <w:pPr>
        <w:pStyle w:val="ListParagraph"/>
        <w:spacing w:line="360" w:lineRule="auto"/>
        <w:ind w:left="2160"/>
        <w:jc w:val="both"/>
        <w:rPr>
          <w:rFonts w:ascii="David" w:hAnsi="David" w:cs="David"/>
          <w:sz w:val="24"/>
          <w:szCs w:val="24"/>
        </w:rPr>
      </w:pPr>
    </w:p>
    <w:p w14:paraId="79D213F6" w14:textId="77777777" w:rsidR="00F63ECE" w:rsidRDefault="00F63ECE" w:rsidP="00F63ECE">
      <w:pPr>
        <w:pStyle w:val="ListParagraph"/>
        <w:numPr>
          <w:ilvl w:val="2"/>
          <w:numId w:val="2"/>
        </w:numPr>
        <w:spacing w:line="360" w:lineRule="auto"/>
        <w:jc w:val="both"/>
        <w:rPr>
          <w:rFonts w:ascii="David" w:hAnsi="David" w:cs="David"/>
          <w:sz w:val="24"/>
          <w:szCs w:val="24"/>
        </w:rPr>
      </w:pPr>
      <w:r>
        <w:rPr>
          <w:rFonts w:ascii="David" w:hAnsi="David" w:cs="David"/>
          <w:sz w:val="24"/>
          <w:szCs w:val="24"/>
          <w:rtl/>
        </w:rPr>
        <w:t xml:space="preserve">נסיבות עבירת העבירה חמורות במיוחד. </w:t>
      </w:r>
    </w:p>
    <w:p w14:paraId="0B54C2DA" w14:textId="77777777" w:rsidR="00F63ECE" w:rsidRDefault="00F63ECE" w:rsidP="00F63ECE">
      <w:pPr>
        <w:pStyle w:val="ListParagraph"/>
        <w:spacing w:line="360" w:lineRule="auto"/>
        <w:ind w:left="2160"/>
        <w:jc w:val="both"/>
        <w:rPr>
          <w:rFonts w:ascii="David" w:hAnsi="David" w:cs="David"/>
          <w:sz w:val="24"/>
          <w:szCs w:val="24"/>
        </w:rPr>
      </w:pPr>
    </w:p>
    <w:p w14:paraId="4DC3C9AF" w14:textId="77777777" w:rsidR="00F63ECE" w:rsidRDefault="00F63ECE" w:rsidP="00F63ECE">
      <w:pPr>
        <w:pStyle w:val="ListParagraph"/>
        <w:numPr>
          <w:ilvl w:val="1"/>
          <w:numId w:val="1"/>
        </w:numPr>
        <w:spacing w:line="360" w:lineRule="auto"/>
        <w:ind w:left="1080"/>
        <w:jc w:val="both"/>
        <w:rPr>
          <w:rFonts w:ascii="David" w:hAnsi="David" w:cs="David"/>
          <w:sz w:val="24"/>
          <w:szCs w:val="24"/>
        </w:rPr>
      </w:pPr>
      <w:r>
        <w:rPr>
          <w:rFonts w:ascii="David" w:hAnsi="David" w:cs="David"/>
          <w:sz w:val="24"/>
          <w:szCs w:val="24"/>
          <w:rtl/>
        </w:rPr>
        <w:t xml:space="preserve">השיקולים הללו יכולים לשמש כקווים מנחים לבחינת הצורך בהמשך הליכים פליליים מתקיימים. </w:t>
      </w:r>
    </w:p>
    <w:p w14:paraId="6B1D2A05" w14:textId="77777777" w:rsidR="00F63ECE" w:rsidRDefault="00F63ECE" w:rsidP="00F63ECE">
      <w:pPr>
        <w:pStyle w:val="ListParagraph"/>
        <w:spacing w:line="360" w:lineRule="auto"/>
        <w:ind w:left="1080"/>
        <w:jc w:val="both"/>
        <w:rPr>
          <w:rFonts w:ascii="David" w:hAnsi="David" w:cs="David"/>
          <w:sz w:val="24"/>
          <w:szCs w:val="24"/>
        </w:rPr>
      </w:pPr>
    </w:p>
    <w:p w14:paraId="58E1EDC9" w14:textId="77777777" w:rsidR="00F63ECE" w:rsidRDefault="00F63ECE" w:rsidP="00F63ECE">
      <w:pPr>
        <w:pStyle w:val="ListParagraph"/>
        <w:numPr>
          <w:ilvl w:val="1"/>
          <w:numId w:val="1"/>
        </w:numPr>
        <w:spacing w:line="360" w:lineRule="auto"/>
        <w:ind w:left="1080"/>
        <w:jc w:val="both"/>
        <w:rPr>
          <w:rFonts w:ascii="David" w:hAnsi="David" w:cs="David"/>
          <w:sz w:val="24"/>
          <w:szCs w:val="24"/>
        </w:rPr>
      </w:pPr>
      <w:r>
        <w:rPr>
          <w:rFonts w:ascii="David" w:hAnsi="David" w:cs="David"/>
          <w:sz w:val="24"/>
          <w:szCs w:val="24"/>
          <w:rtl/>
        </w:rPr>
        <w:t>בענייננו, לא מתקיים אף אחד מן התנאים: מדובר בנאשם נעדר עבר פלילי, לא ננקטו נגדו בעבר הליכים מנהליים, ונסיבות העבירה שביצע אינן חמורות במיוחד</w:t>
      </w:r>
      <w:r>
        <w:rPr>
          <w:rFonts w:ascii="David" w:hAnsi="David" w:cs="David" w:hint="cs"/>
          <w:sz w:val="24"/>
          <w:szCs w:val="24"/>
          <w:rtl/>
        </w:rPr>
        <w:t>, עד כדי כך שאף לא צוין בכתב האישום מהו משקל הסמים שגידל בביתו</w:t>
      </w:r>
      <w:r>
        <w:rPr>
          <w:rFonts w:ascii="David" w:hAnsi="David" w:cs="David"/>
          <w:sz w:val="24"/>
          <w:szCs w:val="24"/>
          <w:rtl/>
        </w:rPr>
        <w:t xml:space="preserve">. </w:t>
      </w:r>
    </w:p>
    <w:p w14:paraId="6E6C2E7B" w14:textId="77777777" w:rsidR="00F63ECE" w:rsidRDefault="00F63ECE" w:rsidP="00F63ECE">
      <w:pPr>
        <w:pStyle w:val="ListParagraph"/>
        <w:spacing w:line="360" w:lineRule="auto"/>
        <w:ind w:left="1080"/>
        <w:jc w:val="both"/>
        <w:rPr>
          <w:rFonts w:ascii="David" w:hAnsi="David" w:cs="David"/>
          <w:sz w:val="24"/>
          <w:szCs w:val="24"/>
        </w:rPr>
      </w:pPr>
    </w:p>
    <w:p w14:paraId="47400531" w14:textId="77777777" w:rsidR="00F63ECE" w:rsidRDefault="00F63ECE" w:rsidP="00F63ECE">
      <w:pPr>
        <w:pStyle w:val="ListParagraph"/>
        <w:numPr>
          <w:ilvl w:val="1"/>
          <w:numId w:val="1"/>
        </w:numPr>
        <w:spacing w:line="360" w:lineRule="auto"/>
        <w:ind w:left="1080"/>
        <w:jc w:val="both"/>
        <w:rPr>
          <w:rFonts w:ascii="David" w:hAnsi="David" w:cs="David"/>
          <w:sz w:val="24"/>
          <w:szCs w:val="24"/>
        </w:rPr>
      </w:pPr>
      <w:r>
        <w:rPr>
          <w:rFonts w:ascii="David" w:hAnsi="David" w:cs="David"/>
          <w:sz w:val="24"/>
          <w:szCs w:val="24"/>
          <w:rtl/>
        </w:rPr>
        <w:t xml:space="preserve">אשר על כן, גם אם הייתה לתביעה סמכות להמשיך לנהל הליך פלילי כנגד הנאשם ולבקש את הרשעתו, נראה כי עמדתה לא מתיישבת עם הרציונל שבבסיס </w:t>
      </w:r>
      <w:hyperlink r:id="rId36" w:history="1">
        <w:r w:rsidR="00D169E2" w:rsidRPr="00D169E2">
          <w:rPr>
            <w:rFonts w:ascii="David" w:hAnsi="David" w:cs="David"/>
            <w:color w:val="0000FF"/>
            <w:sz w:val="24"/>
            <w:szCs w:val="24"/>
            <w:u w:val="single"/>
            <w:rtl/>
          </w:rPr>
          <w:t>תקנות העבירות המנהליות</w:t>
        </w:r>
      </w:hyperlink>
      <w:r>
        <w:rPr>
          <w:rFonts w:ascii="David" w:hAnsi="David" w:cs="David"/>
          <w:sz w:val="24"/>
          <w:szCs w:val="24"/>
          <w:rtl/>
        </w:rPr>
        <w:t xml:space="preserve"> (קנס מינהלי – החזקת קנאביס ושימוש בו לצריכה עצמית), תשפ"ב-2022, וממילא אף לא מקדמת את האינטרס הציבורי. </w:t>
      </w:r>
    </w:p>
    <w:p w14:paraId="7E1400D7" w14:textId="77777777" w:rsidR="00F63ECE" w:rsidRDefault="00F63ECE" w:rsidP="00F63ECE">
      <w:pPr>
        <w:pStyle w:val="ListParagraph"/>
        <w:rPr>
          <w:rFonts w:ascii="David" w:hAnsi="David" w:cs="David"/>
          <w:sz w:val="24"/>
          <w:szCs w:val="24"/>
        </w:rPr>
      </w:pPr>
    </w:p>
    <w:p w14:paraId="6071225A" w14:textId="77777777" w:rsidR="00F63ECE" w:rsidRDefault="00F63ECE" w:rsidP="00F63ECE">
      <w:pPr>
        <w:pStyle w:val="ListParagraph"/>
        <w:numPr>
          <w:ilvl w:val="1"/>
          <w:numId w:val="1"/>
        </w:numPr>
        <w:spacing w:line="360" w:lineRule="auto"/>
        <w:ind w:left="1080"/>
        <w:jc w:val="both"/>
        <w:rPr>
          <w:rFonts w:ascii="David" w:hAnsi="David" w:cs="David"/>
          <w:sz w:val="24"/>
          <w:szCs w:val="24"/>
          <w:rtl/>
        </w:rPr>
      </w:pPr>
      <w:r>
        <w:rPr>
          <w:rFonts w:ascii="David" w:hAnsi="David" w:cs="David"/>
          <w:sz w:val="24"/>
          <w:szCs w:val="24"/>
          <w:rtl/>
        </w:rPr>
        <w:t xml:space="preserve">הדברים נכונים ביתר שאת בשים לב לעקרון השיוריות, שמקבל משנה תוקף עת קיימת בפני המאשימה חלופת אכיפה מנהלית להמשך ניהול ההליך הפלילי. ראו למשל: </w:t>
      </w:r>
      <w:r>
        <w:rPr>
          <w:rFonts w:ascii="David" w:hAnsi="David" w:cs="David"/>
          <w:smallCaps/>
        </w:rPr>
        <w:t xml:space="preserve">.Jonathan Schonsheck, </w:t>
      </w:r>
      <w:r>
        <w:rPr>
          <w:rFonts w:ascii="David" w:hAnsi="David" w:cs="David"/>
          <w:b/>
          <w:bCs/>
          <w:smallCaps/>
        </w:rPr>
        <w:t>On Criminalization</w:t>
      </w:r>
      <w:r>
        <w:rPr>
          <w:rFonts w:ascii="David" w:hAnsi="David" w:cs="David"/>
          <w:smallCaps/>
        </w:rPr>
        <w:t xml:space="preserve"> 64–70 (1994)</w:t>
      </w:r>
      <w:r>
        <w:rPr>
          <w:smallCaps/>
        </w:rPr>
        <w:t xml:space="preserve"> </w:t>
      </w:r>
      <w:r>
        <w:rPr>
          <w:rtl/>
        </w:rPr>
        <w:t xml:space="preserve"> </w:t>
      </w:r>
    </w:p>
    <w:p w14:paraId="6F3FC669" w14:textId="77777777" w:rsidR="00F63ECE" w:rsidRDefault="00F63ECE" w:rsidP="00F63ECE">
      <w:pPr>
        <w:pStyle w:val="ListParagraph"/>
        <w:spacing w:line="360" w:lineRule="auto"/>
        <w:rPr>
          <w:rFonts w:ascii="David" w:hAnsi="David" w:cs="David"/>
          <w:sz w:val="24"/>
          <w:szCs w:val="24"/>
        </w:rPr>
      </w:pPr>
    </w:p>
    <w:p w14:paraId="7CABA3AD"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הסוגיה השנייה, עניינה השלכת עקרון הדין המקל על עניינו של הנאשם. </w:t>
      </w:r>
    </w:p>
    <w:p w14:paraId="5FB315AA" w14:textId="77777777" w:rsidR="00F63ECE" w:rsidRDefault="00F63ECE" w:rsidP="00F63ECE">
      <w:pPr>
        <w:pStyle w:val="ListParagraph"/>
        <w:spacing w:line="360" w:lineRule="auto"/>
        <w:ind w:left="360"/>
        <w:jc w:val="both"/>
        <w:rPr>
          <w:rFonts w:ascii="David" w:hAnsi="David" w:cs="David"/>
          <w:b/>
          <w:bCs/>
          <w:sz w:val="24"/>
          <w:szCs w:val="24"/>
        </w:rPr>
      </w:pPr>
    </w:p>
    <w:p w14:paraId="7452F14C" w14:textId="77777777" w:rsidR="00F63ECE" w:rsidRDefault="00F63ECE" w:rsidP="00F63ECE">
      <w:pPr>
        <w:pStyle w:val="ListParagraph"/>
        <w:numPr>
          <w:ilvl w:val="1"/>
          <w:numId w:val="1"/>
        </w:numPr>
        <w:spacing w:line="360" w:lineRule="auto"/>
        <w:ind w:left="1080"/>
        <w:jc w:val="both"/>
        <w:rPr>
          <w:rFonts w:ascii="David" w:hAnsi="David" w:cs="David"/>
          <w:sz w:val="24"/>
          <w:szCs w:val="24"/>
        </w:rPr>
      </w:pPr>
      <w:r>
        <w:rPr>
          <w:rFonts w:ascii="David" w:hAnsi="David" w:cs="David"/>
          <w:sz w:val="24"/>
          <w:szCs w:val="24"/>
          <w:rtl/>
        </w:rPr>
        <w:t xml:space="preserve">הגם שמן הראוי היה שהתביעה תבחר לעבור למסלול המנהלי, שמשבחרה להישאר במסלול הפלילי הרי שבהתאם </w:t>
      </w:r>
      <w:hyperlink r:id="rId37" w:history="1">
        <w:r w:rsidR="00625F70" w:rsidRPr="00625F70">
          <w:rPr>
            <w:rStyle w:val="Hyperlink"/>
            <w:rFonts w:ascii="David" w:hAnsi="David" w:cs="David"/>
            <w:sz w:val="24"/>
            <w:szCs w:val="24"/>
            <w:rtl/>
          </w:rPr>
          <w:t>לסעיף 5</w:t>
        </w:r>
      </w:hyperlink>
      <w:r>
        <w:rPr>
          <w:rFonts w:ascii="David" w:hAnsi="David" w:cs="David"/>
          <w:sz w:val="24"/>
          <w:szCs w:val="24"/>
          <w:rtl/>
        </w:rPr>
        <w:t xml:space="preserve"> ל</w:t>
      </w:r>
      <w:hyperlink r:id="rId38" w:history="1">
        <w:r w:rsidR="00D169E2" w:rsidRPr="00D169E2">
          <w:rPr>
            <w:rFonts w:ascii="David" w:hAnsi="David" w:cs="David"/>
            <w:color w:val="0000FF"/>
            <w:sz w:val="24"/>
            <w:szCs w:val="24"/>
            <w:u w:val="single"/>
            <w:rtl/>
          </w:rPr>
          <w:t>חוק העונשין</w:t>
        </w:r>
      </w:hyperlink>
      <w:r>
        <w:rPr>
          <w:rFonts w:ascii="David" w:hAnsi="David" w:cs="David"/>
          <w:sz w:val="24"/>
          <w:szCs w:val="24"/>
          <w:rtl/>
        </w:rPr>
        <w:t xml:space="preserve">, אם שונתה עבירה וטרם ניתן פסק דין חלוט יחול על העניין החיקוק המקל עם העושה. בנסיבות האמורות בכל הנוגע להחזקה לצריכה עצמית של סם מסוג קנאבוס הדין המקל הוא קנס בסך 500 ₪. </w:t>
      </w:r>
    </w:p>
    <w:p w14:paraId="2CFFE8F2" w14:textId="77777777" w:rsidR="00F63ECE" w:rsidRDefault="00F63ECE" w:rsidP="00F63ECE">
      <w:pPr>
        <w:pStyle w:val="ListParagraph"/>
        <w:spacing w:line="360" w:lineRule="auto"/>
        <w:ind w:left="1080"/>
        <w:jc w:val="both"/>
        <w:rPr>
          <w:rFonts w:ascii="David" w:hAnsi="David" w:cs="David"/>
          <w:sz w:val="24"/>
          <w:szCs w:val="24"/>
        </w:rPr>
      </w:pPr>
    </w:p>
    <w:p w14:paraId="70985AF6" w14:textId="77777777" w:rsidR="00F63ECE" w:rsidRDefault="00F63ECE" w:rsidP="00F63ECE">
      <w:pPr>
        <w:pStyle w:val="ListParagraph"/>
        <w:numPr>
          <w:ilvl w:val="1"/>
          <w:numId w:val="1"/>
        </w:numPr>
        <w:spacing w:line="360" w:lineRule="auto"/>
        <w:ind w:left="1080"/>
        <w:jc w:val="both"/>
        <w:rPr>
          <w:rFonts w:ascii="David" w:hAnsi="David" w:cs="David"/>
          <w:sz w:val="24"/>
          <w:szCs w:val="24"/>
        </w:rPr>
      </w:pPr>
      <w:r>
        <w:rPr>
          <w:rFonts w:ascii="David" w:hAnsi="David" w:cs="David"/>
          <w:sz w:val="24"/>
          <w:szCs w:val="24"/>
          <w:rtl/>
        </w:rPr>
        <w:t xml:space="preserve">אשר על כן, עתירת התביעה למתחם ענישה הנע בין מע"ת ל-6 חודשי מאסר הינה עתירה שאינה עולה בקנה אחד עם עקרון הדין המקל. רוצה לומר, גם אם בחרה התביעה להמשיך ההליך הפלילי כנגד הנאשם, היה עליה להסתפק בעיצום כספי בלבד בעתירתה העונשית. </w:t>
      </w:r>
    </w:p>
    <w:p w14:paraId="1FE68169" w14:textId="77777777" w:rsidR="00F63ECE" w:rsidRDefault="00F63ECE" w:rsidP="00F63ECE">
      <w:pPr>
        <w:pStyle w:val="ListParagraph"/>
        <w:spacing w:line="360" w:lineRule="auto"/>
        <w:rPr>
          <w:rFonts w:ascii="David" w:hAnsi="David" w:cs="David"/>
          <w:sz w:val="24"/>
          <w:szCs w:val="24"/>
        </w:rPr>
      </w:pPr>
    </w:p>
    <w:p w14:paraId="68FF5E4D"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הסוגיה השלישית, עניינה היחס שבין כתב האישום המקורי לבין עמדתה העונשית של התביעה, מקום בו כתב האישום תוקן.  </w:t>
      </w:r>
    </w:p>
    <w:p w14:paraId="27D1A2EA" w14:textId="77777777" w:rsidR="00F63ECE" w:rsidRDefault="00F63ECE" w:rsidP="00F63ECE">
      <w:pPr>
        <w:pStyle w:val="ListParagraph"/>
        <w:spacing w:line="360" w:lineRule="auto"/>
        <w:ind w:left="360"/>
        <w:jc w:val="both"/>
        <w:rPr>
          <w:rFonts w:ascii="David" w:hAnsi="David" w:cs="David"/>
          <w:b/>
          <w:bCs/>
          <w:sz w:val="24"/>
          <w:szCs w:val="24"/>
        </w:rPr>
      </w:pPr>
    </w:p>
    <w:p w14:paraId="3063B6E9" w14:textId="77777777" w:rsidR="00F63ECE" w:rsidRDefault="00F63ECE" w:rsidP="00F63ECE">
      <w:pPr>
        <w:pStyle w:val="ListParagraph"/>
        <w:numPr>
          <w:ilvl w:val="1"/>
          <w:numId w:val="1"/>
        </w:numPr>
        <w:spacing w:line="360" w:lineRule="auto"/>
        <w:ind w:left="1080"/>
        <w:jc w:val="both"/>
        <w:rPr>
          <w:rFonts w:ascii="David" w:hAnsi="David" w:cs="David"/>
          <w:sz w:val="24"/>
          <w:szCs w:val="24"/>
        </w:rPr>
      </w:pPr>
      <w:r>
        <w:rPr>
          <w:rFonts w:ascii="David" w:hAnsi="David" w:cs="David"/>
          <w:sz w:val="24"/>
          <w:szCs w:val="24"/>
          <w:rtl/>
        </w:rPr>
        <w:t xml:space="preserve">נראה כי עיקר התעקשותה של התביעה למיצוי ההליך הפלילי עם הנאשם על אף שניתן ללכת במסלול המנהלי, נובע מכך שמלכתחילה יוחסה לנאשם עבירת גידול סם. אולם, מרגע שתוקן כתב אישום, ויש להניח שהדבר נעשה מטעמים מוצדקים, הרי שאין לראות בכך משום "הטבה" לנאשם. </w:t>
      </w:r>
    </w:p>
    <w:p w14:paraId="7C6CE28E" w14:textId="77777777" w:rsidR="00F63ECE" w:rsidRDefault="00F63ECE" w:rsidP="00F63ECE">
      <w:pPr>
        <w:pStyle w:val="ListParagraph"/>
        <w:spacing w:line="360" w:lineRule="auto"/>
        <w:ind w:left="1080"/>
        <w:jc w:val="both"/>
        <w:rPr>
          <w:rFonts w:ascii="David" w:hAnsi="David" w:cs="David"/>
          <w:sz w:val="24"/>
          <w:szCs w:val="24"/>
        </w:rPr>
      </w:pPr>
    </w:p>
    <w:p w14:paraId="783C6096" w14:textId="77777777" w:rsidR="00F63ECE" w:rsidRDefault="00F63ECE" w:rsidP="00F63ECE">
      <w:pPr>
        <w:pStyle w:val="ListParagraph"/>
        <w:numPr>
          <w:ilvl w:val="1"/>
          <w:numId w:val="1"/>
        </w:numPr>
        <w:spacing w:line="360" w:lineRule="auto"/>
        <w:ind w:left="1080"/>
        <w:jc w:val="both"/>
        <w:rPr>
          <w:rFonts w:ascii="David" w:hAnsi="David" w:cs="David"/>
          <w:sz w:val="24"/>
          <w:szCs w:val="24"/>
        </w:rPr>
      </w:pPr>
      <w:r>
        <w:rPr>
          <w:rFonts w:ascii="David" w:hAnsi="David" w:cs="David"/>
          <w:sz w:val="24"/>
          <w:szCs w:val="24"/>
          <w:rtl/>
        </w:rPr>
        <w:t xml:space="preserve">טיעון התביעה בדבר "כפל מבצעים" עלול לעורר את החשש כי ההסדר שערכה עם הנאשם היה בבחינת מבצע. אך בשל חזקת התקינות אתעלם מאמירה זו של התביעה ואניח בטובתה, </w:t>
      </w:r>
      <w:r>
        <w:rPr>
          <w:rFonts w:ascii="David" w:hAnsi="David" w:cs="David" w:hint="cs"/>
          <w:sz w:val="24"/>
          <w:szCs w:val="24"/>
          <w:rtl/>
        </w:rPr>
        <w:t>ו</w:t>
      </w:r>
      <w:r>
        <w:rPr>
          <w:rFonts w:ascii="David" w:hAnsi="David" w:cs="David"/>
          <w:sz w:val="24"/>
          <w:szCs w:val="24"/>
          <w:rtl/>
        </w:rPr>
        <w:t>בהתאם לחזקת תקינות המנהל, כי ההסדר עם הנאשם נערך בהתאם לאינטרס הציבורי.</w:t>
      </w:r>
    </w:p>
    <w:p w14:paraId="3F525633" w14:textId="77777777" w:rsidR="00F63ECE" w:rsidRDefault="00F63ECE" w:rsidP="00F63ECE">
      <w:pPr>
        <w:pStyle w:val="ListParagraph"/>
        <w:spacing w:line="360" w:lineRule="auto"/>
        <w:ind w:left="1080"/>
        <w:jc w:val="both"/>
        <w:rPr>
          <w:rFonts w:ascii="David" w:hAnsi="David" w:cs="David"/>
          <w:sz w:val="24"/>
          <w:szCs w:val="24"/>
        </w:rPr>
      </w:pPr>
    </w:p>
    <w:p w14:paraId="54C1B82B" w14:textId="77777777" w:rsidR="00F63ECE" w:rsidRDefault="00F63ECE" w:rsidP="00F63ECE">
      <w:pPr>
        <w:pStyle w:val="ListParagraph"/>
        <w:numPr>
          <w:ilvl w:val="0"/>
          <w:numId w:val="1"/>
        </w:numPr>
        <w:spacing w:line="360" w:lineRule="auto"/>
        <w:ind w:left="360"/>
        <w:jc w:val="both"/>
        <w:rPr>
          <w:rFonts w:ascii="David" w:hAnsi="David" w:cs="David"/>
          <w:b/>
          <w:sz w:val="24"/>
          <w:szCs w:val="24"/>
        </w:rPr>
      </w:pPr>
      <w:r>
        <w:rPr>
          <w:rFonts w:ascii="David" w:hAnsi="David" w:cs="David"/>
          <w:b/>
          <w:sz w:val="24"/>
          <w:szCs w:val="24"/>
          <w:rtl/>
        </w:rPr>
        <w:t xml:space="preserve">לאור האמור, אני קובע כי הייתה למאשימה סמכות להמשיך את ההליך הפלילי נגד הנאשם, על אף שהעבירה הפכה לעבירה מנהלית לאחר תחילת המשפט, אך לא מצאתי כי הייתה לה סיבה מוצדקת לעשות זאת, ואף לא מצאתי באיזה אופן יש בכך כדי לשרת את האינטרס הציבורי. </w:t>
      </w:r>
    </w:p>
    <w:p w14:paraId="26C33B10" w14:textId="77777777" w:rsidR="00F63ECE" w:rsidRDefault="00F63ECE" w:rsidP="00F63ECE">
      <w:pPr>
        <w:pStyle w:val="ListParagraph"/>
        <w:spacing w:line="360" w:lineRule="auto"/>
        <w:ind w:left="360"/>
        <w:jc w:val="both"/>
        <w:rPr>
          <w:rFonts w:ascii="David" w:hAnsi="David" w:cs="David"/>
          <w:b/>
          <w:sz w:val="24"/>
          <w:szCs w:val="24"/>
        </w:rPr>
      </w:pPr>
    </w:p>
    <w:p w14:paraId="2ABDAECE" w14:textId="77777777" w:rsidR="00F63ECE" w:rsidRDefault="00F63ECE" w:rsidP="00F63ECE">
      <w:pPr>
        <w:pStyle w:val="ListParagraph"/>
        <w:numPr>
          <w:ilvl w:val="0"/>
          <w:numId w:val="1"/>
        </w:numPr>
        <w:spacing w:line="360" w:lineRule="auto"/>
        <w:ind w:left="360"/>
        <w:jc w:val="both"/>
        <w:rPr>
          <w:rFonts w:ascii="David" w:hAnsi="David" w:cs="David"/>
          <w:b/>
          <w:sz w:val="24"/>
          <w:szCs w:val="24"/>
        </w:rPr>
      </w:pPr>
      <w:r>
        <w:rPr>
          <w:rFonts w:ascii="David" w:hAnsi="David" w:cs="David"/>
          <w:b/>
          <w:sz w:val="24"/>
          <w:szCs w:val="24"/>
          <w:rtl/>
        </w:rPr>
        <w:t xml:space="preserve">משכל זה נאמר, אין בהתנהלות המאשימה כדי להצדיק סעד כמחיקת כתב אישום השמור למקרים קיצוניים, ראו למשל </w:t>
      </w:r>
      <w:hyperlink r:id="rId39" w:history="1">
        <w:r w:rsidR="00D169E2" w:rsidRPr="00D169E2">
          <w:rPr>
            <w:rFonts w:ascii="David" w:hAnsi="David" w:cs="David"/>
            <w:b/>
            <w:color w:val="0000FF"/>
            <w:sz w:val="24"/>
            <w:szCs w:val="24"/>
            <w:u w:val="single"/>
            <w:rtl/>
          </w:rPr>
          <w:t>ע"פ 6328/12</w:t>
        </w:r>
      </w:hyperlink>
      <w:r>
        <w:rPr>
          <w:rFonts w:ascii="David" w:hAnsi="David" w:cs="David"/>
          <w:b/>
          <w:sz w:val="24"/>
          <w:szCs w:val="24"/>
          <w:rtl/>
        </w:rPr>
        <w:t xml:space="preserve"> </w:t>
      </w:r>
      <w:r>
        <w:rPr>
          <w:rFonts w:ascii="David" w:hAnsi="David" w:cs="David"/>
          <w:bCs/>
          <w:sz w:val="24"/>
          <w:szCs w:val="24"/>
          <w:rtl/>
        </w:rPr>
        <w:t xml:space="preserve">פולדי פרץ נ' מדינת ישראל, </w:t>
      </w:r>
      <w:r w:rsidR="001C16AE" w:rsidRPr="001C16AE">
        <w:rPr>
          <w:rFonts w:ascii="Times New Roman" w:hAnsi="Times New Roman" w:cs="David"/>
          <w:szCs w:val="24"/>
          <w:rtl/>
        </w:rPr>
        <w:t xml:space="preserve">[פורסם בנבו] </w:t>
      </w:r>
      <w:r>
        <w:rPr>
          <w:rFonts w:ascii="David" w:hAnsi="David" w:cs="David"/>
          <w:b/>
          <w:sz w:val="24"/>
          <w:szCs w:val="24"/>
          <w:rtl/>
        </w:rPr>
        <w:t xml:space="preserve">והדברים נכונים ביתר שאת לאחר </w:t>
      </w:r>
      <w:hyperlink r:id="rId40" w:history="1">
        <w:r w:rsidR="00D169E2" w:rsidRPr="00D169E2">
          <w:rPr>
            <w:rFonts w:ascii="David" w:hAnsi="David" w:cs="David"/>
            <w:b/>
            <w:color w:val="0000FF"/>
            <w:sz w:val="24"/>
            <w:szCs w:val="24"/>
            <w:u w:val="single"/>
            <w:rtl/>
          </w:rPr>
          <w:t>דנ"פ 5387/20</w:t>
        </w:r>
      </w:hyperlink>
      <w:r>
        <w:rPr>
          <w:rFonts w:ascii="David" w:hAnsi="David" w:cs="David"/>
          <w:b/>
          <w:sz w:val="24"/>
          <w:szCs w:val="24"/>
          <w:rtl/>
        </w:rPr>
        <w:t xml:space="preserve"> </w:t>
      </w:r>
      <w:r>
        <w:rPr>
          <w:rFonts w:ascii="David" w:hAnsi="David" w:cs="David"/>
          <w:bCs/>
          <w:sz w:val="24"/>
          <w:szCs w:val="24"/>
          <w:rtl/>
        </w:rPr>
        <w:t>רפי רותם נ' מדינת ישראל</w:t>
      </w:r>
      <w:r w:rsidR="001C16AE">
        <w:rPr>
          <w:rFonts w:ascii="David" w:hAnsi="David" w:cs="David" w:hint="cs"/>
          <w:bCs/>
          <w:sz w:val="24"/>
          <w:szCs w:val="24"/>
          <w:rtl/>
        </w:rPr>
        <w:t xml:space="preserve"> </w:t>
      </w:r>
      <w:r w:rsidR="001C16AE" w:rsidRPr="001C16AE">
        <w:rPr>
          <w:rFonts w:ascii="Times New Roman" w:hAnsi="Times New Roman" w:cs="David"/>
          <w:szCs w:val="24"/>
          <w:rtl/>
        </w:rPr>
        <w:t xml:space="preserve">[פורסם בנבו] </w:t>
      </w:r>
      <w:r>
        <w:rPr>
          <w:rFonts w:ascii="David" w:hAnsi="David" w:cs="David"/>
          <w:b/>
          <w:sz w:val="24"/>
          <w:szCs w:val="24"/>
          <w:rtl/>
        </w:rPr>
        <w:t xml:space="preserve">. יחד עם זאת, אתן להתנהלות המאשימה משקל משמעותי ביחס לסוגיית ההרשעה וביחס לעונש. </w:t>
      </w:r>
    </w:p>
    <w:p w14:paraId="49E7CE15" w14:textId="77777777" w:rsidR="00F63ECE" w:rsidRDefault="00F63ECE" w:rsidP="00F63ECE">
      <w:pPr>
        <w:spacing w:line="360" w:lineRule="auto"/>
        <w:jc w:val="both"/>
        <w:rPr>
          <w:rFonts w:ascii="David" w:hAnsi="David"/>
          <w:bCs/>
          <w:rtl/>
        </w:rPr>
      </w:pPr>
    </w:p>
    <w:p w14:paraId="5CD9CCC6" w14:textId="77777777" w:rsidR="00F63ECE" w:rsidRDefault="00F63ECE" w:rsidP="00F63ECE">
      <w:pPr>
        <w:spacing w:line="360" w:lineRule="auto"/>
        <w:jc w:val="both"/>
        <w:rPr>
          <w:rFonts w:ascii="David" w:hAnsi="David"/>
          <w:bCs/>
          <w:sz w:val="30"/>
          <w:szCs w:val="30"/>
          <w:u w:val="single"/>
          <w:rtl/>
        </w:rPr>
      </w:pPr>
      <w:r>
        <w:rPr>
          <w:rFonts w:ascii="David" w:hAnsi="David"/>
          <w:bCs/>
          <w:sz w:val="30"/>
          <w:szCs w:val="30"/>
          <w:u w:val="single"/>
          <w:rtl/>
        </w:rPr>
        <w:t xml:space="preserve">סוגיית ביטול ההרשעה </w:t>
      </w:r>
    </w:p>
    <w:p w14:paraId="2A91BD45" w14:textId="77777777" w:rsidR="00F63ECE" w:rsidRDefault="00F63ECE" w:rsidP="00F63ECE">
      <w:pPr>
        <w:pStyle w:val="ListParagraph"/>
        <w:numPr>
          <w:ilvl w:val="0"/>
          <w:numId w:val="1"/>
        </w:numPr>
        <w:spacing w:line="360" w:lineRule="auto"/>
        <w:ind w:left="360"/>
        <w:jc w:val="both"/>
        <w:rPr>
          <w:sz w:val="24"/>
          <w:szCs w:val="24"/>
          <w:rtl/>
        </w:rPr>
      </w:pPr>
      <w:r>
        <w:rPr>
          <w:rFonts w:ascii="David" w:hAnsi="David" w:cs="David"/>
          <w:sz w:val="24"/>
          <w:szCs w:val="24"/>
          <w:rtl/>
        </w:rPr>
        <w:t>סוגיית ביטול ההרשעה מעוגנת</w:t>
      </w:r>
      <w:r w:rsidR="00D169E2">
        <w:rPr>
          <w:rFonts w:ascii="David" w:hAnsi="David" w:cs="David"/>
          <w:sz w:val="24"/>
          <w:szCs w:val="24"/>
          <w:rtl/>
        </w:rPr>
        <w:t xml:space="preserve"> </w:t>
      </w:r>
      <w:hyperlink r:id="rId41" w:history="1">
        <w:r w:rsidR="00625F70" w:rsidRPr="00625F70">
          <w:rPr>
            <w:rStyle w:val="Hyperlink"/>
            <w:rFonts w:ascii="David" w:hAnsi="David" w:cs="David"/>
            <w:sz w:val="24"/>
            <w:szCs w:val="24"/>
            <w:rtl/>
          </w:rPr>
          <w:t>בסעיף 192א</w:t>
        </w:r>
      </w:hyperlink>
      <w:r w:rsidR="00D169E2">
        <w:rPr>
          <w:rFonts w:ascii="David" w:hAnsi="David" w:cs="David"/>
          <w:sz w:val="24"/>
          <w:szCs w:val="24"/>
          <w:rtl/>
        </w:rPr>
        <w:t xml:space="preserve"> </w:t>
      </w:r>
      <w:r>
        <w:rPr>
          <w:rFonts w:ascii="David" w:hAnsi="David" w:cs="David"/>
          <w:sz w:val="24"/>
          <w:szCs w:val="24"/>
          <w:rtl/>
        </w:rPr>
        <w:t>ל</w:t>
      </w:r>
      <w:hyperlink r:id="rId42" w:history="1">
        <w:r w:rsidR="00D169E2" w:rsidRPr="00D169E2">
          <w:rPr>
            <w:rFonts w:ascii="David" w:hAnsi="David" w:cs="David"/>
            <w:color w:val="0000FF"/>
            <w:sz w:val="24"/>
            <w:szCs w:val="24"/>
            <w:u w:val="single"/>
            <w:rtl/>
          </w:rPr>
          <w:t>חוק סדר הדין הפלילי</w:t>
        </w:r>
      </w:hyperlink>
      <w:r>
        <w:rPr>
          <w:rFonts w:ascii="David" w:hAnsi="David" w:cs="David"/>
          <w:sz w:val="24"/>
          <w:szCs w:val="24"/>
          <w:rtl/>
        </w:rPr>
        <w:t>.</w:t>
      </w:r>
    </w:p>
    <w:p w14:paraId="3416C4C7" w14:textId="77777777" w:rsidR="00F63ECE" w:rsidRDefault="00F63ECE" w:rsidP="00F63ECE">
      <w:pPr>
        <w:pStyle w:val="ListParagraph"/>
        <w:spacing w:after="0" w:line="360" w:lineRule="auto"/>
        <w:jc w:val="both"/>
        <w:rPr>
          <w:sz w:val="24"/>
          <w:szCs w:val="24"/>
        </w:rPr>
      </w:pPr>
    </w:p>
    <w:p w14:paraId="6887CF6C" w14:textId="77777777" w:rsidR="00F63ECE" w:rsidRDefault="00F63ECE" w:rsidP="00F63ECE">
      <w:pPr>
        <w:pStyle w:val="ListParagraph"/>
        <w:numPr>
          <w:ilvl w:val="0"/>
          <w:numId w:val="1"/>
        </w:numPr>
        <w:spacing w:line="360" w:lineRule="auto"/>
        <w:ind w:left="360"/>
        <w:jc w:val="both"/>
        <w:rPr>
          <w:rFonts w:ascii="David" w:hAnsi="David" w:cs="David"/>
          <w:sz w:val="24"/>
          <w:szCs w:val="24"/>
        </w:rPr>
      </w:pPr>
      <w:r>
        <w:rPr>
          <w:rFonts w:ascii="David" w:hAnsi="David" w:cs="David"/>
          <w:sz w:val="24"/>
          <w:szCs w:val="24"/>
          <w:rtl/>
        </w:rPr>
        <w:t>ב</w:t>
      </w:r>
      <w:hyperlink r:id="rId43" w:history="1">
        <w:r w:rsidR="00D169E2" w:rsidRPr="00D169E2">
          <w:rPr>
            <w:rFonts w:ascii="David" w:hAnsi="David" w:cs="David"/>
            <w:color w:val="0000FF"/>
            <w:sz w:val="24"/>
            <w:szCs w:val="24"/>
            <w:u w:val="single"/>
            <w:rtl/>
          </w:rPr>
          <w:t>ע"פ 2083/96</w:t>
        </w:r>
      </w:hyperlink>
      <w:r w:rsidR="00D169E2">
        <w:rPr>
          <w:rFonts w:ascii="David" w:hAnsi="David" w:cs="David"/>
          <w:sz w:val="24"/>
          <w:szCs w:val="24"/>
          <w:rtl/>
        </w:rPr>
        <w:t xml:space="preserve"> </w:t>
      </w:r>
      <w:r>
        <w:rPr>
          <w:rFonts w:ascii="David" w:hAnsi="David" w:cs="David"/>
          <w:b/>
          <w:bCs/>
          <w:sz w:val="24"/>
          <w:szCs w:val="24"/>
          <w:rtl/>
        </w:rPr>
        <w:t>כתב נ' מדינת ישראל</w:t>
      </w:r>
      <w:r w:rsidR="00D169E2">
        <w:rPr>
          <w:rFonts w:ascii="David" w:hAnsi="David" w:cs="David"/>
          <w:sz w:val="24"/>
          <w:szCs w:val="24"/>
          <w:rtl/>
        </w:rPr>
        <w:t xml:space="preserve"> </w:t>
      </w:r>
      <w:r>
        <w:rPr>
          <w:rFonts w:ascii="David" w:hAnsi="David" w:cs="David"/>
          <w:sz w:val="24"/>
          <w:szCs w:val="24"/>
          <w:rtl/>
        </w:rPr>
        <w:t xml:space="preserve">נקבע כי, משהוכח ביצועה של עבירה, יש להרשיע את הנאשם, זולת מקרים יוצאי דופן בהם אין יחס סביר בין הנזק הצפוי לנאשם מן ההרשעה לבין חומרתה של העבירה. זאת, על מנת שלא לפגוע בחובת מיצוי הדין עם עבריינים [ראו </w:t>
      </w:r>
      <w:hyperlink r:id="rId44" w:history="1">
        <w:r w:rsidR="00D169E2" w:rsidRPr="00D169E2">
          <w:rPr>
            <w:rFonts w:ascii="David" w:hAnsi="David" w:cs="David"/>
            <w:color w:val="0000FF"/>
            <w:sz w:val="24"/>
            <w:szCs w:val="24"/>
            <w:u w:val="single"/>
            <w:rtl/>
          </w:rPr>
          <w:t>ע״פ 2669/00</w:t>
        </w:r>
      </w:hyperlink>
      <w:r w:rsidR="00D169E2">
        <w:rPr>
          <w:rFonts w:ascii="David" w:hAnsi="David" w:cs="David"/>
          <w:sz w:val="24"/>
          <w:szCs w:val="24"/>
          <w:rtl/>
        </w:rPr>
        <w:t xml:space="preserve"> </w:t>
      </w:r>
      <w:r>
        <w:rPr>
          <w:rFonts w:ascii="David" w:hAnsi="David" w:cs="David"/>
          <w:b/>
          <w:bCs/>
          <w:sz w:val="24"/>
          <w:szCs w:val="24"/>
          <w:rtl/>
        </w:rPr>
        <w:t>מדינת ישראל נ׳ פלוני</w:t>
      </w:r>
      <w:r w:rsidR="001C16AE">
        <w:rPr>
          <w:rFonts w:ascii="David" w:hAnsi="David" w:cs="David" w:hint="cs"/>
          <w:b/>
          <w:bCs/>
          <w:sz w:val="24"/>
          <w:szCs w:val="24"/>
          <w:rtl/>
        </w:rPr>
        <w:t xml:space="preserve"> </w:t>
      </w:r>
      <w:r w:rsidR="001C16AE" w:rsidRPr="001C16AE">
        <w:rPr>
          <w:rFonts w:ascii="Times New Roman" w:hAnsi="Times New Roman" w:cs="David"/>
          <w:szCs w:val="24"/>
          <w:rtl/>
        </w:rPr>
        <w:t xml:space="preserve">[פורסם בנבו] </w:t>
      </w:r>
      <w:r>
        <w:rPr>
          <w:rFonts w:ascii="David" w:hAnsi="David" w:cs="David"/>
          <w:b/>
          <w:bCs/>
          <w:sz w:val="24"/>
          <w:szCs w:val="24"/>
          <w:rtl/>
        </w:rPr>
        <w:t>]</w:t>
      </w:r>
      <w:r>
        <w:rPr>
          <w:rFonts w:ascii="David" w:hAnsi="David" w:cs="David"/>
          <w:sz w:val="24"/>
          <w:szCs w:val="24"/>
          <w:rtl/>
        </w:rPr>
        <w:t>, ועל מנת שלא לגרום לפגיעה מהותית בעקרון השוויון בפני החוק ובשיקולי ענישה אחרים [ראו</w:t>
      </w:r>
      <w:r w:rsidR="00D169E2">
        <w:rPr>
          <w:rFonts w:ascii="David" w:hAnsi="David" w:cs="David"/>
          <w:sz w:val="24"/>
          <w:szCs w:val="24"/>
          <w:rtl/>
        </w:rPr>
        <w:t xml:space="preserve"> </w:t>
      </w:r>
      <w:hyperlink r:id="rId45" w:history="1">
        <w:r w:rsidR="001C16AE" w:rsidRPr="001C16AE">
          <w:rPr>
            <w:rStyle w:val="Hyperlink"/>
            <w:rFonts w:ascii="David" w:hAnsi="David" w:cs="David"/>
            <w:sz w:val="24"/>
            <w:szCs w:val="24"/>
            <w:rtl/>
          </w:rPr>
          <w:t>ע"פ 1082/06</w:t>
        </w:r>
      </w:hyperlink>
      <w:r w:rsidR="00D169E2">
        <w:rPr>
          <w:rFonts w:ascii="David" w:hAnsi="David" w:cs="David"/>
          <w:sz w:val="24"/>
          <w:szCs w:val="24"/>
          <w:rtl/>
        </w:rPr>
        <w:t xml:space="preserve"> </w:t>
      </w:r>
      <w:r>
        <w:rPr>
          <w:rFonts w:ascii="David" w:hAnsi="David" w:cs="David"/>
          <w:b/>
          <w:bCs/>
          <w:sz w:val="24"/>
          <w:szCs w:val="24"/>
          <w:rtl/>
        </w:rPr>
        <w:t>מיכאל שוראקי נ' מדינת ישראל</w:t>
      </w:r>
      <w:r w:rsidR="00D169E2">
        <w:rPr>
          <w:rFonts w:ascii="David" w:hAnsi="David" w:cs="David"/>
          <w:sz w:val="24"/>
          <w:szCs w:val="24"/>
          <w:rtl/>
        </w:rPr>
        <w:t xml:space="preserve"> </w:t>
      </w:r>
      <w:r w:rsidR="001C16AE" w:rsidRPr="001C16AE">
        <w:rPr>
          <w:rFonts w:ascii="Times New Roman" w:hAnsi="Times New Roman" w:cs="David"/>
          <w:szCs w:val="24"/>
          <w:rtl/>
        </w:rPr>
        <w:t xml:space="preserve">[פורסם בנבו] </w:t>
      </w:r>
      <w:r>
        <w:rPr>
          <w:rFonts w:ascii="David" w:hAnsi="David" w:cs="David"/>
          <w:sz w:val="24"/>
          <w:szCs w:val="24"/>
          <w:rtl/>
        </w:rPr>
        <w:t xml:space="preserve">] </w:t>
      </w:r>
    </w:p>
    <w:p w14:paraId="3D2D46DD" w14:textId="77777777" w:rsidR="00F63ECE" w:rsidRDefault="00F63ECE" w:rsidP="00F63ECE">
      <w:pPr>
        <w:pStyle w:val="ListParagraph"/>
        <w:rPr>
          <w:rFonts w:ascii="David" w:hAnsi="David" w:cs="David"/>
          <w:sz w:val="24"/>
          <w:szCs w:val="24"/>
        </w:rPr>
      </w:pPr>
    </w:p>
    <w:p w14:paraId="0D0463F4"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בבחינת חומרת העבירה שבענייננו, הרי שמשקבע המחוקק כי מדובר בעבירה מנהלית, לא מדובר עוד בעבירה שחומרתה כשלעצמה מצדיקה הרשעה. משאלו הם פני הדברים, הרי שמכאן ואילך עבירת החזקת סם לצריכה עצמית, בעניינו של נעדר עבר פלילי, מצדיקה על פניה ביטול הרשעה גם מבלי לערוך איזון עם הנזק הצפוי לנאשם מההרשעה. המחוקק אמר את דברו.</w:t>
      </w:r>
    </w:p>
    <w:p w14:paraId="7C7B4F0B" w14:textId="77777777" w:rsidR="00F63ECE" w:rsidRDefault="00F63ECE" w:rsidP="00F63ECE">
      <w:pPr>
        <w:pStyle w:val="ListParagraph"/>
        <w:rPr>
          <w:rFonts w:ascii="David" w:hAnsi="David" w:cs="David"/>
          <w:sz w:val="24"/>
          <w:szCs w:val="24"/>
        </w:rPr>
      </w:pPr>
    </w:p>
    <w:p w14:paraId="21945D2C" w14:textId="77777777" w:rsidR="00F63ECE" w:rsidRPr="00F63ECE" w:rsidRDefault="00F63ECE" w:rsidP="00F63ECE">
      <w:pPr>
        <w:pStyle w:val="ListParagraph"/>
        <w:numPr>
          <w:ilvl w:val="0"/>
          <w:numId w:val="1"/>
        </w:numPr>
        <w:spacing w:line="360" w:lineRule="auto"/>
        <w:ind w:left="360"/>
        <w:jc w:val="both"/>
        <w:rPr>
          <w:rFonts w:ascii="David" w:hAnsi="David" w:cs="David"/>
          <w:bCs/>
          <w:sz w:val="24"/>
          <w:szCs w:val="24"/>
          <w:rtl/>
        </w:rPr>
      </w:pPr>
      <w:r>
        <w:rPr>
          <w:rFonts w:ascii="David" w:hAnsi="David" w:cs="David"/>
          <w:sz w:val="24"/>
          <w:szCs w:val="24"/>
          <w:rtl/>
        </w:rPr>
        <w:t xml:space="preserve">זאת ועוד, כפי שהבהרתי קודם, בהתאם </w:t>
      </w:r>
      <w:hyperlink r:id="rId46" w:history="1">
        <w:r w:rsidR="00625F70" w:rsidRPr="00625F70">
          <w:rPr>
            <w:rStyle w:val="Hyperlink"/>
            <w:rFonts w:ascii="David" w:hAnsi="David" w:cs="David"/>
            <w:sz w:val="24"/>
            <w:szCs w:val="24"/>
            <w:rtl/>
          </w:rPr>
          <w:t>לסעיף 5</w:t>
        </w:r>
      </w:hyperlink>
      <w:r>
        <w:rPr>
          <w:rFonts w:ascii="David" w:hAnsi="David" w:cs="David"/>
          <w:sz w:val="24"/>
          <w:szCs w:val="24"/>
          <w:rtl/>
        </w:rPr>
        <w:t xml:space="preserve"> ל</w:t>
      </w:r>
      <w:hyperlink r:id="rId47" w:history="1">
        <w:r w:rsidR="00D169E2" w:rsidRPr="00D169E2">
          <w:rPr>
            <w:rFonts w:ascii="David" w:hAnsi="David" w:cs="David"/>
            <w:color w:val="0000FF"/>
            <w:sz w:val="24"/>
            <w:szCs w:val="24"/>
            <w:u w:val="single"/>
            <w:rtl/>
          </w:rPr>
          <w:t>חוק העונשין</w:t>
        </w:r>
      </w:hyperlink>
      <w:r>
        <w:rPr>
          <w:rFonts w:ascii="David" w:hAnsi="David" w:cs="David"/>
          <w:sz w:val="24"/>
          <w:szCs w:val="24"/>
          <w:rtl/>
        </w:rPr>
        <w:t xml:space="preserve">, אם שונתה עבירה וטרם ניתן פסק דין חלוט יחול על העניין החיקוק המקל עם העושה. הדין המקל כיום הינו קנס מנהלי ללא הרשעה בפלילים. לפיכך, נראה כי הקו המנחה הוא שבעבירות החזקת סם קנאביס לצריכה עצמית, מצופה מהתביעה, לכל הפחות בנסיבות בהן מדובר במי שהינו נעדר עבר פלילי, ונעדר סנקציות מנהליות קודמות, להסכים כי הנאשם לא יורשע. </w:t>
      </w:r>
    </w:p>
    <w:p w14:paraId="53C72458" w14:textId="77777777" w:rsidR="00F63ECE" w:rsidRDefault="00F63ECE" w:rsidP="00F63ECE">
      <w:pPr>
        <w:pStyle w:val="ListParagraph"/>
        <w:spacing w:line="360" w:lineRule="auto"/>
        <w:ind w:left="360"/>
        <w:jc w:val="both"/>
        <w:rPr>
          <w:rFonts w:ascii="David" w:hAnsi="David" w:cs="David"/>
          <w:bCs/>
          <w:sz w:val="24"/>
          <w:szCs w:val="24"/>
        </w:rPr>
      </w:pPr>
    </w:p>
    <w:p w14:paraId="19CA2920" w14:textId="77777777" w:rsidR="00F63ECE" w:rsidRDefault="00F63ECE" w:rsidP="00F63ECE">
      <w:pPr>
        <w:pStyle w:val="ListParagraph"/>
        <w:numPr>
          <w:ilvl w:val="0"/>
          <w:numId w:val="1"/>
        </w:numPr>
        <w:spacing w:line="360" w:lineRule="auto"/>
        <w:ind w:left="360"/>
        <w:jc w:val="both"/>
        <w:rPr>
          <w:rFonts w:ascii="David" w:hAnsi="David" w:cs="David"/>
          <w:sz w:val="24"/>
          <w:szCs w:val="24"/>
        </w:rPr>
      </w:pPr>
      <w:r>
        <w:rPr>
          <w:rFonts w:ascii="David" w:hAnsi="David" w:cs="David"/>
          <w:sz w:val="24"/>
          <w:szCs w:val="24"/>
          <w:rtl/>
        </w:rPr>
        <w:t>אם בכך לא די</w:t>
      </w:r>
      <w:r>
        <w:rPr>
          <w:rFonts w:ascii="David" w:hAnsi="David" w:cs="David"/>
          <w:b/>
          <w:sz w:val="24"/>
          <w:szCs w:val="24"/>
          <w:rtl/>
        </w:rPr>
        <w:t>, הרי שלאחרונה מחלקת חנינות של משרד המשפטים יצאה בקריאה נרגשת לציבור שכותרתה: "</w:t>
      </w:r>
      <w:r>
        <w:rPr>
          <w:rFonts w:ascii="David" w:hAnsi="David" w:cs="David"/>
          <w:bCs/>
          <w:sz w:val="24"/>
          <w:szCs w:val="24"/>
          <w:rtl/>
        </w:rPr>
        <w:t xml:space="preserve">קריאה מיוחדת להגשת בקשות למחיקת רישום פלילי בגין החזקה או שימוש בקנאביס לצריכה עצמית בלבד".                              </w:t>
      </w:r>
      <w:r>
        <w:rPr>
          <w:rFonts w:ascii="David" w:hAnsi="David" w:cs="David"/>
          <w:bCs/>
          <w:sz w:val="24"/>
          <w:szCs w:val="24"/>
        </w:rPr>
        <w:t xml:space="preserve">     </w:t>
      </w:r>
      <w:hyperlink r:id="rId48" w:history="1">
        <w:r>
          <w:rPr>
            <w:rStyle w:val="Hyperlink"/>
            <w:rFonts w:ascii="David" w:hAnsi="David" w:cs="David"/>
            <w:bCs/>
            <w:sz w:val="24"/>
            <w:szCs w:val="24"/>
          </w:rPr>
          <w:t>https://www.gov.il/he/departments/news/news-08-03-2022</w:t>
        </w:r>
      </w:hyperlink>
      <w:r>
        <w:rPr>
          <w:rFonts w:ascii="David" w:hAnsi="David" w:cs="David"/>
          <w:bCs/>
          <w:sz w:val="24"/>
          <w:szCs w:val="24"/>
          <w:rtl/>
        </w:rPr>
        <w:t xml:space="preserve">  </w:t>
      </w:r>
    </w:p>
    <w:p w14:paraId="7B986C57" w14:textId="77777777" w:rsidR="00F63ECE" w:rsidRDefault="00F63ECE" w:rsidP="00F63ECE">
      <w:pPr>
        <w:pStyle w:val="ListParagraph"/>
        <w:rPr>
          <w:rFonts w:ascii="David" w:hAnsi="David" w:cs="David"/>
          <w:sz w:val="24"/>
          <w:szCs w:val="24"/>
        </w:rPr>
      </w:pPr>
    </w:p>
    <w:p w14:paraId="21813CE5"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שם</w:t>
      </w:r>
      <w:r>
        <w:rPr>
          <w:rFonts w:ascii="David" w:hAnsi="David" w:cs="David"/>
          <w:b/>
          <w:sz w:val="24"/>
          <w:szCs w:val="24"/>
          <w:rtl/>
        </w:rPr>
        <w:t xml:space="preserve"> נכתב בין השאר כי: </w:t>
      </w:r>
      <w:r>
        <w:rPr>
          <w:rFonts w:ascii="David" w:hAnsi="David" w:cs="David"/>
          <w:bCs/>
          <w:sz w:val="24"/>
          <w:szCs w:val="24"/>
          <w:rtl/>
        </w:rPr>
        <w:t xml:space="preserve"> "</w:t>
      </w:r>
      <w:r>
        <w:rPr>
          <w:rFonts w:ascii="David" w:hAnsi="David" w:cs="David"/>
          <w:b/>
          <w:bCs/>
          <w:sz w:val="24"/>
          <w:szCs w:val="24"/>
          <w:shd w:val="clear" w:color="auto" w:fill="FFFFFF"/>
          <w:rtl/>
        </w:rPr>
        <w:t>כמהלך משלים</w:t>
      </w:r>
      <w:r w:rsidR="00D169E2">
        <w:rPr>
          <w:rFonts w:ascii="David" w:hAnsi="David" w:cs="David"/>
          <w:sz w:val="24"/>
          <w:szCs w:val="24"/>
          <w:shd w:val="clear" w:color="auto" w:fill="FFFFFF"/>
          <w:rtl/>
        </w:rPr>
        <w:t xml:space="preserve"> </w:t>
      </w:r>
      <w:r>
        <w:rPr>
          <w:rStyle w:val="a9"/>
          <w:rFonts w:ascii="David" w:hAnsi="David" w:cs="David"/>
          <w:sz w:val="24"/>
          <w:szCs w:val="24"/>
          <w:shd w:val="clear" w:color="auto" w:fill="FFFFFF"/>
          <w:rtl/>
        </w:rPr>
        <w:t>ומתוך רצון להסיר את התיוג הפלילי ואת הכתם הנלווה אליו, ממי שעבר בעברו עבירה של החזקה או שימוש עצמי בקנאביס יוצאים נשיא המדינה, יצחק הרצוג וסגן רה"מ ושר המשפטים, גדעון סער, בקריאה מיוחדת למי שנשפטו בעבר בבית משפט בגין עבירות שעניינן החזקה או שימוש בקנאביס לצריכה עצמית, ולא נשפטו בגין עבירות נוספות - להגיש בקשות למחיקת רישום פלילי, והכל כמפורט להלן</w:t>
      </w:r>
      <w:r>
        <w:rPr>
          <w:rStyle w:val="a9"/>
          <w:rFonts w:ascii="David" w:hAnsi="David" w:cs="David"/>
          <w:sz w:val="24"/>
          <w:szCs w:val="24"/>
          <w:shd w:val="clear" w:color="auto" w:fill="FFFFFF"/>
        </w:rPr>
        <w:t>.</w:t>
      </w:r>
      <w:r>
        <w:rPr>
          <w:rStyle w:val="a9"/>
          <w:rFonts w:ascii="David" w:hAnsi="David" w:cs="David"/>
          <w:sz w:val="24"/>
          <w:szCs w:val="24"/>
          <w:shd w:val="clear" w:color="auto" w:fill="FFFFFF"/>
          <w:rtl/>
        </w:rPr>
        <w:t>"</w:t>
      </w:r>
      <w:r>
        <w:rPr>
          <w:rFonts w:ascii="David" w:hAnsi="David" w:cs="David"/>
          <w:sz w:val="24"/>
          <w:szCs w:val="24"/>
          <w:rtl/>
        </w:rPr>
        <w:t xml:space="preserve"> </w:t>
      </w:r>
    </w:p>
    <w:p w14:paraId="7609D742" w14:textId="77777777" w:rsidR="00F63ECE" w:rsidRDefault="00F63ECE" w:rsidP="00F63ECE">
      <w:pPr>
        <w:pStyle w:val="ListParagraph"/>
        <w:rPr>
          <w:rFonts w:ascii="David" w:hAnsi="David" w:cs="David"/>
          <w:sz w:val="24"/>
          <w:szCs w:val="24"/>
        </w:rPr>
      </w:pPr>
    </w:p>
    <w:p w14:paraId="7293F669"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הנה כי כן, לא ברור מדוע מבקשת המדינה בידה האחת להרשיע נאשם נעדר עבר פלילי, בעבירה של החזקת סם לצריכה עצמית, ואילו בידה השנייה, מזמינה את מי שכבר הורשע בעבירה של החזקת סם לצריכה עצמית להגיש בקשת חנינה. </w:t>
      </w:r>
    </w:p>
    <w:p w14:paraId="316108AA" w14:textId="77777777" w:rsidR="00F63ECE" w:rsidRDefault="00F63ECE" w:rsidP="00F63ECE">
      <w:pPr>
        <w:pStyle w:val="ListParagraph"/>
        <w:spacing w:line="360" w:lineRule="auto"/>
        <w:jc w:val="both"/>
        <w:rPr>
          <w:rFonts w:ascii="David" w:hAnsi="David" w:cs="David"/>
          <w:bCs/>
          <w:sz w:val="24"/>
          <w:szCs w:val="24"/>
          <w:rtl/>
        </w:rPr>
      </w:pPr>
    </w:p>
    <w:p w14:paraId="72963899" w14:textId="77777777" w:rsidR="00F63ECE" w:rsidRDefault="00F63ECE" w:rsidP="001C16AE">
      <w:pPr>
        <w:pStyle w:val="ListParagraph"/>
        <w:numPr>
          <w:ilvl w:val="0"/>
          <w:numId w:val="1"/>
        </w:numPr>
        <w:spacing w:line="360" w:lineRule="auto"/>
        <w:ind w:left="360"/>
        <w:jc w:val="both"/>
        <w:rPr>
          <w:rFonts w:ascii="David" w:hAnsi="David" w:cs="David"/>
          <w:bCs/>
          <w:sz w:val="24"/>
          <w:szCs w:val="24"/>
        </w:rPr>
      </w:pPr>
      <w:r>
        <w:rPr>
          <w:rFonts w:ascii="David" w:hAnsi="David" w:cs="David"/>
          <w:sz w:val="24"/>
          <w:szCs w:val="24"/>
          <w:rtl/>
        </w:rPr>
        <w:t>עוד</w:t>
      </w:r>
      <w:r>
        <w:rPr>
          <w:rFonts w:ascii="David" w:hAnsi="David" w:cs="David"/>
          <w:b/>
          <w:sz w:val="24"/>
          <w:szCs w:val="24"/>
          <w:rtl/>
        </w:rPr>
        <w:t xml:space="preserve"> יצוין כי </w:t>
      </w:r>
      <w:hyperlink r:id="rId49" w:history="1">
        <w:r w:rsidR="00625F70" w:rsidRPr="00625F70">
          <w:rPr>
            <w:rStyle w:val="Hyperlink"/>
            <w:rFonts w:ascii="David" w:hAnsi="David" w:cs="David"/>
            <w:b/>
            <w:sz w:val="24"/>
            <w:szCs w:val="24"/>
            <w:rtl/>
          </w:rPr>
          <w:t>סעיף 23</w:t>
        </w:r>
      </w:hyperlink>
      <w:r>
        <w:rPr>
          <w:rFonts w:ascii="David" w:hAnsi="David" w:cs="David"/>
          <w:b/>
          <w:sz w:val="24"/>
          <w:szCs w:val="24"/>
          <w:rtl/>
        </w:rPr>
        <w:t xml:space="preserve"> ל</w:t>
      </w:r>
      <w:hyperlink r:id="rId50" w:history="1">
        <w:r w:rsidR="00D169E2" w:rsidRPr="00D169E2">
          <w:rPr>
            <w:rFonts w:ascii="David" w:hAnsi="David" w:cs="David"/>
            <w:b/>
            <w:color w:val="0000FF"/>
            <w:sz w:val="24"/>
            <w:szCs w:val="24"/>
            <w:u w:val="single"/>
            <w:rtl/>
          </w:rPr>
          <w:t>חוק העבירות המנהליות</w:t>
        </w:r>
      </w:hyperlink>
      <w:r>
        <w:rPr>
          <w:rFonts w:ascii="David" w:hAnsi="David" w:cs="David"/>
          <w:b/>
          <w:sz w:val="24"/>
          <w:szCs w:val="24"/>
          <w:rtl/>
        </w:rPr>
        <w:t xml:space="preserve"> קובע</w:t>
      </w:r>
      <w:r>
        <w:rPr>
          <w:rFonts w:ascii="David" w:hAnsi="David" w:cs="David"/>
          <w:bCs/>
          <w:sz w:val="24"/>
          <w:szCs w:val="24"/>
          <w:rtl/>
        </w:rPr>
        <w:t xml:space="preserve"> </w:t>
      </w:r>
      <w:r>
        <w:rPr>
          <w:rFonts w:ascii="David" w:hAnsi="David" w:cs="David"/>
          <w:b/>
          <w:sz w:val="24"/>
          <w:szCs w:val="24"/>
          <w:rtl/>
        </w:rPr>
        <w:t>כי</w:t>
      </w:r>
      <w:r>
        <w:rPr>
          <w:rFonts w:ascii="David" w:hAnsi="David" w:cs="David"/>
          <w:bCs/>
          <w:sz w:val="24"/>
          <w:szCs w:val="24"/>
          <w:rtl/>
        </w:rPr>
        <w:t>:</w:t>
      </w:r>
      <w:r>
        <w:rPr>
          <w:rFonts w:ascii="David" w:hAnsi="David" w:cs="David"/>
          <w:bCs/>
          <w:sz w:val="24"/>
          <w:szCs w:val="24"/>
        </w:rPr>
        <w:t xml:space="preserve"> </w:t>
      </w:r>
      <w:r>
        <w:rPr>
          <w:rFonts w:ascii="David" w:hAnsi="David" w:cs="David"/>
          <w:bCs/>
          <w:sz w:val="24"/>
          <w:szCs w:val="24"/>
          <w:rtl/>
        </w:rPr>
        <w:t xml:space="preserve">" </w:t>
      </w:r>
      <w:r>
        <w:rPr>
          <w:rFonts w:ascii="David" w:hAnsi="David" w:cs="David"/>
          <w:b/>
          <w:bCs/>
          <w:color w:val="000000"/>
          <w:sz w:val="24"/>
          <w:szCs w:val="24"/>
          <w:rtl/>
        </w:rPr>
        <w:t>שילם אדם קנס מינהלי שהוטל עליו – כופרה העבירה</w:t>
      </w:r>
      <w:r>
        <w:rPr>
          <w:rFonts w:ascii="David" w:hAnsi="David" w:cs="David"/>
          <w:bCs/>
          <w:sz w:val="24"/>
          <w:szCs w:val="24"/>
          <w:rtl/>
        </w:rPr>
        <w:t xml:space="preserve">". </w:t>
      </w:r>
      <w:r>
        <w:rPr>
          <w:rFonts w:ascii="David" w:hAnsi="David" w:cs="David"/>
          <w:b/>
          <w:sz w:val="24"/>
          <w:szCs w:val="24"/>
          <w:rtl/>
        </w:rPr>
        <w:t>דהיינו</w:t>
      </w:r>
      <w:r>
        <w:rPr>
          <w:rFonts w:ascii="David" w:hAnsi="David" w:cs="David"/>
          <w:bCs/>
          <w:sz w:val="24"/>
          <w:szCs w:val="24"/>
          <w:rtl/>
        </w:rPr>
        <w:t xml:space="preserve">, </w:t>
      </w:r>
      <w:hyperlink r:id="rId51" w:history="1">
        <w:r w:rsidR="00D169E2" w:rsidRPr="00D169E2">
          <w:rPr>
            <w:rFonts w:ascii="David" w:hAnsi="David" w:cs="David"/>
            <w:b/>
            <w:color w:val="0000FF"/>
            <w:sz w:val="24"/>
            <w:szCs w:val="24"/>
            <w:u w:val="single"/>
            <w:rtl/>
          </w:rPr>
          <w:t>חוק העבירות המנהליות</w:t>
        </w:r>
      </w:hyperlink>
      <w:r>
        <w:rPr>
          <w:rFonts w:ascii="David" w:hAnsi="David" w:cs="David"/>
          <w:b/>
          <w:sz w:val="24"/>
          <w:szCs w:val="24"/>
          <w:rtl/>
        </w:rPr>
        <w:t xml:space="preserve"> מאפשר לאדם לכפר על מעשיו על ידי שילום הקנס ובכך להימנע מהכתמה בפלילים. ובעניין זה ראו למשל </w:t>
      </w:r>
      <w:hyperlink r:id="rId52" w:history="1">
        <w:r w:rsidR="00D169E2" w:rsidRPr="00D169E2">
          <w:rPr>
            <w:rFonts w:ascii="David" w:hAnsi="David" w:cs="David"/>
            <w:b/>
            <w:color w:val="0000FF"/>
            <w:sz w:val="24"/>
            <w:szCs w:val="24"/>
            <w:u w:val="single"/>
            <w:rtl/>
          </w:rPr>
          <w:t>בג"ץ 2126/99</w:t>
        </w:r>
      </w:hyperlink>
      <w:r>
        <w:rPr>
          <w:rFonts w:ascii="David" w:hAnsi="David" w:cs="David"/>
          <w:bCs/>
          <w:sz w:val="24"/>
          <w:szCs w:val="24"/>
          <w:rtl/>
        </w:rPr>
        <w:t xml:space="preserve"> דה הס נ' עיריית תל אביב יפו</w:t>
      </w:r>
      <w:r w:rsidR="001C16AE">
        <w:rPr>
          <w:rFonts w:ascii="David" w:hAnsi="David" w:cs="David" w:hint="cs"/>
          <w:bCs/>
          <w:sz w:val="24"/>
          <w:szCs w:val="24"/>
          <w:rtl/>
        </w:rPr>
        <w:t xml:space="preserve"> </w:t>
      </w:r>
      <w:r w:rsidR="001C16AE" w:rsidRPr="001C16AE">
        <w:rPr>
          <w:rFonts w:ascii="Times New Roman" w:hAnsi="Times New Roman" w:cs="David"/>
          <w:szCs w:val="24"/>
          <w:rtl/>
        </w:rPr>
        <w:t>[פורסם בנבו]</w:t>
      </w:r>
      <w:r>
        <w:rPr>
          <w:rFonts w:ascii="David" w:hAnsi="David" w:cs="David"/>
          <w:bCs/>
          <w:sz w:val="24"/>
          <w:szCs w:val="24"/>
          <w:rtl/>
        </w:rPr>
        <w:t xml:space="preserve">. </w:t>
      </w:r>
      <w:r>
        <w:rPr>
          <w:rFonts w:ascii="David" w:hAnsi="David" w:cs="David"/>
          <w:b/>
          <w:sz w:val="24"/>
          <w:szCs w:val="24"/>
          <w:rtl/>
        </w:rPr>
        <w:t>באותו עניין הסביר בית המשפט את רציונל הכפרה הטמון בהליך המנהלי:</w:t>
      </w:r>
      <w:r>
        <w:rPr>
          <w:rFonts w:ascii="David" w:hAnsi="David" w:cs="David"/>
          <w:bCs/>
          <w:sz w:val="24"/>
          <w:szCs w:val="24"/>
          <w:rtl/>
        </w:rPr>
        <w:t xml:space="preserve"> </w:t>
      </w:r>
      <w:r>
        <w:rPr>
          <w:rFonts w:ascii="David" w:hAnsi="David" w:cs="David"/>
          <w:sz w:val="24"/>
          <w:szCs w:val="24"/>
          <w:rtl/>
        </w:rPr>
        <w:t>"</w:t>
      </w:r>
      <w:r>
        <w:rPr>
          <w:rFonts w:ascii="David" w:hAnsi="David" w:cs="David"/>
          <w:b/>
          <w:bCs/>
          <w:sz w:val="24"/>
          <w:szCs w:val="24"/>
          <w:rtl/>
        </w:rPr>
        <w:t>אחת המטרות שביסוד קביעתן של עבירות כעבירות מינהליות היא להבדילן מעבירות פליליות. טעם הדבר הוא, מתן אפשרות למי שעבר עבירה מינהלית לשאת בתשלום קנס מתאים בלא שיוכתם בכתם של מי שעבר עבירה פלילית.</w:t>
      </w:r>
      <w:r>
        <w:rPr>
          <w:rFonts w:ascii="David" w:hAnsi="David" w:cs="David"/>
          <w:sz w:val="24"/>
          <w:szCs w:val="24"/>
          <w:rtl/>
        </w:rPr>
        <w:t>". בענייננו הרים הנאשם תרומה בסך 500 ₪ לעמותת "אל סם", ונראה כי די בכך כדי לכפר על המעשה, שאינו מצדיק עוד לשיטת המחוקק הכתמה בפלילים.</w:t>
      </w:r>
      <w:r>
        <w:rPr>
          <w:rFonts w:ascii="David" w:hAnsi="David" w:cs="David"/>
          <w:bCs/>
          <w:sz w:val="24"/>
          <w:szCs w:val="24"/>
          <w:rtl/>
        </w:rPr>
        <w:t xml:space="preserve"> </w:t>
      </w:r>
      <w:r>
        <w:rPr>
          <w:rFonts w:ascii="David" w:hAnsi="David" w:cs="David"/>
          <w:b/>
          <w:sz w:val="24"/>
          <w:szCs w:val="24"/>
          <w:rtl/>
        </w:rPr>
        <w:t xml:space="preserve">אף בטעם זה יש כדי לחזק את המסקנה כי יש לבטל את הרשעתו של הנאשם. </w:t>
      </w:r>
    </w:p>
    <w:p w14:paraId="0806336E" w14:textId="77777777" w:rsidR="00F63ECE" w:rsidRDefault="00F63ECE" w:rsidP="00F63ECE">
      <w:pPr>
        <w:pStyle w:val="ListParagraph"/>
        <w:rPr>
          <w:rFonts w:ascii="David" w:hAnsi="David" w:cs="David"/>
          <w:bCs/>
          <w:sz w:val="24"/>
          <w:szCs w:val="24"/>
        </w:rPr>
      </w:pPr>
    </w:p>
    <w:p w14:paraId="70EFC186" w14:textId="77777777" w:rsidR="00F63ECE" w:rsidRDefault="00F63ECE" w:rsidP="00F63ECE">
      <w:pPr>
        <w:spacing w:line="360" w:lineRule="auto"/>
        <w:jc w:val="both"/>
        <w:rPr>
          <w:rFonts w:ascii="David" w:hAnsi="David"/>
          <w:bCs/>
          <w:rtl/>
        </w:rPr>
      </w:pPr>
      <w:r>
        <w:rPr>
          <w:rFonts w:ascii="David" w:hAnsi="David"/>
          <w:bCs/>
          <w:rtl/>
        </w:rPr>
        <w:t xml:space="preserve">אשר על כן אני מורה על ביטול הרשעת הנאשם. </w:t>
      </w:r>
    </w:p>
    <w:p w14:paraId="38E02538" w14:textId="77777777" w:rsidR="00F63ECE" w:rsidRDefault="00F63ECE" w:rsidP="00F63ECE">
      <w:pPr>
        <w:spacing w:line="360" w:lineRule="auto"/>
        <w:jc w:val="both"/>
        <w:rPr>
          <w:rFonts w:ascii="David" w:hAnsi="David"/>
          <w:b/>
          <w:bCs/>
          <w:sz w:val="32"/>
          <w:szCs w:val="32"/>
          <w:rtl/>
        </w:rPr>
      </w:pPr>
    </w:p>
    <w:p w14:paraId="0A00B2C8" w14:textId="77777777" w:rsidR="00F63ECE" w:rsidRDefault="00F63ECE" w:rsidP="00F63ECE">
      <w:pPr>
        <w:spacing w:line="360" w:lineRule="auto"/>
        <w:jc w:val="both"/>
        <w:rPr>
          <w:rFonts w:ascii="David" w:hAnsi="David"/>
          <w:b/>
          <w:bCs/>
          <w:sz w:val="32"/>
          <w:szCs w:val="32"/>
          <w:u w:val="single"/>
          <w:rtl/>
        </w:rPr>
      </w:pPr>
      <w:r>
        <w:rPr>
          <w:rFonts w:ascii="David" w:hAnsi="David"/>
          <w:b/>
          <w:bCs/>
          <w:sz w:val="32"/>
          <w:szCs w:val="32"/>
          <w:u w:val="single"/>
          <w:rtl/>
        </w:rPr>
        <w:t>סוף דבר</w:t>
      </w:r>
    </w:p>
    <w:p w14:paraId="57D7698A" w14:textId="77777777" w:rsidR="00F63ECE" w:rsidRDefault="00F63ECE" w:rsidP="00F63ECE">
      <w:pPr>
        <w:pStyle w:val="ListParagraph"/>
        <w:spacing w:line="360" w:lineRule="auto"/>
        <w:ind w:left="360"/>
        <w:jc w:val="both"/>
        <w:rPr>
          <w:rFonts w:ascii="David" w:hAnsi="David" w:cs="David"/>
          <w:sz w:val="24"/>
          <w:szCs w:val="24"/>
          <w:rtl/>
        </w:rPr>
      </w:pPr>
    </w:p>
    <w:p w14:paraId="7DF8A686" w14:textId="77777777" w:rsidR="00F63ECE" w:rsidRDefault="00F63ECE" w:rsidP="00F63ECE">
      <w:pPr>
        <w:pStyle w:val="ListParagraph"/>
        <w:numPr>
          <w:ilvl w:val="0"/>
          <w:numId w:val="1"/>
        </w:numPr>
        <w:spacing w:line="360" w:lineRule="auto"/>
        <w:ind w:left="360"/>
        <w:jc w:val="both"/>
        <w:rPr>
          <w:rFonts w:ascii="David" w:hAnsi="David" w:cs="David"/>
          <w:sz w:val="24"/>
          <w:szCs w:val="24"/>
          <w:rtl/>
        </w:rPr>
      </w:pPr>
      <w:r>
        <w:rPr>
          <w:rFonts w:ascii="David" w:hAnsi="David" w:cs="David"/>
          <w:sz w:val="24"/>
          <w:szCs w:val="24"/>
          <w:rtl/>
        </w:rPr>
        <w:t>לאור כל האמור לעיל, ובשים לב לכך שהנאשם הרים תרומה בסך 500 ₪ לעמותת אל סם, אני מטיל על הנאשם התחייבות כספית בסך 500 ₪ לבל יבצע עבירת סמים במשך שנה מהיום.</w:t>
      </w:r>
    </w:p>
    <w:p w14:paraId="47196940" w14:textId="77777777" w:rsidR="00F63ECE" w:rsidRDefault="00F63ECE" w:rsidP="00F63ECE">
      <w:pPr>
        <w:spacing w:line="360" w:lineRule="auto"/>
        <w:jc w:val="both"/>
        <w:rPr>
          <w:rFonts w:ascii="David" w:hAnsi="David"/>
          <w:rtl/>
        </w:rPr>
      </w:pPr>
    </w:p>
    <w:p w14:paraId="34E79EC8" w14:textId="77777777" w:rsidR="00F63ECE" w:rsidRPr="00F52204" w:rsidRDefault="00F63ECE" w:rsidP="00F63ECE">
      <w:pPr>
        <w:spacing w:line="360" w:lineRule="auto"/>
        <w:jc w:val="both"/>
        <w:rPr>
          <w:rFonts w:ascii="David" w:hAnsi="David"/>
          <w:b/>
          <w:bCs/>
          <w:rtl/>
        </w:rPr>
      </w:pPr>
      <w:r w:rsidRPr="00F52204">
        <w:rPr>
          <w:rFonts w:ascii="David" w:hAnsi="David"/>
          <w:b/>
          <w:bCs/>
          <w:rtl/>
        </w:rPr>
        <w:t xml:space="preserve">הסמים יושמדו. </w:t>
      </w:r>
    </w:p>
    <w:p w14:paraId="34C33307" w14:textId="77777777" w:rsidR="00F63ECE" w:rsidRDefault="00F63ECE" w:rsidP="00F63ECE">
      <w:pPr>
        <w:spacing w:line="360" w:lineRule="auto"/>
        <w:jc w:val="both"/>
        <w:rPr>
          <w:rFonts w:ascii="David" w:hAnsi="David"/>
          <w:rtl/>
        </w:rPr>
      </w:pPr>
    </w:p>
    <w:p w14:paraId="3F895B40" w14:textId="77777777" w:rsidR="00F63ECE" w:rsidRPr="00F52204" w:rsidRDefault="00D169E2" w:rsidP="00F63ECE">
      <w:pPr>
        <w:spacing w:line="360" w:lineRule="auto"/>
        <w:jc w:val="both"/>
        <w:rPr>
          <w:rFonts w:ascii="David" w:hAnsi="David"/>
          <w:b/>
          <w:bCs/>
          <w:rtl/>
        </w:rPr>
      </w:pPr>
      <w:r w:rsidRPr="00D169E2">
        <w:rPr>
          <w:rFonts w:ascii="David" w:hAnsi="David"/>
          <w:b/>
          <w:bCs/>
          <w:color w:val="FFFFFF"/>
          <w:sz w:val="2"/>
          <w:szCs w:val="2"/>
          <w:rtl/>
        </w:rPr>
        <w:t>5129371</w:t>
      </w:r>
      <w:r w:rsidR="00F63ECE" w:rsidRPr="00F52204">
        <w:rPr>
          <w:rFonts w:ascii="David" w:hAnsi="David"/>
          <w:b/>
          <w:bCs/>
          <w:rtl/>
        </w:rPr>
        <w:t xml:space="preserve">הודעה זכות ערעור לבית-המשפט המחוזי תוך 45 ימים. </w:t>
      </w:r>
    </w:p>
    <w:p w14:paraId="137E7993" w14:textId="77777777" w:rsidR="00F63ECE" w:rsidRPr="00D169E2" w:rsidRDefault="00D169E2" w:rsidP="00F63ECE">
      <w:pPr>
        <w:rPr>
          <w:rFonts w:ascii="Arial" w:hAnsi="Arial"/>
          <w:b/>
          <w:bCs/>
          <w:color w:val="FFFFFF"/>
          <w:sz w:val="2"/>
          <w:szCs w:val="2"/>
          <w:rtl/>
        </w:rPr>
      </w:pPr>
      <w:r w:rsidRPr="00D169E2">
        <w:rPr>
          <w:rFonts w:ascii="Arial" w:hAnsi="Arial"/>
          <w:b/>
          <w:bCs/>
          <w:color w:val="FFFFFF"/>
          <w:sz w:val="2"/>
          <w:szCs w:val="2"/>
          <w:rtl/>
        </w:rPr>
        <w:t>54678313</w:t>
      </w:r>
    </w:p>
    <w:p w14:paraId="760AAF47" w14:textId="77777777" w:rsidR="00F63ECE" w:rsidRPr="000F2247" w:rsidRDefault="00F63ECE" w:rsidP="00F63ECE">
      <w:pPr>
        <w:rPr>
          <w:rFonts w:ascii="Arial" w:hAnsi="Arial"/>
          <w:b/>
          <w:bCs/>
          <w:sz w:val="26"/>
          <w:szCs w:val="26"/>
          <w:rtl/>
        </w:rPr>
      </w:pPr>
    </w:p>
    <w:p w14:paraId="12F31D73" w14:textId="77777777" w:rsidR="00F63ECE" w:rsidRPr="000F2247" w:rsidRDefault="00D169E2" w:rsidP="00F63ECE">
      <w:pPr>
        <w:rPr>
          <w:rFonts w:ascii="Arial" w:hAnsi="Arial"/>
          <w:b/>
          <w:bCs/>
          <w:sz w:val="26"/>
          <w:szCs w:val="26"/>
          <w:rtl/>
        </w:rPr>
      </w:pPr>
      <w:bookmarkStart w:id="8" w:name="Nitan"/>
      <w:r>
        <w:rPr>
          <w:rFonts w:ascii="Arial" w:hAnsi="Arial"/>
          <w:b/>
          <w:bCs/>
          <w:sz w:val="26"/>
          <w:szCs w:val="26"/>
          <w:rtl/>
        </w:rPr>
        <w:t xml:space="preserve">ניתן היום,  ד' כסלו תשפ"ג, 28 נובמבר 2022, במעמד הצדדים. </w:t>
      </w:r>
      <w:bookmarkEnd w:id="8"/>
    </w:p>
    <w:p w14:paraId="13BD7290" w14:textId="77777777" w:rsidR="00D169E2" w:rsidRDefault="00D169E2" w:rsidP="00D169E2">
      <w:pPr>
        <w:rPr>
          <w:rtl/>
        </w:rPr>
      </w:pPr>
    </w:p>
    <w:p w14:paraId="65E0B11D" w14:textId="77777777" w:rsidR="00D169E2" w:rsidRDefault="00D169E2" w:rsidP="00D169E2">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77F78537" w14:textId="77777777" w:rsidR="00625F70" w:rsidRPr="00625F70" w:rsidRDefault="00625F70" w:rsidP="00625F70">
      <w:pPr>
        <w:keepNext/>
        <w:rPr>
          <w:rFonts w:ascii="David" w:hAnsi="David"/>
          <w:color w:val="000000"/>
          <w:sz w:val="22"/>
          <w:szCs w:val="22"/>
          <w:rtl/>
        </w:rPr>
      </w:pPr>
    </w:p>
    <w:p w14:paraId="6DBE8D75" w14:textId="77777777" w:rsidR="00625F70" w:rsidRPr="00625F70" w:rsidRDefault="00625F70" w:rsidP="00625F70">
      <w:pPr>
        <w:keepNext/>
        <w:rPr>
          <w:rFonts w:ascii="David" w:hAnsi="David"/>
          <w:color w:val="000000"/>
          <w:sz w:val="22"/>
          <w:szCs w:val="22"/>
          <w:rtl/>
        </w:rPr>
      </w:pPr>
      <w:r w:rsidRPr="00625F70">
        <w:rPr>
          <w:rFonts w:ascii="David" w:hAnsi="David"/>
          <w:color w:val="000000"/>
          <w:sz w:val="22"/>
          <w:szCs w:val="22"/>
          <w:rtl/>
        </w:rPr>
        <w:t>יניב בן הרוש 54678313-/</w:t>
      </w:r>
    </w:p>
    <w:p w14:paraId="4245B2B9" w14:textId="77777777" w:rsidR="00D169E2" w:rsidRPr="00D169E2" w:rsidRDefault="00625F70" w:rsidP="00625F70">
      <w:pPr>
        <w:rPr>
          <w:color w:val="0000FF"/>
          <w:u w:val="single"/>
        </w:rPr>
      </w:pPr>
      <w:r w:rsidRPr="00625F70">
        <w:rPr>
          <w:color w:val="000000"/>
          <w:u w:val="single"/>
          <w:rtl/>
        </w:rPr>
        <w:t>נוסח מסמך זה כפוף לשינויי ניסוח ועריכה</w:t>
      </w:r>
    </w:p>
    <w:sectPr w:rsidR="00D169E2" w:rsidRPr="00D169E2" w:rsidSect="00625F70">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F26F0" w14:textId="77777777" w:rsidR="006637A9" w:rsidRDefault="006637A9" w:rsidP="00C43396">
      <w:r>
        <w:separator/>
      </w:r>
    </w:p>
  </w:endnote>
  <w:endnote w:type="continuationSeparator" w:id="0">
    <w:p w14:paraId="7CC3749C" w14:textId="77777777" w:rsidR="006637A9" w:rsidRDefault="006637A9" w:rsidP="00C4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73715" w14:textId="77777777" w:rsidR="00625F70" w:rsidRDefault="00625F70" w:rsidP="00625F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89246E" w14:textId="77777777" w:rsidR="009205AC" w:rsidRPr="00625F70" w:rsidRDefault="00625F70" w:rsidP="00625F70">
    <w:pPr>
      <w:pStyle w:val="a5"/>
      <w:pBdr>
        <w:top w:val="single" w:sz="4" w:space="1" w:color="auto"/>
        <w:between w:val="single" w:sz="4" w:space="0" w:color="auto"/>
      </w:pBdr>
      <w:spacing w:after="60"/>
      <w:jc w:val="center"/>
      <w:rPr>
        <w:rFonts w:ascii="FrankRuehl" w:hAnsi="FrankRuehl" w:cs="FrankRuehl"/>
        <w:color w:val="000000"/>
      </w:rPr>
    </w:pPr>
    <w:r w:rsidRPr="00625F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E4FBC" w14:textId="77777777" w:rsidR="00625F70" w:rsidRDefault="00625F70" w:rsidP="00625F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26EB">
      <w:rPr>
        <w:rFonts w:ascii="FrankRuehl" w:hAnsi="FrankRuehl" w:cs="FrankRuehl"/>
        <w:noProof/>
        <w:rtl/>
      </w:rPr>
      <w:t>1</w:t>
    </w:r>
    <w:r>
      <w:rPr>
        <w:rFonts w:ascii="FrankRuehl" w:hAnsi="FrankRuehl" w:cs="FrankRuehl"/>
        <w:rtl/>
      </w:rPr>
      <w:fldChar w:fldCharType="end"/>
    </w:r>
  </w:p>
  <w:p w14:paraId="67A5BB62" w14:textId="77777777" w:rsidR="009205AC" w:rsidRPr="00625F70" w:rsidRDefault="00625F70" w:rsidP="00625F70">
    <w:pPr>
      <w:pStyle w:val="a5"/>
      <w:pBdr>
        <w:top w:val="single" w:sz="4" w:space="1" w:color="auto"/>
        <w:between w:val="single" w:sz="4" w:space="0" w:color="auto"/>
      </w:pBdr>
      <w:spacing w:after="60"/>
      <w:jc w:val="center"/>
      <w:rPr>
        <w:rFonts w:ascii="FrankRuehl" w:hAnsi="FrankRuehl" w:cs="FrankRuehl"/>
        <w:color w:val="000000"/>
      </w:rPr>
    </w:pPr>
    <w:r w:rsidRPr="00625F70">
      <w:rPr>
        <w:rFonts w:ascii="FrankRuehl" w:hAnsi="FrankRuehl" w:cs="FrankRuehl"/>
        <w:color w:val="000000"/>
      </w:rPr>
      <w:pict w14:anchorId="73D79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76ABA" w14:textId="77777777" w:rsidR="006637A9" w:rsidRDefault="006637A9" w:rsidP="00C43396">
      <w:r>
        <w:separator/>
      </w:r>
    </w:p>
  </w:footnote>
  <w:footnote w:type="continuationSeparator" w:id="0">
    <w:p w14:paraId="2AFB54DF" w14:textId="77777777" w:rsidR="006637A9" w:rsidRDefault="006637A9" w:rsidP="00C43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4D066" w14:textId="77777777" w:rsidR="00D169E2" w:rsidRPr="00625F70" w:rsidRDefault="00625F70" w:rsidP="00625F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43480-02-21</w:t>
    </w:r>
    <w:r>
      <w:rPr>
        <w:rFonts w:ascii="David" w:hAnsi="David"/>
        <w:color w:val="000000"/>
        <w:sz w:val="22"/>
        <w:szCs w:val="22"/>
        <w:rtl/>
      </w:rPr>
      <w:tab/>
      <w:t xml:space="preserve"> מדינת ישראל-תביעות נגב נ' מור סבן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96848" w14:textId="77777777" w:rsidR="00D169E2" w:rsidRPr="00625F70" w:rsidRDefault="00625F70" w:rsidP="00625F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43480-02-21</w:t>
    </w:r>
    <w:r>
      <w:rPr>
        <w:rFonts w:ascii="David" w:hAnsi="David"/>
        <w:color w:val="000000"/>
        <w:sz w:val="22"/>
        <w:szCs w:val="22"/>
        <w:rtl/>
      </w:rPr>
      <w:tab/>
      <w:t xml:space="preserve"> מדינת ישראל-תביעות נגב נ' מור סבן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42A63"/>
    <w:multiLevelType w:val="hybridMultilevel"/>
    <w:tmpl w:val="4BD80E84"/>
    <w:lvl w:ilvl="0" w:tplc="3B70B7FC">
      <w:start w:val="1"/>
      <w:numFmt w:val="decimal"/>
      <w:lvlText w:val="%1."/>
      <w:lvlJc w:val="left"/>
      <w:pPr>
        <w:ind w:left="720" w:hanging="360"/>
      </w:pPr>
      <w:rPr>
        <w:b/>
        <w:bCs/>
        <w:sz w:val="24"/>
        <w:szCs w:val="24"/>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3B74B26"/>
    <w:multiLevelType w:val="hybridMultilevel"/>
    <w:tmpl w:val="5642A01E"/>
    <w:lvl w:ilvl="0" w:tplc="3B70B7FC">
      <w:start w:val="1"/>
      <w:numFmt w:val="decimal"/>
      <w:lvlText w:val="%1."/>
      <w:lvlJc w:val="left"/>
      <w:pPr>
        <w:ind w:left="720" w:hanging="360"/>
      </w:pPr>
      <w:rPr>
        <w:b/>
        <w:bCs/>
        <w:sz w:val="24"/>
        <w:szCs w:val="24"/>
      </w:rPr>
    </w:lvl>
    <w:lvl w:ilvl="1" w:tplc="0409001B">
      <w:start w:val="1"/>
      <w:numFmt w:val="lowerRoman"/>
      <w:lvlText w:val="%2."/>
      <w:lvlJc w:val="right"/>
      <w:pPr>
        <w:ind w:left="1440" w:hanging="360"/>
      </w:pPr>
      <w:rPr>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06158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72649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3ECE"/>
    <w:rsid w:val="000639F7"/>
    <w:rsid w:val="001B5A3B"/>
    <w:rsid w:val="001C16AE"/>
    <w:rsid w:val="002F3F94"/>
    <w:rsid w:val="004226EB"/>
    <w:rsid w:val="004B0AAE"/>
    <w:rsid w:val="00625F70"/>
    <w:rsid w:val="006637A9"/>
    <w:rsid w:val="00812352"/>
    <w:rsid w:val="009205AC"/>
    <w:rsid w:val="00A35284"/>
    <w:rsid w:val="00C43396"/>
    <w:rsid w:val="00C45BF3"/>
    <w:rsid w:val="00D169E2"/>
    <w:rsid w:val="00F63E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83E5AD"/>
  <w15:chartTrackingRefBased/>
  <w15:docId w15:val="{75FEA112-F6BA-451C-8FB0-F2E00988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63E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3ECE"/>
    <w:pPr>
      <w:tabs>
        <w:tab w:val="center" w:pos="4153"/>
        <w:tab w:val="right" w:pos="8306"/>
      </w:tabs>
    </w:pPr>
  </w:style>
  <w:style w:type="character" w:customStyle="1" w:styleId="a4">
    <w:name w:val="כותרת עליונה תו"/>
    <w:link w:val="a3"/>
    <w:rsid w:val="00F63ECE"/>
    <w:rPr>
      <w:rFonts w:ascii="Times New Roman" w:eastAsia="Times New Roman" w:hAnsi="Times New Roman" w:cs="David"/>
      <w:sz w:val="24"/>
      <w:szCs w:val="24"/>
    </w:rPr>
  </w:style>
  <w:style w:type="paragraph" w:styleId="a5">
    <w:name w:val="footer"/>
    <w:basedOn w:val="a"/>
    <w:link w:val="a6"/>
    <w:rsid w:val="00F63ECE"/>
    <w:pPr>
      <w:tabs>
        <w:tab w:val="center" w:pos="4153"/>
        <w:tab w:val="right" w:pos="8306"/>
      </w:tabs>
    </w:pPr>
  </w:style>
  <w:style w:type="character" w:customStyle="1" w:styleId="a6">
    <w:name w:val="כותרת תחתונה תו"/>
    <w:link w:val="a5"/>
    <w:rsid w:val="00F63ECE"/>
    <w:rPr>
      <w:rFonts w:ascii="Times New Roman" w:eastAsia="Times New Roman" w:hAnsi="Times New Roman" w:cs="David"/>
      <w:sz w:val="24"/>
      <w:szCs w:val="24"/>
    </w:rPr>
  </w:style>
  <w:style w:type="table" w:styleId="a7">
    <w:name w:val="Table Grid"/>
    <w:basedOn w:val="a1"/>
    <w:rsid w:val="00F63E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63ECE"/>
  </w:style>
  <w:style w:type="character" w:styleId="Hyperlink">
    <w:name w:val="Hyperlink"/>
    <w:rsid w:val="00F63ECE"/>
    <w:rPr>
      <w:color w:val="0000FF"/>
      <w:u w:val="single"/>
    </w:rPr>
  </w:style>
  <w:style w:type="character" w:customStyle="1" w:styleId="ListParagraphChar">
    <w:name w:val="List Paragraph Char"/>
    <w:link w:val="ListParagraph"/>
    <w:locked/>
    <w:rsid w:val="00F63ECE"/>
  </w:style>
  <w:style w:type="paragraph" w:customStyle="1" w:styleId="ListParagraph">
    <w:name w:val="List Paragraph"/>
    <w:basedOn w:val="a"/>
    <w:link w:val="ListParagraphChar"/>
    <w:qFormat/>
    <w:rsid w:val="00F63ECE"/>
    <w:pPr>
      <w:spacing w:after="160" w:line="256" w:lineRule="auto"/>
      <w:ind w:left="720"/>
      <w:contextualSpacing/>
    </w:pPr>
    <w:rPr>
      <w:rFonts w:ascii="Calibri" w:eastAsia="Calibri" w:hAnsi="Calibri" w:cs="Arial"/>
      <w:sz w:val="22"/>
      <w:szCs w:val="22"/>
    </w:rPr>
  </w:style>
  <w:style w:type="character" w:styleId="a9">
    <w:name w:val="Strong"/>
    <w:qFormat/>
    <w:rsid w:val="00F63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48/23" TargetMode="External"/><Relationship Id="rId18" Type="http://schemas.openxmlformats.org/officeDocument/2006/relationships/hyperlink" Target="http://www.nevo.co.il/law/70301/5" TargetMode="External"/><Relationship Id="rId26" Type="http://schemas.openxmlformats.org/officeDocument/2006/relationships/hyperlink" Target="http://www.nevo.co.il/law/74248" TargetMode="External"/><Relationship Id="rId39" Type="http://schemas.openxmlformats.org/officeDocument/2006/relationships/hyperlink" Target="http://www.nevo.co.il/case/5594221"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4248/1.c" TargetMode="External"/><Relationship Id="rId42" Type="http://schemas.openxmlformats.org/officeDocument/2006/relationships/hyperlink" Target="http://www.nevo.co.il/law/74903"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4248" TargetMode="External"/><Relationship Id="rId55"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law/4216/7.c" TargetMode="External"/><Relationship Id="rId11" Type="http://schemas.openxmlformats.org/officeDocument/2006/relationships/hyperlink" Target="http://www.nevo.co.il/law/74248"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4248/1.c" TargetMode="External"/><Relationship Id="rId37" Type="http://schemas.openxmlformats.org/officeDocument/2006/relationships/hyperlink" Target="http://www.nevo.co.il/law/70301/5" TargetMode="External"/><Relationship Id="rId40" Type="http://schemas.openxmlformats.org/officeDocument/2006/relationships/hyperlink" Target="http://www.nevo.co.il/case/26892091" TargetMode="External"/><Relationship Id="rId45" Type="http://schemas.openxmlformats.org/officeDocument/2006/relationships/hyperlink" Target="http://www.nevo.co.il/case/483240"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law/74248" TargetMode="External"/><Relationship Id="rId30" Type="http://schemas.openxmlformats.org/officeDocument/2006/relationships/hyperlink" Target="http://www.nevo.co.il/law/4216" TargetMode="External"/><Relationship Id="rId35" Type="http://schemas.openxmlformats.org/officeDocument/2006/relationships/hyperlink" Target="http://www.nevo.co.il/law/74248" TargetMode="External"/><Relationship Id="rId43" Type="http://schemas.openxmlformats.org/officeDocument/2006/relationships/hyperlink" Target="http://www.nevo.co.il/case/5810781" TargetMode="External"/><Relationship Id="rId48" Type="http://schemas.openxmlformats.org/officeDocument/2006/relationships/hyperlink" Target="https://www.gov.il/he/departments/news/news-08-03-2022" TargetMode="External"/><Relationship Id="rId56"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4248" TargetMode="External"/><Relationship Id="rId3" Type="http://schemas.openxmlformats.org/officeDocument/2006/relationships/settings" Target="settings.xml"/><Relationship Id="rId12" Type="http://schemas.openxmlformats.org/officeDocument/2006/relationships/hyperlink" Target="http://www.nevo.co.il/law/74248/1.c" TargetMode="External"/><Relationship Id="rId17" Type="http://schemas.openxmlformats.org/officeDocument/2006/relationships/hyperlink" Target="http://www.nevo.co.il/law/74903/192a" TargetMode="External"/><Relationship Id="rId25" Type="http://schemas.openxmlformats.org/officeDocument/2006/relationships/hyperlink" Target="http://www.nevo.co.il/law/74248/23" TargetMode="External"/><Relationship Id="rId33" Type="http://schemas.openxmlformats.org/officeDocument/2006/relationships/hyperlink" Target="http://www.nevo.co.il/law/74248"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5" TargetMode="External"/><Relationship Id="rId59" Type="http://schemas.openxmlformats.org/officeDocument/2006/relationships/theme" Target="theme/theme1.xml"/><Relationship Id="rId20" Type="http://schemas.openxmlformats.org/officeDocument/2006/relationships/hyperlink" Target="http://www.nevo.co.il/law/4216/7.a" TargetMode="External"/><Relationship Id="rId41" Type="http://schemas.openxmlformats.org/officeDocument/2006/relationships/hyperlink" Target="http://www.nevo.co.il/law/74903/192a"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5" TargetMode="External"/><Relationship Id="rId23" Type="http://schemas.openxmlformats.org/officeDocument/2006/relationships/hyperlink" Target="http://www.nevo.co.il/law/70301/5"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4323" TargetMode="External"/><Relationship Id="rId49" Type="http://schemas.openxmlformats.org/officeDocument/2006/relationships/hyperlink" Target="http://www.nevo.co.il/law/74248/23" TargetMode="External"/><Relationship Id="rId57" Type="http://schemas.openxmlformats.org/officeDocument/2006/relationships/footer" Target="footer2.xml"/><Relationship Id="rId10" Type="http://schemas.openxmlformats.org/officeDocument/2006/relationships/hyperlink" Target="http://www.nevo.co.il/law/4323" TargetMode="External"/><Relationship Id="rId31" Type="http://schemas.openxmlformats.org/officeDocument/2006/relationships/hyperlink" Target="http://www.nevo.co.il/law/4323" TargetMode="External"/><Relationship Id="rId44" Type="http://schemas.openxmlformats.org/officeDocument/2006/relationships/hyperlink" Target="http://www.nevo.co.il/case/5849797" TargetMode="External"/><Relationship Id="rId52" Type="http://schemas.openxmlformats.org/officeDocument/2006/relationships/hyperlink" Target="http://www.nevo.co.il/case/581322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2332</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13967</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3473533</vt:i4>
      </vt:variant>
      <vt:variant>
        <vt:i4>135</vt:i4>
      </vt:variant>
      <vt:variant>
        <vt:i4>0</vt:i4>
      </vt:variant>
      <vt:variant>
        <vt:i4>5</vt:i4>
      </vt:variant>
      <vt:variant>
        <vt:lpwstr>http://www.nevo.co.il/case/5813223</vt:lpwstr>
      </vt:variant>
      <vt:variant>
        <vt:lpwstr/>
      </vt:variant>
      <vt:variant>
        <vt:i4>7995493</vt:i4>
      </vt:variant>
      <vt:variant>
        <vt:i4>132</vt:i4>
      </vt:variant>
      <vt:variant>
        <vt:i4>0</vt:i4>
      </vt:variant>
      <vt:variant>
        <vt:i4>5</vt:i4>
      </vt:variant>
      <vt:variant>
        <vt:lpwstr>http://www.nevo.co.il/law/74248</vt:lpwstr>
      </vt:variant>
      <vt:variant>
        <vt:lpwstr/>
      </vt:variant>
      <vt:variant>
        <vt:i4>7995493</vt:i4>
      </vt:variant>
      <vt:variant>
        <vt:i4>129</vt:i4>
      </vt:variant>
      <vt:variant>
        <vt:i4>0</vt:i4>
      </vt:variant>
      <vt:variant>
        <vt:i4>5</vt:i4>
      </vt:variant>
      <vt:variant>
        <vt:lpwstr>http://www.nevo.co.il/law/74248</vt:lpwstr>
      </vt:variant>
      <vt:variant>
        <vt:lpwstr/>
      </vt:variant>
      <vt:variant>
        <vt:i4>6684783</vt:i4>
      </vt:variant>
      <vt:variant>
        <vt:i4>126</vt:i4>
      </vt:variant>
      <vt:variant>
        <vt:i4>0</vt:i4>
      </vt:variant>
      <vt:variant>
        <vt:i4>5</vt:i4>
      </vt:variant>
      <vt:variant>
        <vt:lpwstr>http://www.nevo.co.il/law/74248/23</vt:lpwstr>
      </vt:variant>
      <vt:variant>
        <vt:lpwstr/>
      </vt:variant>
      <vt:variant>
        <vt:i4>6881386</vt:i4>
      </vt:variant>
      <vt:variant>
        <vt:i4>123</vt:i4>
      </vt:variant>
      <vt:variant>
        <vt:i4>0</vt:i4>
      </vt:variant>
      <vt:variant>
        <vt:i4>5</vt:i4>
      </vt:variant>
      <vt:variant>
        <vt:lpwstr>https://www.gov.il/he/departments/news/news-08-03-2022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5570645</vt:i4>
      </vt:variant>
      <vt:variant>
        <vt:i4>117</vt:i4>
      </vt:variant>
      <vt:variant>
        <vt:i4>0</vt:i4>
      </vt:variant>
      <vt:variant>
        <vt:i4>5</vt:i4>
      </vt:variant>
      <vt:variant>
        <vt:lpwstr>http://www.nevo.co.il/law/70301/5</vt:lpwstr>
      </vt:variant>
      <vt:variant>
        <vt:lpwstr/>
      </vt:variant>
      <vt:variant>
        <vt:i4>196686</vt:i4>
      </vt:variant>
      <vt:variant>
        <vt:i4>114</vt:i4>
      </vt:variant>
      <vt:variant>
        <vt:i4>0</vt:i4>
      </vt:variant>
      <vt:variant>
        <vt:i4>5</vt:i4>
      </vt:variant>
      <vt:variant>
        <vt:lpwstr>http://www.nevo.co.il/case/483240</vt:lpwstr>
      </vt:variant>
      <vt:variant>
        <vt:lpwstr/>
      </vt:variant>
      <vt:variant>
        <vt:i4>3211388</vt:i4>
      </vt:variant>
      <vt:variant>
        <vt:i4>111</vt:i4>
      </vt:variant>
      <vt:variant>
        <vt:i4>0</vt:i4>
      </vt:variant>
      <vt:variant>
        <vt:i4>5</vt:i4>
      </vt:variant>
      <vt:variant>
        <vt:lpwstr>http://www.nevo.co.il/case/5849797</vt:lpwstr>
      </vt:variant>
      <vt:variant>
        <vt:lpwstr/>
      </vt:variant>
      <vt:variant>
        <vt:i4>3276916</vt:i4>
      </vt:variant>
      <vt:variant>
        <vt:i4>108</vt:i4>
      </vt:variant>
      <vt:variant>
        <vt:i4>0</vt:i4>
      </vt:variant>
      <vt:variant>
        <vt:i4>5</vt:i4>
      </vt:variant>
      <vt:variant>
        <vt:lpwstr>http://www.nevo.co.il/case/5810781</vt:lpwstr>
      </vt:variant>
      <vt:variant>
        <vt:lpwstr/>
      </vt:variant>
      <vt:variant>
        <vt:i4>8257646</vt:i4>
      </vt:variant>
      <vt:variant>
        <vt:i4>105</vt:i4>
      </vt:variant>
      <vt:variant>
        <vt:i4>0</vt:i4>
      </vt:variant>
      <vt:variant>
        <vt:i4>5</vt:i4>
      </vt:variant>
      <vt:variant>
        <vt:lpwstr>http://www.nevo.co.il/law/74903</vt:lpwstr>
      </vt:variant>
      <vt:variant>
        <vt:lpwstr/>
      </vt:variant>
      <vt:variant>
        <vt:i4>589918</vt:i4>
      </vt:variant>
      <vt:variant>
        <vt:i4>102</vt:i4>
      </vt:variant>
      <vt:variant>
        <vt:i4>0</vt:i4>
      </vt:variant>
      <vt:variant>
        <vt:i4>5</vt:i4>
      </vt:variant>
      <vt:variant>
        <vt:lpwstr>http://www.nevo.co.il/law/74903/192a</vt:lpwstr>
      </vt:variant>
      <vt:variant>
        <vt:lpwstr/>
      </vt:variant>
      <vt:variant>
        <vt:i4>3211387</vt:i4>
      </vt:variant>
      <vt:variant>
        <vt:i4>99</vt:i4>
      </vt:variant>
      <vt:variant>
        <vt:i4>0</vt:i4>
      </vt:variant>
      <vt:variant>
        <vt:i4>5</vt:i4>
      </vt:variant>
      <vt:variant>
        <vt:lpwstr>http://www.nevo.co.il/case/26892091</vt:lpwstr>
      </vt:variant>
      <vt:variant>
        <vt:lpwstr/>
      </vt:variant>
      <vt:variant>
        <vt:i4>4128887</vt:i4>
      </vt:variant>
      <vt:variant>
        <vt:i4>96</vt:i4>
      </vt:variant>
      <vt:variant>
        <vt:i4>0</vt:i4>
      </vt:variant>
      <vt:variant>
        <vt:i4>5</vt:i4>
      </vt:variant>
      <vt:variant>
        <vt:lpwstr>http://www.nevo.co.il/case/5594221</vt:lpwstr>
      </vt:variant>
      <vt:variant>
        <vt:lpwstr/>
      </vt:variant>
      <vt:variant>
        <vt:i4>7995492</vt:i4>
      </vt:variant>
      <vt:variant>
        <vt:i4>93</vt:i4>
      </vt:variant>
      <vt:variant>
        <vt:i4>0</vt:i4>
      </vt:variant>
      <vt:variant>
        <vt:i4>5</vt:i4>
      </vt:variant>
      <vt:variant>
        <vt:lpwstr>http://www.nevo.co.il/law/70301</vt:lpwstr>
      </vt:variant>
      <vt:variant>
        <vt:lpwstr/>
      </vt:variant>
      <vt:variant>
        <vt:i4>5570645</vt:i4>
      </vt:variant>
      <vt:variant>
        <vt:i4>90</vt:i4>
      </vt:variant>
      <vt:variant>
        <vt:i4>0</vt:i4>
      </vt:variant>
      <vt:variant>
        <vt:i4>5</vt:i4>
      </vt:variant>
      <vt:variant>
        <vt:lpwstr>http://www.nevo.co.il/law/70301/5</vt:lpwstr>
      </vt:variant>
      <vt:variant>
        <vt:lpwstr/>
      </vt:variant>
      <vt:variant>
        <vt:i4>7995494</vt:i4>
      </vt:variant>
      <vt:variant>
        <vt:i4>87</vt:i4>
      </vt:variant>
      <vt:variant>
        <vt:i4>0</vt:i4>
      </vt:variant>
      <vt:variant>
        <vt:i4>5</vt:i4>
      </vt:variant>
      <vt:variant>
        <vt:lpwstr>http://www.nevo.co.il/law/4323</vt:lpwstr>
      </vt:variant>
      <vt:variant>
        <vt:lpwstr/>
      </vt:variant>
      <vt:variant>
        <vt:i4>7995493</vt:i4>
      </vt:variant>
      <vt:variant>
        <vt:i4>84</vt:i4>
      </vt:variant>
      <vt:variant>
        <vt:i4>0</vt:i4>
      </vt:variant>
      <vt:variant>
        <vt:i4>5</vt:i4>
      </vt:variant>
      <vt:variant>
        <vt:lpwstr>http://www.nevo.co.il/law/74248</vt:lpwstr>
      </vt:variant>
      <vt:variant>
        <vt:lpwstr/>
      </vt:variant>
      <vt:variant>
        <vt:i4>8061036</vt:i4>
      </vt:variant>
      <vt:variant>
        <vt:i4>81</vt:i4>
      </vt:variant>
      <vt:variant>
        <vt:i4>0</vt:i4>
      </vt:variant>
      <vt:variant>
        <vt:i4>5</vt:i4>
      </vt:variant>
      <vt:variant>
        <vt:lpwstr>http://www.nevo.co.il/law/74248/1.c</vt:lpwstr>
      </vt:variant>
      <vt:variant>
        <vt:lpwstr/>
      </vt:variant>
      <vt:variant>
        <vt:i4>7995493</vt:i4>
      </vt:variant>
      <vt:variant>
        <vt:i4>78</vt:i4>
      </vt:variant>
      <vt:variant>
        <vt:i4>0</vt:i4>
      </vt:variant>
      <vt:variant>
        <vt:i4>5</vt:i4>
      </vt:variant>
      <vt:variant>
        <vt:lpwstr>http://www.nevo.co.il/law/74248</vt:lpwstr>
      </vt:variant>
      <vt:variant>
        <vt:lpwstr/>
      </vt:variant>
      <vt:variant>
        <vt:i4>8061036</vt:i4>
      </vt:variant>
      <vt:variant>
        <vt:i4>75</vt:i4>
      </vt:variant>
      <vt:variant>
        <vt:i4>0</vt:i4>
      </vt:variant>
      <vt:variant>
        <vt:i4>5</vt:i4>
      </vt:variant>
      <vt:variant>
        <vt:lpwstr>http://www.nevo.co.il/law/74248/1.c</vt:lpwstr>
      </vt:variant>
      <vt:variant>
        <vt:lpwstr/>
      </vt:variant>
      <vt:variant>
        <vt:i4>7995494</vt:i4>
      </vt:variant>
      <vt:variant>
        <vt:i4>72</vt:i4>
      </vt:variant>
      <vt:variant>
        <vt:i4>0</vt:i4>
      </vt:variant>
      <vt:variant>
        <vt:i4>5</vt:i4>
      </vt:variant>
      <vt:variant>
        <vt:lpwstr>http://www.nevo.co.il/law/4323</vt:lpwstr>
      </vt:variant>
      <vt:variant>
        <vt:lpwstr/>
      </vt:variant>
      <vt:variant>
        <vt:i4>8257637</vt:i4>
      </vt:variant>
      <vt:variant>
        <vt:i4>69</vt:i4>
      </vt:variant>
      <vt:variant>
        <vt:i4>0</vt:i4>
      </vt:variant>
      <vt:variant>
        <vt:i4>5</vt:i4>
      </vt:variant>
      <vt:variant>
        <vt:lpwstr>http://www.nevo.co.il/law/4216</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7995493</vt:i4>
      </vt:variant>
      <vt:variant>
        <vt:i4>60</vt:i4>
      </vt:variant>
      <vt:variant>
        <vt:i4>0</vt:i4>
      </vt:variant>
      <vt:variant>
        <vt:i4>5</vt:i4>
      </vt:variant>
      <vt:variant>
        <vt:lpwstr>http://www.nevo.co.il/law/74248</vt:lpwstr>
      </vt:variant>
      <vt:variant>
        <vt:lpwstr/>
      </vt:variant>
      <vt:variant>
        <vt:i4>7995493</vt:i4>
      </vt:variant>
      <vt:variant>
        <vt:i4>57</vt:i4>
      </vt:variant>
      <vt:variant>
        <vt:i4>0</vt:i4>
      </vt:variant>
      <vt:variant>
        <vt:i4>5</vt:i4>
      </vt:variant>
      <vt:variant>
        <vt:lpwstr>http://www.nevo.co.il/law/74248</vt:lpwstr>
      </vt:variant>
      <vt:variant>
        <vt:lpwstr/>
      </vt:variant>
      <vt:variant>
        <vt:i4>6684783</vt:i4>
      </vt:variant>
      <vt:variant>
        <vt:i4>54</vt:i4>
      </vt:variant>
      <vt:variant>
        <vt:i4>0</vt:i4>
      </vt:variant>
      <vt:variant>
        <vt:i4>5</vt:i4>
      </vt:variant>
      <vt:variant>
        <vt:lpwstr>http://www.nevo.co.il/law/74248/23</vt:lpwstr>
      </vt:variant>
      <vt:variant>
        <vt:lpwstr/>
      </vt:variant>
      <vt:variant>
        <vt:i4>7995492</vt:i4>
      </vt:variant>
      <vt:variant>
        <vt:i4>51</vt:i4>
      </vt:variant>
      <vt:variant>
        <vt:i4>0</vt:i4>
      </vt:variant>
      <vt:variant>
        <vt:i4>5</vt:i4>
      </vt:variant>
      <vt:variant>
        <vt:lpwstr>http://www.nevo.co.il/law/70301</vt:lpwstr>
      </vt:variant>
      <vt:variant>
        <vt:lpwstr/>
      </vt:variant>
      <vt:variant>
        <vt:i4>5570645</vt:i4>
      </vt:variant>
      <vt:variant>
        <vt:i4>48</vt:i4>
      </vt:variant>
      <vt:variant>
        <vt:i4>0</vt:i4>
      </vt:variant>
      <vt:variant>
        <vt:i4>5</vt:i4>
      </vt:variant>
      <vt:variant>
        <vt:lpwstr>http://www.nevo.co.il/law/70301/5</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5570645</vt:i4>
      </vt:variant>
      <vt:variant>
        <vt:i4>33</vt:i4>
      </vt:variant>
      <vt:variant>
        <vt:i4>0</vt:i4>
      </vt:variant>
      <vt:variant>
        <vt:i4>5</vt:i4>
      </vt:variant>
      <vt:variant>
        <vt:lpwstr>http://www.nevo.co.il/law/70301/5</vt:lpwstr>
      </vt:variant>
      <vt:variant>
        <vt:lpwstr/>
      </vt:variant>
      <vt:variant>
        <vt:i4>589918</vt:i4>
      </vt:variant>
      <vt:variant>
        <vt:i4>30</vt:i4>
      </vt:variant>
      <vt:variant>
        <vt:i4>0</vt:i4>
      </vt:variant>
      <vt:variant>
        <vt:i4>5</vt:i4>
      </vt:variant>
      <vt:variant>
        <vt:lpwstr>http://www.nevo.co.il/law/74903/192a</vt:lpwstr>
      </vt:variant>
      <vt:variant>
        <vt:lpwstr/>
      </vt:variant>
      <vt:variant>
        <vt:i4>8257646</vt:i4>
      </vt:variant>
      <vt:variant>
        <vt:i4>27</vt:i4>
      </vt:variant>
      <vt:variant>
        <vt:i4>0</vt:i4>
      </vt:variant>
      <vt:variant>
        <vt:i4>5</vt:i4>
      </vt:variant>
      <vt:variant>
        <vt:lpwstr>http://www.nevo.co.il/law/74903</vt:lpwstr>
      </vt:variant>
      <vt:variant>
        <vt:lpwstr/>
      </vt:variant>
      <vt:variant>
        <vt:i4>5570645</vt:i4>
      </vt:variant>
      <vt:variant>
        <vt:i4>24</vt:i4>
      </vt:variant>
      <vt:variant>
        <vt:i4>0</vt:i4>
      </vt:variant>
      <vt:variant>
        <vt:i4>5</vt:i4>
      </vt:variant>
      <vt:variant>
        <vt:lpwstr>http://www.nevo.co.il/law/70301/5</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6684783</vt:i4>
      </vt:variant>
      <vt:variant>
        <vt:i4>18</vt:i4>
      </vt:variant>
      <vt:variant>
        <vt:i4>0</vt:i4>
      </vt:variant>
      <vt:variant>
        <vt:i4>5</vt:i4>
      </vt:variant>
      <vt:variant>
        <vt:lpwstr>http://www.nevo.co.il/law/74248/23</vt:lpwstr>
      </vt:variant>
      <vt:variant>
        <vt:lpwstr/>
      </vt:variant>
      <vt:variant>
        <vt:i4>8061036</vt:i4>
      </vt:variant>
      <vt:variant>
        <vt:i4>15</vt:i4>
      </vt:variant>
      <vt:variant>
        <vt:i4>0</vt:i4>
      </vt:variant>
      <vt:variant>
        <vt:i4>5</vt:i4>
      </vt:variant>
      <vt:variant>
        <vt:lpwstr>http://www.nevo.co.il/law/74248/1.c</vt:lpwstr>
      </vt:variant>
      <vt:variant>
        <vt:lpwstr/>
      </vt:variant>
      <vt:variant>
        <vt:i4>7995493</vt:i4>
      </vt:variant>
      <vt:variant>
        <vt:i4>12</vt:i4>
      </vt:variant>
      <vt:variant>
        <vt:i4>0</vt:i4>
      </vt:variant>
      <vt:variant>
        <vt:i4>5</vt:i4>
      </vt:variant>
      <vt:variant>
        <vt:lpwstr>http://www.nevo.co.il/law/74248</vt:lpwstr>
      </vt:variant>
      <vt:variant>
        <vt:lpwstr/>
      </vt:variant>
      <vt:variant>
        <vt:i4>7995494</vt:i4>
      </vt:variant>
      <vt:variant>
        <vt:i4>9</vt:i4>
      </vt:variant>
      <vt:variant>
        <vt:i4>0</vt:i4>
      </vt:variant>
      <vt:variant>
        <vt:i4>5</vt:i4>
      </vt:variant>
      <vt:variant>
        <vt:lpwstr>http://www.nevo.co.il/law/4323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43480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ישראל-תביעות נגב</vt:lpwstr>
  </property>
  <property fmtid="{D5CDD505-2E9C-101B-9397-08002B2CF9AE}" pid="9" name="APPELLEE">
    <vt:lpwstr>מור סבן</vt:lpwstr>
  </property>
  <property fmtid="{D5CDD505-2E9C-101B-9397-08002B2CF9AE}" pid="10" name="LAWYER">
    <vt:lpwstr>שירה רוג;אדיר בן לולו</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20221128</vt:lpwstr>
  </property>
  <property fmtid="{D5CDD505-2E9C-101B-9397-08002B2CF9AE}" pid="14" name="TYPE_N_DATE">
    <vt:lpwstr>38020221128</vt:lpwstr>
  </property>
  <property fmtid="{D5CDD505-2E9C-101B-9397-08002B2CF9AE}" pid="15" name="WORDNUMPAGES">
    <vt:lpwstr>7</vt:lpwstr>
  </property>
  <property fmtid="{D5CDD505-2E9C-101B-9397-08002B2CF9AE}" pid="16" name="TYPE_ABS_DATE">
    <vt:lpwstr>380120221128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5594221;26892091;5810781;5849797;483240;5813223</vt:lpwstr>
  </property>
  <property fmtid="{D5CDD505-2E9C-101B-9397-08002B2CF9AE}" pid="36" name="LAWLISTTMP1">
    <vt:lpwstr>4216/007.a;007.c</vt:lpwstr>
  </property>
  <property fmtid="{D5CDD505-2E9C-101B-9397-08002B2CF9AE}" pid="37" name="LAWLISTTMP2">
    <vt:lpwstr>4323:2</vt:lpwstr>
  </property>
  <property fmtid="{D5CDD505-2E9C-101B-9397-08002B2CF9AE}" pid="38" name="LAWLISTTMP3">
    <vt:lpwstr>74248/001.c:2;023</vt:lpwstr>
  </property>
  <property fmtid="{D5CDD505-2E9C-101B-9397-08002B2CF9AE}" pid="39" name="LAWLISTTMP4">
    <vt:lpwstr>70301/005:2</vt:lpwstr>
  </property>
  <property fmtid="{D5CDD505-2E9C-101B-9397-08002B2CF9AE}" pid="40" name="LAWLISTTMP5">
    <vt:lpwstr>74903/192a</vt:lpwstr>
  </property>
  <property fmtid="{D5CDD505-2E9C-101B-9397-08002B2CF9AE}" pid="41" name="NOSE1ID">
    <vt:lpwstr>77;77</vt:lpwstr>
  </property>
  <property fmtid="{D5CDD505-2E9C-101B-9397-08002B2CF9AE}" pid="42" name="NOSE2ID">
    <vt:lpwstr>1446;1446</vt:lpwstr>
  </property>
  <property fmtid="{D5CDD505-2E9C-101B-9397-08002B2CF9AE}" pid="43" name="NOSE3ID">
    <vt:lpwstr>11695;8991</vt:lpwstr>
  </property>
  <property fmtid="{D5CDD505-2E9C-101B-9397-08002B2CF9AE}" pid="44" name="NOSE11">
    <vt:lpwstr>עונשין</vt:lpwstr>
  </property>
  <property fmtid="{D5CDD505-2E9C-101B-9397-08002B2CF9AE}" pid="45" name="NOSE21">
    <vt:lpwstr>ענישה</vt:lpwstr>
  </property>
  <property fmtid="{D5CDD505-2E9C-101B-9397-08002B2CF9AE}" pid="46" name="NOSE31">
    <vt:lpwstr>הימנעות מהרשעה</vt:lpwstr>
  </property>
  <property fmtid="{D5CDD505-2E9C-101B-9397-08002B2CF9AE}" pid="47" name="NOSE12">
    <vt:lpwstr>עונשין</vt:lpwstr>
  </property>
  <property fmtid="{D5CDD505-2E9C-101B-9397-08002B2CF9AE}" pid="48" name="NOSE22">
    <vt:lpwstr>ענישה</vt:lpwstr>
  </property>
  <property fmtid="{D5CDD505-2E9C-101B-9397-08002B2CF9AE}" pid="49" name="NOSE32">
    <vt:lpwstr>מדיניות ענישה: עבירות סמים</vt:lpwstr>
  </property>
  <property fmtid="{D5CDD505-2E9C-101B-9397-08002B2CF9AE}" pid="50" name="NOSE13">
    <vt:lpwstr/>
  </property>
  <property fmtid="{D5CDD505-2E9C-101B-9397-08002B2CF9AE}" pid="51" name="NOSE23">
    <vt:lpwstr/>
  </property>
  <property fmtid="{D5CDD505-2E9C-101B-9397-08002B2CF9AE}" pid="52" name="NOSE33">
    <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20221207</vt:lpwstr>
  </property>
  <property fmtid="{D5CDD505-2E9C-101B-9397-08002B2CF9AE}" pid="75" name="METAKZER">
    <vt:lpwstr>שירי</vt:lpwstr>
  </property>
</Properties>
</file>