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D00C2" w:rsidRPr="00465EAA" w14:paraId="1C5224AE" w14:textId="77777777" w:rsidTr="00BA71AE">
        <w:trPr>
          <w:gridAfter w:val="1"/>
          <w:wAfter w:w="99" w:type="dxa"/>
          <w:trHeight w:hRule="exact" w:val="418"/>
          <w:jc w:val="center"/>
        </w:trPr>
        <w:tc>
          <w:tcPr>
            <w:tcW w:w="8721" w:type="dxa"/>
            <w:gridSpan w:val="4"/>
          </w:tcPr>
          <w:p w14:paraId="67B16A91" w14:textId="77777777" w:rsidR="001D00C2" w:rsidRPr="00465EAA" w:rsidRDefault="001D00C2" w:rsidP="00801F24">
            <w:pPr>
              <w:pStyle w:val="a3"/>
              <w:jc w:val="center"/>
              <w:rPr>
                <w:rFonts w:ascii="Tahoma" w:hAnsi="Tahoma" w:cs="Tahoma"/>
                <w:color w:val="000080"/>
                <w:rtl/>
              </w:rPr>
            </w:pPr>
            <w:bookmarkStart w:id="0" w:name="LastJudge"/>
            <w:r w:rsidRPr="00465EAA">
              <w:rPr>
                <w:rFonts w:ascii="Tahoma" w:hAnsi="Tahoma" w:cs="Tahoma"/>
                <w:b/>
                <w:bCs/>
                <w:color w:val="000080"/>
                <w:rtl/>
              </w:rPr>
              <w:t>בית משפט השלום ברחובות</w:t>
            </w:r>
          </w:p>
        </w:tc>
      </w:tr>
      <w:tr w:rsidR="001D00C2" w:rsidRPr="00465EAA" w14:paraId="1DA6CD48" w14:textId="77777777" w:rsidTr="00BA71AE">
        <w:trPr>
          <w:gridAfter w:val="1"/>
          <w:wAfter w:w="99" w:type="dxa"/>
          <w:trHeight w:val="337"/>
          <w:jc w:val="center"/>
        </w:trPr>
        <w:tc>
          <w:tcPr>
            <w:tcW w:w="5054" w:type="dxa"/>
            <w:gridSpan w:val="3"/>
          </w:tcPr>
          <w:p w14:paraId="1655DF2F" w14:textId="77777777" w:rsidR="001D00C2" w:rsidRPr="00465EAA" w:rsidRDefault="001D00C2" w:rsidP="00801F24">
            <w:pPr>
              <w:rPr>
                <w:rFonts w:cs="FrankRuehl"/>
                <w:sz w:val="28"/>
                <w:szCs w:val="28"/>
                <w:rtl/>
              </w:rPr>
            </w:pPr>
            <w:r w:rsidRPr="00465EAA">
              <w:rPr>
                <w:rFonts w:cs="FrankRuehl"/>
                <w:sz w:val="28"/>
                <w:szCs w:val="28"/>
                <w:rtl/>
              </w:rPr>
              <w:t>ת"פ</w:t>
            </w:r>
            <w:r w:rsidRPr="00465EAA">
              <w:rPr>
                <w:rFonts w:cs="FrankRuehl" w:hint="cs"/>
                <w:sz w:val="28"/>
                <w:szCs w:val="28"/>
                <w:rtl/>
              </w:rPr>
              <w:t xml:space="preserve"> </w:t>
            </w:r>
            <w:r w:rsidRPr="00465EAA">
              <w:rPr>
                <w:rFonts w:cs="FrankRuehl"/>
                <w:sz w:val="28"/>
                <w:szCs w:val="28"/>
                <w:rtl/>
              </w:rPr>
              <w:t>43911-02-21</w:t>
            </w:r>
            <w:r w:rsidRPr="00465EAA">
              <w:rPr>
                <w:rFonts w:cs="FrankRuehl" w:hint="cs"/>
                <w:sz w:val="28"/>
                <w:szCs w:val="28"/>
                <w:rtl/>
              </w:rPr>
              <w:t xml:space="preserve"> </w:t>
            </w:r>
            <w:r w:rsidRPr="00465EAA">
              <w:rPr>
                <w:rFonts w:cs="FrankRuehl"/>
                <w:sz w:val="28"/>
                <w:szCs w:val="28"/>
                <w:rtl/>
              </w:rPr>
              <w:t>מדינת ישראל נ' צנעאני</w:t>
            </w:r>
          </w:p>
          <w:p w14:paraId="775FDBD9" w14:textId="77777777" w:rsidR="001D00C2" w:rsidRPr="00465EAA" w:rsidRDefault="001D00C2" w:rsidP="00801F24">
            <w:pPr>
              <w:pStyle w:val="a3"/>
              <w:rPr>
                <w:rFonts w:cs="FrankRuehl"/>
                <w:sz w:val="28"/>
                <w:szCs w:val="28"/>
                <w:rtl/>
              </w:rPr>
            </w:pPr>
          </w:p>
        </w:tc>
        <w:tc>
          <w:tcPr>
            <w:tcW w:w="3667" w:type="dxa"/>
          </w:tcPr>
          <w:p w14:paraId="33820281" w14:textId="77777777" w:rsidR="001D00C2" w:rsidRPr="00465EAA" w:rsidRDefault="001D00C2" w:rsidP="00801F24">
            <w:pPr>
              <w:pStyle w:val="a3"/>
              <w:jc w:val="right"/>
              <w:rPr>
                <w:rFonts w:cs="FrankRuehl"/>
                <w:sz w:val="28"/>
                <w:szCs w:val="28"/>
                <w:rtl/>
              </w:rPr>
            </w:pPr>
          </w:p>
        </w:tc>
      </w:tr>
      <w:tr w:rsidR="001D00C2" w:rsidRPr="00465EAA" w14:paraId="3FE9EBE3" w14:textId="77777777" w:rsidTr="00BA71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31E0266" w14:textId="77777777" w:rsidR="001D00C2" w:rsidRPr="00465EAA" w:rsidRDefault="001D00C2" w:rsidP="001D00C2">
            <w:pPr>
              <w:jc w:val="both"/>
              <w:rPr>
                <w:rFonts w:ascii="David" w:hAnsi="David"/>
                <w:spacing w:val="2"/>
                <w:sz w:val="26"/>
                <w:szCs w:val="26"/>
              </w:rPr>
            </w:pPr>
            <w:r w:rsidRPr="00465EAA">
              <w:rPr>
                <w:rFonts w:hint="cs"/>
                <w:rtl/>
              </w:rPr>
              <w:t xml:space="preserve"> </w:t>
            </w:r>
            <w:r w:rsidRPr="00465EAA">
              <w:rPr>
                <w:rFonts w:ascii="David" w:hAnsi="David"/>
                <w:spacing w:val="2"/>
                <w:sz w:val="26"/>
                <w:szCs w:val="26"/>
                <w:rtl/>
              </w:rPr>
              <w:t xml:space="preserve">לפני </w:t>
            </w:r>
          </w:p>
        </w:tc>
        <w:tc>
          <w:tcPr>
            <w:tcW w:w="7897" w:type="dxa"/>
            <w:gridSpan w:val="4"/>
            <w:tcBorders>
              <w:top w:val="nil"/>
              <w:left w:val="nil"/>
              <w:bottom w:val="nil"/>
              <w:right w:val="nil"/>
            </w:tcBorders>
            <w:shd w:val="clear" w:color="auto" w:fill="auto"/>
          </w:tcPr>
          <w:p w14:paraId="514EC238" w14:textId="77777777" w:rsidR="001D00C2" w:rsidRPr="00465EAA" w:rsidRDefault="001D00C2" w:rsidP="00801F24">
            <w:pPr>
              <w:rPr>
                <w:rFonts w:ascii="David" w:hAnsi="David"/>
                <w:b/>
                <w:bCs/>
                <w:spacing w:val="2"/>
                <w:sz w:val="26"/>
                <w:szCs w:val="26"/>
                <w:rtl/>
              </w:rPr>
            </w:pPr>
            <w:r w:rsidRPr="00465EAA">
              <w:rPr>
                <w:rFonts w:ascii="David" w:hAnsi="David"/>
                <w:b/>
                <w:bCs/>
                <w:spacing w:val="2"/>
                <w:sz w:val="26"/>
                <w:szCs w:val="26"/>
                <w:rtl/>
              </w:rPr>
              <w:t>כבוד השופטת  קרן וקסלר</w:t>
            </w:r>
          </w:p>
          <w:p w14:paraId="557DBCE7" w14:textId="77777777" w:rsidR="001D00C2" w:rsidRPr="00465EAA" w:rsidRDefault="001D00C2" w:rsidP="00801F24">
            <w:pPr>
              <w:rPr>
                <w:rFonts w:ascii="David" w:hAnsi="David"/>
                <w:spacing w:val="2"/>
                <w:sz w:val="26"/>
                <w:szCs w:val="26"/>
                <w:rtl/>
              </w:rPr>
            </w:pPr>
          </w:p>
          <w:p w14:paraId="53C4CC99" w14:textId="77777777" w:rsidR="001D00C2" w:rsidRPr="00465EAA" w:rsidRDefault="001D00C2" w:rsidP="001D00C2">
            <w:pPr>
              <w:jc w:val="both"/>
              <w:rPr>
                <w:rFonts w:ascii="David" w:hAnsi="David"/>
                <w:spacing w:val="2"/>
                <w:sz w:val="26"/>
                <w:szCs w:val="26"/>
              </w:rPr>
            </w:pPr>
          </w:p>
        </w:tc>
      </w:tr>
      <w:tr w:rsidR="001D00C2" w:rsidRPr="00465EAA" w14:paraId="4072586B" w14:textId="77777777" w:rsidTr="00BA71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0B494C" w14:textId="77777777" w:rsidR="001D00C2" w:rsidRPr="00465EAA" w:rsidRDefault="001D00C2" w:rsidP="001D00C2">
            <w:pPr>
              <w:jc w:val="both"/>
              <w:rPr>
                <w:rFonts w:ascii="David" w:hAnsi="David"/>
                <w:spacing w:val="2"/>
              </w:rPr>
            </w:pPr>
            <w:bookmarkStart w:id="1" w:name="FirstAppellant"/>
            <w:r w:rsidRPr="00465EAA">
              <w:rPr>
                <w:rFonts w:ascii="David" w:hAnsi="David"/>
                <w:spacing w:val="2"/>
                <w:rtl/>
              </w:rPr>
              <w:t>בעניין:</w:t>
            </w:r>
          </w:p>
        </w:tc>
        <w:tc>
          <w:tcPr>
            <w:tcW w:w="3219" w:type="dxa"/>
            <w:tcBorders>
              <w:top w:val="nil"/>
              <w:left w:val="nil"/>
              <w:bottom w:val="nil"/>
              <w:right w:val="nil"/>
            </w:tcBorders>
            <w:shd w:val="clear" w:color="auto" w:fill="auto"/>
          </w:tcPr>
          <w:p w14:paraId="28079651" w14:textId="77777777" w:rsidR="001D00C2" w:rsidRPr="00465EAA" w:rsidRDefault="001D00C2" w:rsidP="001D00C2">
            <w:pPr>
              <w:suppressLineNumbers/>
              <w:rPr>
                <w:rFonts w:ascii="David" w:hAnsi="David"/>
                <w:spacing w:val="2"/>
              </w:rPr>
            </w:pPr>
            <w:r w:rsidRPr="00465EAA">
              <w:rPr>
                <w:rFonts w:ascii="David" w:hAnsi="David"/>
                <w:b/>
                <w:bCs/>
                <w:spacing w:val="2"/>
                <w:rtl/>
              </w:rPr>
              <w:t>המאשימה</w:t>
            </w:r>
          </w:p>
          <w:p w14:paraId="461E739F" w14:textId="77777777" w:rsidR="001D00C2" w:rsidRPr="00465EAA" w:rsidRDefault="001D00C2" w:rsidP="00801F24">
            <w:pPr>
              <w:rPr>
                <w:rFonts w:ascii="David" w:hAnsi="David"/>
                <w:spacing w:val="2"/>
              </w:rPr>
            </w:pPr>
          </w:p>
        </w:tc>
        <w:tc>
          <w:tcPr>
            <w:tcW w:w="4678" w:type="dxa"/>
            <w:gridSpan w:val="3"/>
            <w:tcBorders>
              <w:top w:val="nil"/>
              <w:left w:val="nil"/>
              <w:bottom w:val="nil"/>
              <w:right w:val="nil"/>
            </w:tcBorders>
            <w:shd w:val="clear" w:color="auto" w:fill="auto"/>
            <w:vAlign w:val="center"/>
          </w:tcPr>
          <w:p w14:paraId="19467E92" w14:textId="77777777" w:rsidR="001D00C2" w:rsidRPr="00465EAA" w:rsidRDefault="001D00C2" w:rsidP="001D00C2">
            <w:pPr>
              <w:suppressLineNumbers/>
              <w:rPr>
                <w:rFonts w:ascii="David" w:hAnsi="David"/>
                <w:spacing w:val="2"/>
              </w:rPr>
            </w:pPr>
            <w:r w:rsidRPr="00465EAA">
              <w:rPr>
                <w:rFonts w:ascii="David" w:hAnsi="David"/>
                <w:b/>
                <w:bCs/>
                <w:spacing w:val="2"/>
                <w:rtl/>
              </w:rPr>
              <w:t>מדינת ישראל</w:t>
            </w:r>
          </w:p>
        </w:tc>
      </w:tr>
      <w:bookmarkEnd w:id="1"/>
      <w:tr w:rsidR="001D00C2" w:rsidRPr="00465EAA" w14:paraId="0E81C9B9" w14:textId="77777777" w:rsidTr="00BA71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B6CF3E" w14:textId="77777777" w:rsidR="001D00C2" w:rsidRPr="00465EAA" w:rsidRDefault="001D00C2" w:rsidP="001D00C2">
            <w:pPr>
              <w:jc w:val="both"/>
              <w:rPr>
                <w:rFonts w:ascii="David" w:hAnsi="David"/>
                <w:spacing w:val="2"/>
                <w:rtl/>
              </w:rPr>
            </w:pPr>
          </w:p>
        </w:tc>
        <w:tc>
          <w:tcPr>
            <w:tcW w:w="7897" w:type="dxa"/>
            <w:gridSpan w:val="4"/>
            <w:tcBorders>
              <w:top w:val="nil"/>
              <w:left w:val="nil"/>
              <w:bottom w:val="nil"/>
              <w:right w:val="nil"/>
            </w:tcBorders>
            <w:shd w:val="clear" w:color="auto" w:fill="auto"/>
          </w:tcPr>
          <w:p w14:paraId="69397D93" w14:textId="77777777" w:rsidR="001D00C2" w:rsidRPr="00465EAA" w:rsidRDefault="001D00C2" w:rsidP="001D00C2">
            <w:pPr>
              <w:jc w:val="center"/>
              <w:rPr>
                <w:rFonts w:ascii="David" w:hAnsi="David"/>
                <w:b/>
                <w:bCs/>
                <w:spacing w:val="2"/>
                <w:rtl/>
              </w:rPr>
            </w:pPr>
          </w:p>
          <w:p w14:paraId="5D935A93" w14:textId="77777777" w:rsidR="001D00C2" w:rsidRPr="00465EAA" w:rsidRDefault="001D00C2" w:rsidP="001D00C2">
            <w:pPr>
              <w:jc w:val="center"/>
              <w:rPr>
                <w:rFonts w:ascii="David" w:hAnsi="David"/>
                <w:b/>
                <w:bCs/>
                <w:spacing w:val="2"/>
                <w:rtl/>
              </w:rPr>
            </w:pPr>
            <w:r w:rsidRPr="00465EAA">
              <w:rPr>
                <w:rFonts w:ascii="David" w:hAnsi="David"/>
                <w:b/>
                <w:bCs/>
                <w:spacing w:val="2"/>
                <w:rtl/>
              </w:rPr>
              <w:t>נגד</w:t>
            </w:r>
          </w:p>
          <w:p w14:paraId="7906A200" w14:textId="77777777" w:rsidR="001D00C2" w:rsidRPr="00465EAA" w:rsidRDefault="001D00C2" w:rsidP="001D00C2">
            <w:pPr>
              <w:jc w:val="both"/>
              <w:rPr>
                <w:rFonts w:ascii="David" w:hAnsi="David"/>
                <w:spacing w:val="2"/>
              </w:rPr>
            </w:pPr>
          </w:p>
        </w:tc>
      </w:tr>
      <w:tr w:rsidR="001D00C2" w:rsidRPr="00465EAA" w14:paraId="48B59A2D" w14:textId="77777777" w:rsidTr="00BA71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246B17" w14:textId="77777777" w:rsidR="001D00C2" w:rsidRPr="00465EAA" w:rsidRDefault="001D00C2" w:rsidP="00801F24">
            <w:pPr>
              <w:rPr>
                <w:rFonts w:ascii="David" w:hAnsi="David"/>
                <w:spacing w:val="2"/>
                <w:rtl/>
              </w:rPr>
            </w:pPr>
          </w:p>
        </w:tc>
        <w:tc>
          <w:tcPr>
            <w:tcW w:w="3219" w:type="dxa"/>
            <w:tcBorders>
              <w:top w:val="nil"/>
              <w:left w:val="nil"/>
              <w:bottom w:val="nil"/>
              <w:right w:val="nil"/>
            </w:tcBorders>
            <w:shd w:val="clear" w:color="auto" w:fill="auto"/>
          </w:tcPr>
          <w:p w14:paraId="242D23A1" w14:textId="77777777" w:rsidR="001D00C2" w:rsidRPr="00465EAA" w:rsidRDefault="001D00C2" w:rsidP="00801F24">
            <w:pPr>
              <w:rPr>
                <w:rFonts w:ascii="David" w:hAnsi="David"/>
                <w:b/>
                <w:bCs/>
                <w:spacing w:val="2"/>
                <w:rtl/>
              </w:rPr>
            </w:pPr>
            <w:r w:rsidRPr="00465EAA">
              <w:rPr>
                <w:rFonts w:ascii="David" w:hAnsi="David"/>
                <w:b/>
                <w:bCs/>
                <w:spacing w:val="2"/>
                <w:rtl/>
              </w:rPr>
              <w:t>הנאשם</w:t>
            </w:r>
          </w:p>
        </w:tc>
        <w:tc>
          <w:tcPr>
            <w:tcW w:w="4678" w:type="dxa"/>
            <w:gridSpan w:val="3"/>
            <w:tcBorders>
              <w:top w:val="nil"/>
              <w:left w:val="nil"/>
              <w:bottom w:val="nil"/>
              <w:right w:val="nil"/>
            </w:tcBorders>
            <w:shd w:val="clear" w:color="auto" w:fill="auto"/>
            <w:vAlign w:val="center"/>
          </w:tcPr>
          <w:p w14:paraId="72BC9BE5" w14:textId="77777777" w:rsidR="001D00C2" w:rsidRPr="00465EAA" w:rsidRDefault="001D00C2" w:rsidP="001D00C2">
            <w:pPr>
              <w:suppressLineNumbers/>
              <w:rPr>
                <w:rFonts w:ascii="David" w:hAnsi="David"/>
                <w:spacing w:val="2"/>
              </w:rPr>
            </w:pPr>
            <w:r w:rsidRPr="00465EAA">
              <w:rPr>
                <w:rFonts w:ascii="David" w:hAnsi="David"/>
                <w:b/>
                <w:bCs/>
                <w:spacing w:val="2"/>
                <w:rtl/>
              </w:rPr>
              <w:t xml:space="preserve">רונן צנעאני </w:t>
            </w:r>
          </w:p>
        </w:tc>
      </w:tr>
    </w:tbl>
    <w:p w14:paraId="79E87F18" w14:textId="77777777" w:rsidR="001D00C2" w:rsidRPr="00465EAA" w:rsidRDefault="001D00C2" w:rsidP="001D00C2">
      <w:pPr>
        <w:rPr>
          <w:rFonts w:ascii="David" w:hAnsi="David"/>
          <w:spacing w:val="2"/>
          <w:rtl/>
        </w:rPr>
      </w:pPr>
    </w:p>
    <w:p w14:paraId="6760B83F" w14:textId="77777777" w:rsidR="001D00C2" w:rsidRPr="00465EAA" w:rsidRDefault="001D00C2" w:rsidP="001D00C2">
      <w:pPr>
        <w:spacing w:line="360" w:lineRule="auto"/>
        <w:jc w:val="both"/>
        <w:rPr>
          <w:rFonts w:ascii="David" w:hAnsi="David"/>
          <w:spacing w:val="2"/>
          <w:rtl/>
        </w:rPr>
      </w:pPr>
      <w:bookmarkStart w:id="2" w:name="FirstLawyer"/>
      <w:r w:rsidRPr="00465EAA">
        <w:rPr>
          <w:rFonts w:ascii="David" w:hAnsi="David"/>
          <w:spacing w:val="2"/>
          <w:rtl/>
        </w:rPr>
        <w:t>ב"כ</w:t>
      </w:r>
      <w:bookmarkEnd w:id="2"/>
      <w:r w:rsidRPr="00465EAA">
        <w:rPr>
          <w:rFonts w:ascii="David" w:hAnsi="David"/>
          <w:spacing w:val="2"/>
          <w:rtl/>
        </w:rPr>
        <w:t xml:space="preserve"> המאשימה: עו"ד מור יעבץ</w:t>
      </w:r>
    </w:p>
    <w:p w14:paraId="048944E6" w14:textId="77777777" w:rsidR="001D00C2" w:rsidRPr="00465EAA" w:rsidRDefault="001D00C2" w:rsidP="001D00C2">
      <w:pPr>
        <w:spacing w:line="360" w:lineRule="auto"/>
        <w:jc w:val="both"/>
        <w:rPr>
          <w:rFonts w:ascii="David" w:hAnsi="David"/>
          <w:spacing w:val="2"/>
          <w:rtl/>
        </w:rPr>
      </w:pPr>
      <w:r w:rsidRPr="00465EAA">
        <w:rPr>
          <w:rFonts w:ascii="David" w:hAnsi="David"/>
          <w:spacing w:val="2"/>
          <w:rtl/>
        </w:rPr>
        <w:t>ב"כ הנאשם: עו"ד משה אלון</w:t>
      </w:r>
    </w:p>
    <w:p w14:paraId="2124D046" w14:textId="77777777" w:rsidR="001D00C2" w:rsidRPr="00465EAA" w:rsidRDefault="001D00C2" w:rsidP="001D00C2">
      <w:pPr>
        <w:rPr>
          <w:rFonts w:ascii="David" w:hAnsi="David"/>
          <w:spacing w:val="2"/>
        </w:rPr>
      </w:pPr>
    </w:p>
    <w:p w14:paraId="1C56C10F" w14:textId="77777777" w:rsidR="00465EAA" w:rsidRPr="00465EAA" w:rsidRDefault="00465EAA" w:rsidP="00465EAA">
      <w:pPr>
        <w:rPr>
          <w:rFonts w:ascii="David" w:hAnsi="David"/>
          <w:spacing w:val="2"/>
          <w:rtl/>
        </w:rPr>
      </w:pPr>
    </w:p>
    <w:p w14:paraId="473915B2" w14:textId="77777777" w:rsidR="00BA71AE" w:rsidRPr="00BA71AE" w:rsidRDefault="00BA71AE" w:rsidP="00BA71AE">
      <w:pPr>
        <w:spacing w:before="120" w:after="120" w:line="240" w:lineRule="exact"/>
        <w:ind w:left="283" w:hanging="283"/>
        <w:jc w:val="both"/>
        <w:rPr>
          <w:rFonts w:ascii="FrankRuehl" w:hAnsi="FrankRuehl" w:cs="FrankRuehl"/>
          <w:rtl/>
        </w:rPr>
      </w:pPr>
    </w:p>
    <w:p w14:paraId="74021ECF" w14:textId="77777777" w:rsidR="00966B61" w:rsidRPr="00966B61" w:rsidRDefault="00966B61" w:rsidP="00966B61">
      <w:pPr>
        <w:spacing w:before="120" w:after="120" w:line="240" w:lineRule="exact"/>
        <w:ind w:left="283" w:hanging="283"/>
        <w:jc w:val="both"/>
        <w:rPr>
          <w:rFonts w:ascii="FrankRuehl" w:hAnsi="FrankRuehl" w:cs="FrankRuehl"/>
          <w:rtl/>
        </w:rPr>
      </w:pPr>
    </w:p>
    <w:p w14:paraId="1064E08A" w14:textId="77777777" w:rsidR="005342FB" w:rsidRDefault="005342FB" w:rsidP="005342FB">
      <w:pPr>
        <w:rPr>
          <w:rFonts w:ascii="David" w:hAnsi="David"/>
          <w:spacing w:val="2"/>
          <w:rtl/>
        </w:rPr>
      </w:pPr>
      <w:bookmarkStart w:id="3" w:name="LawTable"/>
      <w:bookmarkEnd w:id="3"/>
    </w:p>
    <w:p w14:paraId="0906D2FF" w14:textId="77777777" w:rsidR="005342FB" w:rsidRPr="005342FB" w:rsidRDefault="005342FB" w:rsidP="005342FB">
      <w:pPr>
        <w:spacing w:before="120" w:after="120" w:line="240" w:lineRule="exact"/>
        <w:ind w:left="283" w:hanging="283"/>
        <w:jc w:val="both"/>
        <w:rPr>
          <w:rFonts w:ascii="FrankRuehl" w:hAnsi="FrankRuehl" w:cs="FrankRuehl"/>
          <w:rtl/>
        </w:rPr>
      </w:pPr>
    </w:p>
    <w:p w14:paraId="65D93157" w14:textId="77777777" w:rsidR="005342FB" w:rsidRPr="005342FB" w:rsidRDefault="005342FB" w:rsidP="005342FB">
      <w:pPr>
        <w:spacing w:before="120" w:after="120" w:line="240" w:lineRule="exact"/>
        <w:ind w:left="283" w:hanging="283"/>
        <w:jc w:val="both"/>
        <w:rPr>
          <w:rFonts w:ascii="FrankRuehl" w:hAnsi="FrankRuehl" w:cs="FrankRuehl"/>
          <w:rtl/>
        </w:rPr>
      </w:pPr>
    </w:p>
    <w:p w14:paraId="5846B2FE" w14:textId="77777777" w:rsidR="005342FB" w:rsidRPr="005342FB" w:rsidRDefault="005342FB" w:rsidP="005342FB">
      <w:pPr>
        <w:spacing w:before="120" w:after="120" w:line="240" w:lineRule="exact"/>
        <w:ind w:left="283" w:hanging="283"/>
        <w:jc w:val="both"/>
        <w:rPr>
          <w:rFonts w:ascii="FrankRuehl" w:hAnsi="FrankRuehl" w:cs="FrankRuehl"/>
          <w:rtl/>
        </w:rPr>
      </w:pPr>
      <w:r w:rsidRPr="005342FB">
        <w:rPr>
          <w:rFonts w:ascii="FrankRuehl" w:hAnsi="FrankRuehl" w:cs="FrankRuehl"/>
          <w:rtl/>
        </w:rPr>
        <w:t xml:space="preserve">חקיקה שאוזכרה: </w:t>
      </w:r>
    </w:p>
    <w:p w14:paraId="2B4D92B1" w14:textId="77777777" w:rsidR="005342FB" w:rsidRPr="005342FB" w:rsidRDefault="005342FB" w:rsidP="005342FB">
      <w:pPr>
        <w:spacing w:before="120" w:after="120" w:line="240" w:lineRule="exact"/>
        <w:ind w:left="283" w:hanging="283"/>
        <w:jc w:val="both"/>
        <w:rPr>
          <w:rFonts w:ascii="FrankRuehl" w:hAnsi="FrankRuehl" w:cs="FrankRuehl"/>
          <w:rtl/>
        </w:rPr>
      </w:pPr>
      <w:hyperlink r:id="rId7" w:history="1">
        <w:r w:rsidRPr="005342FB">
          <w:rPr>
            <w:rFonts w:ascii="FrankRuehl" w:hAnsi="FrankRuehl" w:cs="FrankRuehl"/>
            <w:color w:val="0000FF"/>
            <w:rtl/>
          </w:rPr>
          <w:t>חוק העונשין, תשל"ז-1977</w:t>
        </w:r>
      </w:hyperlink>
      <w:r w:rsidRPr="005342FB">
        <w:rPr>
          <w:rFonts w:ascii="FrankRuehl" w:hAnsi="FrankRuehl" w:cs="FrankRuehl"/>
          <w:rtl/>
        </w:rPr>
        <w:t xml:space="preserve">: סע'  </w:t>
      </w:r>
      <w:hyperlink r:id="rId8" w:history="1">
        <w:r w:rsidRPr="005342FB">
          <w:rPr>
            <w:rFonts w:ascii="FrankRuehl" w:hAnsi="FrankRuehl" w:cs="FrankRuehl"/>
            <w:color w:val="0000FF"/>
            <w:rtl/>
          </w:rPr>
          <w:t>40ט(א)(9)</w:t>
        </w:r>
      </w:hyperlink>
      <w:r w:rsidRPr="005342FB">
        <w:rPr>
          <w:rFonts w:ascii="FrankRuehl" w:hAnsi="FrankRuehl" w:cs="FrankRuehl"/>
          <w:rtl/>
        </w:rPr>
        <w:t xml:space="preserve">, </w:t>
      </w:r>
      <w:hyperlink r:id="rId9" w:history="1">
        <w:r w:rsidRPr="005342FB">
          <w:rPr>
            <w:rFonts w:ascii="FrankRuehl" w:hAnsi="FrankRuehl" w:cs="FrankRuehl"/>
            <w:color w:val="0000FF"/>
            <w:rtl/>
          </w:rPr>
          <w:t>192</w:t>
        </w:r>
      </w:hyperlink>
      <w:r w:rsidRPr="005342FB">
        <w:rPr>
          <w:rFonts w:ascii="FrankRuehl" w:hAnsi="FrankRuehl" w:cs="FrankRuehl"/>
          <w:rtl/>
        </w:rPr>
        <w:t xml:space="preserve">, </w:t>
      </w:r>
      <w:hyperlink r:id="rId10" w:history="1">
        <w:r w:rsidRPr="005342FB">
          <w:rPr>
            <w:rFonts w:ascii="FrankRuehl" w:hAnsi="FrankRuehl" w:cs="FrankRuehl"/>
            <w:color w:val="0000FF"/>
            <w:rtl/>
          </w:rPr>
          <w:t>279</w:t>
        </w:r>
      </w:hyperlink>
      <w:r w:rsidRPr="005342FB">
        <w:rPr>
          <w:rFonts w:ascii="FrankRuehl" w:hAnsi="FrankRuehl" w:cs="FrankRuehl"/>
          <w:rtl/>
        </w:rPr>
        <w:t xml:space="preserve">, </w:t>
      </w:r>
      <w:hyperlink r:id="rId11" w:history="1">
        <w:r w:rsidRPr="005342FB">
          <w:rPr>
            <w:rFonts w:ascii="FrankRuehl" w:hAnsi="FrankRuehl" w:cs="FrankRuehl"/>
            <w:color w:val="0000FF"/>
            <w:rtl/>
          </w:rPr>
          <w:t>287(ב)</w:t>
        </w:r>
      </w:hyperlink>
    </w:p>
    <w:p w14:paraId="5A0150AA" w14:textId="77777777" w:rsidR="005342FB" w:rsidRPr="005342FB" w:rsidRDefault="005342FB" w:rsidP="005342FB">
      <w:pPr>
        <w:spacing w:before="120" w:after="120" w:line="240" w:lineRule="exact"/>
        <w:ind w:left="283" w:hanging="283"/>
        <w:jc w:val="both"/>
        <w:rPr>
          <w:rFonts w:ascii="FrankRuehl" w:hAnsi="FrankRuehl" w:cs="FrankRuehl"/>
          <w:rtl/>
        </w:rPr>
      </w:pPr>
      <w:hyperlink r:id="rId12" w:history="1">
        <w:r w:rsidRPr="005342FB">
          <w:rPr>
            <w:rFonts w:ascii="FrankRuehl" w:hAnsi="FrankRuehl" w:cs="FrankRuehl"/>
            <w:color w:val="0000FF"/>
            <w:rtl/>
          </w:rPr>
          <w:t>פקודת הסמים המסוכנים [נוסח חדש], תשל"ג-1973</w:t>
        </w:r>
      </w:hyperlink>
      <w:r w:rsidRPr="005342FB">
        <w:rPr>
          <w:rFonts w:ascii="FrankRuehl" w:hAnsi="FrankRuehl" w:cs="FrankRuehl"/>
          <w:rtl/>
        </w:rPr>
        <w:t xml:space="preserve">: סע'  </w:t>
      </w:r>
      <w:hyperlink r:id="rId13" w:history="1">
        <w:r w:rsidRPr="005342FB">
          <w:rPr>
            <w:rFonts w:ascii="FrankRuehl" w:hAnsi="FrankRuehl" w:cs="FrankRuehl"/>
            <w:color w:val="0000FF"/>
            <w:rtl/>
          </w:rPr>
          <w:t>7(א)</w:t>
        </w:r>
      </w:hyperlink>
      <w:r w:rsidRPr="005342FB">
        <w:rPr>
          <w:rFonts w:ascii="FrankRuehl" w:hAnsi="FrankRuehl" w:cs="FrankRuehl"/>
          <w:rtl/>
        </w:rPr>
        <w:t xml:space="preserve">, </w:t>
      </w:r>
      <w:hyperlink r:id="rId14" w:history="1">
        <w:r w:rsidRPr="005342FB">
          <w:rPr>
            <w:rFonts w:ascii="FrankRuehl" w:hAnsi="FrankRuehl" w:cs="FrankRuehl"/>
            <w:color w:val="0000FF"/>
            <w:rtl/>
          </w:rPr>
          <w:t>7(ג)</w:t>
        </w:r>
      </w:hyperlink>
    </w:p>
    <w:p w14:paraId="7F8064B8" w14:textId="77777777" w:rsidR="005342FB" w:rsidRPr="005342FB" w:rsidRDefault="005342FB" w:rsidP="005342FB">
      <w:pPr>
        <w:rPr>
          <w:rFonts w:ascii="David" w:hAnsi="David"/>
          <w:spacing w:val="2"/>
          <w:rtl/>
        </w:rPr>
      </w:pPr>
      <w:bookmarkStart w:id="4" w:name="LawTable_End"/>
      <w:bookmarkEnd w:id="4"/>
    </w:p>
    <w:p w14:paraId="7BA4D450" w14:textId="77777777" w:rsidR="00BA71AE" w:rsidRPr="00966B61" w:rsidRDefault="00BA71AE" w:rsidP="00966B61">
      <w:pPr>
        <w:rPr>
          <w:rFonts w:ascii="David" w:hAnsi="David" w:hint="cs"/>
          <w:spacing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00C2" w:rsidRPr="004756FA" w14:paraId="498E15FB" w14:textId="77777777" w:rsidTr="001D00C2">
        <w:trPr>
          <w:trHeight w:val="355"/>
          <w:jc w:val="center"/>
        </w:trPr>
        <w:tc>
          <w:tcPr>
            <w:tcW w:w="8820" w:type="dxa"/>
            <w:tcBorders>
              <w:top w:val="nil"/>
              <w:left w:val="nil"/>
              <w:bottom w:val="nil"/>
              <w:right w:val="nil"/>
            </w:tcBorders>
            <w:shd w:val="clear" w:color="auto" w:fill="auto"/>
          </w:tcPr>
          <w:p w14:paraId="7D71E96F" w14:textId="77777777" w:rsidR="00465EAA" w:rsidRPr="00465EAA" w:rsidRDefault="00465EAA" w:rsidP="00465EAA">
            <w:pPr>
              <w:jc w:val="center"/>
              <w:rPr>
                <w:rFonts w:ascii="David" w:hAnsi="David"/>
                <w:b/>
                <w:bCs/>
                <w:spacing w:val="2"/>
                <w:u w:val="single"/>
                <w:rtl/>
              </w:rPr>
            </w:pPr>
            <w:bookmarkStart w:id="5" w:name="PsakDin" w:colFirst="0" w:colLast="0"/>
            <w:bookmarkEnd w:id="0"/>
            <w:r w:rsidRPr="00465EAA">
              <w:rPr>
                <w:rFonts w:ascii="David" w:hAnsi="David"/>
                <w:b/>
                <w:bCs/>
                <w:spacing w:val="2"/>
                <w:u w:val="single"/>
                <w:rtl/>
              </w:rPr>
              <w:t>גזר דין</w:t>
            </w:r>
          </w:p>
          <w:p w14:paraId="16154894" w14:textId="77777777" w:rsidR="001D00C2" w:rsidRPr="00465EAA" w:rsidRDefault="001D00C2" w:rsidP="00465EAA">
            <w:pPr>
              <w:jc w:val="center"/>
              <w:rPr>
                <w:rFonts w:ascii="David" w:hAnsi="David"/>
                <w:bCs/>
                <w:spacing w:val="2"/>
                <w:u w:val="single"/>
                <w:rtl/>
              </w:rPr>
            </w:pPr>
          </w:p>
        </w:tc>
      </w:tr>
      <w:bookmarkEnd w:id="5"/>
    </w:tbl>
    <w:p w14:paraId="6AEE0B35" w14:textId="77777777" w:rsidR="001D00C2" w:rsidRPr="004756FA" w:rsidRDefault="001D00C2" w:rsidP="001D00C2">
      <w:pPr>
        <w:rPr>
          <w:rFonts w:ascii="David" w:hAnsi="David"/>
          <w:b/>
          <w:bCs/>
          <w:spacing w:val="2"/>
          <w:rtl/>
        </w:rPr>
      </w:pPr>
    </w:p>
    <w:p w14:paraId="4930E5F7" w14:textId="77777777" w:rsidR="001D00C2" w:rsidRPr="004756FA" w:rsidRDefault="001D00C2" w:rsidP="001D00C2">
      <w:pPr>
        <w:rPr>
          <w:rFonts w:ascii="David" w:hAnsi="David"/>
          <w:b/>
          <w:bCs/>
          <w:spacing w:val="2"/>
          <w:rtl/>
        </w:rPr>
      </w:pPr>
    </w:p>
    <w:p w14:paraId="73F31C5A" w14:textId="77777777" w:rsidR="001D00C2" w:rsidRPr="004756FA" w:rsidRDefault="001D00C2" w:rsidP="001D00C2">
      <w:pPr>
        <w:spacing w:line="360" w:lineRule="auto"/>
        <w:jc w:val="both"/>
        <w:rPr>
          <w:rFonts w:ascii="David" w:hAnsi="David"/>
          <w:b/>
          <w:bCs/>
          <w:spacing w:val="2"/>
          <w:u w:val="single"/>
          <w:rtl/>
        </w:rPr>
      </w:pPr>
      <w:r w:rsidRPr="004756FA">
        <w:rPr>
          <w:rFonts w:ascii="David" w:hAnsi="David"/>
          <w:b/>
          <w:bCs/>
          <w:spacing w:val="2"/>
          <w:u w:val="single"/>
          <w:rtl/>
        </w:rPr>
        <w:t>כתבי האישום</w:t>
      </w:r>
    </w:p>
    <w:p w14:paraId="5093B0EA" w14:textId="77777777" w:rsidR="001D00C2" w:rsidRPr="004756FA" w:rsidRDefault="001D00C2" w:rsidP="001D00C2">
      <w:pPr>
        <w:spacing w:line="360" w:lineRule="auto"/>
        <w:jc w:val="both"/>
        <w:rPr>
          <w:rFonts w:ascii="David" w:hAnsi="David"/>
          <w:spacing w:val="2"/>
          <w:rtl/>
        </w:rPr>
      </w:pPr>
      <w:bookmarkStart w:id="6" w:name="ABSTRACT_START"/>
      <w:bookmarkEnd w:id="6"/>
      <w:r w:rsidRPr="004756FA">
        <w:rPr>
          <w:rFonts w:ascii="David" w:hAnsi="David"/>
          <w:spacing w:val="2"/>
          <w:rtl/>
        </w:rPr>
        <w:t>הנאשם הורשע ביום 23.5.2022 בהתאם להודאתו בשני כתבי אישום מתוקנים כמפורט להלן:</w:t>
      </w:r>
    </w:p>
    <w:p w14:paraId="4CF6E38A" w14:textId="77777777" w:rsidR="001D00C2" w:rsidRPr="004756FA" w:rsidRDefault="001D00C2" w:rsidP="001D00C2">
      <w:pPr>
        <w:spacing w:line="360" w:lineRule="auto"/>
        <w:jc w:val="both"/>
        <w:rPr>
          <w:rFonts w:ascii="David" w:hAnsi="David"/>
          <w:spacing w:val="2"/>
          <w:rtl/>
        </w:rPr>
      </w:pPr>
    </w:p>
    <w:p w14:paraId="3683F981" w14:textId="77777777" w:rsidR="001D00C2" w:rsidRPr="004756FA" w:rsidRDefault="00465EAA" w:rsidP="001D00C2">
      <w:pPr>
        <w:spacing w:line="360" w:lineRule="auto"/>
        <w:jc w:val="both"/>
        <w:rPr>
          <w:rFonts w:ascii="David" w:hAnsi="David"/>
          <w:spacing w:val="2"/>
          <w:u w:val="single"/>
          <w:rtl/>
        </w:rPr>
      </w:pPr>
      <w:hyperlink r:id="rId15" w:history="1">
        <w:r w:rsidRPr="00465EAA">
          <w:rPr>
            <w:rFonts w:ascii="David" w:hAnsi="David"/>
            <w:color w:val="0000FF"/>
            <w:spacing w:val="2"/>
            <w:u w:val="single"/>
            <w:rtl/>
          </w:rPr>
          <w:t>ת"פ 43911-02-21</w:t>
        </w:r>
      </w:hyperlink>
      <w:r w:rsidR="001D00C2" w:rsidRPr="004756FA">
        <w:rPr>
          <w:rFonts w:ascii="David" w:hAnsi="David"/>
          <w:spacing w:val="2"/>
          <w:u w:val="single"/>
          <w:rtl/>
        </w:rPr>
        <w:t xml:space="preserve"> (להלן: </w:t>
      </w:r>
      <w:r w:rsidR="001D00C2" w:rsidRPr="004756FA">
        <w:rPr>
          <w:rFonts w:ascii="David" w:hAnsi="David"/>
          <w:b/>
          <w:bCs/>
          <w:spacing w:val="2"/>
          <w:u w:val="single"/>
          <w:rtl/>
        </w:rPr>
        <w:t>התיק העיקרי</w:t>
      </w:r>
      <w:r w:rsidR="001D00C2" w:rsidRPr="004756FA">
        <w:rPr>
          <w:rFonts w:ascii="David" w:hAnsi="David"/>
          <w:spacing w:val="2"/>
          <w:u w:val="single"/>
          <w:rtl/>
        </w:rPr>
        <w:t>):</w:t>
      </w:r>
    </w:p>
    <w:p w14:paraId="00079193"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על פי המתואר, במועד הרלוונטי עמד בתוקפו צו הגנה שניתן ביום 8.9.2019 במסגרתו נאסר על הנאשם להיכנס לביתו של אביו או להתקרב למרחק קטן מ- 500 מטרים מביתו, אף אם יש לו זכות כלשהי במקום וכן נאסר עליו ליצור קשר עם האב או להטרידו בכל דרך שהיא במישרין או בעקיפין. </w:t>
      </w:r>
    </w:p>
    <w:p w14:paraId="3D68615C" w14:textId="77777777" w:rsidR="001D00C2" w:rsidRPr="004756FA" w:rsidRDefault="001D00C2" w:rsidP="001D00C2">
      <w:pPr>
        <w:spacing w:line="360" w:lineRule="auto"/>
        <w:jc w:val="both"/>
        <w:rPr>
          <w:rFonts w:ascii="David" w:hAnsi="David"/>
          <w:spacing w:val="2"/>
          <w:rtl/>
        </w:rPr>
      </w:pPr>
      <w:bookmarkStart w:id="7" w:name="ABSTRACT_END"/>
      <w:bookmarkEnd w:id="7"/>
    </w:p>
    <w:p w14:paraId="686BDFA9"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lastRenderedPageBreak/>
        <w:t xml:space="preserve">בתאריך 10.9.2019 הגיע הנאשם לבית האב, בניגוד לצו ההגנה, קילל אותו, ניגש אליו באופן תוקפני, אחז בצווארו ואיים עליו באומרו "אני אחנוק אותך יא בן זונה". </w:t>
      </w:r>
    </w:p>
    <w:p w14:paraId="0D704AB0" w14:textId="77777777" w:rsidR="001D00C2" w:rsidRPr="004756FA" w:rsidRDefault="001D00C2" w:rsidP="001D00C2">
      <w:pPr>
        <w:spacing w:line="360" w:lineRule="auto"/>
        <w:jc w:val="both"/>
        <w:rPr>
          <w:rFonts w:ascii="David" w:hAnsi="David"/>
          <w:spacing w:val="2"/>
          <w:rtl/>
        </w:rPr>
      </w:pPr>
    </w:p>
    <w:p w14:paraId="27EDF1D2"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בגין מעשיו אלה הורשע הנאשם בעבירות </w:t>
      </w:r>
      <w:r w:rsidRPr="004756FA">
        <w:rPr>
          <w:rFonts w:ascii="David" w:hAnsi="David"/>
          <w:b/>
          <w:bCs/>
          <w:spacing w:val="2"/>
          <w:rtl/>
        </w:rPr>
        <w:t>הפרת הוראה חוקית</w:t>
      </w:r>
      <w:r w:rsidRPr="004756FA">
        <w:rPr>
          <w:rFonts w:ascii="David" w:hAnsi="David"/>
          <w:spacing w:val="2"/>
          <w:rtl/>
        </w:rPr>
        <w:t xml:space="preserve">, לפי </w:t>
      </w:r>
      <w:hyperlink r:id="rId16" w:history="1">
        <w:r w:rsidR="00BA71AE" w:rsidRPr="00BA71AE">
          <w:rPr>
            <w:rStyle w:val="Hyperlink"/>
            <w:rFonts w:ascii="David" w:hAnsi="David"/>
            <w:spacing w:val="2"/>
            <w:rtl/>
          </w:rPr>
          <w:t>סעיף 287(ב)</w:t>
        </w:r>
      </w:hyperlink>
      <w:r w:rsidRPr="004756FA">
        <w:rPr>
          <w:rFonts w:ascii="David" w:hAnsi="David"/>
          <w:spacing w:val="2"/>
          <w:rtl/>
        </w:rPr>
        <w:t xml:space="preserve"> ב</w:t>
      </w:r>
      <w:hyperlink r:id="rId17" w:history="1">
        <w:r w:rsidR="00465EAA" w:rsidRPr="00465EAA">
          <w:rPr>
            <w:rFonts w:ascii="David" w:hAnsi="David"/>
            <w:color w:val="0000FF"/>
            <w:spacing w:val="2"/>
            <w:u w:val="single"/>
            <w:rtl/>
          </w:rPr>
          <w:t>חוק העונשין</w:t>
        </w:r>
      </w:hyperlink>
      <w:r w:rsidRPr="004756FA">
        <w:rPr>
          <w:rFonts w:ascii="David" w:hAnsi="David"/>
          <w:spacing w:val="2"/>
          <w:rtl/>
        </w:rPr>
        <w:t xml:space="preserve">, תשל"ז- 1977 (להלן: חוק העונשין); </w:t>
      </w:r>
      <w:r w:rsidRPr="004756FA">
        <w:rPr>
          <w:rFonts w:ascii="David" w:hAnsi="David"/>
          <w:b/>
          <w:bCs/>
          <w:spacing w:val="2"/>
          <w:rtl/>
        </w:rPr>
        <w:t>תקיפה סתם</w:t>
      </w:r>
      <w:r w:rsidRPr="004756FA">
        <w:rPr>
          <w:rFonts w:ascii="David" w:hAnsi="David"/>
          <w:spacing w:val="2"/>
          <w:rtl/>
        </w:rPr>
        <w:t xml:space="preserve">, לפי </w:t>
      </w:r>
      <w:hyperlink r:id="rId18" w:history="1">
        <w:r w:rsidR="00BA71AE" w:rsidRPr="00BA71AE">
          <w:rPr>
            <w:rStyle w:val="Hyperlink"/>
            <w:rFonts w:ascii="David" w:hAnsi="David"/>
            <w:spacing w:val="2"/>
            <w:rtl/>
          </w:rPr>
          <w:t>סעיף 279</w:t>
        </w:r>
      </w:hyperlink>
      <w:r w:rsidRPr="004756FA">
        <w:rPr>
          <w:rFonts w:ascii="David" w:hAnsi="David"/>
          <w:spacing w:val="2"/>
          <w:rtl/>
        </w:rPr>
        <w:t xml:space="preserve"> בחוק העונשין; ו</w:t>
      </w:r>
      <w:r w:rsidRPr="004756FA">
        <w:rPr>
          <w:rFonts w:ascii="David" w:hAnsi="David"/>
          <w:b/>
          <w:bCs/>
          <w:spacing w:val="2"/>
          <w:rtl/>
        </w:rPr>
        <w:t>איומים,</w:t>
      </w:r>
      <w:r w:rsidRPr="004756FA">
        <w:rPr>
          <w:rFonts w:ascii="David" w:hAnsi="David"/>
          <w:spacing w:val="2"/>
          <w:rtl/>
        </w:rPr>
        <w:t xml:space="preserve"> לפי </w:t>
      </w:r>
      <w:hyperlink r:id="rId19" w:history="1">
        <w:r w:rsidR="00BA71AE" w:rsidRPr="00BA71AE">
          <w:rPr>
            <w:rStyle w:val="Hyperlink"/>
            <w:rFonts w:ascii="David" w:hAnsi="David"/>
            <w:spacing w:val="2"/>
            <w:rtl/>
          </w:rPr>
          <w:t>סעיף 192</w:t>
        </w:r>
      </w:hyperlink>
      <w:r w:rsidRPr="004756FA">
        <w:rPr>
          <w:rFonts w:ascii="David" w:hAnsi="David"/>
          <w:spacing w:val="2"/>
          <w:rtl/>
        </w:rPr>
        <w:t xml:space="preserve"> בחוק העונשין. </w:t>
      </w:r>
    </w:p>
    <w:p w14:paraId="6E62BB63" w14:textId="77777777" w:rsidR="001D00C2" w:rsidRPr="004756FA" w:rsidRDefault="001D00C2" w:rsidP="001D00C2">
      <w:pPr>
        <w:spacing w:line="360" w:lineRule="auto"/>
        <w:jc w:val="both"/>
        <w:rPr>
          <w:rFonts w:ascii="David" w:hAnsi="David"/>
          <w:spacing w:val="2"/>
          <w:rtl/>
        </w:rPr>
      </w:pPr>
    </w:p>
    <w:p w14:paraId="5CBBA459" w14:textId="77777777" w:rsidR="001D00C2" w:rsidRPr="004756FA" w:rsidRDefault="00465EAA" w:rsidP="001D00C2">
      <w:pPr>
        <w:spacing w:line="360" w:lineRule="auto"/>
        <w:jc w:val="both"/>
        <w:rPr>
          <w:rFonts w:ascii="David" w:hAnsi="David"/>
          <w:spacing w:val="2"/>
          <w:u w:val="single"/>
          <w:rtl/>
        </w:rPr>
      </w:pPr>
      <w:hyperlink r:id="rId20" w:history="1">
        <w:r w:rsidRPr="00465EAA">
          <w:rPr>
            <w:rFonts w:ascii="David" w:hAnsi="David"/>
            <w:color w:val="0000FF"/>
            <w:spacing w:val="2"/>
            <w:u w:val="single"/>
            <w:rtl/>
          </w:rPr>
          <w:t>ת"פ 68020-06-20</w:t>
        </w:r>
      </w:hyperlink>
      <w:r w:rsidR="001D00C2" w:rsidRPr="004756FA">
        <w:rPr>
          <w:rFonts w:ascii="David" w:hAnsi="David"/>
          <w:spacing w:val="2"/>
          <w:u w:val="single"/>
          <w:rtl/>
        </w:rPr>
        <w:t xml:space="preserve"> (שלום רמלה) (להלן: </w:t>
      </w:r>
      <w:r w:rsidR="001D00C2" w:rsidRPr="004756FA">
        <w:rPr>
          <w:rFonts w:ascii="David" w:hAnsi="David"/>
          <w:b/>
          <w:bCs/>
          <w:spacing w:val="2"/>
          <w:u w:val="single"/>
          <w:rtl/>
        </w:rPr>
        <w:t>תיק הצירוף</w:t>
      </w:r>
      <w:r w:rsidR="001D00C2" w:rsidRPr="004756FA">
        <w:rPr>
          <w:rFonts w:ascii="David" w:hAnsi="David"/>
          <w:spacing w:val="2"/>
          <w:u w:val="single"/>
          <w:rtl/>
        </w:rPr>
        <w:t xml:space="preserve">): </w:t>
      </w:r>
    </w:p>
    <w:p w14:paraId="259CCD04"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על פי המתואר, בתאריך 31.1.2020 יצא הנאשם עם רכבו ממאתר סמים של משפחת ניימר בלוד בנסיבות אלה החזיק בדלת רכבו סם מסוכן מסוג קוקאין במשקל 0.6172 גרם.</w:t>
      </w:r>
    </w:p>
    <w:p w14:paraId="0B71CE66" w14:textId="77777777" w:rsidR="001D00C2" w:rsidRPr="004756FA" w:rsidRDefault="001D00C2" w:rsidP="001D00C2">
      <w:pPr>
        <w:spacing w:line="360" w:lineRule="auto"/>
        <w:jc w:val="both"/>
        <w:rPr>
          <w:rFonts w:ascii="David" w:hAnsi="David"/>
          <w:spacing w:val="2"/>
          <w:rtl/>
        </w:rPr>
      </w:pPr>
    </w:p>
    <w:p w14:paraId="2807DE85"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בגין מעשה זה הורשע הנאשם ב</w:t>
      </w:r>
      <w:r w:rsidRPr="004756FA">
        <w:rPr>
          <w:rFonts w:ascii="David" w:hAnsi="David"/>
          <w:b/>
          <w:bCs/>
          <w:spacing w:val="2"/>
          <w:rtl/>
        </w:rPr>
        <w:t>החזקת סמים לצריכה עצמית</w:t>
      </w:r>
      <w:r w:rsidRPr="004756FA">
        <w:rPr>
          <w:rFonts w:ascii="David" w:hAnsi="David"/>
          <w:spacing w:val="2"/>
          <w:rtl/>
        </w:rPr>
        <w:t xml:space="preserve">, לפי </w:t>
      </w:r>
      <w:hyperlink r:id="rId21" w:history="1">
        <w:r w:rsidR="00BA71AE" w:rsidRPr="00BA71AE">
          <w:rPr>
            <w:rStyle w:val="Hyperlink"/>
            <w:rFonts w:ascii="David" w:hAnsi="David"/>
            <w:spacing w:val="2"/>
            <w:rtl/>
          </w:rPr>
          <w:t>סעיפים 7(א)</w:t>
        </w:r>
      </w:hyperlink>
      <w:r w:rsidRPr="004756FA">
        <w:rPr>
          <w:rFonts w:ascii="David" w:hAnsi="David"/>
          <w:spacing w:val="2"/>
          <w:rtl/>
        </w:rPr>
        <w:t xml:space="preserve"> ו- </w:t>
      </w:r>
      <w:hyperlink r:id="rId22" w:history="1">
        <w:r w:rsidR="00BA71AE" w:rsidRPr="00BA71AE">
          <w:rPr>
            <w:rStyle w:val="Hyperlink"/>
            <w:rFonts w:ascii="David" w:hAnsi="David"/>
            <w:spacing w:val="2"/>
            <w:rtl/>
          </w:rPr>
          <w:t>7(ג)</w:t>
        </w:r>
      </w:hyperlink>
      <w:r w:rsidRPr="004756FA">
        <w:rPr>
          <w:rFonts w:ascii="David" w:hAnsi="David"/>
          <w:spacing w:val="2"/>
          <w:rtl/>
        </w:rPr>
        <w:t xml:space="preserve"> סיפה ב</w:t>
      </w:r>
      <w:hyperlink r:id="rId23" w:history="1">
        <w:r w:rsidR="00465EAA" w:rsidRPr="00465EAA">
          <w:rPr>
            <w:rFonts w:ascii="David" w:hAnsi="David"/>
            <w:color w:val="0000FF"/>
            <w:spacing w:val="2"/>
            <w:u w:val="single"/>
            <w:rtl/>
          </w:rPr>
          <w:t>פקודת הסמים המסוכנים</w:t>
        </w:r>
      </w:hyperlink>
      <w:r w:rsidRPr="004756FA">
        <w:rPr>
          <w:rFonts w:ascii="David" w:hAnsi="David"/>
          <w:spacing w:val="2"/>
          <w:rtl/>
        </w:rPr>
        <w:t xml:space="preserve"> נוסח חדש] תשל"ג- 1973.</w:t>
      </w:r>
    </w:p>
    <w:p w14:paraId="50F06863" w14:textId="77777777" w:rsidR="001D00C2" w:rsidRPr="004756FA" w:rsidRDefault="001D00C2" w:rsidP="001D00C2">
      <w:pPr>
        <w:spacing w:line="360" w:lineRule="auto"/>
        <w:jc w:val="both"/>
        <w:rPr>
          <w:rFonts w:ascii="David" w:hAnsi="David"/>
          <w:spacing w:val="2"/>
          <w:rtl/>
        </w:rPr>
      </w:pPr>
    </w:p>
    <w:p w14:paraId="31E1702A" w14:textId="77777777" w:rsidR="001D00C2" w:rsidRPr="004756FA" w:rsidRDefault="001D00C2" w:rsidP="001D00C2">
      <w:pPr>
        <w:spacing w:line="360" w:lineRule="auto"/>
        <w:jc w:val="both"/>
        <w:rPr>
          <w:rFonts w:ascii="David" w:hAnsi="David"/>
          <w:b/>
          <w:bCs/>
          <w:spacing w:val="2"/>
          <w:u w:val="single"/>
          <w:rtl/>
        </w:rPr>
      </w:pPr>
      <w:r w:rsidRPr="004756FA">
        <w:rPr>
          <w:rFonts w:ascii="David" w:hAnsi="David"/>
          <w:b/>
          <w:bCs/>
          <w:spacing w:val="2"/>
          <w:u w:val="single"/>
          <w:rtl/>
        </w:rPr>
        <w:t>תסקיר שירות המבחן</w:t>
      </w:r>
    </w:p>
    <w:p w14:paraId="3098B8B3"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בהתאם להסדר דיוני שנערך בין הצדדים הופנה הנאשם לשירות המבחן לצורך הגשת תסקיר ובהמשך לכך התקבלו שני תסקירים. יצוין כי עוד עובר למתן הכרעת הדין הופנה הנאשם לבחינת התאמה לבית המשפט הקהילתי, אולם על אף צרכים טיפוליים של הנאשם במספר מוקדים, סבר שירות המבחן כי הנאשם יתקשה להפיק תועלת ממסלול בית המשפט הקהילתי, שכן הוא אינו מכיר במצבו והוא בעל פניות נמוכה להשתלב בהליך ממושך ואינטנסיבי מסוג זה.</w:t>
      </w:r>
    </w:p>
    <w:p w14:paraId="6DF282C4" w14:textId="77777777" w:rsidR="001D00C2" w:rsidRPr="004756FA" w:rsidRDefault="001D00C2" w:rsidP="001D00C2">
      <w:pPr>
        <w:spacing w:line="360" w:lineRule="auto"/>
        <w:jc w:val="both"/>
        <w:rPr>
          <w:rFonts w:ascii="David" w:hAnsi="David"/>
          <w:spacing w:val="2"/>
          <w:rtl/>
        </w:rPr>
      </w:pPr>
    </w:p>
    <w:p w14:paraId="0B8F8DF2"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מתסקיר שהוגש ביום 22.12.2022 עלה שהנאשם יליד 1982, אב לבן בגיל 20 המתגורר עם אמו. הנאשם מתגורר עם הוריו בשנות ה-90 לחייהם, אינו עובד בשל בעיות רפואיות ונפשיות ועל רקע שימוש בסמים, ומתקיים מקצבת המוסד לביטוח לאומי. לנאשם גורמי תמיכה מעטים וניכר שהוריו נעדרי כוחות וכלים להתמודד עמו. אביו דיווח שכיום התנהגותו של הנאשם תקינה, אולם הוא שוהה בבית ללא מעש. </w:t>
      </w:r>
    </w:p>
    <w:p w14:paraId="1D453064" w14:textId="77777777" w:rsidR="001D00C2" w:rsidRPr="004756FA" w:rsidRDefault="001D00C2" w:rsidP="001D00C2">
      <w:pPr>
        <w:spacing w:line="360" w:lineRule="auto"/>
        <w:jc w:val="both"/>
        <w:rPr>
          <w:rFonts w:ascii="David" w:hAnsi="David"/>
          <w:spacing w:val="2"/>
          <w:rtl/>
        </w:rPr>
      </w:pPr>
    </w:p>
    <w:p w14:paraId="025E3E01"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אשר לעבירות בהן הורשע, הנאשם התייחס למעשיו בצמצום ושלל שימוש באלימות מצדו כלפי בני משפחתו. בנוגע לתיק הצירוף טען שבאותה עת היה בתקופת נסיגה בה חזר לצריכת סמים.  </w:t>
      </w:r>
    </w:p>
    <w:p w14:paraId="747D5F63" w14:textId="77777777" w:rsidR="001D00C2" w:rsidRPr="004756FA" w:rsidRDefault="001D00C2" w:rsidP="001D00C2">
      <w:pPr>
        <w:spacing w:line="360" w:lineRule="auto"/>
        <w:jc w:val="both"/>
        <w:rPr>
          <w:rFonts w:ascii="David" w:hAnsi="David"/>
          <w:spacing w:val="2"/>
          <w:rtl/>
        </w:rPr>
      </w:pPr>
    </w:p>
    <w:p w14:paraId="08C14D8F"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שירות המבחן התרשם מאדם שמתמודד עם בעיות נפשיות וככל הנראה מתקשה להבחין ולזהות כשלים בהתנהגותו והוא נעדר הבנה למשמעות הנדרשת לצורך השתלבות בטיפול ולפיכך לא בא בהמלצה בעניינו. </w:t>
      </w:r>
    </w:p>
    <w:p w14:paraId="7AC9236A" w14:textId="77777777" w:rsidR="001D00C2" w:rsidRPr="004756FA" w:rsidRDefault="001D00C2" w:rsidP="001D00C2">
      <w:pPr>
        <w:spacing w:line="360" w:lineRule="auto"/>
        <w:jc w:val="both"/>
        <w:rPr>
          <w:rFonts w:ascii="David" w:hAnsi="David"/>
          <w:spacing w:val="2"/>
          <w:u w:val="single"/>
          <w:rtl/>
        </w:rPr>
      </w:pPr>
    </w:p>
    <w:p w14:paraId="116089C1" w14:textId="77777777" w:rsidR="001D00C2" w:rsidRPr="004756FA" w:rsidRDefault="001D00C2" w:rsidP="001D00C2">
      <w:pPr>
        <w:spacing w:line="360" w:lineRule="auto"/>
        <w:jc w:val="both"/>
        <w:rPr>
          <w:rFonts w:ascii="David" w:hAnsi="David"/>
          <w:b/>
          <w:bCs/>
          <w:spacing w:val="2"/>
          <w:u w:val="single"/>
          <w:rtl/>
        </w:rPr>
      </w:pPr>
      <w:r w:rsidRPr="004756FA">
        <w:rPr>
          <w:rFonts w:ascii="David" w:hAnsi="David"/>
          <w:b/>
          <w:bCs/>
          <w:spacing w:val="2"/>
          <w:u w:val="single"/>
          <w:rtl/>
        </w:rPr>
        <w:t>חוות הדעת הממונה על עבודות השירות</w:t>
      </w:r>
    </w:p>
    <w:p w14:paraId="3F91687C"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lastRenderedPageBreak/>
        <w:t xml:space="preserve"> הנאשם הופנה לממונה על עבודות שירות אשר לאחר מספר אבחונים מצא את הנאשם מתאים לעבודות שירות במגבלות של 6.5 שעות עבודה ביום, מעקב פסיכיאטרי סדיר, ללא כלי חיתוך וללא משאות כבדים. מחוות הדעת עלה כי הנאשם נבדק ביום 4.12.2023 ונמצא ללא עדות למצב פסיכוטי, שיתף פעולה באופן מלא וישנו רושם לרמיסיה ממושכת. הנאשם סובל מבעיות רפואיות שונות, לרבות סוכרת ויתר לחץ דם, הוא נמצא במעקב במרפאת "מודעות" ומטופל בתחליף סם סבוטקס. </w:t>
      </w:r>
    </w:p>
    <w:p w14:paraId="48623FCD" w14:textId="77777777" w:rsidR="001D00C2" w:rsidRPr="004756FA" w:rsidRDefault="001D00C2" w:rsidP="001D00C2">
      <w:pPr>
        <w:spacing w:line="360" w:lineRule="auto"/>
        <w:jc w:val="both"/>
        <w:rPr>
          <w:rFonts w:ascii="David" w:hAnsi="David"/>
          <w:b/>
          <w:bCs/>
          <w:spacing w:val="2"/>
          <w:rtl/>
        </w:rPr>
      </w:pPr>
    </w:p>
    <w:p w14:paraId="7C3684BE" w14:textId="77777777" w:rsidR="001D00C2" w:rsidRPr="004756FA" w:rsidRDefault="001D00C2" w:rsidP="001D00C2">
      <w:pPr>
        <w:spacing w:line="360" w:lineRule="auto"/>
        <w:jc w:val="both"/>
        <w:rPr>
          <w:rFonts w:ascii="David" w:hAnsi="David"/>
          <w:b/>
          <w:bCs/>
          <w:spacing w:val="2"/>
          <w:u w:val="single"/>
          <w:rtl/>
        </w:rPr>
      </w:pPr>
      <w:r w:rsidRPr="004756FA">
        <w:rPr>
          <w:rFonts w:ascii="David" w:hAnsi="David"/>
          <w:b/>
          <w:bCs/>
          <w:spacing w:val="2"/>
          <w:u w:val="single"/>
          <w:rtl/>
        </w:rPr>
        <w:t>תמצית טיעוני הצדדים</w:t>
      </w:r>
    </w:p>
    <w:p w14:paraId="528F7518" w14:textId="77777777" w:rsidR="001D00C2" w:rsidRPr="004756FA" w:rsidRDefault="001D00C2" w:rsidP="001D00C2">
      <w:pPr>
        <w:spacing w:line="360" w:lineRule="auto"/>
        <w:jc w:val="both"/>
        <w:rPr>
          <w:rFonts w:ascii="David" w:hAnsi="David"/>
          <w:b/>
          <w:bCs/>
          <w:spacing w:val="2"/>
          <w:u w:val="single"/>
          <w:rtl/>
        </w:rPr>
      </w:pPr>
      <w:r w:rsidRPr="004756FA">
        <w:rPr>
          <w:rFonts w:ascii="David" w:hAnsi="David"/>
          <w:spacing w:val="2"/>
          <w:rtl/>
        </w:rPr>
        <w:t>ב"כ המאשימה עמדה על נסיבות ביצוע העבירות. לגישתה מתחם הענישה בתיק העיקרי נע בין 6 ל- 18 חודשי מאסר ואילו בתיק הצירוף נע מתחם הענישה בין מספר חודשי מאסר ל – 12 חודשים מאסר בפועל. בבחינת הנסיבות שאינן קשורות בעבירות הפנתה לתסקיר שאיננו חיובי, להתייחסותו המצמצמת של הנאשם למעשים לצד השימוש לרעה בחומרים ממכרים. עוד הפנתה לעברו הפלילי של הנאשם, הכולל הרשעות בעבירות דומות כלפי בני משפחתו ולכך שסנקציות שהוטלו עליו בעבר לא הרתיעוהו מלשוב ולבצע עבירות. נוכח האמור, עתרה להשית על הנאשם עונשים במרכז מתחמי הענישה, כך שירצה 12 חודשי מאסר בפועל, בצד מאסר על תנאי, קנס ופיצוי.</w:t>
      </w:r>
    </w:p>
    <w:p w14:paraId="648BEE29"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 </w:t>
      </w:r>
    </w:p>
    <w:p w14:paraId="673C8FEE"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לדעת ההגנה, על אף שהנאשם נמצא כשיר לעמוד לדין, הרי שנוכח מצבו הנפשי והפגיעה ברציה שלו יש להתחשב בקרבתו לסייג אי שפיות הדעת. בהקשר זה הפנתה ההגנה לחוות דעת של דר' דוד אלטמרק, מומחה בפסיכיאטריה, שניתנה במסגרת תיק הצירוף, ביום 12.11.2021. עוד עמד הסנגור על חלוף הזמן המשמעותי מאז ביצוע העבירות שבמהלכו לא הסתבך הנאשם בביצוע עבירות נוספות, על שיתוף הפעולה שלו עם הבדיקות הפסיכיאטריות ועם בא כוחו.  על רקע נסיבות אלה ביקש הסנגור לחרוג ממתחמי הענישה בשל מצבו הנפשי של הנאשם כך שיושת עליו עונש צופה פני עתיד בלבד. לחילופין ביקש הסנגור להשית על הנאשם עונש מאסר שירוצה בעבודות שירות. </w:t>
      </w:r>
    </w:p>
    <w:p w14:paraId="196A9307"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 </w:t>
      </w:r>
    </w:p>
    <w:p w14:paraId="289726CC"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 הנאשם ניצל את זכות המילה האחרונה ואמר את הדברים הבאים: "המצב הרפואי הפיזי שלי לא טוב, אני מטפל באבא שלי, אני מקלח אותו, אני דואג לו, אני מלביש לו נעליים, הוא בן 96, הוא מבוגר. אני נורא מצטער על מה שהיה, זה היה בצחוק זה לא היה קטע רציני בכלל, אבל הוא הבין לא נכון מפאת גילו והנה אני פה. אני מאוד מצטער כבוד השופטת, אני מטפל בו בכל נפשי, איבדתי את אמא שלי לפני חצי שנה נשאר לי רק אבא ואני מטפל בו כמו העיניים שלי, אני שומר עליו מאוד, אני מבקש סליחה אני לא יודע מה אני עושה פה בכלל הכל היה בצחוק, לא נגעתי בו לא שום דבר. אני גר איתו אני מטפל בו. אני מטופל בבאר יעקב, הייתי שם לפני חודש. אני מקבל זריקה כל שבועיים, אני הולך קבוע". </w:t>
      </w:r>
    </w:p>
    <w:p w14:paraId="49B81CE0" w14:textId="77777777" w:rsidR="001D00C2" w:rsidRPr="004756FA" w:rsidRDefault="001D00C2" w:rsidP="001D00C2">
      <w:pPr>
        <w:spacing w:line="360" w:lineRule="auto"/>
        <w:jc w:val="both"/>
        <w:rPr>
          <w:rFonts w:ascii="David" w:hAnsi="David"/>
          <w:spacing w:val="2"/>
          <w:rtl/>
        </w:rPr>
      </w:pPr>
    </w:p>
    <w:p w14:paraId="3738A321" w14:textId="77777777" w:rsidR="001D00C2" w:rsidRPr="004756FA" w:rsidRDefault="001D00C2" w:rsidP="001D00C2">
      <w:pPr>
        <w:spacing w:line="360" w:lineRule="auto"/>
        <w:jc w:val="both"/>
        <w:rPr>
          <w:rFonts w:ascii="David" w:hAnsi="David"/>
          <w:b/>
          <w:bCs/>
          <w:spacing w:val="2"/>
          <w:u w:val="single"/>
          <w:rtl/>
        </w:rPr>
      </w:pPr>
      <w:r w:rsidRPr="004756FA">
        <w:rPr>
          <w:rFonts w:ascii="David" w:hAnsi="David"/>
          <w:b/>
          <w:bCs/>
          <w:spacing w:val="2"/>
          <w:u w:val="single"/>
          <w:rtl/>
        </w:rPr>
        <w:t>דיון ומסקנות</w:t>
      </w:r>
    </w:p>
    <w:p w14:paraId="12D6F618" w14:textId="77777777" w:rsidR="001D00C2" w:rsidRPr="004756FA" w:rsidRDefault="001D00C2" w:rsidP="001D00C2">
      <w:pPr>
        <w:spacing w:line="360" w:lineRule="auto"/>
        <w:jc w:val="both"/>
        <w:rPr>
          <w:rFonts w:ascii="David" w:hAnsi="David"/>
          <w:spacing w:val="2"/>
          <w:u w:val="single"/>
          <w:rtl/>
        </w:rPr>
      </w:pPr>
      <w:r w:rsidRPr="004756FA">
        <w:rPr>
          <w:rFonts w:ascii="David" w:hAnsi="David"/>
          <w:spacing w:val="2"/>
          <w:u w:val="single"/>
          <w:rtl/>
        </w:rPr>
        <w:t>מתחם העונש ההולם</w:t>
      </w:r>
    </w:p>
    <w:p w14:paraId="5BABA6AC" w14:textId="77777777" w:rsidR="001D00C2" w:rsidRPr="004756FA" w:rsidRDefault="001D00C2" w:rsidP="001D00C2">
      <w:pPr>
        <w:spacing w:line="360" w:lineRule="auto"/>
        <w:jc w:val="both"/>
        <w:rPr>
          <w:rFonts w:ascii="David" w:hAnsi="David"/>
          <w:spacing w:val="2"/>
          <w:u w:val="single"/>
          <w:rtl/>
        </w:rPr>
      </w:pPr>
    </w:p>
    <w:p w14:paraId="6325F7EA" w14:textId="77777777" w:rsidR="001D00C2" w:rsidRPr="004756FA" w:rsidRDefault="001D00C2" w:rsidP="001D00C2">
      <w:pPr>
        <w:spacing w:line="360" w:lineRule="auto"/>
        <w:jc w:val="both"/>
        <w:rPr>
          <w:rFonts w:ascii="David" w:hAnsi="David"/>
          <w:b/>
          <w:bCs/>
          <w:spacing w:val="2"/>
          <w:rtl/>
        </w:rPr>
      </w:pPr>
      <w:r w:rsidRPr="004756FA">
        <w:rPr>
          <w:rFonts w:ascii="David" w:hAnsi="David"/>
          <w:spacing w:val="2"/>
          <w:u w:val="single"/>
          <w:rtl/>
        </w:rPr>
        <w:t>אשר לתיק העיקרי</w:t>
      </w:r>
      <w:r w:rsidRPr="004756FA">
        <w:rPr>
          <w:rFonts w:ascii="David" w:hAnsi="David"/>
          <w:spacing w:val="2"/>
          <w:rtl/>
        </w:rPr>
        <w:t xml:space="preserve">, הערכים החברתיים בהם פגע הנאשם הינם ברורים ובבסיסם עומד הצורך בשמירה על שלמות גופו של המתלונן, ביטחונו האישי ושלוות חייו. עוד פגע הנאשם בעיקרון הציות לצווים שיפוטיים. </w:t>
      </w:r>
      <w:r w:rsidRPr="004756FA">
        <w:rPr>
          <w:rFonts w:ascii="David" w:hAnsi="David"/>
          <w:snapToGrid w:val="0"/>
          <w:spacing w:val="2"/>
          <w:rtl/>
        </w:rPr>
        <w:t>למעשי אלימות המבוצעים בתוך התא המשפחתי נודעת חומרה מיוחדת שכן "</w:t>
      </w:r>
      <w:r w:rsidRPr="004756FA">
        <w:rPr>
          <w:rFonts w:ascii="David" w:hAnsi="David"/>
          <w:b/>
          <w:bCs/>
          <w:spacing w:val="2"/>
          <w:rtl/>
        </w:rPr>
        <w:t>הציפייה האנושית הטבעית הינה כי  בתוך משפחה ישררו יחסי אהבה, הרמוניה, וכבוד הדדי. הפרתה של ציפייה זו הופכת את השימוש באלימות במשפחה לתופעה העומדת בניגוד עמוק לחוש הצדק האנושי. יתר על כן, במסגרת המשפחה, מופעלת האלימות על פי רוב בידי החזק כלפי החלש</w:t>
      </w:r>
      <w:r w:rsidRPr="004756FA">
        <w:rPr>
          <w:rFonts w:ascii="David" w:hAnsi="David"/>
          <w:spacing w:val="2"/>
          <w:rtl/>
        </w:rPr>
        <w:t>" (</w:t>
      </w:r>
      <w:hyperlink r:id="rId24" w:history="1">
        <w:r w:rsidR="00465EAA" w:rsidRPr="00465EAA">
          <w:rPr>
            <w:rFonts w:ascii="David" w:hAnsi="David"/>
            <w:color w:val="0000FF"/>
            <w:spacing w:val="2"/>
            <w:u w:val="single"/>
            <w:rtl/>
          </w:rPr>
          <w:t>ע"פ 6758/07</w:t>
        </w:r>
      </w:hyperlink>
      <w:r w:rsidRPr="004756FA">
        <w:rPr>
          <w:rFonts w:ascii="David" w:hAnsi="David"/>
          <w:spacing w:val="2"/>
          <w:rtl/>
        </w:rPr>
        <w:t xml:space="preserve"> </w:t>
      </w:r>
      <w:r w:rsidRPr="004756FA">
        <w:rPr>
          <w:rFonts w:ascii="David" w:hAnsi="David"/>
          <w:b/>
          <w:bCs/>
          <w:spacing w:val="2"/>
          <w:rtl/>
        </w:rPr>
        <w:t>פלוני נ' מדינת ישראל</w:t>
      </w:r>
      <w:r w:rsidRPr="004756FA">
        <w:rPr>
          <w:rFonts w:ascii="David" w:hAnsi="David"/>
          <w:spacing w:val="2"/>
          <w:rtl/>
        </w:rPr>
        <w:t xml:space="preserve"> (11.10.3007)). מידת הפגיעה בערכים המוגנים היא איננה נמוכה, אמנם לא נגרם באירוע נזק פיזי אולם יש לתת את הדעת לכך שיומיים בלבד לאחר שניתן צו המורה לו להתרחק מאביו, דרס הנאשם ברגל גסה הוראה שיפוטית, איים ותקף את אביו הקשיש בדלת  אמותיו וזאת על אף פער הכוחות ביניהם הנובע מגילו המבוגר של האב.  </w:t>
      </w:r>
    </w:p>
    <w:p w14:paraId="42A4A745" w14:textId="77777777" w:rsidR="001D00C2" w:rsidRPr="004756FA" w:rsidRDefault="001D00C2" w:rsidP="001D00C2">
      <w:pPr>
        <w:spacing w:line="360" w:lineRule="auto"/>
        <w:jc w:val="both"/>
        <w:rPr>
          <w:rFonts w:ascii="David" w:hAnsi="David"/>
          <w:spacing w:val="2"/>
          <w:rtl/>
        </w:rPr>
      </w:pPr>
    </w:p>
    <w:p w14:paraId="41B1E50C" w14:textId="77777777" w:rsidR="001D00C2" w:rsidRPr="004756FA" w:rsidRDefault="001D00C2" w:rsidP="001D00C2">
      <w:pPr>
        <w:spacing w:line="360" w:lineRule="auto"/>
        <w:jc w:val="both"/>
        <w:rPr>
          <w:rFonts w:ascii="David" w:hAnsi="David"/>
          <w:color w:val="000000"/>
          <w:spacing w:val="2"/>
          <w:rtl/>
        </w:rPr>
      </w:pPr>
      <w:r w:rsidRPr="004756FA">
        <w:rPr>
          <w:rFonts w:ascii="David" w:hAnsi="David"/>
          <w:color w:val="000000"/>
          <w:spacing w:val="2"/>
          <w:rtl/>
        </w:rPr>
        <w:t>אפנה למספר פסקי דין מהם ניתן ללמוד, בשינויים המחויבים, על מדיניות הענישה הנוהגת:</w:t>
      </w:r>
    </w:p>
    <w:p w14:paraId="60ACD52C" w14:textId="77777777" w:rsidR="001D00C2" w:rsidRPr="004756FA" w:rsidRDefault="001D00C2" w:rsidP="001D00C2">
      <w:pPr>
        <w:spacing w:line="360" w:lineRule="auto"/>
        <w:jc w:val="both"/>
        <w:rPr>
          <w:rFonts w:ascii="David" w:hAnsi="David"/>
          <w:color w:val="000000"/>
          <w:spacing w:val="2"/>
          <w:rtl/>
        </w:rPr>
      </w:pPr>
    </w:p>
    <w:p w14:paraId="617AF4B0" w14:textId="77777777" w:rsidR="001D00C2" w:rsidRPr="004756FA" w:rsidRDefault="001D00C2" w:rsidP="001D00C2">
      <w:pPr>
        <w:spacing w:line="360" w:lineRule="auto"/>
        <w:jc w:val="both"/>
        <w:rPr>
          <w:rFonts w:ascii="David" w:hAnsi="David"/>
          <w:color w:val="000000"/>
          <w:spacing w:val="2"/>
          <w:rtl/>
        </w:rPr>
      </w:pPr>
      <w:r w:rsidRPr="004756FA">
        <w:rPr>
          <w:rFonts w:ascii="David" w:hAnsi="David"/>
          <w:color w:val="000000"/>
          <w:spacing w:val="2"/>
          <w:rtl/>
        </w:rPr>
        <w:t xml:space="preserve">רע"פ 4265/14 </w:t>
      </w:r>
      <w:r w:rsidRPr="004756FA">
        <w:rPr>
          <w:rFonts w:ascii="David" w:hAnsi="David"/>
          <w:b/>
          <w:bCs/>
          <w:color w:val="000000"/>
          <w:spacing w:val="2"/>
          <w:rtl/>
        </w:rPr>
        <w:t>דדון נ' מדינת ישראל</w:t>
      </w:r>
      <w:r w:rsidRPr="004756FA">
        <w:rPr>
          <w:rFonts w:ascii="David" w:hAnsi="David"/>
          <w:color w:val="000000"/>
          <w:spacing w:val="2"/>
          <w:rtl/>
        </w:rPr>
        <w:t xml:space="preserve"> (22.6.2015) (הוגש על ידי המאשימה) </w:t>
      </w:r>
      <w:r w:rsidRPr="004756FA">
        <w:rPr>
          <w:rFonts w:ascii="David" w:hAnsi="David"/>
          <w:spacing w:val="2"/>
          <w:rtl/>
        </w:rPr>
        <w:t xml:space="preserve">– </w:t>
      </w:r>
      <w:r w:rsidRPr="004756FA">
        <w:rPr>
          <w:rFonts w:ascii="David" w:hAnsi="David"/>
          <w:color w:val="000000"/>
          <w:spacing w:val="2"/>
          <w:rtl/>
        </w:rPr>
        <w:t>המבקש הורשע בעבירות תקיפה סתם ואיומים כלפי בעל פאב, שבוצעו על רקע אירוע אלים קודם בו היה המבקש מעורב ובעטיו הורשע המבקש בעבירה של תקיפה הגורמת חבלה של ממש ונידון למאסר בפועל. בית המשפט קבע כי מתחם הענישה נע בין 3 ל- 14 חודשי מאסר בפועל. על המבקש, בעל עבר פלילי מכביד, שלא נמצא מתאים לבצוע עבודות שירות, הושתו 5 חודשי מאסר בפועל תוך הפעלת מאסר על תנאי שחלקו בחופף וחלקו במצטבר, בצד ענישה נלווית. ערעור ובקשת רשות ערעור נדחו.</w:t>
      </w:r>
    </w:p>
    <w:p w14:paraId="4509FFDE" w14:textId="77777777" w:rsidR="001D00C2" w:rsidRPr="004756FA" w:rsidRDefault="001D00C2" w:rsidP="001D00C2">
      <w:pPr>
        <w:spacing w:line="360" w:lineRule="auto"/>
        <w:jc w:val="both"/>
        <w:rPr>
          <w:rFonts w:ascii="David" w:hAnsi="David"/>
          <w:color w:val="000000"/>
          <w:spacing w:val="2"/>
          <w:rtl/>
        </w:rPr>
      </w:pPr>
    </w:p>
    <w:p w14:paraId="2BA9D220" w14:textId="77777777" w:rsidR="001D00C2" w:rsidRPr="004756FA" w:rsidRDefault="00465EAA" w:rsidP="001D00C2">
      <w:pPr>
        <w:spacing w:line="360" w:lineRule="auto"/>
        <w:jc w:val="both"/>
        <w:rPr>
          <w:rFonts w:ascii="David" w:hAnsi="David"/>
          <w:spacing w:val="2"/>
          <w:rtl/>
        </w:rPr>
      </w:pPr>
      <w:hyperlink r:id="rId25" w:history="1">
        <w:r w:rsidRPr="00465EAA">
          <w:rPr>
            <w:rFonts w:ascii="David" w:hAnsi="David"/>
            <w:color w:val="0000FF"/>
            <w:spacing w:val="2"/>
            <w:u w:val="single"/>
            <w:rtl/>
          </w:rPr>
          <w:t>רע"פ 1439/13</w:t>
        </w:r>
      </w:hyperlink>
      <w:r w:rsidR="001D00C2" w:rsidRPr="004756FA">
        <w:rPr>
          <w:rFonts w:ascii="David" w:hAnsi="David"/>
          <w:color w:val="000000"/>
          <w:spacing w:val="2"/>
          <w:rtl/>
        </w:rPr>
        <w:t xml:space="preserve"> </w:t>
      </w:r>
      <w:r w:rsidR="001D00C2" w:rsidRPr="004756FA">
        <w:rPr>
          <w:rFonts w:ascii="David" w:hAnsi="David"/>
          <w:b/>
          <w:bCs/>
          <w:color w:val="000000"/>
          <w:spacing w:val="2"/>
          <w:rtl/>
        </w:rPr>
        <w:t>אליהו קשת נ' מדינת ישראל</w:t>
      </w:r>
      <w:r w:rsidR="001D00C2" w:rsidRPr="004756FA">
        <w:rPr>
          <w:rFonts w:ascii="David" w:hAnsi="David"/>
          <w:color w:val="000000"/>
          <w:spacing w:val="2"/>
          <w:rtl/>
        </w:rPr>
        <w:t xml:space="preserve"> (4.3.2013)</w:t>
      </w:r>
      <w:r w:rsidR="001D00C2" w:rsidRPr="004756FA">
        <w:rPr>
          <w:rFonts w:ascii="David" w:hAnsi="David"/>
          <w:spacing w:val="2"/>
          <w:rtl/>
        </w:rPr>
        <w:t xml:space="preserve"> – המבקש </w:t>
      </w:r>
      <w:r w:rsidR="001D00C2" w:rsidRPr="004756FA">
        <w:rPr>
          <w:rStyle w:val="default"/>
          <w:rFonts w:ascii="David" w:hAnsi="David"/>
          <w:spacing w:val="2"/>
          <w:rtl/>
        </w:rPr>
        <w:t>הורשע בעבירות הפרת הוראה חוקית, הטרדה באמצעות מתקן בזק, תקיפה סתם ואיומים, בכך שהפר צו הגנה שהוצא לבקשת פרודתו מספר פעמים, הופיע במקומות בהן הייתה והתקשר אליה מספר רב של פעמים. כמו כן, הגיע לבית המתלונן, ידידה של בת הזוג, דחף אותו ואיים עליו שיפגע בו. הנאשם נידון למאסר על תנאי וקנס.</w:t>
      </w:r>
      <w:r w:rsidR="001D00C2" w:rsidRPr="004756FA">
        <w:rPr>
          <w:rFonts w:ascii="David" w:hAnsi="David"/>
          <w:spacing w:val="2"/>
          <w:rtl/>
        </w:rPr>
        <w:t xml:space="preserve"> ערעור ובקשת רשות ערעור שנסובו על עתירת המבקש לביטול הרשעתו נדחו. </w:t>
      </w:r>
    </w:p>
    <w:p w14:paraId="2CEECD60" w14:textId="77777777" w:rsidR="001D00C2" w:rsidRPr="004756FA" w:rsidRDefault="001D00C2" w:rsidP="001D00C2">
      <w:pPr>
        <w:spacing w:line="360" w:lineRule="auto"/>
        <w:jc w:val="both"/>
        <w:rPr>
          <w:rFonts w:ascii="David" w:hAnsi="David"/>
          <w:spacing w:val="2"/>
          <w:shd w:val="clear" w:color="auto" w:fill="FFFFFF"/>
        </w:rPr>
      </w:pPr>
    </w:p>
    <w:p w14:paraId="604994BE" w14:textId="77777777" w:rsidR="001D00C2" w:rsidRPr="004756FA" w:rsidRDefault="00465EAA" w:rsidP="001D00C2">
      <w:pPr>
        <w:spacing w:line="360" w:lineRule="auto"/>
        <w:jc w:val="both"/>
        <w:rPr>
          <w:rFonts w:ascii="David" w:hAnsi="David"/>
          <w:spacing w:val="2"/>
          <w:rtl/>
        </w:rPr>
      </w:pPr>
      <w:hyperlink r:id="rId26" w:history="1">
        <w:r w:rsidRPr="00465EAA">
          <w:rPr>
            <w:rFonts w:ascii="David" w:hAnsi="David"/>
            <w:color w:val="0000FF"/>
            <w:spacing w:val="2"/>
            <w:u w:val="single"/>
            <w:shd w:val="clear" w:color="auto" w:fill="FFFFFF"/>
            <w:rtl/>
          </w:rPr>
          <w:t>רע"פ 3210/19</w:t>
        </w:r>
      </w:hyperlink>
      <w:r>
        <w:rPr>
          <w:rFonts w:ascii="David" w:hAnsi="David"/>
          <w:spacing w:val="2"/>
          <w:shd w:val="clear" w:color="auto" w:fill="FFFFFF"/>
        </w:rPr>
        <w:t xml:space="preserve"> </w:t>
      </w:r>
      <w:r w:rsidR="001D00C2" w:rsidRPr="004756FA">
        <w:rPr>
          <w:rFonts w:ascii="David" w:hAnsi="David"/>
          <w:b/>
          <w:bCs/>
          <w:spacing w:val="2"/>
          <w:shd w:val="clear" w:color="auto" w:fill="FFFFFF"/>
          <w:rtl/>
        </w:rPr>
        <w:t>פלוני נ' מדינת ישראל</w:t>
      </w:r>
      <w:r>
        <w:rPr>
          <w:rFonts w:ascii="David" w:hAnsi="David"/>
          <w:spacing w:val="2"/>
          <w:shd w:val="clear" w:color="auto" w:fill="FFFFFF"/>
          <w:rtl/>
        </w:rPr>
        <w:t xml:space="preserve"> </w:t>
      </w:r>
      <w:r w:rsidR="001D00C2" w:rsidRPr="004756FA">
        <w:rPr>
          <w:rFonts w:ascii="David" w:hAnsi="David"/>
          <w:spacing w:val="2"/>
          <w:shd w:val="clear" w:color="auto" w:fill="FFFFFF"/>
        </w:rPr>
        <w:t>(12.5.2019)</w:t>
      </w:r>
      <w:r w:rsidR="001D00C2" w:rsidRPr="004756FA">
        <w:rPr>
          <w:rFonts w:ascii="David" w:hAnsi="David"/>
          <w:spacing w:val="2"/>
          <w:shd w:val="clear" w:color="auto" w:fill="FFFFFF"/>
          <w:rtl/>
        </w:rPr>
        <w:t xml:space="preserve"> </w:t>
      </w:r>
      <w:r w:rsidR="001D00C2" w:rsidRPr="004756FA">
        <w:rPr>
          <w:rFonts w:ascii="David" w:hAnsi="David"/>
          <w:spacing w:val="2"/>
          <w:rtl/>
        </w:rPr>
        <w:t xml:space="preserve">– </w:t>
      </w:r>
      <w:r w:rsidR="001D00C2" w:rsidRPr="004756FA">
        <w:rPr>
          <w:rFonts w:ascii="David" w:hAnsi="David"/>
          <w:spacing w:val="2"/>
          <w:shd w:val="clear" w:color="auto" w:fill="FFFFFF"/>
          <w:rtl/>
        </w:rPr>
        <w:t xml:space="preserve"> נדחתה בקשת רשות ערעור של נאשם שהורשע </w:t>
      </w:r>
      <w:r w:rsidR="001D00C2" w:rsidRPr="004756FA">
        <w:rPr>
          <w:rFonts w:ascii="David" w:hAnsi="David"/>
          <w:spacing w:val="2"/>
          <w:rtl/>
        </w:rPr>
        <w:t>בשלוש עבירות של איומים כלפי אמו סכסוך משפחתי בענייני ירושה (לאחר שזוכה מעבירות נוספות של הפרת צו והפרת הוראה חוקית) ונדון ל- 45 ימי מאסר בפועל שירוצו עבודות שירות ומאסר על תנאי.</w:t>
      </w:r>
    </w:p>
    <w:p w14:paraId="01DC380F" w14:textId="77777777" w:rsidR="001D00C2" w:rsidRPr="004756FA" w:rsidRDefault="001D00C2" w:rsidP="001D00C2">
      <w:pPr>
        <w:spacing w:line="360" w:lineRule="auto"/>
        <w:jc w:val="both"/>
        <w:rPr>
          <w:rFonts w:ascii="David" w:hAnsi="David"/>
          <w:spacing w:val="2"/>
          <w:rtl/>
        </w:rPr>
      </w:pPr>
    </w:p>
    <w:p w14:paraId="785F54AA" w14:textId="77777777" w:rsidR="001D00C2" w:rsidRPr="004756FA" w:rsidRDefault="00465EAA" w:rsidP="001D00C2">
      <w:pPr>
        <w:spacing w:line="360" w:lineRule="auto"/>
        <w:jc w:val="both"/>
        <w:rPr>
          <w:rFonts w:ascii="David" w:hAnsi="David"/>
          <w:spacing w:val="2"/>
        </w:rPr>
      </w:pPr>
      <w:hyperlink r:id="rId27" w:history="1">
        <w:r w:rsidRPr="00465EAA">
          <w:rPr>
            <w:rFonts w:ascii="David" w:hAnsi="David"/>
            <w:color w:val="0000FF"/>
            <w:spacing w:val="2"/>
            <w:u w:val="single"/>
            <w:rtl/>
          </w:rPr>
          <w:t>עפ"ג (חי') 47730-07-22</w:t>
        </w:r>
      </w:hyperlink>
      <w:r w:rsidR="001D00C2" w:rsidRPr="004756FA">
        <w:rPr>
          <w:rFonts w:ascii="David" w:hAnsi="David"/>
          <w:color w:val="000000"/>
          <w:spacing w:val="2"/>
          <w:rtl/>
        </w:rPr>
        <w:t xml:space="preserve"> </w:t>
      </w:r>
      <w:r w:rsidR="001D00C2" w:rsidRPr="004756FA">
        <w:rPr>
          <w:rFonts w:ascii="David" w:hAnsi="David"/>
          <w:b/>
          <w:bCs/>
          <w:color w:val="000000"/>
          <w:spacing w:val="2"/>
          <w:rtl/>
        </w:rPr>
        <w:t>פלוני  נ' מדינת ישראל</w:t>
      </w:r>
      <w:r w:rsidR="001D00C2" w:rsidRPr="004756FA">
        <w:rPr>
          <w:rFonts w:ascii="David" w:hAnsi="David"/>
          <w:color w:val="000000"/>
          <w:spacing w:val="2"/>
          <w:rtl/>
        </w:rPr>
        <w:t xml:space="preserve"> (12.1.2023)</w:t>
      </w:r>
      <w:r w:rsidR="001D00C2" w:rsidRPr="004756FA">
        <w:rPr>
          <w:rFonts w:ascii="David" w:hAnsi="David"/>
          <w:spacing w:val="2"/>
          <w:rtl/>
        </w:rPr>
        <w:t xml:space="preserve"> – המערער הורשע בעבירה של הפרת צו בית משפט שנועד להגן על אדם ואיומים בכך שהגיע לבית גרושתו, המתלוננת, חרף צו הגנה שאסר עליו להתקרב לביתה ולהטרידה בכל דרך, וכשהתבקש על ידה לעזוב את המקום סרב. באירוע אחר איים המערער על בנו הקטין בכך שיפגע במתלוננת ובני משפחה ואמר לו "אני אקבור את כולכם". בית המשפט קבע מתחם ענישה הנע בין מאסר על תנאי ל- 12 חודשי מאסר בפועל. על המערער, בעל עבר פלילי שלא שיתף פעולה עם שירות המבחן וסרב לבצע עבודות שירות, הושתו 5 חודשי מאסר בפועל. הערעור נדחה. </w:t>
      </w:r>
    </w:p>
    <w:p w14:paraId="7C3FE6F5" w14:textId="77777777" w:rsidR="001D00C2" w:rsidRPr="004756FA" w:rsidRDefault="001D00C2" w:rsidP="001D00C2">
      <w:pPr>
        <w:spacing w:line="360" w:lineRule="auto"/>
        <w:jc w:val="both"/>
        <w:rPr>
          <w:rFonts w:ascii="David" w:hAnsi="David"/>
          <w:spacing w:val="2"/>
          <w:rtl/>
        </w:rPr>
      </w:pPr>
    </w:p>
    <w:p w14:paraId="3A8C36D2" w14:textId="77777777" w:rsidR="001D00C2" w:rsidRPr="004756FA" w:rsidRDefault="00465EAA" w:rsidP="001D00C2">
      <w:pPr>
        <w:spacing w:line="360" w:lineRule="auto"/>
        <w:jc w:val="both"/>
        <w:rPr>
          <w:rFonts w:ascii="David" w:hAnsi="David"/>
          <w:spacing w:val="2"/>
          <w:rtl/>
        </w:rPr>
      </w:pPr>
      <w:hyperlink r:id="rId28" w:history="1">
        <w:r w:rsidRPr="00465EAA">
          <w:rPr>
            <w:rFonts w:ascii="David" w:hAnsi="David"/>
            <w:color w:val="0000FF"/>
            <w:spacing w:val="2"/>
            <w:u w:val="single"/>
            <w:rtl/>
          </w:rPr>
          <w:t>עפ"ג (ב"ש) 1385-02-21</w:t>
        </w:r>
      </w:hyperlink>
      <w:r w:rsidR="001D00C2" w:rsidRPr="004756FA">
        <w:rPr>
          <w:rFonts w:ascii="David" w:hAnsi="David"/>
          <w:spacing w:val="2"/>
          <w:rtl/>
        </w:rPr>
        <w:t xml:space="preserve"> </w:t>
      </w:r>
      <w:r w:rsidR="001D00C2" w:rsidRPr="004756FA">
        <w:rPr>
          <w:rFonts w:ascii="David" w:hAnsi="David"/>
          <w:b/>
          <w:bCs/>
          <w:spacing w:val="2"/>
          <w:rtl/>
        </w:rPr>
        <w:t>מדינת ישראל נ' מיודק</w:t>
      </w:r>
      <w:r w:rsidR="001D00C2" w:rsidRPr="004756FA">
        <w:rPr>
          <w:rFonts w:ascii="David" w:hAnsi="David"/>
          <w:spacing w:val="2"/>
          <w:rtl/>
        </w:rPr>
        <w:t xml:space="preserve"> (10.3.2021) (הוגש על ידי המאשימה) – המשיב הורשע בעבירה של הפרת צו בית משפט שנועד להגן על אדם בכך שהגיע למקלט לנשים מוכות שם שהתה רעייתו בנפרד עם ילדיהם המשותפים, על גג בית כנסת סמוך וקרא לילדיו וזאת בניגוד לצו שיפוטי שניתן במסגרת הליך מ"י לפיו נאסר עליו להתקשר למתלוננת או ליצור עמה קשר בכל דרך.  בית משפט השלום קבע כי מתחם הענישה נע בין מאסר על תנאי למאסר בן מספר חודשים שיכול וירוצה על דרך של עבודות שירות והשית על המשיב 21 ימי מאסר בפועל. בית המשפט המחוזי קיבלת את ערעור המדינה נגד קולת העונש והעמיד את מתחם הענישה בין מספר חודשי מאסר בפועל שניתן לרצות בעבודות שירות ועד ל- 12 חודשים בפועל. מדובר במקרה שהוגדר על ידי בית המשפט המחוזי, ולא בכדי, כבעל נסיבות "חמורות וחריגות" שלא ניתן ללמוד ממנו לענייננו. </w:t>
      </w:r>
    </w:p>
    <w:p w14:paraId="301FECD5" w14:textId="77777777" w:rsidR="001D00C2" w:rsidRPr="004756FA" w:rsidRDefault="001D00C2" w:rsidP="001D00C2">
      <w:pPr>
        <w:spacing w:line="360" w:lineRule="auto"/>
        <w:jc w:val="both"/>
        <w:rPr>
          <w:rFonts w:ascii="David" w:hAnsi="David"/>
          <w:color w:val="000000"/>
          <w:spacing w:val="2"/>
          <w:rtl/>
        </w:rPr>
      </w:pPr>
    </w:p>
    <w:p w14:paraId="53CD7959"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לאחר ששקלתי את מכלול הנסיבות הקשורות לביצוע העבירות, הערכים החברתיים שנפגעו, מידת הפגיעה בערכים אלה ומדיניות הענישה הרווחת, </w:t>
      </w:r>
      <w:r w:rsidRPr="004756FA">
        <w:rPr>
          <w:rFonts w:ascii="David" w:hAnsi="David"/>
          <w:spacing w:val="2"/>
          <w:u w:val="single"/>
          <w:rtl/>
        </w:rPr>
        <w:t>אני קובעת כי מתחם העונש ההולם נע בין מאסר קצר שיכול וירוצה בעבודות שירות ועד 12 חודשי מאסר בפועל</w:t>
      </w:r>
      <w:r w:rsidRPr="004756FA">
        <w:rPr>
          <w:rFonts w:ascii="David" w:hAnsi="David"/>
          <w:spacing w:val="2"/>
          <w:rtl/>
        </w:rPr>
        <w:t>.</w:t>
      </w:r>
    </w:p>
    <w:p w14:paraId="0CB54099" w14:textId="77777777" w:rsidR="001D00C2" w:rsidRPr="004756FA" w:rsidRDefault="001D00C2" w:rsidP="001D00C2">
      <w:pPr>
        <w:spacing w:line="360" w:lineRule="auto"/>
        <w:jc w:val="both"/>
        <w:rPr>
          <w:rFonts w:ascii="David" w:hAnsi="David"/>
          <w:color w:val="000000"/>
          <w:spacing w:val="2"/>
          <w:rtl/>
        </w:rPr>
      </w:pPr>
    </w:p>
    <w:p w14:paraId="207BEB53" w14:textId="77777777" w:rsidR="001D00C2" w:rsidRPr="004756FA" w:rsidRDefault="001D00C2" w:rsidP="001D00C2">
      <w:pPr>
        <w:spacing w:line="360" w:lineRule="auto"/>
        <w:jc w:val="both"/>
        <w:rPr>
          <w:rFonts w:ascii="David" w:hAnsi="David"/>
          <w:spacing w:val="2"/>
          <w:rtl/>
        </w:rPr>
      </w:pPr>
      <w:r w:rsidRPr="004756FA">
        <w:rPr>
          <w:rFonts w:ascii="David" w:hAnsi="David"/>
          <w:spacing w:val="2"/>
          <w:u w:val="single"/>
          <w:rtl/>
        </w:rPr>
        <w:t>אשר לתיק הצירוף</w:t>
      </w:r>
      <w:r w:rsidRPr="004756FA">
        <w:rPr>
          <w:rFonts w:ascii="David" w:hAnsi="David"/>
          <w:spacing w:val="2"/>
          <w:rtl/>
        </w:rPr>
        <w:t xml:space="preserve">, החזקת סם פוגעת בבריאותם של צרכני הסמים ברווחתו ובביטחונו של הציבור כולו, המשלם מחיר כלכלי וחברתי כתוצאה מהשפעתם של סמים על החברה ועבריינות אלימות ורכוש הנובעת מהשימוש בסם. מידת הפגיעה בערכים המוגנים היא נמוכה בשים לב לכך שמדובר בכמות קטנה יחסית לצריכה עצמית. </w:t>
      </w:r>
    </w:p>
    <w:p w14:paraId="4CFF9C67" w14:textId="77777777" w:rsidR="001D00C2" w:rsidRPr="004756FA" w:rsidRDefault="001D00C2" w:rsidP="001D00C2">
      <w:pPr>
        <w:spacing w:line="360" w:lineRule="auto"/>
        <w:jc w:val="both"/>
        <w:rPr>
          <w:rFonts w:ascii="David" w:hAnsi="David"/>
          <w:color w:val="000000"/>
          <w:spacing w:val="2"/>
          <w:rtl/>
        </w:rPr>
      </w:pPr>
    </w:p>
    <w:p w14:paraId="051FFFAD" w14:textId="77777777" w:rsidR="001D00C2" w:rsidRPr="004756FA" w:rsidRDefault="001D00C2" w:rsidP="001D00C2">
      <w:pPr>
        <w:spacing w:line="360" w:lineRule="auto"/>
        <w:jc w:val="both"/>
        <w:rPr>
          <w:rFonts w:ascii="David" w:hAnsi="David"/>
          <w:color w:val="000000"/>
          <w:spacing w:val="2"/>
          <w:rtl/>
        </w:rPr>
      </w:pPr>
      <w:r w:rsidRPr="004756FA">
        <w:rPr>
          <w:rFonts w:ascii="David" w:hAnsi="David"/>
          <w:color w:val="000000"/>
          <w:spacing w:val="2"/>
          <w:rtl/>
        </w:rPr>
        <w:t>המאשימה הפנתה ל</w:t>
      </w:r>
      <w:hyperlink r:id="rId29" w:history="1">
        <w:r w:rsidR="00465EAA" w:rsidRPr="00465EAA">
          <w:rPr>
            <w:rFonts w:ascii="David" w:hAnsi="David"/>
            <w:color w:val="0000FF"/>
            <w:spacing w:val="2"/>
            <w:u w:val="single"/>
            <w:rtl/>
          </w:rPr>
          <w:t>רע"פ 1473/18</w:t>
        </w:r>
      </w:hyperlink>
      <w:r w:rsidRPr="004756FA">
        <w:rPr>
          <w:rFonts w:ascii="David" w:hAnsi="David"/>
          <w:color w:val="000000"/>
          <w:spacing w:val="2"/>
          <w:rtl/>
        </w:rPr>
        <w:t xml:space="preserve"> </w:t>
      </w:r>
      <w:r w:rsidRPr="004756FA">
        <w:rPr>
          <w:rFonts w:ascii="David" w:hAnsi="David"/>
          <w:b/>
          <w:bCs/>
          <w:color w:val="000000"/>
          <w:spacing w:val="2"/>
          <w:rtl/>
        </w:rPr>
        <w:t>אוחיון נ' מדינת ישראל</w:t>
      </w:r>
      <w:r w:rsidRPr="004756FA">
        <w:rPr>
          <w:rFonts w:ascii="David" w:hAnsi="David"/>
          <w:color w:val="000000"/>
          <w:spacing w:val="2"/>
          <w:rtl/>
        </w:rPr>
        <w:t xml:space="preserve"> (22.4.2018)</w:t>
      </w:r>
      <w:r w:rsidRPr="004756FA">
        <w:rPr>
          <w:rFonts w:ascii="David" w:hAnsi="David"/>
          <w:spacing w:val="2"/>
          <w:rtl/>
        </w:rPr>
        <w:t xml:space="preserve"> </w:t>
      </w:r>
      <w:r w:rsidRPr="004756FA">
        <w:rPr>
          <w:rFonts w:ascii="David" w:hAnsi="David"/>
          <w:color w:val="000000"/>
          <w:spacing w:val="2"/>
          <w:rtl/>
        </w:rPr>
        <w:t xml:space="preserve">שם הורשע המבקש בהחזקת 4 יחידות סם מסוג קוקאין, שלא לצריכה עצמית, במשקל 1.688 גרם וכן יחידת סם מסוג קוקאין במשקל 04.4185 גרם, ואושר מתחם ענישה הנע בין 6 ל- 12 חודשי מאסר בפועל. מכאן מבקשת היא להסיק כי המתחם בענייננו " נמוך יותר", אולם המתחם לו עתרה אינו נותן ביטוי ראוי לכך שבענייננו מדובר בעבירת עוון של החזקת סם לצריכה עצמית. </w:t>
      </w:r>
    </w:p>
    <w:p w14:paraId="37A044AC" w14:textId="77777777" w:rsidR="001D00C2" w:rsidRPr="004756FA" w:rsidRDefault="001D00C2" w:rsidP="001D00C2">
      <w:pPr>
        <w:spacing w:line="360" w:lineRule="auto"/>
        <w:jc w:val="both"/>
        <w:rPr>
          <w:rFonts w:ascii="David" w:hAnsi="David"/>
          <w:color w:val="000000"/>
          <w:spacing w:val="2"/>
          <w:rtl/>
        </w:rPr>
      </w:pPr>
    </w:p>
    <w:p w14:paraId="1A775680" w14:textId="77777777" w:rsidR="001D00C2" w:rsidRPr="004756FA" w:rsidRDefault="001D00C2" w:rsidP="001D00C2">
      <w:pPr>
        <w:spacing w:line="360" w:lineRule="auto"/>
        <w:jc w:val="both"/>
        <w:rPr>
          <w:rFonts w:ascii="David" w:hAnsi="David"/>
          <w:color w:val="000000"/>
          <w:spacing w:val="2"/>
          <w:rtl/>
        </w:rPr>
      </w:pPr>
      <w:r w:rsidRPr="004756FA">
        <w:rPr>
          <w:rFonts w:ascii="David" w:hAnsi="David"/>
          <w:color w:val="000000"/>
          <w:spacing w:val="2"/>
          <w:rtl/>
        </w:rPr>
        <w:t xml:space="preserve">נוכח האמור </w:t>
      </w:r>
      <w:r w:rsidRPr="004756FA">
        <w:rPr>
          <w:rFonts w:ascii="David" w:hAnsi="David"/>
          <w:color w:val="000000"/>
          <w:spacing w:val="2"/>
          <w:u w:val="single"/>
          <w:rtl/>
        </w:rPr>
        <w:t>אני קובעת כי מתחם הענישה נע בין מאסר על תנאי ל- 6 חודשי מאסר שיכול וירוצו בעבודות שירות לצד עונשים נלווים</w:t>
      </w:r>
      <w:r w:rsidRPr="004756FA">
        <w:rPr>
          <w:rFonts w:ascii="David" w:hAnsi="David"/>
          <w:color w:val="000000"/>
          <w:spacing w:val="2"/>
          <w:rtl/>
        </w:rPr>
        <w:t xml:space="preserve"> </w:t>
      </w:r>
    </w:p>
    <w:p w14:paraId="6F3E2212" w14:textId="77777777" w:rsidR="001D00C2" w:rsidRPr="004756FA" w:rsidRDefault="001D00C2" w:rsidP="001D00C2">
      <w:pPr>
        <w:spacing w:line="360" w:lineRule="auto"/>
        <w:jc w:val="both"/>
        <w:rPr>
          <w:rFonts w:ascii="David" w:hAnsi="David"/>
          <w:color w:val="000000"/>
          <w:spacing w:val="2"/>
          <w:rtl/>
        </w:rPr>
      </w:pPr>
    </w:p>
    <w:p w14:paraId="3DAE07DF" w14:textId="77777777" w:rsidR="001D00C2" w:rsidRPr="00332406" w:rsidRDefault="001D00C2" w:rsidP="001D00C2">
      <w:pPr>
        <w:spacing w:line="360" w:lineRule="auto"/>
        <w:jc w:val="both"/>
        <w:rPr>
          <w:rFonts w:ascii="David" w:hAnsi="David"/>
          <w:b/>
          <w:bCs/>
          <w:color w:val="000000"/>
          <w:spacing w:val="2"/>
          <w:u w:val="single"/>
          <w:rtl/>
        </w:rPr>
      </w:pPr>
      <w:r w:rsidRPr="00332406">
        <w:rPr>
          <w:rFonts w:ascii="David" w:hAnsi="David"/>
          <w:b/>
          <w:bCs/>
          <w:color w:val="000000"/>
          <w:spacing w:val="2"/>
          <w:u w:val="single"/>
          <w:rtl/>
        </w:rPr>
        <w:t>העונש הראוי לנאשם</w:t>
      </w:r>
    </w:p>
    <w:p w14:paraId="5870CF40"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לנאשם 9 הרשעות קודמות בעבירות דומות לאלה שהורשע בהן במסגרת התיקים הנוכחיים, קרי,  תקיפה, איומים, הפרת הוראה חוקי</w:t>
      </w:r>
      <w:r>
        <w:rPr>
          <w:rFonts w:ascii="David" w:hAnsi="David"/>
          <w:spacing w:val="2"/>
          <w:rtl/>
        </w:rPr>
        <w:t>ת והחזקת סמים לצריכה עצמית</w:t>
      </w:r>
      <w:r>
        <w:rPr>
          <w:rFonts w:ascii="David" w:hAnsi="David" w:hint="cs"/>
          <w:spacing w:val="2"/>
          <w:rtl/>
        </w:rPr>
        <w:t xml:space="preserve"> שבעטיין </w:t>
      </w:r>
      <w:r w:rsidRPr="004756FA">
        <w:rPr>
          <w:rFonts w:ascii="David" w:hAnsi="David"/>
          <w:color w:val="000000"/>
          <w:spacing w:val="2"/>
          <w:rtl/>
        </w:rPr>
        <w:t xml:space="preserve">הוא נדון בעבר למאסרים על תנאי ובפועל שלא הרתיעוהו. </w:t>
      </w:r>
    </w:p>
    <w:p w14:paraId="7ACBB0E6" w14:textId="77777777" w:rsidR="001D00C2" w:rsidRPr="004756FA" w:rsidRDefault="001D00C2" w:rsidP="001D00C2">
      <w:pPr>
        <w:spacing w:line="360" w:lineRule="auto"/>
        <w:jc w:val="both"/>
        <w:rPr>
          <w:rFonts w:ascii="David" w:hAnsi="David"/>
          <w:spacing w:val="2"/>
          <w:rtl/>
        </w:rPr>
      </w:pPr>
    </w:p>
    <w:p w14:paraId="734E61E9" w14:textId="77777777" w:rsidR="001D00C2" w:rsidRPr="004756FA" w:rsidRDefault="001D00C2" w:rsidP="001D00C2">
      <w:pPr>
        <w:spacing w:line="360" w:lineRule="auto"/>
        <w:jc w:val="both"/>
        <w:rPr>
          <w:rFonts w:ascii="David" w:hAnsi="David"/>
          <w:spacing w:val="2"/>
          <w:rtl/>
        </w:rPr>
      </w:pPr>
      <w:r w:rsidRPr="004756FA">
        <w:rPr>
          <w:rFonts w:ascii="David" w:hAnsi="David"/>
          <w:color w:val="000000"/>
          <w:spacing w:val="2"/>
          <w:rtl/>
        </w:rPr>
        <w:t>בהליך האחרון שנוהל בעניינו (</w:t>
      </w:r>
      <w:hyperlink r:id="rId30" w:history="1">
        <w:r w:rsidR="00465EAA" w:rsidRPr="00465EAA">
          <w:rPr>
            <w:rFonts w:ascii="David" w:hAnsi="David"/>
            <w:color w:val="0000FF"/>
            <w:spacing w:val="2"/>
            <w:u w:val="single"/>
            <w:rtl/>
          </w:rPr>
          <w:t>ת"פ 59679-05-20</w:t>
        </w:r>
      </w:hyperlink>
      <w:r w:rsidRPr="004756FA">
        <w:rPr>
          <w:rFonts w:ascii="David" w:hAnsi="David"/>
          <w:color w:val="000000"/>
          <w:spacing w:val="2"/>
          <w:rtl/>
        </w:rPr>
        <w:t xml:space="preserve">) הורה בית משפט השלום ברמלה ביום 2.6.2020 על הפסקת ההליכים </w:t>
      </w:r>
      <w:r w:rsidRPr="004756FA">
        <w:rPr>
          <w:rFonts w:ascii="David" w:hAnsi="David"/>
          <w:spacing w:val="2"/>
          <w:rtl/>
        </w:rPr>
        <w:t xml:space="preserve">מחמת היעדר מסוגלות של הנאשם לעמוד לדין ומשנמצא כי </w:t>
      </w:r>
      <w:r w:rsidRPr="004756FA">
        <w:rPr>
          <w:rFonts w:ascii="David" w:hAnsi="David"/>
          <w:color w:val="000000"/>
          <w:spacing w:val="2"/>
          <w:rtl/>
        </w:rPr>
        <w:t>אינו אחראי למעשיו בעת ביצוע המיוחסות לו בכתב האישום מפאת מחלת נפש. מדובר היה בכתב אישום שייחס לנאשם עבירות הפרת הוראה חוקית, תקיפה הגורמת חבלה של ממש הפרת צו בית משפט שנועד להגן על אדם והיזק לרכוש במזיד כלפי הוריו. ואחיינו אחד האישומים נגע לאירוע מיום 29.10.2019, משמע כחודש וחצי לאחר האירוע מושא כתב האישום בתיק העיקרי שבפניי.</w:t>
      </w:r>
    </w:p>
    <w:p w14:paraId="210F1950" w14:textId="77777777" w:rsidR="001D00C2" w:rsidRPr="004756FA" w:rsidRDefault="001D00C2" w:rsidP="001D00C2">
      <w:pPr>
        <w:spacing w:line="360" w:lineRule="auto"/>
        <w:jc w:val="both"/>
        <w:rPr>
          <w:rFonts w:ascii="David" w:hAnsi="David"/>
          <w:color w:val="000000"/>
          <w:spacing w:val="2"/>
          <w:rtl/>
        </w:rPr>
      </w:pPr>
    </w:p>
    <w:p w14:paraId="5B4ADAAB" w14:textId="77777777" w:rsidR="001D00C2" w:rsidRPr="004756FA" w:rsidRDefault="001D00C2" w:rsidP="001D00C2">
      <w:pPr>
        <w:spacing w:line="360" w:lineRule="auto"/>
        <w:jc w:val="both"/>
        <w:rPr>
          <w:rFonts w:ascii="David" w:hAnsi="David"/>
          <w:color w:val="000000"/>
          <w:spacing w:val="2"/>
          <w:rtl/>
        </w:rPr>
      </w:pPr>
    </w:p>
    <w:p w14:paraId="61B3AC55" w14:textId="77777777" w:rsidR="001D00C2" w:rsidRPr="004756FA" w:rsidRDefault="00BA71AE" w:rsidP="001D00C2">
      <w:pPr>
        <w:spacing w:line="360" w:lineRule="auto"/>
        <w:jc w:val="both"/>
        <w:rPr>
          <w:rFonts w:ascii="David" w:hAnsi="David"/>
          <w:spacing w:val="2"/>
          <w:rtl/>
        </w:rPr>
      </w:pPr>
      <w:hyperlink r:id="rId31" w:history="1">
        <w:r w:rsidRPr="00BA71AE">
          <w:rPr>
            <w:rStyle w:val="Hyperlink"/>
            <w:rFonts w:ascii="David" w:hAnsi="David"/>
            <w:spacing w:val="2"/>
            <w:rtl/>
          </w:rPr>
          <w:t>סע' 40ט(א)(9)</w:t>
        </w:r>
      </w:hyperlink>
      <w:r w:rsidR="001D00C2" w:rsidRPr="004756FA">
        <w:rPr>
          <w:rFonts w:ascii="David" w:hAnsi="David"/>
          <w:color w:val="000000"/>
          <w:spacing w:val="2"/>
          <w:rtl/>
        </w:rPr>
        <w:t xml:space="preserve"> ב</w:t>
      </w:r>
      <w:hyperlink r:id="rId32" w:history="1">
        <w:r w:rsidR="00465EAA" w:rsidRPr="00465EAA">
          <w:rPr>
            <w:rFonts w:ascii="David" w:hAnsi="David"/>
            <w:color w:val="0000FF"/>
            <w:spacing w:val="2"/>
            <w:u w:val="single"/>
            <w:rtl/>
          </w:rPr>
          <w:t>חוק העונשין</w:t>
        </w:r>
      </w:hyperlink>
      <w:r w:rsidR="001D00C2" w:rsidRPr="004756FA">
        <w:rPr>
          <w:rFonts w:ascii="David" w:hAnsi="David"/>
          <w:color w:val="000000"/>
          <w:spacing w:val="2"/>
          <w:rtl/>
        </w:rPr>
        <w:t xml:space="preserve"> קובע כי בנסיבות הקשורות בביצוע העבירה ישקול בית המשפט אם קיימת </w:t>
      </w:r>
      <w:r w:rsidR="001D00C2" w:rsidRPr="004756FA">
        <w:rPr>
          <w:rFonts w:ascii="David" w:hAnsi="David"/>
          <w:b/>
          <w:bCs/>
          <w:color w:val="000000"/>
          <w:spacing w:val="2"/>
          <w:rtl/>
        </w:rPr>
        <w:t>קרבה לסייג לאחריות פלילית</w:t>
      </w:r>
      <w:r w:rsidR="001D00C2" w:rsidRPr="004756FA">
        <w:rPr>
          <w:rFonts w:ascii="David" w:hAnsi="David"/>
          <w:color w:val="000000"/>
          <w:spacing w:val="2"/>
          <w:rtl/>
        </w:rPr>
        <w:t xml:space="preserve"> וקיימים מצבים בהם הנאשם נמצא אמנם אחראי </w:t>
      </w:r>
      <w:r w:rsidR="001D00C2" w:rsidRPr="004756FA">
        <w:rPr>
          <w:rFonts w:ascii="David" w:hAnsi="David"/>
          <w:spacing w:val="2"/>
          <w:rtl/>
        </w:rPr>
        <w:t>למעשיו אולם יכולתו להימנע מהמעשה נפגמה באופן שיש בו כדי להפחית את מידת האשם המוסרי (</w:t>
      </w:r>
      <w:hyperlink r:id="rId33" w:history="1">
        <w:r w:rsidR="00465EAA" w:rsidRPr="00465EAA">
          <w:rPr>
            <w:rFonts w:ascii="David" w:hAnsi="David"/>
            <w:color w:val="0000FF"/>
            <w:spacing w:val="2"/>
            <w:u w:val="single"/>
            <w:rtl/>
          </w:rPr>
          <w:t>ע"פ 1865/14</w:t>
        </w:r>
      </w:hyperlink>
      <w:r w:rsidR="00465EAA">
        <w:rPr>
          <w:rFonts w:ascii="David" w:hAnsi="David"/>
          <w:spacing w:val="2"/>
          <w:rtl/>
        </w:rPr>
        <w:t xml:space="preserve"> </w:t>
      </w:r>
      <w:r w:rsidR="001D00C2" w:rsidRPr="004756FA">
        <w:rPr>
          <w:rFonts w:ascii="David" w:hAnsi="David"/>
          <w:b/>
          <w:bCs/>
          <w:spacing w:val="2"/>
          <w:rtl/>
        </w:rPr>
        <w:t>פלוני נ' מדינת ישראל</w:t>
      </w:r>
      <w:r w:rsidR="00465EAA">
        <w:rPr>
          <w:rFonts w:ascii="David" w:hAnsi="David"/>
          <w:spacing w:val="2"/>
          <w:rtl/>
        </w:rPr>
        <w:t xml:space="preserve"> </w:t>
      </w:r>
      <w:r w:rsidR="001D00C2" w:rsidRPr="004756FA">
        <w:rPr>
          <w:rFonts w:ascii="David" w:hAnsi="David"/>
          <w:spacing w:val="2"/>
          <w:rtl/>
        </w:rPr>
        <w:t xml:space="preserve">(4.1.2016). בעניינו של הנאשם יש לשקול הן את העובדה שבסמוך לאחר ביצוע העבירות נמצא שאינו אחראי למעשיו וכן את חוות הדעת של דר' אלטמרק ממנה עולה כי הנאשם מוכר לשירותי בריאות הנפש משבעה אשפוזים, אובחן באבחנות בעבר כסובל מהפרעה פסיכו-אפקטיבית ומהפרעות התנהגות תלויות צריכת סמים. בחודש מאי 2020 אושפז בצו הסתכלות ונמצא אז במצב פסיכוטי, נמצא בלתי כשיר דיונית ומהותית ובהתאם לכך הופסקו בעניינו ההליכים והוצא צו אשפוז. לאחר שחרורו כעבור כארבעה חודשים, נמצא תחת הוראת טיפול מרפאתי כפוי ותחת טיפול זה (שהוגדר כטיפול אנטי פסיכוטי "כבד") נמצא ברמיסיה המאפשרת לו תפקוד בבית. ד"ר אלטמרק ציין כי על אף שהנאשם אינו שרוי במצב פסיכוטי פעיל והוא מבין את משמעות המעשים בעת ביצועם, לא מן הנמנע שבאותה עת בה ביצע את העבירה היה במצב של דיכאון שלא אובחן ולא טופל וכי לעניות דעתו, הואיל והנאשם כיום משתף פעולה עם הטיפול ונוטל תחליף סם, יש להתחשב בליקוי האישיותי הנובע ממחלות הנפשית בהחלטה על הטלת עונשו. </w:t>
      </w:r>
    </w:p>
    <w:p w14:paraId="44E72D64" w14:textId="77777777" w:rsidR="001D00C2" w:rsidRPr="004756FA" w:rsidRDefault="001D00C2" w:rsidP="001D00C2">
      <w:pPr>
        <w:spacing w:line="360" w:lineRule="auto"/>
        <w:jc w:val="both"/>
        <w:rPr>
          <w:rFonts w:ascii="David" w:hAnsi="David"/>
          <w:color w:val="000000"/>
          <w:spacing w:val="2"/>
          <w:rtl/>
        </w:rPr>
      </w:pPr>
    </w:p>
    <w:p w14:paraId="73C54079" w14:textId="77777777" w:rsidR="001D00C2" w:rsidRPr="004756FA" w:rsidRDefault="001D00C2" w:rsidP="001D00C2">
      <w:pPr>
        <w:spacing w:line="360" w:lineRule="auto"/>
        <w:jc w:val="both"/>
        <w:rPr>
          <w:rFonts w:ascii="David" w:hAnsi="David"/>
          <w:color w:val="000000"/>
          <w:spacing w:val="2"/>
          <w:rtl/>
        </w:rPr>
      </w:pPr>
      <w:r w:rsidRPr="004756FA">
        <w:rPr>
          <w:rFonts w:ascii="David" w:hAnsi="David"/>
          <w:color w:val="000000"/>
          <w:spacing w:val="2"/>
          <w:rtl/>
        </w:rPr>
        <w:t>ההרשעות הקודמות בזמן נוגע</w:t>
      </w:r>
      <w:r>
        <w:rPr>
          <w:rFonts w:ascii="David" w:hAnsi="David" w:hint="cs"/>
          <w:color w:val="000000"/>
          <w:spacing w:val="2"/>
          <w:rtl/>
        </w:rPr>
        <w:t>ות</w:t>
      </w:r>
      <w:r w:rsidRPr="004756FA">
        <w:rPr>
          <w:rFonts w:ascii="David" w:hAnsi="David"/>
          <w:color w:val="000000"/>
          <w:spacing w:val="2"/>
          <w:rtl/>
        </w:rPr>
        <w:t xml:space="preserve"> למעשים שהאחרון שבהם בוצע בשנת 2014, היינו לפני כעשור, וכן</w:t>
      </w:r>
      <w:r w:rsidRPr="004756FA">
        <w:rPr>
          <w:rFonts w:ascii="David" w:hAnsi="David"/>
          <w:spacing w:val="2"/>
          <w:rtl/>
        </w:rPr>
        <w:t xml:space="preserve"> מאז האירועים המתוארים בכתבי האישום לא נפתחו לנאשם תיקים חדשים–  מדובר בתקופה של כארבע שנים, </w:t>
      </w:r>
      <w:r w:rsidRPr="004756FA">
        <w:rPr>
          <w:rFonts w:ascii="David" w:hAnsi="David"/>
          <w:color w:val="000000"/>
          <w:spacing w:val="2"/>
          <w:rtl/>
        </w:rPr>
        <w:t>כלומר, ניכרת התמתנות מס</w:t>
      </w:r>
      <w:r>
        <w:rPr>
          <w:rFonts w:ascii="David" w:hAnsi="David" w:hint="cs"/>
          <w:color w:val="000000"/>
          <w:spacing w:val="2"/>
          <w:rtl/>
        </w:rPr>
        <w:t>ו</w:t>
      </w:r>
      <w:r w:rsidRPr="004756FA">
        <w:rPr>
          <w:rFonts w:ascii="David" w:hAnsi="David"/>
          <w:color w:val="000000"/>
          <w:spacing w:val="2"/>
          <w:rtl/>
        </w:rPr>
        <w:t xml:space="preserve">יימת בהתנהלות הנאשם באופן העולה בקנה אחד עם האמור בחוות הדעת של דר' אלטמרק. </w:t>
      </w:r>
    </w:p>
    <w:p w14:paraId="7147586A" w14:textId="77777777" w:rsidR="001D00C2" w:rsidRPr="004756FA" w:rsidRDefault="001D00C2" w:rsidP="001D00C2">
      <w:pPr>
        <w:spacing w:line="360" w:lineRule="auto"/>
        <w:jc w:val="both"/>
        <w:rPr>
          <w:rFonts w:ascii="David" w:hAnsi="David"/>
          <w:spacing w:val="2"/>
        </w:rPr>
      </w:pPr>
    </w:p>
    <w:p w14:paraId="5917E174" w14:textId="77777777" w:rsidR="001D00C2" w:rsidRDefault="001D00C2" w:rsidP="001D00C2">
      <w:pPr>
        <w:spacing w:line="360" w:lineRule="auto"/>
        <w:jc w:val="both"/>
        <w:rPr>
          <w:rFonts w:ascii="David" w:hAnsi="David"/>
          <w:spacing w:val="2"/>
          <w:rtl/>
        </w:rPr>
      </w:pPr>
      <w:r w:rsidRPr="004756FA">
        <w:rPr>
          <w:rFonts w:ascii="David" w:hAnsi="David"/>
          <w:spacing w:val="2"/>
          <w:rtl/>
        </w:rPr>
        <w:t>הנאשם נטל אחריות על מעשיו, חסך את עדות אביו וכן בזמן שיפוטי יקר ובזמנם של העדים ואף זאת יש לזקוף לזכותו.</w:t>
      </w:r>
    </w:p>
    <w:p w14:paraId="0430FE3B" w14:textId="77777777" w:rsidR="001D00C2" w:rsidRPr="004756FA" w:rsidRDefault="001D00C2" w:rsidP="001D00C2">
      <w:pPr>
        <w:spacing w:line="360" w:lineRule="auto"/>
        <w:jc w:val="both"/>
        <w:rPr>
          <w:rFonts w:ascii="David" w:hAnsi="David"/>
          <w:spacing w:val="2"/>
          <w:rtl/>
        </w:rPr>
      </w:pPr>
    </w:p>
    <w:p w14:paraId="6695BDCD" w14:textId="77777777" w:rsidR="001D00C2" w:rsidRPr="004756FA" w:rsidRDefault="001D00C2" w:rsidP="001D00C2">
      <w:pPr>
        <w:spacing w:line="360" w:lineRule="auto"/>
        <w:jc w:val="both"/>
        <w:rPr>
          <w:rFonts w:ascii="David" w:hAnsi="David"/>
          <w:spacing w:val="2"/>
          <w:rtl/>
        </w:rPr>
      </w:pPr>
      <w:r w:rsidRPr="004756FA">
        <w:rPr>
          <w:rFonts w:ascii="David" w:hAnsi="David"/>
          <w:spacing w:val="2"/>
          <w:rtl/>
        </w:rPr>
        <w:t xml:space="preserve">בשקלול הנתונים מצאתי שיש למקם את עונשו של הנאשם מעט מתחת למרכז מתחם הענישה. </w:t>
      </w:r>
    </w:p>
    <w:p w14:paraId="199F4D4C" w14:textId="77777777" w:rsidR="001D00C2" w:rsidRDefault="001D00C2" w:rsidP="001D00C2">
      <w:pPr>
        <w:spacing w:line="360" w:lineRule="auto"/>
        <w:jc w:val="both"/>
        <w:rPr>
          <w:rFonts w:ascii="David" w:hAnsi="David"/>
          <w:rtl/>
        </w:rPr>
      </w:pPr>
    </w:p>
    <w:p w14:paraId="0F651EB3" w14:textId="77777777" w:rsidR="001D00C2" w:rsidRDefault="001D00C2" w:rsidP="001D00C2">
      <w:pPr>
        <w:spacing w:line="360" w:lineRule="auto"/>
        <w:jc w:val="both"/>
        <w:rPr>
          <w:rFonts w:ascii="David" w:hAnsi="David"/>
          <w:b/>
          <w:bCs/>
          <w:u w:val="single"/>
        </w:rPr>
      </w:pPr>
      <w:r>
        <w:rPr>
          <w:rFonts w:ascii="David" w:hAnsi="David"/>
          <w:b/>
          <w:bCs/>
          <w:u w:val="single"/>
          <w:rtl/>
        </w:rPr>
        <w:t>לפיכך, אני גוזרת על הנאשם את העונשים הבאים:</w:t>
      </w:r>
    </w:p>
    <w:p w14:paraId="35577472" w14:textId="77777777" w:rsidR="001D00C2" w:rsidRDefault="001D00C2" w:rsidP="001D00C2">
      <w:pPr>
        <w:jc w:val="both"/>
        <w:rPr>
          <w:rFonts w:ascii="David" w:hAnsi="David"/>
          <w:rtl/>
        </w:rPr>
      </w:pPr>
    </w:p>
    <w:p w14:paraId="771B14D3" w14:textId="77777777" w:rsidR="001D00C2" w:rsidRDefault="001D00C2" w:rsidP="001D00C2">
      <w:pPr>
        <w:pStyle w:val="a9"/>
        <w:numPr>
          <w:ilvl w:val="0"/>
          <w:numId w:val="1"/>
        </w:numPr>
        <w:spacing w:line="360" w:lineRule="auto"/>
        <w:ind w:left="360"/>
        <w:jc w:val="both"/>
        <w:rPr>
          <w:rFonts w:eastAsia="Times New Roman"/>
          <w:rtl/>
        </w:rPr>
      </w:pPr>
      <w:r>
        <w:rPr>
          <w:rFonts w:eastAsia="Times New Roman" w:hint="cs"/>
          <w:rtl/>
        </w:rPr>
        <w:t>מאסר בפועל למשך 6 חודשים.</w:t>
      </w:r>
    </w:p>
    <w:p w14:paraId="64FAD391" w14:textId="77777777" w:rsidR="001D00C2" w:rsidRDefault="001D00C2" w:rsidP="001D00C2">
      <w:pPr>
        <w:pStyle w:val="a9"/>
        <w:spacing w:line="360" w:lineRule="auto"/>
        <w:ind w:left="360"/>
        <w:jc w:val="both"/>
        <w:rPr>
          <w:spacing w:val="2"/>
          <w:rtl/>
        </w:rPr>
      </w:pPr>
      <w:r>
        <w:rPr>
          <w:rFonts w:hint="cs"/>
          <w:rtl/>
        </w:rPr>
        <w:t>עונש המאסר ירוצה בעבודות שירות, החל מיום  2.4.2024  (או במועד אחר שיקבע הממונה על עבודות השירות)</w:t>
      </w:r>
      <w:r>
        <w:rPr>
          <w:rFonts w:hint="cs"/>
          <w:spacing w:val="2"/>
          <w:rtl/>
        </w:rPr>
        <w:t xml:space="preserve">. </w:t>
      </w:r>
    </w:p>
    <w:p w14:paraId="059357B1" w14:textId="77777777" w:rsidR="001D00C2" w:rsidRDefault="001D00C2" w:rsidP="001D00C2">
      <w:pPr>
        <w:pStyle w:val="a9"/>
        <w:spacing w:line="360" w:lineRule="auto"/>
        <w:ind w:left="360"/>
        <w:jc w:val="both"/>
        <w:rPr>
          <w:rtl/>
        </w:rPr>
      </w:pPr>
      <w:r>
        <w:rPr>
          <w:rFonts w:hint="cs"/>
          <w:u w:val="single"/>
          <w:rtl/>
        </w:rPr>
        <w:t>על הנאשם להתייצב במשרדי הממונה על עבודות השירות בשב"ס – יחידת ברקאי, ברח' לוחמי בית"ר 6 בעיר רמלה, באותו מועד בשעה 08:00</w:t>
      </w:r>
      <w:r>
        <w:rPr>
          <w:rFonts w:hint="cs"/>
          <w:rtl/>
        </w:rPr>
        <w:t xml:space="preserve">. </w:t>
      </w:r>
    </w:p>
    <w:p w14:paraId="0097D801" w14:textId="77777777" w:rsidR="001D00C2" w:rsidRDefault="001D00C2" w:rsidP="001D00C2">
      <w:pPr>
        <w:pStyle w:val="a9"/>
        <w:spacing w:line="360" w:lineRule="auto"/>
        <w:ind w:left="360"/>
        <w:jc w:val="both"/>
        <w:rPr>
          <w:rtl/>
        </w:rPr>
      </w:pPr>
    </w:p>
    <w:p w14:paraId="5C464267" w14:textId="77777777" w:rsidR="001D00C2" w:rsidRDefault="001D00C2" w:rsidP="001D00C2">
      <w:pPr>
        <w:pStyle w:val="a9"/>
        <w:spacing w:line="360" w:lineRule="auto"/>
        <w:ind w:left="360"/>
        <w:jc w:val="both"/>
        <w:rPr>
          <w:rtl/>
        </w:rPr>
      </w:pPr>
      <w:r w:rsidRPr="003256CA">
        <w:rPr>
          <w:rFonts w:hint="cs"/>
          <w:spacing w:val="2"/>
          <w:u w:val="single"/>
          <w:rtl/>
        </w:rPr>
        <w:t xml:space="preserve">עבודות השירות </w:t>
      </w:r>
      <w:r>
        <w:rPr>
          <w:rFonts w:hint="cs"/>
          <w:spacing w:val="2"/>
          <w:u w:val="single"/>
          <w:rtl/>
        </w:rPr>
        <w:t>ירוצו</w:t>
      </w:r>
      <w:r w:rsidRPr="003256CA">
        <w:rPr>
          <w:rFonts w:hint="cs"/>
          <w:spacing w:val="2"/>
          <w:u w:val="single"/>
          <w:rtl/>
        </w:rPr>
        <w:t xml:space="preserve"> תחת המגבלות הבאות: </w:t>
      </w:r>
      <w:r w:rsidRPr="003256CA">
        <w:rPr>
          <w:spacing w:val="2"/>
          <w:u w:val="single"/>
          <w:rtl/>
        </w:rPr>
        <w:t xml:space="preserve"> 6.5 שעות עבודה ביום</w:t>
      </w:r>
      <w:r>
        <w:rPr>
          <w:rFonts w:hint="cs"/>
          <w:spacing w:val="2"/>
          <w:u w:val="single"/>
          <w:rtl/>
        </w:rPr>
        <w:t>;</w:t>
      </w:r>
      <w:r w:rsidRPr="003256CA">
        <w:rPr>
          <w:spacing w:val="2"/>
          <w:u w:val="single"/>
          <w:rtl/>
        </w:rPr>
        <w:t xml:space="preserve"> מעקב פסיכיאטרי סדיר</w:t>
      </w:r>
      <w:r>
        <w:rPr>
          <w:rFonts w:hint="cs"/>
          <w:spacing w:val="2"/>
          <w:u w:val="single"/>
          <w:rtl/>
        </w:rPr>
        <w:t>;</w:t>
      </w:r>
      <w:r w:rsidRPr="003256CA">
        <w:rPr>
          <w:spacing w:val="2"/>
          <w:u w:val="single"/>
          <w:rtl/>
        </w:rPr>
        <w:t xml:space="preserve"> ללא כלי חיתוך וללא משאות כבדים.</w:t>
      </w:r>
    </w:p>
    <w:p w14:paraId="0E6E516C" w14:textId="77777777" w:rsidR="001D00C2" w:rsidRDefault="001D00C2" w:rsidP="001D00C2">
      <w:pPr>
        <w:pStyle w:val="a9"/>
        <w:spacing w:line="360" w:lineRule="auto"/>
        <w:ind w:left="360"/>
        <w:jc w:val="both"/>
        <w:rPr>
          <w:rtl/>
        </w:rPr>
      </w:pPr>
    </w:p>
    <w:p w14:paraId="39365FAC" w14:textId="77777777" w:rsidR="001D00C2" w:rsidRDefault="001D00C2" w:rsidP="001D00C2">
      <w:pPr>
        <w:pStyle w:val="a9"/>
        <w:spacing w:line="360" w:lineRule="auto"/>
        <w:ind w:left="360"/>
        <w:jc w:val="both"/>
      </w:pPr>
      <w:r>
        <w:rPr>
          <w:rFonts w:hint="cs"/>
          <w:rtl/>
        </w:rPr>
        <w:t>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14:paraId="76010F3D" w14:textId="77777777" w:rsidR="001D00C2" w:rsidRDefault="001D00C2" w:rsidP="001D00C2">
      <w:pPr>
        <w:pStyle w:val="a9"/>
        <w:ind w:left="360"/>
        <w:jc w:val="both"/>
        <w:rPr>
          <w:rFonts w:eastAsia="Times New Roman"/>
          <w:rtl/>
        </w:rPr>
      </w:pPr>
    </w:p>
    <w:p w14:paraId="21B29B7C" w14:textId="77777777" w:rsidR="001D00C2" w:rsidRDefault="001D00C2" w:rsidP="001D00C2">
      <w:pPr>
        <w:pStyle w:val="a9"/>
        <w:numPr>
          <w:ilvl w:val="0"/>
          <w:numId w:val="1"/>
        </w:numPr>
        <w:spacing w:line="360" w:lineRule="auto"/>
        <w:ind w:left="360"/>
        <w:jc w:val="both"/>
      </w:pPr>
      <w:r>
        <w:rPr>
          <w:rFonts w:eastAsia="Times New Roman" w:hint="cs"/>
          <w:rtl/>
        </w:rPr>
        <w:t>מאסר מותנה למשך 4 חודשים, והתנאי הוא כי הנאשם לא יעבור כל עבירת אלימות או עבירה אחרת בה הורשע למעט החזקת  סם לצריכה עצמית, למשך 3 שנים</w:t>
      </w:r>
      <w:r w:rsidRPr="003256CA">
        <w:rPr>
          <w:rFonts w:hint="cs"/>
          <w:rtl/>
        </w:rPr>
        <w:t>.</w:t>
      </w:r>
    </w:p>
    <w:p w14:paraId="5C03B57E" w14:textId="77777777" w:rsidR="001D00C2" w:rsidRDefault="001D00C2" w:rsidP="001D00C2">
      <w:pPr>
        <w:pStyle w:val="a9"/>
        <w:spacing w:line="360" w:lineRule="auto"/>
        <w:ind w:left="360"/>
        <w:jc w:val="both"/>
        <w:rPr>
          <w:rtl/>
        </w:rPr>
      </w:pPr>
    </w:p>
    <w:p w14:paraId="15568DA0" w14:textId="77777777" w:rsidR="001D00C2" w:rsidRDefault="001D00C2" w:rsidP="001D00C2">
      <w:pPr>
        <w:pStyle w:val="a9"/>
        <w:spacing w:line="360" w:lineRule="auto"/>
        <w:ind w:left="360"/>
        <w:jc w:val="both"/>
        <w:rPr>
          <w:rtl/>
        </w:rPr>
      </w:pPr>
    </w:p>
    <w:p w14:paraId="3483E75A" w14:textId="77777777" w:rsidR="001D00C2" w:rsidRDefault="001D00C2" w:rsidP="001D00C2">
      <w:pPr>
        <w:spacing w:line="360" w:lineRule="auto"/>
        <w:jc w:val="both"/>
        <w:rPr>
          <w:rFonts w:ascii="David" w:hAnsi="David"/>
          <w:u w:val="single"/>
        </w:rPr>
      </w:pPr>
      <w:r>
        <w:rPr>
          <w:rFonts w:ascii="David" w:hAnsi="David"/>
          <w:u w:val="single"/>
          <w:rtl/>
        </w:rPr>
        <w:t>ניתן צו  כללי למוצגים.</w:t>
      </w:r>
    </w:p>
    <w:p w14:paraId="434F3253" w14:textId="77777777" w:rsidR="001D00C2" w:rsidRDefault="001D00C2" w:rsidP="001D00C2">
      <w:pPr>
        <w:spacing w:line="360" w:lineRule="auto"/>
        <w:jc w:val="both"/>
        <w:rPr>
          <w:rFonts w:ascii="David" w:hAnsi="David"/>
          <w:b/>
          <w:bCs/>
          <w:u w:val="single"/>
          <w:rtl/>
        </w:rPr>
      </w:pPr>
      <w:r>
        <w:rPr>
          <w:rFonts w:ascii="David" w:hAnsi="David"/>
          <w:b/>
          <w:bCs/>
          <w:u w:val="single"/>
          <w:rtl/>
        </w:rPr>
        <w:t xml:space="preserve">זכות ערעור לבית-המשפט המחוזי מרכז- לוד תוך 45 יום. </w:t>
      </w:r>
    </w:p>
    <w:p w14:paraId="504A70B2" w14:textId="77777777" w:rsidR="001D00C2" w:rsidRDefault="001D00C2" w:rsidP="001D00C2">
      <w:pPr>
        <w:snapToGrid w:val="0"/>
        <w:spacing w:line="360" w:lineRule="auto"/>
        <w:jc w:val="both"/>
        <w:rPr>
          <w:rFonts w:ascii="David" w:hAnsi="David"/>
          <w:u w:val="single"/>
          <w:lang w:eastAsia="he-IL"/>
        </w:rPr>
      </w:pPr>
      <w:r>
        <w:rPr>
          <w:rFonts w:ascii="David" w:hAnsi="David"/>
          <w:u w:val="single"/>
          <w:rtl/>
          <w:lang w:eastAsia="he-IL"/>
        </w:rPr>
        <w:t xml:space="preserve">המזכירות תשלח עותק מגזר הדין לשירות המבחן  ולממונה על עבודות השירות. </w:t>
      </w:r>
    </w:p>
    <w:p w14:paraId="52D22EA3" w14:textId="77777777" w:rsidR="001D00C2" w:rsidRDefault="001D00C2" w:rsidP="001D00C2">
      <w:pPr>
        <w:spacing w:line="360" w:lineRule="auto"/>
        <w:jc w:val="both"/>
        <w:rPr>
          <w:rFonts w:ascii="David" w:hAnsi="David"/>
          <w:b/>
          <w:bCs/>
          <w:u w:val="single"/>
          <w:rtl/>
        </w:rPr>
      </w:pPr>
      <w:r>
        <w:rPr>
          <w:rFonts w:ascii="David" w:hAnsi="David" w:hint="cs"/>
          <w:rtl/>
          <w:lang w:eastAsia="he-IL"/>
        </w:rPr>
        <w:t xml:space="preserve"> </w:t>
      </w:r>
    </w:p>
    <w:p w14:paraId="6453F21D" w14:textId="77777777" w:rsidR="001D00C2" w:rsidRPr="00465EAA" w:rsidRDefault="00465EAA" w:rsidP="001D00C2">
      <w:pPr>
        <w:rPr>
          <w:rFonts w:ascii="David" w:hAnsi="David"/>
          <w:color w:val="FFFFFF"/>
          <w:sz w:val="2"/>
          <w:szCs w:val="2"/>
          <w:rtl/>
        </w:rPr>
      </w:pPr>
      <w:r w:rsidRPr="00465EAA">
        <w:rPr>
          <w:rFonts w:ascii="David" w:hAnsi="David"/>
          <w:color w:val="FFFFFF"/>
          <w:sz w:val="2"/>
          <w:szCs w:val="2"/>
          <w:rtl/>
        </w:rPr>
        <w:t>5129371</w:t>
      </w:r>
    </w:p>
    <w:p w14:paraId="037C26A5" w14:textId="77777777" w:rsidR="001D00C2" w:rsidRPr="00465EAA" w:rsidRDefault="00465EAA" w:rsidP="001D00C2">
      <w:pPr>
        <w:rPr>
          <w:rFonts w:ascii="David" w:hAnsi="David"/>
          <w:b/>
          <w:bCs/>
          <w:color w:val="FFFFFF"/>
          <w:spacing w:val="2"/>
          <w:sz w:val="2"/>
          <w:szCs w:val="2"/>
          <w:rtl/>
        </w:rPr>
      </w:pPr>
      <w:r w:rsidRPr="00465EAA">
        <w:rPr>
          <w:rFonts w:ascii="David" w:hAnsi="David"/>
          <w:b/>
          <w:bCs/>
          <w:color w:val="FFFFFF"/>
          <w:spacing w:val="2"/>
          <w:sz w:val="2"/>
          <w:szCs w:val="2"/>
          <w:rtl/>
        </w:rPr>
        <w:t>54678313</w:t>
      </w:r>
    </w:p>
    <w:p w14:paraId="4CE32ED4" w14:textId="77777777" w:rsidR="001D00C2" w:rsidRPr="004756FA" w:rsidRDefault="001D00C2" w:rsidP="001D00C2">
      <w:pPr>
        <w:rPr>
          <w:rFonts w:ascii="David" w:hAnsi="David"/>
          <w:b/>
          <w:bCs/>
          <w:spacing w:val="2"/>
          <w:rtl/>
        </w:rPr>
      </w:pPr>
    </w:p>
    <w:p w14:paraId="42885F45" w14:textId="77777777" w:rsidR="001D00C2" w:rsidRPr="004756FA" w:rsidRDefault="00465EAA" w:rsidP="001D00C2">
      <w:pPr>
        <w:spacing w:line="360" w:lineRule="auto"/>
        <w:jc w:val="both"/>
        <w:rPr>
          <w:rFonts w:ascii="David" w:hAnsi="David"/>
          <w:b/>
          <w:bCs/>
          <w:spacing w:val="2"/>
          <w:rtl/>
        </w:rPr>
      </w:pPr>
      <w:bookmarkStart w:id="8" w:name="Nitan"/>
      <w:r>
        <w:rPr>
          <w:rFonts w:ascii="David" w:hAnsi="David"/>
          <w:b/>
          <w:bCs/>
          <w:spacing w:val="2"/>
          <w:rtl/>
        </w:rPr>
        <w:t xml:space="preserve">ניתן היום,  ה' שבט תשפ"ד, 15 ינואר 2024, בנוכחות הצדדים. </w:t>
      </w:r>
      <w:bookmarkEnd w:id="8"/>
      <w:r w:rsidR="001D00C2" w:rsidRPr="004756FA">
        <w:rPr>
          <w:rFonts w:ascii="David" w:hAnsi="David"/>
          <w:b/>
          <w:bCs/>
          <w:spacing w:val="2"/>
          <w:rtl/>
        </w:rPr>
        <w:tab/>
      </w:r>
      <w:r w:rsidR="001D00C2" w:rsidRPr="004756FA">
        <w:rPr>
          <w:rFonts w:ascii="David" w:hAnsi="David"/>
          <w:b/>
          <w:bCs/>
          <w:spacing w:val="2"/>
          <w:rtl/>
        </w:rPr>
        <w:tab/>
      </w:r>
      <w:r w:rsidR="001D00C2" w:rsidRPr="004756FA">
        <w:rPr>
          <w:rFonts w:ascii="David" w:hAnsi="David"/>
          <w:b/>
          <w:bCs/>
          <w:spacing w:val="2"/>
          <w:rtl/>
        </w:rPr>
        <w:tab/>
      </w:r>
      <w:r w:rsidR="001D00C2" w:rsidRPr="004756FA">
        <w:rPr>
          <w:rFonts w:ascii="David" w:hAnsi="David"/>
          <w:b/>
          <w:bCs/>
          <w:spacing w:val="2"/>
          <w:rtl/>
        </w:rPr>
        <w:tab/>
      </w:r>
      <w:r w:rsidR="001D00C2" w:rsidRPr="004756FA">
        <w:rPr>
          <w:rFonts w:ascii="David" w:hAnsi="David"/>
          <w:b/>
          <w:bCs/>
          <w:spacing w:val="2"/>
          <w:rtl/>
        </w:rPr>
        <w:tab/>
      </w:r>
      <w:r w:rsidR="001D00C2" w:rsidRPr="004756FA">
        <w:rPr>
          <w:rFonts w:ascii="David" w:hAnsi="David"/>
          <w:b/>
          <w:bCs/>
          <w:spacing w:val="2"/>
          <w:rtl/>
        </w:rPr>
        <w:tab/>
      </w:r>
      <w:r w:rsidR="001D00C2" w:rsidRPr="004756FA">
        <w:rPr>
          <w:rFonts w:ascii="David" w:hAnsi="David"/>
          <w:b/>
          <w:bCs/>
          <w:spacing w:val="2"/>
          <w:rtl/>
        </w:rPr>
        <w:tab/>
        <w:t xml:space="preserve">         </w:t>
      </w:r>
    </w:p>
    <w:p w14:paraId="04BBB542" w14:textId="77777777" w:rsidR="001D00C2" w:rsidRPr="004756FA" w:rsidRDefault="001D00C2" w:rsidP="00465EAA">
      <w:pPr>
        <w:jc w:val="center"/>
      </w:pPr>
      <w:r w:rsidRPr="004756FA">
        <w:rPr>
          <w:rFonts w:ascii="David" w:hAnsi="David"/>
          <w:b/>
          <w:bCs/>
          <w:spacing w:val="2"/>
          <w:rtl/>
        </w:rPr>
        <w:t xml:space="preserve">   </w:t>
      </w:r>
      <w:r w:rsidRPr="004756FA">
        <w:rPr>
          <w:rFonts w:ascii="David" w:hAnsi="David"/>
          <w:b/>
          <w:bCs/>
          <w:spacing w:val="2"/>
          <w:rtl/>
        </w:rPr>
        <w:tab/>
      </w:r>
      <w:r w:rsidRPr="004756FA">
        <w:rPr>
          <w:rFonts w:ascii="David" w:hAnsi="David"/>
          <w:b/>
          <w:bCs/>
          <w:spacing w:val="2"/>
          <w:rtl/>
        </w:rPr>
        <w:tab/>
      </w:r>
      <w:r w:rsidRPr="004756FA">
        <w:rPr>
          <w:rFonts w:ascii="David" w:hAnsi="David"/>
          <w:b/>
          <w:bCs/>
          <w:spacing w:val="2"/>
          <w:rtl/>
        </w:rPr>
        <w:tab/>
      </w:r>
      <w:r w:rsidRPr="004756FA">
        <w:rPr>
          <w:rFonts w:ascii="David" w:hAnsi="David"/>
          <w:b/>
          <w:bCs/>
          <w:spacing w:val="2"/>
          <w:rtl/>
        </w:rPr>
        <w:tab/>
      </w:r>
      <w:r w:rsidRPr="004756FA">
        <w:rPr>
          <w:rFonts w:ascii="David" w:hAnsi="David"/>
          <w:b/>
          <w:bCs/>
          <w:spacing w:val="2"/>
          <w:rtl/>
        </w:rPr>
        <w:tab/>
      </w:r>
    </w:p>
    <w:p w14:paraId="30255AA0" w14:textId="77777777" w:rsidR="001D00C2" w:rsidRPr="004756FA" w:rsidRDefault="001D00C2" w:rsidP="001D00C2">
      <w:pPr>
        <w:jc w:val="center"/>
        <w:rPr>
          <w:rFonts w:ascii="David" w:hAnsi="David"/>
          <w:b/>
          <w:bCs/>
          <w:spacing w:val="2"/>
          <w:rtl/>
        </w:rPr>
      </w:pPr>
    </w:p>
    <w:p w14:paraId="24128810" w14:textId="77777777" w:rsidR="00CC0FD9" w:rsidRPr="00465EAA" w:rsidRDefault="00CC0FD9" w:rsidP="00465EAA">
      <w:pPr>
        <w:keepNext/>
        <w:rPr>
          <w:rFonts w:ascii="David" w:hAnsi="David"/>
          <w:color w:val="000000"/>
          <w:sz w:val="22"/>
          <w:szCs w:val="22"/>
          <w:rtl/>
        </w:rPr>
      </w:pPr>
    </w:p>
    <w:p w14:paraId="75FAA2C7" w14:textId="77777777" w:rsidR="00465EAA" w:rsidRPr="00465EAA" w:rsidRDefault="00465EAA" w:rsidP="00465EAA">
      <w:pPr>
        <w:keepNext/>
        <w:rPr>
          <w:rFonts w:ascii="David" w:hAnsi="David"/>
          <w:color w:val="000000"/>
          <w:sz w:val="22"/>
          <w:szCs w:val="22"/>
          <w:rtl/>
        </w:rPr>
      </w:pPr>
      <w:r w:rsidRPr="00465EAA">
        <w:rPr>
          <w:rFonts w:ascii="David" w:hAnsi="David"/>
          <w:color w:val="000000"/>
          <w:sz w:val="22"/>
          <w:szCs w:val="22"/>
          <w:rtl/>
        </w:rPr>
        <w:t>קרן וקסלר 54678313</w:t>
      </w:r>
    </w:p>
    <w:p w14:paraId="2B43ABBF" w14:textId="77777777" w:rsidR="00465EAA" w:rsidRDefault="00465EAA" w:rsidP="00465EAA">
      <w:r w:rsidRPr="00465EAA">
        <w:rPr>
          <w:color w:val="000000"/>
          <w:rtl/>
        </w:rPr>
        <w:t>נוסח מסמך זה כפוף לשינויי ניסוח ועריכה</w:t>
      </w:r>
    </w:p>
    <w:p w14:paraId="5E20972D" w14:textId="77777777" w:rsidR="00465EAA" w:rsidRDefault="00465EAA" w:rsidP="00465EAA">
      <w:pPr>
        <w:rPr>
          <w:rtl/>
        </w:rPr>
      </w:pPr>
    </w:p>
    <w:p w14:paraId="23547C8E" w14:textId="77777777" w:rsidR="00465EAA" w:rsidRDefault="00465EAA" w:rsidP="00465EA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B3B19F1" w14:textId="77777777" w:rsidR="00465EAA" w:rsidRPr="00465EAA" w:rsidRDefault="00465EAA" w:rsidP="00465EAA">
      <w:pPr>
        <w:jc w:val="center"/>
        <w:rPr>
          <w:color w:val="0000FF"/>
          <w:u w:val="single"/>
        </w:rPr>
      </w:pPr>
    </w:p>
    <w:sectPr w:rsidR="00465EAA" w:rsidRPr="00465EAA" w:rsidSect="00465EAA">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28E78" w14:textId="77777777" w:rsidR="00D64965" w:rsidRDefault="00D64965" w:rsidP="00137FA8">
      <w:r>
        <w:separator/>
      </w:r>
    </w:p>
  </w:endnote>
  <w:endnote w:type="continuationSeparator" w:id="0">
    <w:p w14:paraId="124E4AB9" w14:textId="77777777" w:rsidR="00D64965" w:rsidRDefault="00D64965" w:rsidP="0013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B9098" w14:textId="77777777" w:rsidR="00465EAA" w:rsidRDefault="00465EAA" w:rsidP="00465E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66E898" w14:textId="77777777" w:rsidR="00801F24" w:rsidRPr="00465EAA" w:rsidRDefault="00465EAA" w:rsidP="00465E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C2702" w14:textId="77777777" w:rsidR="00465EAA" w:rsidRDefault="00465EAA" w:rsidP="00465E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3149">
      <w:rPr>
        <w:rFonts w:ascii="FrankRuehl" w:hAnsi="FrankRuehl" w:cs="FrankRuehl"/>
        <w:noProof/>
        <w:rtl/>
      </w:rPr>
      <w:t>1</w:t>
    </w:r>
    <w:r>
      <w:rPr>
        <w:rFonts w:ascii="FrankRuehl" w:hAnsi="FrankRuehl" w:cs="FrankRuehl"/>
        <w:rtl/>
      </w:rPr>
      <w:fldChar w:fldCharType="end"/>
    </w:r>
  </w:p>
  <w:p w14:paraId="6C3141FA" w14:textId="77777777" w:rsidR="00801F24" w:rsidRPr="00465EAA" w:rsidRDefault="00465EAA" w:rsidP="00465E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64B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42508" w14:textId="77777777" w:rsidR="00D64965" w:rsidRDefault="00D64965" w:rsidP="00137FA8">
      <w:r>
        <w:separator/>
      </w:r>
    </w:p>
  </w:footnote>
  <w:footnote w:type="continuationSeparator" w:id="0">
    <w:p w14:paraId="483D5787" w14:textId="77777777" w:rsidR="00D64965" w:rsidRDefault="00D64965" w:rsidP="00137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F19BE" w14:textId="77777777" w:rsidR="00465EAA" w:rsidRPr="00465EAA" w:rsidRDefault="00465EAA" w:rsidP="00465E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43911-02-21</w:t>
    </w:r>
    <w:r>
      <w:rPr>
        <w:rFonts w:ascii="David" w:hAnsi="David"/>
        <w:color w:val="000000"/>
        <w:sz w:val="22"/>
        <w:szCs w:val="22"/>
        <w:rtl/>
      </w:rPr>
      <w:tab/>
      <w:t xml:space="preserve"> מדינת ישראל נ' רונן צנעאני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7A8C8" w14:textId="77777777" w:rsidR="00465EAA" w:rsidRPr="00465EAA" w:rsidRDefault="00465EAA" w:rsidP="00465E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43911-02-21</w:t>
    </w:r>
    <w:r>
      <w:rPr>
        <w:rFonts w:ascii="David" w:hAnsi="David"/>
        <w:color w:val="000000"/>
        <w:sz w:val="22"/>
        <w:szCs w:val="22"/>
        <w:rtl/>
      </w:rPr>
      <w:tab/>
      <w:t xml:space="preserve"> מדינת ישראל נ' רונן צנעאני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59156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00C2"/>
    <w:rsid w:val="000F07A9"/>
    <w:rsid w:val="00113149"/>
    <w:rsid w:val="00137FA8"/>
    <w:rsid w:val="001B5A3B"/>
    <w:rsid w:val="001D00C2"/>
    <w:rsid w:val="002B2B18"/>
    <w:rsid w:val="00465EAA"/>
    <w:rsid w:val="005342FB"/>
    <w:rsid w:val="005850D5"/>
    <w:rsid w:val="00801F24"/>
    <w:rsid w:val="008B0CAC"/>
    <w:rsid w:val="00966B61"/>
    <w:rsid w:val="00BA71AE"/>
    <w:rsid w:val="00C32A12"/>
    <w:rsid w:val="00CC0FD9"/>
    <w:rsid w:val="00D649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FB381C"/>
  <w15:chartTrackingRefBased/>
  <w15:docId w15:val="{1B3BB235-A82B-4501-BE3F-BF1DD60F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0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00C2"/>
    <w:pPr>
      <w:tabs>
        <w:tab w:val="center" w:pos="4153"/>
        <w:tab w:val="right" w:pos="8306"/>
      </w:tabs>
    </w:pPr>
  </w:style>
  <w:style w:type="character" w:customStyle="1" w:styleId="a4">
    <w:name w:val="כותרת עליונה תו"/>
    <w:link w:val="a3"/>
    <w:rsid w:val="001D00C2"/>
    <w:rPr>
      <w:rFonts w:ascii="Times New Roman" w:eastAsia="Times New Roman" w:hAnsi="Times New Roman" w:cs="David"/>
      <w:sz w:val="24"/>
      <w:szCs w:val="24"/>
    </w:rPr>
  </w:style>
  <w:style w:type="paragraph" w:styleId="a5">
    <w:name w:val="footer"/>
    <w:basedOn w:val="a"/>
    <w:link w:val="a6"/>
    <w:rsid w:val="001D00C2"/>
    <w:pPr>
      <w:tabs>
        <w:tab w:val="center" w:pos="4153"/>
        <w:tab w:val="right" w:pos="8306"/>
      </w:tabs>
    </w:pPr>
  </w:style>
  <w:style w:type="character" w:customStyle="1" w:styleId="a6">
    <w:name w:val="כותרת תחתונה תו"/>
    <w:link w:val="a5"/>
    <w:rsid w:val="001D00C2"/>
    <w:rPr>
      <w:rFonts w:ascii="Times New Roman" w:eastAsia="Times New Roman" w:hAnsi="Times New Roman" w:cs="David"/>
      <w:sz w:val="24"/>
      <w:szCs w:val="24"/>
    </w:rPr>
  </w:style>
  <w:style w:type="table" w:styleId="a7">
    <w:name w:val="Table Grid"/>
    <w:basedOn w:val="a1"/>
    <w:rsid w:val="001D00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00C2"/>
  </w:style>
  <w:style w:type="character" w:customStyle="1" w:styleId="default">
    <w:name w:val="default"/>
    <w:rsid w:val="001D00C2"/>
    <w:rPr>
      <w:rFonts w:ascii="Times New Roman" w:hAnsi="Times New Roman" w:cs="Times New Roman" w:hint="default"/>
      <w:sz w:val="26"/>
    </w:rPr>
  </w:style>
  <w:style w:type="paragraph" w:styleId="a9">
    <w:name w:val="List Paragraph"/>
    <w:basedOn w:val="a"/>
    <w:qFormat/>
    <w:rsid w:val="001D00C2"/>
    <w:pPr>
      <w:ind w:left="720"/>
      <w:contextualSpacing/>
    </w:pPr>
    <w:rPr>
      <w:rFonts w:ascii="David" w:eastAsia="David" w:hAnsi="David"/>
    </w:rPr>
  </w:style>
  <w:style w:type="character" w:styleId="Hyperlink">
    <w:name w:val="Hyperlink"/>
    <w:rsid w:val="00465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279" TargetMode="External"/><Relationship Id="rId26" Type="http://schemas.openxmlformats.org/officeDocument/2006/relationships/hyperlink" Target="http://www.nevo.co.il/case/25685399" TargetMode="External"/><Relationship Id="rId39" Type="http://schemas.openxmlformats.org/officeDocument/2006/relationships/fontTable" Target="fontTable.xml"/><Relationship Id="rId21" Type="http://schemas.openxmlformats.org/officeDocument/2006/relationships/hyperlink" Target="http://www.nevo.co.il/law/4216/7.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552365" TargetMode="External"/><Relationship Id="rId33" Type="http://schemas.openxmlformats.org/officeDocument/2006/relationships/hyperlink" Target="http://www.nevo.co.il/case/1304521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87.b" TargetMode="External"/><Relationship Id="rId20" Type="http://schemas.openxmlformats.org/officeDocument/2006/relationships/hyperlink" Target="http://www.nevo.co.il/case/26797251" TargetMode="External"/><Relationship Id="rId29" Type="http://schemas.openxmlformats.org/officeDocument/2006/relationships/hyperlink" Target="http://www.nevo.co.il/case/237507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7.b" TargetMode="External"/><Relationship Id="rId24" Type="http://schemas.openxmlformats.org/officeDocument/2006/relationships/hyperlink" Target="http://www.nevo.co.il/case/6234659"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417122"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7367528" TargetMode="External"/><Relationship Id="rId36" Type="http://schemas.openxmlformats.org/officeDocument/2006/relationships/header" Target="header2.xml"/><Relationship Id="rId10" Type="http://schemas.openxmlformats.org/officeDocument/2006/relationships/hyperlink" Target="http://www.nevo.co.il/law/70301/279" TargetMode="External"/><Relationship Id="rId19" Type="http://schemas.openxmlformats.org/officeDocument/2006/relationships/hyperlink" Target="http://www.nevo.co.il/law/70301/192" TargetMode="External"/><Relationship Id="rId31" Type="http://schemas.openxmlformats.org/officeDocument/2006/relationships/hyperlink" Target="http://www.nevo.co.il/law/70301/40i.a.9"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8796555" TargetMode="External"/><Relationship Id="rId30" Type="http://schemas.openxmlformats.org/officeDocument/2006/relationships/hyperlink" Target="http://www.nevo.co.il/case/26705873" TargetMode="External"/><Relationship Id="rId35" Type="http://schemas.openxmlformats.org/officeDocument/2006/relationships/header" Target="header1.xml"/><Relationship Id="rId8" Type="http://schemas.openxmlformats.org/officeDocument/2006/relationships/hyperlink" Target="http://www.nevo.co.il/law/70301/40i.a.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2338</Words>
  <Characters>11693</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14003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3473521</vt:i4>
      </vt:variant>
      <vt:variant>
        <vt:i4>78</vt:i4>
      </vt:variant>
      <vt:variant>
        <vt:i4>0</vt:i4>
      </vt:variant>
      <vt:variant>
        <vt:i4>5</vt:i4>
      </vt:variant>
      <vt:variant>
        <vt:lpwstr>http://www.nevo.co.il/case/13045219</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6619241</vt:i4>
      </vt:variant>
      <vt:variant>
        <vt:i4>72</vt:i4>
      </vt:variant>
      <vt:variant>
        <vt:i4>0</vt:i4>
      </vt:variant>
      <vt:variant>
        <vt:i4>5</vt:i4>
      </vt:variant>
      <vt:variant>
        <vt:lpwstr>http://www.nevo.co.il/law/70301/40i.a.9</vt:lpwstr>
      </vt:variant>
      <vt:variant>
        <vt:lpwstr/>
      </vt:variant>
      <vt:variant>
        <vt:i4>3604602</vt:i4>
      </vt:variant>
      <vt:variant>
        <vt:i4>69</vt:i4>
      </vt:variant>
      <vt:variant>
        <vt:i4>0</vt:i4>
      </vt:variant>
      <vt:variant>
        <vt:i4>5</vt:i4>
      </vt:variant>
      <vt:variant>
        <vt:lpwstr>http://www.nevo.co.il/case/26705873</vt:lpwstr>
      </vt:variant>
      <vt:variant>
        <vt:lpwstr/>
      </vt:variant>
      <vt:variant>
        <vt:i4>3342453</vt:i4>
      </vt:variant>
      <vt:variant>
        <vt:i4>66</vt:i4>
      </vt:variant>
      <vt:variant>
        <vt:i4>0</vt:i4>
      </vt:variant>
      <vt:variant>
        <vt:i4>5</vt:i4>
      </vt:variant>
      <vt:variant>
        <vt:lpwstr>http://www.nevo.co.il/case/23750765</vt:lpwstr>
      </vt:variant>
      <vt:variant>
        <vt:lpwstr/>
      </vt:variant>
      <vt:variant>
        <vt:i4>3407984</vt:i4>
      </vt:variant>
      <vt:variant>
        <vt:i4>63</vt:i4>
      </vt:variant>
      <vt:variant>
        <vt:i4>0</vt:i4>
      </vt:variant>
      <vt:variant>
        <vt:i4>5</vt:i4>
      </vt:variant>
      <vt:variant>
        <vt:lpwstr>http://www.nevo.co.il/case/27367528</vt:lpwstr>
      </vt:variant>
      <vt:variant>
        <vt:lpwstr/>
      </vt:variant>
      <vt:variant>
        <vt:i4>3539056</vt:i4>
      </vt:variant>
      <vt:variant>
        <vt:i4>60</vt:i4>
      </vt:variant>
      <vt:variant>
        <vt:i4>0</vt:i4>
      </vt:variant>
      <vt:variant>
        <vt:i4>5</vt:i4>
      </vt:variant>
      <vt:variant>
        <vt:lpwstr>http://www.nevo.co.il/case/28796555</vt:lpwstr>
      </vt:variant>
      <vt:variant>
        <vt:lpwstr/>
      </vt:variant>
      <vt:variant>
        <vt:i4>3670138</vt:i4>
      </vt:variant>
      <vt:variant>
        <vt:i4>57</vt:i4>
      </vt:variant>
      <vt:variant>
        <vt:i4>0</vt:i4>
      </vt:variant>
      <vt:variant>
        <vt:i4>5</vt:i4>
      </vt:variant>
      <vt:variant>
        <vt:lpwstr>http://www.nevo.co.il/case/25685399</vt:lpwstr>
      </vt:variant>
      <vt:variant>
        <vt:lpwstr/>
      </vt:variant>
      <vt:variant>
        <vt:i4>3473525</vt:i4>
      </vt:variant>
      <vt:variant>
        <vt:i4>54</vt:i4>
      </vt:variant>
      <vt:variant>
        <vt:i4>0</vt:i4>
      </vt:variant>
      <vt:variant>
        <vt:i4>5</vt:i4>
      </vt:variant>
      <vt:variant>
        <vt:lpwstr>http://www.nevo.co.il/case/6552365</vt:lpwstr>
      </vt:variant>
      <vt:variant>
        <vt:lpwstr/>
      </vt:variant>
      <vt:variant>
        <vt:i4>3801207</vt:i4>
      </vt:variant>
      <vt:variant>
        <vt:i4>51</vt:i4>
      </vt:variant>
      <vt:variant>
        <vt:i4>0</vt:i4>
      </vt:variant>
      <vt:variant>
        <vt:i4>5</vt:i4>
      </vt:variant>
      <vt:variant>
        <vt:lpwstr>http://www.nevo.co.il/case/6234659</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3604601</vt:i4>
      </vt:variant>
      <vt:variant>
        <vt:i4>39</vt:i4>
      </vt:variant>
      <vt:variant>
        <vt:i4>0</vt:i4>
      </vt:variant>
      <vt:variant>
        <vt:i4>5</vt:i4>
      </vt:variant>
      <vt:variant>
        <vt:lpwstr>http://www.nevo.co.il/case/26797251</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6422631</vt:i4>
      </vt:variant>
      <vt:variant>
        <vt:i4>33</vt:i4>
      </vt:variant>
      <vt:variant>
        <vt:i4>0</vt:i4>
      </vt:variant>
      <vt:variant>
        <vt:i4>5</vt:i4>
      </vt:variant>
      <vt:variant>
        <vt:lpwstr>http://www.nevo.co.il/law/70301/279</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4390992</vt:i4>
      </vt:variant>
      <vt:variant>
        <vt:i4>27</vt:i4>
      </vt:variant>
      <vt:variant>
        <vt:i4>0</vt:i4>
      </vt:variant>
      <vt:variant>
        <vt:i4>5</vt:i4>
      </vt:variant>
      <vt:variant>
        <vt:lpwstr>http://www.nevo.co.il/law/70301/287.b</vt:lpwstr>
      </vt:variant>
      <vt:variant>
        <vt:lpwstr/>
      </vt:variant>
      <vt:variant>
        <vt:i4>3342451</vt:i4>
      </vt:variant>
      <vt:variant>
        <vt:i4>24</vt:i4>
      </vt:variant>
      <vt:variant>
        <vt:i4>0</vt:i4>
      </vt:variant>
      <vt:variant>
        <vt:i4>5</vt:i4>
      </vt:variant>
      <vt:variant>
        <vt:lpwstr>http://www.nevo.co.il/case/27417122</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4390992</vt:i4>
      </vt:variant>
      <vt:variant>
        <vt:i4>12</vt:i4>
      </vt:variant>
      <vt:variant>
        <vt:i4>0</vt:i4>
      </vt:variant>
      <vt:variant>
        <vt:i4>5</vt:i4>
      </vt:variant>
      <vt:variant>
        <vt:lpwstr>http://www.nevo.co.il/law/70301/287.b</vt:lpwstr>
      </vt:variant>
      <vt:variant>
        <vt:lpwstr/>
      </vt:variant>
      <vt:variant>
        <vt:i4>6422631</vt:i4>
      </vt:variant>
      <vt:variant>
        <vt:i4>9</vt:i4>
      </vt:variant>
      <vt:variant>
        <vt:i4>0</vt:i4>
      </vt:variant>
      <vt:variant>
        <vt:i4>5</vt:i4>
      </vt:variant>
      <vt:variant>
        <vt:lpwstr>http://www.nevo.co.il/law/70301/279</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6619241</vt:i4>
      </vt:variant>
      <vt:variant>
        <vt:i4>3</vt:i4>
      </vt:variant>
      <vt:variant>
        <vt:i4>0</vt:i4>
      </vt:variant>
      <vt:variant>
        <vt:i4>5</vt:i4>
      </vt:variant>
      <vt:variant>
        <vt:lpwstr>http://www.nevo.co.il/law/70301/40i.a.9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43911</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רונן צנעאני</vt:lpwstr>
  </property>
  <property fmtid="{D5CDD505-2E9C-101B-9397-08002B2CF9AE}" pid="10" name="LAWYER">
    <vt:lpwstr>מור יעבץ;משה אלון</vt:lpwstr>
  </property>
  <property fmtid="{D5CDD505-2E9C-101B-9397-08002B2CF9AE}" pid="11" name="JUDGE">
    <vt:lpwstr>קרן וקסלר</vt:lpwstr>
  </property>
  <property fmtid="{D5CDD505-2E9C-101B-9397-08002B2CF9AE}" pid="12" name="CITY">
    <vt:lpwstr>רח'</vt:lpwstr>
  </property>
  <property fmtid="{D5CDD505-2E9C-101B-9397-08002B2CF9AE}" pid="13" name="DATE">
    <vt:lpwstr>20240115</vt:lpwstr>
  </property>
  <property fmtid="{D5CDD505-2E9C-101B-9397-08002B2CF9AE}" pid="14" name="TYPE_N_DATE">
    <vt:lpwstr>38020240115</vt:lpwstr>
  </property>
  <property fmtid="{D5CDD505-2E9C-101B-9397-08002B2CF9AE}" pid="15" name="WORDNUMPAGES">
    <vt:lpwstr>7</vt:lpwstr>
  </property>
  <property fmtid="{D5CDD505-2E9C-101B-9397-08002B2CF9AE}" pid="16" name="TYPE_ABS_DATE">
    <vt:lpwstr>380020240115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27417122;26797251;6234659;6552365;25685399;28796555;27367528;23750765;26705873;13045219</vt:lpwstr>
  </property>
  <property fmtid="{D5CDD505-2E9C-101B-9397-08002B2CF9AE}" pid="36" name="LAWLISTTMP1">
    <vt:lpwstr>70301/287.b;279;192;040i.a.9</vt:lpwstr>
  </property>
  <property fmtid="{D5CDD505-2E9C-101B-9397-08002B2CF9AE}" pid="37" name="LAWLISTTMP2">
    <vt:lpwstr>4216/007.a;007.c</vt:lpwstr>
  </property>
</Properties>
</file>