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AB5C31" w:rsidRPr="009804F2" w14:paraId="3ACD0944" w14:textId="77777777" w:rsidTr="00EA2397">
        <w:trPr>
          <w:trHeight w:hRule="exact" w:val="418"/>
          <w:jc w:val="center"/>
        </w:trPr>
        <w:tc>
          <w:tcPr>
            <w:tcW w:w="8523" w:type="dxa"/>
            <w:gridSpan w:val="2"/>
          </w:tcPr>
          <w:p w14:paraId="7D54D71A" w14:textId="77777777" w:rsidR="00AB5C31" w:rsidRPr="009804F2" w:rsidRDefault="00AB5C31" w:rsidP="005B67A3">
            <w:pPr>
              <w:pStyle w:val="a3"/>
              <w:jc w:val="center"/>
              <w:rPr>
                <w:rFonts w:ascii="Tahoma" w:hAnsi="Tahoma" w:cs="Tahoma"/>
                <w:color w:val="000080"/>
                <w:rtl/>
              </w:rPr>
            </w:pPr>
            <w:bookmarkStart w:id="0" w:name="LastJudge"/>
            <w:r w:rsidRPr="009804F2">
              <w:rPr>
                <w:rFonts w:ascii="Tahoma" w:hAnsi="Tahoma" w:cs="Tahoma"/>
                <w:b/>
                <w:bCs/>
                <w:color w:val="000080"/>
                <w:rtl/>
              </w:rPr>
              <w:t>בית משפט השלום ברחובות</w:t>
            </w:r>
          </w:p>
        </w:tc>
      </w:tr>
      <w:tr w:rsidR="00AB5C31" w:rsidRPr="009804F2" w14:paraId="158E0010" w14:textId="77777777" w:rsidTr="00EA2397">
        <w:trPr>
          <w:trHeight w:val="337"/>
          <w:jc w:val="center"/>
        </w:trPr>
        <w:tc>
          <w:tcPr>
            <w:tcW w:w="4946" w:type="dxa"/>
          </w:tcPr>
          <w:p w14:paraId="66E94340" w14:textId="77777777" w:rsidR="00AB5C31" w:rsidRPr="009804F2" w:rsidRDefault="00AB5C31" w:rsidP="005B67A3">
            <w:pPr>
              <w:rPr>
                <w:rFonts w:cs="FrankRuehl"/>
                <w:sz w:val="28"/>
                <w:szCs w:val="28"/>
                <w:rtl/>
              </w:rPr>
            </w:pPr>
            <w:r w:rsidRPr="009804F2">
              <w:rPr>
                <w:rFonts w:cs="FrankRuehl"/>
                <w:sz w:val="28"/>
                <w:szCs w:val="28"/>
                <w:rtl/>
              </w:rPr>
              <w:t>ת"פ</w:t>
            </w:r>
            <w:r w:rsidRPr="009804F2">
              <w:rPr>
                <w:rFonts w:cs="FrankRuehl" w:hint="cs"/>
                <w:sz w:val="28"/>
                <w:szCs w:val="28"/>
                <w:rtl/>
              </w:rPr>
              <w:t xml:space="preserve"> </w:t>
            </w:r>
            <w:r w:rsidRPr="009804F2">
              <w:rPr>
                <w:rFonts w:cs="FrankRuehl"/>
                <w:sz w:val="28"/>
                <w:szCs w:val="28"/>
                <w:rtl/>
              </w:rPr>
              <w:t>43978-02-21</w:t>
            </w:r>
            <w:r w:rsidRPr="009804F2">
              <w:rPr>
                <w:rFonts w:cs="FrankRuehl" w:hint="cs"/>
                <w:sz w:val="28"/>
                <w:szCs w:val="28"/>
                <w:rtl/>
              </w:rPr>
              <w:t xml:space="preserve"> </w:t>
            </w:r>
            <w:r w:rsidRPr="009804F2">
              <w:rPr>
                <w:rFonts w:cs="FrankRuehl"/>
                <w:sz w:val="28"/>
                <w:szCs w:val="28"/>
                <w:rtl/>
              </w:rPr>
              <w:t>מדינת ישראל נ' בלקר</w:t>
            </w:r>
          </w:p>
          <w:p w14:paraId="1DC5EE61" w14:textId="77777777" w:rsidR="00AB5C31" w:rsidRPr="009804F2" w:rsidRDefault="00AB5C31" w:rsidP="005B67A3">
            <w:pPr>
              <w:pStyle w:val="a3"/>
              <w:rPr>
                <w:rFonts w:cs="FrankRuehl"/>
                <w:sz w:val="28"/>
                <w:szCs w:val="28"/>
                <w:rtl/>
              </w:rPr>
            </w:pPr>
          </w:p>
        </w:tc>
        <w:tc>
          <w:tcPr>
            <w:tcW w:w="3577" w:type="dxa"/>
          </w:tcPr>
          <w:p w14:paraId="4D56C9F1" w14:textId="77777777" w:rsidR="00AB5C31" w:rsidRPr="009804F2" w:rsidRDefault="00AB5C31" w:rsidP="005B67A3">
            <w:pPr>
              <w:pStyle w:val="a3"/>
              <w:jc w:val="right"/>
              <w:rPr>
                <w:rFonts w:cs="FrankRuehl"/>
                <w:sz w:val="28"/>
                <w:szCs w:val="28"/>
                <w:rtl/>
              </w:rPr>
            </w:pPr>
          </w:p>
        </w:tc>
      </w:tr>
    </w:tbl>
    <w:p w14:paraId="03A533AB" w14:textId="77777777" w:rsidR="00AB5C31" w:rsidRPr="009804F2" w:rsidRDefault="00AB5C31" w:rsidP="00AB5C31">
      <w:pPr>
        <w:pStyle w:val="a3"/>
        <w:rPr>
          <w:rtl/>
        </w:rPr>
      </w:pPr>
      <w:r w:rsidRPr="009804F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6946"/>
      </w:tblGrid>
      <w:tr w:rsidR="00AB5C31" w:rsidRPr="009804F2" w14:paraId="62B5BBDE" w14:textId="77777777" w:rsidTr="00AB5C31">
        <w:trPr>
          <w:trHeight w:val="295"/>
          <w:jc w:val="center"/>
        </w:trPr>
        <w:tc>
          <w:tcPr>
            <w:tcW w:w="8820" w:type="dxa"/>
            <w:gridSpan w:val="2"/>
            <w:tcBorders>
              <w:top w:val="nil"/>
              <w:left w:val="nil"/>
              <w:bottom w:val="nil"/>
              <w:right w:val="nil"/>
            </w:tcBorders>
            <w:shd w:val="clear" w:color="auto" w:fill="auto"/>
          </w:tcPr>
          <w:p w14:paraId="73BBD007" w14:textId="77777777" w:rsidR="00AB5C31" w:rsidRPr="009804F2" w:rsidRDefault="00AB5C31" w:rsidP="00AB5C31">
            <w:pPr>
              <w:jc w:val="both"/>
              <w:rPr>
                <w:rFonts w:ascii="David" w:hAnsi="David"/>
                <w:b/>
                <w:bCs/>
                <w:sz w:val="26"/>
                <w:szCs w:val="26"/>
                <w:rtl/>
              </w:rPr>
            </w:pPr>
            <w:r w:rsidRPr="009804F2">
              <w:rPr>
                <w:rFonts w:ascii="David" w:hAnsi="David"/>
                <w:b/>
                <w:bCs/>
                <w:sz w:val="26"/>
                <w:szCs w:val="26"/>
                <w:rtl/>
              </w:rPr>
              <w:t>בפני כבוד השופטת זהר דיבון סגל</w:t>
            </w:r>
          </w:p>
          <w:p w14:paraId="0728A37E" w14:textId="77777777" w:rsidR="00AB5C31" w:rsidRPr="009804F2" w:rsidRDefault="00AB5C31" w:rsidP="005B67A3">
            <w:pPr>
              <w:rPr>
                <w:rFonts w:ascii="David" w:hAnsi="David"/>
                <w:sz w:val="26"/>
                <w:szCs w:val="26"/>
                <w:rtl/>
              </w:rPr>
            </w:pPr>
          </w:p>
          <w:p w14:paraId="3D14D17F" w14:textId="77777777" w:rsidR="00AB5C31" w:rsidRPr="009804F2" w:rsidRDefault="00AB5C31" w:rsidP="00AB5C31">
            <w:pPr>
              <w:jc w:val="both"/>
              <w:rPr>
                <w:rFonts w:ascii="David" w:hAnsi="David"/>
                <w:sz w:val="26"/>
                <w:szCs w:val="26"/>
              </w:rPr>
            </w:pPr>
          </w:p>
        </w:tc>
      </w:tr>
      <w:tr w:rsidR="00AB5C31" w:rsidRPr="009804F2" w14:paraId="5D5DBD42" w14:textId="77777777" w:rsidTr="00AB5C31">
        <w:trPr>
          <w:trHeight w:val="355"/>
          <w:jc w:val="center"/>
        </w:trPr>
        <w:tc>
          <w:tcPr>
            <w:tcW w:w="1874" w:type="dxa"/>
            <w:tcBorders>
              <w:top w:val="nil"/>
              <w:left w:val="nil"/>
              <w:bottom w:val="nil"/>
              <w:right w:val="nil"/>
            </w:tcBorders>
            <w:shd w:val="clear" w:color="auto" w:fill="auto"/>
          </w:tcPr>
          <w:p w14:paraId="70F51F78" w14:textId="77777777" w:rsidR="00AB5C31" w:rsidRPr="009804F2" w:rsidRDefault="00AB5C31" w:rsidP="00AB5C31">
            <w:pPr>
              <w:jc w:val="both"/>
              <w:rPr>
                <w:rFonts w:ascii="David" w:hAnsi="David"/>
                <w:sz w:val="26"/>
                <w:szCs w:val="26"/>
                <w:rtl/>
              </w:rPr>
            </w:pPr>
            <w:bookmarkStart w:id="1" w:name="FirstAppellant"/>
            <w:r w:rsidRPr="009804F2">
              <w:rPr>
                <w:rFonts w:ascii="David" w:hAnsi="David"/>
                <w:sz w:val="26"/>
                <w:szCs w:val="26"/>
                <w:rtl/>
              </w:rPr>
              <w:t>בעניין:</w:t>
            </w:r>
          </w:p>
          <w:p w14:paraId="06C5270C" w14:textId="77777777" w:rsidR="00AB5C31" w:rsidRPr="009804F2" w:rsidRDefault="00AB5C31" w:rsidP="00AB5C31">
            <w:pPr>
              <w:jc w:val="both"/>
              <w:rPr>
                <w:rFonts w:ascii="David" w:hAnsi="David"/>
                <w:sz w:val="26"/>
                <w:szCs w:val="26"/>
                <w:rtl/>
              </w:rPr>
            </w:pPr>
          </w:p>
          <w:p w14:paraId="5477B2ED" w14:textId="77777777" w:rsidR="00AB5C31" w:rsidRPr="009804F2" w:rsidRDefault="00AB5C31" w:rsidP="00AB5C31">
            <w:pPr>
              <w:jc w:val="both"/>
              <w:rPr>
                <w:rFonts w:ascii="David" w:hAnsi="David"/>
                <w:b/>
                <w:bCs/>
                <w:sz w:val="26"/>
                <w:szCs w:val="26"/>
              </w:rPr>
            </w:pPr>
            <w:r w:rsidRPr="009804F2">
              <w:rPr>
                <w:rFonts w:ascii="David" w:hAnsi="David" w:hint="cs"/>
                <w:b/>
                <w:bCs/>
                <w:sz w:val="26"/>
                <w:szCs w:val="26"/>
                <w:rtl/>
              </w:rPr>
              <w:t xml:space="preserve">המאשימה </w:t>
            </w:r>
          </w:p>
        </w:tc>
        <w:tc>
          <w:tcPr>
            <w:tcW w:w="6946" w:type="dxa"/>
            <w:tcBorders>
              <w:top w:val="nil"/>
              <w:left w:val="nil"/>
              <w:bottom w:val="nil"/>
              <w:right w:val="nil"/>
            </w:tcBorders>
            <w:shd w:val="clear" w:color="auto" w:fill="auto"/>
            <w:vAlign w:val="center"/>
          </w:tcPr>
          <w:p w14:paraId="0F181773" w14:textId="77777777" w:rsidR="00AB5C31" w:rsidRPr="009804F2" w:rsidRDefault="00AB5C31" w:rsidP="00AB5C31">
            <w:pPr>
              <w:suppressLineNumbers/>
            </w:pPr>
            <w:r w:rsidRPr="009804F2">
              <w:rPr>
                <w:rFonts w:ascii="Arial" w:hAnsi="Arial"/>
                <w:b/>
                <w:bCs/>
                <w:sz w:val="26"/>
                <w:szCs w:val="26"/>
                <w:rtl/>
              </w:rPr>
              <w:br/>
            </w:r>
            <w:r w:rsidRPr="009804F2">
              <w:rPr>
                <w:rFonts w:ascii="Arial" w:hAnsi="Arial"/>
                <w:b/>
                <w:bCs/>
                <w:sz w:val="26"/>
                <w:szCs w:val="26"/>
                <w:rtl/>
              </w:rPr>
              <w:br/>
              <w:t>מדינת ישראל</w:t>
            </w:r>
          </w:p>
          <w:p w14:paraId="2A485917" w14:textId="77777777" w:rsidR="00AB5C31" w:rsidRPr="009804F2" w:rsidRDefault="00AB5C31" w:rsidP="005B67A3">
            <w:pPr>
              <w:rPr>
                <w:rFonts w:ascii="David" w:hAnsi="David"/>
                <w:sz w:val="26"/>
                <w:szCs w:val="26"/>
                <w:rtl/>
              </w:rPr>
            </w:pPr>
            <w:r w:rsidRPr="009804F2">
              <w:rPr>
                <w:rFonts w:ascii="David" w:hAnsi="David" w:hint="cs"/>
                <w:sz w:val="26"/>
                <w:szCs w:val="26"/>
                <w:rtl/>
              </w:rPr>
              <w:t xml:space="preserve">יחידת תביעות שלוחת רחובות </w:t>
            </w:r>
          </w:p>
          <w:p w14:paraId="348E97AE" w14:textId="77777777" w:rsidR="00AB5C31" w:rsidRPr="009804F2" w:rsidRDefault="00AB5C31" w:rsidP="005B67A3">
            <w:pPr>
              <w:rPr>
                <w:rFonts w:ascii="David" w:hAnsi="David"/>
                <w:sz w:val="26"/>
                <w:szCs w:val="26"/>
              </w:rPr>
            </w:pPr>
            <w:r w:rsidRPr="009804F2">
              <w:rPr>
                <w:rFonts w:ascii="David" w:hAnsi="David" w:hint="cs"/>
                <w:sz w:val="26"/>
                <w:szCs w:val="26"/>
                <w:rtl/>
              </w:rPr>
              <w:t xml:space="preserve">באמצעות עו"ד הדר פרשר ועו"ד ים קולן </w:t>
            </w:r>
          </w:p>
        </w:tc>
      </w:tr>
      <w:bookmarkEnd w:id="1"/>
      <w:tr w:rsidR="00AB5C31" w:rsidRPr="009804F2" w14:paraId="26AE7C68" w14:textId="77777777" w:rsidTr="00AB5C31">
        <w:trPr>
          <w:trHeight w:val="355"/>
          <w:jc w:val="center"/>
        </w:trPr>
        <w:tc>
          <w:tcPr>
            <w:tcW w:w="1874" w:type="dxa"/>
            <w:tcBorders>
              <w:top w:val="nil"/>
              <w:left w:val="nil"/>
              <w:bottom w:val="nil"/>
              <w:right w:val="nil"/>
            </w:tcBorders>
            <w:shd w:val="clear" w:color="auto" w:fill="auto"/>
          </w:tcPr>
          <w:p w14:paraId="70327F04" w14:textId="77777777" w:rsidR="00AB5C31" w:rsidRPr="009804F2" w:rsidRDefault="00AB5C31" w:rsidP="00AB5C31">
            <w:pPr>
              <w:jc w:val="both"/>
              <w:rPr>
                <w:rFonts w:ascii="David" w:hAnsi="David"/>
                <w:sz w:val="26"/>
                <w:szCs w:val="26"/>
                <w:rtl/>
              </w:rPr>
            </w:pPr>
          </w:p>
        </w:tc>
        <w:tc>
          <w:tcPr>
            <w:tcW w:w="6946" w:type="dxa"/>
            <w:tcBorders>
              <w:top w:val="nil"/>
              <w:left w:val="nil"/>
              <w:bottom w:val="nil"/>
              <w:right w:val="nil"/>
            </w:tcBorders>
            <w:shd w:val="clear" w:color="auto" w:fill="auto"/>
          </w:tcPr>
          <w:p w14:paraId="5C3FA7D3" w14:textId="77777777" w:rsidR="00AB5C31" w:rsidRPr="009804F2" w:rsidRDefault="00AB5C31" w:rsidP="00AB5C31">
            <w:pPr>
              <w:jc w:val="center"/>
              <w:rPr>
                <w:rFonts w:ascii="David" w:hAnsi="David"/>
                <w:b/>
                <w:bCs/>
                <w:sz w:val="26"/>
                <w:szCs w:val="26"/>
                <w:rtl/>
              </w:rPr>
            </w:pPr>
          </w:p>
          <w:p w14:paraId="11162EBC" w14:textId="77777777" w:rsidR="00AB5C31" w:rsidRPr="009804F2" w:rsidRDefault="00AB5C31" w:rsidP="005B67A3">
            <w:pPr>
              <w:rPr>
                <w:rFonts w:ascii="David" w:hAnsi="David"/>
                <w:b/>
                <w:bCs/>
                <w:sz w:val="26"/>
                <w:szCs w:val="26"/>
                <w:rtl/>
              </w:rPr>
            </w:pPr>
            <w:r w:rsidRPr="009804F2">
              <w:rPr>
                <w:rFonts w:ascii="David" w:hAnsi="David" w:hint="cs"/>
                <w:b/>
                <w:bCs/>
                <w:sz w:val="26"/>
                <w:szCs w:val="26"/>
                <w:rtl/>
              </w:rPr>
              <w:t xml:space="preserve">                         </w:t>
            </w:r>
            <w:r w:rsidRPr="009804F2">
              <w:rPr>
                <w:rFonts w:ascii="David" w:hAnsi="David"/>
                <w:b/>
                <w:bCs/>
                <w:sz w:val="26"/>
                <w:szCs w:val="26"/>
                <w:rtl/>
              </w:rPr>
              <w:t>נגד</w:t>
            </w:r>
          </w:p>
          <w:p w14:paraId="1B0B970D" w14:textId="77777777" w:rsidR="00AB5C31" w:rsidRPr="009804F2" w:rsidRDefault="00AB5C31" w:rsidP="00AB5C31">
            <w:pPr>
              <w:jc w:val="both"/>
              <w:rPr>
                <w:rFonts w:ascii="David" w:hAnsi="David"/>
                <w:sz w:val="26"/>
                <w:szCs w:val="26"/>
              </w:rPr>
            </w:pPr>
          </w:p>
        </w:tc>
      </w:tr>
      <w:tr w:rsidR="00AB5C31" w:rsidRPr="009804F2" w14:paraId="4A7176B8" w14:textId="77777777" w:rsidTr="00AB5C31">
        <w:trPr>
          <w:trHeight w:val="355"/>
          <w:jc w:val="center"/>
        </w:trPr>
        <w:tc>
          <w:tcPr>
            <w:tcW w:w="1874" w:type="dxa"/>
            <w:tcBorders>
              <w:top w:val="nil"/>
              <w:left w:val="nil"/>
              <w:bottom w:val="nil"/>
              <w:right w:val="nil"/>
            </w:tcBorders>
            <w:shd w:val="clear" w:color="auto" w:fill="auto"/>
          </w:tcPr>
          <w:p w14:paraId="0EE75B7B" w14:textId="77777777" w:rsidR="00AB5C31" w:rsidRPr="009804F2" w:rsidRDefault="00AB5C31" w:rsidP="005B67A3">
            <w:pPr>
              <w:rPr>
                <w:rFonts w:ascii="David" w:hAnsi="David"/>
                <w:b/>
                <w:bCs/>
                <w:sz w:val="26"/>
                <w:szCs w:val="26"/>
                <w:rtl/>
              </w:rPr>
            </w:pPr>
            <w:r w:rsidRPr="009804F2">
              <w:rPr>
                <w:rFonts w:ascii="David" w:hAnsi="David" w:hint="cs"/>
                <w:b/>
                <w:bCs/>
                <w:sz w:val="26"/>
                <w:szCs w:val="26"/>
                <w:rtl/>
              </w:rPr>
              <w:t xml:space="preserve">הנאשם </w:t>
            </w:r>
          </w:p>
        </w:tc>
        <w:tc>
          <w:tcPr>
            <w:tcW w:w="6946" w:type="dxa"/>
            <w:tcBorders>
              <w:top w:val="nil"/>
              <w:left w:val="nil"/>
              <w:bottom w:val="nil"/>
              <w:right w:val="nil"/>
            </w:tcBorders>
            <w:shd w:val="clear" w:color="auto" w:fill="auto"/>
            <w:vAlign w:val="center"/>
          </w:tcPr>
          <w:p w14:paraId="5CAD2BEA" w14:textId="77777777" w:rsidR="00AB5C31" w:rsidRPr="009804F2" w:rsidRDefault="00AB5C31" w:rsidP="00AB5C31">
            <w:pPr>
              <w:suppressLineNumbers/>
              <w:rPr>
                <w:rFonts w:ascii="Arial" w:hAnsi="Arial"/>
                <w:sz w:val="26"/>
                <w:szCs w:val="26"/>
                <w:rtl/>
              </w:rPr>
            </w:pPr>
            <w:r w:rsidRPr="009804F2">
              <w:rPr>
                <w:rFonts w:ascii="Arial" w:hAnsi="Arial"/>
                <w:b/>
                <w:bCs/>
                <w:sz w:val="26"/>
                <w:szCs w:val="26"/>
                <w:rtl/>
              </w:rPr>
              <w:t>נתנאל בלקר</w:t>
            </w:r>
            <w:r w:rsidRPr="009804F2">
              <w:rPr>
                <w:rFonts w:ascii="Arial" w:hAnsi="Arial"/>
                <w:b/>
                <w:bCs/>
                <w:sz w:val="26"/>
                <w:szCs w:val="26"/>
                <w:rtl/>
              </w:rPr>
              <w:br/>
            </w:r>
            <w:r w:rsidRPr="009804F2">
              <w:rPr>
                <w:rFonts w:ascii="Arial" w:hAnsi="Arial" w:hint="cs"/>
                <w:sz w:val="26"/>
                <w:szCs w:val="26"/>
                <w:rtl/>
              </w:rPr>
              <w:t>באמצעות עו"ד שירן ברגמן</w:t>
            </w:r>
          </w:p>
          <w:p w14:paraId="7A7A8C9E" w14:textId="77777777" w:rsidR="00AB5C31" w:rsidRPr="009804F2" w:rsidRDefault="00AB5C31" w:rsidP="00AB5C31">
            <w:pPr>
              <w:suppressLineNumbers/>
              <w:rPr>
                <w:rFonts w:ascii="David" w:hAnsi="David"/>
                <w:sz w:val="26"/>
                <w:szCs w:val="26"/>
              </w:rPr>
            </w:pPr>
          </w:p>
        </w:tc>
      </w:tr>
    </w:tbl>
    <w:p w14:paraId="7DE44B47" w14:textId="77777777" w:rsidR="00EA2397" w:rsidRDefault="00EA2397" w:rsidP="00AB5C31">
      <w:pPr>
        <w:rPr>
          <w:sz w:val="26"/>
          <w:szCs w:val="26"/>
          <w:rtl/>
        </w:rPr>
      </w:pPr>
    </w:p>
    <w:p w14:paraId="3A28EC36" w14:textId="77777777" w:rsidR="00EA2397" w:rsidRPr="00EA2397" w:rsidRDefault="00EA2397" w:rsidP="00EA2397">
      <w:pPr>
        <w:spacing w:after="120" w:line="240" w:lineRule="exact"/>
        <w:ind w:left="283" w:hanging="283"/>
        <w:jc w:val="both"/>
        <w:rPr>
          <w:rFonts w:ascii="FrankRuehl" w:hAnsi="FrankRuehl" w:cs="FrankRuehl"/>
          <w:rtl/>
        </w:rPr>
      </w:pPr>
    </w:p>
    <w:p w14:paraId="4EFAB28D" w14:textId="77777777" w:rsidR="00140C32" w:rsidRPr="00140C32" w:rsidRDefault="00140C32" w:rsidP="00140C32">
      <w:pPr>
        <w:spacing w:before="120" w:after="120" w:line="240" w:lineRule="exact"/>
        <w:ind w:left="283" w:hanging="283"/>
        <w:jc w:val="both"/>
        <w:rPr>
          <w:rFonts w:ascii="FrankRuehl" w:hAnsi="FrankRuehl" w:cs="FrankRuehl"/>
          <w:rtl/>
        </w:rPr>
      </w:pPr>
    </w:p>
    <w:p w14:paraId="02A0AA63" w14:textId="77777777" w:rsidR="000E569A" w:rsidRDefault="000E569A" w:rsidP="000E569A">
      <w:pPr>
        <w:rPr>
          <w:sz w:val="26"/>
          <w:szCs w:val="26"/>
          <w:rtl/>
        </w:rPr>
      </w:pPr>
      <w:bookmarkStart w:id="2" w:name="LawTable"/>
      <w:bookmarkEnd w:id="2"/>
    </w:p>
    <w:p w14:paraId="68B53F4D" w14:textId="77777777" w:rsidR="000E569A" w:rsidRPr="000E569A" w:rsidRDefault="000E569A" w:rsidP="000E569A">
      <w:pPr>
        <w:spacing w:before="120" w:after="120" w:line="240" w:lineRule="exact"/>
        <w:ind w:left="283" w:hanging="283"/>
        <w:jc w:val="both"/>
        <w:rPr>
          <w:rFonts w:ascii="FrankRuehl" w:hAnsi="FrankRuehl" w:cs="FrankRuehl"/>
          <w:rtl/>
        </w:rPr>
      </w:pPr>
    </w:p>
    <w:p w14:paraId="0C4A54AE" w14:textId="77777777" w:rsidR="000E569A" w:rsidRPr="000E569A" w:rsidRDefault="000E569A" w:rsidP="000E569A">
      <w:pPr>
        <w:spacing w:before="120" w:after="120" w:line="240" w:lineRule="exact"/>
        <w:ind w:left="283" w:hanging="283"/>
        <w:jc w:val="both"/>
        <w:rPr>
          <w:rFonts w:ascii="FrankRuehl" w:hAnsi="FrankRuehl" w:cs="FrankRuehl"/>
          <w:rtl/>
        </w:rPr>
      </w:pPr>
    </w:p>
    <w:p w14:paraId="1A9F4A51" w14:textId="77777777" w:rsidR="000E569A" w:rsidRPr="000E569A" w:rsidRDefault="000E569A" w:rsidP="000E569A">
      <w:pPr>
        <w:spacing w:before="120" w:after="120" w:line="240" w:lineRule="exact"/>
        <w:ind w:left="283" w:hanging="283"/>
        <w:jc w:val="both"/>
        <w:rPr>
          <w:rFonts w:ascii="FrankRuehl" w:hAnsi="FrankRuehl" w:cs="FrankRuehl"/>
          <w:rtl/>
        </w:rPr>
      </w:pPr>
      <w:r w:rsidRPr="000E569A">
        <w:rPr>
          <w:rFonts w:ascii="FrankRuehl" w:hAnsi="FrankRuehl" w:cs="FrankRuehl"/>
          <w:rtl/>
        </w:rPr>
        <w:t xml:space="preserve">חקיקה שאוזכרה: </w:t>
      </w:r>
    </w:p>
    <w:p w14:paraId="6BF2B441" w14:textId="77777777" w:rsidR="000E569A" w:rsidRPr="000E569A" w:rsidRDefault="000E569A" w:rsidP="000E569A">
      <w:pPr>
        <w:spacing w:before="120" w:after="120" w:line="240" w:lineRule="exact"/>
        <w:ind w:left="283" w:hanging="283"/>
        <w:jc w:val="both"/>
        <w:rPr>
          <w:rFonts w:ascii="FrankRuehl" w:hAnsi="FrankRuehl" w:cs="FrankRuehl"/>
          <w:rtl/>
        </w:rPr>
      </w:pPr>
      <w:hyperlink r:id="rId7" w:history="1">
        <w:r w:rsidRPr="000E569A">
          <w:rPr>
            <w:rFonts w:ascii="FrankRuehl" w:hAnsi="FrankRuehl" w:cs="FrankRuehl"/>
            <w:color w:val="0000FF"/>
            <w:rtl/>
          </w:rPr>
          <w:t>פקודת הסמים המסוכנים [נוסח חדש], תשל"ג-1973</w:t>
        </w:r>
      </w:hyperlink>
      <w:r w:rsidRPr="000E569A">
        <w:rPr>
          <w:rFonts w:ascii="FrankRuehl" w:hAnsi="FrankRuehl" w:cs="FrankRuehl"/>
          <w:rtl/>
        </w:rPr>
        <w:t xml:space="preserve">: סע'  </w:t>
      </w:r>
      <w:hyperlink r:id="rId8" w:history="1">
        <w:r w:rsidRPr="000E569A">
          <w:rPr>
            <w:rFonts w:ascii="FrankRuehl" w:hAnsi="FrankRuehl" w:cs="FrankRuehl"/>
            <w:color w:val="0000FF"/>
            <w:rtl/>
          </w:rPr>
          <w:t>7(א)</w:t>
        </w:r>
      </w:hyperlink>
      <w:r w:rsidRPr="000E569A">
        <w:rPr>
          <w:rFonts w:ascii="FrankRuehl" w:hAnsi="FrankRuehl" w:cs="FrankRuehl"/>
          <w:rtl/>
        </w:rPr>
        <w:t xml:space="preserve">, </w:t>
      </w:r>
      <w:hyperlink r:id="rId9" w:history="1">
        <w:r w:rsidRPr="000E569A">
          <w:rPr>
            <w:rFonts w:ascii="FrankRuehl" w:hAnsi="FrankRuehl" w:cs="FrankRuehl"/>
            <w:color w:val="0000FF"/>
            <w:rtl/>
          </w:rPr>
          <w:t>7(ג)</w:t>
        </w:r>
      </w:hyperlink>
      <w:r w:rsidRPr="000E569A">
        <w:rPr>
          <w:rFonts w:ascii="FrankRuehl" w:hAnsi="FrankRuehl" w:cs="FrankRuehl"/>
          <w:rtl/>
        </w:rPr>
        <w:t xml:space="preserve">, </w:t>
      </w:r>
      <w:hyperlink r:id="rId10" w:history="1">
        <w:r w:rsidRPr="000E569A">
          <w:rPr>
            <w:rFonts w:ascii="FrankRuehl" w:hAnsi="FrankRuehl" w:cs="FrankRuehl"/>
            <w:color w:val="0000FF"/>
            <w:rtl/>
          </w:rPr>
          <w:t>10</w:t>
        </w:r>
      </w:hyperlink>
    </w:p>
    <w:p w14:paraId="58FA0F9B" w14:textId="77777777" w:rsidR="000E569A" w:rsidRPr="000E569A" w:rsidRDefault="000E569A" w:rsidP="000E569A">
      <w:pPr>
        <w:spacing w:before="120" w:after="120" w:line="240" w:lineRule="exact"/>
        <w:ind w:left="283" w:hanging="283"/>
        <w:jc w:val="both"/>
        <w:rPr>
          <w:rFonts w:ascii="FrankRuehl" w:hAnsi="FrankRuehl" w:cs="FrankRuehl"/>
          <w:rtl/>
        </w:rPr>
      </w:pPr>
      <w:hyperlink r:id="rId11" w:history="1">
        <w:r w:rsidRPr="000E569A">
          <w:rPr>
            <w:rFonts w:ascii="FrankRuehl" w:hAnsi="FrankRuehl" w:cs="FrankRuehl"/>
            <w:color w:val="0000FF"/>
            <w:rtl/>
          </w:rPr>
          <w:t>חוק העונשין, תשל"ז-1977</w:t>
        </w:r>
      </w:hyperlink>
      <w:r w:rsidRPr="000E569A">
        <w:rPr>
          <w:rFonts w:ascii="FrankRuehl" w:hAnsi="FrankRuehl" w:cs="FrankRuehl"/>
          <w:rtl/>
        </w:rPr>
        <w:t xml:space="preserve">: סע'  </w:t>
      </w:r>
      <w:hyperlink r:id="rId12" w:history="1">
        <w:r w:rsidRPr="000E569A">
          <w:rPr>
            <w:rFonts w:ascii="FrankRuehl" w:hAnsi="FrankRuehl" w:cs="FrankRuehl"/>
            <w:color w:val="0000FF"/>
            <w:rtl/>
          </w:rPr>
          <w:t>40(יא)</w:t>
        </w:r>
      </w:hyperlink>
    </w:p>
    <w:p w14:paraId="0C35A007" w14:textId="77777777" w:rsidR="000E569A" w:rsidRPr="000E569A" w:rsidRDefault="000E569A" w:rsidP="000E569A">
      <w:pPr>
        <w:rPr>
          <w:sz w:val="26"/>
          <w:szCs w:val="26"/>
          <w:rtl/>
        </w:rPr>
      </w:pPr>
      <w:bookmarkStart w:id="3" w:name="LawTable_End"/>
      <w:bookmarkEnd w:id="3"/>
    </w:p>
    <w:p w14:paraId="0048E38B" w14:textId="77777777" w:rsidR="00EA2397" w:rsidRPr="00140C32" w:rsidRDefault="00EA2397" w:rsidP="00140C32">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B5C31" w14:paraId="41BF4B9B" w14:textId="77777777" w:rsidTr="00AB5C31">
        <w:trPr>
          <w:trHeight w:val="355"/>
          <w:jc w:val="center"/>
        </w:trPr>
        <w:tc>
          <w:tcPr>
            <w:tcW w:w="8820" w:type="dxa"/>
            <w:tcBorders>
              <w:top w:val="nil"/>
              <w:left w:val="nil"/>
              <w:bottom w:val="nil"/>
              <w:right w:val="nil"/>
            </w:tcBorders>
            <w:shd w:val="clear" w:color="auto" w:fill="auto"/>
          </w:tcPr>
          <w:p w14:paraId="074E0B6A" w14:textId="77777777" w:rsidR="009804F2" w:rsidRPr="009804F2" w:rsidRDefault="009804F2" w:rsidP="009804F2">
            <w:pPr>
              <w:jc w:val="center"/>
              <w:rPr>
                <w:rFonts w:ascii="David" w:hAnsi="David"/>
                <w:b/>
                <w:bCs/>
                <w:sz w:val="32"/>
                <w:szCs w:val="32"/>
                <w:u w:val="single"/>
                <w:rtl/>
              </w:rPr>
            </w:pPr>
            <w:bookmarkStart w:id="4" w:name="PsakDin" w:colFirst="0" w:colLast="0"/>
            <w:bookmarkEnd w:id="0"/>
            <w:r w:rsidRPr="009804F2">
              <w:rPr>
                <w:rFonts w:ascii="David" w:hAnsi="David"/>
                <w:b/>
                <w:bCs/>
                <w:sz w:val="32"/>
                <w:szCs w:val="32"/>
                <w:u w:val="single"/>
                <w:rtl/>
              </w:rPr>
              <w:t>גזר דין</w:t>
            </w:r>
          </w:p>
          <w:p w14:paraId="581892A9" w14:textId="77777777" w:rsidR="00AB5C31" w:rsidRPr="009804F2" w:rsidRDefault="00AB5C31" w:rsidP="009804F2">
            <w:pPr>
              <w:jc w:val="center"/>
              <w:rPr>
                <w:rFonts w:ascii="David" w:hAnsi="David"/>
                <w:bCs/>
                <w:sz w:val="32"/>
                <w:szCs w:val="32"/>
                <w:u w:val="single"/>
                <w:rtl/>
              </w:rPr>
            </w:pPr>
          </w:p>
        </w:tc>
      </w:tr>
      <w:bookmarkEnd w:id="4"/>
    </w:tbl>
    <w:p w14:paraId="62C44B47" w14:textId="77777777" w:rsidR="00AB5C31" w:rsidRDefault="00AB5C31" w:rsidP="00AB5C31">
      <w:pPr>
        <w:pStyle w:val="aa"/>
        <w:spacing w:before="100" w:beforeAutospacing="1" w:after="120"/>
        <w:ind w:left="84"/>
        <w:jc w:val="both"/>
        <w:rPr>
          <w:rFonts w:ascii="FrankRuehl" w:hAnsi="FrankRuehl" w:cs="FrankRuehl"/>
          <w:sz w:val="28"/>
          <w:szCs w:val="28"/>
        </w:rPr>
      </w:pPr>
    </w:p>
    <w:p w14:paraId="1F88D80F"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bookmarkStart w:id="5" w:name="ABSTRACT_START"/>
      <w:bookmarkEnd w:id="5"/>
      <w:r w:rsidRPr="00665A13">
        <w:rPr>
          <w:rFonts w:ascii="FrankRuehl" w:hAnsi="FrankRuehl" w:cs="FrankRuehl"/>
          <w:sz w:val="28"/>
          <w:szCs w:val="28"/>
          <w:rtl/>
        </w:rPr>
        <w:t xml:space="preserve">הנאשם הורשע על יסוד הודאתו בהתאם להסדר </w:t>
      </w:r>
      <w:r>
        <w:rPr>
          <w:rFonts w:ascii="FrankRuehl" w:hAnsi="FrankRuehl" w:cs="FrankRuehl" w:hint="cs"/>
          <w:sz w:val="28"/>
          <w:szCs w:val="28"/>
          <w:rtl/>
        </w:rPr>
        <w:t xml:space="preserve">טיעון </w:t>
      </w:r>
      <w:r w:rsidRPr="00665A13">
        <w:rPr>
          <w:rFonts w:ascii="FrankRuehl" w:hAnsi="FrankRuehl" w:cs="FrankRuehl"/>
          <w:sz w:val="28"/>
          <w:szCs w:val="28"/>
          <w:rtl/>
        </w:rPr>
        <w:t xml:space="preserve">דיוני בכתב אישום מתוקן בהחזקת סם שלא לצריכה עצמית, עבירה לפי </w:t>
      </w:r>
      <w:hyperlink r:id="rId13" w:history="1">
        <w:r w:rsidR="00EA2397" w:rsidRPr="00EA2397">
          <w:rPr>
            <w:rStyle w:val="Hyperlink"/>
            <w:rFonts w:ascii="FrankRuehl" w:hAnsi="FrankRuehl" w:cs="FrankRuehl"/>
            <w:sz w:val="28"/>
            <w:szCs w:val="28"/>
            <w:rtl/>
          </w:rPr>
          <w:t>סעיף 7(א)</w:t>
        </w:r>
      </w:hyperlink>
      <w:r w:rsidRPr="00665A13">
        <w:rPr>
          <w:rFonts w:ascii="FrankRuehl" w:hAnsi="FrankRuehl" w:cs="FrankRuehl"/>
          <w:sz w:val="28"/>
          <w:szCs w:val="28"/>
          <w:rtl/>
        </w:rPr>
        <w:t xml:space="preserve"> + </w:t>
      </w:r>
      <w:hyperlink r:id="rId14" w:history="1">
        <w:r w:rsidR="00EA2397" w:rsidRPr="00EA2397">
          <w:rPr>
            <w:rStyle w:val="Hyperlink"/>
            <w:rFonts w:ascii="FrankRuehl" w:hAnsi="FrankRuehl" w:cs="FrankRuehl"/>
            <w:sz w:val="28"/>
            <w:szCs w:val="28"/>
            <w:rtl/>
          </w:rPr>
          <w:t>7(ג)</w:t>
        </w:r>
      </w:hyperlink>
      <w:r w:rsidRPr="00665A13">
        <w:rPr>
          <w:rFonts w:ascii="FrankRuehl" w:hAnsi="FrankRuehl" w:cs="FrankRuehl"/>
          <w:sz w:val="28"/>
          <w:szCs w:val="28"/>
          <w:rtl/>
        </w:rPr>
        <w:t xml:space="preserve"> רישא ל</w:t>
      </w:r>
      <w:hyperlink r:id="rId15" w:history="1">
        <w:r w:rsidR="009804F2" w:rsidRPr="009804F2">
          <w:rPr>
            <w:rFonts w:ascii="FrankRuehl" w:hAnsi="FrankRuehl" w:cs="FrankRuehl"/>
            <w:color w:val="0000FF"/>
            <w:sz w:val="28"/>
            <w:szCs w:val="28"/>
            <w:u w:val="single"/>
            <w:rtl/>
          </w:rPr>
          <w:t>פקודת הסמים המסוכנים</w:t>
        </w:r>
      </w:hyperlink>
      <w:r w:rsidRPr="00665A13">
        <w:rPr>
          <w:rFonts w:ascii="FrankRuehl" w:hAnsi="FrankRuehl" w:cs="FrankRuehl"/>
          <w:sz w:val="28"/>
          <w:szCs w:val="28"/>
          <w:rtl/>
        </w:rPr>
        <w:t xml:space="preserve"> [נוסח חדש], התשל"ג–1973 (להלן: </w:t>
      </w:r>
      <w:r w:rsidRPr="00665A13">
        <w:rPr>
          <w:rFonts w:ascii="Miriam" w:hAnsi="Miriam" w:cs="Miriam"/>
          <w:rtl/>
        </w:rPr>
        <w:t>פקודת הסמים המסוכנים</w:t>
      </w:r>
      <w:r w:rsidRPr="00665A13">
        <w:rPr>
          <w:rFonts w:ascii="FrankRuehl" w:hAnsi="FrankRuehl" w:cs="FrankRuehl"/>
          <w:rtl/>
        </w:rPr>
        <w:t xml:space="preserve"> </w:t>
      </w:r>
      <w:r w:rsidRPr="00665A13">
        <w:rPr>
          <w:rFonts w:ascii="FrankRuehl" w:hAnsi="FrankRuehl" w:cs="FrankRuehl"/>
          <w:sz w:val="28"/>
          <w:szCs w:val="28"/>
          <w:rtl/>
        </w:rPr>
        <w:t xml:space="preserve">או </w:t>
      </w:r>
      <w:r w:rsidRPr="00665A13">
        <w:rPr>
          <w:rFonts w:ascii="Miriam" w:hAnsi="Miriam" w:cs="Miriam"/>
          <w:rtl/>
        </w:rPr>
        <w:t>הפקודה</w:t>
      </w:r>
      <w:r w:rsidRPr="00665A13">
        <w:rPr>
          <w:rFonts w:ascii="FrankRuehl" w:hAnsi="FrankRuehl" w:cs="FrankRuehl"/>
          <w:sz w:val="28"/>
          <w:szCs w:val="28"/>
          <w:rtl/>
        </w:rPr>
        <w:t>) ובהחזקת כלים להכנת סם מסוכן שלא לצריכה עצמית</w:t>
      </w:r>
      <w:r>
        <w:rPr>
          <w:rFonts w:ascii="FrankRuehl" w:hAnsi="FrankRuehl" w:cs="FrankRuehl" w:hint="cs"/>
          <w:sz w:val="28"/>
          <w:szCs w:val="28"/>
          <w:rtl/>
        </w:rPr>
        <w:t>,</w:t>
      </w:r>
      <w:r w:rsidRPr="00665A13">
        <w:rPr>
          <w:rFonts w:ascii="FrankRuehl" w:hAnsi="FrankRuehl" w:cs="FrankRuehl"/>
          <w:sz w:val="28"/>
          <w:szCs w:val="28"/>
          <w:rtl/>
        </w:rPr>
        <w:t xml:space="preserve"> עבירה לפי </w:t>
      </w:r>
      <w:hyperlink r:id="rId16" w:history="1">
        <w:r w:rsidR="00EA2397" w:rsidRPr="00EA2397">
          <w:rPr>
            <w:rStyle w:val="Hyperlink"/>
            <w:rFonts w:ascii="FrankRuehl" w:hAnsi="FrankRuehl" w:cs="FrankRuehl"/>
            <w:sz w:val="28"/>
            <w:szCs w:val="28"/>
            <w:rtl/>
          </w:rPr>
          <w:t>סעיף 10</w:t>
        </w:r>
      </w:hyperlink>
      <w:r w:rsidRPr="00665A13">
        <w:rPr>
          <w:rFonts w:ascii="FrankRuehl" w:hAnsi="FrankRuehl" w:cs="FrankRuehl"/>
          <w:sz w:val="28"/>
          <w:szCs w:val="28"/>
          <w:rtl/>
        </w:rPr>
        <w:t xml:space="preserve"> לפקודת הסמים המסוכנים. </w:t>
      </w:r>
    </w:p>
    <w:p w14:paraId="5FD57530" w14:textId="77777777" w:rsidR="00AB5C31" w:rsidRDefault="00AB5C31" w:rsidP="00AB5C31">
      <w:pPr>
        <w:pStyle w:val="aa"/>
        <w:spacing w:before="100" w:beforeAutospacing="1" w:after="120"/>
        <w:ind w:left="84"/>
        <w:jc w:val="both"/>
        <w:rPr>
          <w:rFonts w:ascii="FrankRuehl" w:hAnsi="FrankRuehl" w:cs="FrankRuehl"/>
          <w:sz w:val="28"/>
          <w:szCs w:val="28"/>
        </w:rPr>
      </w:pPr>
    </w:p>
    <w:p w14:paraId="1AFDA60E"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bookmarkStart w:id="6" w:name="ABSTRACT_END"/>
      <w:bookmarkEnd w:id="6"/>
      <w:r>
        <w:rPr>
          <w:rFonts w:ascii="FrankRuehl" w:hAnsi="FrankRuehl" w:cs="FrankRuehl" w:hint="cs"/>
          <w:sz w:val="28"/>
          <w:szCs w:val="28"/>
          <w:rtl/>
        </w:rPr>
        <w:t xml:space="preserve">הסדר הטיעון הדיוני לא כלל הסכמה לעניין העונש, אך בשלב הצגת ההסדר ביקשו הצדדים כי שירות המבחן יגיש תסקיר בעניינו של הנאשם אשר יבחן את נסיבות ביצוע העבירות ואת נסיבותיו האישיות של הנאשם ויעביר המלצותיו לבית המשפט. </w:t>
      </w:r>
    </w:p>
    <w:p w14:paraId="0FD824FB" w14:textId="77777777" w:rsidR="00AB5C31" w:rsidRPr="007101EE" w:rsidRDefault="00AB5C31" w:rsidP="00AB5C31">
      <w:pPr>
        <w:pStyle w:val="aa"/>
        <w:rPr>
          <w:rFonts w:ascii="FrankRuehl" w:hAnsi="FrankRuehl" w:cs="FrankRuehl"/>
          <w:sz w:val="28"/>
          <w:szCs w:val="28"/>
          <w:rtl/>
        </w:rPr>
      </w:pPr>
    </w:p>
    <w:p w14:paraId="720F6601"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sidRPr="007101EE">
        <w:rPr>
          <w:rFonts w:ascii="FrankRuehl" w:hAnsi="FrankRuehl" w:cs="FrankRuehl" w:hint="cs"/>
          <w:sz w:val="28"/>
          <w:szCs w:val="28"/>
          <w:rtl/>
        </w:rPr>
        <w:lastRenderedPageBreak/>
        <w:t>לאחר ש</w:t>
      </w:r>
      <w:r>
        <w:rPr>
          <w:rFonts w:ascii="FrankRuehl" w:hAnsi="FrankRuehl" w:cs="FrankRuehl" w:hint="cs"/>
          <w:sz w:val="28"/>
          <w:szCs w:val="28"/>
          <w:rtl/>
        </w:rPr>
        <w:t>התקיים דיון מחוץ לפרוטוקול בהסכמת הצדדים ו</w:t>
      </w:r>
      <w:r w:rsidRPr="007101EE">
        <w:rPr>
          <w:rFonts w:ascii="FrankRuehl" w:hAnsi="FrankRuehl" w:cs="FrankRuehl" w:hint="cs"/>
          <w:sz w:val="28"/>
          <w:szCs w:val="28"/>
          <w:rtl/>
        </w:rPr>
        <w:t xml:space="preserve">נשמעו הערות בית המשפט, </w:t>
      </w:r>
      <w:r>
        <w:rPr>
          <w:rFonts w:ascii="FrankRuehl" w:hAnsi="FrankRuehl" w:cs="FrankRuehl" w:hint="cs"/>
          <w:sz w:val="28"/>
          <w:szCs w:val="28"/>
          <w:rtl/>
        </w:rPr>
        <w:t xml:space="preserve">לפיהן ספק אם </w:t>
      </w:r>
      <w:r w:rsidRPr="007101EE">
        <w:rPr>
          <w:rFonts w:ascii="FrankRuehl" w:hAnsi="FrankRuehl" w:cs="FrankRuehl" w:hint="cs"/>
          <w:sz w:val="28"/>
          <w:szCs w:val="28"/>
          <w:rtl/>
        </w:rPr>
        <w:t xml:space="preserve">יש צורך במעורבות </w:t>
      </w:r>
      <w:r>
        <w:rPr>
          <w:rFonts w:ascii="FrankRuehl" w:hAnsi="FrankRuehl" w:cs="FrankRuehl" w:hint="cs"/>
          <w:sz w:val="28"/>
          <w:szCs w:val="28"/>
          <w:rtl/>
        </w:rPr>
        <w:t xml:space="preserve">של </w:t>
      </w:r>
      <w:r w:rsidRPr="007101EE">
        <w:rPr>
          <w:rFonts w:ascii="FrankRuehl" w:hAnsi="FrankRuehl" w:cs="FrankRuehl" w:hint="cs"/>
          <w:sz w:val="28"/>
          <w:szCs w:val="28"/>
          <w:rtl/>
        </w:rPr>
        <w:t>שירות המבחן, הצהירה המאשימה כי בכוונתה לעתור לעונש של מאסר שירוצה בדרך של עבודות שירות</w:t>
      </w:r>
      <w:r>
        <w:rPr>
          <w:rFonts w:ascii="FrankRuehl" w:hAnsi="FrankRuehl" w:cs="FrankRuehl" w:hint="cs"/>
          <w:sz w:val="28"/>
          <w:szCs w:val="28"/>
          <w:rtl/>
        </w:rPr>
        <w:t>,</w:t>
      </w:r>
      <w:r w:rsidRPr="007101EE">
        <w:rPr>
          <w:rFonts w:ascii="FrankRuehl" w:hAnsi="FrankRuehl" w:cs="FrankRuehl" w:hint="cs"/>
          <w:sz w:val="28"/>
          <w:szCs w:val="28"/>
          <w:rtl/>
        </w:rPr>
        <w:t xml:space="preserve"> בעוד בא כוח הנאשם ביקש להיערך לטיעונים לעונש.</w:t>
      </w:r>
      <w:r>
        <w:rPr>
          <w:rFonts w:ascii="FrankRuehl" w:hAnsi="FrankRuehl" w:cs="FrankRuehl" w:hint="cs"/>
          <w:sz w:val="28"/>
          <w:szCs w:val="28"/>
          <w:rtl/>
        </w:rPr>
        <w:t xml:space="preserve"> בהתאם לכך, ומבלי שהדבר יעיד על תוצאות ההליך ועל מנת שבפני בית המשפט תונח התמונה המלאה, התבקש הממונה לחוות דעתו בדבר התאמתו של הנאשם לריצוי עונש מאסר בדרך של עבודות שירות. </w:t>
      </w:r>
    </w:p>
    <w:p w14:paraId="53C936BD" w14:textId="77777777" w:rsidR="00AB5C31" w:rsidRPr="00DF2CC4" w:rsidRDefault="00AB5C31" w:rsidP="00AB5C31">
      <w:pPr>
        <w:pStyle w:val="aa"/>
        <w:rPr>
          <w:rFonts w:ascii="FrankRuehl" w:hAnsi="FrankRuehl" w:cs="FrankRuehl"/>
          <w:sz w:val="28"/>
          <w:szCs w:val="28"/>
          <w:rtl/>
        </w:rPr>
      </w:pPr>
    </w:p>
    <w:p w14:paraId="6945CC98" w14:textId="77777777" w:rsidR="00AB5C31" w:rsidRPr="007101EE"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hint="cs"/>
          <w:sz w:val="28"/>
          <w:szCs w:val="28"/>
          <w:rtl/>
        </w:rPr>
        <w:t xml:space="preserve">ביום 2.5.2022 נשמעו טיעונים לעונש, </w:t>
      </w:r>
      <w:r w:rsidRPr="007101EE">
        <w:rPr>
          <w:rFonts w:ascii="FrankRuehl" w:hAnsi="FrankRuehl" w:cs="FrankRuehl"/>
          <w:sz w:val="28"/>
          <w:szCs w:val="28"/>
          <w:rtl/>
        </w:rPr>
        <w:t xml:space="preserve">כל צד טען כראות עיניו. </w:t>
      </w:r>
    </w:p>
    <w:p w14:paraId="35C6DE8D" w14:textId="77777777" w:rsidR="00AB5C31" w:rsidRDefault="00AB5C31" w:rsidP="00AB5C31">
      <w:pPr>
        <w:spacing w:before="100" w:beforeAutospacing="1" w:after="120" w:line="360" w:lineRule="auto"/>
        <w:jc w:val="both"/>
        <w:rPr>
          <w:rFonts w:ascii="Miriam" w:hAnsi="Miriam" w:cs="Miriam"/>
          <w:rtl/>
        </w:rPr>
      </w:pPr>
    </w:p>
    <w:p w14:paraId="2954A050" w14:textId="77777777" w:rsidR="00AB5C31" w:rsidRDefault="00AB5C31" w:rsidP="00AB5C31">
      <w:pPr>
        <w:spacing w:before="100" w:beforeAutospacing="1" w:after="120" w:line="360" w:lineRule="auto"/>
        <w:jc w:val="both"/>
        <w:rPr>
          <w:rFonts w:ascii="Miriam" w:hAnsi="Miriam" w:cs="Miriam"/>
          <w:rtl/>
        </w:rPr>
      </w:pPr>
    </w:p>
    <w:p w14:paraId="2E96F5C7" w14:textId="77777777" w:rsidR="00AB5C31" w:rsidRDefault="00AB5C31" w:rsidP="00AB5C31">
      <w:pPr>
        <w:spacing w:before="100" w:beforeAutospacing="1" w:after="120" w:line="360" w:lineRule="auto"/>
        <w:jc w:val="both"/>
        <w:rPr>
          <w:rFonts w:ascii="Miriam" w:hAnsi="Miriam" w:cs="Miriam"/>
          <w:rtl/>
        </w:rPr>
      </w:pPr>
      <w:r>
        <w:rPr>
          <w:rFonts w:ascii="Miriam" w:hAnsi="Miriam" w:cs="Miriam"/>
          <w:rtl/>
        </w:rPr>
        <w:t>כתב האישום המתוקן</w:t>
      </w:r>
    </w:p>
    <w:p w14:paraId="705FAF87"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tl/>
        </w:rPr>
      </w:pPr>
      <w:r>
        <w:rPr>
          <w:rFonts w:ascii="FrankRuehl" w:hAnsi="FrankRuehl" w:cs="FrankRuehl"/>
          <w:sz w:val="28"/>
          <w:szCs w:val="28"/>
          <w:rtl/>
        </w:rPr>
        <w:t>ביום 6.10.2019 בשעה 07:00 לערך</w:t>
      </w:r>
      <w:r>
        <w:rPr>
          <w:rFonts w:ascii="FrankRuehl" w:hAnsi="FrankRuehl" w:cs="FrankRuehl" w:hint="cs"/>
          <w:sz w:val="28"/>
          <w:szCs w:val="28"/>
          <w:rtl/>
        </w:rPr>
        <w:t xml:space="preserve"> </w:t>
      </w:r>
      <w:r>
        <w:rPr>
          <w:rFonts w:ascii="FrankRuehl" w:hAnsi="FrankRuehl" w:cs="FrankRuehl"/>
          <w:sz w:val="28"/>
          <w:szCs w:val="28"/>
          <w:rtl/>
        </w:rPr>
        <w:t xml:space="preserve">נערך חיפוש </w:t>
      </w:r>
      <w:r>
        <w:rPr>
          <w:rFonts w:ascii="FrankRuehl" w:hAnsi="FrankRuehl" w:cs="FrankRuehl" w:hint="cs"/>
          <w:sz w:val="28"/>
          <w:szCs w:val="28"/>
          <w:rtl/>
        </w:rPr>
        <w:t xml:space="preserve">בבית הנאשם </w:t>
      </w:r>
      <w:r>
        <w:rPr>
          <w:rFonts w:ascii="FrankRuehl" w:hAnsi="FrankRuehl" w:cs="FrankRuehl"/>
          <w:sz w:val="28"/>
          <w:szCs w:val="28"/>
          <w:rtl/>
        </w:rPr>
        <w:t xml:space="preserve">בהתאם לצו שיפוטי. במהלך החיפוש נתפסו סמים השייכים לנאשם במקומות שונים, כמפורט להלן: </w:t>
      </w:r>
    </w:p>
    <w:p w14:paraId="21DDBEE3" w14:textId="77777777" w:rsidR="00AB5C31" w:rsidRDefault="00AB5C31" w:rsidP="00AB5C31">
      <w:pPr>
        <w:pStyle w:val="aa"/>
        <w:numPr>
          <w:ilvl w:val="0"/>
          <w:numId w:val="2"/>
        </w:numPr>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בחצר הבית, בתוך קסדת אופנוע, נתפס סם מסוג קנאביס במשקל 100 גרם נטו. </w:t>
      </w:r>
    </w:p>
    <w:p w14:paraId="52F0D338" w14:textId="77777777" w:rsidR="00AB5C31" w:rsidRDefault="00AB5C31" w:rsidP="00AB5C31">
      <w:pPr>
        <w:pStyle w:val="aa"/>
        <w:numPr>
          <w:ilvl w:val="0"/>
          <w:numId w:val="2"/>
        </w:numPr>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בחצר הבית, מתחת לשולחן הנמצא משמאל לדלת, מסוג ק</w:t>
      </w:r>
      <w:r>
        <w:rPr>
          <w:rFonts w:ascii="FrankRuehl" w:hAnsi="FrankRuehl" w:cs="FrankRuehl" w:hint="cs"/>
          <w:sz w:val="28"/>
          <w:szCs w:val="28"/>
          <w:rtl/>
        </w:rPr>
        <w:t>א</w:t>
      </w:r>
      <w:r>
        <w:rPr>
          <w:rFonts w:ascii="FrankRuehl" w:hAnsi="FrankRuehl" w:cs="FrankRuehl"/>
          <w:sz w:val="28"/>
          <w:szCs w:val="28"/>
          <w:rtl/>
        </w:rPr>
        <w:t>נב</w:t>
      </w:r>
      <w:r>
        <w:rPr>
          <w:rFonts w:ascii="FrankRuehl" w:hAnsi="FrankRuehl" w:cs="FrankRuehl" w:hint="cs"/>
          <w:sz w:val="28"/>
          <w:szCs w:val="28"/>
          <w:rtl/>
        </w:rPr>
        <w:t>י</w:t>
      </w:r>
      <w:r>
        <w:rPr>
          <w:rFonts w:ascii="FrankRuehl" w:hAnsi="FrankRuehl" w:cs="FrankRuehl"/>
          <w:sz w:val="28"/>
          <w:szCs w:val="28"/>
          <w:rtl/>
        </w:rPr>
        <w:t xml:space="preserve">ס 553.10 גרם נטו. </w:t>
      </w:r>
    </w:p>
    <w:p w14:paraId="7BE3F37E" w14:textId="77777777" w:rsidR="00AB5C31" w:rsidRDefault="00AB5C31" w:rsidP="00AB5C31">
      <w:pPr>
        <w:pStyle w:val="aa"/>
        <w:numPr>
          <w:ilvl w:val="0"/>
          <w:numId w:val="2"/>
        </w:numPr>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על מדף במטבח הבית, נתפסו 2 משקלים דיגיטליים. </w:t>
      </w:r>
    </w:p>
    <w:p w14:paraId="7301150B" w14:textId="77777777" w:rsidR="00AB5C31" w:rsidRDefault="00AB5C31" w:rsidP="00AB5C31">
      <w:pPr>
        <w:spacing w:before="100" w:beforeAutospacing="1" w:after="120" w:line="360" w:lineRule="auto"/>
        <w:jc w:val="both"/>
        <w:rPr>
          <w:rFonts w:ascii="Miriam" w:hAnsi="Miriam" w:cs="Miriam"/>
        </w:rPr>
      </w:pPr>
      <w:r>
        <w:rPr>
          <w:rFonts w:ascii="Miriam" w:hAnsi="Miriam" w:cs="Miriam"/>
          <w:rtl/>
        </w:rPr>
        <w:t xml:space="preserve">טיעוני הצדדים לעונש  </w:t>
      </w:r>
    </w:p>
    <w:p w14:paraId="0B9132F9"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Miriam" w:hAnsi="Miriam" w:cs="Miriam"/>
          <w:rtl/>
        </w:rPr>
        <w:t>המאשימה</w:t>
      </w:r>
      <w:r>
        <w:rPr>
          <w:rFonts w:ascii="FrankRuehl" w:hAnsi="FrankRuehl" w:cs="FrankRuehl"/>
          <w:sz w:val="28"/>
          <w:szCs w:val="28"/>
          <w:rtl/>
        </w:rPr>
        <w:t xml:space="preserve"> בטיעוניה עמדה על הערכים החברתיים המוגנים שנפגעו ממעשיו של הנאשם ובהם ההגנה על שלמות גופו, בטחונו ובריאותו של הציבור, ובפרט כאשר נגע הסמים הפך להיות מחולל פשיעה. המאשימה סקרה את נסיבות ביצוע העבירה, הפנתה לסוג הסמים, הכמות שנתפסה, וביקשה לראות חומרה יתירה בכך שה</w:t>
      </w:r>
      <w:r>
        <w:rPr>
          <w:rFonts w:ascii="FrankRuehl" w:hAnsi="FrankRuehl" w:cs="FrankRuehl" w:hint="cs"/>
          <w:sz w:val="28"/>
          <w:szCs w:val="28"/>
          <w:rtl/>
        </w:rPr>
        <w:t>סמים ה</w:t>
      </w:r>
      <w:r>
        <w:rPr>
          <w:rFonts w:ascii="FrankRuehl" w:hAnsi="FrankRuehl" w:cs="FrankRuehl"/>
          <w:sz w:val="28"/>
          <w:szCs w:val="28"/>
          <w:rtl/>
        </w:rPr>
        <w:t>וחזקו בשני מקומות שונים לצד משקלים אלקטרוניים. מכאן, עתרה המאשימה לקביעת מתחם עונש שנע בין 18-6 חודשים לצד ענישה נלווית ותמכה עמדה זו, בפסיקה. עוד בטיעוניה הפנתה המאשימה לנסיבות שאינן קשורות בביצוע העבירה, גילו של הנאשם, העדר עבר פלילי והחיסכון בזמן שיפוטי.</w:t>
      </w:r>
    </w:p>
    <w:p w14:paraId="5C5D2431" w14:textId="77777777" w:rsidR="00AB5C31" w:rsidRDefault="00AB5C31" w:rsidP="00AB5C31">
      <w:pPr>
        <w:pStyle w:val="aa"/>
        <w:spacing w:before="100" w:beforeAutospacing="1" w:after="120"/>
        <w:ind w:left="84"/>
        <w:jc w:val="both"/>
        <w:rPr>
          <w:rFonts w:ascii="FrankRuehl" w:hAnsi="FrankRuehl" w:cs="FrankRuehl"/>
          <w:sz w:val="28"/>
          <w:szCs w:val="28"/>
          <w:rtl/>
        </w:rPr>
      </w:pPr>
      <w:r>
        <w:rPr>
          <w:rFonts w:ascii="FrankRuehl" w:hAnsi="FrankRuehl" w:cs="FrankRuehl"/>
          <w:sz w:val="28"/>
          <w:szCs w:val="28"/>
          <w:rtl/>
        </w:rPr>
        <w:t xml:space="preserve"> </w:t>
      </w:r>
    </w:p>
    <w:p w14:paraId="7C424C4E" w14:textId="77777777" w:rsidR="00AB5C31" w:rsidRDefault="00AB5C31" w:rsidP="00AB5C31">
      <w:pPr>
        <w:pStyle w:val="aa"/>
        <w:spacing w:before="100" w:beforeAutospacing="1" w:after="120" w:line="360" w:lineRule="auto"/>
        <w:ind w:left="84" w:firstLine="636"/>
        <w:jc w:val="both"/>
        <w:rPr>
          <w:rFonts w:ascii="FrankRuehl" w:hAnsi="FrankRuehl" w:cs="FrankRuehl"/>
          <w:sz w:val="28"/>
          <w:szCs w:val="28"/>
          <w:rtl/>
        </w:rPr>
      </w:pPr>
      <w:r>
        <w:rPr>
          <w:rFonts w:ascii="Times New Roman" w:hAnsi="Times New Roman" w:cs="FrankRuehl"/>
          <w:sz w:val="28"/>
          <w:szCs w:val="28"/>
          <w:rtl/>
        </w:rPr>
        <w:t>מטעמים אלו, כך לדברי המאשימה, ראוי</w:t>
      </w:r>
      <w:r w:rsidRPr="00AB5C31">
        <w:rPr>
          <w:rFonts w:ascii="FrankRuehl" w:eastAsia="Times New Roman" w:hAnsi="FrankRuehl" w:cs="FrankRuehl"/>
          <w:b/>
          <w:sz w:val="28"/>
          <w:szCs w:val="28"/>
          <w:rtl/>
        </w:rPr>
        <w:t xml:space="preserve"> להשית על הנאשם 6 חודשי מאסר שיכול וירוצו </w:t>
      </w:r>
      <w:r>
        <w:rPr>
          <w:rFonts w:ascii="FrankRuehl" w:hAnsi="FrankRuehl" w:cs="FrankRuehl"/>
          <w:sz w:val="28"/>
          <w:szCs w:val="28"/>
          <w:rtl/>
        </w:rPr>
        <w:t xml:space="preserve">בדרך של עבודות שירות, מאסר מותנה, קנס ופסילה על תנאי. </w:t>
      </w:r>
    </w:p>
    <w:p w14:paraId="16764ABE" w14:textId="77777777" w:rsidR="00AB5C31" w:rsidRPr="00680990" w:rsidRDefault="00AB5C31" w:rsidP="00AB5C31">
      <w:pPr>
        <w:pStyle w:val="aa"/>
        <w:spacing w:before="100" w:beforeAutospacing="1" w:after="120"/>
        <w:ind w:left="84"/>
        <w:jc w:val="both"/>
        <w:rPr>
          <w:rFonts w:ascii="FrankRuehl" w:hAnsi="FrankRuehl" w:cs="FrankRuehl"/>
          <w:sz w:val="28"/>
          <w:szCs w:val="28"/>
        </w:rPr>
      </w:pPr>
    </w:p>
    <w:p w14:paraId="531E1EFC"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Miriam" w:hAnsi="Miriam" w:cs="Miriam"/>
          <w:rtl/>
        </w:rPr>
        <w:t>בא כוח הנאשם</w:t>
      </w:r>
      <w:r>
        <w:rPr>
          <w:rFonts w:ascii="FrankRuehl" w:hAnsi="FrankRuehl" w:cs="FrankRuehl"/>
          <w:rtl/>
        </w:rPr>
        <w:t xml:space="preserve"> </w:t>
      </w:r>
      <w:r>
        <w:rPr>
          <w:rFonts w:ascii="FrankRuehl" w:hAnsi="FrankRuehl" w:cs="FrankRuehl"/>
          <w:sz w:val="28"/>
          <w:szCs w:val="28"/>
          <w:rtl/>
        </w:rPr>
        <w:t xml:space="preserve">טען כי המתחם לו עותרת המאשימה מחמיר יתר על המידה ואינו הולם את נסיבות המקרה ואף לא את מדיניות הענישה הנהוגה. בטיעוניו הפנה לכך שמדובר בהחזקת </w:t>
      </w:r>
      <w:r>
        <w:rPr>
          <w:rFonts w:ascii="FrankRuehl" w:hAnsi="FrankRuehl" w:cs="FrankRuehl"/>
          <w:sz w:val="28"/>
          <w:szCs w:val="28"/>
          <w:rtl/>
        </w:rPr>
        <w:lastRenderedPageBreak/>
        <w:t xml:space="preserve">סם מסוג קנבוס שרף החומרה שלו נמוך באופן יחסי, הסם לא חולק למנות, לא נתפסו שקיות חלוקה ולא כסף מזומן. מכאן, עתר לקביעת מתחם עונש שהגבול התחתון שלו מתחיל במאסר מותנה, ותמך עמדתו זו, בפסיקה. </w:t>
      </w:r>
    </w:p>
    <w:p w14:paraId="459779B8" w14:textId="77777777" w:rsidR="00AB5C31" w:rsidRDefault="00AB5C31" w:rsidP="00AB5C31">
      <w:pPr>
        <w:pStyle w:val="aa"/>
        <w:spacing w:before="100" w:beforeAutospacing="1" w:after="120"/>
        <w:jc w:val="both"/>
        <w:rPr>
          <w:rFonts w:ascii="FrankRuehl" w:hAnsi="FrankRuehl" w:cs="FrankRuehl"/>
          <w:sz w:val="28"/>
          <w:szCs w:val="28"/>
        </w:rPr>
      </w:pPr>
    </w:p>
    <w:p w14:paraId="5F256F51" w14:textId="77777777" w:rsidR="00AB5C31" w:rsidRDefault="00AB5C31" w:rsidP="00AB5C31">
      <w:pPr>
        <w:pStyle w:val="aa"/>
        <w:spacing w:before="100" w:beforeAutospacing="1" w:after="120" w:line="360" w:lineRule="auto"/>
        <w:ind w:left="84" w:firstLine="636"/>
        <w:jc w:val="both"/>
        <w:rPr>
          <w:rFonts w:ascii="FrankRuehl" w:hAnsi="FrankRuehl" w:cs="FrankRuehl"/>
          <w:sz w:val="28"/>
          <w:szCs w:val="28"/>
          <w:rtl/>
        </w:rPr>
      </w:pPr>
      <w:r>
        <w:rPr>
          <w:rFonts w:ascii="FrankRuehl" w:hAnsi="FrankRuehl" w:cs="FrankRuehl"/>
          <w:sz w:val="28"/>
          <w:szCs w:val="28"/>
          <w:rtl/>
        </w:rPr>
        <w:t xml:space="preserve">יתר </w:t>
      </w:r>
      <w:r>
        <w:rPr>
          <w:rFonts w:ascii="FrankRuehl" w:hAnsi="FrankRuehl" w:cs="FrankRuehl" w:hint="cs"/>
          <w:sz w:val="28"/>
          <w:szCs w:val="28"/>
          <w:rtl/>
        </w:rPr>
        <w:t xml:space="preserve">טיעוני בא כוח הנאשם </w:t>
      </w:r>
      <w:r>
        <w:rPr>
          <w:rFonts w:ascii="FrankRuehl" w:hAnsi="FrankRuehl" w:cs="FrankRuehl"/>
          <w:sz w:val="28"/>
          <w:szCs w:val="28"/>
          <w:rtl/>
        </w:rPr>
        <w:t>התמקדו בנסיבות שאינן קשורות בביצוע העבירה המצדיקות לטעמו קביעת העונש בתחתית המתחם</w:t>
      </w:r>
      <w:r>
        <w:rPr>
          <w:rFonts w:ascii="FrankRuehl" w:hAnsi="FrankRuehl" w:cs="FrankRuehl" w:hint="cs"/>
          <w:sz w:val="28"/>
          <w:szCs w:val="28"/>
          <w:rtl/>
        </w:rPr>
        <w:t xml:space="preserve">. </w:t>
      </w:r>
      <w:r>
        <w:rPr>
          <w:rFonts w:ascii="FrankRuehl" w:hAnsi="FrankRuehl" w:cs="FrankRuehl"/>
          <w:sz w:val="28"/>
          <w:szCs w:val="28"/>
          <w:rtl/>
        </w:rPr>
        <w:t>בין אלו מנה את גילו של הנאשם, העדר עבר פלילי, נסיבותיו האישיות והמשפחתיות ובפרט היותו של הנאשם המפרנס העיקרי והפגיעה הצפויה בו ובמשפחתו ככל שיישלח לריצוי עונש מאסר בדרך של עבודות שירות ולו הקצר ביותר.</w:t>
      </w:r>
    </w:p>
    <w:p w14:paraId="3A2C70B6" w14:textId="77777777" w:rsidR="00AB5C31" w:rsidRDefault="00AB5C31" w:rsidP="00AB5C31">
      <w:pPr>
        <w:pStyle w:val="aa"/>
        <w:spacing w:before="100" w:beforeAutospacing="1" w:after="120"/>
        <w:ind w:left="84" w:firstLine="636"/>
        <w:jc w:val="both"/>
        <w:rPr>
          <w:rFonts w:ascii="FrankRuehl" w:hAnsi="FrankRuehl" w:cs="FrankRuehl"/>
          <w:sz w:val="28"/>
          <w:szCs w:val="28"/>
          <w:rtl/>
        </w:rPr>
      </w:pPr>
      <w:r>
        <w:rPr>
          <w:rFonts w:ascii="FrankRuehl" w:hAnsi="FrankRuehl" w:cs="FrankRuehl"/>
          <w:sz w:val="28"/>
          <w:szCs w:val="28"/>
          <w:rtl/>
        </w:rPr>
        <w:t xml:space="preserve"> </w:t>
      </w:r>
    </w:p>
    <w:p w14:paraId="55ECBA60" w14:textId="77777777" w:rsidR="00AB5C31" w:rsidRDefault="00AB5C31" w:rsidP="00AB5C31">
      <w:pPr>
        <w:pStyle w:val="aa"/>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מטעמים אלו, כך לדברי בא כוח הנאשם ראוי להשית על הנאשם ענישה צופה פני עתיד. </w:t>
      </w:r>
    </w:p>
    <w:p w14:paraId="75B6E0EB" w14:textId="77777777" w:rsidR="00AB5C31" w:rsidRPr="00680990" w:rsidRDefault="00AB5C31" w:rsidP="00AB5C31">
      <w:pPr>
        <w:pStyle w:val="aa"/>
        <w:spacing w:before="100" w:beforeAutospacing="1" w:after="120"/>
        <w:ind w:left="84"/>
        <w:jc w:val="both"/>
        <w:rPr>
          <w:rFonts w:ascii="FrankRuehl" w:hAnsi="FrankRuehl" w:cs="FrankRuehl"/>
          <w:sz w:val="28"/>
          <w:szCs w:val="28"/>
        </w:rPr>
      </w:pPr>
    </w:p>
    <w:p w14:paraId="03DF94BB"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tl/>
        </w:rPr>
      </w:pPr>
      <w:r>
        <w:rPr>
          <w:rFonts w:ascii="Miriam" w:hAnsi="Miriam" w:cs="Miriam"/>
          <w:rtl/>
        </w:rPr>
        <w:t>הנאשם בדברו האחרון</w:t>
      </w:r>
      <w:r>
        <w:rPr>
          <w:rFonts w:ascii="FrankRuehl" w:hAnsi="FrankRuehl" w:cs="FrankRuehl"/>
          <w:rtl/>
        </w:rPr>
        <w:t xml:space="preserve"> </w:t>
      </w:r>
      <w:r>
        <w:rPr>
          <w:rFonts w:ascii="FrankRuehl" w:hAnsi="FrankRuehl" w:cs="FrankRuehl"/>
          <w:sz w:val="28"/>
          <w:szCs w:val="28"/>
          <w:rtl/>
        </w:rPr>
        <w:t>אמר את הדברים הבאים: "אם היום אני הולך לעבודות שירות לא רק אני קורס כלכלית אלא גם אחי ואחותי. אני זה שהולך בלילה להביא את הסחורה, אני זה שפותח את החנות ונמצא בה, החנות פועלת משבע בבוקר ועד שמונה בערב. החנות הזו קיימת 30 שנה, פשוט קנינו אותה מבעל העסק. אחותי בת 40 ומשהו עורכת דין, ואחי נהג משאית גם בן 40 ומשהו".</w:t>
      </w:r>
    </w:p>
    <w:p w14:paraId="33597911" w14:textId="77777777" w:rsidR="00AB5C31" w:rsidRDefault="00AB5C31" w:rsidP="00AB5C31">
      <w:pPr>
        <w:spacing w:before="100" w:beforeAutospacing="1" w:after="120"/>
        <w:jc w:val="both"/>
        <w:rPr>
          <w:rFonts w:ascii="Miriam" w:hAnsi="Miriam" w:cs="Miriam"/>
          <w:rtl/>
        </w:rPr>
      </w:pPr>
      <w:r>
        <w:rPr>
          <w:rFonts w:ascii="Miriam" w:hAnsi="Miriam" w:cs="Miriam"/>
          <w:rtl/>
        </w:rPr>
        <w:t>דיון והכרעה</w:t>
      </w:r>
    </w:p>
    <w:p w14:paraId="0A863E52"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hint="cs"/>
          <w:sz w:val="28"/>
          <w:szCs w:val="28"/>
          <w:rtl/>
        </w:rPr>
        <w:t xml:space="preserve">הצדדים כאמור, חלוקים באשר </w:t>
      </w:r>
      <w:r>
        <w:rPr>
          <w:rFonts w:ascii="FrankRuehl" w:hAnsi="FrankRuehl" w:cs="FrankRuehl"/>
          <w:sz w:val="28"/>
          <w:szCs w:val="28"/>
          <w:rtl/>
        </w:rPr>
        <w:t xml:space="preserve">לגבולות מתחם העונש ההולם, </w:t>
      </w:r>
      <w:r>
        <w:rPr>
          <w:rFonts w:ascii="FrankRuehl" w:hAnsi="FrankRuehl" w:cs="FrankRuehl" w:hint="cs"/>
          <w:sz w:val="28"/>
          <w:szCs w:val="28"/>
          <w:rtl/>
        </w:rPr>
        <w:t>ובמיוחד באשר ל</w:t>
      </w:r>
      <w:r>
        <w:rPr>
          <w:rFonts w:ascii="FrankRuehl" w:hAnsi="FrankRuehl" w:cs="FrankRuehl"/>
          <w:sz w:val="28"/>
          <w:szCs w:val="28"/>
          <w:rtl/>
        </w:rPr>
        <w:t xml:space="preserve">גבול התחתון של המתחם. המאשימה סבורה כי המתחם נע בין 12-6 חודשים לצד ענישה נלווית בעוד ההגנה סבורה כי הגבול התחתון של המתחם צריך להתחיל במאסר מותנה. לצד זאת, הצדדים מסכימים כי יש למקם את עונשו של הנאשם בתחתית המתחם שייקבע. אקדים </w:t>
      </w:r>
      <w:r>
        <w:rPr>
          <w:rFonts w:ascii="FrankRuehl" w:hAnsi="FrankRuehl" w:cs="FrankRuehl" w:hint="cs"/>
          <w:sz w:val="28"/>
          <w:szCs w:val="28"/>
          <w:rtl/>
        </w:rPr>
        <w:t xml:space="preserve">תוצאה להנמקה </w:t>
      </w:r>
      <w:r>
        <w:rPr>
          <w:rFonts w:ascii="FrankRuehl" w:hAnsi="FrankRuehl" w:cs="FrankRuehl"/>
          <w:sz w:val="28"/>
          <w:szCs w:val="28"/>
          <w:rtl/>
        </w:rPr>
        <w:t>ואומר כי, במחלוקת שנתגלעה בין הצדדים, מצאתי להעדיף את עמדת בא כוח הנאשם. אנמק</w:t>
      </w:r>
      <w:r>
        <w:rPr>
          <w:rFonts w:ascii="FrankRuehl" w:hAnsi="FrankRuehl" w:cs="FrankRuehl" w:hint="cs"/>
          <w:sz w:val="28"/>
          <w:szCs w:val="28"/>
          <w:rtl/>
        </w:rPr>
        <w:t xml:space="preserve">. </w:t>
      </w:r>
      <w:r>
        <w:rPr>
          <w:rFonts w:ascii="FrankRuehl" w:hAnsi="FrankRuehl" w:cs="FrankRuehl"/>
          <w:sz w:val="28"/>
          <w:szCs w:val="28"/>
          <w:rtl/>
        </w:rPr>
        <w:t xml:space="preserve"> </w:t>
      </w:r>
    </w:p>
    <w:p w14:paraId="5B118BA8" w14:textId="77777777" w:rsidR="00AB5C31" w:rsidRPr="0086797B" w:rsidRDefault="00AB5C31" w:rsidP="00AB5C31">
      <w:pPr>
        <w:pStyle w:val="aa"/>
        <w:spacing w:before="100" w:beforeAutospacing="1" w:after="120"/>
        <w:ind w:left="84"/>
        <w:jc w:val="both"/>
        <w:rPr>
          <w:rFonts w:ascii="FrankRuehl" w:hAnsi="FrankRuehl" w:cs="FrankRuehl"/>
          <w:sz w:val="28"/>
          <w:szCs w:val="28"/>
        </w:rPr>
      </w:pPr>
    </w:p>
    <w:p w14:paraId="4B278AE4"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tl/>
        </w:rPr>
      </w:pPr>
      <w:r>
        <w:rPr>
          <w:rFonts w:ascii="FrankRuehl" w:hAnsi="FrankRuehl" w:cs="FrankRuehl" w:hint="cs"/>
          <w:sz w:val="28"/>
          <w:szCs w:val="28"/>
          <w:rtl/>
        </w:rPr>
        <w:t xml:space="preserve">כידוע, </w:t>
      </w:r>
      <w:r>
        <w:rPr>
          <w:rFonts w:ascii="FrankRuehl" w:hAnsi="FrankRuehl" w:cs="FrankRuehl"/>
          <w:sz w:val="28"/>
          <w:szCs w:val="28"/>
          <w:rtl/>
        </w:rPr>
        <w:t xml:space="preserve">מתחם העונש ההולם ייקבע בהתאם לעקרון ההלימה תוך מתן משקל לערכים החברתיים שנקבעו כתוצאה מביצוע העבירות, למידת הפגיעה בהם ולמדיניות הענישה הנהוגה והכל בנסיבות הקשורות בביצוע העבירה.  </w:t>
      </w:r>
    </w:p>
    <w:p w14:paraId="47082505" w14:textId="77777777" w:rsidR="00AB5C31" w:rsidRDefault="00AB5C31" w:rsidP="00AB5C31">
      <w:pPr>
        <w:pStyle w:val="aa"/>
        <w:spacing w:before="100" w:beforeAutospacing="1" w:after="120"/>
        <w:ind w:left="84"/>
        <w:jc w:val="both"/>
        <w:rPr>
          <w:rFonts w:ascii="FrankRuehl" w:hAnsi="FrankRuehl" w:cs="FrankRuehl"/>
          <w:sz w:val="28"/>
          <w:szCs w:val="28"/>
        </w:rPr>
      </w:pPr>
    </w:p>
    <w:p w14:paraId="1E8102A4"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הנאשם במעשיו פגע בערכים החברתיים המוגנים ובהם הגנה על בריאותו ושלומו הפיזי של הציבור מפני הנזקים הנגרמים כתוצאה משימוש בסמים, השפעתם הממכרת וההרסנית וכן מפני נזקים עקיפים הנגרמים כתוצאה מהעבריינות הנלווית לשימוש סמים, ובכלל זה ההגנה על הביטחון האישי ורכוש הציבור.</w:t>
      </w:r>
    </w:p>
    <w:p w14:paraId="564F0E8A" w14:textId="77777777" w:rsidR="00AB5C31" w:rsidRPr="00C815D9" w:rsidRDefault="00AB5C31" w:rsidP="00AB5C31">
      <w:pPr>
        <w:pStyle w:val="aa"/>
        <w:spacing w:before="100" w:beforeAutospacing="1" w:after="120"/>
        <w:ind w:left="84"/>
        <w:jc w:val="both"/>
        <w:rPr>
          <w:rFonts w:ascii="FrankRuehl" w:hAnsi="FrankRuehl" w:cs="FrankRuehl"/>
          <w:sz w:val="28"/>
          <w:szCs w:val="28"/>
        </w:rPr>
      </w:pPr>
    </w:p>
    <w:p w14:paraId="31EDB07B"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 xml:space="preserve">עוצמת הפגיעה בערכים המוגנים היא נגזרת של סוג הסם, הכמות ויתר נסיבות ההחזקה. ומבלי להקל ראש, לא מדובר בעבירה הנמצאת על הצד הגבוה של מנעד החומרה. הנאשם החזיק בסם מסוכן מסוג קנאביס בשני מקומות שונים. גם מבלי להרחיב הדיבור בנוגע למחלוקת שנפלה בין הפוסקים בבית המשפט העליון, הרי יש להבחין בין סם מסוכן מסוג הרואין או קוקאין לבין סם מסוכן מסוג קנאביס, כאשר הראשונים נחשבים לסמים קשים במיוחד לנוכח ההשפעות על גוף האדם וכן לנוכח פוטנציאל ההתמכרות. </w:t>
      </w:r>
    </w:p>
    <w:p w14:paraId="06982B30" w14:textId="77777777" w:rsidR="00AB5C31" w:rsidRPr="00E8344C" w:rsidRDefault="00AB5C31" w:rsidP="00AB5C31">
      <w:pPr>
        <w:pStyle w:val="aa"/>
        <w:rPr>
          <w:rFonts w:ascii="FrankRuehl" w:hAnsi="FrankRuehl" w:cs="FrankRuehl"/>
          <w:sz w:val="28"/>
          <w:szCs w:val="28"/>
          <w:rtl/>
        </w:rPr>
      </w:pPr>
    </w:p>
    <w:p w14:paraId="16BD9560"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באותו עניין, ראוי להזכיר כי בהתאם למדיניות הענישה הנהוגה בעבירות של שימוש בסם מסוכן מסוג קנאב</w:t>
      </w:r>
      <w:r>
        <w:rPr>
          <w:rFonts w:ascii="FrankRuehl" w:hAnsi="FrankRuehl" w:cs="FrankRuehl" w:hint="cs"/>
          <w:sz w:val="28"/>
          <w:szCs w:val="28"/>
          <w:rtl/>
        </w:rPr>
        <w:t>י</w:t>
      </w:r>
      <w:r>
        <w:rPr>
          <w:rFonts w:ascii="FrankRuehl" w:hAnsi="FrankRuehl" w:cs="FrankRuehl"/>
          <w:sz w:val="28"/>
          <w:szCs w:val="28"/>
          <w:rtl/>
        </w:rPr>
        <w:t>ס, בעבר היו מוטלים עונשי מאסר צופי פני עתיד, אך כיום עבירה זו הוגדרה כמנהלית ובגינה נקבעו קנסות מדורגים. דומה כי בכך גילה המחוקק דעתו באשר לרף החומרה והסיכון הנשקף כתוצאה משימוש בסם זה.</w:t>
      </w:r>
      <w:r>
        <w:rPr>
          <w:rFonts w:ascii="FrankRuehl" w:hAnsi="FrankRuehl" w:cs="FrankRuehl" w:hint="cs"/>
          <w:sz w:val="28"/>
          <w:szCs w:val="28"/>
          <w:rtl/>
        </w:rPr>
        <w:t xml:space="preserve"> קביעה זו של המחוקק יש בה כדי להשפיע גם על תיקים עומדים ותלויים, ועל אף שטרם גובשו הנחיות מפורטות בעניין זה, נמסר לבית המשפט לא אחת כי התביעה עומלת על הכנתן. </w:t>
      </w:r>
    </w:p>
    <w:p w14:paraId="02183B8D" w14:textId="77777777" w:rsidR="00AB5C31" w:rsidRDefault="00AB5C31" w:rsidP="00AB5C31">
      <w:pPr>
        <w:pStyle w:val="aa"/>
        <w:spacing w:before="100" w:beforeAutospacing="1" w:after="120"/>
        <w:ind w:left="84"/>
        <w:jc w:val="both"/>
        <w:rPr>
          <w:rFonts w:cs="FrankRuehl"/>
          <w:szCs w:val="28"/>
        </w:rPr>
      </w:pPr>
    </w:p>
    <w:p w14:paraId="76B1421F" w14:textId="77777777" w:rsidR="00AB5C31" w:rsidRDefault="00AB5C31" w:rsidP="00AB5C31">
      <w:pPr>
        <w:pStyle w:val="aa"/>
        <w:numPr>
          <w:ilvl w:val="0"/>
          <w:numId w:val="1"/>
        </w:numPr>
        <w:spacing w:before="100" w:beforeAutospacing="1" w:after="120" w:line="360" w:lineRule="auto"/>
        <w:ind w:left="84" w:firstLine="0"/>
        <w:jc w:val="both"/>
        <w:rPr>
          <w:rFonts w:cs="FrankRuehl"/>
          <w:szCs w:val="28"/>
        </w:rPr>
      </w:pPr>
      <w:r>
        <w:rPr>
          <w:rFonts w:cs="FrankRuehl" w:hint="cs"/>
          <w:szCs w:val="28"/>
          <w:rtl/>
        </w:rPr>
        <w:t xml:space="preserve">נכון הדבר, </w:t>
      </w:r>
      <w:r>
        <w:rPr>
          <w:rFonts w:cs="FrankRuehl"/>
          <w:szCs w:val="28"/>
          <w:rtl/>
        </w:rPr>
        <w:t>מדיניות האכיפה והענישה המקלה אשר ננקטת בשנים אחרונות כלפי המשתמשים בסמים מסוג ק</w:t>
      </w:r>
      <w:r>
        <w:rPr>
          <w:rFonts w:cs="FrankRuehl" w:hint="cs"/>
          <w:szCs w:val="28"/>
          <w:rtl/>
        </w:rPr>
        <w:t>א</w:t>
      </w:r>
      <w:r>
        <w:rPr>
          <w:rFonts w:cs="FrankRuehl"/>
          <w:szCs w:val="28"/>
          <w:rtl/>
        </w:rPr>
        <w:t>נב</w:t>
      </w:r>
      <w:r>
        <w:rPr>
          <w:rFonts w:cs="FrankRuehl" w:hint="cs"/>
          <w:szCs w:val="28"/>
          <w:rtl/>
        </w:rPr>
        <w:t>י</w:t>
      </w:r>
      <w:r>
        <w:rPr>
          <w:rFonts w:cs="FrankRuehl"/>
          <w:szCs w:val="28"/>
          <w:rtl/>
        </w:rPr>
        <w:t xml:space="preserve">ס, אינה חלה על מי שמגדל לשם הפצה או סוחר בסמים מסוג זה. ומדיניות הענישה הנוהגת כלפי העוסקים בשלבי הייצור או ההספקה של הסמים, נותרה ועודנה ממשית ומרתיעה. ראו: </w:t>
      </w:r>
      <w:hyperlink r:id="rId17" w:history="1">
        <w:r w:rsidR="009804F2" w:rsidRPr="009804F2">
          <w:rPr>
            <w:rFonts w:cs="FrankRuehl"/>
            <w:color w:val="0000FF"/>
            <w:szCs w:val="28"/>
            <w:u w:val="single"/>
            <w:rtl/>
          </w:rPr>
          <w:t>ע"פ 2596/18</w:t>
        </w:r>
      </w:hyperlink>
      <w:r>
        <w:rPr>
          <w:rFonts w:cs="FrankRuehl" w:hint="cs"/>
          <w:szCs w:val="28"/>
          <w:rtl/>
        </w:rPr>
        <w:t xml:space="preserve"> </w:t>
      </w:r>
      <w:r>
        <w:rPr>
          <w:rFonts w:cs="Miriam"/>
          <w:sz w:val="22"/>
          <w:rtl/>
        </w:rPr>
        <w:t>זנזורי</w:t>
      </w:r>
      <w:r>
        <w:rPr>
          <w:rFonts w:cs="FrankRuehl"/>
          <w:szCs w:val="28"/>
          <w:rtl/>
        </w:rPr>
        <w:t xml:space="preserve"> </w:t>
      </w:r>
      <w:r>
        <w:rPr>
          <w:rFonts w:cs="Miriam"/>
          <w:sz w:val="22"/>
          <w:rtl/>
        </w:rPr>
        <w:t>נ' מדינת ישראל</w:t>
      </w:r>
      <w:r>
        <w:rPr>
          <w:rFonts w:cs="FrankRuehl"/>
          <w:szCs w:val="28"/>
          <w:rtl/>
        </w:rPr>
        <w:t xml:space="preserve"> (12.8.2018); </w:t>
      </w:r>
      <w:hyperlink r:id="rId18" w:history="1">
        <w:r w:rsidR="009804F2" w:rsidRPr="009804F2">
          <w:rPr>
            <w:rFonts w:cs="FrankRuehl"/>
            <w:color w:val="0000FF"/>
            <w:szCs w:val="28"/>
            <w:u w:val="single"/>
            <w:rtl/>
          </w:rPr>
          <w:t>ע"פ 5807/17</w:t>
        </w:r>
      </w:hyperlink>
      <w:r>
        <w:rPr>
          <w:rFonts w:cs="FrankRuehl" w:hint="cs"/>
          <w:szCs w:val="28"/>
          <w:rtl/>
        </w:rPr>
        <w:t xml:space="preserve"> </w:t>
      </w:r>
      <w:r>
        <w:rPr>
          <w:rFonts w:cs="Miriam"/>
          <w:sz w:val="22"/>
          <w:rtl/>
        </w:rPr>
        <w:t>דרחי נ' מדינת ישראל</w:t>
      </w:r>
      <w:r>
        <w:rPr>
          <w:rFonts w:cs="FrankRuehl"/>
          <w:szCs w:val="28"/>
          <w:rtl/>
        </w:rPr>
        <w:t xml:space="preserve"> (18.6.2018); </w:t>
      </w:r>
      <w:hyperlink r:id="rId19" w:history="1">
        <w:r w:rsidR="009804F2" w:rsidRPr="009804F2">
          <w:rPr>
            <w:rFonts w:cs="FrankRuehl"/>
            <w:color w:val="0000FF"/>
            <w:szCs w:val="28"/>
            <w:u w:val="single"/>
            <w:rtl/>
          </w:rPr>
          <w:t>רע"פ 174/21</w:t>
        </w:r>
      </w:hyperlink>
      <w:r>
        <w:rPr>
          <w:rFonts w:cs="FrankRuehl" w:hint="cs"/>
          <w:szCs w:val="28"/>
          <w:rtl/>
        </w:rPr>
        <w:t xml:space="preserve"> </w:t>
      </w:r>
      <w:r>
        <w:rPr>
          <w:rFonts w:cs="Miriam"/>
          <w:sz w:val="22"/>
          <w:rtl/>
        </w:rPr>
        <w:t>סויסה נ' מדינת ישראל</w:t>
      </w:r>
      <w:r>
        <w:rPr>
          <w:rFonts w:cs="FrankRuehl"/>
          <w:szCs w:val="28"/>
          <w:rtl/>
        </w:rPr>
        <w:t xml:space="preserve"> (25.2.2021) וכ</w:t>
      </w:r>
      <w:r>
        <w:rPr>
          <w:rFonts w:cs="FrankRuehl" w:hint="cs"/>
          <w:szCs w:val="28"/>
          <w:rtl/>
        </w:rPr>
        <w:t xml:space="preserve">ן </w:t>
      </w:r>
      <w:hyperlink r:id="rId20" w:history="1">
        <w:r w:rsidR="009804F2" w:rsidRPr="009804F2">
          <w:rPr>
            <w:rFonts w:cs="FrankRuehl"/>
            <w:color w:val="0000FF"/>
            <w:szCs w:val="28"/>
            <w:u w:val="single"/>
            <w:rtl/>
          </w:rPr>
          <w:t>ע"פ 6299/20</w:t>
        </w:r>
      </w:hyperlink>
      <w:r>
        <w:rPr>
          <w:rFonts w:cs="FrankRuehl" w:hint="cs"/>
          <w:szCs w:val="28"/>
          <w:rtl/>
        </w:rPr>
        <w:t xml:space="preserve"> </w:t>
      </w:r>
      <w:r>
        <w:rPr>
          <w:rFonts w:cs="Miriam"/>
          <w:sz w:val="22"/>
          <w:rtl/>
        </w:rPr>
        <w:t>חן נ' מדינת ישראל</w:t>
      </w:r>
      <w:r>
        <w:rPr>
          <w:rFonts w:cs="FrankRuehl"/>
          <w:szCs w:val="28"/>
          <w:rtl/>
        </w:rPr>
        <w:t xml:space="preserve"> (4.2.2021). </w:t>
      </w:r>
      <w:r>
        <w:rPr>
          <w:rFonts w:cs="FrankRuehl" w:hint="cs"/>
          <w:szCs w:val="28"/>
          <w:rtl/>
        </w:rPr>
        <w:t xml:space="preserve">אך </w:t>
      </w:r>
      <w:r>
        <w:rPr>
          <w:rFonts w:cs="FrankRuehl"/>
          <w:szCs w:val="28"/>
          <w:rtl/>
        </w:rPr>
        <w:t>גם כאן מתחייבת הב</w:t>
      </w:r>
      <w:r>
        <w:rPr>
          <w:rFonts w:cs="FrankRuehl" w:hint="cs"/>
          <w:szCs w:val="28"/>
          <w:rtl/>
        </w:rPr>
        <w:t>ח</w:t>
      </w:r>
      <w:r>
        <w:rPr>
          <w:rFonts w:cs="FrankRuehl"/>
          <w:szCs w:val="28"/>
          <w:rtl/>
        </w:rPr>
        <w:t>נה בין רמות החומרה בין סוגי העבירות השונות</w:t>
      </w:r>
      <w:r>
        <w:rPr>
          <w:rFonts w:cs="FrankRuehl" w:hint="cs"/>
          <w:szCs w:val="28"/>
          <w:rtl/>
        </w:rPr>
        <w:t xml:space="preserve"> ובנסיבות ביצוען</w:t>
      </w:r>
      <w:r>
        <w:rPr>
          <w:rFonts w:cs="FrankRuehl"/>
          <w:szCs w:val="28"/>
          <w:rtl/>
        </w:rPr>
        <w:t>. לא דין מחזיק בסם מסוכן שלא לצריכה עצמית כדינו של מספק או סוחר בסמים ולא כדינו של מגדל הסמים.</w:t>
      </w:r>
    </w:p>
    <w:p w14:paraId="09429E6C" w14:textId="77777777" w:rsidR="00AB5C31" w:rsidRPr="00230DA6" w:rsidRDefault="00AB5C31" w:rsidP="00AB5C31">
      <w:pPr>
        <w:pStyle w:val="aa"/>
        <w:rPr>
          <w:rFonts w:cs="FrankRuehl"/>
          <w:szCs w:val="28"/>
          <w:rtl/>
        </w:rPr>
      </w:pPr>
    </w:p>
    <w:p w14:paraId="5BC442B7" w14:textId="77777777" w:rsidR="00AB5C31" w:rsidRPr="00230DA6"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cs="FrankRuehl" w:hint="cs"/>
          <w:szCs w:val="28"/>
          <w:rtl/>
        </w:rPr>
        <w:t xml:space="preserve">באשר לאופן החזקת הסמים. </w:t>
      </w:r>
      <w:r>
        <w:rPr>
          <w:rFonts w:ascii="FrankRuehl" w:hAnsi="FrankRuehl" w:cs="FrankRuehl"/>
          <w:sz w:val="28"/>
          <w:szCs w:val="28"/>
          <w:rtl/>
        </w:rPr>
        <w:t>הנאשם החזיק את הסם ב</w:t>
      </w:r>
      <w:r>
        <w:rPr>
          <w:rFonts w:ascii="FrankRuehl" w:hAnsi="FrankRuehl" w:cs="FrankRuehl" w:hint="cs"/>
          <w:sz w:val="28"/>
          <w:szCs w:val="28"/>
          <w:rtl/>
        </w:rPr>
        <w:t xml:space="preserve">אופן בלעדי, ולא עם אחרים כחלק מתוכנית עבריינית. הסמים הוחזקו </w:t>
      </w:r>
      <w:r>
        <w:rPr>
          <w:rFonts w:ascii="FrankRuehl" w:hAnsi="FrankRuehl" w:cs="FrankRuehl"/>
          <w:sz w:val="28"/>
          <w:szCs w:val="28"/>
          <w:rtl/>
        </w:rPr>
        <w:t xml:space="preserve">בשני מקומות שונים הנמצאים בחזקתו הישירה, באופנוע שבשימושו ובביתו, במקום גלוי ונראה לעין. </w:t>
      </w:r>
      <w:r w:rsidRPr="00230DA6">
        <w:rPr>
          <w:rFonts w:ascii="FrankRuehl" w:hAnsi="FrankRuehl" w:cs="FrankRuehl"/>
          <w:sz w:val="28"/>
          <w:szCs w:val="28"/>
          <w:rtl/>
        </w:rPr>
        <w:t xml:space="preserve">כמות הסמים </w:t>
      </w:r>
      <w:r>
        <w:rPr>
          <w:rFonts w:ascii="FrankRuehl" w:hAnsi="FrankRuehl" w:cs="FrankRuehl" w:hint="cs"/>
          <w:sz w:val="28"/>
          <w:szCs w:val="28"/>
          <w:rtl/>
        </w:rPr>
        <w:t xml:space="preserve">אמנם אינה מבוטלת אך היא </w:t>
      </w:r>
      <w:r w:rsidRPr="00230DA6">
        <w:rPr>
          <w:rFonts w:ascii="FrankRuehl" w:hAnsi="FrankRuehl" w:cs="FrankRuehl"/>
          <w:sz w:val="28"/>
          <w:szCs w:val="28"/>
          <w:rtl/>
        </w:rPr>
        <w:t>אינה מהגדולות שידענו</w:t>
      </w:r>
      <w:r>
        <w:rPr>
          <w:rFonts w:ascii="FrankRuehl" w:hAnsi="FrankRuehl" w:cs="FrankRuehl" w:hint="cs"/>
          <w:sz w:val="28"/>
          <w:szCs w:val="28"/>
          <w:rtl/>
        </w:rPr>
        <w:t xml:space="preserve"> במחוזותינו. </w:t>
      </w:r>
      <w:r w:rsidRPr="00230DA6">
        <w:rPr>
          <w:rFonts w:ascii="FrankRuehl" w:hAnsi="FrankRuehl" w:cs="FrankRuehl"/>
          <w:sz w:val="28"/>
          <w:szCs w:val="28"/>
          <w:rtl/>
        </w:rPr>
        <w:t>עוד יש לתת את הדעת לכך שהסם לא חולק למנות, לא נתפסו שקיות חלוקה או כסף מזומן, אך נתפסו משקלים דיגיטליים</w:t>
      </w:r>
      <w:r>
        <w:rPr>
          <w:rFonts w:ascii="FrankRuehl" w:hAnsi="FrankRuehl" w:cs="FrankRuehl" w:hint="cs"/>
          <w:sz w:val="28"/>
          <w:szCs w:val="28"/>
          <w:rtl/>
        </w:rPr>
        <w:t xml:space="preserve">, וגם לא יוחסה לנאשם עבירה נוספת כגון הספקה או סחר בסמים, כפי שקורה לא אחת בתיקים מסוג זה. </w:t>
      </w:r>
      <w:r w:rsidRPr="00230DA6">
        <w:rPr>
          <w:rFonts w:ascii="FrankRuehl" w:hAnsi="FrankRuehl" w:cs="FrankRuehl"/>
          <w:sz w:val="28"/>
          <w:szCs w:val="28"/>
          <w:rtl/>
        </w:rPr>
        <w:t xml:space="preserve">יש באלו למתן במעט את הנסיבות. </w:t>
      </w:r>
    </w:p>
    <w:p w14:paraId="13404A23" w14:textId="77777777" w:rsidR="00AB5C31" w:rsidRPr="00230DA6" w:rsidRDefault="00AB5C31" w:rsidP="00AB5C31">
      <w:pPr>
        <w:pStyle w:val="aa"/>
        <w:spacing w:before="100" w:beforeAutospacing="1" w:after="120"/>
        <w:ind w:left="84"/>
        <w:jc w:val="both"/>
      </w:pPr>
    </w:p>
    <w:p w14:paraId="2468EA85" w14:textId="77777777" w:rsidR="00AB5C31" w:rsidRDefault="00AB5C31" w:rsidP="00AB5C31">
      <w:pPr>
        <w:pStyle w:val="aa"/>
        <w:numPr>
          <w:ilvl w:val="0"/>
          <w:numId w:val="1"/>
        </w:numPr>
        <w:spacing w:before="100" w:beforeAutospacing="1" w:after="120" w:line="360" w:lineRule="auto"/>
        <w:ind w:left="84" w:firstLine="0"/>
        <w:jc w:val="both"/>
      </w:pPr>
      <w:r>
        <w:rPr>
          <w:rFonts w:cs="FrankRuehl" w:hint="cs"/>
          <w:sz w:val="28"/>
          <w:szCs w:val="28"/>
          <w:rtl/>
        </w:rPr>
        <w:t>ולאחר שדנו ב</w:t>
      </w:r>
      <w:r>
        <w:rPr>
          <w:rFonts w:cs="FrankRuehl"/>
          <w:sz w:val="28"/>
          <w:szCs w:val="28"/>
          <w:rtl/>
        </w:rPr>
        <w:t>מקרה הקונקרטי, תוצג פסיקה שיש בה ללמד על מדיניות הענישה הנהוגה וזאת ככלי עזר ושיקול בקביעת מתחם העונש הראוי</w:t>
      </w:r>
      <w:r>
        <w:rPr>
          <w:rFonts w:cs="FrankRuehl" w:hint="cs"/>
          <w:sz w:val="28"/>
          <w:szCs w:val="28"/>
          <w:rtl/>
        </w:rPr>
        <w:t xml:space="preserve">. עיון בפסיקה </w:t>
      </w:r>
      <w:r>
        <w:rPr>
          <w:rFonts w:ascii="FrankRuehl" w:hAnsi="FrankRuehl" w:cs="FrankRuehl" w:hint="cs"/>
          <w:sz w:val="28"/>
          <w:szCs w:val="28"/>
          <w:rtl/>
        </w:rPr>
        <w:t>מלמד כי ב</w:t>
      </w:r>
      <w:r>
        <w:rPr>
          <w:rFonts w:ascii="FrankRuehl" w:hAnsi="FrankRuehl" w:cs="FrankRuehl"/>
          <w:sz w:val="28"/>
          <w:szCs w:val="28"/>
          <w:rtl/>
        </w:rPr>
        <w:t>עבירות של החזקת סמים מסוג קנאב</w:t>
      </w:r>
      <w:r>
        <w:rPr>
          <w:rFonts w:ascii="FrankRuehl" w:hAnsi="FrankRuehl" w:cs="FrankRuehl" w:hint="cs"/>
          <w:sz w:val="28"/>
          <w:szCs w:val="28"/>
          <w:rtl/>
        </w:rPr>
        <w:t>י</w:t>
      </w:r>
      <w:r>
        <w:rPr>
          <w:rFonts w:ascii="FrankRuehl" w:hAnsi="FrankRuehl" w:cs="FrankRuehl"/>
          <w:sz w:val="28"/>
          <w:szCs w:val="28"/>
          <w:rtl/>
        </w:rPr>
        <w:t>ס במשקל של עשרות גרמים עד מאות בודדות שלא לצריכה עצמית, מתחם העונש ההולם נע בין מאסר מותנה ועד מאסר לתקופה של 8-12 חודשים לצד רכיבי ענישה נוספים. בהקשר זה אפנה לפסקי הדין הבאים</w:t>
      </w:r>
      <w:r>
        <w:rPr>
          <w:rFonts w:ascii="FrankRuehl" w:hAnsi="FrankRuehl" w:cs="FrankRuehl" w:hint="cs"/>
          <w:sz w:val="28"/>
          <w:szCs w:val="28"/>
          <w:rtl/>
        </w:rPr>
        <w:t>, חלקם הוצגו על ידי ההגנה</w:t>
      </w:r>
      <w:r>
        <w:rPr>
          <w:rFonts w:ascii="FrankRuehl" w:hAnsi="FrankRuehl" w:cs="FrankRuehl"/>
          <w:sz w:val="28"/>
          <w:szCs w:val="28"/>
          <w:rtl/>
        </w:rPr>
        <w:t xml:space="preserve">: </w:t>
      </w:r>
      <w:hyperlink r:id="rId21" w:history="1">
        <w:r w:rsidR="009804F2" w:rsidRPr="009804F2">
          <w:rPr>
            <w:rFonts w:ascii="FrankRuehl" w:hAnsi="FrankRuehl" w:cs="FrankRuehl"/>
            <w:color w:val="0000FF"/>
            <w:sz w:val="28"/>
            <w:szCs w:val="28"/>
            <w:u w:val="single"/>
            <w:rtl/>
          </w:rPr>
          <w:t>רע"פ 2590/10</w:t>
        </w:r>
      </w:hyperlink>
      <w:r>
        <w:rPr>
          <w:rFonts w:ascii="FrankRuehl" w:hAnsi="FrankRuehl" w:cs="FrankRuehl"/>
          <w:sz w:val="28"/>
          <w:szCs w:val="28"/>
          <w:rtl/>
        </w:rPr>
        <w:t xml:space="preserve"> </w:t>
      </w:r>
      <w:r>
        <w:rPr>
          <w:rFonts w:ascii="Miriam" w:hAnsi="Miriam" w:cs="Miriam"/>
          <w:rtl/>
        </w:rPr>
        <w:t>שגיא נ' מדינת ישראל</w:t>
      </w:r>
      <w:r>
        <w:rPr>
          <w:rFonts w:ascii="FrankRuehl" w:hAnsi="FrankRuehl" w:cs="FrankRuehl"/>
          <w:rtl/>
        </w:rPr>
        <w:t xml:space="preserve"> </w:t>
      </w:r>
      <w:r>
        <w:rPr>
          <w:rFonts w:ascii="FrankRuehl" w:hAnsi="FrankRuehl" w:cs="FrankRuehl"/>
          <w:sz w:val="28"/>
          <w:szCs w:val="28"/>
          <w:rtl/>
        </w:rPr>
        <w:t xml:space="preserve">(8.4.2010); עפ"ג (ת"א) </w:t>
      </w:r>
      <w:hyperlink r:id="rId22" w:history="1">
        <w:r w:rsidR="00140C32" w:rsidRPr="00140C32">
          <w:rPr>
            <w:rFonts w:ascii="FrankRuehl" w:hAnsi="FrankRuehl" w:cs="FrankRuehl"/>
            <w:color w:val="0000FF"/>
            <w:sz w:val="28"/>
            <w:szCs w:val="28"/>
            <w:u w:val="single"/>
            <w:rtl/>
          </w:rPr>
          <w:t xml:space="preserve">20903-09-19 </w:t>
        </w:r>
      </w:hyperlink>
      <w:r>
        <w:rPr>
          <w:rFonts w:ascii="FrankRuehl" w:hAnsi="FrankRuehl" w:cs="FrankRuehl"/>
          <w:sz w:val="28"/>
          <w:szCs w:val="28"/>
          <w:rtl/>
        </w:rPr>
        <w:t xml:space="preserve"> </w:t>
      </w:r>
      <w:r>
        <w:rPr>
          <w:rFonts w:ascii="Miriam" w:hAnsi="Miriam" w:cs="Miriam"/>
          <w:rtl/>
        </w:rPr>
        <w:t>ברבי נ' מדינת ישראל</w:t>
      </w:r>
      <w:r>
        <w:rPr>
          <w:rFonts w:ascii="FrankRuehl" w:hAnsi="FrankRuehl" w:cs="FrankRuehl"/>
          <w:rtl/>
        </w:rPr>
        <w:t xml:space="preserve"> </w:t>
      </w:r>
      <w:r>
        <w:rPr>
          <w:rFonts w:ascii="FrankRuehl" w:hAnsi="FrankRuehl" w:cs="FrankRuehl"/>
          <w:sz w:val="28"/>
          <w:szCs w:val="28"/>
          <w:rtl/>
        </w:rPr>
        <w:t xml:space="preserve">(11.12.2019); ע"פ (מרכז) </w:t>
      </w:r>
      <w:hyperlink r:id="rId23" w:history="1">
        <w:r w:rsidR="00140C32" w:rsidRPr="00140C32">
          <w:rPr>
            <w:rFonts w:ascii="FrankRuehl" w:hAnsi="FrankRuehl" w:cs="FrankRuehl"/>
            <w:color w:val="0000FF"/>
            <w:sz w:val="28"/>
            <w:szCs w:val="28"/>
            <w:u w:val="single"/>
            <w:rtl/>
          </w:rPr>
          <w:t xml:space="preserve">44117-05-16 </w:t>
        </w:r>
      </w:hyperlink>
      <w:r>
        <w:rPr>
          <w:rFonts w:ascii="FrankRuehl" w:hAnsi="FrankRuehl" w:cs="FrankRuehl"/>
          <w:sz w:val="28"/>
          <w:szCs w:val="28"/>
          <w:rtl/>
        </w:rPr>
        <w:t xml:space="preserve"> </w:t>
      </w:r>
      <w:r>
        <w:rPr>
          <w:rFonts w:ascii="Miriam" w:hAnsi="Miriam" w:cs="Miriam"/>
          <w:rtl/>
        </w:rPr>
        <w:t>מדהלה נ' מדינת ישראל</w:t>
      </w:r>
      <w:r>
        <w:rPr>
          <w:rFonts w:ascii="FrankRuehl" w:hAnsi="FrankRuehl" w:cs="FrankRuehl"/>
          <w:sz w:val="28"/>
          <w:szCs w:val="28"/>
          <w:rtl/>
        </w:rPr>
        <w:t xml:space="preserve"> (11.12.2016); </w:t>
      </w:r>
      <w:hyperlink r:id="rId24" w:history="1">
        <w:r w:rsidR="009804F2" w:rsidRPr="009804F2">
          <w:rPr>
            <w:rFonts w:ascii="FrankRuehl" w:hAnsi="FrankRuehl" w:cs="FrankRuehl"/>
            <w:color w:val="0000FF"/>
            <w:sz w:val="28"/>
            <w:szCs w:val="28"/>
            <w:u w:val="single"/>
            <w:rtl/>
          </w:rPr>
          <w:t>ת.פ 42107-06-20</w:t>
        </w:r>
      </w:hyperlink>
      <w:r>
        <w:rPr>
          <w:rFonts w:ascii="FrankRuehl" w:hAnsi="FrankRuehl" w:cs="FrankRuehl"/>
          <w:sz w:val="28"/>
          <w:szCs w:val="28"/>
          <w:rtl/>
        </w:rPr>
        <w:t xml:space="preserve"> </w:t>
      </w:r>
      <w:r>
        <w:rPr>
          <w:rFonts w:ascii="Miriam" w:hAnsi="Miriam" w:cs="Miriam"/>
          <w:rtl/>
        </w:rPr>
        <w:t>מדינת ישראל נ' מגבורה</w:t>
      </w:r>
      <w:r>
        <w:rPr>
          <w:rFonts w:ascii="FrankRuehl" w:hAnsi="FrankRuehl" w:cs="FrankRuehl"/>
          <w:sz w:val="28"/>
          <w:szCs w:val="28"/>
          <w:rtl/>
        </w:rPr>
        <w:t xml:space="preserve"> (9.5.2022); </w:t>
      </w:r>
      <w:hyperlink r:id="rId25" w:history="1">
        <w:r w:rsidR="009804F2" w:rsidRPr="009804F2">
          <w:rPr>
            <w:rFonts w:ascii="FrankRuehl" w:hAnsi="FrankRuehl" w:cs="FrankRuehl"/>
            <w:color w:val="0000FF"/>
            <w:sz w:val="28"/>
            <w:szCs w:val="28"/>
            <w:u w:val="single"/>
            <w:rtl/>
          </w:rPr>
          <w:t>ת.פ 33265-09-20</w:t>
        </w:r>
      </w:hyperlink>
      <w:r>
        <w:rPr>
          <w:rFonts w:ascii="FrankRuehl" w:hAnsi="FrankRuehl" w:cs="FrankRuehl"/>
          <w:sz w:val="28"/>
          <w:szCs w:val="28"/>
          <w:rtl/>
        </w:rPr>
        <w:t xml:space="preserve"> </w:t>
      </w:r>
      <w:r>
        <w:rPr>
          <w:rFonts w:ascii="Miriam" w:hAnsi="Miriam" w:cs="Miriam"/>
          <w:rtl/>
        </w:rPr>
        <w:t>מדינת ישראל נ' שמואלי</w:t>
      </w:r>
      <w:r>
        <w:rPr>
          <w:rFonts w:ascii="FrankRuehl" w:hAnsi="FrankRuehl" w:cs="FrankRuehl"/>
          <w:sz w:val="28"/>
          <w:szCs w:val="28"/>
          <w:rtl/>
        </w:rPr>
        <w:t xml:space="preserve"> (22.12.2021); </w:t>
      </w:r>
      <w:hyperlink r:id="rId26" w:history="1">
        <w:r w:rsidR="009804F2" w:rsidRPr="009804F2">
          <w:rPr>
            <w:rFonts w:ascii="FrankRuehl" w:hAnsi="FrankRuehl" w:cs="FrankRuehl"/>
            <w:color w:val="0000FF"/>
            <w:sz w:val="28"/>
            <w:szCs w:val="28"/>
            <w:u w:val="single"/>
            <w:rtl/>
          </w:rPr>
          <w:t>ת.פ (ת"א) 13643-06-20</w:t>
        </w:r>
      </w:hyperlink>
      <w:r>
        <w:rPr>
          <w:rFonts w:ascii="FrankRuehl" w:hAnsi="FrankRuehl" w:cs="FrankRuehl"/>
          <w:sz w:val="28"/>
          <w:szCs w:val="28"/>
          <w:rtl/>
        </w:rPr>
        <w:t xml:space="preserve"> </w:t>
      </w:r>
      <w:r>
        <w:rPr>
          <w:rFonts w:ascii="Miriam" w:hAnsi="Miriam" w:cs="Miriam"/>
          <w:rtl/>
        </w:rPr>
        <w:t>מדינת ישראל נ' אסף דרעי</w:t>
      </w:r>
      <w:r>
        <w:rPr>
          <w:rFonts w:ascii="FrankRuehl" w:hAnsi="FrankRuehl" w:cs="FrankRuehl"/>
          <w:sz w:val="28"/>
          <w:szCs w:val="28"/>
          <w:rtl/>
        </w:rPr>
        <w:t xml:space="preserve"> (13.10.2021)- הוצג על ידי ההגנה;  </w:t>
      </w:r>
      <w:hyperlink r:id="rId27" w:history="1">
        <w:r w:rsidR="009804F2" w:rsidRPr="009804F2">
          <w:rPr>
            <w:rFonts w:ascii="FrankRuehl" w:hAnsi="FrankRuehl" w:cs="FrankRuehl"/>
            <w:color w:val="0000FF"/>
            <w:sz w:val="28"/>
            <w:szCs w:val="28"/>
            <w:u w:val="single"/>
            <w:rtl/>
          </w:rPr>
          <w:t>ת"פ 24763-04-21</w:t>
        </w:r>
      </w:hyperlink>
      <w:r>
        <w:rPr>
          <w:rFonts w:ascii="FrankRuehl" w:hAnsi="FrankRuehl" w:cs="FrankRuehl"/>
          <w:sz w:val="28"/>
          <w:szCs w:val="28"/>
          <w:rtl/>
        </w:rPr>
        <w:t xml:space="preserve"> </w:t>
      </w:r>
      <w:r>
        <w:rPr>
          <w:rFonts w:ascii="Miriam" w:hAnsi="Miriam" w:cs="Miriam"/>
          <w:rtl/>
        </w:rPr>
        <w:t>מדינת ישראל נ' מולה</w:t>
      </w:r>
      <w:r>
        <w:rPr>
          <w:rFonts w:ascii="FrankRuehl" w:hAnsi="FrankRuehl" w:cs="FrankRuehl"/>
          <w:rtl/>
        </w:rPr>
        <w:t xml:space="preserve"> </w:t>
      </w:r>
      <w:r>
        <w:rPr>
          <w:rFonts w:ascii="FrankRuehl" w:hAnsi="FrankRuehl" w:cs="FrankRuehl"/>
          <w:sz w:val="28"/>
          <w:szCs w:val="28"/>
          <w:rtl/>
        </w:rPr>
        <w:t xml:space="preserve">(12.12.2021)- הוצג על ידי ההגנה; </w:t>
      </w:r>
      <w:hyperlink r:id="rId28" w:history="1">
        <w:r w:rsidR="009804F2" w:rsidRPr="009804F2">
          <w:rPr>
            <w:rFonts w:ascii="FrankRuehl" w:hAnsi="FrankRuehl" w:cs="FrankRuehl"/>
            <w:color w:val="0000FF"/>
            <w:sz w:val="28"/>
            <w:szCs w:val="28"/>
            <w:u w:val="single"/>
            <w:rtl/>
          </w:rPr>
          <w:t>ת"פ 37960-03-21</w:t>
        </w:r>
      </w:hyperlink>
      <w:r>
        <w:rPr>
          <w:rFonts w:ascii="FrankRuehl" w:hAnsi="FrankRuehl" w:cs="FrankRuehl"/>
          <w:sz w:val="28"/>
          <w:szCs w:val="28"/>
          <w:rtl/>
        </w:rPr>
        <w:t xml:space="preserve"> </w:t>
      </w:r>
      <w:r>
        <w:rPr>
          <w:rFonts w:ascii="Miriam" w:hAnsi="Miriam" w:cs="Miriam"/>
          <w:rtl/>
        </w:rPr>
        <w:t>מדינת ישראל נ' כהן</w:t>
      </w:r>
      <w:r>
        <w:rPr>
          <w:rFonts w:ascii="FrankRuehl" w:hAnsi="FrankRuehl" w:cs="FrankRuehl"/>
          <w:rtl/>
        </w:rPr>
        <w:t xml:space="preserve"> </w:t>
      </w:r>
      <w:r>
        <w:rPr>
          <w:rFonts w:ascii="FrankRuehl" w:hAnsi="FrankRuehl" w:cs="FrankRuehl"/>
          <w:sz w:val="28"/>
          <w:szCs w:val="28"/>
          <w:rtl/>
        </w:rPr>
        <w:t xml:space="preserve">(13.10.2021)- הוצג על ידי ההגנה; </w:t>
      </w:r>
      <w:hyperlink r:id="rId29" w:history="1">
        <w:r w:rsidR="009804F2" w:rsidRPr="009804F2">
          <w:rPr>
            <w:rFonts w:ascii="FrankRuehl" w:hAnsi="FrankRuehl" w:cs="FrankRuehl"/>
            <w:color w:val="0000FF"/>
            <w:sz w:val="28"/>
            <w:szCs w:val="28"/>
            <w:u w:val="single"/>
            <w:rtl/>
          </w:rPr>
          <w:t>ת"פ 72369-06-20</w:t>
        </w:r>
      </w:hyperlink>
      <w:r>
        <w:rPr>
          <w:rFonts w:ascii="FrankRuehl" w:hAnsi="FrankRuehl" w:cs="FrankRuehl"/>
          <w:sz w:val="28"/>
          <w:szCs w:val="28"/>
          <w:rtl/>
        </w:rPr>
        <w:t xml:space="preserve"> </w:t>
      </w:r>
      <w:r>
        <w:rPr>
          <w:rFonts w:ascii="Miriam" w:hAnsi="Miriam" w:cs="Miriam"/>
          <w:rtl/>
        </w:rPr>
        <w:t>מדינת ישראל נ' טרי</w:t>
      </w:r>
      <w:r>
        <w:rPr>
          <w:rFonts w:ascii="FrankRuehl" w:hAnsi="FrankRuehl" w:cs="FrankRuehl"/>
          <w:sz w:val="28"/>
          <w:szCs w:val="28"/>
          <w:rtl/>
        </w:rPr>
        <w:t xml:space="preserve"> (13.10.2021); </w:t>
      </w:r>
      <w:hyperlink r:id="rId30" w:history="1">
        <w:r w:rsidR="009804F2" w:rsidRPr="009804F2">
          <w:rPr>
            <w:rFonts w:ascii="FrankRuehl" w:hAnsi="FrankRuehl" w:cs="FrankRuehl"/>
            <w:color w:val="0000FF"/>
            <w:sz w:val="28"/>
            <w:szCs w:val="28"/>
            <w:u w:val="single"/>
            <w:rtl/>
          </w:rPr>
          <w:t>ת"פ 46913-07-18</w:t>
        </w:r>
      </w:hyperlink>
      <w:r>
        <w:rPr>
          <w:rFonts w:ascii="FrankRuehl" w:hAnsi="FrankRuehl" w:cs="FrankRuehl"/>
          <w:sz w:val="28"/>
          <w:szCs w:val="28"/>
          <w:rtl/>
        </w:rPr>
        <w:t xml:space="preserve"> </w:t>
      </w:r>
      <w:r>
        <w:rPr>
          <w:rFonts w:ascii="Miriam" w:hAnsi="Miriam" w:cs="Miriam"/>
          <w:rtl/>
        </w:rPr>
        <w:t>מדינת ישראל נ' מקסימוב</w:t>
      </w:r>
      <w:r>
        <w:rPr>
          <w:rFonts w:ascii="FrankRuehl" w:hAnsi="FrankRuehl" w:cs="FrankRuehl"/>
          <w:rtl/>
        </w:rPr>
        <w:t xml:space="preserve"> </w:t>
      </w:r>
      <w:r>
        <w:rPr>
          <w:rFonts w:ascii="FrankRuehl" w:hAnsi="FrankRuehl" w:cs="FrankRuehl"/>
          <w:sz w:val="28"/>
          <w:szCs w:val="28"/>
          <w:rtl/>
        </w:rPr>
        <w:t xml:space="preserve">(10.8.2020); </w:t>
      </w:r>
      <w:hyperlink r:id="rId31" w:history="1">
        <w:r w:rsidR="009804F2" w:rsidRPr="009804F2">
          <w:rPr>
            <w:rFonts w:ascii="FrankRuehl" w:hAnsi="FrankRuehl" w:cs="FrankRuehl"/>
            <w:color w:val="0000FF"/>
            <w:sz w:val="28"/>
            <w:szCs w:val="28"/>
            <w:u w:val="single"/>
            <w:rtl/>
          </w:rPr>
          <w:t>ת"פ 21678-03-18</w:t>
        </w:r>
      </w:hyperlink>
      <w:r>
        <w:rPr>
          <w:rFonts w:ascii="FrankRuehl" w:hAnsi="FrankRuehl" w:cs="FrankRuehl"/>
          <w:sz w:val="28"/>
          <w:szCs w:val="28"/>
          <w:rtl/>
        </w:rPr>
        <w:t xml:space="preserve"> </w:t>
      </w:r>
      <w:r>
        <w:rPr>
          <w:rFonts w:ascii="Miriam" w:hAnsi="Miriam" w:cs="Miriam"/>
          <w:rtl/>
        </w:rPr>
        <w:t>מדינת ישראל נ' בוסטינוב</w:t>
      </w:r>
      <w:r>
        <w:rPr>
          <w:rFonts w:ascii="FrankRuehl" w:hAnsi="FrankRuehl" w:cs="FrankRuehl"/>
          <w:rtl/>
        </w:rPr>
        <w:t xml:space="preserve"> </w:t>
      </w:r>
      <w:r>
        <w:rPr>
          <w:rFonts w:ascii="FrankRuehl" w:hAnsi="FrankRuehl" w:cs="FrankRuehl"/>
          <w:sz w:val="28"/>
          <w:szCs w:val="28"/>
          <w:rtl/>
        </w:rPr>
        <w:t xml:space="preserve">(20.6.2020); </w:t>
      </w:r>
      <w:hyperlink r:id="rId32" w:history="1">
        <w:r w:rsidR="009804F2" w:rsidRPr="009804F2">
          <w:rPr>
            <w:rFonts w:ascii="FrankRuehl" w:hAnsi="FrankRuehl" w:cs="FrankRuehl"/>
            <w:color w:val="0000FF"/>
            <w:sz w:val="28"/>
            <w:szCs w:val="28"/>
            <w:u w:val="single"/>
            <w:rtl/>
          </w:rPr>
          <w:t>ת"פ 53684-05-17</w:t>
        </w:r>
      </w:hyperlink>
      <w:r>
        <w:rPr>
          <w:rFonts w:ascii="FrankRuehl" w:hAnsi="FrankRuehl" w:cs="FrankRuehl"/>
          <w:sz w:val="28"/>
          <w:szCs w:val="28"/>
          <w:rtl/>
        </w:rPr>
        <w:t xml:space="preserve"> </w:t>
      </w:r>
      <w:r>
        <w:rPr>
          <w:rFonts w:ascii="Miriam" w:hAnsi="Miriam" w:cs="Miriam"/>
          <w:rtl/>
        </w:rPr>
        <w:t>מדינת ישראל נ' בלטרמן</w:t>
      </w:r>
      <w:r>
        <w:rPr>
          <w:rFonts w:ascii="FrankRuehl" w:hAnsi="FrankRuehl" w:cs="FrankRuehl"/>
          <w:rtl/>
        </w:rPr>
        <w:t xml:space="preserve"> </w:t>
      </w:r>
      <w:r>
        <w:rPr>
          <w:rFonts w:ascii="FrankRuehl" w:hAnsi="FrankRuehl" w:cs="FrankRuehl"/>
          <w:sz w:val="28"/>
          <w:szCs w:val="28"/>
          <w:rtl/>
        </w:rPr>
        <w:t xml:space="preserve">(4.5.2020); </w:t>
      </w:r>
      <w:hyperlink r:id="rId33" w:history="1">
        <w:r w:rsidR="009804F2" w:rsidRPr="009804F2">
          <w:rPr>
            <w:rFonts w:ascii="FrankRuehl" w:hAnsi="FrankRuehl" w:cs="FrankRuehl"/>
            <w:color w:val="0000FF"/>
            <w:sz w:val="28"/>
            <w:szCs w:val="28"/>
            <w:u w:val="single"/>
            <w:rtl/>
          </w:rPr>
          <w:t>ת"פ (י-ם) 60525-06-18</w:t>
        </w:r>
      </w:hyperlink>
      <w:r>
        <w:rPr>
          <w:rFonts w:ascii="FrankRuehl" w:hAnsi="FrankRuehl" w:cs="FrankRuehl"/>
          <w:sz w:val="28"/>
          <w:szCs w:val="28"/>
          <w:rtl/>
        </w:rPr>
        <w:t xml:space="preserve"> </w:t>
      </w:r>
      <w:r>
        <w:rPr>
          <w:rFonts w:ascii="Miriam" w:hAnsi="Miriam" w:cs="Miriam"/>
          <w:rtl/>
        </w:rPr>
        <w:t>מדינת ישראל נ' אביב כהן</w:t>
      </w:r>
      <w:r>
        <w:rPr>
          <w:rFonts w:ascii="FrankRuehl" w:hAnsi="FrankRuehl" w:cs="FrankRuehl"/>
          <w:rtl/>
        </w:rPr>
        <w:t xml:space="preserve"> </w:t>
      </w:r>
      <w:r>
        <w:rPr>
          <w:rFonts w:ascii="FrankRuehl" w:hAnsi="FrankRuehl" w:cs="FrankRuehl"/>
          <w:sz w:val="28"/>
          <w:szCs w:val="28"/>
          <w:rtl/>
        </w:rPr>
        <w:t xml:space="preserve">(2.1.2020); </w:t>
      </w:r>
      <w:hyperlink r:id="rId34" w:history="1">
        <w:r w:rsidR="009804F2" w:rsidRPr="009804F2">
          <w:rPr>
            <w:rFonts w:ascii="FrankRuehl" w:hAnsi="FrankRuehl" w:cs="FrankRuehl"/>
            <w:color w:val="0000FF"/>
            <w:sz w:val="28"/>
            <w:szCs w:val="28"/>
            <w:u w:val="single"/>
            <w:rtl/>
          </w:rPr>
          <w:t>ת"פ 39357-02-19</w:t>
        </w:r>
      </w:hyperlink>
      <w:r>
        <w:rPr>
          <w:rFonts w:ascii="FrankRuehl" w:hAnsi="FrankRuehl" w:cs="FrankRuehl"/>
          <w:sz w:val="28"/>
          <w:szCs w:val="28"/>
          <w:rtl/>
        </w:rPr>
        <w:t xml:space="preserve"> </w:t>
      </w:r>
      <w:r>
        <w:rPr>
          <w:rFonts w:ascii="Miriam" w:hAnsi="Miriam" w:cs="Miriam"/>
          <w:rtl/>
        </w:rPr>
        <w:t>מדינת ישראל נ' בוקובזה</w:t>
      </w:r>
      <w:r>
        <w:rPr>
          <w:rFonts w:ascii="FrankRuehl" w:hAnsi="FrankRuehl" w:cs="FrankRuehl"/>
          <w:rtl/>
        </w:rPr>
        <w:t xml:space="preserve"> </w:t>
      </w:r>
      <w:r>
        <w:rPr>
          <w:rFonts w:ascii="FrankRuehl" w:hAnsi="FrankRuehl" w:cs="FrankRuehl"/>
          <w:sz w:val="28"/>
          <w:szCs w:val="28"/>
          <w:rtl/>
        </w:rPr>
        <w:t xml:space="preserve">(31.12.2019); </w:t>
      </w:r>
      <w:hyperlink r:id="rId35" w:history="1">
        <w:r w:rsidR="009804F2" w:rsidRPr="009804F2">
          <w:rPr>
            <w:rFonts w:ascii="FrankRuehl" w:hAnsi="FrankRuehl" w:cs="FrankRuehl"/>
            <w:color w:val="0000FF"/>
            <w:sz w:val="28"/>
            <w:szCs w:val="28"/>
            <w:u w:val="single"/>
            <w:rtl/>
          </w:rPr>
          <w:t>ת"פ 61688-02-18</w:t>
        </w:r>
      </w:hyperlink>
      <w:r>
        <w:rPr>
          <w:rFonts w:ascii="FrankRuehl" w:hAnsi="FrankRuehl" w:cs="FrankRuehl"/>
          <w:sz w:val="28"/>
          <w:szCs w:val="28"/>
          <w:rtl/>
        </w:rPr>
        <w:t xml:space="preserve"> </w:t>
      </w:r>
      <w:r>
        <w:rPr>
          <w:rFonts w:ascii="Miriam" w:hAnsi="Miriam" w:cs="Miriam"/>
          <w:rtl/>
        </w:rPr>
        <w:t>מדינת ישראל נ' פיקדו</w:t>
      </w:r>
      <w:r>
        <w:rPr>
          <w:rFonts w:ascii="FrankRuehl" w:hAnsi="FrankRuehl" w:cs="FrankRuehl"/>
          <w:rtl/>
        </w:rPr>
        <w:t xml:space="preserve"> </w:t>
      </w:r>
      <w:r>
        <w:rPr>
          <w:rFonts w:ascii="FrankRuehl" w:hAnsi="FrankRuehl" w:cs="FrankRuehl"/>
          <w:sz w:val="28"/>
          <w:szCs w:val="28"/>
          <w:rtl/>
        </w:rPr>
        <w:t>(25.9.2019);</w:t>
      </w:r>
      <w:r>
        <w:rPr>
          <w:rFonts w:ascii="FrankRuehl" w:hAnsi="FrankRuehl" w:cs="FrankRuehl" w:hint="cs"/>
          <w:sz w:val="28"/>
          <w:szCs w:val="28"/>
          <w:rtl/>
        </w:rPr>
        <w:t xml:space="preserve"> </w:t>
      </w:r>
      <w:hyperlink r:id="rId36" w:history="1">
        <w:r w:rsidR="00140C32" w:rsidRPr="00140C32">
          <w:rPr>
            <w:rFonts w:ascii="FrankRuehl" w:hAnsi="FrankRuehl" w:cs="FrankRuehl"/>
            <w:color w:val="0000FF"/>
            <w:sz w:val="28"/>
            <w:szCs w:val="28"/>
            <w:u w:val="single"/>
            <w:rtl/>
          </w:rPr>
          <w:t xml:space="preserve">53788-02-16 </w:t>
        </w:r>
      </w:hyperlink>
      <w:r>
        <w:rPr>
          <w:rFonts w:ascii="FrankRuehl" w:hAnsi="FrankRuehl" w:cs="FrankRuehl" w:hint="cs"/>
          <w:sz w:val="28"/>
          <w:szCs w:val="28"/>
          <w:rtl/>
        </w:rPr>
        <w:t xml:space="preserve"> </w:t>
      </w:r>
      <w:r>
        <w:rPr>
          <w:rFonts w:ascii="Miriam" w:hAnsi="Miriam" w:cs="Miriam"/>
          <w:rtl/>
        </w:rPr>
        <w:t>מדינת ישראל נגד עמית קלוורי</w:t>
      </w:r>
      <w:r>
        <w:rPr>
          <w:rFonts w:ascii="FrankRuehl" w:hAnsi="FrankRuehl" w:cs="FrankRuehl"/>
          <w:sz w:val="28"/>
          <w:szCs w:val="28"/>
          <w:rtl/>
        </w:rPr>
        <w:t xml:space="preserve"> (16.7.2018); </w:t>
      </w:r>
      <w:hyperlink r:id="rId37" w:history="1">
        <w:r w:rsidR="009804F2" w:rsidRPr="009804F2">
          <w:rPr>
            <w:rFonts w:ascii="FrankRuehl" w:hAnsi="FrankRuehl" w:cs="FrankRuehl"/>
            <w:color w:val="0000FF"/>
            <w:sz w:val="28"/>
            <w:szCs w:val="28"/>
            <w:u w:val="single"/>
            <w:rtl/>
          </w:rPr>
          <w:t>ת.פ 21678-03-16</w:t>
        </w:r>
      </w:hyperlink>
      <w:r>
        <w:rPr>
          <w:rFonts w:ascii="FrankRuehl" w:hAnsi="FrankRuehl" w:cs="FrankRuehl" w:hint="cs"/>
          <w:sz w:val="28"/>
          <w:szCs w:val="28"/>
          <w:rtl/>
        </w:rPr>
        <w:t xml:space="preserve"> </w:t>
      </w:r>
      <w:r w:rsidRPr="00FC725C">
        <w:rPr>
          <w:rFonts w:ascii="Miriam" w:hAnsi="Miriam" w:cs="Miriam" w:hint="cs"/>
          <w:rtl/>
        </w:rPr>
        <w:t>מדינת ישראל נ' גוסטינוב</w:t>
      </w:r>
      <w:r>
        <w:rPr>
          <w:rFonts w:ascii="FrankRuehl" w:hAnsi="FrankRuehl" w:cs="FrankRuehl" w:hint="cs"/>
          <w:sz w:val="28"/>
          <w:szCs w:val="28"/>
          <w:rtl/>
        </w:rPr>
        <w:t xml:space="preserve"> (24.6.2020); </w:t>
      </w:r>
      <w:hyperlink r:id="rId38" w:history="1">
        <w:r w:rsidR="009804F2" w:rsidRPr="009804F2">
          <w:rPr>
            <w:rFonts w:ascii="FrankRuehl" w:hAnsi="FrankRuehl" w:cs="FrankRuehl"/>
            <w:color w:val="0000FF"/>
            <w:sz w:val="28"/>
            <w:szCs w:val="28"/>
            <w:u w:val="single"/>
            <w:rtl/>
          </w:rPr>
          <w:t>ת.פ 39274-04-15</w:t>
        </w:r>
      </w:hyperlink>
      <w:r>
        <w:rPr>
          <w:rFonts w:ascii="FrankRuehl" w:hAnsi="FrankRuehl" w:cs="FrankRuehl" w:hint="cs"/>
          <w:sz w:val="28"/>
          <w:szCs w:val="28"/>
          <w:rtl/>
        </w:rPr>
        <w:t xml:space="preserve"> </w:t>
      </w:r>
      <w:r>
        <w:rPr>
          <w:rFonts w:ascii="Miriam" w:hAnsi="Miriam" w:cs="Miriam" w:hint="cs"/>
          <w:rtl/>
        </w:rPr>
        <w:t>מדינת ישראל נ'</w:t>
      </w:r>
      <w:r w:rsidRPr="00FC725C">
        <w:rPr>
          <w:rFonts w:ascii="Miriam" w:hAnsi="Miriam" w:cs="Miriam" w:hint="cs"/>
          <w:rtl/>
        </w:rPr>
        <w:t xml:space="preserve"> אוזן</w:t>
      </w:r>
      <w:r>
        <w:rPr>
          <w:rFonts w:ascii="FrankRuehl" w:hAnsi="FrankRuehl" w:cs="FrankRuehl" w:hint="cs"/>
          <w:sz w:val="28"/>
          <w:szCs w:val="28"/>
          <w:rtl/>
        </w:rPr>
        <w:t xml:space="preserve"> (14.4.2019); </w:t>
      </w:r>
      <w:hyperlink r:id="rId39" w:history="1">
        <w:r w:rsidR="009804F2" w:rsidRPr="009804F2">
          <w:rPr>
            <w:rFonts w:ascii="FrankRuehl" w:hAnsi="FrankRuehl" w:cs="FrankRuehl"/>
            <w:color w:val="0000FF"/>
            <w:sz w:val="28"/>
            <w:szCs w:val="28"/>
            <w:u w:val="single"/>
            <w:rtl/>
          </w:rPr>
          <w:t>ת"פ 26918-01-17</w:t>
        </w:r>
      </w:hyperlink>
      <w:r>
        <w:rPr>
          <w:rFonts w:ascii="FrankRuehl" w:hAnsi="FrankRuehl" w:cs="FrankRuehl"/>
          <w:sz w:val="28"/>
          <w:szCs w:val="28"/>
          <w:rtl/>
        </w:rPr>
        <w:t xml:space="preserve"> </w:t>
      </w:r>
      <w:r>
        <w:rPr>
          <w:rFonts w:ascii="Miriam" w:hAnsi="Miriam" w:cs="Miriam"/>
          <w:rtl/>
        </w:rPr>
        <w:t>מדינת ישראל נגד כדורי</w:t>
      </w:r>
      <w:r>
        <w:rPr>
          <w:rFonts w:ascii="FrankRuehl" w:hAnsi="FrankRuehl" w:cs="FrankRuehl"/>
          <w:sz w:val="28"/>
          <w:szCs w:val="28"/>
          <w:rtl/>
        </w:rPr>
        <w:t xml:space="preserve"> (21.1.2018) – כאן גם בוטלה ההרשעה; </w:t>
      </w:r>
      <w:hyperlink r:id="rId40" w:history="1">
        <w:r w:rsidR="009804F2" w:rsidRPr="009804F2">
          <w:rPr>
            <w:rFonts w:ascii="FrankRuehl" w:hAnsi="FrankRuehl" w:cs="FrankRuehl"/>
            <w:color w:val="0000FF"/>
            <w:sz w:val="28"/>
            <w:szCs w:val="28"/>
            <w:u w:val="single"/>
            <w:rtl/>
          </w:rPr>
          <w:t>ת"פ (קריות) 20685-11-16</w:t>
        </w:r>
      </w:hyperlink>
      <w:r>
        <w:rPr>
          <w:rFonts w:ascii="FrankRuehl" w:hAnsi="FrankRuehl" w:cs="FrankRuehl"/>
          <w:sz w:val="28"/>
          <w:szCs w:val="28"/>
          <w:rtl/>
        </w:rPr>
        <w:t xml:space="preserve"> </w:t>
      </w:r>
      <w:r>
        <w:rPr>
          <w:rFonts w:ascii="Miriam" w:hAnsi="Miriam" w:cs="Miriam"/>
          <w:rtl/>
        </w:rPr>
        <w:t>מדינת ישראל נ' לאופר</w:t>
      </w:r>
      <w:r>
        <w:rPr>
          <w:rFonts w:ascii="FrankRuehl" w:hAnsi="FrankRuehl" w:cs="FrankRuehl"/>
          <w:rtl/>
        </w:rPr>
        <w:t xml:space="preserve"> </w:t>
      </w:r>
      <w:r>
        <w:rPr>
          <w:rFonts w:ascii="FrankRuehl" w:hAnsi="FrankRuehl" w:cs="FrankRuehl"/>
          <w:sz w:val="28"/>
          <w:szCs w:val="28"/>
          <w:rtl/>
        </w:rPr>
        <w:t xml:space="preserve">(24.6.2018); ת"פ (קרית גת) </w:t>
      </w:r>
      <w:hyperlink r:id="rId41" w:history="1">
        <w:r w:rsidR="00140C32" w:rsidRPr="00140C32">
          <w:rPr>
            <w:rFonts w:ascii="FrankRuehl" w:hAnsi="FrankRuehl" w:cs="FrankRuehl"/>
            <w:color w:val="0000FF"/>
            <w:sz w:val="28"/>
            <w:szCs w:val="28"/>
            <w:u w:val="single"/>
            <w:rtl/>
          </w:rPr>
          <w:t xml:space="preserve">60677-02-16 </w:t>
        </w:r>
      </w:hyperlink>
      <w:r>
        <w:rPr>
          <w:rFonts w:ascii="FrankRuehl" w:hAnsi="FrankRuehl" w:cs="FrankRuehl"/>
          <w:sz w:val="28"/>
          <w:szCs w:val="28"/>
          <w:rtl/>
        </w:rPr>
        <w:t xml:space="preserve"> </w:t>
      </w:r>
      <w:r>
        <w:rPr>
          <w:rFonts w:ascii="Miriam" w:hAnsi="Miriam" w:cs="Miriam"/>
          <w:rtl/>
        </w:rPr>
        <w:t>מדינת ישראל נ' בן דוד</w:t>
      </w:r>
      <w:r>
        <w:rPr>
          <w:rFonts w:ascii="FrankRuehl" w:hAnsi="FrankRuehl" w:cs="FrankRuehl"/>
          <w:rtl/>
        </w:rPr>
        <w:t xml:space="preserve"> </w:t>
      </w:r>
      <w:r>
        <w:rPr>
          <w:rFonts w:ascii="FrankRuehl" w:hAnsi="FrankRuehl" w:cs="FrankRuehl"/>
          <w:sz w:val="28"/>
          <w:szCs w:val="28"/>
          <w:rtl/>
        </w:rPr>
        <w:t xml:space="preserve">(13.5.2018); </w:t>
      </w:r>
      <w:hyperlink r:id="rId42" w:history="1">
        <w:r w:rsidR="009804F2" w:rsidRPr="009804F2">
          <w:rPr>
            <w:rFonts w:ascii="FrankRuehl" w:hAnsi="FrankRuehl" w:cs="FrankRuehl"/>
            <w:color w:val="0000FF"/>
            <w:sz w:val="28"/>
            <w:szCs w:val="28"/>
            <w:u w:val="single"/>
            <w:rtl/>
          </w:rPr>
          <w:t>ת"פ 19339-10-15</w:t>
        </w:r>
      </w:hyperlink>
      <w:r>
        <w:rPr>
          <w:rFonts w:ascii="FrankRuehl" w:hAnsi="FrankRuehl" w:cs="FrankRuehl"/>
          <w:sz w:val="28"/>
          <w:szCs w:val="28"/>
          <w:rtl/>
        </w:rPr>
        <w:t xml:space="preserve"> </w:t>
      </w:r>
      <w:r>
        <w:rPr>
          <w:rFonts w:ascii="Miriam" w:hAnsi="Miriam" w:cs="Miriam"/>
          <w:rtl/>
        </w:rPr>
        <w:t>מדינת ישראל נ' נגוסה</w:t>
      </w:r>
      <w:r>
        <w:rPr>
          <w:rFonts w:ascii="FrankRuehl" w:hAnsi="FrankRuehl" w:cs="FrankRuehl"/>
          <w:rtl/>
        </w:rPr>
        <w:t xml:space="preserve"> </w:t>
      </w:r>
      <w:r>
        <w:rPr>
          <w:rFonts w:ascii="FrankRuehl" w:hAnsi="FrankRuehl" w:cs="FrankRuehl"/>
          <w:sz w:val="28"/>
          <w:szCs w:val="28"/>
          <w:rtl/>
        </w:rPr>
        <w:t xml:space="preserve">(10.1.2018); </w:t>
      </w:r>
      <w:hyperlink r:id="rId43" w:history="1">
        <w:r w:rsidR="009804F2" w:rsidRPr="009804F2">
          <w:rPr>
            <w:rFonts w:ascii="FrankRuehl" w:hAnsi="FrankRuehl" w:cs="FrankRuehl"/>
            <w:color w:val="0000FF"/>
            <w:sz w:val="28"/>
            <w:szCs w:val="28"/>
            <w:u w:val="single"/>
            <w:rtl/>
          </w:rPr>
          <w:t>ת"פ (באר שבע) 48356-12-16</w:t>
        </w:r>
      </w:hyperlink>
      <w:r>
        <w:rPr>
          <w:rFonts w:ascii="FrankRuehl" w:hAnsi="FrankRuehl" w:cs="FrankRuehl"/>
          <w:sz w:val="28"/>
          <w:szCs w:val="28"/>
          <w:rtl/>
        </w:rPr>
        <w:t xml:space="preserve"> </w:t>
      </w:r>
      <w:r>
        <w:rPr>
          <w:rFonts w:ascii="Miriam" w:hAnsi="Miriam" w:cs="Miriam"/>
          <w:rtl/>
        </w:rPr>
        <w:t>מדינת ישראל נ' עמר</w:t>
      </w:r>
      <w:r>
        <w:rPr>
          <w:rFonts w:ascii="FrankRuehl" w:hAnsi="FrankRuehl" w:cs="FrankRuehl"/>
          <w:sz w:val="28"/>
          <w:szCs w:val="28"/>
          <w:rtl/>
        </w:rPr>
        <w:t xml:space="preserve"> (14.9.2017). </w:t>
      </w:r>
    </w:p>
    <w:p w14:paraId="67F9C6EE" w14:textId="77777777" w:rsidR="00AB5C31" w:rsidRDefault="00AB5C31" w:rsidP="00AB5C31">
      <w:pPr>
        <w:pStyle w:val="aa"/>
        <w:spacing w:before="100" w:beforeAutospacing="1" w:after="120"/>
        <w:ind w:left="84"/>
        <w:jc w:val="both"/>
        <w:rPr>
          <w:rFonts w:ascii="FrankRuehl" w:hAnsi="FrankRuehl" w:cs="FrankRuehl"/>
          <w:sz w:val="28"/>
          <w:szCs w:val="28"/>
        </w:rPr>
      </w:pPr>
    </w:p>
    <w:p w14:paraId="745197C3"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hint="cs"/>
          <w:sz w:val="28"/>
          <w:szCs w:val="28"/>
          <w:rtl/>
        </w:rPr>
        <w:t>מכיוון ש</w:t>
      </w:r>
      <w:r>
        <w:rPr>
          <w:rFonts w:ascii="FrankRuehl" w:hAnsi="FrankRuehl" w:cs="FrankRuehl"/>
          <w:sz w:val="28"/>
          <w:szCs w:val="28"/>
          <w:rtl/>
        </w:rPr>
        <w:t>משקל הסם הוא נתון רלבנטי ביותר בעת קביעת מתחם העונש ההולם, מצאתי להביא גם מספר פסקי דין העוסקים בהחזק</w:t>
      </w:r>
      <w:r>
        <w:rPr>
          <w:rFonts w:ascii="FrankRuehl" w:hAnsi="FrankRuehl" w:cs="FrankRuehl" w:hint="cs"/>
          <w:sz w:val="28"/>
          <w:szCs w:val="28"/>
          <w:rtl/>
        </w:rPr>
        <w:t>ת</w:t>
      </w:r>
      <w:r>
        <w:rPr>
          <w:rFonts w:ascii="FrankRuehl" w:hAnsi="FrankRuehl" w:cs="FrankRuehl"/>
          <w:sz w:val="28"/>
          <w:szCs w:val="28"/>
          <w:rtl/>
        </w:rPr>
        <w:t xml:space="preserve"> סם מסוכן מסוג קנאב</w:t>
      </w:r>
      <w:r>
        <w:rPr>
          <w:rFonts w:ascii="FrankRuehl" w:hAnsi="FrankRuehl" w:cs="FrankRuehl" w:hint="cs"/>
          <w:sz w:val="28"/>
          <w:szCs w:val="28"/>
          <w:rtl/>
        </w:rPr>
        <w:t>י</w:t>
      </w:r>
      <w:r>
        <w:rPr>
          <w:rFonts w:ascii="FrankRuehl" w:hAnsi="FrankRuehl" w:cs="FrankRuehl"/>
          <w:sz w:val="28"/>
          <w:szCs w:val="28"/>
          <w:rtl/>
        </w:rPr>
        <w:t xml:space="preserve">ס שלא לצריכה עצמית בכמות כפולה ומכופלת ואף משולשת, בהם נקבעו מתחמי ענישה שהגבול התחתון בהם מתחיל במאסר קצר שיכול </w:t>
      </w:r>
      <w:r>
        <w:rPr>
          <w:rFonts w:ascii="FrankRuehl" w:hAnsi="FrankRuehl" w:cs="FrankRuehl" w:hint="cs"/>
          <w:sz w:val="28"/>
          <w:szCs w:val="28"/>
          <w:rtl/>
        </w:rPr>
        <w:t xml:space="preserve">וירוצה </w:t>
      </w:r>
      <w:r>
        <w:rPr>
          <w:rFonts w:ascii="FrankRuehl" w:hAnsi="FrankRuehl" w:cs="FrankRuehl"/>
          <w:sz w:val="28"/>
          <w:szCs w:val="28"/>
          <w:rtl/>
        </w:rPr>
        <w:t xml:space="preserve">בעבודות שירות בעוד הגבול העליון מסתיים במאסר בפועל. ראו: </w:t>
      </w:r>
      <w:hyperlink r:id="rId44" w:history="1">
        <w:r w:rsidR="009804F2" w:rsidRPr="009804F2">
          <w:rPr>
            <w:rFonts w:ascii="FrankRuehl" w:hAnsi="FrankRuehl" w:cs="FrankRuehl"/>
            <w:color w:val="0000FF"/>
            <w:sz w:val="28"/>
            <w:szCs w:val="28"/>
            <w:u w:val="single"/>
            <w:rtl/>
          </w:rPr>
          <w:t>רע"פ 1830/16</w:t>
        </w:r>
      </w:hyperlink>
      <w:r>
        <w:rPr>
          <w:rFonts w:ascii="FrankRuehl" w:hAnsi="FrankRuehl" w:cs="FrankRuehl"/>
          <w:sz w:val="28"/>
          <w:szCs w:val="28"/>
          <w:rtl/>
        </w:rPr>
        <w:t xml:space="preserve"> </w:t>
      </w:r>
      <w:r>
        <w:rPr>
          <w:rFonts w:ascii="Miriam" w:hAnsi="Miriam" w:cs="Miriam"/>
          <w:rtl/>
        </w:rPr>
        <w:t>רקיבי נ' מדינת ישראל</w:t>
      </w:r>
      <w:r>
        <w:rPr>
          <w:rFonts w:ascii="FrankRuehl" w:hAnsi="FrankRuehl" w:cs="FrankRuehl"/>
          <w:sz w:val="28"/>
          <w:szCs w:val="28"/>
          <w:rtl/>
        </w:rPr>
        <w:t xml:space="preserve"> (11.4.2016) ; ת"פ (רמלה) </w:t>
      </w:r>
      <w:hyperlink r:id="rId45" w:history="1">
        <w:r w:rsidR="00140C32" w:rsidRPr="00140C32">
          <w:rPr>
            <w:rFonts w:ascii="FrankRuehl" w:hAnsi="FrankRuehl" w:cs="FrankRuehl"/>
            <w:color w:val="0000FF"/>
            <w:sz w:val="28"/>
            <w:szCs w:val="28"/>
            <w:u w:val="single"/>
            <w:rtl/>
          </w:rPr>
          <w:t xml:space="preserve">54134-05-18 </w:t>
        </w:r>
      </w:hyperlink>
      <w:r>
        <w:rPr>
          <w:rFonts w:ascii="FrankRuehl" w:hAnsi="FrankRuehl" w:cs="FrankRuehl"/>
          <w:sz w:val="28"/>
          <w:szCs w:val="28"/>
          <w:rtl/>
        </w:rPr>
        <w:t xml:space="preserve"> </w:t>
      </w:r>
      <w:r>
        <w:rPr>
          <w:rFonts w:ascii="Miriam" w:hAnsi="Miriam" w:cs="Miriam"/>
          <w:rtl/>
        </w:rPr>
        <w:t xml:space="preserve">מדינת ישראל נ' לבן </w:t>
      </w:r>
      <w:r>
        <w:rPr>
          <w:rFonts w:ascii="FrankRuehl" w:hAnsi="FrankRuehl" w:cs="FrankRuehl"/>
          <w:sz w:val="28"/>
          <w:szCs w:val="28"/>
          <w:rtl/>
        </w:rPr>
        <w:t xml:space="preserve">(9.1.2019); ת"פ (רח') 63976-07-17 </w:t>
      </w:r>
      <w:r>
        <w:rPr>
          <w:rFonts w:ascii="Miriam" w:hAnsi="Miriam" w:cs="Miriam"/>
          <w:rtl/>
        </w:rPr>
        <w:t>מדינת ישראל נ' אבו קרינאת</w:t>
      </w:r>
      <w:r>
        <w:rPr>
          <w:rFonts w:ascii="FrankRuehl" w:hAnsi="FrankRuehl" w:cs="FrankRuehl"/>
          <w:sz w:val="28"/>
          <w:szCs w:val="28"/>
          <w:rtl/>
        </w:rPr>
        <w:t xml:space="preserve"> (15.10.2018); </w:t>
      </w:r>
      <w:hyperlink r:id="rId46" w:history="1">
        <w:r w:rsidR="009804F2" w:rsidRPr="009804F2">
          <w:rPr>
            <w:rFonts w:ascii="FrankRuehl" w:hAnsi="FrankRuehl" w:cs="FrankRuehl"/>
            <w:color w:val="0000FF"/>
            <w:sz w:val="28"/>
            <w:szCs w:val="28"/>
            <w:u w:val="single"/>
            <w:rtl/>
          </w:rPr>
          <w:t>ת"פ (חיפה) 18436-06-16</w:t>
        </w:r>
      </w:hyperlink>
      <w:r>
        <w:rPr>
          <w:rFonts w:ascii="FrankRuehl" w:hAnsi="FrankRuehl" w:cs="FrankRuehl"/>
          <w:sz w:val="28"/>
          <w:szCs w:val="28"/>
          <w:rtl/>
        </w:rPr>
        <w:t xml:space="preserve"> </w:t>
      </w:r>
      <w:r>
        <w:rPr>
          <w:rFonts w:ascii="Miriam" w:hAnsi="Miriam" w:cs="Miriam"/>
          <w:rtl/>
        </w:rPr>
        <w:t xml:space="preserve">מדינת ישראל נ' זגורי </w:t>
      </w:r>
      <w:r>
        <w:rPr>
          <w:rFonts w:ascii="FrankRuehl" w:hAnsi="FrankRuehl" w:cs="FrankRuehl"/>
          <w:sz w:val="28"/>
          <w:szCs w:val="28"/>
          <w:rtl/>
        </w:rPr>
        <w:t xml:space="preserve">(25.4.2017) ; </w:t>
      </w:r>
      <w:hyperlink r:id="rId47" w:history="1">
        <w:r w:rsidR="009804F2" w:rsidRPr="009804F2">
          <w:rPr>
            <w:rFonts w:ascii="FrankRuehl" w:hAnsi="FrankRuehl" w:cs="FrankRuehl"/>
            <w:color w:val="0000FF"/>
            <w:sz w:val="28"/>
            <w:szCs w:val="28"/>
            <w:u w:val="single"/>
            <w:rtl/>
          </w:rPr>
          <w:t>ת"פ (תל-אביב) 11845-11-16</w:t>
        </w:r>
      </w:hyperlink>
      <w:r>
        <w:rPr>
          <w:rFonts w:ascii="FrankRuehl" w:hAnsi="FrankRuehl" w:cs="FrankRuehl"/>
          <w:sz w:val="28"/>
          <w:szCs w:val="28"/>
          <w:rtl/>
        </w:rPr>
        <w:t xml:space="preserve"> </w:t>
      </w:r>
      <w:r>
        <w:rPr>
          <w:rFonts w:ascii="Miriam" w:hAnsi="Miriam" w:cs="Miriam"/>
          <w:rtl/>
        </w:rPr>
        <w:t>מדינת ישראל נ' פרנקל</w:t>
      </w:r>
      <w:r>
        <w:rPr>
          <w:rFonts w:ascii="FrankRuehl" w:hAnsi="FrankRuehl" w:cs="FrankRuehl"/>
          <w:sz w:val="28"/>
          <w:szCs w:val="28"/>
          <w:rtl/>
        </w:rPr>
        <w:t xml:space="preserve"> (5.11.2018). וגם באלו ללמד על הגבול התחתון של המתחם שראוי שייקבע כאשר עסקינן במשקלים נמוכים יותר. </w:t>
      </w:r>
    </w:p>
    <w:p w14:paraId="793804FA" w14:textId="77777777" w:rsidR="00AB5C31" w:rsidRPr="00C815D9" w:rsidRDefault="00AB5C31" w:rsidP="00AB5C31">
      <w:pPr>
        <w:pStyle w:val="aa"/>
        <w:rPr>
          <w:rFonts w:ascii="FrankRuehl" w:hAnsi="FrankRuehl" w:cs="FrankRuehl"/>
          <w:sz w:val="28"/>
          <w:szCs w:val="28"/>
          <w:rtl/>
        </w:rPr>
      </w:pPr>
    </w:p>
    <w:p w14:paraId="7523F5CF"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hint="cs"/>
          <w:sz w:val="28"/>
          <w:szCs w:val="28"/>
          <w:rtl/>
        </w:rPr>
        <w:t xml:space="preserve">להשלמת הפרק העוסק במדיניות הענישה, אומר כי </w:t>
      </w:r>
      <w:r>
        <w:rPr>
          <w:rFonts w:ascii="FrankRuehl" w:hAnsi="FrankRuehl" w:cs="FrankRuehl"/>
          <w:sz w:val="28"/>
          <w:szCs w:val="28"/>
          <w:rtl/>
        </w:rPr>
        <w:t>נתתי דעתי לפסיקה שהוצגה על ידי המאשימה אך</w:t>
      </w:r>
      <w:r>
        <w:rPr>
          <w:rFonts w:ascii="FrankRuehl" w:hAnsi="FrankRuehl" w:cs="FrankRuehl"/>
          <w:sz w:val="28"/>
          <w:szCs w:val="28"/>
        </w:rPr>
        <w:t xml:space="preserve"> </w:t>
      </w:r>
      <w:r>
        <w:rPr>
          <w:rFonts w:ascii="FrankRuehl" w:hAnsi="FrankRuehl" w:cs="FrankRuehl"/>
          <w:sz w:val="28"/>
          <w:szCs w:val="28"/>
          <w:rtl/>
        </w:rPr>
        <w:t>לא מצאתי אותה כרלבנטית בשל שונות הנסיבות וחומרת</w:t>
      </w:r>
      <w:r>
        <w:rPr>
          <w:rFonts w:ascii="FrankRuehl" w:hAnsi="FrankRuehl" w:cs="FrankRuehl" w:hint="cs"/>
          <w:sz w:val="28"/>
          <w:szCs w:val="28"/>
          <w:rtl/>
        </w:rPr>
        <w:t>ן</w:t>
      </w:r>
      <w:r>
        <w:rPr>
          <w:rFonts w:ascii="FrankRuehl" w:hAnsi="FrankRuehl" w:cs="FrankRuehl"/>
          <w:sz w:val="28"/>
          <w:szCs w:val="28"/>
          <w:rtl/>
        </w:rPr>
        <w:t xml:space="preserve"> בהשוואה למקרה דנן.</w:t>
      </w:r>
      <w:r>
        <w:rPr>
          <w:rFonts w:ascii="FrankRuehl" w:hAnsi="FrankRuehl" w:cs="FrankRuehl" w:hint="cs"/>
          <w:sz w:val="28"/>
          <w:szCs w:val="28"/>
          <w:rtl/>
        </w:rPr>
        <w:t xml:space="preserve"> על מנת שלא להלאות, אומר בקצרה, </w:t>
      </w:r>
      <w:r>
        <w:rPr>
          <w:rFonts w:ascii="FrankRuehl" w:hAnsi="FrankRuehl" w:cs="FrankRuehl"/>
          <w:sz w:val="28"/>
          <w:szCs w:val="28"/>
          <w:rtl/>
        </w:rPr>
        <w:t>מדובר ב</w:t>
      </w:r>
      <w:r>
        <w:rPr>
          <w:rFonts w:ascii="FrankRuehl" w:hAnsi="FrankRuehl" w:cs="FrankRuehl" w:hint="cs"/>
          <w:sz w:val="28"/>
          <w:szCs w:val="28"/>
          <w:rtl/>
        </w:rPr>
        <w:t xml:space="preserve">עניינם של </w:t>
      </w:r>
      <w:r>
        <w:rPr>
          <w:rFonts w:ascii="FrankRuehl" w:hAnsi="FrankRuehl" w:cs="FrankRuehl"/>
          <w:sz w:val="28"/>
          <w:szCs w:val="28"/>
          <w:rtl/>
        </w:rPr>
        <w:t xml:space="preserve">נאשמים, </w:t>
      </w:r>
      <w:r>
        <w:rPr>
          <w:rFonts w:ascii="FrankRuehl" w:hAnsi="FrankRuehl" w:cs="FrankRuehl" w:hint="cs"/>
          <w:sz w:val="28"/>
          <w:szCs w:val="28"/>
          <w:rtl/>
        </w:rPr>
        <w:t xml:space="preserve">חלקם </w:t>
      </w:r>
      <w:r>
        <w:rPr>
          <w:rFonts w:ascii="FrankRuehl" w:hAnsi="FrankRuehl" w:cs="FrankRuehl"/>
          <w:sz w:val="28"/>
          <w:szCs w:val="28"/>
          <w:rtl/>
        </w:rPr>
        <w:t>בעלי עבר פלילי</w:t>
      </w:r>
      <w:r>
        <w:rPr>
          <w:rFonts w:ascii="FrankRuehl" w:hAnsi="FrankRuehl" w:cs="FrankRuehl" w:hint="cs"/>
          <w:sz w:val="28"/>
          <w:szCs w:val="28"/>
          <w:rtl/>
        </w:rPr>
        <w:t>,</w:t>
      </w:r>
      <w:r>
        <w:rPr>
          <w:rFonts w:ascii="FrankRuehl" w:hAnsi="FrankRuehl" w:cs="FrankRuehl"/>
          <w:sz w:val="28"/>
          <w:szCs w:val="28"/>
          <w:rtl/>
        </w:rPr>
        <w:t xml:space="preserve"> אשר החזיקו בכמויות שונות של סמים</w:t>
      </w:r>
      <w:r>
        <w:rPr>
          <w:rFonts w:ascii="FrankRuehl" w:hAnsi="FrankRuehl" w:cs="FrankRuehl" w:hint="cs"/>
          <w:sz w:val="28"/>
          <w:szCs w:val="28"/>
          <w:rtl/>
        </w:rPr>
        <w:t xml:space="preserve">, בעיקר חשיש (ולא קנאביס) או שהחזיקו מגוון סוגי סמים. בחלק מן המקרים, </w:t>
      </w:r>
      <w:r>
        <w:rPr>
          <w:rFonts w:ascii="FrankRuehl" w:hAnsi="FrankRuehl" w:cs="FrankRuehl"/>
          <w:sz w:val="28"/>
          <w:szCs w:val="28"/>
          <w:rtl/>
        </w:rPr>
        <w:t xml:space="preserve">הסמים הוחבאו, והוחזקו בתוך שקיות חלוקה, כמויות גדולות </w:t>
      </w:r>
      <w:r>
        <w:rPr>
          <w:rFonts w:ascii="FrankRuehl" w:hAnsi="FrankRuehl" w:cs="FrankRuehl" w:hint="cs"/>
          <w:sz w:val="28"/>
          <w:szCs w:val="28"/>
          <w:rtl/>
        </w:rPr>
        <w:t>(לדוגמא:</w:t>
      </w:r>
      <w:r>
        <w:rPr>
          <w:rFonts w:ascii="FrankRuehl" w:hAnsi="FrankRuehl" w:cs="FrankRuehl"/>
          <w:sz w:val="28"/>
          <w:szCs w:val="28"/>
          <w:rtl/>
        </w:rPr>
        <w:t xml:space="preserve"> פלטות חשיש</w:t>
      </w:r>
      <w:r>
        <w:rPr>
          <w:rFonts w:ascii="FrankRuehl" w:hAnsi="FrankRuehl" w:cs="FrankRuehl" w:hint="cs"/>
          <w:sz w:val="28"/>
          <w:szCs w:val="28"/>
          <w:rtl/>
        </w:rPr>
        <w:t>)</w:t>
      </w:r>
      <w:r>
        <w:rPr>
          <w:rFonts w:ascii="FrankRuehl" w:hAnsi="FrankRuehl" w:cs="FrankRuehl"/>
          <w:sz w:val="28"/>
          <w:szCs w:val="28"/>
          <w:rtl/>
        </w:rPr>
        <w:t xml:space="preserve">, באופן המלמד </w:t>
      </w:r>
      <w:r>
        <w:rPr>
          <w:rFonts w:ascii="FrankRuehl" w:hAnsi="FrankRuehl" w:cs="FrankRuehl" w:hint="cs"/>
          <w:sz w:val="28"/>
          <w:szCs w:val="28"/>
          <w:rtl/>
        </w:rPr>
        <w:t xml:space="preserve">על </w:t>
      </w:r>
      <w:r>
        <w:rPr>
          <w:rFonts w:ascii="FrankRuehl" w:hAnsi="FrankRuehl" w:cs="FrankRuehl"/>
          <w:sz w:val="28"/>
          <w:szCs w:val="28"/>
          <w:rtl/>
        </w:rPr>
        <w:t>כוונה ברורה להפצה</w:t>
      </w:r>
      <w:r>
        <w:rPr>
          <w:rFonts w:ascii="FrankRuehl" w:hAnsi="FrankRuehl" w:cs="FrankRuehl" w:hint="cs"/>
          <w:sz w:val="28"/>
          <w:szCs w:val="28"/>
          <w:rtl/>
        </w:rPr>
        <w:t xml:space="preserve"> ומעורבות עמוקה ונגישות לסמים בכמויות כאלו. </w:t>
      </w:r>
      <w:r>
        <w:rPr>
          <w:rFonts w:ascii="FrankRuehl" w:hAnsi="FrankRuehl" w:cs="FrankRuehl"/>
          <w:sz w:val="28"/>
          <w:szCs w:val="28"/>
          <w:rtl/>
        </w:rPr>
        <w:t xml:space="preserve">בחלק מן המקרים </w:t>
      </w:r>
      <w:r>
        <w:rPr>
          <w:rFonts w:ascii="FrankRuehl" w:hAnsi="FrankRuehl" w:cs="FrankRuehl" w:hint="cs"/>
          <w:sz w:val="28"/>
          <w:szCs w:val="28"/>
          <w:rtl/>
        </w:rPr>
        <w:t xml:space="preserve">גם </w:t>
      </w:r>
      <w:r>
        <w:rPr>
          <w:rFonts w:ascii="FrankRuehl" w:hAnsi="FrankRuehl" w:cs="FrankRuehl"/>
          <w:sz w:val="28"/>
          <w:szCs w:val="28"/>
          <w:rtl/>
        </w:rPr>
        <w:t xml:space="preserve">נלוו לעבירת ההחזקה, עבירות פליליות נוספות. ראו: </w:t>
      </w:r>
      <w:hyperlink r:id="rId48" w:history="1">
        <w:r w:rsidR="009804F2" w:rsidRPr="009804F2">
          <w:rPr>
            <w:rFonts w:ascii="FrankRuehl" w:hAnsi="FrankRuehl" w:cs="FrankRuehl"/>
            <w:color w:val="0000FF"/>
            <w:sz w:val="28"/>
            <w:szCs w:val="28"/>
            <w:u w:val="single"/>
            <w:rtl/>
          </w:rPr>
          <w:t>רע"פ 636/21</w:t>
        </w:r>
      </w:hyperlink>
      <w:r>
        <w:rPr>
          <w:rFonts w:ascii="FrankRuehl" w:hAnsi="FrankRuehl" w:cs="FrankRuehl"/>
          <w:sz w:val="28"/>
          <w:szCs w:val="28"/>
        </w:rPr>
        <w:t xml:space="preserve"> </w:t>
      </w:r>
      <w:r>
        <w:rPr>
          <w:rFonts w:ascii="Miriam" w:hAnsi="Miriam" w:cs="Miriam"/>
          <w:rtl/>
        </w:rPr>
        <w:t>לוי נ' מדינת ישראל</w:t>
      </w:r>
      <w:r>
        <w:rPr>
          <w:rFonts w:ascii="FrankRuehl" w:hAnsi="FrankRuehl" w:cs="FrankRuehl"/>
          <w:rtl/>
        </w:rPr>
        <w:t xml:space="preserve"> </w:t>
      </w:r>
      <w:r>
        <w:rPr>
          <w:rFonts w:ascii="FrankRuehl" w:hAnsi="FrankRuehl" w:cs="FrankRuehl"/>
          <w:sz w:val="28"/>
          <w:szCs w:val="28"/>
          <w:rtl/>
        </w:rPr>
        <w:t>(16.2.2021);</w:t>
      </w:r>
      <w:r>
        <w:rPr>
          <w:rFonts w:ascii="FrankRuehl" w:hAnsi="FrankRuehl" w:cs="FrankRuehl"/>
          <w:sz w:val="28"/>
          <w:szCs w:val="28"/>
        </w:rPr>
        <w:t xml:space="preserve"> </w:t>
      </w:r>
      <w:hyperlink r:id="rId49" w:history="1">
        <w:r w:rsidR="009804F2" w:rsidRPr="009804F2">
          <w:rPr>
            <w:rFonts w:ascii="FrankRuehl" w:hAnsi="FrankRuehl" w:cs="FrankRuehl"/>
            <w:color w:val="0000FF"/>
            <w:sz w:val="28"/>
            <w:szCs w:val="28"/>
            <w:u w:val="single"/>
            <w:rtl/>
          </w:rPr>
          <w:t>רע"פ 322/15</w:t>
        </w:r>
      </w:hyperlink>
      <w:r>
        <w:rPr>
          <w:rFonts w:ascii="FrankRuehl" w:hAnsi="FrankRuehl" w:cs="FrankRuehl"/>
          <w:sz w:val="28"/>
          <w:szCs w:val="28"/>
          <w:rtl/>
        </w:rPr>
        <w:t xml:space="preserve"> </w:t>
      </w:r>
      <w:r>
        <w:rPr>
          <w:rFonts w:ascii="Miriam" w:hAnsi="Miriam" w:cs="Miriam"/>
          <w:rtl/>
        </w:rPr>
        <w:t>ג'אנח נ' מדינת ישראל</w:t>
      </w:r>
      <w:r>
        <w:rPr>
          <w:rFonts w:ascii="FrankRuehl" w:hAnsi="FrankRuehl" w:cs="FrankRuehl"/>
          <w:sz w:val="28"/>
          <w:szCs w:val="28"/>
          <w:rtl/>
        </w:rPr>
        <w:t xml:space="preserve"> (22.1.2015); </w:t>
      </w:r>
      <w:hyperlink r:id="rId50" w:history="1">
        <w:r w:rsidR="009804F2" w:rsidRPr="009804F2">
          <w:rPr>
            <w:rFonts w:ascii="FrankRuehl" w:hAnsi="FrankRuehl" w:cs="FrankRuehl"/>
            <w:color w:val="0000FF"/>
            <w:sz w:val="28"/>
            <w:szCs w:val="28"/>
            <w:u w:val="single"/>
            <w:rtl/>
          </w:rPr>
          <w:t>ת"פ 33125-01-14</w:t>
        </w:r>
      </w:hyperlink>
      <w:r>
        <w:rPr>
          <w:rFonts w:ascii="FrankRuehl" w:hAnsi="FrankRuehl" w:cs="FrankRuehl"/>
          <w:sz w:val="28"/>
          <w:szCs w:val="28"/>
          <w:rtl/>
        </w:rPr>
        <w:t xml:space="preserve"> </w:t>
      </w:r>
      <w:r>
        <w:rPr>
          <w:rFonts w:ascii="Miriam" w:hAnsi="Miriam" w:cs="Miriam"/>
          <w:rtl/>
        </w:rPr>
        <w:t>פרקליטות מחוז מרכז נ' אלטורי</w:t>
      </w:r>
      <w:r>
        <w:rPr>
          <w:rFonts w:ascii="FrankRuehl" w:hAnsi="FrankRuehl" w:cs="FrankRuehl"/>
          <w:sz w:val="28"/>
          <w:szCs w:val="28"/>
          <w:rtl/>
        </w:rPr>
        <w:t xml:space="preserve"> (27.4.2015).</w:t>
      </w:r>
    </w:p>
    <w:p w14:paraId="7F9A044D" w14:textId="77777777" w:rsidR="00AB5C31" w:rsidRPr="004A2527" w:rsidRDefault="00AB5C31" w:rsidP="00AB5C31">
      <w:pPr>
        <w:pStyle w:val="aa"/>
        <w:rPr>
          <w:rFonts w:ascii="FrankRuehl" w:hAnsi="FrankRuehl" w:cs="FrankRuehl"/>
          <w:sz w:val="28"/>
          <w:szCs w:val="28"/>
          <w:rtl/>
        </w:rPr>
      </w:pPr>
    </w:p>
    <w:p w14:paraId="52A3F2C9"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לאור כל האמור</w:t>
      </w:r>
      <w:r>
        <w:rPr>
          <w:rFonts w:ascii="FrankRuehl" w:hAnsi="FrankRuehl" w:cs="FrankRuehl" w:hint="cs"/>
          <w:sz w:val="28"/>
          <w:szCs w:val="28"/>
          <w:rtl/>
        </w:rPr>
        <w:t>,</w:t>
      </w:r>
      <w:r>
        <w:rPr>
          <w:rFonts w:ascii="FrankRuehl" w:hAnsi="FrankRuehl" w:cs="FrankRuehl"/>
          <w:sz w:val="28"/>
          <w:szCs w:val="28"/>
          <w:rtl/>
        </w:rPr>
        <w:t xml:space="preserve"> בהתחשב בנסיבות ביצוע העבירה, מידת הפגיעה בערכים המוגנים, מדיניות הענישה הנהוגה, מצאתי לקבוע את מתחם העונש ההולם כנע בין מאסר מותנה ועד לשנת מאסר, לצד רכיבי ענישה נוספים.</w:t>
      </w:r>
      <w:r>
        <w:rPr>
          <w:rFonts w:ascii="FrankRuehl" w:hAnsi="FrankRuehl" w:cs="FrankRuehl" w:hint="cs"/>
          <w:sz w:val="28"/>
          <w:szCs w:val="28"/>
          <w:rtl/>
        </w:rPr>
        <w:t xml:space="preserve"> </w:t>
      </w:r>
    </w:p>
    <w:p w14:paraId="76A5E9C0" w14:textId="77777777" w:rsidR="00AB5C31" w:rsidRDefault="00AB5C31" w:rsidP="00AB5C31">
      <w:pPr>
        <w:spacing w:before="100" w:beforeAutospacing="1" w:after="120"/>
        <w:ind w:left="84"/>
        <w:jc w:val="both"/>
        <w:rPr>
          <w:rFonts w:ascii="Miriam" w:hAnsi="Miriam" w:cs="Miriam"/>
        </w:rPr>
      </w:pPr>
      <w:r>
        <w:rPr>
          <w:rFonts w:ascii="Miriam" w:hAnsi="Miriam" w:cs="Miriam"/>
          <w:rtl/>
        </w:rPr>
        <w:t>קביעת העונש בתוך המתחם</w:t>
      </w:r>
    </w:p>
    <w:p w14:paraId="560557B2"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לא מצאתי כי מתקיימות נסיבות לחומרה או לקולה המצדיקות חריגה ממתחם העונש ההולם. לפיכך יש לקבוע את עונשו של הנאשם תוך התחשבות בנסיבות שאינן קשורות בביצוע העבירה (</w:t>
      </w:r>
      <w:hyperlink r:id="rId51" w:history="1">
        <w:r w:rsidR="00EA2397" w:rsidRPr="00EA2397">
          <w:rPr>
            <w:rStyle w:val="Hyperlink"/>
            <w:rFonts w:ascii="FrankRuehl" w:hAnsi="FrankRuehl" w:cs="FrankRuehl"/>
            <w:sz w:val="28"/>
            <w:szCs w:val="28"/>
            <w:rtl/>
          </w:rPr>
          <w:t>סעיף 40(יא)</w:t>
        </w:r>
      </w:hyperlink>
      <w:r>
        <w:rPr>
          <w:rFonts w:ascii="FrankRuehl" w:hAnsi="FrankRuehl" w:cs="FrankRuehl"/>
          <w:sz w:val="28"/>
          <w:szCs w:val="28"/>
          <w:rtl/>
        </w:rPr>
        <w:t xml:space="preserve"> ל</w:t>
      </w:r>
      <w:hyperlink r:id="rId52" w:history="1">
        <w:r w:rsidR="009804F2" w:rsidRPr="009804F2">
          <w:rPr>
            <w:rFonts w:ascii="FrankRuehl" w:hAnsi="FrankRuehl" w:cs="FrankRuehl"/>
            <w:color w:val="0000FF"/>
            <w:sz w:val="28"/>
            <w:szCs w:val="28"/>
            <w:u w:val="single"/>
            <w:rtl/>
          </w:rPr>
          <w:t>חוק העונשין</w:t>
        </w:r>
      </w:hyperlink>
      <w:r>
        <w:rPr>
          <w:rFonts w:ascii="FrankRuehl" w:hAnsi="FrankRuehl" w:cs="FrankRuehl"/>
          <w:sz w:val="28"/>
          <w:szCs w:val="28"/>
          <w:rtl/>
        </w:rPr>
        <w:t>)</w:t>
      </w:r>
      <w:r>
        <w:rPr>
          <w:rFonts w:ascii="FrankRuehl" w:hAnsi="FrankRuehl" w:cs="FrankRuehl" w:hint="cs"/>
          <w:sz w:val="28"/>
          <w:szCs w:val="28"/>
          <w:rtl/>
        </w:rPr>
        <w:t xml:space="preserve"> כדלקמן: </w:t>
      </w:r>
      <w:r>
        <w:rPr>
          <w:rFonts w:ascii="FrankRuehl" w:hAnsi="FrankRuehl" w:cs="FrankRuehl"/>
          <w:sz w:val="28"/>
          <w:szCs w:val="28"/>
          <w:rtl/>
        </w:rPr>
        <w:t xml:space="preserve"> </w:t>
      </w:r>
    </w:p>
    <w:p w14:paraId="260225B3" w14:textId="77777777" w:rsidR="00AB5C31" w:rsidRPr="00D74B40" w:rsidRDefault="00AB5C31" w:rsidP="00AB5C31">
      <w:pPr>
        <w:pStyle w:val="aa"/>
        <w:spacing w:before="100" w:beforeAutospacing="1" w:after="120"/>
        <w:ind w:left="84"/>
        <w:jc w:val="both"/>
        <w:rPr>
          <w:rFonts w:ascii="FrankRuehl" w:hAnsi="FrankRuehl" w:cs="FrankRuehl"/>
          <w:sz w:val="28"/>
          <w:szCs w:val="28"/>
          <w:rtl/>
        </w:rPr>
      </w:pPr>
    </w:p>
    <w:p w14:paraId="3B6D1C4B"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הנאשם</w:t>
      </w:r>
      <w:r>
        <w:rPr>
          <w:rFonts w:ascii="FrankRuehl" w:hAnsi="FrankRuehl" w:cs="FrankRuehl" w:hint="cs"/>
          <w:sz w:val="28"/>
          <w:szCs w:val="28"/>
          <w:rtl/>
        </w:rPr>
        <w:t>,</w:t>
      </w:r>
      <w:r>
        <w:rPr>
          <w:rFonts w:ascii="FrankRuehl" w:hAnsi="FrankRuehl" w:cs="FrankRuehl"/>
          <w:sz w:val="28"/>
          <w:szCs w:val="28"/>
          <w:rtl/>
        </w:rPr>
        <w:t xml:space="preserve"> בחור צעיר, יליד שנת 1993</w:t>
      </w:r>
      <w:r>
        <w:rPr>
          <w:rFonts w:ascii="FrankRuehl" w:hAnsi="FrankRuehl" w:cs="FrankRuehl" w:hint="cs"/>
          <w:sz w:val="28"/>
          <w:szCs w:val="28"/>
          <w:rtl/>
        </w:rPr>
        <w:t>, מוצאו במשפחה נורמטיבית, נשוי ואב ל-4 ילדים קטינים בגילאי שנתיים עד ארבע</w:t>
      </w:r>
      <w:r>
        <w:rPr>
          <w:rFonts w:ascii="FrankRuehl" w:hAnsi="FrankRuehl" w:cs="FrankRuehl"/>
          <w:sz w:val="28"/>
          <w:szCs w:val="28"/>
          <w:rtl/>
        </w:rPr>
        <w:t xml:space="preserve">. </w:t>
      </w:r>
      <w:r>
        <w:rPr>
          <w:rFonts w:ascii="FrankRuehl" w:hAnsi="FrankRuehl" w:cs="FrankRuehl" w:hint="cs"/>
          <w:sz w:val="28"/>
          <w:szCs w:val="28"/>
          <w:rtl/>
        </w:rPr>
        <w:t xml:space="preserve">הנאשם </w:t>
      </w:r>
      <w:r>
        <w:rPr>
          <w:rFonts w:ascii="FrankRuehl" w:hAnsi="FrankRuehl" w:cs="FrankRuehl"/>
          <w:sz w:val="28"/>
          <w:szCs w:val="28"/>
          <w:rtl/>
        </w:rPr>
        <w:t xml:space="preserve">נעדר עבר פלילי. </w:t>
      </w:r>
      <w:r>
        <w:rPr>
          <w:rFonts w:ascii="FrankRuehl" w:hAnsi="FrankRuehl" w:cs="FrankRuehl" w:hint="cs"/>
          <w:sz w:val="28"/>
          <w:szCs w:val="28"/>
          <w:rtl/>
        </w:rPr>
        <w:t xml:space="preserve">הוא השלים 8 שנות לימוד במסגרת תורנית, המשיך לימודיו בישיבה. מגיל 17 עבד בעבודות מזדמנות ובהן, עבודות בניין, שליח בשופרסל. </w:t>
      </w:r>
    </w:p>
    <w:p w14:paraId="63E34209" w14:textId="77777777" w:rsidR="00AB5C31" w:rsidRPr="007141F8" w:rsidRDefault="00AB5C31" w:rsidP="00AB5C31">
      <w:pPr>
        <w:pStyle w:val="aa"/>
        <w:rPr>
          <w:rFonts w:ascii="FrankRuehl" w:hAnsi="FrankRuehl" w:cs="FrankRuehl"/>
          <w:sz w:val="28"/>
          <w:szCs w:val="28"/>
          <w:rtl/>
        </w:rPr>
      </w:pPr>
    </w:p>
    <w:p w14:paraId="2069367A"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hint="cs"/>
          <w:sz w:val="28"/>
          <w:szCs w:val="28"/>
          <w:rtl/>
        </w:rPr>
        <w:t xml:space="preserve">הנאשם </w:t>
      </w:r>
      <w:r>
        <w:rPr>
          <w:rFonts w:ascii="FrankRuehl" w:hAnsi="FrankRuehl" w:cs="FrankRuehl"/>
          <w:sz w:val="28"/>
          <w:szCs w:val="28"/>
          <w:rtl/>
        </w:rPr>
        <w:t>הודה בהזדמנות הראשונה מבלי שגובש בין הצדדים הסדר טיעון ל</w:t>
      </w:r>
      <w:r>
        <w:rPr>
          <w:rFonts w:ascii="FrankRuehl" w:hAnsi="FrankRuehl" w:cs="FrankRuehl" w:hint="cs"/>
          <w:sz w:val="28"/>
          <w:szCs w:val="28"/>
          <w:rtl/>
        </w:rPr>
        <w:t>עניין ה</w:t>
      </w:r>
      <w:r>
        <w:rPr>
          <w:rFonts w:ascii="FrankRuehl" w:hAnsi="FrankRuehl" w:cs="FrankRuehl"/>
          <w:sz w:val="28"/>
          <w:szCs w:val="28"/>
          <w:rtl/>
        </w:rPr>
        <w:t xml:space="preserve">עונש ובכך העמיד את עצמו לשבט או לחסד של בית המשפט. הודאתו חסכה זמן שיפוטי, אך חשוב מכך הודאה מלמדת על הפנמת הפסול במעשיו והבעת חרטה כנה ואמתית. </w:t>
      </w:r>
    </w:p>
    <w:p w14:paraId="7F5BACAD" w14:textId="77777777" w:rsidR="00AB5C31" w:rsidRPr="00590CF6" w:rsidRDefault="00AB5C31" w:rsidP="00AB5C31">
      <w:pPr>
        <w:pStyle w:val="aa"/>
        <w:spacing w:before="100" w:beforeAutospacing="1" w:after="120"/>
        <w:ind w:left="84"/>
        <w:jc w:val="both"/>
        <w:rPr>
          <w:rFonts w:ascii="FrankRuehl" w:hAnsi="FrankRuehl" w:cs="FrankRuehl"/>
          <w:sz w:val="28"/>
          <w:szCs w:val="28"/>
        </w:rPr>
      </w:pPr>
    </w:p>
    <w:p w14:paraId="7AFC5830"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הנאשם נותן את הדין ולראשונה בחייו. לא מדובר במי שמנהל אורח חיים עברייני</w:t>
      </w:r>
      <w:r>
        <w:rPr>
          <w:rFonts w:ascii="FrankRuehl" w:hAnsi="FrankRuehl" w:cs="FrankRuehl" w:hint="cs"/>
          <w:sz w:val="28"/>
          <w:szCs w:val="28"/>
          <w:rtl/>
        </w:rPr>
        <w:t xml:space="preserve">, שולי, על אף שדיווח כי בעבר עשה שימוש מזדמן בסמים, הוא לא מנהל אורח חיים </w:t>
      </w:r>
      <w:r>
        <w:rPr>
          <w:rFonts w:ascii="FrankRuehl" w:hAnsi="FrankRuehl" w:cs="FrankRuehl"/>
          <w:sz w:val="28"/>
          <w:szCs w:val="28"/>
          <w:rtl/>
        </w:rPr>
        <w:t>התמכרותי</w:t>
      </w:r>
      <w:r>
        <w:rPr>
          <w:rFonts w:ascii="FrankRuehl" w:hAnsi="FrankRuehl" w:cs="FrankRuehl" w:hint="cs"/>
          <w:sz w:val="28"/>
          <w:szCs w:val="28"/>
          <w:rtl/>
        </w:rPr>
        <w:t>,</w:t>
      </w:r>
      <w:r>
        <w:rPr>
          <w:rFonts w:ascii="FrankRuehl" w:hAnsi="FrankRuehl" w:cs="FrankRuehl"/>
          <w:sz w:val="28"/>
          <w:szCs w:val="28"/>
          <w:rtl/>
        </w:rPr>
        <w:t xml:space="preserve"> ולראייה </w:t>
      </w:r>
      <w:r>
        <w:rPr>
          <w:rFonts w:ascii="FrankRuehl" w:hAnsi="FrankRuehl" w:cs="FrankRuehl" w:hint="cs"/>
          <w:sz w:val="28"/>
          <w:szCs w:val="28"/>
          <w:rtl/>
        </w:rPr>
        <w:t xml:space="preserve">הציג בדיקות שתן שערך באופן פרטי ומיוזמתו המעידות על </w:t>
      </w:r>
      <w:r>
        <w:rPr>
          <w:rFonts w:ascii="FrankRuehl" w:hAnsi="FrankRuehl" w:cs="FrankRuehl"/>
          <w:sz w:val="28"/>
          <w:szCs w:val="28"/>
          <w:rtl/>
        </w:rPr>
        <w:t>ניקיון מסמים (</w:t>
      </w:r>
      <w:r>
        <w:rPr>
          <w:rFonts w:ascii="Miriam" w:hAnsi="Miriam" w:cs="Miriam"/>
          <w:rtl/>
        </w:rPr>
        <w:t>נ/1</w:t>
      </w:r>
      <w:r>
        <w:rPr>
          <w:rFonts w:ascii="FrankRuehl" w:hAnsi="FrankRuehl" w:cs="FrankRuehl"/>
          <w:sz w:val="28"/>
          <w:szCs w:val="28"/>
          <w:rtl/>
        </w:rPr>
        <w:t>)</w:t>
      </w:r>
      <w:r>
        <w:rPr>
          <w:rFonts w:ascii="FrankRuehl" w:hAnsi="FrankRuehl" w:cs="FrankRuehl" w:hint="cs"/>
          <w:sz w:val="28"/>
          <w:szCs w:val="28"/>
          <w:rtl/>
        </w:rPr>
        <w:t xml:space="preserve">. </w:t>
      </w:r>
    </w:p>
    <w:p w14:paraId="3DD026A5" w14:textId="77777777" w:rsidR="00AB5C31" w:rsidRPr="00CE4E32" w:rsidRDefault="00AB5C31" w:rsidP="00AB5C31">
      <w:pPr>
        <w:pStyle w:val="aa"/>
        <w:rPr>
          <w:rFonts w:ascii="FrankRuehl" w:hAnsi="FrankRuehl" w:cs="FrankRuehl"/>
          <w:sz w:val="28"/>
          <w:szCs w:val="28"/>
          <w:rtl/>
        </w:rPr>
      </w:pPr>
    </w:p>
    <w:p w14:paraId="75674F7F" w14:textId="77777777" w:rsidR="00AB5C31" w:rsidRPr="00CE4E32"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sidRPr="00CE4E32">
        <w:rPr>
          <w:rFonts w:ascii="FrankRuehl" w:hAnsi="FrankRuehl" w:cs="FrankRuehl" w:hint="cs"/>
          <w:sz w:val="28"/>
          <w:szCs w:val="28"/>
          <w:rtl/>
        </w:rPr>
        <w:t xml:space="preserve">התרשמתי כי הנאשם הבין את חומרת מעשיו, היטיב את דרכיו, ולא רק שהוא נמנע ממעורבות בפלילים, אלא </w:t>
      </w:r>
      <w:r>
        <w:rPr>
          <w:rFonts w:ascii="FrankRuehl" w:hAnsi="FrankRuehl" w:cs="FrankRuehl" w:hint="cs"/>
          <w:sz w:val="28"/>
          <w:szCs w:val="28"/>
          <w:rtl/>
        </w:rPr>
        <w:t>ניכר כ</w:t>
      </w:r>
      <w:r w:rsidRPr="00CE4E32">
        <w:rPr>
          <w:rFonts w:ascii="FrankRuehl" w:hAnsi="FrankRuehl" w:cs="FrankRuehl" w:hint="cs"/>
          <w:sz w:val="28"/>
          <w:szCs w:val="28"/>
          <w:rtl/>
        </w:rPr>
        <w:t xml:space="preserve">י </w:t>
      </w:r>
      <w:r w:rsidRPr="00CE4E32">
        <w:rPr>
          <w:rFonts w:ascii="FrankRuehl" w:hAnsi="FrankRuehl" w:cs="FrankRuehl"/>
          <w:sz w:val="28"/>
          <w:szCs w:val="28"/>
          <w:rtl/>
        </w:rPr>
        <w:t>ה</w:t>
      </w:r>
      <w:r>
        <w:rPr>
          <w:rFonts w:ascii="FrankRuehl" w:hAnsi="FrankRuehl" w:cs="FrankRuehl" w:hint="cs"/>
          <w:sz w:val="28"/>
          <w:szCs w:val="28"/>
          <w:rtl/>
        </w:rPr>
        <w:t>לה</w:t>
      </w:r>
      <w:r w:rsidRPr="00CE4E32">
        <w:rPr>
          <w:rFonts w:ascii="FrankRuehl" w:hAnsi="FrankRuehl" w:cs="FrankRuehl"/>
          <w:sz w:val="28"/>
          <w:szCs w:val="28"/>
          <w:rtl/>
        </w:rPr>
        <w:t xml:space="preserve"> משקיע את מרב מאמציו במישור התעסוקתי והמשפחתי ונמסר כי מהווה את עמוד התווך במשפחה. הנאשם מבטא רצון להמשיך ולנהל אורח חיים תקין ומתפקד</w:t>
      </w:r>
      <w:r w:rsidRPr="00CE4E32">
        <w:rPr>
          <w:rFonts w:ascii="FrankRuehl" w:hAnsi="FrankRuehl" w:cs="FrankRuehl" w:hint="cs"/>
          <w:sz w:val="28"/>
          <w:szCs w:val="28"/>
          <w:rtl/>
        </w:rPr>
        <w:t>,</w:t>
      </w:r>
      <w:r w:rsidRPr="00CE4E32">
        <w:rPr>
          <w:rFonts w:ascii="FrankRuehl" w:hAnsi="FrankRuehl" w:cs="FrankRuehl"/>
          <w:sz w:val="28"/>
          <w:szCs w:val="28"/>
          <w:rtl/>
        </w:rPr>
        <w:t xml:space="preserve"> ולאחרונה נקשר בחוזה באשר לעסק המשפחתי ונטל על עצמו התחייבויות כספיות. במובן זה, שליחתו של הנאשם לריצוי עונש מאסר בדרך של עבודות שירות עשוי</w:t>
      </w:r>
      <w:r w:rsidRPr="00CE4E32">
        <w:rPr>
          <w:rFonts w:ascii="FrankRuehl" w:hAnsi="FrankRuehl" w:cs="FrankRuehl" w:hint="cs"/>
          <w:sz w:val="28"/>
          <w:szCs w:val="28"/>
          <w:rtl/>
        </w:rPr>
        <w:t>ה</w:t>
      </w:r>
      <w:r w:rsidRPr="00CE4E32">
        <w:rPr>
          <w:rFonts w:ascii="FrankRuehl" w:hAnsi="FrankRuehl" w:cs="FrankRuehl"/>
          <w:sz w:val="28"/>
          <w:szCs w:val="28"/>
          <w:rtl/>
        </w:rPr>
        <w:t xml:space="preserve"> לפגוע לא רק בנאשם </w:t>
      </w:r>
      <w:r>
        <w:rPr>
          <w:rFonts w:ascii="FrankRuehl" w:hAnsi="FrankRuehl" w:cs="FrankRuehl" w:hint="cs"/>
          <w:sz w:val="28"/>
          <w:szCs w:val="28"/>
          <w:rtl/>
        </w:rPr>
        <w:t>ו</w:t>
      </w:r>
      <w:r w:rsidRPr="00CE4E32">
        <w:rPr>
          <w:rFonts w:ascii="FrankRuehl" w:hAnsi="FrankRuehl" w:cs="FrankRuehl"/>
          <w:sz w:val="28"/>
          <w:szCs w:val="28"/>
          <w:rtl/>
        </w:rPr>
        <w:t xml:space="preserve">במשפחתו </w:t>
      </w:r>
      <w:r w:rsidRPr="00CE4E32">
        <w:rPr>
          <w:rFonts w:ascii="FrankRuehl" w:hAnsi="FrankRuehl" w:cs="FrankRuehl" w:hint="cs"/>
          <w:sz w:val="28"/>
          <w:szCs w:val="28"/>
          <w:rtl/>
        </w:rPr>
        <w:t xml:space="preserve">הגרעינית וילדיו הקטינים אלא גם במשפחתו </w:t>
      </w:r>
      <w:r w:rsidRPr="00CE4E32">
        <w:rPr>
          <w:rFonts w:ascii="FrankRuehl" w:hAnsi="FrankRuehl" w:cs="FrankRuehl"/>
          <w:sz w:val="28"/>
          <w:szCs w:val="28"/>
          <w:rtl/>
        </w:rPr>
        <w:t>המורחבת.</w:t>
      </w:r>
    </w:p>
    <w:p w14:paraId="1761A6E3" w14:textId="77777777" w:rsidR="00AB5C31" w:rsidRPr="007141F8" w:rsidRDefault="00AB5C31" w:rsidP="00AB5C31">
      <w:pPr>
        <w:pStyle w:val="aa"/>
        <w:rPr>
          <w:rFonts w:ascii="FrankRuehl" w:hAnsi="FrankRuehl" w:cs="FrankRuehl"/>
          <w:sz w:val="28"/>
          <w:szCs w:val="28"/>
          <w:rtl/>
        </w:rPr>
      </w:pPr>
    </w:p>
    <w:p w14:paraId="184C0DBC"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sz w:val="28"/>
          <w:szCs w:val="28"/>
          <w:rtl/>
        </w:rPr>
        <w:t>מכל האמור עולה כי מעורבותו של הנאשם בפלילים חריגה לאורחות חייו, ובהינתן סוג העבירה, מאפייניה והשלכותיה וכאשר לא נדרשת מעורבות טיפולית בתחום ההתמכרויות,</w:t>
      </w:r>
      <w:r>
        <w:rPr>
          <w:rFonts w:ascii="FrankRuehl" w:hAnsi="FrankRuehl" w:cs="FrankRuehl" w:hint="cs"/>
          <w:sz w:val="28"/>
          <w:szCs w:val="28"/>
          <w:rtl/>
        </w:rPr>
        <w:t xml:space="preserve"> ו</w:t>
      </w:r>
      <w:r>
        <w:rPr>
          <w:rFonts w:ascii="FrankRuehl" w:hAnsi="FrankRuehl" w:cs="FrankRuehl"/>
          <w:sz w:val="28"/>
          <w:szCs w:val="28"/>
          <w:rtl/>
        </w:rPr>
        <w:t>בהינתן לקיחת האחריות המלאה, קיומם של גורמי תמיכה, חלוף הזמן, העדר מעורבות בפעילות פורצת חוק, היותו של ההליך הפלילי מרתיע ומציב גבול, וכאשר אפשר להתרשם כי הנאשם מרכז את מרב מרצו ומאמצ</w:t>
      </w:r>
      <w:r>
        <w:rPr>
          <w:rFonts w:ascii="FrankRuehl" w:hAnsi="FrankRuehl" w:cs="FrankRuehl" w:hint="cs"/>
          <w:sz w:val="28"/>
          <w:szCs w:val="28"/>
          <w:rtl/>
        </w:rPr>
        <w:t>י</w:t>
      </w:r>
      <w:r>
        <w:rPr>
          <w:rFonts w:ascii="FrankRuehl" w:hAnsi="FrankRuehl" w:cs="FrankRuehl"/>
          <w:sz w:val="28"/>
          <w:szCs w:val="28"/>
          <w:rtl/>
        </w:rPr>
        <w:t>ו בשמירה על מסגרת תעסוקתית יציבה</w:t>
      </w:r>
      <w:r>
        <w:rPr>
          <w:rFonts w:ascii="FrankRuehl" w:hAnsi="FrankRuehl" w:cs="FrankRuehl" w:hint="cs"/>
          <w:sz w:val="28"/>
          <w:szCs w:val="28"/>
          <w:rtl/>
        </w:rPr>
        <w:t xml:space="preserve">, </w:t>
      </w:r>
      <w:r>
        <w:rPr>
          <w:rFonts w:ascii="FrankRuehl" w:hAnsi="FrankRuehl" w:cs="FrankRuehl"/>
          <w:sz w:val="28"/>
          <w:szCs w:val="28"/>
          <w:rtl/>
        </w:rPr>
        <w:t xml:space="preserve">הרי </w:t>
      </w:r>
      <w:r>
        <w:rPr>
          <w:rFonts w:ascii="FrankRuehl" w:hAnsi="FrankRuehl" w:cs="FrankRuehl" w:hint="cs"/>
          <w:sz w:val="28"/>
          <w:szCs w:val="28"/>
          <w:rtl/>
        </w:rPr>
        <w:t>ש</w:t>
      </w:r>
      <w:r>
        <w:rPr>
          <w:rFonts w:ascii="FrankRuehl" w:hAnsi="FrankRuehl" w:cs="FrankRuehl"/>
          <w:sz w:val="28"/>
          <w:szCs w:val="28"/>
          <w:rtl/>
        </w:rPr>
        <w:t>אפשר להעריך את רמת הסיכון להישנות עבירות בעתיד כנמוכה.</w:t>
      </w:r>
      <w:r>
        <w:rPr>
          <w:rFonts w:ascii="FrankRuehl" w:hAnsi="FrankRuehl" w:cs="FrankRuehl" w:hint="cs"/>
          <w:sz w:val="28"/>
          <w:szCs w:val="28"/>
          <w:rtl/>
        </w:rPr>
        <w:t xml:space="preserve"> </w:t>
      </w:r>
      <w:r>
        <w:rPr>
          <w:rFonts w:ascii="FrankRuehl" w:hAnsi="FrankRuehl" w:cs="FrankRuehl"/>
          <w:sz w:val="28"/>
          <w:szCs w:val="28"/>
          <w:rtl/>
        </w:rPr>
        <w:t xml:space="preserve"> </w:t>
      </w:r>
    </w:p>
    <w:p w14:paraId="38B7B2C6" w14:textId="77777777" w:rsidR="00AB5C31" w:rsidRPr="003F6749" w:rsidRDefault="00AB5C31" w:rsidP="00AB5C31">
      <w:pPr>
        <w:pStyle w:val="aa"/>
        <w:rPr>
          <w:rFonts w:ascii="FrankRuehl" w:hAnsi="FrankRuehl" w:cs="FrankRuehl"/>
          <w:sz w:val="28"/>
          <w:szCs w:val="28"/>
          <w:rtl/>
        </w:rPr>
      </w:pPr>
    </w:p>
    <w:p w14:paraId="7A5228B9"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hint="cs"/>
          <w:sz w:val="28"/>
          <w:szCs w:val="28"/>
          <w:rtl/>
        </w:rPr>
        <w:t xml:space="preserve">כל אלו מובילים אותי למסקנה כי יש לגזור את עונשו של הנאשם בתחתית המתחם אותו קבעתי, שהגבול התחתון כאמור מתחיל במאסר מותנה. תוספת הרתעה תושג בחתימה על התחייבות ובסכום גבוה וכן בהטלת רכיב כלכלי. בנוסף, </w:t>
      </w:r>
      <w:r>
        <w:rPr>
          <w:rFonts w:ascii="FrankRuehl" w:hAnsi="FrankRuehl" w:cs="FrankRuehl"/>
          <w:sz w:val="28"/>
          <w:szCs w:val="28"/>
          <w:rtl/>
        </w:rPr>
        <w:t xml:space="preserve">שקלתי האם יש מקום להטיל על הנאשם עונש חינוכי בדמות צו של"צ ואולם, לנוכח שעות העבודה המרובות של הנאשם ובהינתן הפגיעה הקשה במקור לחמו, לא מצאתי לעשות כן. עם זאת, במצב דברים זה, האיזון הראוי בין רכיבי הענישה השונים </w:t>
      </w:r>
      <w:r>
        <w:rPr>
          <w:rFonts w:ascii="FrankRuehl" w:hAnsi="FrankRuehl" w:cs="FrankRuehl" w:hint="cs"/>
          <w:sz w:val="28"/>
          <w:szCs w:val="28"/>
          <w:rtl/>
        </w:rPr>
        <w:t xml:space="preserve">אותם קבעתי </w:t>
      </w:r>
      <w:r>
        <w:rPr>
          <w:rFonts w:ascii="FrankRuehl" w:hAnsi="FrankRuehl" w:cs="FrankRuehl"/>
          <w:sz w:val="28"/>
          <w:szCs w:val="28"/>
          <w:rtl/>
        </w:rPr>
        <w:t xml:space="preserve">יוביל להשתת קנס </w:t>
      </w:r>
      <w:r>
        <w:rPr>
          <w:rFonts w:ascii="FrankRuehl" w:hAnsi="FrankRuehl" w:cs="FrankRuehl" w:hint="cs"/>
          <w:sz w:val="28"/>
          <w:szCs w:val="28"/>
          <w:rtl/>
        </w:rPr>
        <w:t>על הצד ה</w:t>
      </w:r>
      <w:r>
        <w:rPr>
          <w:rFonts w:ascii="FrankRuehl" w:hAnsi="FrankRuehl" w:cs="FrankRuehl"/>
          <w:sz w:val="28"/>
          <w:szCs w:val="28"/>
          <w:rtl/>
        </w:rPr>
        <w:t xml:space="preserve">גבוה.  </w:t>
      </w:r>
    </w:p>
    <w:p w14:paraId="3CF13665" w14:textId="77777777" w:rsidR="00AB5C31" w:rsidRPr="00D34C07" w:rsidRDefault="00AB5C31" w:rsidP="00AB5C31">
      <w:pPr>
        <w:pStyle w:val="aa"/>
        <w:rPr>
          <w:rFonts w:ascii="FrankRuehl" w:hAnsi="FrankRuehl" w:cs="FrankRuehl"/>
          <w:sz w:val="28"/>
          <w:szCs w:val="28"/>
          <w:rtl/>
        </w:rPr>
      </w:pPr>
    </w:p>
    <w:p w14:paraId="0CC09DD5" w14:textId="77777777" w:rsidR="00AB5C31"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Pr>
          <w:rFonts w:ascii="FrankRuehl" w:hAnsi="FrankRuehl" w:cs="FrankRuehl" w:hint="cs"/>
          <w:sz w:val="28"/>
          <w:szCs w:val="28"/>
          <w:rtl/>
        </w:rPr>
        <w:t xml:space="preserve">טרם סיום. כזכור, הצדדים ביקשו בעת הצגת ההסדר כי יתקבל תסקיר מטעם שירות המבחן. אך לא מצאתי, בנסיבות המקרה הפרטני, כי הדבר הכרחי או נדרש. אסביר. ככלל, הערכת הסיכון להישנות עבירות בעתיד שמורה לבית המשפט ותסקיר שירות המבחן במובן זה מהווה כלי עזר בלבד. נצרף לכך את העובדה כי שירות המבחן עמוס לעייפה, ומוגשות לבית המשפט בקשות דחייה רבות בתיקים בהם נדרשת ומתחייבת מעורבות טיפולית, שלא כמו בעניינו. הצפי לקבלת תסקיר ראשון עומד על 12-10 חודשים, ולעיתים לצורך קבלת תסקיר שני נדרש פרק זמן נוסף של 3-4 חודשים. </w:t>
      </w:r>
    </w:p>
    <w:p w14:paraId="54739F63" w14:textId="77777777" w:rsidR="00AB5C31" w:rsidRPr="009C3204" w:rsidRDefault="00AB5C31" w:rsidP="00AB5C31">
      <w:pPr>
        <w:pStyle w:val="aa"/>
        <w:rPr>
          <w:rFonts w:ascii="FrankRuehl" w:hAnsi="FrankRuehl" w:cs="FrankRuehl"/>
          <w:sz w:val="28"/>
          <w:szCs w:val="28"/>
          <w:rtl/>
        </w:rPr>
      </w:pPr>
    </w:p>
    <w:p w14:paraId="72B67CD7" w14:textId="77777777" w:rsidR="00AB5C31" w:rsidRPr="00385E10" w:rsidRDefault="00AB5C31" w:rsidP="00AB5C31">
      <w:pPr>
        <w:pStyle w:val="aa"/>
        <w:numPr>
          <w:ilvl w:val="0"/>
          <w:numId w:val="1"/>
        </w:numPr>
        <w:spacing w:before="100" w:beforeAutospacing="1" w:after="120" w:line="360" w:lineRule="auto"/>
        <w:ind w:left="84" w:firstLine="0"/>
        <w:jc w:val="both"/>
        <w:rPr>
          <w:rFonts w:ascii="FrankRuehl" w:hAnsi="FrankRuehl" w:cs="FrankRuehl"/>
          <w:sz w:val="28"/>
          <w:szCs w:val="28"/>
        </w:rPr>
      </w:pPr>
      <w:r w:rsidRPr="009C3204">
        <w:rPr>
          <w:rFonts w:ascii="FrankRuehl" w:hAnsi="FrankRuehl" w:cs="FrankRuehl" w:hint="cs"/>
          <w:sz w:val="28"/>
          <w:szCs w:val="28"/>
          <w:rtl/>
        </w:rPr>
        <w:t>משמעות הפנייתו של הנאשם לשירות המבחן היא גזירת דינו בחלוף כארבע שנים ממועד ביצוע העבירה</w:t>
      </w:r>
      <w:r>
        <w:rPr>
          <w:rFonts w:ascii="FrankRuehl" w:hAnsi="FrankRuehl" w:cs="FrankRuehl" w:hint="cs"/>
          <w:sz w:val="28"/>
          <w:szCs w:val="28"/>
          <w:rtl/>
        </w:rPr>
        <w:t xml:space="preserve"> ואולי אף יותר</w:t>
      </w:r>
      <w:r w:rsidRPr="009C3204">
        <w:rPr>
          <w:rFonts w:ascii="FrankRuehl" w:hAnsi="FrankRuehl" w:cs="FrankRuehl" w:hint="cs"/>
          <w:sz w:val="28"/>
          <w:szCs w:val="28"/>
          <w:rtl/>
        </w:rPr>
        <w:t>. לא אחדש דבר כשאומר כי טעמי הענישה</w:t>
      </w:r>
      <w:r>
        <w:rPr>
          <w:rFonts w:ascii="FrankRuehl" w:hAnsi="FrankRuehl" w:cs="FrankRuehl" w:hint="cs"/>
          <w:sz w:val="28"/>
          <w:szCs w:val="28"/>
          <w:rtl/>
        </w:rPr>
        <w:t>, לרבות גמול והרתעה</w:t>
      </w:r>
      <w:r w:rsidRPr="009C3204">
        <w:rPr>
          <w:rFonts w:ascii="FrankRuehl" w:hAnsi="FrankRuehl" w:cs="FrankRuehl" w:hint="cs"/>
          <w:sz w:val="28"/>
          <w:szCs w:val="28"/>
          <w:rtl/>
        </w:rPr>
        <w:t xml:space="preserve"> נחלשים</w:t>
      </w:r>
      <w:r>
        <w:rPr>
          <w:rFonts w:ascii="FrankRuehl" w:hAnsi="FrankRuehl" w:cs="FrankRuehl" w:hint="cs"/>
          <w:sz w:val="28"/>
          <w:szCs w:val="28"/>
          <w:rtl/>
        </w:rPr>
        <w:t xml:space="preserve">, </w:t>
      </w:r>
      <w:r w:rsidRPr="009C3204">
        <w:rPr>
          <w:rFonts w:ascii="FrankRuehl" w:hAnsi="FrankRuehl" w:cs="FrankRuehl" w:hint="cs"/>
          <w:sz w:val="28"/>
          <w:szCs w:val="28"/>
          <w:rtl/>
        </w:rPr>
        <w:t>כ</w:t>
      </w:r>
      <w:r>
        <w:rPr>
          <w:rFonts w:ascii="FrankRuehl" w:hAnsi="FrankRuehl" w:cs="FrankRuehl" w:hint="cs"/>
          <w:sz w:val="28"/>
          <w:szCs w:val="28"/>
          <w:rtl/>
        </w:rPr>
        <w:t>כ</w:t>
      </w:r>
      <w:r w:rsidRPr="009C3204">
        <w:rPr>
          <w:rFonts w:ascii="FrankRuehl" w:hAnsi="FrankRuehl" w:cs="FrankRuehl" w:hint="cs"/>
          <w:sz w:val="28"/>
          <w:szCs w:val="28"/>
          <w:rtl/>
        </w:rPr>
        <w:t>ל שחולף זמן רב יותר מעת ביצוע העבירה</w:t>
      </w:r>
      <w:r>
        <w:rPr>
          <w:rFonts w:ascii="FrankRuehl" w:hAnsi="FrankRuehl" w:cs="FrankRuehl" w:hint="cs"/>
          <w:sz w:val="28"/>
          <w:szCs w:val="28"/>
          <w:rtl/>
        </w:rPr>
        <w:t xml:space="preserve"> ועד למועד גזר הדין. </w:t>
      </w:r>
      <w:r w:rsidRPr="009C3204">
        <w:rPr>
          <w:rFonts w:ascii="FrankRuehl" w:hAnsi="FrankRuehl" w:cs="FrankRuehl" w:hint="cs"/>
          <w:sz w:val="28"/>
          <w:szCs w:val="28"/>
          <w:rtl/>
        </w:rPr>
        <w:t xml:space="preserve">כדי שיוגשמו תכליות הענישה, </w:t>
      </w:r>
      <w:r>
        <w:rPr>
          <w:rFonts w:ascii="FrankRuehl" w:hAnsi="FrankRuehl" w:cs="FrankRuehl" w:hint="cs"/>
          <w:sz w:val="28"/>
          <w:szCs w:val="28"/>
          <w:rtl/>
        </w:rPr>
        <w:t>באופן יעיל ואפקטיבי,</w:t>
      </w:r>
      <w:r w:rsidRPr="009C3204">
        <w:rPr>
          <w:rFonts w:ascii="FrankRuehl" w:hAnsi="FrankRuehl" w:cs="FrankRuehl" w:hint="cs"/>
          <w:sz w:val="28"/>
          <w:szCs w:val="28"/>
          <w:rtl/>
        </w:rPr>
        <w:t xml:space="preserve"> נדרשת קרבה בזמן בין המעשה האסור ל</w:t>
      </w:r>
      <w:r>
        <w:rPr>
          <w:rFonts w:ascii="FrankRuehl" w:hAnsi="FrankRuehl" w:cs="FrankRuehl" w:hint="cs"/>
          <w:sz w:val="28"/>
          <w:szCs w:val="28"/>
          <w:rtl/>
        </w:rPr>
        <w:t xml:space="preserve">גמול החברתי בגינו. </w:t>
      </w:r>
      <w:r w:rsidRPr="009C3204">
        <w:rPr>
          <w:rFonts w:ascii="FrankRuehl" w:hAnsi="FrankRuehl" w:cs="FrankRuehl" w:hint="cs"/>
          <w:sz w:val="28"/>
          <w:szCs w:val="28"/>
          <w:rtl/>
        </w:rPr>
        <w:t xml:space="preserve">מכאן אני סבורה כי כאשר אפשר כבר עתה להעריך את רמת הסיכון להישנות עבירות נוספות כנמוכה </w:t>
      </w:r>
      <w:r>
        <w:rPr>
          <w:rFonts w:ascii="FrankRuehl" w:hAnsi="FrankRuehl" w:cs="FrankRuehl" w:hint="cs"/>
          <w:sz w:val="28"/>
          <w:szCs w:val="28"/>
          <w:rtl/>
        </w:rPr>
        <w:t>לא רק ש</w:t>
      </w:r>
      <w:r w:rsidRPr="009C3204">
        <w:rPr>
          <w:rFonts w:ascii="FrankRuehl" w:hAnsi="FrankRuehl" w:cs="FrankRuehl" w:hint="cs"/>
          <w:sz w:val="28"/>
          <w:szCs w:val="28"/>
          <w:rtl/>
        </w:rPr>
        <w:t>אין צורך במעורבות שירות המבחן</w:t>
      </w:r>
      <w:r>
        <w:rPr>
          <w:rFonts w:ascii="FrankRuehl" w:hAnsi="FrankRuehl" w:cs="FrankRuehl" w:hint="cs"/>
          <w:sz w:val="28"/>
          <w:szCs w:val="28"/>
          <w:rtl/>
        </w:rPr>
        <w:t>, אלא שדחייה לשם קבלת תסקיר מטעמם, יהא בה כדי לפגוע בעוצמתן ויעילותן של תכליות הענישה במקרה הפרטני, ועלולה לפגוע באפקטיביות ההליך הפלילי ובאמון הציבור במובן הרחב</w:t>
      </w:r>
      <w:r w:rsidRPr="009C3204">
        <w:rPr>
          <w:rFonts w:ascii="FrankRuehl" w:hAnsi="FrankRuehl" w:cs="FrankRuehl" w:hint="cs"/>
          <w:sz w:val="28"/>
          <w:szCs w:val="28"/>
          <w:rtl/>
        </w:rPr>
        <w:t>.</w:t>
      </w:r>
      <w:r>
        <w:rPr>
          <w:rFonts w:ascii="FrankRuehl" w:hAnsi="FrankRuehl" w:cs="FrankRuehl" w:hint="cs"/>
          <w:sz w:val="28"/>
          <w:szCs w:val="28"/>
        </w:rPr>
        <w:t xml:space="preserve"> </w:t>
      </w:r>
      <w:r>
        <w:rPr>
          <w:rFonts w:ascii="FrankRuehl" w:hAnsi="FrankRuehl" w:cs="FrankRuehl" w:hint="cs"/>
          <w:sz w:val="28"/>
          <w:szCs w:val="28"/>
          <w:rtl/>
        </w:rPr>
        <w:t xml:space="preserve">עם זאת אבהיר, </w:t>
      </w:r>
      <w:r w:rsidRPr="00385E10">
        <w:rPr>
          <w:rFonts w:ascii="FrankRuehl" w:hAnsi="FrankRuehl" w:cs="FrankRuehl" w:hint="cs"/>
          <w:sz w:val="28"/>
          <w:szCs w:val="28"/>
          <w:rtl/>
        </w:rPr>
        <w:t>כי אין בכך להשליך על הכלל אלא ש</w:t>
      </w:r>
      <w:r>
        <w:rPr>
          <w:rFonts w:ascii="FrankRuehl" w:hAnsi="FrankRuehl" w:cs="FrankRuehl" w:hint="cs"/>
          <w:sz w:val="28"/>
          <w:szCs w:val="28"/>
          <w:rtl/>
        </w:rPr>
        <w:t xml:space="preserve">מתחייבת בחינה אינדיבידואלית של כל </w:t>
      </w:r>
      <w:r w:rsidRPr="00385E10">
        <w:rPr>
          <w:rFonts w:ascii="FrankRuehl" w:hAnsi="FrankRuehl" w:cs="FrankRuehl" w:hint="cs"/>
          <w:sz w:val="28"/>
          <w:szCs w:val="28"/>
          <w:rtl/>
        </w:rPr>
        <w:t xml:space="preserve">מקרה </w:t>
      </w:r>
      <w:r>
        <w:rPr>
          <w:rFonts w:ascii="FrankRuehl" w:hAnsi="FrankRuehl" w:cs="FrankRuehl" w:hint="cs"/>
          <w:sz w:val="28"/>
          <w:szCs w:val="28"/>
          <w:rtl/>
        </w:rPr>
        <w:t xml:space="preserve">ומקרה על כלל </w:t>
      </w:r>
      <w:r w:rsidRPr="00385E10">
        <w:rPr>
          <w:rFonts w:ascii="FrankRuehl" w:hAnsi="FrankRuehl" w:cs="FrankRuehl" w:hint="cs"/>
          <w:sz w:val="28"/>
          <w:szCs w:val="28"/>
          <w:rtl/>
        </w:rPr>
        <w:t>נסיבותיו</w:t>
      </w:r>
      <w:r>
        <w:rPr>
          <w:rFonts w:ascii="FrankRuehl" w:hAnsi="FrankRuehl" w:cs="FrankRuehl" w:hint="cs"/>
          <w:sz w:val="28"/>
          <w:szCs w:val="28"/>
          <w:rtl/>
        </w:rPr>
        <w:t>.</w:t>
      </w:r>
    </w:p>
    <w:p w14:paraId="5DE0492D" w14:textId="77777777" w:rsidR="00AB5C31" w:rsidRDefault="00AB5C31" w:rsidP="00AB5C31">
      <w:pPr>
        <w:spacing w:before="100" w:beforeAutospacing="1" w:after="120" w:line="360" w:lineRule="auto"/>
        <w:jc w:val="both"/>
        <w:rPr>
          <w:rFonts w:ascii="Miriam" w:hAnsi="Miriam" w:cs="Miriam"/>
        </w:rPr>
      </w:pPr>
      <w:r>
        <w:rPr>
          <w:rFonts w:ascii="Miriam" w:hAnsi="Miriam" w:cs="Miriam"/>
          <w:rtl/>
        </w:rPr>
        <w:t>תוצאה</w:t>
      </w:r>
    </w:p>
    <w:p w14:paraId="006433F8" w14:textId="77777777" w:rsidR="00AB5C31" w:rsidRDefault="00AB5C31" w:rsidP="00AB5C31">
      <w:pPr>
        <w:pStyle w:val="aa"/>
        <w:numPr>
          <w:ilvl w:val="0"/>
          <w:numId w:val="1"/>
        </w:numPr>
        <w:spacing w:before="100" w:beforeAutospacing="1" w:after="120" w:line="360" w:lineRule="auto"/>
        <w:ind w:hanging="635"/>
        <w:jc w:val="both"/>
        <w:rPr>
          <w:rFonts w:ascii="FrankRuehl" w:hAnsi="FrankRuehl" w:cs="FrankRuehl"/>
          <w:sz w:val="28"/>
          <w:szCs w:val="28"/>
          <w:rtl/>
        </w:rPr>
      </w:pPr>
      <w:r>
        <w:rPr>
          <w:rFonts w:ascii="FrankRuehl" w:hAnsi="FrankRuehl" w:cs="FrankRuehl"/>
          <w:sz w:val="28"/>
          <w:szCs w:val="28"/>
          <w:rtl/>
        </w:rPr>
        <w:t>לנוכח האמור, אני גוזרת על הנאשם את העונשים הבאים:</w:t>
      </w:r>
    </w:p>
    <w:p w14:paraId="1F2A64CC" w14:textId="77777777" w:rsidR="00AB5C31" w:rsidRDefault="00AB5C31" w:rsidP="00AB5C31">
      <w:pPr>
        <w:spacing w:before="100" w:beforeAutospacing="1" w:after="120" w:line="360" w:lineRule="auto"/>
        <w:ind w:left="720"/>
        <w:jc w:val="both"/>
        <w:rPr>
          <w:rFonts w:ascii="FrankRuehl" w:hAnsi="FrankRuehl" w:cs="FrankRuehl"/>
          <w:sz w:val="28"/>
          <w:szCs w:val="28"/>
          <w:rtl/>
        </w:rPr>
      </w:pPr>
      <w:r>
        <w:rPr>
          <w:rFonts w:ascii="FrankRuehl" w:hAnsi="FrankRuehl" w:cs="FrankRuehl"/>
          <w:sz w:val="28"/>
          <w:szCs w:val="28"/>
          <w:rtl/>
        </w:rPr>
        <w:t>א.</w:t>
      </w:r>
      <w:r>
        <w:rPr>
          <w:rFonts w:ascii="FrankRuehl" w:hAnsi="FrankRuehl" w:cs="FrankRuehl"/>
          <w:sz w:val="28"/>
          <w:szCs w:val="28"/>
          <w:rtl/>
        </w:rPr>
        <w:tab/>
        <w:t>6 חודשי מאסר אותם לא ירצה הנאשם אלא אם יעבור בתוך שלוש שנים עבירות בהן הורשע;</w:t>
      </w:r>
    </w:p>
    <w:p w14:paraId="3869A653" w14:textId="77777777" w:rsidR="00AB5C31" w:rsidRDefault="00AB5C31" w:rsidP="00AB5C31">
      <w:pPr>
        <w:spacing w:before="100" w:beforeAutospacing="1" w:after="120" w:line="360" w:lineRule="auto"/>
        <w:ind w:left="720"/>
        <w:jc w:val="both"/>
        <w:rPr>
          <w:rFonts w:ascii="FrankRuehl" w:hAnsi="FrankRuehl" w:cs="FrankRuehl"/>
          <w:sz w:val="28"/>
          <w:szCs w:val="28"/>
          <w:rtl/>
        </w:rPr>
      </w:pPr>
      <w:r>
        <w:rPr>
          <w:rFonts w:ascii="FrankRuehl" w:hAnsi="FrankRuehl" w:cs="FrankRuehl"/>
          <w:sz w:val="28"/>
          <w:szCs w:val="28"/>
          <w:rtl/>
        </w:rPr>
        <w:t>ב.</w:t>
      </w:r>
      <w:r>
        <w:rPr>
          <w:rFonts w:ascii="FrankRuehl" w:hAnsi="FrankRuehl" w:cs="FrankRuehl"/>
          <w:sz w:val="28"/>
          <w:szCs w:val="28"/>
          <w:rtl/>
        </w:rPr>
        <w:tab/>
        <w:t xml:space="preserve">קנס בסך </w:t>
      </w:r>
      <w:r>
        <w:rPr>
          <w:rFonts w:ascii="FrankRuehl" w:hAnsi="FrankRuehl" w:cs="FrankRuehl" w:hint="cs"/>
          <w:sz w:val="28"/>
          <w:szCs w:val="28"/>
          <w:rtl/>
        </w:rPr>
        <w:t>6,000</w:t>
      </w:r>
      <w:r>
        <w:rPr>
          <w:rFonts w:ascii="FrankRuehl" w:hAnsi="FrankRuehl" w:cs="FrankRuehl"/>
          <w:sz w:val="28"/>
          <w:szCs w:val="28"/>
          <w:rtl/>
        </w:rPr>
        <w:t xml:space="preserve"> ₪ או </w:t>
      </w:r>
      <w:r>
        <w:rPr>
          <w:rFonts w:ascii="FrankRuehl" w:hAnsi="FrankRuehl" w:cs="FrankRuehl" w:hint="cs"/>
          <w:sz w:val="28"/>
          <w:szCs w:val="28"/>
          <w:rtl/>
        </w:rPr>
        <w:t>45</w:t>
      </w:r>
      <w:r>
        <w:rPr>
          <w:rFonts w:ascii="FrankRuehl" w:hAnsi="FrankRuehl" w:cs="FrankRuehl"/>
          <w:sz w:val="28"/>
          <w:szCs w:val="28"/>
          <w:rtl/>
        </w:rPr>
        <w:t xml:space="preserve"> </w:t>
      </w:r>
      <w:r>
        <w:rPr>
          <w:rFonts w:ascii="FrankRuehl" w:hAnsi="FrankRuehl" w:cs="FrankRuehl" w:hint="cs"/>
          <w:sz w:val="28"/>
          <w:szCs w:val="28"/>
          <w:rtl/>
        </w:rPr>
        <w:t xml:space="preserve">ימי </w:t>
      </w:r>
      <w:r>
        <w:rPr>
          <w:rFonts w:ascii="FrankRuehl" w:hAnsi="FrankRuehl" w:cs="FrankRuehl"/>
          <w:sz w:val="28"/>
          <w:szCs w:val="28"/>
          <w:rtl/>
        </w:rPr>
        <w:t>מאסר תמורתו. הקנס ישולם ב- 10 תשלומים חודשיים שווים ורצופים, החל מיום 15.8.2022;</w:t>
      </w:r>
    </w:p>
    <w:p w14:paraId="481E9991" w14:textId="77777777" w:rsidR="00AB5C31" w:rsidRDefault="00AB5C31" w:rsidP="00AB5C31">
      <w:pPr>
        <w:spacing w:before="100" w:beforeAutospacing="1" w:after="120" w:line="360" w:lineRule="auto"/>
        <w:ind w:firstLine="720"/>
        <w:jc w:val="both"/>
        <w:rPr>
          <w:rFonts w:ascii="FrankRuehl" w:hAnsi="FrankRuehl" w:cs="FrankRuehl"/>
          <w:sz w:val="28"/>
          <w:szCs w:val="28"/>
          <w:rtl/>
        </w:rPr>
      </w:pPr>
      <w:r>
        <w:rPr>
          <w:rFonts w:ascii="FrankRuehl" w:hAnsi="FrankRuehl" w:cs="FrankRuehl"/>
          <w:sz w:val="28"/>
          <w:szCs w:val="28"/>
          <w:rtl/>
        </w:rPr>
        <w:t xml:space="preserve">לא ישולם איזה מהתשלומים במועדו, תעמוד יתרת הקנס לפירעון מידי; </w:t>
      </w:r>
    </w:p>
    <w:p w14:paraId="58F61A3A" w14:textId="77777777" w:rsidR="00AB5C31" w:rsidRPr="00D34C07" w:rsidRDefault="00AB5C31" w:rsidP="00AB5C31">
      <w:pPr>
        <w:spacing w:line="360" w:lineRule="auto"/>
        <w:ind w:left="720"/>
        <w:jc w:val="both"/>
        <w:rPr>
          <w:rFonts w:ascii="FrankRuehl" w:hAnsi="FrankRuehl" w:cs="FrankRuehl"/>
          <w:sz w:val="28"/>
          <w:szCs w:val="28"/>
        </w:rPr>
      </w:pPr>
      <w:r w:rsidRPr="00D34C07">
        <w:rPr>
          <w:rFonts w:ascii="FrankRuehl" w:hAnsi="FrankRuehl" w:cs="FrankRuehl" w:hint="cs"/>
          <w:sz w:val="28"/>
          <w:szCs w:val="28"/>
          <w:rtl/>
        </w:rPr>
        <w:t>מובהר בזאת לנאשם כי עליו לפנות למרכז לגביית קנסות על מנת לקבל לידיו שוברי התשלום.</w:t>
      </w:r>
    </w:p>
    <w:p w14:paraId="74591901" w14:textId="77777777" w:rsidR="00AB5C31" w:rsidRDefault="00AB5C31" w:rsidP="00AB5C31">
      <w:pPr>
        <w:spacing w:before="100" w:beforeAutospacing="1" w:after="120" w:line="360" w:lineRule="auto"/>
        <w:ind w:left="720"/>
        <w:jc w:val="both"/>
        <w:rPr>
          <w:rFonts w:ascii="FrankRuehl" w:hAnsi="FrankRuehl" w:cs="FrankRuehl"/>
          <w:sz w:val="28"/>
          <w:szCs w:val="28"/>
          <w:rtl/>
        </w:rPr>
      </w:pPr>
      <w:r>
        <w:rPr>
          <w:rFonts w:ascii="FrankRuehl" w:hAnsi="FrankRuehl" w:cs="FrankRuehl"/>
          <w:sz w:val="28"/>
          <w:szCs w:val="28"/>
          <w:rtl/>
        </w:rPr>
        <w:t>ג.</w:t>
      </w:r>
      <w:r>
        <w:rPr>
          <w:rFonts w:ascii="FrankRuehl" w:hAnsi="FrankRuehl" w:cs="FrankRuehl"/>
          <w:sz w:val="28"/>
          <w:szCs w:val="28"/>
          <w:rtl/>
        </w:rPr>
        <w:tab/>
      </w:r>
      <w:r w:rsidRPr="00D34C07">
        <w:rPr>
          <w:rFonts w:ascii="FrankRuehl" w:hAnsi="FrankRuehl" w:cs="FrankRuehl" w:hint="cs"/>
          <w:sz w:val="28"/>
          <w:szCs w:val="28"/>
          <w:rtl/>
        </w:rPr>
        <w:t xml:space="preserve">הנאשם ייתן התחייבות בסך 7,500 ₪ להימנע מעבירה בה הורשע וזאת למשך שלוש שנים מהיום. הנאשם יצהיר </w:t>
      </w:r>
      <w:r w:rsidRPr="00D34C07">
        <w:rPr>
          <w:rFonts w:ascii="FrankRuehl" w:hAnsi="FrankRuehl" w:cs="FrankRuehl"/>
          <w:sz w:val="28"/>
          <w:szCs w:val="28"/>
          <w:rtl/>
        </w:rPr>
        <w:t>על התחייבותו לפניי עוד היום, שאם לא כן, ירצה תקופת מאסר בת 5 ימים.</w:t>
      </w:r>
    </w:p>
    <w:p w14:paraId="192137D2" w14:textId="77777777" w:rsidR="00AB5C31" w:rsidRPr="001E4068" w:rsidRDefault="00AB5C31" w:rsidP="00AB5C31">
      <w:pPr>
        <w:pStyle w:val="aa"/>
        <w:numPr>
          <w:ilvl w:val="0"/>
          <w:numId w:val="2"/>
        </w:numPr>
        <w:spacing w:before="100" w:beforeAutospacing="1" w:after="120" w:line="360" w:lineRule="auto"/>
        <w:jc w:val="both"/>
        <w:rPr>
          <w:rFonts w:ascii="FrankRuehl" w:hAnsi="FrankRuehl" w:cs="FrankRuehl"/>
          <w:sz w:val="28"/>
          <w:szCs w:val="28"/>
          <w:rtl/>
        </w:rPr>
      </w:pPr>
      <w:r w:rsidRPr="001E4068">
        <w:rPr>
          <w:rFonts w:ascii="FrankRuehl" w:hAnsi="FrankRuehl" w:cs="FrankRuehl"/>
          <w:sz w:val="28"/>
          <w:szCs w:val="28"/>
          <w:rtl/>
        </w:rPr>
        <w:t xml:space="preserve">הנאשם יפסל מלקבל ומלהחזיק רישיון נהיגה לתקופה של 6 חודשים, ואולם הנאשם לא </w:t>
      </w:r>
      <w:r w:rsidRPr="001E4068">
        <w:rPr>
          <w:rFonts w:ascii="FrankRuehl" w:hAnsi="FrankRuehl" w:cs="FrankRuehl" w:hint="cs"/>
          <w:sz w:val="28"/>
          <w:szCs w:val="28"/>
          <w:rtl/>
        </w:rPr>
        <w:t>י</w:t>
      </w:r>
      <w:r w:rsidRPr="001E4068">
        <w:rPr>
          <w:rFonts w:ascii="FrankRuehl" w:hAnsi="FrankRuehl" w:cs="FrankRuehl"/>
          <w:sz w:val="28"/>
          <w:szCs w:val="28"/>
          <w:rtl/>
        </w:rPr>
        <w:t>ישא בעונש זה אלא אם יעבור בתוך 3 שנים עביר</w:t>
      </w:r>
      <w:r w:rsidRPr="001E4068">
        <w:rPr>
          <w:rFonts w:ascii="FrankRuehl" w:hAnsi="FrankRuehl" w:cs="FrankRuehl" w:hint="cs"/>
          <w:sz w:val="28"/>
          <w:szCs w:val="28"/>
          <w:rtl/>
        </w:rPr>
        <w:t xml:space="preserve">ות סמים לרבות </w:t>
      </w:r>
      <w:r w:rsidRPr="001E4068">
        <w:rPr>
          <w:rFonts w:ascii="FrankRuehl" w:hAnsi="FrankRuehl" w:cs="FrankRuehl"/>
          <w:sz w:val="28"/>
          <w:szCs w:val="28"/>
          <w:rtl/>
        </w:rPr>
        <w:t xml:space="preserve">נהיגה תחת השפעת סמים. </w:t>
      </w:r>
    </w:p>
    <w:p w14:paraId="2A6741E4" w14:textId="77777777" w:rsidR="00AB5C31" w:rsidRDefault="00AB5C31" w:rsidP="00AB5C31">
      <w:pPr>
        <w:spacing w:before="100" w:beforeAutospacing="1" w:after="120" w:line="360" w:lineRule="auto"/>
        <w:jc w:val="both"/>
        <w:rPr>
          <w:rFonts w:ascii="FrankRuehl" w:hAnsi="FrankRuehl" w:cs="FrankRuehl"/>
          <w:sz w:val="28"/>
          <w:szCs w:val="28"/>
          <w:rtl/>
        </w:rPr>
      </w:pPr>
      <w:r>
        <w:rPr>
          <w:rFonts w:ascii="FrankRuehl" w:hAnsi="FrankRuehl" w:cs="FrankRuehl"/>
          <w:sz w:val="28"/>
          <w:szCs w:val="28"/>
          <w:rtl/>
        </w:rPr>
        <w:t xml:space="preserve">ניתן צו כללי למוצגים. </w:t>
      </w:r>
    </w:p>
    <w:p w14:paraId="5657900F" w14:textId="77777777" w:rsidR="00AB5C31" w:rsidRDefault="009804F2" w:rsidP="00AB5C31">
      <w:pPr>
        <w:spacing w:before="100" w:beforeAutospacing="1" w:after="120" w:line="360" w:lineRule="auto"/>
        <w:jc w:val="both"/>
        <w:rPr>
          <w:rFonts w:ascii="FrankRuehl" w:hAnsi="FrankRuehl" w:cs="FrankRuehl"/>
          <w:b/>
          <w:bCs/>
          <w:sz w:val="28"/>
          <w:szCs w:val="28"/>
          <w:u w:val="single"/>
          <w:rtl/>
        </w:rPr>
      </w:pPr>
      <w:r w:rsidRPr="009804F2">
        <w:rPr>
          <w:rFonts w:ascii="FrankRuehl" w:hAnsi="FrankRuehl" w:cs="FrankRuehl"/>
          <w:b/>
          <w:bCs/>
          <w:color w:val="FFFFFF"/>
          <w:sz w:val="2"/>
          <w:szCs w:val="2"/>
          <w:u w:val="single"/>
          <w:rtl/>
        </w:rPr>
        <w:t>5129371</w:t>
      </w:r>
      <w:r w:rsidR="00AB5C31">
        <w:rPr>
          <w:rFonts w:ascii="FrankRuehl" w:hAnsi="FrankRuehl" w:cs="FrankRuehl"/>
          <w:b/>
          <w:bCs/>
          <w:sz w:val="28"/>
          <w:szCs w:val="28"/>
          <w:u w:val="single"/>
          <w:rtl/>
        </w:rPr>
        <w:t>זכות ערעור לבית המשפט המחוזי תוך 45 ימים מהיום.</w:t>
      </w:r>
    </w:p>
    <w:p w14:paraId="783E6D2E" w14:textId="77777777" w:rsidR="00AB5C31" w:rsidRPr="009804F2" w:rsidRDefault="009804F2" w:rsidP="00AB5C31">
      <w:pPr>
        <w:rPr>
          <w:rFonts w:ascii="Arial" w:hAnsi="Arial"/>
          <w:b/>
          <w:bCs/>
          <w:color w:val="FFFFFF"/>
          <w:sz w:val="2"/>
          <w:szCs w:val="2"/>
          <w:rtl/>
        </w:rPr>
      </w:pPr>
      <w:r w:rsidRPr="009804F2">
        <w:rPr>
          <w:rFonts w:ascii="Arial" w:hAnsi="Arial"/>
          <w:b/>
          <w:bCs/>
          <w:color w:val="FFFFFF"/>
          <w:sz w:val="2"/>
          <w:szCs w:val="2"/>
          <w:rtl/>
        </w:rPr>
        <w:t>54678313</w:t>
      </w:r>
    </w:p>
    <w:p w14:paraId="0DEF86D5" w14:textId="77777777" w:rsidR="00AB5C31" w:rsidRPr="000F2247" w:rsidRDefault="00AB5C31" w:rsidP="00AB5C31">
      <w:pPr>
        <w:rPr>
          <w:rFonts w:ascii="Arial" w:hAnsi="Arial"/>
          <w:b/>
          <w:bCs/>
          <w:sz w:val="26"/>
          <w:szCs w:val="26"/>
          <w:rtl/>
        </w:rPr>
      </w:pPr>
    </w:p>
    <w:p w14:paraId="39145C71" w14:textId="77777777" w:rsidR="00AB5C31" w:rsidRPr="00443ACD" w:rsidRDefault="009804F2" w:rsidP="00AB5C31">
      <w:pPr>
        <w:rPr>
          <w:rFonts w:ascii="Arial" w:hAnsi="Arial"/>
          <w:b/>
          <w:bCs/>
          <w:sz w:val="26"/>
          <w:szCs w:val="26"/>
          <w:rtl/>
        </w:rPr>
      </w:pPr>
      <w:bookmarkStart w:id="7" w:name="Nitan"/>
      <w:r>
        <w:rPr>
          <w:rFonts w:ascii="Arial" w:hAnsi="Arial"/>
          <w:b/>
          <w:bCs/>
          <w:sz w:val="28"/>
          <w:szCs w:val="28"/>
          <w:rtl/>
        </w:rPr>
        <w:t xml:space="preserve">ניתן היום,  ב' סיוון תשפ"ב, 01 יוני 2022, במעמד הצדדים. </w:t>
      </w:r>
      <w:bookmarkEnd w:id="7"/>
    </w:p>
    <w:p w14:paraId="5D2B2454" w14:textId="77777777" w:rsidR="00AB5C31" w:rsidRPr="000F2247" w:rsidRDefault="00AB5C31" w:rsidP="009804F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B1D9D14" w14:textId="77777777" w:rsidR="00AB5C31" w:rsidRPr="00EA2397" w:rsidRDefault="00EA2397" w:rsidP="00AB5C31">
      <w:pPr>
        <w:jc w:val="center"/>
        <w:rPr>
          <w:rFonts w:ascii="Arial" w:hAnsi="Arial"/>
          <w:b/>
          <w:bCs/>
          <w:color w:val="FFFFFF"/>
          <w:sz w:val="2"/>
          <w:szCs w:val="2"/>
          <w:rtl/>
        </w:rPr>
      </w:pPr>
      <w:r w:rsidRPr="00EA2397">
        <w:rPr>
          <w:rFonts w:ascii="Arial" w:hAnsi="Arial"/>
          <w:b/>
          <w:bCs/>
          <w:color w:val="FFFFFF"/>
          <w:sz w:val="2"/>
          <w:szCs w:val="2"/>
          <w:rtl/>
        </w:rPr>
        <w:t>5129371</w:t>
      </w:r>
    </w:p>
    <w:p w14:paraId="1A1FFE0E" w14:textId="77777777" w:rsidR="00B458CD" w:rsidRPr="00EA2397" w:rsidRDefault="00EA2397" w:rsidP="009804F2">
      <w:pPr>
        <w:keepNext/>
        <w:rPr>
          <w:rFonts w:ascii="David" w:hAnsi="David"/>
          <w:color w:val="FFFFFF"/>
          <w:sz w:val="2"/>
          <w:szCs w:val="2"/>
          <w:rtl/>
        </w:rPr>
      </w:pPr>
      <w:r w:rsidRPr="00EA2397">
        <w:rPr>
          <w:rFonts w:ascii="David" w:hAnsi="David"/>
          <w:color w:val="FFFFFF"/>
          <w:sz w:val="2"/>
          <w:szCs w:val="2"/>
          <w:rtl/>
        </w:rPr>
        <w:t>54678313</w:t>
      </w:r>
    </w:p>
    <w:p w14:paraId="5862273E" w14:textId="77777777" w:rsidR="009804F2" w:rsidRDefault="009804F2" w:rsidP="009804F2">
      <w:pPr>
        <w:rPr>
          <w:rtl/>
        </w:rPr>
      </w:pPr>
    </w:p>
    <w:p w14:paraId="48884C4A" w14:textId="77777777" w:rsidR="009804F2" w:rsidRDefault="009804F2" w:rsidP="009804F2">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2FE399C3" w14:textId="77777777" w:rsidR="00EA2397" w:rsidRPr="00EA2397" w:rsidRDefault="00EA2397" w:rsidP="00EA2397">
      <w:pPr>
        <w:keepNext/>
        <w:rPr>
          <w:rFonts w:ascii="David" w:hAnsi="David"/>
          <w:color w:val="000000"/>
          <w:sz w:val="22"/>
          <w:szCs w:val="22"/>
          <w:rtl/>
        </w:rPr>
      </w:pPr>
    </w:p>
    <w:p w14:paraId="498E9060" w14:textId="77777777" w:rsidR="00EA2397" w:rsidRPr="00EA2397" w:rsidRDefault="00EA2397" w:rsidP="00EA2397">
      <w:pPr>
        <w:keepNext/>
        <w:rPr>
          <w:rFonts w:ascii="David" w:hAnsi="David"/>
          <w:color w:val="000000"/>
          <w:sz w:val="22"/>
          <w:szCs w:val="22"/>
          <w:rtl/>
        </w:rPr>
      </w:pPr>
      <w:r w:rsidRPr="00EA2397">
        <w:rPr>
          <w:rFonts w:ascii="David" w:hAnsi="David"/>
          <w:color w:val="000000"/>
          <w:sz w:val="22"/>
          <w:szCs w:val="22"/>
          <w:rtl/>
        </w:rPr>
        <w:t>זהר דיבון סגל 54678313-/</w:t>
      </w:r>
    </w:p>
    <w:p w14:paraId="7D45981A" w14:textId="77777777" w:rsidR="009804F2" w:rsidRPr="009804F2" w:rsidRDefault="00EA2397" w:rsidP="00EA2397">
      <w:pPr>
        <w:rPr>
          <w:color w:val="0000FF"/>
          <w:u w:val="single"/>
        </w:rPr>
      </w:pPr>
      <w:r w:rsidRPr="00EA2397">
        <w:rPr>
          <w:color w:val="000000"/>
          <w:u w:val="single"/>
          <w:rtl/>
        </w:rPr>
        <w:t>נוסח מסמך זה כפוף לשינויי ניסוח ועריכה</w:t>
      </w:r>
    </w:p>
    <w:sectPr w:rsidR="009804F2" w:rsidRPr="009804F2" w:rsidSect="00EA2397">
      <w:headerReference w:type="even" r:id="rId54"/>
      <w:headerReference w:type="default" r:id="rId55"/>
      <w:footerReference w:type="even" r:id="rId56"/>
      <w:footerReference w:type="default" r:id="rId5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58C88" w14:textId="77777777" w:rsidR="005723B9" w:rsidRDefault="005723B9" w:rsidP="009952C1">
      <w:r>
        <w:separator/>
      </w:r>
    </w:p>
  </w:endnote>
  <w:endnote w:type="continuationSeparator" w:id="0">
    <w:p w14:paraId="2FD9E013" w14:textId="77777777" w:rsidR="005723B9" w:rsidRDefault="005723B9" w:rsidP="00995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E21" w14:textId="77777777" w:rsidR="00EA2397" w:rsidRDefault="00EA2397" w:rsidP="00EA239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D57FBD" w14:textId="77777777" w:rsidR="005B67A3" w:rsidRPr="00EA2397" w:rsidRDefault="00EA2397" w:rsidP="00EA2397">
    <w:pPr>
      <w:pStyle w:val="a5"/>
      <w:pBdr>
        <w:top w:val="single" w:sz="4" w:space="1" w:color="auto"/>
        <w:between w:val="single" w:sz="4" w:space="0" w:color="auto"/>
      </w:pBdr>
      <w:spacing w:after="60"/>
      <w:jc w:val="center"/>
      <w:rPr>
        <w:rFonts w:ascii="FrankRuehl" w:hAnsi="FrankRuehl" w:cs="FrankRuehl"/>
        <w:color w:val="000000"/>
      </w:rPr>
    </w:pPr>
    <w:r w:rsidRPr="00EA23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FEC14" w14:textId="77777777" w:rsidR="00EA2397" w:rsidRDefault="00EA2397" w:rsidP="00EA239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15C8">
      <w:rPr>
        <w:rFonts w:ascii="FrankRuehl" w:hAnsi="FrankRuehl" w:cs="FrankRuehl"/>
        <w:noProof/>
        <w:rtl/>
      </w:rPr>
      <w:t>1</w:t>
    </w:r>
    <w:r>
      <w:rPr>
        <w:rFonts w:ascii="FrankRuehl" w:hAnsi="FrankRuehl" w:cs="FrankRuehl"/>
        <w:rtl/>
      </w:rPr>
      <w:fldChar w:fldCharType="end"/>
    </w:r>
  </w:p>
  <w:p w14:paraId="5AE0787B" w14:textId="77777777" w:rsidR="005B67A3" w:rsidRPr="00EA2397" w:rsidRDefault="00EA2397" w:rsidP="00EA2397">
    <w:pPr>
      <w:pStyle w:val="a5"/>
      <w:pBdr>
        <w:top w:val="single" w:sz="4" w:space="1" w:color="auto"/>
        <w:between w:val="single" w:sz="4" w:space="0" w:color="auto"/>
      </w:pBdr>
      <w:spacing w:after="60"/>
      <w:jc w:val="center"/>
      <w:rPr>
        <w:rFonts w:ascii="FrankRuehl" w:hAnsi="FrankRuehl" w:cs="FrankRuehl"/>
        <w:color w:val="000000"/>
      </w:rPr>
    </w:pPr>
    <w:r w:rsidRPr="00EA2397">
      <w:rPr>
        <w:rFonts w:ascii="FrankRuehl" w:hAnsi="FrankRuehl" w:cs="FrankRuehl"/>
        <w:color w:val="000000"/>
      </w:rPr>
      <w:pict w14:anchorId="50265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B0317" w14:textId="77777777" w:rsidR="005723B9" w:rsidRDefault="005723B9" w:rsidP="009952C1">
      <w:r>
        <w:separator/>
      </w:r>
    </w:p>
  </w:footnote>
  <w:footnote w:type="continuationSeparator" w:id="0">
    <w:p w14:paraId="482964D7" w14:textId="77777777" w:rsidR="005723B9" w:rsidRDefault="005723B9" w:rsidP="00995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0723D" w14:textId="77777777" w:rsidR="009804F2" w:rsidRPr="00EA2397" w:rsidRDefault="00EA2397" w:rsidP="00EA23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43978-02-21</w:t>
    </w:r>
    <w:r>
      <w:rPr>
        <w:rFonts w:ascii="David" w:hAnsi="David"/>
        <w:color w:val="000000"/>
        <w:sz w:val="22"/>
        <w:szCs w:val="22"/>
        <w:rtl/>
      </w:rPr>
      <w:tab/>
      <w:t xml:space="preserve"> מדינת ישראל נ' נתנאל בלקר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3FD2A" w14:textId="77777777" w:rsidR="009804F2" w:rsidRPr="00EA2397" w:rsidRDefault="00EA2397" w:rsidP="00EA23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43978-02-21</w:t>
    </w:r>
    <w:r>
      <w:rPr>
        <w:rFonts w:ascii="David" w:hAnsi="David"/>
        <w:color w:val="000000"/>
        <w:sz w:val="22"/>
        <w:szCs w:val="22"/>
        <w:rtl/>
      </w:rPr>
      <w:tab/>
      <w:t xml:space="preserve"> מדינת ישראל נ' נתנאל בלקר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04E32"/>
    <w:multiLevelType w:val="hybridMultilevel"/>
    <w:tmpl w:val="B682291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7F565F79"/>
    <w:multiLevelType w:val="hybridMultilevel"/>
    <w:tmpl w:val="4E34A65C"/>
    <w:lvl w:ilvl="0" w:tplc="15C8DAB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036467475">
    <w:abstractNumId w:val="0"/>
  </w:num>
  <w:num w:numId="2" w16cid:durableId="523599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5C31"/>
    <w:rsid w:val="000E569A"/>
    <w:rsid w:val="00140C32"/>
    <w:rsid w:val="001B5A3B"/>
    <w:rsid w:val="004115C8"/>
    <w:rsid w:val="004520BF"/>
    <w:rsid w:val="005723B9"/>
    <w:rsid w:val="005B67A3"/>
    <w:rsid w:val="0060100E"/>
    <w:rsid w:val="006B20B1"/>
    <w:rsid w:val="009804F2"/>
    <w:rsid w:val="009952C1"/>
    <w:rsid w:val="00AA201F"/>
    <w:rsid w:val="00AB5C31"/>
    <w:rsid w:val="00B458CD"/>
    <w:rsid w:val="00EA2397"/>
    <w:rsid w:val="00F357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23EBC4"/>
  <w15:chartTrackingRefBased/>
  <w15:docId w15:val="{A2AC95CD-944C-4C38-805A-182F37F3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5C3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5C31"/>
    <w:pPr>
      <w:tabs>
        <w:tab w:val="center" w:pos="4153"/>
        <w:tab w:val="right" w:pos="8306"/>
      </w:tabs>
    </w:pPr>
  </w:style>
  <w:style w:type="character" w:customStyle="1" w:styleId="a4">
    <w:name w:val="כותרת עליונה תו"/>
    <w:link w:val="a3"/>
    <w:rsid w:val="00AB5C31"/>
    <w:rPr>
      <w:rFonts w:ascii="Times New Roman" w:eastAsia="Times New Roman" w:hAnsi="Times New Roman" w:cs="David"/>
      <w:sz w:val="24"/>
      <w:szCs w:val="24"/>
    </w:rPr>
  </w:style>
  <w:style w:type="paragraph" w:styleId="a5">
    <w:name w:val="footer"/>
    <w:basedOn w:val="a"/>
    <w:link w:val="a6"/>
    <w:rsid w:val="00AB5C31"/>
    <w:pPr>
      <w:tabs>
        <w:tab w:val="center" w:pos="4153"/>
        <w:tab w:val="right" w:pos="8306"/>
      </w:tabs>
    </w:pPr>
  </w:style>
  <w:style w:type="character" w:customStyle="1" w:styleId="a6">
    <w:name w:val="כותרת תחתונה תו"/>
    <w:link w:val="a5"/>
    <w:rsid w:val="00AB5C31"/>
    <w:rPr>
      <w:rFonts w:ascii="Times New Roman" w:eastAsia="Times New Roman" w:hAnsi="Times New Roman" w:cs="David"/>
      <w:sz w:val="24"/>
      <w:szCs w:val="24"/>
    </w:rPr>
  </w:style>
  <w:style w:type="table" w:styleId="a7">
    <w:name w:val="Table Grid"/>
    <w:basedOn w:val="a1"/>
    <w:rsid w:val="00AB5C3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5C31"/>
  </w:style>
  <w:style w:type="character" w:customStyle="1" w:styleId="a9">
    <w:name w:val="פיסקת רשימה תו"/>
    <w:link w:val="aa"/>
    <w:locked/>
    <w:rsid w:val="00AB5C31"/>
    <w:rPr>
      <w:rFonts w:ascii="David" w:eastAsia="David" w:hAnsi="David" w:cs="David"/>
      <w:sz w:val="24"/>
      <w:szCs w:val="24"/>
    </w:rPr>
  </w:style>
  <w:style w:type="paragraph" w:styleId="aa">
    <w:name w:val="List Paragraph"/>
    <w:basedOn w:val="a"/>
    <w:link w:val="a9"/>
    <w:qFormat/>
    <w:rsid w:val="00AB5C31"/>
    <w:pPr>
      <w:ind w:left="720"/>
      <w:contextualSpacing/>
    </w:pPr>
    <w:rPr>
      <w:rFonts w:ascii="David" w:eastAsia="David" w:hAnsi="David"/>
    </w:rPr>
  </w:style>
  <w:style w:type="character" w:styleId="Hyperlink">
    <w:name w:val="Hyperlink"/>
    <w:rsid w:val="00980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2841413" TargetMode="External"/><Relationship Id="rId26" Type="http://schemas.openxmlformats.org/officeDocument/2006/relationships/hyperlink" Target="http://www.nevo.co.il/case/26732753" TargetMode="External"/><Relationship Id="rId39" Type="http://schemas.openxmlformats.org/officeDocument/2006/relationships/hyperlink" Target="http://www.nevo.co.il/case/22128021" TargetMode="External"/><Relationship Id="rId21" Type="http://schemas.openxmlformats.org/officeDocument/2006/relationships/hyperlink" Target="http://www.nevo.co.il/case/5844852" TargetMode="External"/><Relationship Id="rId34" Type="http://schemas.openxmlformats.org/officeDocument/2006/relationships/hyperlink" Target="http://www.nevo.co.il/case/25457133" TargetMode="External"/><Relationship Id="rId42" Type="http://schemas.openxmlformats.org/officeDocument/2006/relationships/hyperlink" Target="http://www.nevo.co.il/case/20621782" TargetMode="External"/><Relationship Id="rId47" Type="http://schemas.openxmlformats.org/officeDocument/2006/relationships/hyperlink" Target="http://www.nevo.co.il/case/21960425" TargetMode="External"/><Relationship Id="rId50" Type="http://schemas.openxmlformats.org/officeDocument/2006/relationships/hyperlink" Target="http://www.nevo.co.il/case/11252981"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0" TargetMode="External"/><Relationship Id="rId29" Type="http://schemas.openxmlformats.org/officeDocument/2006/relationships/hyperlink" Target="http://www.nevo.co.il/case/26804829"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765897" TargetMode="External"/><Relationship Id="rId32" Type="http://schemas.openxmlformats.org/officeDocument/2006/relationships/hyperlink" Target="http://www.nevo.co.il/case/22645661" TargetMode="External"/><Relationship Id="rId37" Type="http://schemas.openxmlformats.org/officeDocument/2006/relationships/hyperlink" Target="http://www.nevo.co.il/case/21020797" TargetMode="External"/><Relationship Id="rId40" Type="http://schemas.openxmlformats.org/officeDocument/2006/relationships/hyperlink" Target="http://www.nevo.co.il/case/21592697" TargetMode="External"/><Relationship Id="rId45" Type="http://schemas.openxmlformats.org/officeDocument/2006/relationships/hyperlink" Target="http://www.nevo.co.il/case/28938393"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case/2731346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6022441" TargetMode="External"/><Relationship Id="rId27" Type="http://schemas.openxmlformats.org/officeDocument/2006/relationships/hyperlink" Target="http://www.nevo.co.il/case/27537984" TargetMode="External"/><Relationship Id="rId30" Type="http://schemas.openxmlformats.org/officeDocument/2006/relationships/hyperlink" Target="http://www.nevo.co.il/case/24398360" TargetMode="External"/><Relationship Id="rId35" Type="http://schemas.openxmlformats.org/officeDocument/2006/relationships/hyperlink" Target="http://www.nevo.co.il/case/23672166" TargetMode="External"/><Relationship Id="rId43" Type="http://schemas.openxmlformats.org/officeDocument/2006/relationships/hyperlink" Target="http://www.nevo.co.il/case/21822291" TargetMode="External"/><Relationship Id="rId48" Type="http://schemas.openxmlformats.org/officeDocument/2006/relationships/hyperlink" Target="http://www.nevo.co.il/case/27361147" TargetMode="External"/><Relationship Id="rId56"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law/70301/40.ja"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3827604" TargetMode="External"/><Relationship Id="rId25" Type="http://schemas.openxmlformats.org/officeDocument/2006/relationships/hyperlink" Target="http://www.nevo.co.il/case/27002992" TargetMode="External"/><Relationship Id="rId33" Type="http://schemas.openxmlformats.org/officeDocument/2006/relationships/hyperlink" Target="http://www.nevo.co.il/case/24335465" TargetMode="External"/><Relationship Id="rId38" Type="http://schemas.openxmlformats.org/officeDocument/2006/relationships/hyperlink" Target="http://www.nevo.co.il/case/20219497" TargetMode="External"/><Relationship Id="rId46" Type="http://schemas.openxmlformats.org/officeDocument/2006/relationships/hyperlink" Target="http://www.nevo.co.il/case/21563165" TargetMode="External"/><Relationship Id="rId59" Type="http://schemas.openxmlformats.org/officeDocument/2006/relationships/theme" Target="theme/theme1.xml"/><Relationship Id="rId20" Type="http://schemas.openxmlformats.org/officeDocument/2006/relationships/hyperlink" Target="http://www.nevo.co.il/case/26991436" TargetMode="External"/><Relationship Id="rId41" Type="http://schemas.openxmlformats.org/officeDocument/2006/relationships/hyperlink" Target="http://www.nevo.co.il/case/20975571"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1639429" TargetMode="External"/><Relationship Id="rId28" Type="http://schemas.openxmlformats.org/officeDocument/2006/relationships/hyperlink" Target="http://www.nevo.co.il/case/27481166" TargetMode="External"/><Relationship Id="rId36" Type="http://schemas.openxmlformats.org/officeDocument/2006/relationships/hyperlink" Target="http://www.nevo.co.il/case/20991958" TargetMode="External"/><Relationship Id="rId49" Type="http://schemas.openxmlformats.org/officeDocument/2006/relationships/hyperlink" Target="http://www.nevo.co.il/case/19999565" TargetMode="External"/><Relationship Id="rId57" Type="http://schemas.openxmlformats.org/officeDocument/2006/relationships/footer" Target="footer2.xml"/><Relationship Id="rId10" Type="http://schemas.openxmlformats.org/officeDocument/2006/relationships/hyperlink" Target="http://www.nevo.co.il/law/4216/10" TargetMode="External"/><Relationship Id="rId31" Type="http://schemas.openxmlformats.org/officeDocument/2006/relationships/hyperlink" Target="http://www.nevo.co.il/case/23777143" TargetMode="External"/><Relationship Id="rId44" Type="http://schemas.openxmlformats.org/officeDocument/2006/relationships/hyperlink" Target="http://www.nevo.co.il/case/21017469" TargetMode="External"/><Relationship Id="rId52"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2757</Words>
  <Characters>13786</Characters>
  <Application>Microsoft Office Word</Application>
  <DocSecurity>0</DocSecurity>
  <Lines>114</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16510</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983119</vt:i4>
      </vt:variant>
      <vt:variant>
        <vt:i4>132</vt:i4>
      </vt:variant>
      <vt:variant>
        <vt:i4>0</vt:i4>
      </vt:variant>
      <vt:variant>
        <vt:i4>5</vt:i4>
      </vt:variant>
      <vt:variant>
        <vt:lpwstr>http://www.nevo.co.il/law/70301/40.ja</vt:lpwstr>
      </vt:variant>
      <vt:variant>
        <vt:lpwstr/>
      </vt:variant>
      <vt:variant>
        <vt:i4>3735673</vt:i4>
      </vt:variant>
      <vt:variant>
        <vt:i4>129</vt:i4>
      </vt:variant>
      <vt:variant>
        <vt:i4>0</vt:i4>
      </vt:variant>
      <vt:variant>
        <vt:i4>5</vt:i4>
      </vt:variant>
      <vt:variant>
        <vt:lpwstr>http://www.nevo.co.il/case/11252981</vt:lpwstr>
      </vt:variant>
      <vt:variant>
        <vt:lpwstr/>
      </vt:variant>
      <vt:variant>
        <vt:i4>3604593</vt:i4>
      </vt:variant>
      <vt:variant>
        <vt:i4>126</vt:i4>
      </vt:variant>
      <vt:variant>
        <vt:i4>0</vt:i4>
      </vt:variant>
      <vt:variant>
        <vt:i4>5</vt:i4>
      </vt:variant>
      <vt:variant>
        <vt:lpwstr>http://www.nevo.co.il/case/19999565</vt:lpwstr>
      </vt:variant>
      <vt:variant>
        <vt:lpwstr/>
      </vt:variant>
      <vt:variant>
        <vt:i4>3407988</vt:i4>
      </vt:variant>
      <vt:variant>
        <vt:i4>123</vt:i4>
      </vt:variant>
      <vt:variant>
        <vt:i4>0</vt:i4>
      </vt:variant>
      <vt:variant>
        <vt:i4>5</vt:i4>
      </vt:variant>
      <vt:variant>
        <vt:lpwstr>http://www.nevo.co.il/case/27361147</vt:lpwstr>
      </vt:variant>
      <vt:variant>
        <vt:lpwstr/>
      </vt:variant>
      <vt:variant>
        <vt:i4>3735671</vt:i4>
      </vt:variant>
      <vt:variant>
        <vt:i4>120</vt:i4>
      </vt:variant>
      <vt:variant>
        <vt:i4>0</vt:i4>
      </vt:variant>
      <vt:variant>
        <vt:i4>5</vt:i4>
      </vt:variant>
      <vt:variant>
        <vt:lpwstr>http://www.nevo.co.il/case/21960425</vt:lpwstr>
      </vt:variant>
      <vt:variant>
        <vt:lpwstr/>
      </vt:variant>
      <vt:variant>
        <vt:i4>3276914</vt:i4>
      </vt:variant>
      <vt:variant>
        <vt:i4>117</vt:i4>
      </vt:variant>
      <vt:variant>
        <vt:i4>0</vt:i4>
      </vt:variant>
      <vt:variant>
        <vt:i4>5</vt:i4>
      </vt:variant>
      <vt:variant>
        <vt:lpwstr>http://www.nevo.co.il/case/21563165</vt:lpwstr>
      </vt:variant>
      <vt:variant>
        <vt:lpwstr/>
      </vt:variant>
      <vt:variant>
        <vt:i4>3801212</vt:i4>
      </vt:variant>
      <vt:variant>
        <vt:i4>114</vt:i4>
      </vt:variant>
      <vt:variant>
        <vt:i4>0</vt:i4>
      </vt:variant>
      <vt:variant>
        <vt:i4>5</vt:i4>
      </vt:variant>
      <vt:variant>
        <vt:lpwstr>http://www.nevo.co.il/case/28938393</vt:lpwstr>
      </vt:variant>
      <vt:variant>
        <vt:lpwstr/>
      </vt:variant>
      <vt:variant>
        <vt:i4>3342448</vt:i4>
      </vt:variant>
      <vt:variant>
        <vt:i4>111</vt:i4>
      </vt:variant>
      <vt:variant>
        <vt:i4>0</vt:i4>
      </vt:variant>
      <vt:variant>
        <vt:i4>5</vt:i4>
      </vt:variant>
      <vt:variant>
        <vt:lpwstr>http://www.nevo.co.il/case/21017469</vt:lpwstr>
      </vt:variant>
      <vt:variant>
        <vt:lpwstr/>
      </vt:variant>
      <vt:variant>
        <vt:i4>3211381</vt:i4>
      </vt:variant>
      <vt:variant>
        <vt:i4>108</vt:i4>
      </vt:variant>
      <vt:variant>
        <vt:i4>0</vt:i4>
      </vt:variant>
      <vt:variant>
        <vt:i4>5</vt:i4>
      </vt:variant>
      <vt:variant>
        <vt:lpwstr>http://www.nevo.co.il/case/21822291</vt:lpwstr>
      </vt:variant>
      <vt:variant>
        <vt:lpwstr/>
      </vt:variant>
      <vt:variant>
        <vt:i4>3997809</vt:i4>
      </vt:variant>
      <vt:variant>
        <vt:i4>105</vt:i4>
      </vt:variant>
      <vt:variant>
        <vt:i4>0</vt:i4>
      </vt:variant>
      <vt:variant>
        <vt:i4>5</vt:i4>
      </vt:variant>
      <vt:variant>
        <vt:lpwstr>http://www.nevo.co.il/case/20621782</vt:lpwstr>
      </vt:variant>
      <vt:variant>
        <vt:lpwstr/>
      </vt:variant>
      <vt:variant>
        <vt:i4>3735670</vt:i4>
      </vt:variant>
      <vt:variant>
        <vt:i4>102</vt:i4>
      </vt:variant>
      <vt:variant>
        <vt:i4>0</vt:i4>
      </vt:variant>
      <vt:variant>
        <vt:i4>5</vt:i4>
      </vt:variant>
      <vt:variant>
        <vt:lpwstr>http://www.nevo.co.il/case/20975571</vt:lpwstr>
      </vt:variant>
      <vt:variant>
        <vt:lpwstr/>
      </vt:variant>
      <vt:variant>
        <vt:i4>3932282</vt:i4>
      </vt:variant>
      <vt:variant>
        <vt:i4>99</vt:i4>
      </vt:variant>
      <vt:variant>
        <vt:i4>0</vt:i4>
      </vt:variant>
      <vt:variant>
        <vt:i4>5</vt:i4>
      </vt:variant>
      <vt:variant>
        <vt:lpwstr>http://www.nevo.co.il/case/21592697</vt:lpwstr>
      </vt:variant>
      <vt:variant>
        <vt:lpwstr/>
      </vt:variant>
      <vt:variant>
        <vt:i4>3735668</vt:i4>
      </vt:variant>
      <vt:variant>
        <vt:i4>96</vt:i4>
      </vt:variant>
      <vt:variant>
        <vt:i4>0</vt:i4>
      </vt:variant>
      <vt:variant>
        <vt:i4>5</vt:i4>
      </vt:variant>
      <vt:variant>
        <vt:lpwstr>http://www.nevo.co.il/case/22128021</vt:lpwstr>
      </vt:variant>
      <vt:variant>
        <vt:lpwstr/>
      </vt:variant>
      <vt:variant>
        <vt:i4>3145841</vt:i4>
      </vt:variant>
      <vt:variant>
        <vt:i4>93</vt:i4>
      </vt:variant>
      <vt:variant>
        <vt:i4>0</vt:i4>
      </vt:variant>
      <vt:variant>
        <vt:i4>5</vt:i4>
      </vt:variant>
      <vt:variant>
        <vt:lpwstr>http://www.nevo.co.il/case/20219497</vt:lpwstr>
      </vt:variant>
      <vt:variant>
        <vt:lpwstr/>
      </vt:variant>
      <vt:variant>
        <vt:i4>3866736</vt:i4>
      </vt:variant>
      <vt:variant>
        <vt:i4>90</vt:i4>
      </vt:variant>
      <vt:variant>
        <vt:i4>0</vt:i4>
      </vt:variant>
      <vt:variant>
        <vt:i4>5</vt:i4>
      </vt:variant>
      <vt:variant>
        <vt:lpwstr>http://www.nevo.co.il/case/21020797</vt:lpwstr>
      </vt:variant>
      <vt:variant>
        <vt:lpwstr/>
      </vt:variant>
      <vt:variant>
        <vt:i4>4128884</vt:i4>
      </vt:variant>
      <vt:variant>
        <vt:i4>87</vt:i4>
      </vt:variant>
      <vt:variant>
        <vt:i4>0</vt:i4>
      </vt:variant>
      <vt:variant>
        <vt:i4>5</vt:i4>
      </vt:variant>
      <vt:variant>
        <vt:lpwstr>http://www.nevo.co.il/case/20991958</vt:lpwstr>
      </vt:variant>
      <vt:variant>
        <vt:lpwstr/>
      </vt:variant>
      <vt:variant>
        <vt:i4>3145841</vt:i4>
      </vt:variant>
      <vt:variant>
        <vt:i4>84</vt:i4>
      </vt:variant>
      <vt:variant>
        <vt:i4>0</vt:i4>
      </vt:variant>
      <vt:variant>
        <vt:i4>5</vt:i4>
      </vt:variant>
      <vt:variant>
        <vt:lpwstr>http://www.nevo.co.il/case/23672166</vt:lpwstr>
      </vt:variant>
      <vt:variant>
        <vt:lpwstr/>
      </vt:variant>
      <vt:variant>
        <vt:i4>3276917</vt:i4>
      </vt:variant>
      <vt:variant>
        <vt:i4>81</vt:i4>
      </vt:variant>
      <vt:variant>
        <vt:i4>0</vt:i4>
      </vt:variant>
      <vt:variant>
        <vt:i4>5</vt:i4>
      </vt:variant>
      <vt:variant>
        <vt:lpwstr>http://www.nevo.co.il/case/25457133</vt:lpwstr>
      </vt:variant>
      <vt:variant>
        <vt:lpwstr/>
      </vt:variant>
      <vt:variant>
        <vt:i4>3276919</vt:i4>
      </vt:variant>
      <vt:variant>
        <vt:i4>78</vt:i4>
      </vt:variant>
      <vt:variant>
        <vt:i4>0</vt:i4>
      </vt:variant>
      <vt:variant>
        <vt:i4>5</vt:i4>
      </vt:variant>
      <vt:variant>
        <vt:lpwstr>http://www.nevo.co.il/case/24335465</vt:lpwstr>
      </vt:variant>
      <vt:variant>
        <vt:lpwstr/>
      </vt:variant>
      <vt:variant>
        <vt:i4>3604596</vt:i4>
      </vt:variant>
      <vt:variant>
        <vt:i4>75</vt:i4>
      </vt:variant>
      <vt:variant>
        <vt:i4>0</vt:i4>
      </vt:variant>
      <vt:variant>
        <vt:i4>5</vt:i4>
      </vt:variant>
      <vt:variant>
        <vt:lpwstr>http://www.nevo.co.il/case/22645661</vt:lpwstr>
      </vt:variant>
      <vt:variant>
        <vt:lpwstr/>
      </vt:variant>
      <vt:variant>
        <vt:i4>3539057</vt:i4>
      </vt:variant>
      <vt:variant>
        <vt:i4>72</vt:i4>
      </vt:variant>
      <vt:variant>
        <vt:i4>0</vt:i4>
      </vt:variant>
      <vt:variant>
        <vt:i4>5</vt:i4>
      </vt:variant>
      <vt:variant>
        <vt:lpwstr>http://www.nevo.co.il/case/23777143</vt:lpwstr>
      </vt:variant>
      <vt:variant>
        <vt:lpwstr/>
      </vt:variant>
      <vt:variant>
        <vt:i4>4128890</vt:i4>
      </vt:variant>
      <vt:variant>
        <vt:i4>69</vt:i4>
      </vt:variant>
      <vt:variant>
        <vt:i4>0</vt:i4>
      </vt:variant>
      <vt:variant>
        <vt:i4>5</vt:i4>
      </vt:variant>
      <vt:variant>
        <vt:lpwstr>http://www.nevo.co.il/case/24398360</vt:lpwstr>
      </vt:variant>
      <vt:variant>
        <vt:lpwstr/>
      </vt:variant>
      <vt:variant>
        <vt:i4>3932282</vt:i4>
      </vt:variant>
      <vt:variant>
        <vt:i4>66</vt:i4>
      </vt:variant>
      <vt:variant>
        <vt:i4>0</vt:i4>
      </vt:variant>
      <vt:variant>
        <vt:i4>5</vt:i4>
      </vt:variant>
      <vt:variant>
        <vt:lpwstr>http://www.nevo.co.il/case/26804829</vt:lpwstr>
      </vt:variant>
      <vt:variant>
        <vt:lpwstr/>
      </vt:variant>
      <vt:variant>
        <vt:i4>3211386</vt:i4>
      </vt:variant>
      <vt:variant>
        <vt:i4>63</vt:i4>
      </vt:variant>
      <vt:variant>
        <vt:i4>0</vt:i4>
      </vt:variant>
      <vt:variant>
        <vt:i4>5</vt:i4>
      </vt:variant>
      <vt:variant>
        <vt:lpwstr>http://www.nevo.co.il/case/27481166</vt:lpwstr>
      </vt:variant>
      <vt:variant>
        <vt:lpwstr/>
      </vt:variant>
      <vt:variant>
        <vt:i4>3670137</vt:i4>
      </vt:variant>
      <vt:variant>
        <vt:i4>60</vt:i4>
      </vt:variant>
      <vt:variant>
        <vt:i4>0</vt:i4>
      </vt:variant>
      <vt:variant>
        <vt:i4>5</vt:i4>
      </vt:variant>
      <vt:variant>
        <vt:lpwstr>http://www.nevo.co.il/case/27537984</vt:lpwstr>
      </vt:variant>
      <vt:variant>
        <vt:lpwstr/>
      </vt:variant>
      <vt:variant>
        <vt:i4>3276918</vt:i4>
      </vt:variant>
      <vt:variant>
        <vt:i4>57</vt:i4>
      </vt:variant>
      <vt:variant>
        <vt:i4>0</vt:i4>
      </vt:variant>
      <vt:variant>
        <vt:i4>5</vt:i4>
      </vt:variant>
      <vt:variant>
        <vt:lpwstr>http://www.nevo.co.il/case/26732753</vt:lpwstr>
      </vt:variant>
      <vt:variant>
        <vt:lpwstr/>
      </vt:variant>
      <vt:variant>
        <vt:i4>3735674</vt:i4>
      </vt:variant>
      <vt:variant>
        <vt:i4>54</vt:i4>
      </vt:variant>
      <vt:variant>
        <vt:i4>0</vt:i4>
      </vt:variant>
      <vt:variant>
        <vt:i4>5</vt:i4>
      </vt:variant>
      <vt:variant>
        <vt:lpwstr>http://www.nevo.co.il/case/27002992</vt:lpwstr>
      </vt:variant>
      <vt:variant>
        <vt:lpwstr/>
      </vt:variant>
      <vt:variant>
        <vt:i4>3735676</vt:i4>
      </vt:variant>
      <vt:variant>
        <vt:i4>51</vt:i4>
      </vt:variant>
      <vt:variant>
        <vt:i4>0</vt:i4>
      </vt:variant>
      <vt:variant>
        <vt:i4>5</vt:i4>
      </vt:variant>
      <vt:variant>
        <vt:lpwstr>http://www.nevo.co.il/case/26765897</vt:lpwstr>
      </vt:variant>
      <vt:variant>
        <vt:lpwstr/>
      </vt:variant>
      <vt:variant>
        <vt:i4>4128882</vt:i4>
      </vt:variant>
      <vt:variant>
        <vt:i4>48</vt:i4>
      </vt:variant>
      <vt:variant>
        <vt:i4>0</vt:i4>
      </vt:variant>
      <vt:variant>
        <vt:i4>5</vt:i4>
      </vt:variant>
      <vt:variant>
        <vt:lpwstr>http://www.nevo.co.il/case/21639429</vt:lpwstr>
      </vt:variant>
      <vt:variant>
        <vt:lpwstr/>
      </vt:variant>
      <vt:variant>
        <vt:i4>3407988</vt:i4>
      </vt:variant>
      <vt:variant>
        <vt:i4>45</vt:i4>
      </vt:variant>
      <vt:variant>
        <vt:i4>0</vt:i4>
      </vt:variant>
      <vt:variant>
        <vt:i4>5</vt:i4>
      </vt:variant>
      <vt:variant>
        <vt:lpwstr>http://www.nevo.co.il/case/26022441</vt:lpwstr>
      </vt:variant>
      <vt:variant>
        <vt:lpwstr/>
      </vt:variant>
      <vt:variant>
        <vt:i4>3866749</vt:i4>
      </vt:variant>
      <vt:variant>
        <vt:i4>42</vt:i4>
      </vt:variant>
      <vt:variant>
        <vt:i4>0</vt:i4>
      </vt:variant>
      <vt:variant>
        <vt:i4>5</vt:i4>
      </vt:variant>
      <vt:variant>
        <vt:lpwstr>http://www.nevo.co.il/case/5844852</vt:lpwstr>
      </vt:variant>
      <vt:variant>
        <vt:lpwstr/>
      </vt:variant>
      <vt:variant>
        <vt:i4>3735679</vt:i4>
      </vt:variant>
      <vt:variant>
        <vt:i4>39</vt:i4>
      </vt:variant>
      <vt:variant>
        <vt:i4>0</vt:i4>
      </vt:variant>
      <vt:variant>
        <vt:i4>5</vt:i4>
      </vt:variant>
      <vt:variant>
        <vt:lpwstr>http://www.nevo.co.il/case/26991436</vt:lpwstr>
      </vt:variant>
      <vt:variant>
        <vt:lpwstr/>
      </vt:variant>
      <vt:variant>
        <vt:i4>3407990</vt:i4>
      </vt:variant>
      <vt:variant>
        <vt:i4>36</vt:i4>
      </vt:variant>
      <vt:variant>
        <vt:i4>0</vt:i4>
      </vt:variant>
      <vt:variant>
        <vt:i4>5</vt:i4>
      </vt:variant>
      <vt:variant>
        <vt:lpwstr>http://www.nevo.co.il/case/27313460</vt:lpwstr>
      </vt:variant>
      <vt:variant>
        <vt:lpwstr/>
      </vt:variant>
      <vt:variant>
        <vt:i4>3801206</vt:i4>
      </vt:variant>
      <vt:variant>
        <vt:i4>33</vt:i4>
      </vt:variant>
      <vt:variant>
        <vt:i4>0</vt:i4>
      </vt:variant>
      <vt:variant>
        <vt:i4>5</vt:i4>
      </vt:variant>
      <vt:variant>
        <vt:lpwstr>http://www.nevo.co.il/case/22841413</vt:lpwstr>
      </vt:variant>
      <vt:variant>
        <vt:lpwstr/>
      </vt:variant>
      <vt:variant>
        <vt:i4>3997811</vt:i4>
      </vt:variant>
      <vt:variant>
        <vt:i4>30</vt:i4>
      </vt:variant>
      <vt:variant>
        <vt:i4>0</vt:i4>
      </vt:variant>
      <vt:variant>
        <vt:i4>5</vt:i4>
      </vt:variant>
      <vt:variant>
        <vt:lpwstr>http://www.nevo.co.il/case/23827604</vt:lpwstr>
      </vt:variant>
      <vt:variant>
        <vt:lpwstr/>
      </vt:variant>
      <vt:variant>
        <vt:i4>5177418</vt:i4>
      </vt:variant>
      <vt:variant>
        <vt:i4>27</vt:i4>
      </vt:variant>
      <vt:variant>
        <vt:i4>0</vt:i4>
      </vt:variant>
      <vt:variant>
        <vt:i4>5</vt:i4>
      </vt:variant>
      <vt:variant>
        <vt:lpwstr>http://www.nevo.co.il/law/4216/10</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983119</vt:i4>
      </vt:variant>
      <vt:variant>
        <vt:i4>15</vt:i4>
      </vt:variant>
      <vt:variant>
        <vt:i4>0</vt:i4>
      </vt:variant>
      <vt:variant>
        <vt:i4>5</vt:i4>
      </vt:variant>
      <vt:variant>
        <vt:lpwstr>http://www.nevo.co.il/law/70301/40.ja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2025-04-23T00:55:00Z</dcterms:created>
  <dcterms:modified xsi:type="dcterms:W3CDTF">2025-04-23T00:55:00Z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43978</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נתנאל בלקר </vt:lpwstr>
  </property>
  <property fmtid="{D5CDD505-2E9C-101B-9397-08002B2CF9AE}" pid="10" name="JUDGE">
    <vt:lpwstr>זהר דיבון סגל</vt:lpwstr>
  </property>
  <property fmtid="{D5CDD505-2E9C-101B-9397-08002B2CF9AE}" pid="11" name="CITY">
    <vt:lpwstr>רח'</vt:lpwstr>
  </property>
  <property fmtid="{D5CDD505-2E9C-101B-9397-08002B2CF9AE}" pid="12" name="DATE">
    <vt:lpwstr>20220601</vt:lpwstr>
  </property>
  <property fmtid="{D5CDD505-2E9C-101B-9397-08002B2CF9AE}" pid="13" name="TYPE_N_DATE">
    <vt:lpwstr>38020220601</vt:lpwstr>
  </property>
  <property fmtid="{D5CDD505-2E9C-101B-9397-08002B2CF9AE}" pid="14" name="WORDNUMPAGES">
    <vt:lpwstr>9</vt:lpwstr>
  </property>
  <property fmtid="{D5CDD505-2E9C-101B-9397-08002B2CF9AE}" pid="15" name="TYPE_ABS_DATE">
    <vt:lpwstr>380020220601</vt:lpwstr>
  </property>
  <property fmtid="{D5CDD505-2E9C-101B-9397-08002B2CF9AE}" pid="16" name="LAWYER">
    <vt:lpwstr>הדר פרשר;ים קולן;שירן ברגמן</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23827604;22841413;27313460;26991436;5844852;26022441;21639429;26765897;27002992;26732753;27537984;27481166;26804829;24398360;23777143;22645661;24335465;25457133;23672166;20991958;21020797;20219497;22128021;21592697;20975571;20621782;21822291;21017469</vt:lpwstr>
  </property>
  <property fmtid="{D5CDD505-2E9C-101B-9397-08002B2CF9AE}" pid="36" name="CASESLISTTMP2">
    <vt:lpwstr>28938393;21563165;21960425;27361147;19999565;11252981</vt:lpwstr>
  </property>
  <property fmtid="{D5CDD505-2E9C-101B-9397-08002B2CF9AE}" pid="37" name="LAWLISTTMP1">
    <vt:lpwstr>4216/007.a;007.c;010</vt:lpwstr>
  </property>
  <property fmtid="{D5CDD505-2E9C-101B-9397-08002B2CF9AE}" pid="38" name="LAWLISTTMP2">
    <vt:lpwstr>70301/040.ja</vt:lpwstr>
  </property>
</Properties>
</file>