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F968B7" w:rsidRPr="00F968B7" w14:paraId="5C77E461" w14:textId="77777777" w:rsidTr="005B6B72">
        <w:trPr>
          <w:trHeight w:hRule="exact" w:val="418"/>
          <w:jc w:val="center"/>
        </w:trPr>
        <w:tc>
          <w:tcPr>
            <w:tcW w:w="8720" w:type="dxa"/>
            <w:gridSpan w:val="3"/>
          </w:tcPr>
          <w:p w14:paraId="26A32966" w14:textId="77777777" w:rsidR="00F968B7" w:rsidRPr="00F968B7" w:rsidRDefault="00F968B7" w:rsidP="005B6B72">
            <w:pPr>
              <w:pStyle w:val="a3"/>
              <w:tabs>
                <w:tab w:val="clear" w:pos="8306"/>
              </w:tabs>
              <w:jc w:val="center"/>
              <w:rPr>
                <w:rFonts w:ascii="Tahoma" w:hAnsi="Tahoma" w:cs="Tahoma"/>
                <w:b/>
                <w:bCs/>
                <w:color w:val="000080"/>
                <w:sz w:val="20"/>
                <w:szCs w:val="20"/>
                <w:rtl/>
              </w:rPr>
            </w:pPr>
            <w:bookmarkStart w:id="0" w:name="LastJudge"/>
            <w:r w:rsidRPr="00F968B7">
              <w:rPr>
                <w:rFonts w:ascii="Tahoma" w:hAnsi="Tahoma" w:cs="Tahoma"/>
                <w:b/>
                <w:bCs/>
                <w:color w:val="000080"/>
                <w:sz w:val="20"/>
                <w:szCs w:val="20"/>
                <w:rtl/>
              </w:rPr>
              <w:t>בית משפט לנוער בבית משפט השלום בחדרה</w:t>
            </w:r>
          </w:p>
        </w:tc>
      </w:tr>
      <w:tr w:rsidR="00F968B7" w:rsidRPr="00F968B7" w14:paraId="27ED5D2E" w14:textId="77777777" w:rsidTr="005B6B72">
        <w:trPr>
          <w:trHeight w:val="337"/>
          <w:jc w:val="center"/>
        </w:trPr>
        <w:tc>
          <w:tcPr>
            <w:tcW w:w="6396" w:type="dxa"/>
          </w:tcPr>
          <w:p w14:paraId="7E8136A9" w14:textId="77777777" w:rsidR="00F968B7" w:rsidRPr="00F968B7" w:rsidRDefault="00F968B7" w:rsidP="005B6B72">
            <w:pPr>
              <w:rPr>
                <w:b/>
                <w:bCs/>
                <w:sz w:val="26"/>
                <w:szCs w:val="26"/>
                <w:rtl/>
              </w:rPr>
            </w:pPr>
            <w:r w:rsidRPr="00F968B7">
              <w:rPr>
                <w:b/>
                <w:bCs/>
                <w:sz w:val="26"/>
                <w:szCs w:val="26"/>
                <w:rtl/>
              </w:rPr>
              <w:t>ת"פ 57960-02-21 מדינת ישראל נ' פלוני (עציר)</w:t>
            </w:r>
          </w:p>
          <w:p w14:paraId="3E1AFC9D" w14:textId="77777777" w:rsidR="00F968B7" w:rsidRPr="00F968B7" w:rsidRDefault="00F968B7" w:rsidP="005B6B72">
            <w:pPr>
              <w:rPr>
                <w:b/>
                <w:bCs/>
                <w:sz w:val="26"/>
                <w:szCs w:val="26"/>
                <w:rtl/>
              </w:rPr>
            </w:pPr>
          </w:p>
        </w:tc>
        <w:tc>
          <w:tcPr>
            <w:tcW w:w="236" w:type="dxa"/>
          </w:tcPr>
          <w:p w14:paraId="2C59D965" w14:textId="77777777" w:rsidR="00F968B7" w:rsidRPr="00F968B7" w:rsidRDefault="00F968B7" w:rsidP="005B6B72">
            <w:pPr>
              <w:pStyle w:val="a3"/>
              <w:jc w:val="right"/>
              <w:rPr>
                <w:b/>
                <w:bCs/>
                <w:sz w:val="26"/>
                <w:szCs w:val="26"/>
                <w:rtl/>
              </w:rPr>
            </w:pPr>
          </w:p>
        </w:tc>
        <w:tc>
          <w:tcPr>
            <w:tcW w:w="2088" w:type="dxa"/>
          </w:tcPr>
          <w:p w14:paraId="0DF5C0AD" w14:textId="77777777" w:rsidR="00F968B7" w:rsidRPr="00F968B7" w:rsidRDefault="00F968B7" w:rsidP="005B6B72">
            <w:pPr>
              <w:pStyle w:val="a3"/>
              <w:tabs>
                <w:tab w:val="clear" w:pos="4153"/>
              </w:tabs>
              <w:jc w:val="right"/>
              <w:rPr>
                <w:b/>
                <w:bCs/>
                <w:sz w:val="26"/>
                <w:szCs w:val="26"/>
                <w:rtl/>
              </w:rPr>
            </w:pPr>
            <w:r w:rsidRPr="00F968B7">
              <w:rPr>
                <w:b/>
                <w:bCs/>
                <w:sz w:val="26"/>
                <w:szCs w:val="26"/>
                <w:rtl/>
              </w:rPr>
              <w:t>05 יולי 2023</w:t>
            </w:r>
          </w:p>
        </w:tc>
      </w:tr>
    </w:tbl>
    <w:p w14:paraId="581C6741" w14:textId="77777777" w:rsidR="00F968B7" w:rsidRPr="00F968B7" w:rsidRDefault="00F968B7" w:rsidP="00F968B7">
      <w:pPr>
        <w:pStyle w:val="a3"/>
        <w:jc w:val="center"/>
        <w:rPr>
          <w:rFonts w:ascii="Tahoma" w:hAnsi="Tahoma" w:cs="Tahoma"/>
          <w:b/>
          <w:bCs/>
          <w:color w:val="000080"/>
          <w:sz w:val="20"/>
          <w:szCs w:val="20"/>
          <w:rtl/>
        </w:rPr>
      </w:pPr>
    </w:p>
    <w:p w14:paraId="54B215A2" w14:textId="77777777" w:rsidR="006A64EA" w:rsidRPr="00F968B7" w:rsidRDefault="006A64EA" w:rsidP="009B24E2">
      <w:pPr>
        <w:suppressLineNumbers/>
        <w:rPr>
          <w:rFonts w:ascii="Arial" w:hAnsi="Arial"/>
          <w:rtl/>
        </w:rPr>
      </w:pPr>
    </w:p>
    <w:tbl>
      <w:tblPr>
        <w:bidiVisual/>
        <w:tblW w:w="0" w:type="auto"/>
        <w:jc w:val="center"/>
        <w:tblLook w:val="0000" w:firstRow="0" w:lastRow="0" w:firstColumn="0" w:lastColumn="0" w:noHBand="0" w:noVBand="0"/>
      </w:tblPr>
      <w:tblGrid>
        <w:gridCol w:w="1551"/>
        <w:gridCol w:w="6953"/>
      </w:tblGrid>
      <w:tr w:rsidR="00F968B7" w:rsidRPr="00F968B7" w14:paraId="517E1BC6" w14:textId="77777777" w:rsidTr="005B6B72">
        <w:trPr>
          <w:trHeight w:val="337"/>
          <w:jc w:val="center"/>
        </w:trPr>
        <w:tc>
          <w:tcPr>
            <w:tcW w:w="1551" w:type="dxa"/>
          </w:tcPr>
          <w:p w14:paraId="4EF4CCB4" w14:textId="77777777" w:rsidR="00F968B7" w:rsidRPr="00F968B7" w:rsidRDefault="00F968B7" w:rsidP="005B6B72">
            <w:pPr>
              <w:pStyle w:val="a3"/>
              <w:bidi w:val="0"/>
              <w:jc w:val="both"/>
              <w:rPr>
                <w:rFonts w:ascii="Times New Roman" w:hAnsi="Times New Roman"/>
              </w:rPr>
            </w:pPr>
          </w:p>
        </w:tc>
        <w:tc>
          <w:tcPr>
            <w:tcW w:w="6953" w:type="dxa"/>
          </w:tcPr>
          <w:p w14:paraId="205E01F7" w14:textId="77777777" w:rsidR="00F968B7" w:rsidRPr="00F968B7" w:rsidRDefault="00F968B7" w:rsidP="005B6B72">
            <w:pPr>
              <w:pStyle w:val="a3"/>
              <w:jc w:val="right"/>
              <w:rPr>
                <w:rtl/>
              </w:rPr>
            </w:pPr>
          </w:p>
        </w:tc>
      </w:tr>
    </w:tbl>
    <w:p w14:paraId="6DFC59DD" w14:textId="77777777" w:rsidR="00F968B7" w:rsidRPr="00F968B7" w:rsidRDefault="00F968B7" w:rsidP="009B24E2">
      <w:pPr>
        <w:suppressLineNumbers/>
        <w:rPr>
          <w:rFonts w:ascii="Arial" w:hAnsi="Arial"/>
          <w:rtl/>
        </w:rPr>
      </w:pPr>
    </w:p>
    <w:p w14:paraId="05105273" w14:textId="77777777" w:rsidR="00F968B7" w:rsidRPr="00F968B7" w:rsidRDefault="00F968B7">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8"/>
        <w:gridCol w:w="84"/>
      </w:tblGrid>
      <w:tr w:rsidR="00F968B7" w:rsidRPr="00F968B7" w14:paraId="18FED8FB" w14:textId="77777777" w:rsidTr="005B6B72">
        <w:trPr>
          <w:gridAfter w:val="1"/>
          <w:wAfter w:w="56" w:type="dxa"/>
        </w:trPr>
        <w:tc>
          <w:tcPr>
            <w:tcW w:w="8718" w:type="dxa"/>
            <w:gridSpan w:val="2"/>
          </w:tcPr>
          <w:p w14:paraId="5E37AD43" w14:textId="77777777" w:rsidR="00F968B7" w:rsidRPr="00F968B7" w:rsidRDefault="00F968B7" w:rsidP="005B6B72">
            <w:pPr>
              <w:rPr>
                <w:rFonts w:ascii="Times New Roman" w:hAnsi="Times New Roman"/>
                <w:b/>
                <w:bCs/>
                <w:sz w:val="26"/>
                <w:szCs w:val="26"/>
                <w:rtl/>
              </w:rPr>
            </w:pPr>
            <w:r w:rsidRPr="00F968B7">
              <w:rPr>
                <w:rFonts w:ascii="Times New Roman" w:hAnsi="Times New Roman"/>
                <w:b/>
                <w:bCs/>
                <w:sz w:val="26"/>
                <w:szCs w:val="26"/>
                <w:rtl/>
              </w:rPr>
              <w:t>לפני כבוד השופטת אורית קליינפלד</w:t>
            </w:r>
            <w:r w:rsidRPr="00F968B7">
              <w:rPr>
                <w:rStyle w:val="TimesNewRomanTimesNewRoman"/>
                <w:bCs/>
                <w:szCs w:val="26"/>
                <w:rtl/>
              </w:rPr>
              <w:t xml:space="preserve"> </w:t>
            </w:r>
          </w:p>
        </w:tc>
      </w:tr>
      <w:tr w:rsidR="00F968B7" w:rsidRPr="00F968B7" w14:paraId="4395D6E1" w14:textId="77777777" w:rsidTr="005B6B72">
        <w:trPr>
          <w:cantSplit/>
          <w:trHeight w:val="724"/>
        </w:trPr>
        <w:tc>
          <w:tcPr>
            <w:tcW w:w="2880" w:type="dxa"/>
          </w:tcPr>
          <w:p w14:paraId="03D6CF68" w14:textId="77777777" w:rsidR="00F968B7" w:rsidRPr="00F968B7" w:rsidRDefault="00F968B7" w:rsidP="005B6B72">
            <w:pPr>
              <w:ind w:left="26"/>
              <w:rPr>
                <w:rFonts w:ascii="Times New Roman" w:hAnsi="Times New Roman"/>
                <w:b/>
                <w:bCs/>
                <w:sz w:val="26"/>
                <w:szCs w:val="26"/>
                <w:rtl/>
              </w:rPr>
            </w:pPr>
            <w:bookmarkStart w:id="1" w:name="FirstAppellant"/>
          </w:p>
          <w:p w14:paraId="62DF816D" w14:textId="77777777" w:rsidR="00F968B7" w:rsidRPr="00F968B7" w:rsidRDefault="00F968B7" w:rsidP="005B6B72">
            <w:pPr>
              <w:ind w:left="26"/>
              <w:rPr>
                <w:rFonts w:ascii="Times New Roman" w:hAnsi="Times New Roman"/>
                <w:b/>
                <w:bCs/>
                <w:sz w:val="26"/>
                <w:szCs w:val="26"/>
                <w:rtl/>
              </w:rPr>
            </w:pPr>
            <w:r w:rsidRPr="00F968B7">
              <w:rPr>
                <w:rFonts w:ascii="Times New Roman" w:hAnsi="Times New Roman"/>
                <w:b/>
                <w:bCs/>
                <w:sz w:val="26"/>
                <w:szCs w:val="26"/>
                <w:rtl/>
              </w:rPr>
              <w:t>המאשימה</w:t>
            </w:r>
          </w:p>
        </w:tc>
        <w:tc>
          <w:tcPr>
            <w:tcW w:w="5922" w:type="dxa"/>
            <w:gridSpan w:val="2"/>
          </w:tcPr>
          <w:p w14:paraId="337518BA" w14:textId="77777777" w:rsidR="00F968B7" w:rsidRPr="00F968B7" w:rsidRDefault="00F968B7" w:rsidP="005B6B72">
            <w:pPr>
              <w:rPr>
                <w:rFonts w:ascii="Times New Roman" w:hAnsi="Times New Roman" w:cs="Times New Roman"/>
                <w:rtl/>
              </w:rPr>
            </w:pPr>
          </w:p>
          <w:p w14:paraId="2E426127" w14:textId="77777777" w:rsidR="00F968B7" w:rsidRPr="00F968B7" w:rsidRDefault="00F968B7" w:rsidP="005B6B72">
            <w:pPr>
              <w:rPr>
                <w:rFonts w:ascii="Times New Roman" w:hAnsi="Times New Roman"/>
                <w:b/>
                <w:bCs/>
                <w:sz w:val="26"/>
                <w:szCs w:val="26"/>
                <w:rtl/>
              </w:rPr>
            </w:pPr>
            <w:r w:rsidRPr="00F968B7">
              <w:rPr>
                <w:rFonts w:ascii="Times New Roman" w:hAnsi="Times New Roman" w:cs="Times New Roman"/>
                <w:rtl/>
              </w:rPr>
              <w:t xml:space="preserve">      </w:t>
            </w:r>
            <w:r w:rsidRPr="00F968B7">
              <w:rPr>
                <w:rFonts w:ascii="Times New Roman" w:hAnsi="Times New Roman"/>
                <w:b/>
                <w:bCs/>
                <w:sz w:val="26"/>
                <w:szCs w:val="26"/>
                <w:rtl/>
              </w:rPr>
              <w:t xml:space="preserve"> מדינת ישראל </w:t>
            </w:r>
          </w:p>
        </w:tc>
      </w:tr>
      <w:bookmarkEnd w:id="1"/>
      <w:tr w:rsidR="00F968B7" w:rsidRPr="00F968B7" w14:paraId="5BD75883" w14:textId="77777777" w:rsidTr="005B6B72">
        <w:tc>
          <w:tcPr>
            <w:tcW w:w="8802" w:type="dxa"/>
            <w:gridSpan w:val="3"/>
            <w:vAlign w:val="center"/>
          </w:tcPr>
          <w:p w14:paraId="66615B0A" w14:textId="77777777" w:rsidR="00F968B7" w:rsidRPr="00F968B7" w:rsidRDefault="00F968B7" w:rsidP="005B6B72">
            <w:pPr>
              <w:jc w:val="center"/>
              <w:rPr>
                <w:rFonts w:ascii="Arial" w:hAnsi="Arial"/>
                <w:b/>
                <w:bCs/>
                <w:sz w:val="26"/>
                <w:szCs w:val="26"/>
                <w:rtl/>
              </w:rPr>
            </w:pPr>
          </w:p>
          <w:p w14:paraId="3FEE7EA7" w14:textId="77777777" w:rsidR="00F968B7" w:rsidRPr="00F968B7" w:rsidRDefault="00F968B7" w:rsidP="005B6B72">
            <w:pPr>
              <w:jc w:val="center"/>
              <w:rPr>
                <w:rFonts w:ascii="Arial" w:hAnsi="Arial"/>
                <w:b/>
                <w:bCs/>
                <w:sz w:val="26"/>
                <w:szCs w:val="26"/>
                <w:rtl/>
              </w:rPr>
            </w:pPr>
            <w:r w:rsidRPr="00F968B7">
              <w:rPr>
                <w:rFonts w:ascii="Arial" w:hAnsi="Arial"/>
                <w:b/>
                <w:bCs/>
                <w:sz w:val="26"/>
                <w:szCs w:val="26"/>
                <w:rtl/>
              </w:rPr>
              <w:t>נגד</w:t>
            </w:r>
          </w:p>
          <w:p w14:paraId="3B7D9559" w14:textId="77777777" w:rsidR="00F968B7" w:rsidRPr="00F968B7" w:rsidRDefault="00F968B7" w:rsidP="005B6B72">
            <w:pPr>
              <w:rPr>
                <w:rFonts w:ascii="Arial" w:hAnsi="Arial"/>
                <w:b/>
                <w:bCs/>
                <w:sz w:val="26"/>
                <w:szCs w:val="26"/>
              </w:rPr>
            </w:pPr>
          </w:p>
        </w:tc>
      </w:tr>
      <w:tr w:rsidR="00F968B7" w:rsidRPr="00F968B7" w14:paraId="21DB99A7" w14:textId="77777777" w:rsidTr="005B6B72">
        <w:tc>
          <w:tcPr>
            <w:tcW w:w="2880" w:type="dxa"/>
          </w:tcPr>
          <w:p w14:paraId="6F6B89FB" w14:textId="77777777" w:rsidR="00F968B7" w:rsidRPr="00F968B7" w:rsidRDefault="00F968B7" w:rsidP="005B6B72">
            <w:pPr>
              <w:ind w:left="26"/>
              <w:rPr>
                <w:rFonts w:ascii="Times New Roman" w:hAnsi="Times New Roman"/>
                <w:b/>
                <w:bCs/>
                <w:sz w:val="26"/>
                <w:szCs w:val="26"/>
                <w:rtl/>
              </w:rPr>
            </w:pPr>
            <w:r w:rsidRPr="00F968B7">
              <w:rPr>
                <w:rFonts w:ascii="Times New Roman" w:hAnsi="Times New Roman"/>
                <w:b/>
                <w:bCs/>
                <w:sz w:val="26"/>
                <w:szCs w:val="26"/>
                <w:rtl/>
              </w:rPr>
              <w:t>הנאשם</w:t>
            </w:r>
          </w:p>
        </w:tc>
        <w:tc>
          <w:tcPr>
            <w:tcW w:w="5922" w:type="dxa"/>
            <w:gridSpan w:val="2"/>
          </w:tcPr>
          <w:p w14:paraId="0B994DB6" w14:textId="77777777" w:rsidR="00F968B7" w:rsidRPr="00F968B7" w:rsidRDefault="00F968B7" w:rsidP="005B6B72">
            <w:pPr>
              <w:rPr>
                <w:rFonts w:ascii="Times New Roman" w:hAnsi="Times New Roman"/>
                <w:b/>
                <w:bCs/>
                <w:sz w:val="26"/>
                <w:szCs w:val="26"/>
                <w:rtl/>
              </w:rPr>
            </w:pPr>
            <w:r w:rsidRPr="00F968B7">
              <w:rPr>
                <w:rFonts w:ascii="Times New Roman" w:hAnsi="Times New Roman" w:cs="Times New Roman"/>
                <w:rtl/>
              </w:rPr>
              <w:t xml:space="preserve"> </w:t>
            </w:r>
            <w:r w:rsidRPr="00F968B7">
              <w:rPr>
                <w:rFonts w:ascii="Times New Roman" w:hAnsi="Times New Roman"/>
                <w:b/>
                <w:bCs/>
                <w:sz w:val="26"/>
                <w:szCs w:val="26"/>
                <w:rtl/>
              </w:rPr>
              <w:t xml:space="preserve">פלוני </w:t>
            </w:r>
          </w:p>
          <w:p w14:paraId="1346E569" w14:textId="77777777" w:rsidR="00F968B7" w:rsidRPr="00F968B7" w:rsidRDefault="00F968B7" w:rsidP="005B6B72">
            <w:pPr>
              <w:rPr>
                <w:rFonts w:ascii="Times New Roman" w:hAnsi="Times New Roman"/>
                <w:b/>
                <w:bCs/>
                <w:sz w:val="26"/>
                <w:szCs w:val="26"/>
                <w:rtl/>
              </w:rPr>
            </w:pPr>
          </w:p>
        </w:tc>
      </w:tr>
    </w:tbl>
    <w:p w14:paraId="00A27177" w14:textId="77777777" w:rsidR="006A64EA" w:rsidRPr="00F968B7" w:rsidRDefault="006A64EA">
      <w:pPr>
        <w:spacing w:line="360" w:lineRule="auto"/>
        <w:jc w:val="both"/>
        <w:rPr>
          <w:sz w:val="6"/>
          <w:szCs w:val="6"/>
          <w:rtl/>
        </w:rPr>
      </w:pPr>
      <w:r w:rsidRPr="00F968B7">
        <w:rPr>
          <w:sz w:val="6"/>
          <w:szCs w:val="6"/>
          <w:rtl/>
        </w:rPr>
        <w:t>&lt;#2#&gt;</w:t>
      </w:r>
    </w:p>
    <w:p w14:paraId="72E794E1" w14:textId="77777777" w:rsidR="006A64EA" w:rsidRPr="00F968B7" w:rsidRDefault="006A64EA" w:rsidP="006B0E68">
      <w:pPr>
        <w:pStyle w:val="12"/>
        <w:rPr>
          <w:rFonts w:hint="cs"/>
          <w:b w:val="0"/>
          <w:bCs w:val="0"/>
          <w:u w:val="none"/>
          <w:rtl/>
        </w:rPr>
      </w:pPr>
    </w:p>
    <w:p w14:paraId="394773DA" w14:textId="77777777" w:rsidR="009274C7" w:rsidRPr="00F968B7" w:rsidRDefault="009274C7" w:rsidP="006B0E68">
      <w:pPr>
        <w:pStyle w:val="12"/>
        <w:rPr>
          <w:rFonts w:hint="cs"/>
          <w:b w:val="0"/>
          <w:bCs w:val="0"/>
          <w:u w:val="none"/>
          <w:rtl/>
        </w:rPr>
      </w:pPr>
    </w:p>
    <w:p w14:paraId="053437CF" w14:textId="77777777" w:rsidR="00EE7843" w:rsidRPr="00EE7843" w:rsidRDefault="00EE7843" w:rsidP="00EE7843">
      <w:pPr>
        <w:spacing w:before="120" w:after="120" w:line="240" w:lineRule="exact"/>
        <w:ind w:left="283" w:hanging="283"/>
        <w:jc w:val="both"/>
        <w:rPr>
          <w:rFonts w:ascii="FrankRuehl" w:hAnsi="FrankRuehl" w:cs="FrankRuehl"/>
          <w:rtl/>
        </w:rPr>
      </w:pPr>
    </w:p>
    <w:p w14:paraId="3F4DA9DC" w14:textId="77777777" w:rsidR="007001DC" w:rsidRDefault="007001DC" w:rsidP="007001DC">
      <w:pPr>
        <w:spacing w:line="360" w:lineRule="auto"/>
        <w:jc w:val="center"/>
        <w:rPr>
          <w:rFonts w:ascii="Arial" w:hAnsi="Arial"/>
          <w:sz w:val="28"/>
          <w:szCs w:val="28"/>
          <w:rtl/>
        </w:rPr>
      </w:pPr>
      <w:bookmarkStart w:id="2" w:name="LawTable"/>
      <w:bookmarkEnd w:id="2"/>
    </w:p>
    <w:p w14:paraId="217A3677" w14:textId="77777777" w:rsidR="007001DC" w:rsidRPr="007001DC" w:rsidRDefault="007001DC" w:rsidP="007001DC">
      <w:pPr>
        <w:spacing w:before="120" w:after="120" w:line="240" w:lineRule="exact"/>
        <w:ind w:left="283" w:hanging="283"/>
        <w:jc w:val="both"/>
        <w:rPr>
          <w:rFonts w:ascii="FrankRuehl" w:hAnsi="FrankRuehl" w:cs="FrankRuehl"/>
          <w:rtl/>
        </w:rPr>
      </w:pPr>
    </w:p>
    <w:p w14:paraId="68882907" w14:textId="77777777" w:rsidR="007001DC" w:rsidRPr="007001DC" w:rsidRDefault="007001DC" w:rsidP="007001DC">
      <w:pPr>
        <w:spacing w:before="120" w:after="120" w:line="240" w:lineRule="exact"/>
        <w:ind w:left="283" w:hanging="283"/>
        <w:jc w:val="both"/>
        <w:rPr>
          <w:rFonts w:ascii="FrankRuehl" w:hAnsi="FrankRuehl" w:cs="FrankRuehl"/>
          <w:rtl/>
        </w:rPr>
      </w:pPr>
    </w:p>
    <w:p w14:paraId="4A9ADB6B" w14:textId="77777777" w:rsidR="007001DC" w:rsidRPr="007001DC" w:rsidRDefault="007001DC" w:rsidP="007001DC">
      <w:pPr>
        <w:spacing w:before="120" w:after="120" w:line="240" w:lineRule="exact"/>
        <w:ind w:left="283" w:hanging="283"/>
        <w:jc w:val="both"/>
        <w:rPr>
          <w:rFonts w:ascii="FrankRuehl" w:hAnsi="FrankRuehl" w:cs="FrankRuehl"/>
          <w:rtl/>
        </w:rPr>
      </w:pPr>
      <w:r w:rsidRPr="007001DC">
        <w:rPr>
          <w:rFonts w:ascii="FrankRuehl" w:hAnsi="FrankRuehl" w:cs="FrankRuehl"/>
          <w:rtl/>
        </w:rPr>
        <w:t xml:space="preserve">חקיקה שאוזכרה: </w:t>
      </w:r>
    </w:p>
    <w:p w14:paraId="31E06499" w14:textId="77777777" w:rsidR="007001DC" w:rsidRPr="007001DC" w:rsidRDefault="007001DC" w:rsidP="007001DC">
      <w:pPr>
        <w:spacing w:before="120" w:after="120" w:line="240" w:lineRule="exact"/>
        <w:ind w:left="283" w:hanging="283"/>
        <w:jc w:val="both"/>
        <w:rPr>
          <w:rFonts w:ascii="FrankRuehl" w:hAnsi="FrankRuehl" w:cs="FrankRuehl"/>
          <w:rtl/>
        </w:rPr>
      </w:pPr>
      <w:hyperlink r:id="rId7" w:history="1">
        <w:r w:rsidRPr="007001DC">
          <w:rPr>
            <w:rFonts w:ascii="FrankRuehl" w:hAnsi="FrankRuehl" w:cs="FrankRuehl"/>
            <w:color w:val="0000FF"/>
            <w:rtl/>
          </w:rPr>
          <w:t>פקודת הסמים המסוכנים [נוסח חדש], תשל"ג-1973</w:t>
        </w:r>
      </w:hyperlink>
      <w:r w:rsidRPr="007001DC">
        <w:rPr>
          <w:rFonts w:ascii="FrankRuehl" w:hAnsi="FrankRuehl" w:cs="FrankRuehl"/>
          <w:rtl/>
        </w:rPr>
        <w:t xml:space="preserve">: סע'  </w:t>
      </w:r>
      <w:hyperlink r:id="rId8" w:history="1">
        <w:r w:rsidRPr="007001DC">
          <w:rPr>
            <w:rFonts w:ascii="FrankRuehl" w:hAnsi="FrankRuehl" w:cs="FrankRuehl"/>
            <w:color w:val="0000FF"/>
            <w:rtl/>
          </w:rPr>
          <w:t>13</w:t>
        </w:r>
      </w:hyperlink>
      <w:r w:rsidRPr="007001DC">
        <w:rPr>
          <w:rFonts w:ascii="FrankRuehl" w:hAnsi="FrankRuehl" w:cs="FrankRuehl"/>
          <w:rtl/>
        </w:rPr>
        <w:t xml:space="preserve">, </w:t>
      </w:r>
      <w:hyperlink r:id="rId9" w:history="1">
        <w:r w:rsidRPr="007001DC">
          <w:rPr>
            <w:rFonts w:ascii="FrankRuehl" w:hAnsi="FrankRuehl" w:cs="FrankRuehl"/>
            <w:color w:val="0000FF"/>
            <w:rtl/>
          </w:rPr>
          <w:t>19א</w:t>
        </w:r>
      </w:hyperlink>
    </w:p>
    <w:p w14:paraId="08801B6D" w14:textId="77777777" w:rsidR="007001DC" w:rsidRPr="007001DC" w:rsidRDefault="007001DC" w:rsidP="007001DC">
      <w:pPr>
        <w:spacing w:before="120" w:after="120" w:line="240" w:lineRule="exact"/>
        <w:ind w:left="283" w:hanging="283"/>
        <w:jc w:val="both"/>
        <w:rPr>
          <w:rFonts w:ascii="FrankRuehl" w:hAnsi="FrankRuehl" w:cs="FrankRuehl"/>
          <w:rtl/>
        </w:rPr>
      </w:pPr>
      <w:hyperlink r:id="rId10" w:history="1">
        <w:r w:rsidRPr="007001DC">
          <w:rPr>
            <w:rFonts w:ascii="FrankRuehl" w:hAnsi="FrankRuehl" w:cs="FrankRuehl"/>
            <w:color w:val="0000FF"/>
            <w:rtl/>
          </w:rPr>
          <w:t>חוק העונשין, תשל"ז-1977</w:t>
        </w:r>
      </w:hyperlink>
      <w:r w:rsidRPr="007001DC">
        <w:rPr>
          <w:rFonts w:ascii="FrankRuehl" w:hAnsi="FrankRuehl" w:cs="FrankRuehl"/>
          <w:rtl/>
        </w:rPr>
        <w:t xml:space="preserve">: סע'  </w:t>
      </w:r>
      <w:hyperlink r:id="rId11" w:history="1">
        <w:r w:rsidRPr="007001DC">
          <w:rPr>
            <w:rFonts w:ascii="FrankRuehl" w:hAnsi="FrankRuehl" w:cs="FrankRuehl"/>
            <w:color w:val="0000FF"/>
            <w:rtl/>
          </w:rPr>
          <w:t>29(א)</w:t>
        </w:r>
      </w:hyperlink>
      <w:r w:rsidRPr="007001DC">
        <w:rPr>
          <w:rFonts w:ascii="FrankRuehl" w:hAnsi="FrankRuehl" w:cs="FrankRuehl"/>
          <w:rtl/>
        </w:rPr>
        <w:t xml:space="preserve">, </w:t>
      </w:r>
      <w:hyperlink r:id="rId12" w:history="1">
        <w:r w:rsidRPr="007001DC">
          <w:rPr>
            <w:rFonts w:ascii="FrankRuehl" w:hAnsi="FrankRuehl" w:cs="FrankRuehl"/>
            <w:color w:val="0000FF"/>
            <w:rtl/>
          </w:rPr>
          <w:t>31</w:t>
        </w:r>
      </w:hyperlink>
    </w:p>
    <w:p w14:paraId="35A8CFE8" w14:textId="77777777" w:rsidR="007001DC" w:rsidRPr="007001DC" w:rsidRDefault="007001DC" w:rsidP="007001DC">
      <w:pPr>
        <w:spacing w:before="120" w:after="120" w:line="240" w:lineRule="exact"/>
        <w:ind w:left="283" w:hanging="283"/>
        <w:jc w:val="both"/>
        <w:rPr>
          <w:rFonts w:ascii="FrankRuehl" w:hAnsi="FrankRuehl" w:cs="FrankRuehl"/>
          <w:rtl/>
        </w:rPr>
      </w:pPr>
      <w:hyperlink r:id="rId13" w:history="1">
        <w:r w:rsidRPr="007001DC">
          <w:rPr>
            <w:rFonts w:ascii="FrankRuehl" w:hAnsi="FrankRuehl" w:cs="FrankRuehl"/>
            <w:color w:val="0000FF"/>
            <w:rtl/>
          </w:rPr>
          <w:t>חוק הנוער (שפיטה, ענישה ודרכי טיפול), תשל"א-1971</w:t>
        </w:r>
      </w:hyperlink>
      <w:r w:rsidRPr="007001DC">
        <w:rPr>
          <w:rFonts w:ascii="FrankRuehl" w:hAnsi="FrankRuehl" w:cs="FrankRuehl"/>
          <w:rtl/>
        </w:rPr>
        <w:t xml:space="preserve">: סע'  </w:t>
      </w:r>
      <w:hyperlink r:id="rId14" w:history="1">
        <w:r w:rsidRPr="007001DC">
          <w:rPr>
            <w:rFonts w:ascii="FrankRuehl" w:hAnsi="FrankRuehl" w:cs="FrankRuehl"/>
            <w:color w:val="0000FF"/>
            <w:rtl/>
          </w:rPr>
          <w:t>24(1)</w:t>
        </w:r>
      </w:hyperlink>
    </w:p>
    <w:p w14:paraId="283CD0AC" w14:textId="77777777" w:rsidR="007001DC" w:rsidRPr="007001DC" w:rsidRDefault="007001DC" w:rsidP="007001DC">
      <w:pPr>
        <w:spacing w:line="360" w:lineRule="auto"/>
        <w:jc w:val="center"/>
        <w:rPr>
          <w:rFonts w:ascii="Arial" w:hAnsi="Arial"/>
          <w:sz w:val="28"/>
          <w:szCs w:val="28"/>
          <w:rtl/>
        </w:rPr>
      </w:pPr>
      <w:bookmarkStart w:id="3" w:name="LawTable_End"/>
      <w:bookmarkEnd w:id="3"/>
    </w:p>
    <w:p w14:paraId="401E24B6" w14:textId="77777777" w:rsidR="00F968B7" w:rsidRPr="00EE7843" w:rsidRDefault="00F968B7" w:rsidP="00EE7843">
      <w:pPr>
        <w:spacing w:line="360" w:lineRule="auto"/>
        <w:jc w:val="center"/>
        <w:rPr>
          <w:rFonts w:ascii="Arial" w:hAnsi="Arial"/>
          <w:sz w:val="28"/>
          <w:szCs w:val="28"/>
          <w:rtl/>
        </w:rPr>
      </w:pPr>
    </w:p>
    <w:p w14:paraId="5F7325DE" w14:textId="77777777" w:rsidR="00F968B7" w:rsidRPr="00F968B7" w:rsidRDefault="00F968B7" w:rsidP="00F968B7">
      <w:pPr>
        <w:spacing w:line="360" w:lineRule="auto"/>
        <w:jc w:val="center"/>
        <w:rPr>
          <w:rFonts w:ascii="Arial" w:hAnsi="Arial"/>
          <w:b/>
          <w:bCs/>
          <w:sz w:val="28"/>
          <w:szCs w:val="28"/>
          <w:u w:val="single"/>
          <w:rtl/>
        </w:rPr>
      </w:pPr>
      <w:bookmarkStart w:id="4" w:name="PsakDin"/>
      <w:bookmarkEnd w:id="0"/>
      <w:r w:rsidRPr="00F968B7">
        <w:rPr>
          <w:rFonts w:ascii="Arial" w:hAnsi="Arial"/>
          <w:b/>
          <w:bCs/>
          <w:sz w:val="28"/>
          <w:szCs w:val="28"/>
          <w:u w:val="single"/>
          <w:rtl/>
        </w:rPr>
        <w:t xml:space="preserve">גזר דין </w:t>
      </w:r>
      <w:bookmarkEnd w:id="4"/>
      <w:r w:rsidRPr="00F968B7">
        <w:rPr>
          <w:rFonts w:ascii="Arial" w:hAnsi="Arial"/>
          <w:b/>
          <w:bCs/>
          <w:sz w:val="28"/>
          <w:szCs w:val="28"/>
          <w:u w:val="single"/>
          <w:rtl/>
        </w:rPr>
        <w:t>לאחר שינוי והתאמה לפרסום</w:t>
      </w:r>
    </w:p>
    <w:p w14:paraId="5F80A7FD" w14:textId="77777777" w:rsidR="006A64EA" w:rsidRPr="007D29B0" w:rsidRDefault="006A64EA" w:rsidP="007D29B0">
      <w:pPr>
        <w:spacing w:line="360" w:lineRule="auto"/>
        <w:jc w:val="both"/>
        <w:rPr>
          <w:rtl/>
        </w:rPr>
      </w:pPr>
      <w:r>
        <w:rPr>
          <w:rtl/>
        </w:rPr>
        <w:t xml:space="preserve"> </w:t>
      </w:r>
    </w:p>
    <w:p w14:paraId="65B975CA" w14:textId="77777777" w:rsidR="006A64EA" w:rsidRDefault="006A64EA" w:rsidP="007D29B0">
      <w:pPr>
        <w:spacing w:line="360" w:lineRule="auto"/>
        <w:jc w:val="both"/>
        <w:rPr>
          <w:rFonts w:ascii="Arial" w:hAnsi="Arial"/>
        </w:rPr>
      </w:pPr>
      <w:bookmarkStart w:id="5" w:name="ABSTRACT_START"/>
      <w:bookmarkEnd w:id="5"/>
      <w:r w:rsidRPr="0082308D">
        <w:rPr>
          <w:rFonts w:ascii="Arial" w:hAnsi="Arial"/>
          <w:rtl/>
        </w:rPr>
        <w:t>הנאשם, יליד 04/09/05, הודה</w:t>
      </w:r>
      <w:r>
        <w:rPr>
          <w:rFonts w:ascii="Arial" w:hAnsi="Arial"/>
          <w:rtl/>
        </w:rPr>
        <w:t xml:space="preserve"> בכתב אישום מתוקן ונקבע שסיפק וסחר בסם מסוכן בצוותא עם אביו, סחר בסם מסוכן מסוג קוקאין ובסם מסוכן מסוג </w:t>
      </w:r>
      <w:r>
        <w:t>MDMA</w:t>
      </w:r>
      <w:r>
        <w:rPr>
          <w:rFonts w:ascii="Arial" w:hAnsi="Arial"/>
          <w:rtl/>
        </w:rPr>
        <w:t xml:space="preserve">, וסייע לאחר לבצע עבירת סחר בסם מסוכן מסוג קוקאין, בניגוד </w:t>
      </w:r>
      <w:hyperlink r:id="rId15" w:history="1">
        <w:r w:rsidR="006E7D0F" w:rsidRPr="006E7D0F">
          <w:rPr>
            <w:rStyle w:val="Hyperlink"/>
            <w:rFonts w:ascii="Arial" w:hAnsi="Arial"/>
            <w:rtl/>
          </w:rPr>
          <w:t>לסעיפים 13</w:t>
        </w:r>
      </w:hyperlink>
      <w:r>
        <w:rPr>
          <w:rFonts w:ascii="Arial" w:hAnsi="Arial"/>
          <w:rtl/>
        </w:rPr>
        <w:t xml:space="preserve"> + </w:t>
      </w:r>
      <w:hyperlink r:id="rId16" w:history="1">
        <w:r w:rsidR="006E7D0F" w:rsidRPr="006E7D0F">
          <w:rPr>
            <w:rStyle w:val="Hyperlink"/>
            <w:rFonts w:ascii="Arial" w:hAnsi="Arial"/>
            <w:rtl/>
          </w:rPr>
          <w:t>19א</w:t>
        </w:r>
      </w:hyperlink>
      <w:r>
        <w:rPr>
          <w:rFonts w:ascii="Arial" w:hAnsi="Arial"/>
          <w:rtl/>
        </w:rPr>
        <w:t xml:space="preserve"> ל</w:t>
      </w:r>
      <w:hyperlink r:id="rId17" w:history="1">
        <w:r w:rsidR="00F968B7" w:rsidRPr="00F968B7">
          <w:rPr>
            <w:rFonts w:ascii="Arial" w:hAnsi="Arial"/>
            <w:color w:val="0000FF"/>
            <w:u w:val="single"/>
            <w:rtl/>
          </w:rPr>
          <w:t>פקודת הסמים המסוכנים</w:t>
        </w:r>
      </w:hyperlink>
      <w:r>
        <w:rPr>
          <w:rFonts w:ascii="Arial" w:hAnsi="Arial"/>
          <w:rtl/>
        </w:rPr>
        <w:t xml:space="preserve"> (נוסח חדש), תשל"ג- 1973 (להלן: "</w:t>
      </w:r>
      <w:r>
        <w:rPr>
          <w:rFonts w:ascii="Arial" w:hAnsi="Arial"/>
          <w:b/>
          <w:bCs/>
          <w:rtl/>
        </w:rPr>
        <w:t>פקודת הסמים המסוכנים</w:t>
      </w:r>
      <w:r>
        <w:rPr>
          <w:rFonts w:ascii="Arial" w:hAnsi="Arial"/>
          <w:rtl/>
        </w:rPr>
        <w:t xml:space="preserve">") + </w:t>
      </w:r>
      <w:hyperlink r:id="rId18" w:history="1">
        <w:r w:rsidR="006E7D0F" w:rsidRPr="006E7D0F">
          <w:rPr>
            <w:rStyle w:val="Hyperlink"/>
            <w:rFonts w:ascii="Arial" w:hAnsi="Arial"/>
            <w:rtl/>
          </w:rPr>
          <w:t>סעיף 29(א)</w:t>
        </w:r>
      </w:hyperlink>
      <w:r>
        <w:rPr>
          <w:rFonts w:ascii="Arial" w:hAnsi="Arial"/>
          <w:rtl/>
        </w:rPr>
        <w:t xml:space="preserve"> ל</w:t>
      </w:r>
      <w:hyperlink r:id="rId19" w:history="1">
        <w:r w:rsidR="00F968B7" w:rsidRPr="00F968B7">
          <w:rPr>
            <w:rFonts w:ascii="Arial" w:hAnsi="Arial"/>
            <w:color w:val="0000FF"/>
            <w:u w:val="single"/>
            <w:rtl/>
          </w:rPr>
          <w:t>חוק העונשין</w:t>
        </w:r>
      </w:hyperlink>
      <w:r>
        <w:rPr>
          <w:rFonts w:ascii="Arial" w:hAnsi="Arial"/>
          <w:rtl/>
        </w:rPr>
        <w:t>, התשל"ז – 1977 (להלן: "</w:t>
      </w:r>
      <w:r>
        <w:rPr>
          <w:rFonts w:ascii="Arial" w:hAnsi="Arial"/>
          <w:b/>
          <w:bCs/>
          <w:rtl/>
        </w:rPr>
        <w:t>חוק העונשין</w:t>
      </w:r>
      <w:r>
        <w:rPr>
          <w:rFonts w:ascii="Arial" w:hAnsi="Arial"/>
          <w:rtl/>
        </w:rPr>
        <w:t xml:space="preserve">"), + </w:t>
      </w:r>
      <w:hyperlink r:id="rId20" w:history="1">
        <w:r w:rsidR="006E7D0F" w:rsidRPr="006E7D0F">
          <w:rPr>
            <w:rStyle w:val="Hyperlink"/>
            <w:rFonts w:ascii="Arial" w:hAnsi="Arial"/>
            <w:rtl/>
          </w:rPr>
          <w:t>סעיף 31</w:t>
        </w:r>
      </w:hyperlink>
      <w:r>
        <w:rPr>
          <w:rFonts w:ascii="Arial" w:hAnsi="Arial"/>
          <w:rtl/>
        </w:rPr>
        <w:t xml:space="preserve"> לחוק העונשין.</w:t>
      </w:r>
    </w:p>
    <w:p w14:paraId="16E8C145" w14:textId="77777777" w:rsidR="006A64EA" w:rsidRDefault="006A64EA" w:rsidP="007D29B0">
      <w:pPr>
        <w:spacing w:line="360" w:lineRule="auto"/>
        <w:jc w:val="both"/>
        <w:rPr>
          <w:rFonts w:ascii="Arial" w:hAnsi="Arial"/>
          <w:rtl/>
        </w:rPr>
      </w:pPr>
      <w:bookmarkStart w:id="6" w:name="ABSTRACT_END"/>
      <w:bookmarkEnd w:id="6"/>
    </w:p>
    <w:p w14:paraId="7A4B2358" w14:textId="77777777" w:rsidR="006A64EA" w:rsidRDefault="006A64EA" w:rsidP="007D29B0">
      <w:pPr>
        <w:spacing w:line="360" w:lineRule="auto"/>
        <w:jc w:val="both"/>
        <w:rPr>
          <w:rFonts w:ascii="Arial" w:hAnsi="Arial"/>
          <w:rtl/>
        </w:rPr>
      </w:pPr>
      <w:r>
        <w:rPr>
          <w:rFonts w:ascii="Arial" w:hAnsi="Arial"/>
          <w:rtl/>
        </w:rPr>
        <w:t xml:space="preserve">על פי המתואר בכתב האישום המתוקן, המונה שישה אישומים, בתקופה שבין התאריכים 24/01/21 ועד 14/02/21, מכרו הנאשם ואביו, סמים מסוכנים מסוג קוקאין וכן </w:t>
      </w:r>
      <w:r>
        <w:rPr>
          <w:rFonts w:ascii="Arial" w:hAnsi="Arial"/>
        </w:rPr>
        <w:t>MDMA</w:t>
      </w:r>
      <w:r>
        <w:rPr>
          <w:rFonts w:ascii="Arial" w:hAnsi="Arial"/>
          <w:rtl/>
        </w:rPr>
        <w:t xml:space="preserve"> לכל דורש, מבית מגוריהם והכל כמפורט בכתב האישום. </w:t>
      </w:r>
    </w:p>
    <w:p w14:paraId="2F97D869" w14:textId="77777777" w:rsidR="006A64EA" w:rsidRDefault="006A64EA" w:rsidP="007D29B0">
      <w:pPr>
        <w:spacing w:line="360" w:lineRule="auto"/>
        <w:jc w:val="both"/>
        <w:rPr>
          <w:rFonts w:ascii="Arial" w:hAnsi="Arial"/>
          <w:rtl/>
        </w:rPr>
      </w:pPr>
    </w:p>
    <w:p w14:paraId="6F560E48" w14:textId="77777777" w:rsidR="006A64EA" w:rsidRDefault="006A64EA" w:rsidP="007D29B0">
      <w:pPr>
        <w:spacing w:line="360" w:lineRule="auto"/>
        <w:jc w:val="both"/>
        <w:rPr>
          <w:rFonts w:ascii="Arial" w:hAnsi="Arial"/>
          <w:b/>
          <w:bCs/>
          <w:rtl/>
        </w:rPr>
      </w:pPr>
      <w:r>
        <w:rPr>
          <w:rFonts w:ascii="Arial" w:hAnsi="Arial"/>
          <w:b/>
          <w:bCs/>
          <w:rtl/>
        </w:rPr>
        <w:lastRenderedPageBreak/>
        <w:t>בין הצדדים גובשו הסכמות אשר לתיקון כתב האישום, ואולם בנוגע לענישה הראויה במכלול הנתונים, טען כל צד כמיטב חוכמתו. לעניין הרשעת הנאשם לא נשמעו טיעונים.</w:t>
      </w:r>
    </w:p>
    <w:p w14:paraId="536ECDB3" w14:textId="77777777" w:rsidR="006A64EA" w:rsidRDefault="006A64EA" w:rsidP="007D29B0">
      <w:pPr>
        <w:spacing w:line="360" w:lineRule="auto"/>
        <w:jc w:val="both"/>
        <w:rPr>
          <w:rFonts w:ascii="Arial" w:hAnsi="Arial"/>
          <w:b/>
          <w:bCs/>
          <w:rtl/>
        </w:rPr>
      </w:pPr>
    </w:p>
    <w:p w14:paraId="5CD63B72" w14:textId="77777777" w:rsidR="006A64EA" w:rsidRDefault="006A64EA" w:rsidP="007D29B0">
      <w:pPr>
        <w:spacing w:line="360" w:lineRule="auto"/>
        <w:jc w:val="both"/>
        <w:rPr>
          <w:rFonts w:ascii="Arial" w:hAnsi="Arial"/>
          <w:rtl/>
        </w:rPr>
      </w:pPr>
      <w:r>
        <w:rPr>
          <w:rFonts w:ascii="Arial" w:hAnsi="Arial"/>
          <w:b/>
          <w:bCs/>
          <w:rtl/>
        </w:rPr>
        <w:t>ב"כ המאשימה</w:t>
      </w:r>
      <w:r>
        <w:rPr>
          <w:rFonts w:ascii="Arial" w:hAnsi="Arial"/>
          <w:rtl/>
        </w:rPr>
        <w:t xml:space="preserve"> עמד על חומרת העבירות אותן ביצע הנאשם, ריבוי המקרים, סוגם של הסמים בהם סחר הנאשם בעצמו או עם אביו, בנסיבות המתוארות בכתב האישום, לכל דורש, ולסוכן משטרתי,  והכל לשם התמורה הכספית.</w:t>
      </w:r>
    </w:p>
    <w:p w14:paraId="21B36214" w14:textId="77777777" w:rsidR="006A64EA" w:rsidRDefault="006A64EA" w:rsidP="007D29B0">
      <w:pPr>
        <w:spacing w:line="360" w:lineRule="auto"/>
        <w:jc w:val="both"/>
        <w:rPr>
          <w:rFonts w:ascii="Arial" w:hAnsi="Arial"/>
          <w:rtl/>
        </w:rPr>
      </w:pPr>
      <w:r>
        <w:rPr>
          <w:rFonts w:ascii="Arial" w:hAnsi="Arial"/>
          <w:rtl/>
        </w:rPr>
        <w:t xml:space="preserve">בטיעוניו הדגיש הערכים המוגנים, שנפגעו כתוצאה ממעשיו של הנאשם והוסיף טיעון אשר לנזקים הישרים והעקיפים לחברה ולמכורים לסם, עת מדובר בסמים קשים. בסיכומם של דברים ציין כי ללא אופק שיקומי או המלצה טיפולית, יש לבכר שיקולי ענישה אחרים כגון גמול והלימה ואלו מחייבים לצד העברת המסר בגנות המעשים גם, ענישה משמעותית. </w:t>
      </w:r>
    </w:p>
    <w:p w14:paraId="79C64EB0" w14:textId="77777777" w:rsidR="006A64EA" w:rsidRDefault="006A64EA" w:rsidP="007D29B0">
      <w:pPr>
        <w:spacing w:line="360" w:lineRule="auto"/>
        <w:jc w:val="both"/>
        <w:rPr>
          <w:rFonts w:ascii="Arial" w:hAnsi="Arial"/>
          <w:rtl/>
        </w:rPr>
      </w:pPr>
      <w:r>
        <w:rPr>
          <w:rFonts w:ascii="Arial" w:hAnsi="Arial"/>
          <w:rtl/>
        </w:rPr>
        <w:t xml:space="preserve">ב"כ המאשימה עתר להרשעת הנאשם ולענישה הכוללת 24 חודשי מאסר בפועל, מאסר מותנה, קנס, ופסילת רישיון נהיגה בפועל, ולהשלמת התמונה הגיש את גזר הדין שניתן בעניינו של  אביו של הנאשם -  שותפו לחלק מן האישומים, אשר נדון בגין שני אישומי סחר בסמים,  לענישה הכוללת בין היתר  21 חודשי מאסר בפועל, וטען כי יש ללמוד גזירה דומה בעניינו, הגם שמדובר בעונשו של בגיר. </w:t>
      </w:r>
    </w:p>
    <w:p w14:paraId="47C5A355" w14:textId="77777777" w:rsidR="006A64EA" w:rsidRDefault="006A64EA" w:rsidP="007D29B0">
      <w:pPr>
        <w:spacing w:line="360" w:lineRule="auto"/>
        <w:jc w:val="both"/>
        <w:rPr>
          <w:rFonts w:ascii="Arial" w:hAnsi="Arial"/>
          <w:rtl/>
        </w:rPr>
      </w:pPr>
    </w:p>
    <w:p w14:paraId="0417D537" w14:textId="77777777" w:rsidR="006A64EA" w:rsidRDefault="006A64EA" w:rsidP="007D29B0">
      <w:pPr>
        <w:spacing w:line="360" w:lineRule="auto"/>
        <w:jc w:val="both"/>
        <w:rPr>
          <w:rFonts w:ascii="Arial" w:hAnsi="Arial"/>
          <w:rtl/>
        </w:rPr>
      </w:pPr>
      <w:r>
        <w:rPr>
          <w:rFonts w:ascii="Arial" w:hAnsi="Arial"/>
          <w:b/>
          <w:bCs/>
          <w:rtl/>
        </w:rPr>
        <w:t xml:space="preserve">ב"כ הנאשם </w:t>
      </w:r>
      <w:r>
        <w:rPr>
          <w:rFonts w:ascii="Arial" w:hAnsi="Arial"/>
          <w:rtl/>
        </w:rPr>
        <w:t>טען כי הנאשם ביצע את המיוחס לו, עת היה בן כ-15. הודאתו בבית המשפט מלמדת, חרטה כנה ואין להקיש מעניינו של האב כלפי הבן בפרט לאור העבר הפלילי המכביד אותו נושא האב, בשונה  מבנו.</w:t>
      </w:r>
    </w:p>
    <w:p w14:paraId="215B5096" w14:textId="77777777" w:rsidR="006A64EA" w:rsidRDefault="006A64EA" w:rsidP="007D29B0">
      <w:pPr>
        <w:spacing w:line="360" w:lineRule="auto"/>
        <w:jc w:val="both"/>
        <w:rPr>
          <w:rFonts w:ascii="Arial" w:hAnsi="Arial"/>
          <w:rtl/>
        </w:rPr>
      </w:pPr>
    </w:p>
    <w:p w14:paraId="472F4769" w14:textId="77777777" w:rsidR="006A64EA" w:rsidRDefault="006A64EA" w:rsidP="007D29B0">
      <w:pPr>
        <w:spacing w:line="360" w:lineRule="auto"/>
        <w:jc w:val="both"/>
        <w:rPr>
          <w:rFonts w:ascii="Arial" w:hAnsi="Arial"/>
          <w:rtl/>
        </w:rPr>
      </w:pPr>
      <w:r>
        <w:rPr>
          <w:rFonts w:ascii="Arial" w:hAnsi="Arial"/>
          <w:rtl/>
        </w:rPr>
        <w:t xml:space="preserve">הסניגור הוסיף כי יש לראות במכלול האישומים אירוע אחד מתמשך, לאור סמיכות המועדים. בצירוף נסיבותיו של הנאשם, ביקש שלא למצות הדין עמו ולהסתפק בענישה הצופה פני עתיד. </w:t>
      </w:r>
    </w:p>
    <w:p w14:paraId="7BD35478" w14:textId="77777777" w:rsidR="006A64EA" w:rsidRDefault="006A64EA" w:rsidP="007D29B0">
      <w:pPr>
        <w:spacing w:line="360" w:lineRule="auto"/>
        <w:jc w:val="both"/>
        <w:rPr>
          <w:rFonts w:ascii="Arial" w:hAnsi="Arial"/>
          <w:rtl/>
        </w:rPr>
      </w:pPr>
    </w:p>
    <w:p w14:paraId="755C6AD0" w14:textId="77777777" w:rsidR="006A64EA" w:rsidRDefault="006A64EA" w:rsidP="007D29B0">
      <w:pPr>
        <w:spacing w:line="360" w:lineRule="auto"/>
        <w:jc w:val="both"/>
        <w:rPr>
          <w:rFonts w:ascii="Arial" w:hAnsi="Arial"/>
          <w:rtl/>
        </w:rPr>
      </w:pPr>
      <w:r>
        <w:rPr>
          <w:rFonts w:ascii="Arial" w:hAnsi="Arial"/>
          <w:rtl/>
        </w:rPr>
        <w:t xml:space="preserve">לתמיכה בטיעוניו הפנה לגזר הדין של מעורב נוסף בפרשה, בו נידון שותפו של האב למאסר בן 5 חודשים שירוצה על דרך של עבודות השירות. </w:t>
      </w:r>
    </w:p>
    <w:p w14:paraId="757AAB11" w14:textId="77777777" w:rsidR="006A64EA" w:rsidRDefault="006A64EA" w:rsidP="007D29B0">
      <w:pPr>
        <w:spacing w:line="360" w:lineRule="auto"/>
        <w:jc w:val="both"/>
        <w:rPr>
          <w:rFonts w:ascii="Arial" w:hAnsi="Arial"/>
          <w:rtl/>
        </w:rPr>
      </w:pPr>
    </w:p>
    <w:p w14:paraId="7E018E9A" w14:textId="77777777" w:rsidR="006A64EA" w:rsidRDefault="006A64EA" w:rsidP="007D29B0">
      <w:pPr>
        <w:spacing w:line="360" w:lineRule="auto"/>
        <w:jc w:val="both"/>
        <w:rPr>
          <w:rFonts w:ascii="Arial" w:hAnsi="Arial"/>
          <w:rtl/>
        </w:rPr>
      </w:pPr>
      <w:r>
        <w:rPr>
          <w:rFonts w:ascii="Arial" w:hAnsi="Arial"/>
          <w:rtl/>
        </w:rPr>
        <w:t xml:space="preserve">הצדדים הגישו אסמכתאות פסיקה לתמיכה בטיעוניהם. </w:t>
      </w:r>
    </w:p>
    <w:p w14:paraId="1CC8ABA6" w14:textId="77777777" w:rsidR="006A64EA" w:rsidRDefault="006A64EA" w:rsidP="007D29B0">
      <w:pPr>
        <w:spacing w:line="360" w:lineRule="auto"/>
        <w:jc w:val="both"/>
        <w:rPr>
          <w:rFonts w:ascii="Arial" w:hAnsi="Arial"/>
          <w:b/>
          <w:bCs/>
          <w:rtl/>
        </w:rPr>
      </w:pPr>
    </w:p>
    <w:p w14:paraId="596DC2F7" w14:textId="77777777" w:rsidR="006A64EA" w:rsidRDefault="006A64EA" w:rsidP="007D29B0">
      <w:pPr>
        <w:spacing w:line="360" w:lineRule="auto"/>
        <w:jc w:val="both"/>
        <w:rPr>
          <w:rFonts w:ascii="Arial" w:hAnsi="Arial"/>
          <w:rtl/>
        </w:rPr>
      </w:pPr>
      <w:r>
        <w:rPr>
          <w:rFonts w:ascii="Arial" w:hAnsi="Arial"/>
          <w:b/>
          <w:bCs/>
          <w:rtl/>
        </w:rPr>
        <w:t xml:space="preserve">הנאשם בזכותו למילה האחרונה </w:t>
      </w:r>
      <w:r>
        <w:rPr>
          <w:rFonts w:ascii="Arial" w:hAnsi="Arial"/>
          <w:rtl/>
        </w:rPr>
        <w:t>אמר כי הוא מצטער על מעשיו ולא יחזור עליהם.</w:t>
      </w:r>
    </w:p>
    <w:p w14:paraId="62DD5864" w14:textId="77777777" w:rsidR="006A64EA" w:rsidRDefault="006A64EA" w:rsidP="007D29B0">
      <w:pPr>
        <w:spacing w:line="360" w:lineRule="auto"/>
        <w:jc w:val="both"/>
        <w:rPr>
          <w:rFonts w:ascii="Arial" w:hAnsi="Arial"/>
          <w:rtl/>
        </w:rPr>
      </w:pPr>
    </w:p>
    <w:p w14:paraId="6094EC49" w14:textId="77777777" w:rsidR="006A64EA" w:rsidRDefault="006A64EA" w:rsidP="007D29B0">
      <w:pPr>
        <w:spacing w:line="360" w:lineRule="auto"/>
        <w:jc w:val="both"/>
        <w:rPr>
          <w:rFonts w:ascii="Arial" w:hAnsi="Arial"/>
          <w:b/>
          <w:bCs/>
          <w:u w:val="single"/>
          <w:rtl/>
        </w:rPr>
      </w:pPr>
      <w:r>
        <w:rPr>
          <w:rFonts w:ascii="Arial" w:hAnsi="Arial"/>
          <w:b/>
          <w:bCs/>
          <w:u w:val="single"/>
          <w:rtl/>
        </w:rPr>
        <w:t>תסקירי שירות המבחן –</w:t>
      </w:r>
    </w:p>
    <w:p w14:paraId="4C39A54E" w14:textId="77777777" w:rsidR="006A64EA" w:rsidRDefault="006A64EA" w:rsidP="007D29B0">
      <w:pPr>
        <w:spacing w:line="360" w:lineRule="auto"/>
        <w:jc w:val="both"/>
        <w:rPr>
          <w:rFonts w:ascii="Arial" w:hAnsi="Arial"/>
          <w:rtl/>
        </w:rPr>
      </w:pPr>
      <w:r>
        <w:rPr>
          <w:rFonts w:ascii="Arial" w:hAnsi="Arial"/>
          <w:rtl/>
        </w:rPr>
        <w:t>בעניינו של הנאשם הוגשו שישה תסקירים בתאריכים 15/02/22, 19/06/22, 11/09/22, 25/10/22, 27/11/22 ו- 22/01/23, מהם נלמד כי הנאשם שולב בקבוצה טיפולית בין התאריכים 07/05/21-09/07/21, מסר בדיקות שתן שנמצאו ללא שרידי סם, והופנה לפרויקט "סיכויים" ואולם בהמשך, פחת הקשר עם שירות המבחן עד לניתוקו המוחלט.</w:t>
      </w:r>
    </w:p>
    <w:p w14:paraId="5A8773AE" w14:textId="77777777" w:rsidR="006A64EA" w:rsidRDefault="006A64EA" w:rsidP="007D29B0">
      <w:pPr>
        <w:spacing w:line="360" w:lineRule="auto"/>
        <w:jc w:val="both"/>
        <w:rPr>
          <w:rFonts w:ascii="Arial" w:hAnsi="Arial"/>
          <w:rtl/>
        </w:rPr>
      </w:pPr>
      <w:r>
        <w:rPr>
          <w:rFonts w:ascii="Arial" w:hAnsi="Arial"/>
          <w:rtl/>
        </w:rPr>
        <w:t xml:space="preserve"> </w:t>
      </w:r>
    </w:p>
    <w:p w14:paraId="196DCBF4" w14:textId="77777777" w:rsidR="006A64EA" w:rsidRDefault="006A64EA" w:rsidP="007D29B0">
      <w:pPr>
        <w:spacing w:line="360" w:lineRule="auto"/>
        <w:jc w:val="both"/>
        <w:rPr>
          <w:rFonts w:ascii="Arial" w:hAnsi="Arial"/>
          <w:rtl/>
        </w:rPr>
      </w:pPr>
      <w:r>
        <w:rPr>
          <w:rFonts w:ascii="Arial" w:hAnsi="Arial"/>
          <w:rtl/>
        </w:rPr>
        <w:lastRenderedPageBreak/>
        <w:t xml:space="preserve">אל מול גורמי הסיכוי הנלמדים מהודאתו של הנאשם במיוחס לו, לצד העובדה כי מדובר במעמד משפטי ראשון ויחיד, נמנית שורה ארוכה של גורמי סיכון. שקלולם של אלו הביאו את שירות המבחן להימנע מהמלצה בעניינו של הנאשם. </w:t>
      </w:r>
    </w:p>
    <w:p w14:paraId="24361F24" w14:textId="77777777" w:rsidR="006A64EA" w:rsidRDefault="006A64EA" w:rsidP="007D29B0">
      <w:pPr>
        <w:spacing w:line="360" w:lineRule="auto"/>
        <w:jc w:val="both"/>
        <w:rPr>
          <w:rFonts w:ascii="Arial" w:hAnsi="Arial"/>
          <w:rtl/>
        </w:rPr>
      </w:pPr>
    </w:p>
    <w:p w14:paraId="4B557734" w14:textId="77777777" w:rsidR="006A64EA" w:rsidRDefault="006A64EA" w:rsidP="007D29B0">
      <w:pPr>
        <w:spacing w:line="360" w:lineRule="auto"/>
        <w:jc w:val="both"/>
        <w:rPr>
          <w:rFonts w:ascii="Arial" w:hAnsi="Arial"/>
          <w:rtl/>
        </w:rPr>
      </w:pPr>
      <w:r>
        <w:rPr>
          <w:rFonts w:ascii="Arial" w:hAnsi="Arial"/>
          <w:rtl/>
        </w:rPr>
        <w:t>יוער כי גם לממונה על עבודות השירות לא התייצב הנאשם.</w:t>
      </w:r>
    </w:p>
    <w:p w14:paraId="28CAD88A" w14:textId="77777777" w:rsidR="006A64EA" w:rsidRDefault="006A64EA" w:rsidP="007D29B0">
      <w:pPr>
        <w:spacing w:line="360" w:lineRule="auto"/>
        <w:jc w:val="both"/>
        <w:rPr>
          <w:rFonts w:ascii="Arial" w:hAnsi="Arial"/>
          <w:b/>
          <w:bCs/>
          <w:u w:val="single"/>
          <w:rtl/>
        </w:rPr>
      </w:pPr>
    </w:p>
    <w:p w14:paraId="08E1E706" w14:textId="77777777" w:rsidR="006A64EA" w:rsidRDefault="006A64EA" w:rsidP="007D29B0">
      <w:pPr>
        <w:spacing w:line="360" w:lineRule="auto"/>
        <w:jc w:val="both"/>
        <w:rPr>
          <w:rFonts w:ascii="Arial" w:hAnsi="Arial"/>
          <w:b/>
          <w:bCs/>
          <w:u w:val="single"/>
          <w:rtl/>
        </w:rPr>
      </w:pPr>
    </w:p>
    <w:p w14:paraId="5D689031" w14:textId="77777777" w:rsidR="006A64EA" w:rsidRDefault="006A64EA" w:rsidP="007D29B0">
      <w:pPr>
        <w:spacing w:line="360" w:lineRule="auto"/>
        <w:jc w:val="both"/>
        <w:rPr>
          <w:rFonts w:ascii="Arial" w:hAnsi="Arial"/>
          <w:b/>
          <w:bCs/>
          <w:u w:val="single"/>
          <w:rtl/>
        </w:rPr>
      </w:pPr>
    </w:p>
    <w:p w14:paraId="0F709ECA" w14:textId="77777777" w:rsidR="006A64EA" w:rsidRDefault="006A64EA" w:rsidP="007D29B0">
      <w:pPr>
        <w:spacing w:line="360" w:lineRule="auto"/>
        <w:jc w:val="both"/>
        <w:rPr>
          <w:rFonts w:ascii="Arial" w:hAnsi="Arial"/>
          <w:b/>
          <w:bCs/>
          <w:u w:val="single"/>
          <w:rtl/>
        </w:rPr>
      </w:pPr>
      <w:r>
        <w:rPr>
          <w:rFonts w:ascii="Arial" w:hAnsi="Arial"/>
          <w:b/>
          <w:bCs/>
          <w:u w:val="single"/>
          <w:rtl/>
        </w:rPr>
        <w:t xml:space="preserve">דיון והכרעה – </w:t>
      </w:r>
    </w:p>
    <w:p w14:paraId="6E886FF1" w14:textId="77777777" w:rsidR="006A64EA" w:rsidRDefault="006A64EA" w:rsidP="007D29B0">
      <w:pPr>
        <w:spacing w:line="360" w:lineRule="auto"/>
        <w:jc w:val="both"/>
        <w:rPr>
          <w:rFonts w:ascii="Arial" w:hAnsi="Arial"/>
          <w:rtl/>
        </w:rPr>
      </w:pPr>
      <w:r>
        <w:rPr>
          <w:rFonts w:ascii="Arial" w:hAnsi="Arial"/>
          <w:rtl/>
        </w:rPr>
        <w:t xml:space="preserve">דומה שאין ערכאה שלא נדרשה לחומרה הרבה הגלומה בעבירות סמים ובפרט כשמדובר בסחר והפצה של סמים מסוכנים.  </w:t>
      </w:r>
    </w:p>
    <w:p w14:paraId="033B521D" w14:textId="77777777" w:rsidR="006A64EA" w:rsidRDefault="006A64EA" w:rsidP="007D29B0">
      <w:pPr>
        <w:spacing w:line="360" w:lineRule="auto"/>
        <w:jc w:val="both"/>
        <w:rPr>
          <w:rFonts w:ascii="Arial" w:hAnsi="Arial"/>
          <w:rtl/>
        </w:rPr>
      </w:pPr>
    </w:p>
    <w:p w14:paraId="15C9C2D5" w14:textId="77777777" w:rsidR="006A64EA" w:rsidRDefault="006A64EA" w:rsidP="007D29B0">
      <w:pPr>
        <w:spacing w:line="360" w:lineRule="auto"/>
        <w:jc w:val="both"/>
        <w:rPr>
          <w:rFonts w:ascii="Arial" w:hAnsi="Arial"/>
          <w:rtl/>
        </w:rPr>
      </w:pPr>
      <w:r>
        <w:rPr>
          <w:rFonts w:ascii="Arial" w:hAnsi="Arial"/>
          <w:rtl/>
        </w:rPr>
        <w:t xml:space="preserve">לאחרונה קבע בית המשפט העליון </w:t>
      </w:r>
      <w:r>
        <w:rPr>
          <w:rFonts w:ascii="Arial" w:hAnsi="Arial"/>
          <w:b/>
          <w:bCs/>
          <w:rtl/>
        </w:rPr>
        <w:t>ב</w:t>
      </w:r>
      <w:hyperlink r:id="rId21" w:history="1">
        <w:r w:rsidR="00F968B7" w:rsidRPr="00F968B7">
          <w:rPr>
            <w:rFonts w:ascii="Arial" w:hAnsi="Arial"/>
            <w:b/>
            <w:bCs/>
            <w:color w:val="0000FF"/>
            <w:u w:val="single"/>
            <w:rtl/>
          </w:rPr>
          <w:t>רע"פ 8388/22</w:t>
        </w:r>
      </w:hyperlink>
      <w:r>
        <w:rPr>
          <w:rFonts w:ascii="Arial" w:hAnsi="Arial"/>
          <w:b/>
          <w:bCs/>
          <w:rtl/>
        </w:rPr>
        <w:t xml:space="preserve"> עידן אביבי נ' מדינת ישראל</w:t>
      </w:r>
      <w:r>
        <w:rPr>
          <w:rFonts w:ascii="Arial" w:hAnsi="Arial"/>
          <w:rtl/>
        </w:rPr>
        <w:t xml:space="preserve"> כי: "בית משפט זה מתריע השכם והערב על חומרתן של עבירות הסמים. חומרה זו נעוצה בפגיעה הישירה בצרכני הסמים, ובפגיעה העקיפה הנגרמת לציבור בכללותו (</w:t>
      </w:r>
      <w:r>
        <w:rPr>
          <w:rFonts w:ascii="Arial" w:hAnsi="Arial"/>
          <w:b/>
          <w:bCs/>
          <w:rtl/>
        </w:rPr>
        <w:t xml:space="preserve">וראה גם </w:t>
      </w:r>
      <w:hyperlink r:id="rId22" w:history="1">
        <w:r w:rsidR="00F968B7" w:rsidRPr="00F968B7">
          <w:rPr>
            <w:rFonts w:ascii="Arial" w:hAnsi="Arial"/>
            <w:b/>
            <w:bCs/>
            <w:color w:val="0000FF"/>
            <w:u w:val="single"/>
            <w:rtl/>
          </w:rPr>
          <w:t>ע"פ 1517/22</w:t>
        </w:r>
      </w:hyperlink>
      <w:r>
        <w:rPr>
          <w:rFonts w:ascii="Arial" w:hAnsi="Arial"/>
          <w:b/>
          <w:bCs/>
          <w:rtl/>
        </w:rPr>
        <w:t xml:space="preserve"> בן-הרוש נ' מדינת ישראל</w:t>
      </w:r>
      <w:r>
        <w:rPr>
          <w:rFonts w:ascii="Arial" w:hAnsi="Arial"/>
          <w:rtl/>
        </w:rPr>
        <w:t>, פסקה 13 [פורסם בנבו] (8.3.2022); ו</w:t>
      </w:r>
      <w:hyperlink r:id="rId23" w:history="1">
        <w:r w:rsidR="00F968B7" w:rsidRPr="00F968B7">
          <w:rPr>
            <w:rFonts w:ascii="Arial" w:hAnsi="Arial"/>
            <w:b/>
            <w:bCs/>
            <w:color w:val="0000FF"/>
            <w:u w:val="single"/>
            <w:rtl/>
          </w:rPr>
          <w:t>רע"פ 1807/22</w:t>
        </w:r>
      </w:hyperlink>
      <w:r>
        <w:rPr>
          <w:rFonts w:ascii="Arial" w:hAnsi="Arial"/>
          <w:b/>
          <w:bCs/>
          <w:rtl/>
        </w:rPr>
        <w:t xml:space="preserve"> פלוני נ' מדינת ישראל</w:t>
      </w:r>
      <w:r>
        <w:rPr>
          <w:rFonts w:ascii="Arial" w:hAnsi="Arial"/>
          <w:rtl/>
        </w:rPr>
        <w:t>, פסקה 12 [פורסם בנבו] (16.3.2022)). כחלק מהמאבק בנגע הסמים, יש לבער כל ניסיון סחר והפצה של סמים הנעשה לשם השגת "רווח כלכלי קל ומהיר". לצורך כך, יש לנקוט בענישה מוחשית ומרתיעה אשר תשמיע בקול ברור את המסר כי הסחר בסמים – אינו בעל תוחלת כלכלית (</w:t>
      </w:r>
      <w:hyperlink r:id="rId24" w:history="1">
        <w:r w:rsidR="00F968B7" w:rsidRPr="00F968B7">
          <w:rPr>
            <w:rFonts w:ascii="Arial" w:hAnsi="Arial"/>
            <w:b/>
            <w:bCs/>
            <w:color w:val="0000FF"/>
            <w:u w:val="single"/>
            <w:rtl/>
          </w:rPr>
          <w:t>ע"פ 2139/22</w:t>
        </w:r>
      </w:hyperlink>
      <w:r>
        <w:rPr>
          <w:rFonts w:ascii="Arial" w:hAnsi="Arial"/>
          <w:b/>
          <w:bCs/>
          <w:rtl/>
        </w:rPr>
        <w:t xml:space="preserve"> ג'נאח נ' מדינת ישראל</w:t>
      </w:r>
      <w:r>
        <w:rPr>
          <w:rFonts w:ascii="Arial" w:hAnsi="Arial"/>
          <w:rtl/>
        </w:rPr>
        <w:t>, פסקה 12 [פורסם בנבו] (14.7.2022))".</w:t>
      </w:r>
    </w:p>
    <w:p w14:paraId="784423DE" w14:textId="77777777" w:rsidR="006A64EA" w:rsidRDefault="006A64EA" w:rsidP="007D29B0">
      <w:pPr>
        <w:spacing w:line="360" w:lineRule="auto"/>
        <w:jc w:val="both"/>
        <w:rPr>
          <w:rFonts w:ascii="Arial" w:hAnsi="Arial"/>
          <w:rtl/>
        </w:rPr>
      </w:pPr>
    </w:p>
    <w:p w14:paraId="6920FF38" w14:textId="77777777" w:rsidR="006A64EA" w:rsidRDefault="006A64EA" w:rsidP="007D29B0">
      <w:pPr>
        <w:spacing w:line="360" w:lineRule="auto"/>
        <w:jc w:val="both"/>
        <w:rPr>
          <w:rFonts w:ascii="Arial" w:hAnsi="Arial"/>
          <w:rtl/>
        </w:rPr>
      </w:pPr>
      <w:r>
        <w:rPr>
          <w:rFonts w:ascii="Arial" w:hAnsi="Arial"/>
          <w:rtl/>
        </w:rPr>
        <w:t xml:space="preserve">באותו עניין חרף קיומה של מוטיבציה לקיים הליך טיפולי קבע בית המשפט כי:  </w:t>
      </w:r>
      <w:r>
        <w:rPr>
          <w:rtl/>
        </w:rPr>
        <w:t>"שיקולי שיקום, על אף חשיבותם, אינם חזות הכול, והם נלקחים בחשבון במלאכת גזירת העונש לצד יתר שיקולי הענישה"</w:t>
      </w:r>
      <w:r>
        <w:rPr>
          <w:b/>
          <w:bCs/>
          <w:rtl/>
        </w:rPr>
        <w:t xml:space="preserve"> (</w:t>
      </w:r>
      <w:hyperlink r:id="rId25" w:history="1">
        <w:r w:rsidR="00F968B7" w:rsidRPr="00F968B7">
          <w:rPr>
            <w:b/>
            <w:bCs/>
            <w:color w:val="0000FF"/>
            <w:u w:val="single"/>
            <w:rtl/>
          </w:rPr>
          <w:t>רע"פ 4789/22</w:t>
        </w:r>
      </w:hyperlink>
      <w:r>
        <w:rPr>
          <w:b/>
          <w:bCs/>
          <w:rtl/>
        </w:rPr>
        <w:t xml:space="preserve"> </w:t>
      </w:r>
      <w:r>
        <w:rPr>
          <w:b/>
          <w:bCs/>
          <w:sz w:val="22"/>
          <w:rtl/>
        </w:rPr>
        <w:t>פלוני נ' מדינת ישראל).</w:t>
      </w:r>
    </w:p>
    <w:p w14:paraId="31EC060C" w14:textId="77777777" w:rsidR="006A64EA" w:rsidRDefault="006A64EA" w:rsidP="007D29B0">
      <w:pPr>
        <w:spacing w:line="360" w:lineRule="auto"/>
        <w:jc w:val="both"/>
        <w:rPr>
          <w:rFonts w:ascii="Arial" w:hAnsi="Arial"/>
          <w:rtl/>
        </w:rPr>
      </w:pPr>
    </w:p>
    <w:p w14:paraId="46B0DA1E" w14:textId="77777777" w:rsidR="006A64EA" w:rsidRDefault="006A64EA" w:rsidP="0082308D">
      <w:pPr>
        <w:spacing w:line="360" w:lineRule="auto"/>
        <w:jc w:val="both"/>
        <w:rPr>
          <w:rFonts w:ascii="Arial" w:hAnsi="Arial"/>
          <w:rtl/>
        </w:rPr>
      </w:pPr>
      <w:r>
        <w:rPr>
          <w:rFonts w:ascii="Arial" w:hAnsi="Arial"/>
          <w:rtl/>
        </w:rPr>
        <w:t xml:space="preserve">הנאשם בן למשפחה </w:t>
      </w:r>
      <w:r>
        <w:rPr>
          <w:rFonts w:ascii="Arial" w:hAnsi="Arial"/>
        </w:rPr>
        <w:t>XXX</w:t>
      </w:r>
      <w:r>
        <w:rPr>
          <w:rFonts w:ascii="Arial" w:hAnsi="Arial"/>
          <w:rtl/>
        </w:rPr>
        <w:t>,. המשפחה מתגוררת ב</w:t>
      </w:r>
      <w:r>
        <w:rPr>
          <w:rFonts w:ascii="Arial" w:hAnsi="Arial"/>
        </w:rPr>
        <w:t>XXX</w:t>
      </w:r>
      <w:r>
        <w:rPr>
          <w:rFonts w:ascii="Arial" w:hAnsi="Arial"/>
          <w:rtl/>
        </w:rPr>
        <w:t>. ארבעת אחיו הגדולים היו מעורבים בחשד לביצוע עבירות פליליות, האב ואח נוסף נעצרו בגין מעורבות בחלק מן האישומים בתיק זה, והאב נידון ,כאמור לעיל ,לריצוי מאסר בפועל ולא לראשונה.</w:t>
      </w:r>
    </w:p>
    <w:p w14:paraId="09AC8FFC" w14:textId="77777777" w:rsidR="006A64EA" w:rsidRDefault="006A64EA" w:rsidP="007D29B0">
      <w:pPr>
        <w:spacing w:line="360" w:lineRule="auto"/>
        <w:jc w:val="both"/>
        <w:rPr>
          <w:rFonts w:ascii="Arial" w:hAnsi="Arial"/>
          <w:rtl/>
        </w:rPr>
      </w:pPr>
    </w:p>
    <w:p w14:paraId="3C1C7D48" w14:textId="77777777" w:rsidR="006A64EA" w:rsidRDefault="006A64EA" w:rsidP="0082308D">
      <w:pPr>
        <w:spacing w:line="360" w:lineRule="auto"/>
        <w:jc w:val="both"/>
        <w:rPr>
          <w:rFonts w:ascii="Arial" w:hAnsi="Arial"/>
          <w:rtl/>
        </w:rPr>
      </w:pPr>
      <w:r>
        <w:rPr>
          <w:rFonts w:ascii="Arial" w:hAnsi="Arial"/>
          <w:rtl/>
        </w:rPr>
        <w:t xml:space="preserve">שלושת הבנים הגדולים </w:t>
      </w:r>
      <w:r>
        <w:rPr>
          <w:rFonts w:ascii="Arial" w:hAnsi="Arial"/>
        </w:rPr>
        <w:t xml:space="preserve">XXX </w:t>
      </w:r>
      <w:r>
        <w:rPr>
          <w:rFonts w:ascii="Arial" w:hAnsi="Arial"/>
          <w:rtl/>
        </w:rPr>
        <w:t xml:space="preserve"> האב מתואר כדמות דומיננטית במשפחה והנאשם מקיים את שנצטווה לעשות ע"י אביו.</w:t>
      </w:r>
    </w:p>
    <w:p w14:paraId="2BFEF89E" w14:textId="77777777" w:rsidR="006A64EA" w:rsidRDefault="006A64EA" w:rsidP="007D29B0">
      <w:pPr>
        <w:spacing w:line="360" w:lineRule="auto"/>
        <w:jc w:val="both"/>
        <w:rPr>
          <w:rFonts w:ascii="Arial" w:hAnsi="Arial"/>
          <w:rtl/>
        </w:rPr>
      </w:pPr>
    </w:p>
    <w:p w14:paraId="6F94877C" w14:textId="77777777" w:rsidR="006A64EA" w:rsidRDefault="006A64EA" w:rsidP="0082308D">
      <w:pPr>
        <w:spacing w:line="360" w:lineRule="auto"/>
        <w:jc w:val="both"/>
        <w:rPr>
          <w:rFonts w:ascii="Arial" w:hAnsi="Arial"/>
          <w:rtl/>
        </w:rPr>
      </w:pPr>
      <w:r>
        <w:rPr>
          <w:rFonts w:ascii="Arial" w:hAnsi="Arial"/>
          <w:rtl/>
        </w:rPr>
        <w:t xml:space="preserve">הנאשם כיום כבן 17, </w:t>
      </w:r>
      <w:r>
        <w:rPr>
          <w:rFonts w:ascii="Arial" w:hAnsi="Arial"/>
        </w:rPr>
        <w:t>XXX</w:t>
      </w:r>
      <w:r>
        <w:rPr>
          <w:rFonts w:ascii="Arial" w:hAnsi="Arial"/>
          <w:rtl/>
        </w:rPr>
        <w:t>, שהה בבית תקופה ארוכה, כשהוא נעדר מסגרת חינוכית, תעסוקתית או השגחה הורית. לאחר מעצרו ובהתערבות שירות המבחן שולב בבית הספר "</w:t>
      </w:r>
      <w:r>
        <w:rPr>
          <w:rFonts w:ascii="Arial" w:hAnsi="Arial"/>
        </w:rPr>
        <w:t>XXX</w:t>
      </w:r>
      <w:r>
        <w:rPr>
          <w:rFonts w:ascii="Arial" w:hAnsi="Arial"/>
          <w:rtl/>
        </w:rPr>
        <w:t>".</w:t>
      </w:r>
    </w:p>
    <w:p w14:paraId="301E81D4" w14:textId="77777777" w:rsidR="006A64EA" w:rsidRDefault="006A64EA" w:rsidP="007D29B0">
      <w:pPr>
        <w:spacing w:line="360" w:lineRule="auto"/>
        <w:jc w:val="both"/>
        <w:rPr>
          <w:rFonts w:ascii="Arial" w:hAnsi="Arial"/>
          <w:rtl/>
        </w:rPr>
      </w:pPr>
    </w:p>
    <w:p w14:paraId="1D677D81" w14:textId="77777777" w:rsidR="006A64EA" w:rsidRDefault="006A64EA" w:rsidP="00EA1FF1">
      <w:pPr>
        <w:spacing w:line="360" w:lineRule="auto"/>
        <w:jc w:val="both"/>
        <w:rPr>
          <w:rFonts w:ascii="Arial" w:hAnsi="Arial"/>
          <w:rtl/>
        </w:rPr>
      </w:pPr>
      <w:r>
        <w:rPr>
          <w:rFonts w:ascii="Arial" w:hAnsi="Arial"/>
          <w:rtl/>
        </w:rPr>
        <w:t>בתקופת חטיבת הביניים נשר מלימודיו וצבר פערים רבים, ללא יכולת קרוא וכתוב, בערבית, עברית או אנגלית ואולם עם שילובו בבית הספר "</w:t>
      </w:r>
      <w:r>
        <w:rPr>
          <w:rFonts w:ascii="Arial" w:hAnsi="Arial"/>
        </w:rPr>
        <w:t>XXX</w:t>
      </w:r>
      <w:r>
        <w:rPr>
          <w:rFonts w:ascii="Arial" w:hAnsi="Arial"/>
          <w:rtl/>
        </w:rPr>
        <w:t xml:space="preserve">" הקפיד בהגעה סדירה,  והיה לתלמיד חרוץ ואהוד על חבריו. עם הזמן, חלה הדרדרות בהגעתו לבית הספר, ובתקופה האחרונה נעדר ממנה רבות, למרות שמסר לקצינת המבחן כי הוא רוצה לסיים את לימודיו כשהוא מחזיק בתעודה. </w:t>
      </w:r>
    </w:p>
    <w:p w14:paraId="26468F63" w14:textId="77777777" w:rsidR="006A64EA" w:rsidRDefault="006A64EA" w:rsidP="007D29B0">
      <w:pPr>
        <w:spacing w:line="360" w:lineRule="auto"/>
        <w:jc w:val="both"/>
        <w:rPr>
          <w:rFonts w:ascii="Arial" w:hAnsi="Arial"/>
          <w:rtl/>
        </w:rPr>
      </w:pPr>
    </w:p>
    <w:p w14:paraId="7BF7946A" w14:textId="77777777" w:rsidR="006A64EA" w:rsidRDefault="006A64EA" w:rsidP="00EA1FF1">
      <w:pPr>
        <w:spacing w:line="360" w:lineRule="auto"/>
        <w:jc w:val="both"/>
        <w:rPr>
          <w:rFonts w:ascii="Arial" w:hAnsi="Arial"/>
          <w:rtl/>
        </w:rPr>
      </w:pPr>
      <w:r>
        <w:rPr>
          <w:rFonts w:ascii="Arial" w:hAnsi="Arial"/>
          <w:rtl/>
        </w:rPr>
        <w:t xml:space="preserve">קצינת המבחן התרשמה כי לאביו של הנאשם השפעה גדולה על הנאשם אשר באה לידי ביטוי בכך, שהאב מנצל את מעמדו הסמכותי, ופלוני נשמע להוראותיו גם כשמדובר בביצוע עברות פליליות.  בשל כך, התקשה לדבר בצורה חופשית והשיב באופן קונקרטי, מצומצם וחלקי . למעט הודייתו במיוחס לו לא קיים הליך של עיבוד עבירה. </w:t>
      </w:r>
    </w:p>
    <w:p w14:paraId="6405A356" w14:textId="77777777" w:rsidR="006A64EA" w:rsidRDefault="006A64EA" w:rsidP="007D29B0">
      <w:pPr>
        <w:spacing w:line="360" w:lineRule="auto"/>
        <w:jc w:val="both"/>
        <w:rPr>
          <w:rFonts w:ascii="Arial" w:hAnsi="Arial"/>
          <w:rtl/>
        </w:rPr>
      </w:pPr>
    </w:p>
    <w:p w14:paraId="47580BC2" w14:textId="77777777" w:rsidR="006A64EA" w:rsidRDefault="006A64EA" w:rsidP="007D29B0">
      <w:pPr>
        <w:spacing w:line="360" w:lineRule="auto"/>
        <w:jc w:val="both"/>
        <w:rPr>
          <w:rFonts w:ascii="Arial" w:hAnsi="Arial"/>
          <w:rtl/>
        </w:rPr>
      </w:pPr>
      <w:r>
        <w:rPr>
          <w:rFonts w:ascii="Arial" w:hAnsi="Arial"/>
          <w:rtl/>
        </w:rPr>
        <w:t>מעבר לאמור אציין כי כיום מתקרב הנאשם לגיל בגירות ואולם בעת ביצוע המיוחס לו היה כבן 15, ולכך יש להוסיף כי לנאשם אין הרשעות קודמות, וזהו מעמדו הראשון והיחיד בבית המשפט.</w:t>
      </w:r>
    </w:p>
    <w:p w14:paraId="17C7F270" w14:textId="77777777" w:rsidR="006A64EA" w:rsidRPr="00625AFD" w:rsidRDefault="006A64EA" w:rsidP="007D29B0">
      <w:pPr>
        <w:spacing w:line="360" w:lineRule="auto"/>
        <w:jc w:val="both"/>
        <w:rPr>
          <w:rFonts w:ascii="Arial" w:hAnsi="Arial"/>
          <w:color w:val="C0504D"/>
          <w:rtl/>
        </w:rPr>
      </w:pPr>
    </w:p>
    <w:p w14:paraId="6CAC67CF" w14:textId="77777777" w:rsidR="006A64EA" w:rsidRDefault="006A64EA" w:rsidP="007D29B0">
      <w:pPr>
        <w:spacing w:line="360" w:lineRule="auto"/>
        <w:jc w:val="both"/>
        <w:rPr>
          <w:rFonts w:ascii="Arial" w:hAnsi="Arial"/>
          <w:b/>
          <w:bCs/>
          <w:u w:val="single"/>
          <w:rtl/>
        </w:rPr>
      </w:pPr>
      <w:r>
        <w:rPr>
          <w:rFonts w:ascii="Arial" w:hAnsi="Arial"/>
          <w:b/>
          <w:bCs/>
          <w:u w:val="single"/>
          <w:rtl/>
        </w:rPr>
        <w:t xml:space="preserve">שקלול הנתונים – </w:t>
      </w:r>
    </w:p>
    <w:p w14:paraId="2D176816" w14:textId="77777777" w:rsidR="006A64EA" w:rsidRDefault="006A64EA" w:rsidP="007D29B0">
      <w:pPr>
        <w:pStyle w:val="David"/>
        <w:rPr>
          <w:rFonts w:ascii="David" w:hAnsi="David"/>
          <w:rtl/>
        </w:rPr>
      </w:pPr>
      <w:r>
        <w:rPr>
          <w:rFonts w:ascii="David" w:hAnsi="David"/>
          <w:rtl/>
        </w:rPr>
        <w:t>הבניית הענישה לקטינים מאזנת שיקולי הענישה באופן שונה מאשר האיזון המתקיים כשמדובר בנאשמים בגירים, עם זאת וכידוע קטינות אינה מהווה "חליפת הגנה" מפני ענישה ראויה ויהיו המקרים בהם יינתן משקל משמעותי לשיקולי הגמול וההרתעה.</w:t>
      </w:r>
    </w:p>
    <w:p w14:paraId="7600DF71" w14:textId="77777777" w:rsidR="006A64EA" w:rsidRDefault="006A64EA" w:rsidP="007D29B0">
      <w:pPr>
        <w:pStyle w:val="David"/>
        <w:rPr>
          <w:rFonts w:ascii="David" w:hAnsi="David"/>
          <w:rtl/>
        </w:rPr>
      </w:pPr>
    </w:p>
    <w:p w14:paraId="1A88EEE2" w14:textId="77777777" w:rsidR="006A64EA" w:rsidRDefault="006A64EA" w:rsidP="007D29B0">
      <w:pPr>
        <w:spacing w:line="360" w:lineRule="auto"/>
        <w:jc w:val="both"/>
        <w:rPr>
          <w:rFonts w:ascii="Arial" w:hAnsi="Arial"/>
          <w:rtl/>
        </w:rPr>
      </w:pPr>
      <w:r>
        <w:rPr>
          <w:rtl/>
        </w:rPr>
        <w:t>בהקשר זה אפנה ל</w:t>
      </w:r>
      <w:hyperlink r:id="rId26" w:history="1">
        <w:r w:rsidR="00F968B7" w:rsidRPr="00F968B7">
          <w:rPr>
            <w:color w:val="0000FF"/>
            <w:u w:val="single"/>
            <w:rtl/>
          </w:rPr>
          <w:t>תפ"ח (חיפה) 39000-05-21</w:t>
        </w:r>
      </w:hyperlink>
      <w:r>
        <w:rPr>
          <w:rtl/>
        </w:rPr>
        <w:t xml:space="preserve"> </w:t>
      </w:r>
      <w:r>
        <w:rPr>
          <w:b/>
          <w:bCs/>
          <w:rtl/>
        </w:rPr>
        <w:t>מדינת ישראל נ' פלוני</w:t>
      </w:r>
      <w:r>
        <w:rPr>
          <w:rtl/>
        </w:rPr>
        <w:t xml:space="preserve"> בו נקבע: "... ב"מכות מדינה" יש להילחם והדרך לעשות כן היא על ידי יצירת הרתעה. מקום בו החינוך נכשל, אין מנוס משימוש בהרתעה</w:t>
      </w:r>
      <w:r>
        <w:rPr>
          <w:rFonts w:ascii="Arial" w:hAnsi="Arial"/>
          <w:rtl/>
        </w:rPr>
        <w:t xml:space="preserve">". </w:t>
      </w:r>
    </w:p>
    <w:p w14:paraId="12411F42" w14:textId="77777777" w:rsidR="006A64EA" w:rsidRDefault="006A64EA" w:rsidP="007D29B0">
      <w:pPr>
        <w:spacing w:line="360" w:lineRule="auto"/>
        <w:jc w:val="both"/>
        <w:rPr>
          <w:rFonts w:ascii="Arial" w:hAnsi="Arial"/>
          <w:rtl/>
        </w:rPr>
      </w:pPr>
    </w:p>
    <w:p w14:paraId="6758E192" w14:textId="77777777" w:rsidR="006A64EA" w:rsidRDefault="006A64EA" w:rsidP="0082308D">
      <w:pPr>
        <w:spacing w:line="360" w:lineRule="auto"/>
        <w:jc w:val="both"/>
        <w:rPr>
          <w:color w:val="000000"/>
          <w:rtl/>
        </w:rPr>
      </w:pPr>
      <w:r>
        <w:rPr>
          <w:rFonts w:ascii="Arial" w:hAnsi="Arial"/>
          <w:rtl/>
        </w:rPr>
        <w:t>אכן, גילו של הנאשם, כיום ובעת ביצוע המעשים מחייב שקילת ענישתו תוך מתן משקל נכבד, לשיקומו, לטיפול בו, לשילובו בחברה ולתקנת השבים עם זאת</w:t>
      </w:r>
      <w:r>
        <w:rPr>
          <w:color w:val="000000"/>
          <w:rtl/>
        </w:rPr>
        <w:t>, בראי התקופה – נדרשת ענישה מחמירה, מעבר לזו שהייתה נהוגה בעבר....</w:t>
      </w:r>
    </w:p>
    <w:p w14:paraId="57D27986" w14:textId="77777777" w:rsidR="006A64EA" w:rsidRDefault="006A64EA" w:rsidP="0082308D">
      <w:pPr>
        <w:spacing w:line="360" w:lineRule="auto"/>
        <w:jc w:val="both"/>
        <w:rPr>
          <w:color w:val="000000"/>
          <w:rtl/>
        </w:rPr>
      </w:pPr>
    </w:p>
    <w:p w14:paraId="408D0191" w14:textId="77777777" w:rsidR="006A64EA" w:rsidRDefault="006A64EA" w:rsidP="007D29B0">
      <w:pPr>
        <w:spacing w:line="360" w:lineRule="auto"/>
        <w:jc w:val="both"/>
        <w:rPr>
          <w:rFonts w:ascii="Times New Roman" w:hAnsi="Times New Roman"/>
          <w:b/>
          <w:bCs/>
          <w:noProof/>
          <w:u w:val="single"/>
          <w:rtl/>
        </w:rPr>
      </w:pPr>
      <w:r>
        <w:rPr>
          <w:b/>
          <w:bCs/>
          <w:u w:val="single"/>
          <w:rtl/>
        </w:rPr>
        <w:t xml:space="preserve">ומן הכלל אל הפרט - </w:t>
      </w:r>
    </w:p>
    <w:p w14:paraId="7C81E320" w14:textId="77777777" w:rsidR="006A64EA" w:rsidRPr="007D29B0" w:rsidRDefault="006A64EA" w:rsidP="007D29B0">
      <w:pPr>
        <w:spacing w:line="360" w:lineRule="auto"/>
        <w:jc w:val="both"/>
        <w:rPr>
          <w:rtl/>
        </w:rPr>
      </w:pPr>
      <w:r>
        <w:rPr>
          <w:rtl/>
        </w:rPr>
        <w:t xml:space="preserve">כשעל כפות המאזניים מחד העבירות, חומרתן ואופיין המסוכן, התכנון שקדם להן, ביצוען בצוותא, שכיחותן ותדירותן, וחשיפת הציבור לסכנה חמורה עד כדי אובדן חיי אדם ומנגד גילו של הנאשם, מעמדו הראשון בבית המשפט, מעצרו עד תום ההליכים המשפטיים ונסיבותיו האישיות, נתתי דעתי גם לצבר הנתונים כמפורט להלן: </w:t>
      </w:r>
    </w:p>
    <w:p w14:paraId="1DF33F75" w14:textId="77777777" w:rsidR="006A64EA" w:rsidRPr="007D29B0" w:rsidRDefault="006A64EA" w:rsidP="007D29B0">
      <w:pPr>
        <w:pStyle w:val="ac"/>
        <w:numPr>
          <w:ilvl w:val="0"/>
          <w:numId w:val="18"/>
        </w:numPr>
        <w:spacing w:line="360" w:lineRule="auto"/>
        <w:jc w:val="both"/>
        <w:rPr>
          <w:rFonts w:ascii="David" w:hAnsi="David" w:cs="David"/>
        </w:rPr>
      </w:pPr>
      <w:r w:rsidRPr="007D29B0">
        <w:rPr>
          <w:rFonts w:ascii="David" w:hAnsi="David" w:cs="David"/>
          <w:rtl/>
        </w:rPr>
        <w:t>לכוח הכלכלי המניע בביצוע עבירות הסחר בסמים.</w:t>
      </w:r>
    </w:p>
    <w:p w14:paraId="17D636A9" w14:textId="77777777" w:rsidR="006A64EA" w:rsidRPr="007D29B0" w:rsidRDefault="006A64EA" w:rsidP="007D29B0">
      <w:pPr>
        <w:pStyle w:val="ac"/>
        <w:numPr>
          <w:ilvl w:val="0"/>
          <w:numId w:val="18"/>
        </w:numPr>
        <w:spacing w:line="360" w:lineRule="auto"/>
        <w:jc w:val="both"/>
        <w:rPr>
          <w:rFonts w:ascii="David" w:hAnsi="David" w:cs="David"/>
        </w:rPr>
      </w:pPr>
      <w:r w:rsidRPr="007D29B0">
        <w:rPr>
          <w:rFonts w:ascii="David" w:hAnsi="David" w:cs="David"/>
          <w:rtl/>
        </w:rPr>
        <w:t>למדיניות הענישה במקרים דומים.</w:t>
      </w:r>
    </w:p>
    <w:p w14:paraId="0FFBABFE" w14:textId="77777777" w:rsidR="006A64EA" w:rsidRDefault="006A64EA" w:rsidP="00CB4681">
      <w:pPr>
        <w:pStyle w:val="ac"/>
        <w:numPr>
          <w:ilvl w:val="0"/>
          <w:numId w:val="18"/>
        </w:numPr>
        <w:spacing w:line="360" w:lineRule="auto"/>
        <w:jc w:val="both"/>
        <w:rPr>
          <w:rFonts w:ascii="David" w:hAnsi="David" w:cs="David"/>
        </w:rPr>
      </w:pPr>
      <w:r w:rsidRPr="0082308D">
        <w:rPr>
          <w:rFonts w:ascii="David" w:hAnsi="David" w:cs="David"/>
          <w:rtl/>
        </w:rPr>
        <w:t xml:space="preserve">לגילו של הנאשם </w:t>
      </w:r>
      <w:r>
        <w:rPr>
          <w:rFonts w:ascii="David" w:eastAsia="Times New Roman" w:hAnsi="David" w:cs="David"/>
        </w:rPr>
        <w:t>XXX</w:t>
      </w:r>
    </w:p>
    <w:p w14:paraId="4501E466" w14:textId="77777777" w:rsidR="006A64EA" w:rsidRPr="0082308D" w:rsidRDefault="006A64EA" w:rsidP="00CB4681">
      <w:pPr>
        <w:pStyle w:val="ac"/>
        <w:numPr>
          <w:ilvl w:val="0"/>
          <w:numId w:val="18"/>
        </w:numPr>
        <w:spacing w:line="360" w:lineRule="auto"/>
        <w:jc w:val="both"/>
        <w:rPr>
          <w:rFonts w:ascii="David" w:hAnsi="David" w:cs="David"/>
        </w:rPr>
      </w:pPr>
      <w:r w:rsidRPr="0082308D">
        <w:rPr>
          <w:rFonts w:ascii="David" w:hAnsi="David" w:cs="David"/>
          <w:rtl/>
        </w:rPr>
        <w:t>להעדר עבר פלילי, ולתקופת המאסר הראשונה, אשר הוכרה בפסיקה כבעלת מאפיינים ייחודיים וכבעלת השפעה ניכרת.</w:t>
      </w:r>
    </w:p>
    <w:p w14:paraId="74A3EE93" w14:textId="77777777" w:rsidR="006A64EA" w:rsidRDefault="006A64EA" w:rsidP="007D29B0">
      <w:pPr>
        <w:pStyle w:val="ac"/>
        <w:numPr>
          <w:ilvl w:val="0"/>
          <w:numId w:val="18"/>
        </w:numPr>
        <w:spacing w:line="360" w:lineRule="auto"/>
        <w:jc w:val="both"/>
        <w:rPr>
          <w:rFonts w:ascii="David" w:hAnsi="David" w:cs="David"/>
        </w:rPr>
      </w:pPr>
      <w:r>
        <w:rPr>
          <w:rFonts w:ascii="David" w:hAnsi="David" w:cs="David"/>
          <w:rtl/>
        </w:rPr>
        <w:t>לקבלת האחריות המלאה למעשים.</w:t>
      </w:r>
    </w:p>
    <w:p w14:paraId="50046F38" w14:textId="77777777" w:rsidR="006A64EA" w:rsidRDefault="006A64EA" w:rsidP="007D29B0">
      <w:pPr>
        <w:pStyle w:val="ac"/>
        <w:numPr>
          <w:ilvl w:val="0"/>
          <w:numId w:val="18"/>
        </w:numPr>
        <w:spacing w:line="360" w:lineRule="auto"/>
        <w:jc w:val="both"/>
        <w:rPr>
          <w:rFonts w:ascii="David" w:hAnsi="David" w:cs="David"/>
        </w:rPr>
      </w:pPr>
      <w:r>
        <w:rPr>
          <w:rFonts w:ascii="David" w:hAnsi="David" w:cs="David"/>
          <w:rtl/>
        </w:rPr>
        <w:t>לתסקיר שירות המבחן והנלמד מתוכנו אודות נסיבות חייו של הנאשם.</w:t>
      </w:r>
    </w:p>
    <w:p w14:paraId="552B8DE3" w14:textId="77777777" w:rsidR="006A64EA" w:rsidRDefault="006A64EA" w:rsidP="007D29B0">
      <w:pPr>
        <w:pStyle w:val="David"/>
        <w:rPr>
          <w:b/>
          <w:bCs/>
          <w:u w:val="single"/>
        </w:rPr>
      </w:pPr>
    </w:p>
    <w:p w14:paraId="02EF0F71" w14:textId="77777777" w:rsidR="006A64EA" w:rsidRDefault="006A64EA" w:rsidP="007D29B0">
      <w:pPr>
        <w:spacing w:line="360" w:lineRule="auto"/>
        <w:jc w:val="both"/>
        <w:rPr>
          <w:b/>
          <w:bCs/>
          <w:rtl/>
        </w:rPr>
      </w:pPr>
      <w:r>
        <w:rPr>
          <w:b/>
          <w:bCs/>
          <w:rtl/>
        </w:rPr>
        <w:t xml:space="preserve">בסיכומם של דברים, ולאחר שנתתי דעתי בטיעוני הצדדים, אני מרשיעה את הנאשם בהתאם </w:t>
      </w:r>
      <w:hyperlink r:id="rId27" w:history="1">
        <w:r w:rsidR="006E7D0F" w:rsidRPr="006E7D0F">
          <w:rPr>
            <w:rStyle w:val="Hyperlink"/>
            <w:b/>
            <w:bCs/>
            <w:rtl/>
          </w:rPr>
          <w:t>לסעיף 24(1)</w:t>
        </w:r>
      </w:hyperlink>
      <w:r>
        <w:rPr>
          <w:b/>
          <w:bCs/>
          <w:rtl/>
        </w:rPr>
        <w:t xml:space="preserve"> ל</w:t>
      </w:r>
      <w:hyperlink r:id="rId28" w:history="1">
        <w:r w:rsidR="00F968B7" w:rsidRPr="00F968B7">
          <w:rPr>
            <w:b/>
            <w:bCs/>
            <w:color w:val="0000FF"/>
            <w:u w:val="single"/>
            <w:rtl/>
          </w:rPr>
          <w:t>חוק הנוער (שפיטה, ענישה ודרכי טיפול)</w:t>
        </w:r>
      </w:hyperlink>
      <w:r>
        <w:rPr>
          <w:b/>
          <w:bCs/>
          <w:rtl/>
        </w:rPr>
        <w:t>, התשל"א-1971, וגוזרת עליו את העונשים הבאים:</w:t>
      </w:r>
    </w:p>
    <w:p w14:paraId="28300A97" w14:textId="77777777" w:rsidR="006A64EA" w:rsidRDefault="006A64EA" w:rsidP="007D29B0">
      <w:pPr>
        <w:spacing w:line="360" w:lineRule="auto"/>
        <w:rPr>
          <w:b/>
          <w:bCs/>
        </w:rPr>
      </w:pPr>
    </w:p>
    <w:p w14:paraId="56130099" w14:textId="77777777" w:rsidR="006A64EA" w:rsidRDefault="006A64EA" w:rsidP="007D29B0">
      <w:pPr>
        <w:pStyle w:val="ac"/>
        <w:numPr>
          <w:ilvl w:val="0"/>
          <w:numId w:val="20"/>
        </w:numPr>
        <w:spacing w:line="360" w:lineRule="auto"/>
        <w:jc w:val="both"/>
        <w:rPr>
          <w:rFonts w:ascii="David" w:hAnsi="David" w:cs="David"/>
          <w:rtl/>
        </w:rPr>
      </w:pPr>
      <w:r>
        <w:rPr>
          <w:rFonts w:ascii="David" w:hAnsi="David" w:cs="David"/>
          <w:rtl/>
        </w:rPr>
        <w:t xml:space="preserve">מאסר בפועל לתקופה של 22  חודשים. </w:t>
      </w:r>
      <w:r>
        <w:rPr>
          <w:rFonts w:ascii="David" w:hAnsi="David" w:cs="David"/>
          <w:b/>
          <w:bCs/>
          <w:rtl/>
        </w:rPr>
        <w:t xml:space="preserve">מתקופת המאסר תנוכה תקופת מעצרו של הנאשם. </w:t>
      </w:r>
    </w:p>
    <w:p w14:paraId="320AD1D6" w14:textId="77777777" w:rsidR="006A64EA" w:rsidRDefault="006A64EA" w:rsidP="007D29B0">
      <w:pPr>
        <w:spacing w:line="360" w:lineRule="auto"/>
        <w:jc w:val="both"/>
      </w:pPr>
    </w:p>
    <w:p w14:paraId="6420D9EE" w14:textId="77777777" w:rsidR="006A64EA" w:rsidRDefault="006A64EA" w:rsidP="009207AB">
      <w:pPr>
        <w:spacing w:line="360" w:lineRule="auto"/>
        <w:ind w:left="720"/>
        <w:jc w:val="both"/>
        <w:rPr>
          <w:rtl/>
        </w:rPr>
      </w:pPr>
      <w:r>
        <w:rPr>
          <w:rtl/>
        </w:rPr>
        <w:t xml:space="preserve">הנדון יתייצב למאסרו בבית סוהר "אופק" בתאריך 1/8/23 עד השעה </w:t>
      </w:r>
      <w:r>
        <w:t>10:00</w:t>
      </w:r>
      <w:r>
        <w:rPr>
          <w:rtl/>
        </w:rPr>
        <w:t xml:space="preserve">, או על פי החלטת שב"ס, כשברשותו תעודת זהות או דרכון. נוכח העובדה כי הנאשם עצור עד תום ההליכים בגין תיק אחר, יעשו רשויות שב"ס כדי לתאם כניסתו למאסר על פי נהלי שב"ס במקרים דומים. </w:t>
      </w:r>
    </w:p>
    <w:p w14:paraId="5B555B79" w14:textId="77777777" w:rsidR="006A64EA" w:rsidRDefault="006A64EA" w:rsidP="007D29B0">
      <w:pPr>
        <w:spacing w:line="360" w:lineRule="auto"/>
        <w:jc w:val="both"/>
        <w:rPr>
          <w:rtl/>
        </w:rPr>
      </w:pPr>
    </w:p>
    <w:p w14:paraId="74A30CE4" w14:textId="77777777" w:rsidR="006A64EA" w:rsidRDefault="006A64EA" w:rsidP="007D29B0">
      <w:pPr>
        <w:pStyle w:val="ac"/>
        <w:numPr>
          <w:ilvl w:val="0"/>
          <w:numId w:val="20"/>
        </w:numPr>
        <w:spacing w:line="360" w:lineRule="auto"/>
        <w:jc w:val="both"/>
        <w:rPr>
          <w:rFonts w:ascii="David" w:hAnsi="David" w:cs="David"/>
          <w:rtl/>
        </w:rPr>
      </w:pPr>
      <w:r>
        <w:rPr>
          <w:rFonts w:ascii="David" w:hAnsi="David" w:cs="David"/>
          <w:rtl/>
        </w:rPr>
        <w:t xml:space="preserve">מאסר לתקופה של 5 חודשים, וזאת על-תנאי למשך 3 שנים מיום שחרורו ממאסר, אלא אם יעבור הנאשם עבירת סמים מסוג פשע. </w:t>
      </w:r>
    </w:p>
    <w:p w14:paraId="2E328229" w14:textId="77777777" w:rsidR="006A64EA" w:rsidRDefault="006A64EA" w:rsidP="007D29B0">
      <w:pPr>
        <w:pStyle w:val="ac"/>
        <w:rPr>
          <w:rFonts w:ascii="David" w:hAnsi="David" w:cs="David"/>
          <w:rtl/>
        </w:rPr>
      </w:pPr>
    </w:p>
    <w:p w14:paraId="62B83822" w14:textId="77777777" w:rsidR="006A64EA" w:rsidRDefault="006A64EA" w:rsidP="007D29B0">
      <w:pPr>
        <w:pStyle w:val="ac"/>
        <w:numPr>
          <w:ilvl w:val="0"/>
          <w:numId w:val="20"/>
        </w:numPr>
        <w:spacing w:line="360" w:lineRule="auto"/>
        <w:jc w:val="both"/>
        <w:rPr>
          <w:rFonts w:ascii="David" w:hAnsi="David" w:cs="David"/>
        </w:rPr>
      </w:pPr>
      <w:r>
        <w:rPr>
          <w:rFonts w:ascii="David" w:hAnsi="David" w:cs="David"/>
          <w:rtl/>
        </w:rPr>
        <w:t xml:space="preserve">מאסר לתקופה של 3 חודשים, וזאת על-תנאי למשך 3 שנים מיום שחרורו ממאסר, אלא אם יעבור הנאשם, עבירת סמים מסוג עוון. </w:t>
      </w:r>
    </w:p>
    <w:p w14:paraId="504E5701" w14:textId="77777777" w:rsidR="006A64EA" w:rsidRDefault="006A64EA" w:rsidP="007D29B0">
      <w:pPr>
        <w:rPr>
          <w:rtl/>
        </w:rPr>
      </w:pPr>
    </w:p>
    <w:p w14:paraId="686C955B" w14:textId="77777777" w:rsidR="006A64EA" w:rsidRDefault="006A64EA" w:rsidP="007D29B0">
      <w:pPr>
        <w:pStyle w:val="ac"/>
        <w:numPr>
          <w:ilvl w:val="0"/>
          <w:numId w:val="20"/>
        </w:numPr>
        <w:spacing w:line="360" w:lineRule="auto"/>
        <w:jc w:val="both"/>
        <w:rPr>
          <w:rFonts w:ascii="David" w:hAnsi="David" w:cs="David"/>
        </w:rPr>
      </w:pPr>
      <w:r>
        <w:rPr>
          <w:rFonts w:ascii="David" w:hAnsi="David" w:cs="David"/>
          <w:rtl/>
        </w:rPr>
        <w:t xml:space="preserve">הנאשם יחתום על התחייבות כספית בסך של 6,000  ש"ח להימנע במשך שנתיים מיום שחרורו ממאסר מביצוע העבירות בהן הורשע. </w:t>
      </w:r>
      <w:r>
        <w:rPr>
          <w:rFonts w:ascii="David" w:hAnsi="David" w:cs="David"/>
          <w:b/>
          <w:bCs/>
          <w:rtl/>
        </w:rPr>
        <w:t xml:space="preserve">הנאשם התחייב בעל פה באולם ובית המשפט רושם בפניו התחייבות זו, הצהרתו והסכמתו של הנאשם. </w:t>
      </w:r>
    </w:p>
    <w:p w14:paraId="28AAB5A7" w14:textId="77777777" w:rsidR="006A64EA" w:rsidRDefault="006A64EA" w:rsidP="007D29B0">
      <w:pPr>
        <w:pStyle w:val="ac"/>
        <w:ind w:left="397"/>
        <w:rPr>
          <w:rFonts w:ascii="David" w:hAnsi="David" w:cs="David"/>
        </w:rPr>
      </w:pPr>
    </w:p>
    <w:p w14:paraId="3807893B" w14:textId="77777777" w:rsidR="006A64EA" w:rsidRDefault="006A64EA" w:rsidP="007D29B0">
      <w:pPr>
        <w:spacing w:line="360" w:lineRule="auto"/>
        <w:jc w:val="both"/>
        <w:rPr>
          <w:b/>
          <w:bCs/>
          <w:rtl/>
        </w:rPr>
      </w:pPr>
      <w:r>
        <w:rPr>
          <w:b/>
          <w:bCs/>
          <w:rtl/>
        </w:rPr>
        <w:t xml:space="preserve">לאור תקופת המאסר הממושכות אינני גוזרת על הנאשם תשלום קנס. </w:t>
      </w:r>
    </w:p>
    <w:p w14:paraId="142873CE" w14:textId="77777777" w:rsidR="006A64EA" w:rsidRDefault="006A64EA" w:rsidP="007D29B0">
      <w:pPr>
        <w:spacing w:line="360" w:lineRule="auto"/>
        <w:jc w:val="both"/>
        <w:rPr>
          <w:b/>
          <w:bCs/>
          <w:rtl/>
        </w:rPr>
      </w:pPr>
    </w:p>
    <w:p w14:paraId="6EEF515E" w14:textId="77777777" w:rsidR="006A64EA" w:rsidRDefault="006A64EA" w:rsidP="007D29B0">
      <w:pPr>
        <w:pStyle w:val="ac"/>
        <w:numPr>
          <w:ilvl w:val="0"/>
          <w:numId w:val="20"/>
        </w:numPr>
        <w:spacing w:line="360" w:lineRule="auto"/>
        <w:jc w:val="both"/>
        <w:rPr>
          <w:rFonts w:ascii="David" w:hAnsi="David" w:cs="David"/>
          <w:color w:val="000000"/>
          <w:rtl/>
        </w:rPr>
      </w:pPr>
      <w:r>
        <w:rPr>
          <w:rFonts w:ascii="David" w:hAnsi="David" w:cs="David"/>
          <w:rtl/>
        </w:rPr>
        <w:t xml:space="preserve">הנאשם יפסל </w:t>
      </w:r>
      <w:r>
        <w:rPr>
          <w:rFonts w:ascii="David" w:hAnsi="David" w:cs="David"/>
          <w:color w:val="000000"/>
          <w:rtl/>
        </w:rPr>
        <w:t xml:space="preserve">מקבלת או החזקת רישיון נהיגה לתקופה בת 3 חודשים, וזאת על-תנאי למשך 3 שנים מיום שחרורו ממאסר, שלא  יעבור שוב עבירת סמים. </w:t>
      </w:r>
    </w:p>
    <w:p w14:paraId="6E117171" w14:textId="77777777" w:rsidR="006A64EA" w:rsidRDefault="006A64EA" w:rsidP="007D29B0">
      <w:pPr>
        <w:spacing w:line="360" w:lineRule="auto"/>
        <w:jc w:val="both"/>
        <w:rPr>
          <w:b/>
          <w:bCs/>
          <w:u w:val="single"/>
          <w:rtl/>
        </w:rPr>
      </w:pPr>
    </w:p>
    <w:p w14:paraId="2E39E447" w14:textId="77777777" w:rsidR="006A64EA" w:rsidRDefault="006A64EA" w:rsidP="007D29B0">
      <w:pPr>
        <w:spacing w:line="360" w:lineRule="auto"/>
      </w:pPr>
      <w:r>
        <w:rPr>
          <w:b/>
          <w:bCs/>
          <w:u w:val="single"/>
          <w:rtl/>
        </w:rPr>
        <w:t>מזכירות</w:t>
      </w:r>
      <w:r>
        <w:rPr>
          <w:b/>
          <w:bCs/>
          <w:rtl/>
        </w:rPr>
        <w:t xml:space="preserve"> – ככל וישנם כספים העומדים לזכות הנאשם בתיק העיקרי ו/או במצורפים לו ו/או בהליך המ"ת היתרה תושב למפקיד או מי מטעמו.</w:t>
      </w:r>
    </w:p>
    <w:p w14:paraId="7DF744BE" w14:textId="77777777" w:rsidR="006A64EA" w:rsidRDefault="006A64EA" w:rsidP="007D29B0">
      <w:pPr>
        <w:spacing w:line="360" w:lineRule="auto"/>
        <w:rPr>
          <w:rtl/>
        </w:rPr>
      </w:pPr>
    </w:p>
    <w:p w14:paraId="12151BC5" w14:textId="77777777" w:rsidR="006A64EA" w:rsidRDefault="006A64EA" w:rsidP="007D29B0">
      <w:pPr>
        <w:spacing w:line="360" w:lineRule="auto"/>
        <w:jc w:val="both"/>
        <w:rPr>
          <w:b/>
          <w:bCs/>
          <w:rtl/>
        </w:rPr>
      </w:pPr>
      <w:r>
        <w:rPr>
          <w:b/>
          <w:bCs/>
          <w:rtl/>
        </w:rPr>
        <w:t xml:space="preserve">ניתן צו עיכוב יציאה מן הארץ מהיום ועד למועד שחרור של הנאשם מריצוי מאסרו. </w:t>
      </w:r>
    </w:p>
    <w:p w14:paraId="4ED71A06" w14:textId="77777777" w:rsidR="006A64EA" w:rsidRDefault="006A64EA" w:rsidP="007D29B0">
      <w:pPr>
        <w:spacing w:line="360" w:lineRule="auto"/>
        <w:jc w:val="both"/>
        <w:rPr>
          <w:b/>
          <w:bCs/>
          <w:rtl/>
        </w:rPr>
      </w:pPr>
    </w:p>
    <w:p w14:paraId="2D0E40A2" w14:textId="77777777" w:rsidR="006A64EA" w:rsidRDefault="006A64EA" w:rsidP="009207AB">
      <w:pPr>
        <w:spacing w:line="360" w:lineRule="auto"/>
        <w:jc w:val="both"/>
        <w:rPr>
          <w:b/>
          <w:bCs/>
          <w:rtl/>
        </w:rPr>
      </w:pPr>
      <w:r>
        <w:rPr>
          <w:b/>
          <w:bCs/>
          <w:rtl/>
        </w:rPr>
        <w:t>ניתן צו כללי למוצגים.</w:t>
      </w:r>
    </w:p>
    <w:p w14:paraId="16D24246" w14:textId="77777777" w:rsidR="006A64EA" w:rsidRDefault="006A64EA" w:rsidP="007D29B0">
      <w:pPr>
        <w:spacing w:line="360" w:lineRule="auto"/>
      </w:pPr>
    </w:p>
    <w:p w14:paraId="1B452C7B" w14:textId="77777777" w:rsidR="006A64EA" w:rsidRDefault="006A64EA" w:rsidP="007D29B0">
      <w:pPr>
        <w:spacing w:line="360" w:lineRule="auto"/>
        <w:jc w:val="both"/>
        <w:rPr>
          <w:b/>
          <w:bCs/>
          <w:u w:val="single"/>
          <w:rtl/>
        </w:rPr>
      </w:pPr>
      <w:r>
        <w:rPr>
          <w:b/>
          <w:bCs/>
          <w:u w:val="single"/>
          <w:rtl/>
        </w:rPr>
        <w:t xml:space="preserve">זכות ערעור כחוק. </w:t>
      </w:r>
    </w:p>
    <w:p w14:paraId="47C8353D" w14:textId="77777777" w:rsidR="006A64EA" w:rsidRDefault="006A64EA" w:rsidP="006B0E68">
      <w:pPr>
        <w:spacing w:line="360" w:lineRule="auto"/>
        <w:jc w:val="both"/>
        <w:rPr>
          <w:rtl/>
        </w:rPr>
      </w:pPr>
    </w:p>
    <w:p w14:paraId="66AF34BB" w14:textId="77777777" w:rsidR="006A64EA" w:rsidRDefault="006A64EA" w:rsidP="006B0E68">
      <w:pPr>
        <w:spacing w:line="360" w:lineRule="auto"/>
        <w:jc w:val="both"/>
        <w:rPr>
          <w:sz w:val="6"/>
          <w:szCs w:val="6"/>
        </w:rPr>
      </w:pPr>
      <w:r>
        <w:rPr>
          <w:sz w:val="6"/>
          <w:szCs w:val="6"/>
          <w:rtl/>
        </w:rPr>
        <w:t>&lt;#4#&gt;</w:t>
      </w:r>
    </w:p>
    <w:p w14:paraId="6A86E663" w14:textId="77777777" w:rsidR="006A64EA" w:rsidRDefault="006A64EA" w:rsidP="009207AB">
      <w:pPr>
        <w:spacing w:line="360" w:lineRule="auto"/>
        <w:rPr>
          <w:rtl/>
        </w:rPr>
      </w:pPr>
      <w:r>
        <w:rPr>
          <w:b/>
          <w:bCs/>
          <w:rtl/>
        </w:rPr>
        <w:t xml:space="preserve">ניתנה והודעה היום ט"ז תמוז תשפ"ג, </w:t>
      </w:r>
      <w:r>
        <w:rPr>
          <w:b/>
          <w:bCs/>
        </w:rPr>
        <w:t>05/07/2023</w:t>
      </w:r>
      <w:r>
        <w:rPr>
          <w:b/>
          <w:bCs/>
          <w:rtl/>
        </w:rPr>
        <w:t xml:space="preserve">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6A64EA" w14:paraId="4BAC7C25" w14:textId="77777777" w:rsidTr="00625AFD">
        <w:trPr>
          <w:trHeight w:val="316"/>
          <w:jc w:val="right"/>
        </w:trPr>
        <w:tc>
          <w:tcPr>
            <w:tcW w:w="3936" w:type="dxa"/>
            <w:vAlign w:val="center"/>
          </w:tcPr>
          <w:p w14:paraId="544158DA" w14:textId="77777777" w:rsidR="006A64EA" w:rsidRPr="00625AFD" w:rsidRDefault="006A64EA" w:rsidP="00625AFD">
            <w:pPr>
              <w:jc w:val="center"/>
              <w:rPr>
                <w:rFonts w:ascii="Times New Roman" w:hAnsi="Times New Roman" w:cs="Times New Roman"/>
              </w:rPr>
            </w:pPr>
            <w:r w:rsidRPr="00625AFD">
              <w:rPr>
                <w:rFonts w:ascii="Times New Roman" w:hAnsi="Times New Roman" w:cs="Times New Roman"/>
                <w:noProof/>
              </w:rPr>
              <w:pict w14:anchorId="55748C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38.75pt;height:57.75pt;visibility:visible">
                  <v:imagedata r:id="rId29" o:title=""/>
                </v:shape>
              </w:pict>
            </w:r>
          </w:p>
          <w:p w14:paraId="69FA8AD2" w14:textId="77777777" w:rsidR="006A64EA" w:rsidRPr="00625AFD" w:rsidRDefault="006A64EA" w:rsidP="00625AFD">
            <w:pPr>
              <w:jc w:val="center"/>
              <w:rPr>
                <w:rFonts w:ascii="Times New Roman" w:hAnsi="Times New Roman" w:cs="Times New Roman"/>
                <w:rtl/>
              </w:rPr>
            </w:pPr>
          </w:p>
        </w:tc>
      </w:tr>
      <w:tr w:rsidR="006A64EA" w14:paraId="73055A15" w14:textId="77777777" w:rsidTr="00625AFD">
        <w:trPr>
          <w:trHeight w:val="361"/>
          <w:jc w:val="right"/>
        </w:trPr>
        <w:tc>
          <w:tcPr>
            <w:tcW w:w="3936" w:type="dxa"/>
            <w:vAlign w:val="center"/>
          </w:tcPr>
          <w:p w14:paraId="332379D3" w14:textId="77777777" w:rsidR="006A64EA" w:rsidRPr="00625AFD" w:rsidRDefault="006A64EA" w:rsidP="00625AFD">
            <w:pPr>
              <w:jc w:val="center"/>
              <w:rPr>
                <w:rFonts w:ascii="Times New Roman" w:hAnsi="Times New Roman"/>
                <w:b/>
                <w:bCs/>
                <w:rtl/>
              </w:rPr>
            </w:pPr>
            <w:r w:rsidRPr="00625AFD">
              <w:rPr>
                <w:rFonts w:ascii="Times New Roman" w:hAnsi="Times New Roman"/>
                <w:b/>
                <w:bCs/>
                <w:rtl/>
              </w:rPr>
              <w:t>אורית קליינפלד, שופטת</w:t>
            </w:r>
          </w:p>
        </w:tc>
      </w:tr>
    </w:tbl>
    <w:p w14:paraId="2F5DCDF1" w14:textId="77777777" w:rsidR="006A64EA" w:rsidRDefault="006A64EA" w:rsidP="003B08F6">
      <w:pPr>
        <w:rPr>
          <w:rtl/>
        </w:rPr>
      </w:pPr>
    </w:p>
    <w:p w14:paraId="3CB26932" w14:textId="77777777" w:rsidR="006A64EA" w:rsidRDefault="006A64EA" w:rsidP="009207AB">
      <w:pPr>
        <w:spacing w:line="360" w:lineRule="auto"/>
        <w:rPr>
          <w:b/>
          <w:bCs/>
          <w:u w:val="single"/>
          <w:rtl/>
        </w:rPr>
      </w:pPr>
    </w:p>
    <w:p w14:paraId="237A8A6B" w14:textId="77777777" w:rsidR="006A64EA" w:rsidRDefault="006A64EA" w:rsidP="009207AB">
      <w:pPr>
        <w:spacing w:line="360" w:lineRule="auto"/>
        <w:rPr>
          <w:b/>
          <w:bCs/>
          <w:u w:val="single"/>
          <w:rtl/>
        </w:rPr>
      </w:pPr>
    </w:p>
    <w:p w14:paraId="2F1CE9E3" w14:textId="77777777" w:rsidR="006A64EA" w:rsidRPr="009207AB" w:rsidRDefault="006A64EA" w:rsidP="009207AB">
      <w:pPr>
        <w:spacing w:line="360" w:lineRule="auto"/>
        <w:rPr>
          <w:b/>
          <w:bCs/>
          <w:u w:val="single"/>
          <w:rtl/>
        </w:rPr>
      </w:pPr>
      <w:r w:rsidRPr="009207AB">
        <w:rPr>
          <w:b/>
          <w:bCs/>
          <w:u w:val="single"/>
          <w:rtl/>
        </w:rPr>
        <w:t xml:space="preserve">ב"כ המאשימה: </w:t>
      </w:r>
    </w:p>
    <w:p w14:paraId="03457A17" w14:textId="77777777" w:rsidR="006A64EA" w:rsidRDefault="006A64EA" w:rsidP="009207AB">
      <w:pPr>
        <w:spacing w:line="360" w:lineRule="auto"/>
        <w:rPr>
          <w:rtl/>
        </w:rPr>
      </w:pPr>
      <w:r>
        <w:rPr>
          <w:rtl/>
        </w:rPr>
        <w:t xml:space="preserve">אבקש להכריז על הנאשם כ"סוחר סמים". לשאלת בימ"ש, אני משיב כי אין בתיק זה תפוסים ו/או רכוש אותו מבקשת המאשימה לחלט. </w:t>
      </w:r>
    </w:p>
    <w:p w14:paraId="1B6988EB" w14:textId="77777777" w:rsidR="006A64EA" w:rsidRDefault="006A64EA" w:rsidP="009207AB">
      <w:pPr>
        <w:spacing w:line="360" w:lineRule="auto"/>
        <w:rPr>
          <w:rtl/>
        </w:rPr>
      </w:pPr>
    </w:p>
    <w:p w14:paraId="3AB65A91" w14:textId="77777777" w:rsidR="006A64EA" w:rsidRDefault="006A64EA" w:rsidP="009207AB">
      <w:pPr>
        <w:spacing w:line="360" w:lineRule="auto"/>
        <w:rPr>
          <w:sz w:val="6"/>
          <w:szCs w:val="6"/>
          <w:rtl/>
        </w:rPr>
      </w:pPr>
      <w:r>
        <w:rPr>
          <w:sz w:val="6"/>
          <w:szCs w:val="6"/>
          <w:rtl/>
        </w:rPr>
        <w:t>&lt;#5#&gt;</w:t>
      </w:r>
    </w:p>
    <w:p w14:paraId="00BD4A31" w14:textId="77777777" w:rsidR="006A64EA" w:rsidRDefault="006A64EA">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78D3E149" w14:textId="77777777" w:rsidR="006A64EA" w:rsidRDefault="006A64EA">
      <w:pPr>
        <w:spacing w:line="360" w:lineRule="auto"/>
        <w:jc w:val="both"/>
        <w:rPr>
          <w:rtl/>
        </w:rPr>
      </w:pPr>
    </w:p>
    <w:p w14:paraId="7376A328" w14:textId="77777777" w:rsidR="006A64EA" w:rsidRDefault="006A64EA">
      <w:pPr>
        <w:spacing w:line="360" w:lineRule="auto"/>
        <w:jc w:val="both"/>
        <w:rPr>
          <w:rtl/>
        </w:rPr>
      </w:pPr>
      <w:r>
        <w:rPr>
          <w:rtl/>
        </w:rPr>
        <w:t xml:space="preserve">בנסיבות אלה, לא מצאתי להיעתר למבוקש. </w:t>
      </w:r>
    </w:p>
    <w:p w14:paraId="295E21A8" w14:textId="77777777" w:rsidR="006A64EA" w:rsidRDefault="006A64EA">
      <w:pPr>
        <w:spacing w:line="360" w:lineRule="auto"/>
        <w:jc w:val="both"/>
        <w:rPr>
          <w:sz w:val="6"/>
          <w:szCs w:val="6"/>
          <w:rtl/>
        </w:rPr>
      </w:pPr>
      <w:r>
        <w:rPr>
          <w:sz w:val="6"/>
          <w:szCs w:val="6"/>
          <w:rtl/>
        </w:rPr>
        <w:t>&lt;#6#&gt;</w:t>
      </w:r>
    </w:p>
    <w:p w14:paraId="1B3DE1B5" w14:textId="77777777" w:rsidR="006A64EA" w:rsidRDefault="006A64EA" w:rsidP="003B08F6">
      <w:pPr>
        <w:rPr>
          <w:rtl/>
        </w:rPr>
      </w:pPr>
    </w:p>
    <w:p w14:paraId="30088EA8" w14:textId="77777777" w:rsidR="006A64EA" w:rsidRDefault="00F968B7" w:rsidP="003B08F6">
      <w:pPr>
        <w:rPr>
          <w:rtl/>
        </w:rPr>
      </w:pPr>
      <w:bookmarkStart w:id="7" w:name="Nitan"/>
      <w:r w:rsidRPr="00F968B7">
        <w:rPr>
          <w:b/>
          <w:bCs/>
          <w:color w:val="FFFFFF"/>
          <w:sz w:val="2"/>
          <w:szCs w:val="2"/>
          <w:rtl/>
        </w:rPr>
        <w:t>5129371</w:t>
      </w:r>
      <w:r>
        <w:rPr>
          <w:b/>
          <w:bCs/>
          <w:rtl/>
        </w:rPr>
        <w:t xml:space="preserve">ניתנה והודעה היום ט"ז תמוז תשפ"ג, 05/07/2023 במעמד הנוכחים. </w:t>
      </w:r>
      <w:bookmarkEnd w:id="7"/>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6A64EA" w14:paraId="5664907E" w14:textId="77777777" w:rsidTr="00625AFD">
        <w:trPr>
          <w:trHeight w:val="316"/>
          <w:jc w:val="right"/>
        </w:trPr>
        <w:tc>
          <w:tcPr>
            <w:tcW w:w="3936" w:type="dxa"/>
            <w:vAlign w:val="center"/>
          </w:tcPr>
          <w:p w14:paraId="53559BD2" w14:textId="77777777" w:rsidR="006A64EA" w:rsidRPr="00F968B7" w:rsidRDefault="00F968B7" w:rsidP="00625AFD">
            <w:pPr>
              <w:jc w:val="center"/>
              <w:rPr>
                <w:rFonts w:ascii="Times New Roman" w:hAnsi="Times New Roman" w:cs="Times New Roman"/>
                <w:color w:val="FFFFFF"/>
                <w:sz w:val="2"/>
                <w:szCs w:val="2"/>
              </w:rPr>
            </w:pPr>
            <w:r w:rsidRPr="00F968B7">
              <w:rPr>
                <w:rFonts w:ascii="Times New Roman" w:hAnsi="Times New Roman" w:cs="Times New Roman"/>
                <w:color w:val="FFFFFF"/>
                <w:sz w:val="2"/>
                <w:szCs w:val="2"/>
                <w:rtl/>
              </w:rPr>
              <w:t>54678313</w:t>
            </w:r>
          </w:p>
          <w:p w14:paraId="1647AA7F" w14:textId="77777777" w:rsidR="006A64EA" w:rsidRPr="00625AFD" w:rsidRDefault="006A64EA" w:rsidP="00625AFD">
            <w:pPr>
              <w:jc w:val="center"/>
              <w:rPr>
                <w:rFonts w:ascii="Times New Roman" w:hAnsi="Times New Roman" w:cs="Times New Roman"/>
                <w:rtl/>
              </w:rPr>
            </w:pPr>
          </w:p>
        </w:tc>
      </w:tr>
      <w:tr w:rsidR="006A64EA" w14:paraId="31EB5297" w14:textId="77777777" w:rsidTr="00625AFD">
        <w:trPr>
          <w:trHeight w:val="361"/>
          <w:jc w:val="right"/>
        </w:trPr>
        <w:tc>
          <w:tcPr>
            <w:tcW w:w="3936" w:type="dxa"/>
            <w:vAlign w:val="center"/>
          </w:tcPr>
          <w:p w14:paraId="6B08211D" w14:textId="77777777" w:rsidR="006A64EA" w:rsidRPr="00625AFD" w:rsidRDefault="006A64EA" w:rsidP="00625AFD">
            <w:pPr>
              <w:jc w:val="center"/>
              <w:rPr>
                <w:rFonts w:ascii="Times New Roman" w:hAnsi="Times New Roman"/>
                <w:b/>
                <w:bCs/>
                <w:rtl/>
              </w:rPr>
            </w:pPr>
            <w:r w:rsidRPr="00625AFD">
              <w:rPr>
                <w:rFonts w:ascii="Times New Roman" w:hAnsi="Times New Roman"/>
                <w:b/>
                <w:bCs/>
                <w:rtl/>
              </w:rPr>
              <w:t>אורית קליינפלד, שופטת</w:t>
            </w:r>
          </w:p>
        </w:tc>
      </w:tr>
    </w:tbl>
    <w:p w14:paraId="2BCC4AD7" w14:textId="77777777" w:rsidR="006A64EA" w:rsidRDefault="006A64EA" w:rsidP="009207AB">
      <w:pPr>
        <w:rPr>
          <w:rtl/>
        </w:rPr>
      </w:pPr>
    </w:p>
    <w:p w14:paraId="575FE7BB" w14:textId="77777777" w:rsidR="006A64EA" w:rsidRPr="00F968B7" w:rsidRDefault="006A64EA" w:rsidP="00F968B7">
      <w:pPr>
        <w:keepNext/>
        <w:rPr>
          <w:color w:val="000000"/>
          <w:sz w:val="22"/>
          <w:szCs w:val="22"/>
        </w:rPr>
      </w:pPr>
      <w:r>
        <w:rPr>
          <w:rtl/>
        </w:rPr>
        <w:t>הוקלד</w:t>
      </w:r>
      <w:r>
        <w:t xml:space="preserve"> </w:t>
      </w:r>
      <w:r>
        <w:rPr>
          <w:rtl/>
        </w:rPr>
        <w:t>על</w:t>
      </w:r>
      <w:r>
        <w:t xml:space="preserve"> </w:t>
      </w:r>
      <w:r>
        <w:rPr>
          <w:rtl/>
        </w:rPr>
        <w:t>ידי</w:t>
      </w:r>
      <w:r>
        <w:t xml:space="preserve"> </w:t>
      </w:r>
      <w:r>
        <w:rPr>
          <w:rtl/>
        </w:rPr>
        <w:t>צהלה</w:t>
      </w:r>
      <w:r>
        <w:t xml:space="preserve"> </w:t>
      </w:r>
      <w:r>
        <w:rPr>
          <w:rtl/>
        </w:rPr>
        <w:t>חומרי</w:t>
      </w:r>
    </w:p>
    <w:p w14:paraId="1549D1AB" w14:textId="77777777" w:rsidR="00F968B7" w:rsidRPr="00F968B7" w:rsidRDefault="00F968B7" w:rsidP="00F968B7">
      <w:pPr>
        <w:keepNext/>
        <w:rPr>
          <w:color w:val="000000"/>
          <w:sz w:val="22"/>
          <w:szCs w:val="22"/>
          <w:rtl/>
        </w:rPr>
      </w:pPr>
      <w:r w:rsidRPr="00F968B7">
        <w:rPr>
          <w:color w:val="000000"/>
          <w:sz w:val="22"/>
          <w:szCs w:val="22"/>
          <w:rtl/>
        </w:rPr>
        <w:t>אורית קליינפלד 54678313</w:t>
      </w:r>
    </w:p>
    <w:p w14:paraId="4BFD53B4" w14:textId="77777777" w:rsidR="00F968B7" w:rsidRDefault="00F968B7" w:rsidP="00F968B7">
      <w:r w:rsidRPr="00F968B7">
        <w:rPr>
          <w:color w:val="000000"/>
          <w:rtl/>
        </w:rPr>
        <w:t>נוסח מסמך זה כפוף לשינויי ניסוח ועריכה</w:t>
      </w:r>
    </w:p>
    <w:p w14:paraId="5080FE46" w14:textId="77777777" w:rsidR="00F968B7" w:rsidRDefault="00F968B7" w:rsidP="00F968B7">
      <w:pPr>
        <w:rPr>
          <w:rtl/>
        </w:rPr>
      </w:pPr>
    </w:p>
    <w:p w14:paraId="7FA7B41E" w14:textId="77777777" w:rsidR="00F968B7" w:rsidRDefault="00F968B7" w:rsidP="00F968B7">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5FB5EA4B" w14:textId="77777777" w:rsidR="00F968B7" w:rsidRPr="00F968B7" w:rsidRDefault="00F968B7" w:rsidP="00F968B7">
      <w:pPr>
        <w:jc w:val="center"/>
        <w:rPr>
          <w:color w:val="0000FF"/>
          <w:u w:val="single"/>
        </w:rPr>
      </w:pPr>
    </w:p>
    <w:sectPr w:rsidR="00F968B7" w:rsidRPr="00F968B7" w:rsidSect="00F968B7">
      <w:headerReference w:type="even" r:id="rId31"/>
      <w:headerReference w:type="default" r:id="rId32"/>
      <w:footerReference w:type="even" r:id="rId33"/>
      <w:footerReference w:type="default" r:id="rId3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CBA784" w14:textId="77777777" w:rsidR="00D42B83" w:rsidRDefault="00D42B83">
      <w:r>
        <w:separator/>
      </w:r>
    </w:p>
  </w:endnote>
  <w:endnote w:type="continuationSeparator" w:id="0">
    <w:p w14:paraId="1EFC615E" w14:textId="77777777" w:rsidR="00D42B83" w:rsidRDefault="00D42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BDBA0" w14:textId="77777777" w:rsidR="00F968B7" w:rsidRDefault="00F968B7" w:rsidP="00F968B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28</w:t>
    </w:r>
    <w:r>
      <w:rPr>
        <w:rFonts w:ascii="FrankRuehl" w:hAnsi="FrankRuehl" w:cs="FrankRuehl"/>
        <w:rtl/>
      </w:rPr>
      <w:fldChar w:fldCharType="end"/>
    </w:r>
  </w:p>
  <w:p w14:paraId="626539AD" w14:textId="77777777" w:rsidR="006A64EA" w:rsidRPr="00F968B7" w:rsidRDefault="00F968B7" w:rsidP="00F968B7">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AB20D" w14:textId="77777777" w:rsidR="00F968B7" w:rsidRDefault="00F968B7" w:rsidP="00F968B7">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236D41">
      <w:rPr>
        <w:rFonts w:ascii="FrankRuehl" w:hAnsi="FrankRuehl" w:cs="FrankRuehl"/>
        <w:noProof/>
        <w:rtl/>
      </w:rPr>
      <w:t>1</w:t>
    </w:r>
    <w:r>
      <w:rPr>
        <w:rFonts w:ascii="FrankRuehl" w:hAnsi="FrankRuehl" w:cs="FrankRuehl"/>
        <w:rtl/>
      </w:rPr>
      <w:fldChar w:fldCharType="end"/>
    </w:r>
  </w:p>
  <w:p w14:paraId="03CD82B4" w14:textId="77777777" w:rsidR="006A64EA" w:rsidRPr="00F968B7" w:rsidRDefault="00F968B7" w:rsidP="00F968B7">
    <w:pPr>
      <w:pStyle w:val="a4"/>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7CCBCD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1EA3AA" w14:textId="77777777" w:rsidR="00D42B83" w:rsidRDefault="00D42B83">
      <w:r>
        <w:separator/>
      </w:r>
    </w:p>
  </w:footnote>
  <w:footnote w:type="continuationSeparator" w:id="0">
    <w:p w14:paraId="520F408D" w14:textId="77777777" w:rsidR="00D42B83" w:rsidRDefault="00D42B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A2B574" w14:textId="77777777" w:rsidR="00F968B7" w:rsidRPr="00F968B7" w:rsidRDefault="00F968B7" w:rsidP="00F968B7">
    <w:pPr>
      <w:pStyle w:val="a3"/>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(חד') 57960-02-21</w:t>
    </w:r>
    <w:r>
      <w:rPr>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E65DB" w14:textId="77777777" w:rsidR="00F968B7" w:rsidRPr="00F968B7" w:rsidRDefault="00F968B7" w:rsidP="00F968B7">
    <w:pPr>
      <w:pStyle w:val="a3"/>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(חד') 57960-02-21</w:t>
    </w:r>
    <w:r>
      <w:rPr>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A693E"/>
    <w:multiLevelType w:val="hybridMultilevel"/>
    <w:tmpl w:val="1B3665CE"/>
    <w:lvl w:ilvl="0" w:tplc="0409000F">
      <w:start w:val="5"/>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2" w15:restartNumberingAfterBreak="0">
    <w:nsid w:val="254B760F"/>
    <w:multiLevelType w:val="hybridMultilevel"/>
    <w:tmpl w:val="BEF69BE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4"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5"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9"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0"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1"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2"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6"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68AA1CDA"/>
    <w:multiLevelType w:val="hybridMultilevel"/>
    <w:tmpl w:val="0CAED75C"/>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9"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1474641745">
    <w:abstractNumId w:val="16"/>
  </w:num>
  <w:num w:numId="2" w16cid:durableId="1145318216">
    <w:abstractNumId w:val="7"/>
  </w:num>
  <w:num w:numId="3" w16cid:durableId="916941067">
    <w:abstractNumId w:val="14"/>
  </w:num>
  <w:num w:numId="4" w16cid:durableId="449478631">
    <w:abstractNumId w:val="13"/>
  </w:num>
  <w:num w:numId="5" w16cid:durableId="73431541">
    <w:abstractNumId w:val="6"/>
  </w:num>
  <w:num w:numId="6" w16cid:durableId="1952395858">
    <w:abstractNumId w:val="8"/>
  </w:num>
  <w:num w:numId="7" w16cid:durableId="894509368">
    <w:abstractNumId w:val="19"/>
  </w:num>
  <w:num w:numId="8" w16cid:durableId="287589971">
    <w:abstractNumId w:val="1"/>
  </w:num>
  <w:num w:numId="9" w16cid:durableId="508956750">
    <w:abstractNumId w:val="12"/>
  </w:num>
  <w:num w:numId="10" w16cid:durableId="666175515">
    <w:abstractNumId w:val="10"/>
  </w:num>
  <w:num w:numId="11" w16cid:durableId="912355850">
    <w:abstractNumId w:val="5"/>
  </w:num>
  <w:num w:numId="12" w16cid:durableId="767048118">
    <w:abstractNumId w:val="18"/>
  </w:num>
  <w:num w:numId="13" w16cid:durableId="1012879482">
    <w:abstractNumId w:val="11"/>
  </w:num>
  <w:num w:numId="14" w16cid:durableId="259797163">
    <w:abstractNumId w:val="4"/>
  </w:num>
  <w:num w:numId="15" w16cid:durableId="1457286977">
    <w:abstractNumId w:val="15"/>
  </w:num>
  <w:num w:numId="16" w16cid:durableId="1758206329">
    <w:abstractNumId w:val="3"/>
  </w:num>
  <w:num w:numId="17" w16cid:durableId="1876497943">
    <w:abstractNumId w:val="9"/>
  </w:num>
  <w:num w:numId="18" w16cid:durableId="3687282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74452571">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16349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57960-02-21"/>
    <w:docVar w:name="caseId" w:val="78143063"/>
    <w:docVar w:name="deriveClass" w:val="NGCS.Protocol.BL.Client.ProtocolBLClientCriminal"/>
    <w:docVar w:name="firstPageNumber" w:val="27"/>
    <w:docVar w:name="MyInfo" w:val="This document was extracted from Nevo's site"/>
    <w:docVar w:name="NGCS.isReservedAddressPlace" w:val="0"/>
    <w:docVar w:name="NGCS.isReservedVoucherPlace" w:val="0"/>
    <w:docVar w:name="privellegeId" w:val="2"/>
    <w:docVar w:name="protocolId" w:val="13726068"/>
    <w:docVar w:name="releaseSign" w:val="0"/>
    <w:docVar w:name="sittingDateTime" w:val="05/07/2023 10:00     "/>
    <w:docVar w:name="sittingId" w:val="95116087"/>
    <w:docVar w:name="sittingTypeId" w:val="2"/>
    <w:docVar w:name="WordClientAssemblyName" w:val="NGCS.Protocol.BL.Client"/>
    <w:docVar w:name="WordClientClassName" w:val="NGCS.Templates.UIP.TemplateWordClient"/>
  </w:docVars>
  <w:rsids>
    <w:rsidRoot w:val="00EB1D9D"/>
    <w:rsid w:val="0000736A"/>
    <w:rsid w:val="000109D5"/>
    <w:rsid w:val="00014F26"/>
    <w:rsid w:val="00016C3B"/>
    <w:rsid w:val="00030486"/>
    <w:rsid w:val="000309E2"/>
    <w:rsid w:val="00032A68"/>
    <w:rsid w:val="00053909"/>
    <w:rsid w:val="000555F0"/>
    <w:rsid w:val="000608AB"/>
    <w:rsid w:val="00074BD2"/>
    <w:rsid w:val="000777AF"/>
    <w:rsid w:val="000A4C4B"/>
    <w:rsid w:val="000C1A80"/>
    <w:rsid w:val="000C3D5F"/>
    <w:rsid w:val="000C7499"/>
    <w:rsid w:val="000E37CD"/>
    <w:rsid w:val="00100FD9"/>
    <w:rsid w:val="00115104"/>
    <w:rsid w:val="00130DA3"/>
    <w:rsid w:val="00131385"/>
    <w:rsid w:val="00137569"/>
    <w:rsid w:val="00137D59"/>
    <w:rsid w:val="0014434E"/>
    <w:rsid w:val="001526FC"/>
    <w:rsid w:val="0016231B"/>
    <w:rsid w:val="00163279"/>
    <w:rsid w:val="001666D0"/>
    <w:rsid w:val="001705B8"/>
    <w:rsid w:val="00174C6C"/>
    <w:rsid w:val="00180246"/>
    <w:rsid w:val="001A5B66"/>
    <w:rsid w:val="001A63A4"/>
    <w:rsid w:val="001B13C8"/>
    <w:rsid w:val="001E6DFB"/>
    <w:rsid w:val="002063A6"/>
    <w:rsid w:val="00227A15"/>
    <w:rsid w:val="00236D41"/>
    <w:rsid w:val="00237F64"/>
    <w:rsid w:val="00245547"/>
    <w:rsid w:val="002736EA"/>
    <w:rsid w:val="0029400D"/>
    <w:rsid w:val="00296868"/>
    <w:rsid w:val="002A1C94"/>
    <w:rsid w:val="002E24EE"/>
    <w:rsid w:val="002F455E"/>
    <w:rsid w:val="002F5A82"/>
    <w:rsid w:val="00301481"/>
    <w:rsid w:val="00340759"/>
    <w:rsid w:val="0034100C"/>
    <w:rsid w:val="00342D84"/>
    <w:rsid w:val="00347ACF"/>
    <w:rsid w:val="00397DEC"/>
    <w:rsid w:val="003B08F6"/>
    <w:rsid w:val="003F6EFC"/>
    <w:rsid w:val="00440118"/>
    <w:rsid w:val="00442655"/>
    <w:rsid w:val="00445270"/>
    <w:rsid w:val="004473FE"/>
    <w:rsid w:val="0045706A"/>
    <w:rsid w:val="004752AF"/>
    <w:rsid w:val="00486DEE"/>
    <w:rsid w:val="00494C2F"/>
    <w:rsid w:val="004C0CA7"/>
    <w:rsid w:val="004C711F"/>
    <w:rsid w:val="004D4B57"/>
    <w:rsid w:val="004E6651"/>
    <w:rsid w:val="004F4B4A"/>
    <w:rsid w:val="00503959"/>
    <w:rsid w:val="00510083"/>
    <w:rsid w:val="00532A9F"/>
    <w:rsid w:val="00551705"/>
    <w:rsid w:val="00560CB1"/>
    <w:rsid w:val="00564AAC"/>
    <w:rsid w:val="00577444"/>
    <w:rsid w:val="0058186B"/>
    <w:rsid w:val="005832BA"/>
    <w:rsid w:val="005869D6"/>
    <w:rsid w:val="00594F89"/>
    <w:rsid w:val="005B395D"/>
    <w:rsid w:val="005B6B72"/>
    <w:rsid w:val="005D47FD"/>
    <w:rsid w:val="005D68B0"/>
    <w:rsid w:val="005D6FD9"/>
    <w:rsid w:val="00600219"/>
    <w:rsid w:val="00601F75"/>
    <w:rsid w:val="006110FD"/>
    <w:rsid w:val="00612093"/>
    <w:rsid w:val="0061652F"/>
    <w:rsid w:val="00620E3F"/>
    <w:rsid w:val="00623CCF"/>
    <w:rsid w:val="00625AFD"/>
    <w:rsid w:val="00631222"/>
    <w:rsid w:val="00633BA9"/>
    <w:rsid w:val="00635C8E"/>
    <w:rsid w:val="006424C7"/>
    <w:rsid w:val="00660C41"/>
    <w:rsid w:val="006830E7"/>
    <w:rsid w:val="006A4D3D"/>
    <w:rsid w:val="006A64EA"/>
    <w:rsid w:val="006B0E68"/>
    <w:rsid w:val="006B639D"/>
    <w:rsid w:val="006C2240"/>
    <w:rsid w:val="006D72D1"/>
    <w:rsid w:val="006E3A90"/>
    <w:rsid w:val="006E7D0F"/>
    <w:rsid w:val="006F0E02"/>
    <w:rsid w:val="007001DC"/>
    <w:rsid w:val="00700409"/>
    <w:rsid w:val="00701199"/>
    <w:rsid w:val="007378AE"/>
    <w:rsid w:val="007378FE"/>
    <w:rsid w:val="00770F7C"/>
    <w:rsid w:val="00781736"/>
    <w:rsid w:val="007839ED"/>
    <w:rsid w:val="00791EB6"/>
    <w:rsid w:val="007B6499"/>
    <w:rsid w:val="007C0D02"/>
    <w:rsid w:val="007D29B0"/>
    <w:rsid w:val="007D4DDF"/>
    <w:rsid w:val="007D71BF"/>
    <w:rsid w:val="007E4ADE"/>
    <w:rsid w:val="007F0446"/>
    <w:rsid w:val="007F46CA"/>
    <w:rsid w:val="007F4959"/>
    <w:rsid w:val="008100EF"/>
    <w:rsid w:val="0081212E"/>
    <w:rsid w:val="008138D1"/>
    <w:rsid w:val="008147C4"/>
    <w:rsid w:val="00816980"/>
    <w:rsid w:val="0082308D"/>
    <w:rsid w:val="00833BD9"/>
    <w:rsid w:val="0083639D"/>
    <w:rsid w:val="008411C5"/>
    <w:rsid w:val="0085535F"/>
    <w:rsid w:val="0087279B"/>
    <w:rsid w:val="0088033E"/>
    <w:rsid w:val="0088228B"/>
    <w:rsid w:val="0089339C"/>
    <w:rsid w:val="008B5819"/>
    <w:rsid w:val="008D15AB"/>
    <w:rsid w:val="008D7896"/>
    <w:rsid w:val="008E7204"/>
    <w:rsid w:val="009207AB"/>
    <w:rsid w:val="009274C7"/>
    <w:rsid w:val="00927BB3"/>
    <w:rsid w:val="00934BA1"/>
    <w:rsid w:val="0094049A"/>
    <w:rsid w:val="0094092B"/>
    <w:rsid w:val="00943E5D"/>
    <w:rsid w:val="009474AF"/>
    <w:rsid w:val="009521C7"/>
    <w:rsid w:val="00960E66"/>
    <w:rsid w:val="00966439"/>
    <w:rsid w:val="0097713F"/>
    <w:rsid w:val="0098094C"/>
    <w:rsid w:val="00981FAF"/>
    <w:rsid w:val="009857E4"/>
    <w:rsid w:val="009A16E6"/>
    <w:rsid w:val="009B24E2"/>
    <w:rsid w:val="009C08D6"/>
    <w:rsid w:val="009D7934"/>
    <w:rsid w:val="009E46EC"/>
    <w:rsid w:val="009E6E0A"/>
    <w:rsid w:val="00A04531"/>
    <w:rsid w:val="00A1573A"/>
    <w:rsid w:val="00A25356"/>
    <w:rsid w:val="00A64302"/>
    <w:rsid w:val="00A64696"/>
    <w:rsid w:val="00A67D1A"/>
    <w:rsid w:val="00A910BF"/>
    <w:rsid w:val="00A9385E"/>
    <w:rsid w:val="00AA3C0A"/>
    <w:rsid w:val="00AB1CE7"/>
    <w:rsid w:val="00AC7677"/>
    <w:rsid w:val="00AD1366"/>
    <w:rsid w:val="00B24CA7"/>
    <w:rsid w:val="00B30584"/>
    <w:rsid w:val="00B44123"/>
    <w:rsid w:val="00B6568E"/>
    <w:rsid w:val="00B66459"/>
    <w:rsid w:val="00B82C03"/>
    <w:rsid w:val="00B870E1"/>
    <w:rsid w:val="00B96F12"/>
    <w:rsid w:val="00BA3141"/>
    <w:rsid w:val="00BD13A0"/>
    <w:rsid w:val="00BF00B0"/>
    <w:rsid w:val="00C4595F"/>
    <w:rsid w:val="00C471D1"/>
    <w:rsid w:val="00C50277"/>
    <w:rsid w:val="00C518EA"/>
    <w:rsid w:val="00C667A1"/>
    <w:rsid w:val="00C8613B"/>
    <w:rsid w:val="00CA022A"/>
    <w:rsid w:val="00CA26CF"/>
    <w:rsid w:val="00CB4681"/>
    <w:rsid w:val="00CB6B34"/>
    <w:rsid w:val="00D0615F"/>
    <w:rsid w:val="00D23D09"/>
    <w:rsid w:val="00D2736A"/>
    <w:rsid w:val="00D42B83"/>
    <w:rsid w:val="00D520B8"/>
    <w:rsid w:val="00D57D9B"/>
    <w:rsid w:val="00D72935"/>
    <w:rsid w:val="00D86190"/>
    <w:rsid w:val="00D90475"/>
    <w:rsid w:val="00DA7A07"/>
    <w:rsid w:val="00DC3CD8"/>
    <w:rsid w:val="00DC4526"/>
    <w:rsid w:val="00DC7E11"/>
    <w:rsid w:val="00DD4926"/>
    <w:rsid w:val="00DF69AA"/>
    <w:rsid w:val="00E15F20"/>
    <w:rsid w:val="00E37759"/>
    <w:rsid w:val="00E4581A"/>
    <w:rsid w:val="00E620AB"/>
    <w:rsid w:val="00E679BB"/>
    <w:rsid w:val="00E74FCF"/>
    <w:rsid w:val="00E866B5"/>
    <w:rsid w:val="00EA1FF1"/>
    <w:rsid w:val="00EA333A"/>
    <w:rsid w:val="00EB1D9D"/>
    <w:rsid w:val="00EE410A"/>
    <w:rsid w:val="00EE5581"/>
    <w:rsid w:val="00EE7843"/>
    <w:rsid w:val="00F24B4E"/>
    <w:rsid w:val="00F26FD3"/>
    <w:rsid w:val="00F30675"/>
    <w:rsid w:val="00F449AC"/>
    <w:rsid w:val="00F53B32"/>
    <w:rsid w:val="00F56690"/>
    <w:rsid w:val="00F56B3A"/>
    <w:rsid w:val="00F579C4"/>
    <w:rsid w:val="00F773E3"/>
    <w:rsid w:val="00F861D3"/>
    <w:rsid w:val="00F91F7D"/>
    <w:rsid w:val="00F941D7"/>
    <w:rsid w:val="00F968B7"/>
    <w:rsid w:val="00FA2034"/>
    <w:rsid w:val="00FA308E"/>
    <w:rsid w:val="00FA615F"/>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A813934"/>
  <w15:chartTrackingRefBased/>
  <w15:docId w15:val="{BAB392FC-8E46-4B29-AD7C-F2D4995E3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table" w:styleId="a5">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semiHidden/>
    <w:rPr>
      <w:rFonts w:ascii="Times New Roman" w:eastAsia="David" w:hAnsi="Times New Roman" w:cs="Times New Roman"/>
      <w:sz w:val="20"/>
      <w:szCs w:val="20"/>
    </w:rPr>
  </w:style>
  <w:style w:type="character" w:styleId="a7">
    <w:name w:val="annotation reference"/>
    <w:semiHidden/>
    <w:rPr>
      <w:sz w:val="16"/>
    </w:rPr>
  </w:style>
  <w:style w:type="paragraph" w:styleId="a8">
    <w:name w:val="Balloon Text"/>
    <w:basedOn w:val="a"/>
    <w:semiHidden/>
    <w:rPr>
      <w:rFonts w:ascii="Tahoma" w:hAnsi="Tahoma" w:cs="Tahoma"/>
      <w:sz w:val="16"/>
      <w:szCs w:val="16"/>
    </w:rPr>
  </w:style>
  <w:style w:type="character" w:styleId="a9">
    <w:name w:val="page number"/>
    <w:rPr>
      <w:rFonts w:cs="Times New Roman"/>
    </w:rPr>
  </w:style>
  <w:style w:type="character" w:styleId="aa">
    <w:name w:val="line number"/>
    <w:rPr>
      <w:sz w:val="20"/>
    </w:rPr>
  </w:style>
  <w:style w:type="character" w:customStyle="1" w:styleId="TimesNewRomanTimesNewRoman">
    <w:name w:val="סגנון (לטיני) Times New Roman (עברית ושפות אחרות) Times New Roman..."/>
    <w:rsid w:val="0000736A"/>
    <w:rPr>
      <w:rFonts w:ascii="Times New Roman" w:hAnsi="Times New Roman"/>
      <w:b/>
      <w:sz w:val="26"/>
    </w:rPr>
  </w:style>
  <w:style w:type="paragraph" w:customStyle="1" w:styleId="Arial">
    <w:name w:val="סגנון (לטיני) Arial מיושר לשני הצדדים מרווח בין שורות:  שורה וחצי"/>
    <w:basedOn w:val="a"/>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
    <w:rsid w:val="00163279"/>
    <w:pPr>
      <w:spacing w:line="360" w:lineRule="auto"/>
      <w:jc w:val="both"/>
    </w:pPr>
    <w:rPr>
      <w:rFonts w:ascii="Times New Roman" w:eastAsia="David" w:hAnsi="Times New Roman"/>
      <w:b/>
      <w:bCs/>
      <w:sz w:val="26"/>
      <w:szCs w:val="26"/>
    </w:rPr>
  </w:style>
  <w:style w:type="character" w:styleId="ab">
    <w:name w:val="Placeholder Text"/>
    <w:semiHidden/>
    <w:rsid w:val="004D4B57"/>
    <w:rPr>
      <w:color w:val="808080"/>
    </w:rPr>
  </w:style>
  <w:style w:type="paragraph" w:customStyle="1" w:styleId="12">
    <w:name w:val="רגיל + ‏12 נק'"/>
    <w:aliases w:val="מיושר לשני הצדדים,מרווח בין שורות:  שורה וחצי"/>
    <w:basedOn w:val="a"/>
    <w:rsid w:val="00397DEC"/>
    <w:rPr>
      <w:rFonts w:ascii="Times New Roman" w:eastAsia="David" w:hAnsi="Times New Roman"/>
      <w:b/>
      <w:bCs/>
      <w:u w:val="single"/>
    </w:rPr>
  </w:style>
  <w:style w:type="paragraph" w:customStyle="1" w:styleId="David">
    <w:name w:val="סגנון (עברית ושפות אחרות) David מיושר לשני הצדדים מרווח בין שורות..."/>
    <w:basedOn w:val="a"/>
    <w:rsid w:val="00397DEC"/>
    <w:pPr>
      <w:spacing w:line="360" w:lineRule="auto"/>
      <w:jc w:val="both"/>
    </w:pPr>
    <w:rPr>
      <w:rFonts w:ascii="Times New Roman" w:eastAsia="David" w:hAnsi="Times New Roman"/>
    </w:rPr>
  </w:style>
  <w:style w:type="character" w:styleId="Hyperlink">
    <w:name w:val="Hyperlink"/>
    <w:semiHidden/>
    <w:rsid w:val="007D29B0"/>
    <w:rPr>
      <w:color w:val="0000FF"/>
      <w:u w:val="single"/>
    </w:rPr>
  </w:style>
  <w:style w:type="paragraph" w:styleId="ac">
    <w:name w:val="List Paragraph"/>
    <w:basedOn w:val="a"/>
    <w:qFormat/>
    <w:rsid w:val="007D29B0"/>
    <w:pPr>
      <w:ind w:left="720"/>
      <w:contextualSpacing/>
    </w:pPr>
    <w:rPr>
      <w:rFonts w:ascii="Times New Roman" w:eastAsia="David"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48" TargetMode="External"/><Relationship Id="rId18" Type="http://schemas.openxmlformats.org/officeDocument/2006/relationships/hyperlink" Target="http://www.nevo.co.il/law/70301/29.a" TargetMode="External"/><Relationship Id="rId26" Type="http://schemas.openxmlformats.org/officeDocument/2006/relationships/hyperlink" Target="http://www.nevo.co.il/case/29358283" TargetMode="External"/><Relationship Id="rId3" Type="http://schemas.openxmlformats.org/officeDocument/2006/relationships/settings" Target="settings.xml"/><Relationship Id="rId21" Type="http://schemas.openxmlformats.org/officeDocument/2006/relationships/hyperlink" Target="http://www.nevo.co.il/case/29200734" TargetMode="External"/><Relationship Id="rId34"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70301/31"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8774341"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4216/19a" TargetMode="External"/><Relationship Id="rId20" Type="http://schemas.openxmlformats.org/officeDocument/2006/relationships/hyperlink" Target="http://www.nevo.co.il/law/70301/31"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9.a" TargetMode="External"/><Relationship Id="rId24" Type="http://schemas.openxmlformats.org/officeDocument/2006/relationships/hyperlink" Target="http://www.nevo.co.il/case/28437031"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case/28400049" TargetMode="External"/><Relationship Id="rId28" Type="http://schemas.openxmlformats.org/officeDocument/2006/relationships/hyperlink" Target="http://www.nevo.co.il/law/70348" TargetMode="External"/><Relationship Id="rId36"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70348/24.1" TargetMode="External"/><Relationship Id="rId22" Type="http://schemas.openxmlformats.org/officeDocument/2006/relationships/hyperlink" Target="http://www.nevo.co.il/case/28362589" TargetMode="External"/><Relationship Id="rId27" Type="http://schemas.openxmlformats.org/officeDocument/2006/relationships/hyperlink" Target="http://www.nevo.co.il/law/70348/24.1"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1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1613</Words>
  <Characters>8067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9661</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8257636</vt:i4>
      </vt:variant>
      <vt:variant>
        <vt:i4>63</vt:i4>
      </vt:variant>
      <vt:variant>
        <vt:i4>0</vt:i4>
      </vt:variant>
      <vt:variant>
        <vt:i4>5</vt:i4>
      </vt:variant>
      <vt:variant>
        <vt:lpwstr>http://www.nevo.co.il/law/70348</vt:lpwstr>
      </vt:variant>
      <vt:variant>
        <vt:lpwstr/>
      </vt:variant>
      <vt:variant>
        <vt:i4>5505088</vt:i4>
      </vt:variant>
      <vt:variant>
        <vt:i4>60</vt:i4>
      </vt:variant>
      <vt:variant>
        <vt:i4>0</vt:i4>
      </vt:variant>
      <vt:variant>
        <vt:i4>5</vt:i4>
      </vt:variant>
      <vt:variant>
        <vt:lpwstr>http://www.nevo.co.il/law/70348/24.1</vt:lpwstr>
      </vt:variant>
      <vt:variant>
        <vt:lpwstr/>
      </vt:variant>
      <vt:variant>
        <vt:i4>3211386</vt:i4>
      </vt:variant>
      <vt:variant>
        <vt:i4>57</vt:i4>
      </vt:variant>
      <vt:variant>
        <vt:i4>0</vt:i4>
      </vt:variant>
      <vt:variant>
        <vt:i4>5</vt:i4>
      </vt:variant>
      <vt:variant>
        <vt:lpwstr>http://www.nevo.co.il/case/29358283</vt:lpwstr>
      </vt:variant>
      <vt:variant>
        <vt:lpwstr/>
      </vt:variant>
      <vt:variant>
        <vt:i4>3473528</vt:i4>
      </vt:variant>
      <vt:variant>
        <vt:i4>54</vt:i4>
      </vt:variant>
      <vt:variant>
        <vt:i4>0</vt:i4>
      </vt:variant>
      <vt:variant>
        <vt:i4>5</vt:i4>
      </vt:variant>
      <vt:variant>
        <vt:lpwstr>http://www.nevo.co.il/case/28774341</vt:lpwstr>
      </vt:variant>
      <vt:variant>
        <vt:lpwstr/>
      </vt:variant>
      <vt:variant>
        <vt:i4>3276927</vt:i4>
      </vt:variant>
      <vt:variant>
        <vt:i4>51</vt:i4>
      </vt:variant>
      <vt:variant>
        <vt:i4>0</vt:i4>
      </vt:variant>
      <vt:variant>
        <vt:i4>5</vt:i4>
      </vt:variant>
      <vt:variant>
        <vt:lpwstr>http://www.nevo.co.il/case/28437031</vt:lpwstr>
      </vt:variant>
      <vt:variant>
        <vt:lpwstr/>
      </vt:variant>
      <vt:variant>
        <vt:i4>3276924</vt:i4>
      </vt:variant>
      <vt:variant>
        <vt:i4>48</vt:i4>
      </vt:variant>
      <vt:variant>
        <vt:i4>0</vt:i4>
      </vt:variant>
      <vt:variant>
        <vt:i4>5</vt:i4>
      </vt:variant>
      <vt:variant>
        <vt:lpwstr>http://www.nevo.co.il/case/28400049</vt:lpwstr>
      </vt:variant>
      <vt:variant>
        <vt:lpwstr/>
      </vt:variant>
      <vt:variant>
        <vt:i4>3866751</vt:i4>
      </vt:variant>
      <vt:variant>
        <vt:i4>45</vt:i4>
      </vt:variant>
      <vt:variant>
        <vt:i4>0</vt:i4>
      </vt:variant>
      <vt:variant>
        <vt:i4>5</vt:i4>
      </vt:variant>
      <vt:variant>
        <vt:lpwstr>http://www.nevo.co.il/case/28362589</vt:lpwstr>
      </vt:variant>
      <vt:variant>
        <vt:lpwstr/>
      </vt:variant>
      <vt:variant>
        <vt:i4>3342458</vt:i4>
      </vt:variant>
      <vt:variant>
        <vt:i4>42</vt:i4>
      </vt:variant>
      <vt:variant>
        <vt:i4>0</vt:i4>
      </vt:variant>
      <vt:variant>
        <vt:i4>5</vt:i4>
      </vt:variant>
      <vt:variant>
        <vt:lpwstr>http://www.nevo.co.il/case/29200734</vt:lpwstr>
      </vt:variant>
      <vt:variant>
        <vt:lpwstr/>
      </vt:variant>
      <vt:variant>
        <vt:i4>6553702</vt:i4>
      </vt:variant>
      <vt:variant>
        <vt:i4>39</vt:i4>
      </vt:variant>
      <vt:variant>
        <vt:i4>0</vt:i4>
      </vt:variant>
      <vt:variant>
        <vt:i4>5</vt:i4>
      </vt:variant>
      <vt:variant>
        <vt:lpwstr>http://www.nevo.co.il/law/70301/31</vt:lpwstr>
      </vt:variant>
      <vt:variant>
        <vt:lpwstr/>
      </vt:variant>
      <vt:variant>
        <vt:i4>7995492</vt:i4>
      </vt:variant>
      <vt:variant>
        <vt:i4>36</vt:i4>
      </vt:variant>
      <vt:variant>
        <vt:i4>0</vt:i4>
      </vt:variant>
      <vt:variant>
        <vt:i4>5</vt:i4>
      </vt:variant>
      <vt:variant>
        <vt:lpwstr>http://www.nevo.co.il/law/70301</vt:lpwstr>
      </vt:variant>
      <vt:variant>
        <vt:lpwstr/>
      </vt:variant>
      <vt:variant>
        <vt:i4>852041</vt:i4>
      </vt:variant>
      <vt:variant>
        <vt:i4>33</vt:i4>
      </vt:variant>
      <vt:variant>
        <vt:i4>0</vt:i4>
      </vt:variant>
      <vt:variant>
        <vt:i4>5</vt:i4>
      </vt:variant>
      <vt:variant>
        <vt:lpwstr>http://www.nevo.co.il/law/70301/29.a</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5505088</vt:i4>
      </vt:variant>
      <vt:variant>
        <vt:i4>21</vt:i4>
      </vt:variant>
      <vt:variant>
        <vt:i4>0</vt:i4>
      </vt:variant>
      <vt:variant>
        <vt:i4>5</vt:i4>
      </vt:variant>
      <vt:variant>
        <vt:lpwstr>http://www.nevo.co.il/law/70348/24.1</vt:lpwstr>
      </vt:variant>
      <vt:variant>
        <vt:lpwstr/>
      </vt:variant>
      <vt:variant>
        <vt:i4>8257636</vt:i4>
      </vt:variant>
      <vt:variant>
        <vt:i4>18</vt:i4>
      </vt:variant>
      <vt:variant>
        <vt:i4>0</vt:i4>
      </vt:variant>
      <vt:variant>
        <vt:i4>5</vt:i4>
      </vt:variant>
      <vt:variant>
        <vt:lpwstr>http://www.nevo.co.il/law/70348</vt:lpwstr>
      </vt:variant>
      <vt:variant>
        <vt:lpwstr/>
      </vt:variant>
      <vt:variant>
        <vt:i4>6553702</vt:i4>
      </vt:variant>
      <vt:variant>
        <vt:i4>15</vt:i4>
      </vt:variant>
      <vt:variant>
        <vt:i4>0</vt:i4>
      </vt:variant>
      <vt:variant>
        <vt:i4>5</vt:i4>
      </vt:variant>
      <vt:variant>
        <vt:lpwstr>http://www.nevo.co.il/law/70301/31</vt:lpwstr>
      </vt:variant>
      <vt:variant>
        <vt:lpwstr/>
      </vt:variant>
      <vt:variant>
        <vt:i4>852041</vt:i4>
      </vt:variant>
      <vt:variant>
        <vt:i4>12</vt:i4>
      </vt:variant>
      <vt:variant>
        <vt:i4>0</vt:i4>
      </vt:variant>
      <vt:variant>
        <vt:i4>5</vt:i4>
      </vt:variant>
      <vt:variant>
        <vt:lpwstr>http://www.nevo.co.il/law/70301/29.a</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2023-07-05T08:54:00Z</cp:lastPrinted>
  <dcterms:created xsi:type="dcterms:W3CDTF">2025-04-23T00:55:00Z</dcterms:created>
  <dcterms:modified xsi:type="dcterms:W3CDTF">2025-04-23T00:55:00Z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57960</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JUDGE">
    <vt:lpwstr>אורית קליינפלד</vt:lpwstr>
  </property>
  <property fmtid="{D5CDD505-2E9C-101B-9397-08002B2CF9AE}" pid="11" name="CITY">
    <vt:lpwstr>חד'</vt:lpwstr>
  </property>
  <property fmtid="{D5CDD505-2E9C-101B-9397-08002B2CF9AE}" pid="12" name="DATE">
    <vt:lpwstr>20230705</vt:lpwstr>
  </property>
  <property fmtid="{D5CDD505-2E9C-101B-9397-08002B2CF9AE}" pid="13" name="TYPE_N_DATE">
    <vt:lpwstr>38020230705</vt:lpwstr>
  </property>
  <property fmtid="{D5CDD505-2E9C-101B-9397-08002B2CF9AE}" pid="14" name="WORDNUMPAGES">
    <vt:lpwstr>6</vt:lpwstr>
  </property>
  <property fmtid="{D5CDD505-2E9C-101B-9397-08002B2CF9AE}" pid="15" name="TYPE_ABS_DATE">
    <vt:lpwstr>380020230705</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29200734;28362589;28400049;28437031;28774341;29358283</vt:lpwstr>
  </property>
  <property fmtid="{D5CDD505-2E9C-101B-9397-08002B2CF9AE}" pid="36" name="LAWLISTTMP1">
    <vt:lpwstr>4216/013;019a</vt:lpwstr>
  </property>
  <property fmtid="{D5CDD505-2E9C-101B-9397-08002B2CF9AE}" pid="37" name="LAWLISTTMP2">
    <vt:lpwstr>70301/029.a;031</vt:lpwstr>
  </property>
  <property fmtid="{D5CDD505-2E9C-101B-9397-08002B2CF9AE}" pid="38" name="LAWLISTTMP3">
    <vt:lpwstr>70348/024.1</vt:lpwstr>
  </property>
</Properties>
</file>