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0E413C" w:rsidRPr="00001D81" w14:paraId="234FC56D" w14:textId="77777777" w:rsidTr="008459DA">
        <w:trPr>
          <w:gridAfter w:val="1"/>
          <w:wAfter w:w="99" w:type="dxa"/>
          <w:trHeight w:hRule="exact" w:val="418"/>
          <w:jc w:val="center"/>
        </w:trPr>
        <w:tc>
          <w:tcPr>
            <w:tcW w:w="8721" w:type="dxa"/>
            <w:gridSpan w:val="4"/>
          </w:tcPr>
          <w:p w14:paraId="1EE3C6D6" w14:textId="77777777" w:rsidR="000E413C" w:rsidRPr="00001D81" w:rsidRDefault="000E413C" w:rsidP="00B06874">
            <w:pPr>
              <w:pStyle w:val="a4"/>
              <w:jc w:val="center"/>
              <w:rPr>
                <w:rFonts w:ascii="Tahoma" w:hAnsi="Tahoma" w:cs="Tahoma"/>
                <w:color w:val="000080"/>
                <w:rtl/>
              </w:rPr>
            </w:pPr>
            <w:bookmarkStart w:id="0" w:name="LastJudge"/>
            <w:r w:rsidRPr="00001D81">
              <w:rPr>
                <w:rFonts w:ascii="Tahoma" w:hAnsi="Tahoma" w:cs="Tahoma"/>
                <w:b/>
                <w:bCs/>
                <w:color w:val="000080"/>
                <w:rtl/>
              </w:rPr>
              <w:t>בית משפט השלום בבאר שבע</w:t>
            </w:r>
          </w:p>
        </w:tc>
      </w:tr>
      <w:tr w:rsidR="000E413C" w:rsidRPr="00001D81" w14:paraId="132D9616" w14:textId="77777777" w:rsidTr="008459DA">
        <w:trPr>
          <w:gridAfter w:val="1"/>
          <w:wAfter w:w="99" w:type="dxa"/>
          <w:trHeight w:val="337"/>
          <w:jc w:val="center"/>
        </w:trPr>
        <w:tc>
          <w:tcPr>
            <w:tcW w:w="5055" w:type="dxa"/>
            <w:gridSpan w:val="3"/>
          </w:tcPr>
          <w:p w14:paraId="4655BD97" w14:textId="77777777" w:rsidR="000E413C" w:rsidRPr="00001D81" w:rsidRDefault="000E413C" w:rsidP="00B06874">
            <w:pPr>
              <w:rPr>
                <w:rFonts w:ascii="David" w:hAnsi="David"/>
                <w:b/>
                <w:bCs/>
                <w:sz w:val="28"/>
                <w:szCs w:val="28"/>
                <w:rtl/>
              </w:rPr>
            </w:pPr>
            <w:r w:rsidRPr="00001D81">
              <w:rPr>
                <w:rFonts w:ascii="David" w:hAnsi="David"/>
                <w:b/>
                <w:bCs/>
                <w:sz w:val="28"/>
                <w:szCs w:val="28"/>
                <w:rtl/>
              </w:rPr>
              <w:t>ת"פ 59017-02-21 מדינת ישראל נ' מויאל</w:t>
            </w:r>
          </w:p>
          <w:p w14:paraId="62571F46" w14:textId="77777777" w:rsidR="000E413C" w:rsidRPr="00001D81" w:rsidRDefault="000E413C" w:rsidP="00B06874">
            <w:pPr>
              <w:pStyle w:val="a4"/>
              <w:rPr>
                <w:rFonts w:cs="FrankRuehl"/>
                <w:sz w:val="28"/>
                <w:szCs w:val="28"/>
                <w:rtl/>
              </w:rPr>
            </w:pPr>
          </w:p>
        </w:tc>
        <w:tc>
          <w:tcPr>
            <w:tcW w:w="3666" w:type="dxa"/>
          </w:tcPr>
          <w:p w14:paraId="43579CF7" w14:textId="77777777" w:rsidR="000E413C" w:rsidRPr="00001D81" w:rsidRDefault="000E413C" w:rsidP="00B06874">
            <w:pPr>
              <w:pStyle w:val="a4"/>
              <w:jc w:val="right"/>
              <w:rPr>
                <w:rFonts w:cs="FrankRuehl"/>
                <w:sz w:val="28"/>
                <w:szCs w:val="28"/>
                <w:rtl/>
              </w:rPr>
            </w:pPr>
          </w:p>
        </w:tc>
      </w:tr>
      <w:tr w:rsidR="000E413C" w:rsidRPr="00001D81" w14:paraId="5D800E6A" w14:textId="77777777" w:rsidTr="008459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6E3821D" w14:textId="77777777" w:rsidR="000E413C" w:rsidRPr="00001D81" w:rsidRDefault="000E413C" w:rsidP="000E413C">
            <w:pPr>
              <w:jc w:val="both"/>
              <w:rPr>
                <w:rFonts w:ascii="David" w:hAnsi="David"/>
                <w:b/>
                <w:bCs/>
                <w:sz w:val="26"/>
                <w:szCs w:val="26"/>
              </w:rPr>
            </w:pPr>
            <w:r w:rsidRPr="00001D81">
              <w:rPr>
                <w:rFonts w:hint="cs"/>
                <w:rtl/>
              </w:rPr>
              <w:t xml:space="preserve"> </w:t>
            </w:r>
            <w:r w:rsidRPr="00001D81">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71036E3F" w14:textId="77777777" w:rsidR="000E413C" w:rsidRPr="00001D81" w:rsidRDefault="000E413C" w:rsidP="00B06874">
            <w:pPr>
              <w:rPr>
                <w:rFonts w:ascii="David" w:hAnsi="David"/>
                <w:b/>
                <w:bCs/>
                <w:sz w:val="26"/>
                <w:szCs w:val="26"/>
                <w:rtl/>
              </w:rPr>
            </w:pPr>
            <w:r w:rsidRPr="00001D81">
              <w:rPr>
                <w:rFonts w:ascii="David" w:hAnsi="David"/>
                <w:b/>
                <w:bCs/>
                <w:sz w:val="26"/>
                <w:szCs w:val="26"/>
                <w:rtl/>
              </w:rPr>
              <w:t>כבוד השופט  יניב בן הרוש</w:t>
            </w:r>
          </w:p>
          <w:p w14:paraId="2BA94D51" w14:textId="77777777" w:rsidR="000E413C" w:rsidRPr="00001D81" w:rsidRDefault="000E413C" w:rsidP="00B06874">
            <w:pPr>
              <w:rPr>
                <w:rFonts w:ascii="David" w:hAnsi="David"/>
                <w:b/>
                <w:bCs/>
                <w:sz w:val="26"/>
                <w:szCs w:val="26"/>
                <w:rtl/>
              </w:rPr>
            </w:pPr>
          </w:p>
          <w:p w14:paraId="1907DB98" w14:textId="77777777" w:rsidR="000E413C" w:rsidRPr="00001D81" w:rsidRDefault="000E413C" w:rsidP="000E413C">
            <w:pPr>
              <w:jc w:val="both"/>
              <w:rPr>
                <w:rFonts w:ascii="David" w:hAnsi="David"/>
                <w:b/>
                <w:bCs/>
                <w:sz w:val="26"/>
                <w:szCs w:val="26"/>
              </w:rPr>
            </w:pPr>
          </w:p>
        </w:tc>
      </w:tr>
      <w:tr w:rsidR="000E413C" w:rsidRPr="00001D81" w14:paraId="00C9E45D" w14:textId="77777777" w:rsidTr="008459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B5DB31" w14:textId="77777777" w:rsidR="000E413C" w:rsidRPr="00001D81" w:rsidRDefault="000E413C" w:rsidP="000E413C">
            <w:pPr>
              <w:jc w:val="both"/>
              <w:rPr>
                <w:rFonts w:ascii="David" w:hAnsi="David"/>
                <w:b/>
                <w:bCs/>
                <w:sz w:val="26"/>
                <w:szCs w:val="26"/>
              </w:rPr>
            </w:pPr>
            <w:bookmarkStart w:id="1" w:name="FirstAppellant"/>
            <w:bookmarkStart w:id="2" w:name="FirstLawyer"/>
            <w:r w:rsidRPr="00001D81">
              <w:rPr>
                <w:rFonts w:ascii="David" w:hAnsi="David"/>
                <w:b/>
                <w:bCs/>
                <w:sz w:val="26"/>
                <w:szCs w:val="26"/>
                <w:rtl/>
              </w:rPr>
              <w:t>בעניין:</w:t>
            </w:r>
          </w:p>
        </w:tc>
        <w:tc>
          <w:tcPr>
            <w:tcW w:w="3219" w:type="dxa"/>
            <w:tcBorders>
              <w:top w:val="nil"/>
              <w:left w:val="nil"/>
              <w:bottom w:val="nil"/>
              <w:right w:val="nil"/>
            </w:tcBorders>
            <w:shd w:val="clear" w:color="auto" w:fill="auto"/>
          </w:tcPr>
          <w:p w14:paraId="1FA6A2BF" w14:textId="77777777" w:rsidR="000E413C" w:rsidRPr="00001D81" w:rsidRDefault="000E413C" w:rsidP="000E413C">
            <w:pPr>
              <w:suppressLineNumbers/>
              <w:rPr>
                <w:b/>
                <w:bCs/>
              </w:rPr>
            </w:pPr>
            <w:r w:rsidRPr="00001D81">
              <w:rPr>
                <w:rFonts w:ascii="Arial" w:hAnsi="Arial" w:hint="cs"/>
                <w:b/>
                <w:bCs/>
                <w:sz w:val="26"/>
                <w:szCs w:val="26"/>
                <w:rtl/>
              </w:rPr>
              <w:t>ה</w:t>
            </w:r>
            <w:r w:rsidRPr="00001D81">
              <w:rPr>
                <w:rFonts w:ascii="Arial" w:hAnsi="Arial"/>
                <w:b/>
                <w:bCs/>
                <w:sz w:val="26"/>
                <w:szCs w:val="26"/>
                <w:rtl/>
              </w:rPr>
              <w:t>מאשימה</w:t>
            </w:r>
          </w:p>
          <w:p w14:paraId="56BE38DA" w14:textId="77777777" w:rsidR="000E413C" w:rsidRPr="00001D81" w:rsidRDefault="000E413C" w:rsidP="00B06874">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A97D743" w14:textId="77777777" w:rsidR="000E413C" w:rsidRPr="00001D81" w:rsidRDefault="000E413C" w:rsidP="000E413C">
            <w:pPr>
              <w:suppressLineNumbers/>
              <w:rPr>
                <w:rFonts w:ascii="Arial" w:hAnsi="Arial"/>
                <w:b/>
                <w:bCs/>
                <w:sz w:val="26"/>
                <w:szCs w:val="26"/>
                <w:rtl/>
              </w:rPr>
            </w:pPr>
            <w:r w:rsidRPr="00001D81">
              <w:rPr>
                <w:rFonts w:ascii="Arial" w:hAnsi="Arial"/>
                <w:b/>
                <w:bCs/>
                <w:sz w:val="26"/>
                <w:szCs w:val="26"/>
                <w:rtl/>
              </w:rPr>
              <w:t>מדינת ישראל</w:t>
            </w:r>
            <w:r w:rsidRPr="00001D81">
              <w:rPr>
                <w:rFonts w:ascii="Arial" w:hAnsi="Arial" w:hint="cs"/>
                <w:b/>
                <w:bCs/>
                <w:sz w:val="26"/>
                <w:szCs w:val="26"/>
                <w:rtl/>
              </w:rPr>
              <w:t xml:space="preserve">-תביעות נגב </w:t>
            </w:r>
          </w:p>
          <w:p w14:paraId="0E2A1DE7" w14:textId="77777777" w:rsidR="000E413C" w:rsidRPr="00001D81" w:rsidRDefault="000E413C" w:rsidP="000E413C">
            <w:pPr>
              <w:suppressLineNumbers/>
              <w:rPr>
                <w:b/>
                <w:bCs/>
              </w:rPr>
            </w:pPr>
            <w:r w:rsidRPr="00001D81">
              <w:rPr>
                <w:rFonts w:ascii="Arial" w:hAnsi="Arial"/>
                <w:b/>
                <w:bCs/>
                <w:sz w:val="26"/>
                <w:szCs w:val="26"/>
                <w:rtl/>
              </w:rPr>
              <w:t>ע"י ב"כ עוה"</w:t>
            </w:r>
            <w:r w:rsidRPr="00001D81">
              <w:rPr>
                <w:rFonts w:ascii="Arial" w:hAnsi="Arial" w:hint="cs"/>
                <w:b/>
                <w:bCs/>
                <w:sz w:val="26"/>
                <w:szCs w:val="26"/>
                <w:rtl/>
              </w:rPr>
              <w:t>ד תום נקש</w:t>
            </w:r>
          </w:p>
        </w:tc>
      </w:tr>
      <w:bookmarkEnd w:id="1"/>
      <w:bookmarkEnd w:id="2"/>
      <w:tr w:rsidR="000E413C" w:rsidRPr="00001D81" w14:paraId="6F795C56" w14:textId="77777777" w:rsidTr="008459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4A7529" w14:textId="77777777" w:rsidR="000E413C" w:rsidRPr="00001D81" w:rsidRDefault="000E413C" w:rsidP="000E413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F7D9AA3" w14:textId="77777777" w:rsidR="000E413C" w:rsidRPr="00001D81" w:rsidRDefault="000E413C" w:rsidP="000E413C">
            <w:pPr>
              <w:jc w:val="center"/>
              <w:rPr>
                <w:rFonts w:ascii="David" w:hAnsi="David"/>
                <w:b/>
                <w:bCs/>
                <w:sz w:val="26"/>
                <w:szCs w:val="26"/>
                <w:rtl/>
              </w:rPr>
            </w:pPr>
          </w:p>
          <w:p w14:paraId="00A21E02" w14:textId="77777777" w:rsidR="000E413C" w:rsidRPr="00001D81" w:rsidRDefault="000E413C" w:rsidP="000E413C">
            <w:pPr>
              <w:jc w:val="center"/>
              <w:rPr>
                <w:rFonts w:ascii="David" w:hAnsi="David"/>
                <w:b/>
                <w:bCs/>
                <w:sz w:val="26"/>
                <w:szCs w:val="26"/>
                <w:rtl/>
              </w:rPr>
            </w:pPr>
            <w:r w:rsidRPr="00001D81">
              <w:rPr>
                <w:rFonts w:ascii="David" w:hAnsi="David"/>
                <w:b/>
                <w:bCs/>
                <w:sz w:val="26"/>
                <w:szCs w:val="26"/>
                <w:rtl/>
              </w:rPr>
              <w:t>נגד</w:t>
            </w:r>
          </w:p>
          <w:p w14:paraId="6665EE71" w14:textId="77777777" w:rsidR="000E413C" w:rsidRPr="00001D81" w:rsidRDefault="000E413C" w:rsidP="000E413C">
            <w:pPr>
              <w:jc w:val="both"/>
              <w:rPr>
                <w:rFonts w:ascii="David" w:hAnsi="David"/>
                <w:b/>
                <w:bCs/>
                <w:sz w:val="26"/>
                <w:szCs w:val="26"/>
              </w:rPr>
            </w:pPr>
          </w:p>
        </w:tc>
      </w:tr>
      <w:tr w:rsidR="000E413C" w:rsidRPr="00001D81" w14:paraId="58E00BC5" w14:textId="77777777" w:rsidTr="008459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D83B24" w14:textId="77777777" w:rsidR="000E413C" w:rsidRPr="00001D81" w:rsidRDefault="000E413C" w:rsidP="00B06874">
            <w:pPr>
              <w:rPr>
                <w:rFonts w:ascii="David" w:hAnsi="David"/>
                <w:b/>
                <w:bCs/>
                <w:sz w:val="26"/>
                <w:szCs w:val="26"/>
                <w:rtl/>
              </w:rPr>
            </w:pPr>
          </w:p>
        </w:tc>
        <w:tc>
          <w:tcPr>
            <w:tcW w:w="3219" w:type="dxa"/>
            <w:tcBorders>
              <w:top w:val="nil"/>
              <w:left w:val="nil"/>
              <w:bottom w:val="nil"/>
              <w:right w:val="nil"/>
            </w:tcBorders>
            <w:shd w:val="clear" w:color="auto" w:fill="auto"/>
          </w:tcPr>
          <w:p w14:paraId="0B619D23" w14:textId="77777777" w:rsidR="000E413C" w:rsidRPr="00001D81" w:rsidRDefault="000E413C" w:rsidP="00B06874">
            <w:pPr>
              <w:rPr>
                <w:rFonts w:ascii="Arial" w:hAnsi="Arial"/>
                <w:b/>
                <w:bCs/>
                <w:sz w:val="26"/>
                <w:szCs w:val="26"/>
                <w:rtl/>
              </w:rPr>
            </w:pPr>
            <w:r w:rsidRPr="00001D8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AD5FF03" w14:textId="77777777" w:rsidR="000E413C" w:rsidRPr="00001D81" w:rsidRDefault="000E413C" w:rsidP="000E413C">
            <w:pPr>
              <w:suppressLineNumbers/>
              <w:rPr>
                <w:rFonts w:ascii="Arial" w:hAnsi="Arial"/>
                <w:b/>
                <w:bCs/>
                <w:sz w:val="26"/>
                <w:szCs w:val="26"/>
                <w:rtl/>
              </w:rPr>
            </w:pPr>
            <w:r w:rsidRPr="00001D81">
              <w:rPr>
                <w:rFonts w:ascii="Arial" w:hAnsi="Arial"/>
                <w:b/>
                <w:bCs/>
                <w:sz w:val="26"/>
                <w:szCs w:val="26"/>
                <w:rtl/>
              </w:rPr>
              <w:t>אלירן מויאל</w:t>
            </w:r>
            <w:r w:rsidRPr="00001D81">
              <w:rPr>
                <w:rFonts w:ascii="Arial" w:hAnsi="Arial" w:hint="cs"/>
                <w:b/>
                <w:bCs/>
                <w:sz w:val="26"/>
                <w:szCs w:val="26"/>
                <w:rtl/>
              </w:rPr>
              <w:t xml:space="preserve">-בעצמו </w:t>
            </w:r>
          </w:p>
          <w:p w14:paraId="3EA4F1E1" w14:textId="77777777" w:rsidR="000E413C" w:rsidRPr="00001D81" w:rsidRDefault="000E413C" w:rsidP="000E413C">
            <w:pPr>
              <w:suppressLineNumbers/>
              <w:rPr>
                <w:b/>
                <w:bCs/>
              </w:rPr>
            </w:pPr>
            <w:r w:rsidRPr="00001D81">
              <w:rPr>
                <w:rFonts w:ascii="Arial" w:hAnsi="Arial"/>
                <w:b/>
                <w:bCs/>
                <w:sz w:val="26"/>
                <w:szCs w:val="26"/>
                <w:rtl/>
              </w:rPr>
              <w:t>ע"י ב"כ עוה"</w:t>
            </w:r>
            <w:r w:rsidRPr="00001D81">
              <w:rPr>
                <w:rFonts w:ascii="Arial" w:hAnsi="Arial" w:hint="cs"/>
                <w:b/>
                <w:bCs/>
                <w:sz w:val="26"/>
                <w:szCs w:val="26"/>
                <w:rtl/>
              </w:rPr>
              <w:t>ד אלי גורליק</w:t>
            </w:r>
          </w:p>
        </w:tc>
      </w:tr>
    </w:tbl>
    <w:p w14:paraId="263065E6" w14:textId="77777777" w:rsidR="008459DA" w:rsidRDefault="008459DA" w:rsidP="00001D81">
      <w:pPr>
        <w:rPr>
          <w:sz w:val="26"/>
          <w:szCs w:val="26"/>
          <w:rtl/>
        </w:rPr>
      </w:pPr>
    </w:p>
    <w:p w14:paraId="29C20086" w14:textId="77777777" w:rsidR="008459DA" w:rsidRPr="008459DA" w:rsidRDefault="008459DA" w:rsidP="008459DA">
      <w:pPr>
        <w:spacing w:after="120" w:line="240" w:lineRule="exact"/>
        <w:ind w:left="283" w:hanging="283"/>
        <w:jc w:val="both"/>
        <w:rPr>
          <w:rFonts w:ascii="FrankRuehl" w:hAnsi="FrankRuehl" w:cs="FrankRuehl"/>
          <w:rtl/>
        </w:rPr>
      </w:pPr>
    </w:p>
    <w:p w14:paraId="129AD199" w14:textId="77777777" w:rsidR="00A60384" w:rsidRPr="00A60384" w:rsidRDefault="00A60384" w:rsidP="00A60384">
      <w:pPr>
        <w:spacing w:before="120" w:after="120" w:line="240" w:lineRule="exact"/>
        <w:ind w:left="283" w:hanging="283"/>
        <w:jc w:val="both"/>
        <w:rPr>
          <w:rFonts w:ascii="FrankRuehl" w:hAnsi="FrankRuehl" w:cs="FrankRuehl"/>
          <w:rtl/>
        </w:rPr>
      </w:pPr>
    </w:p>
    <w:p w14:paraId="5867A7E8" w14:textId="77777777" w:rsidR="007323D7" w:rsidRDefault="007323D7" w:rsidP="007323D7">
      <w:pPr>
        <w:rPr>
          <w:sz w:val="26"/>
          <w:szCs w:val="26"/>
          <w:rtl/>
        </w:rPr>
      </w:pPr>
      <w:bookmarkStart w:id="3" w:name="LawTable"/>
      <w:bookmarkEnd w:id="3"/>
    </w:p>
    <w:p w14:paraId="1BA15A82" w14:textId="77777777" w:rsidR="007323D7" w:rsidRPr="007323D7" w:rsidRDefault="007323D7" w:rsidP="007323D7">
      <w:pPr>
        <w:spacing w:before="120" w:after="120" w:line="240" w:lineRule="exact"/>
        <w:ind w:left="283" w:hanging="283"/>
        <w:jc w:val="both"/>
        <w:rPr>
          <w:rFonts w:ascii="FrankRuehl" w:hAnsi="FrankRuehl" w:cs="FrankRuehl"/>
          <w:rtl/>
        </w:rPr>
      </w:pPr>
    </w:p>
    <w:p w14:paraId="1819DDEF" w14:textId="77777777" w:rsidR="007323D7" w:rsidRPr="007323D7" w:rsidRDefault="007323D7" w:rsidP="007323D7">
      <w:pPr>
        <w:spacing w:before="120" w:after="120" w:line="240" w:lineRule="exact"/>
        <w:ind w:left="283" w:hanging="283"/>
        <w:jc w:val="both"/>
        <w:rPr>
          <w:rFonts w:ascii="FrankRuehl" w:hAnsi="FrankRuehl" w:cs="FrankRuehl"/>
          <w:rtl/>
        </w:rPr>
      </w:pPr>
    </w:p>
    <w:p w14:paraId="3363CFD9" w14:textId="77777777" w:rsidR="007323D7" w:rsidRPr="007323D7" w:rsidRDefault="007323D7" w:rsidP="007323D7">
      <w:pPr>
        <w:spacing w:before="120" w:after="120" w:line="240" w:lineRule="exact"/>
        <w:ind w:left="283" w:hanging="283"/>
        <w:jc w:val="both"/>
        <w:rPr>
          <w:rFonts w:ascii="FrankRuehl" w:hAnsi="FrankRuehl" w:cs="FrankRuehl"/>
          <w:rtl/>
        </w:rPr>
      </w:pPr>
      <w:r w:rsidRPr="007323D7">
        <w:rPr>
          <w:rFonts w:ascii="FrankRuehl" w:hAnsi="FrankRuehl" w:cs="FrankRuehl"/>
          <w:rtl/>
        </w:rPr>
        <w:t xml:space="preserve">חקיקה שאוזכרה: </w:t>
      </w:r>
    </w:p>
    <w:p w14:paraId="17299040" w14:textId="77777777" w:rsidR="007323D7" w:rsidRPr="007323D7" w:rsidRDefault="007323D7" w:rsidP="007323D7">
      <w:pPr>
        <w:spacing w:before="120" w:after="120" w:line="240" w:lineRule="exact"/>
        <w:ind w:left="283" w:hanging="283"/>
        <w:jc w:val="both"/>
        <w:rPr>
          <w:rFonts w:ascii="FrankRuehl" w:hAnsi="FrankRuehl" w:cs="FrankRuehl"/>
          <w:rtl/>
        </w:rPr>
      </w:pPr>
      <w:hyperlink r:id="rId7" w:history="1">
        <w:r w:rsidRPr="007323D7">
          <w:rPr>
            <w:rFonts w:ascii="FrankRuehl" w:hAnsi="FrankRuehl" w:cs="FrankRuehl"/>
            <w:color w:val="0000FF"/>
            <w:rtl/>
          </w:rPr>
          <w:t>פקודת הסמים המסוכנים [נוסח חדש], תשל"ג-1973</w:t>
        </w:r>
      </w:hyperlink>
      <w:r w:rsidRPr="007323D7">
        <w:rPr>
          <w:rFonts w:ascii="FrankRuehl" w:hAnsi="FrankRuehl" w:cs="FrankRuehl"/>
          <w:rtl/>
        </w:rPr>
        <w:t xml:space="preserve">: סע'  </w:t>
      </w:r>
      <w:hyperlink r:id="rId8" w:history="1">
        <w:r w:rsidRPr="007323D7">
          <w:rPr>
            <w:rFonts w:ascii="FrankRuehl" w:hAnsi="FrankRuehl" w:cs="FrankRuehl"/>
            <w:color w:val="0000FF"/>
            <w:rtl/>
          </w:rPr>
          <w:t>7(א)</w:t>
        </w:r>
      </w:hyperlink>
      <w:r w:rsidRPr="007323D7">
        <w:rPr>
          <w:rFonts w:ascii="FrankRuehl" w:hAnsi="FrankRuehl" w:cs="FrankRuehl"/>
          <w:rtl/>
        </w:rPr>
        <w:t xml:space="preserve">, </w:t>
      </w:r>
      <w:hyperlink r:id="rId9" w:history="1">
        <w:r w:rsidRPr="007323D7">
          <w:rPr>
            <w:rFonts w:ascii="FrankRuehl" w:hAnsi="FrankRuehl" w:cs="FrankRuehl"/>
            <w:color w:val="0000FF"/>
            <w:rtl/>
          </w:rPr>
          <w:t>7(ג)</w:t>
        </w:r>
      </w:hyperlink>
    </w:p>
    <w:p w14:paraId="308FA79D" w14:textId="77777777" w:rsidR="007323D7" w:rsidRPr="007323D7" w:rsidRDefault="007323D7" w:rsidP="007323D7">
      <w:pPr>
        <w:spacing w:before="120" w:after="120" w:line="240" w:lineRule="exact"/>
        <w:ind w:left="283" w:hanging="283"/>
        <w:jc w:val="both"/>
        <w:rPr>
          <w:rFonts w:ascii="FrankRuehl" w:hAnsi="FrankRuehl" w:cs="FrankRuehl"/>
          <w:rtl/>
        </w:rPr>
      </w:pPr>
      <w:hyperlink r:id="rId10" w:history="1">
        <w:r w:rsidRPr="007323D7">
          <w:rPr>
            <w:rFonts w:ascii="FrankRuehl" w:hAnsi="FrankRuehl" w:cs="FrankRuehl"/>
            <w:color w:val="0000FF"/>
            <w:rtl/>
          </w:rPr>
          <w:t>חוק העונשין, תשל"ז-1977</w:t>
        </w:r>
      </w:hyperlink>
      <w:r w:rsidRPr="007323D7">
        <w:rPr>
          <w:rFonts w:ascii="FrankRuehl" w:hAnsi="FrankRuehl" w:cs="FrankRuehl"/>
          <w:rtl/>
        </w:rPr>
        <w:t xml:space="preserve">: סע'  </w:t>
      </w:r>
      <w:hyperlink r:id="rId11" w:history="1">
        <w:r w:rsidRPr="007323D7">
          <w:rPr>
            <w:rFonts w:ascii="FrankRuehl" w:hAnsi="FrankRuehl" w:cs="FrankRuehl"/>
            <w:color w:val="0000FF"/>
            <w:rtl/>
          </w:rPr>
          <w:t>40ט(א)(3)</w:t>
        </w:r>
      </w:hyperlink>
    </w:p>
    <w:p w14:paraId="121E0D00" w14:textId="77777777" w:rsidR="007323D7" w:rsidRPr="007323D7" w:rsidRDefault="007323D7" w:rsidP="007323D7">
      <w:pPr>
        <w:rPr>
          <w:sz w:val="26"/>
          <w:szCs w:val="26"/>
          <w:rtl/>
        </w:rPr>
      </w:pPr>
      <w:bookmarkStart w:id="4" w:name="LawTable_End"/>
      <w:bookmarkEnd w:id="4"/>
    </w:p>
    <w:p w14:paraId="25E5801C" w14:textId="77777777" w:rsidR="000E413C" w:rsidRPr="00A60384" w:rsidRDefault="000E413C" w:rsidP="00A6038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413C" w14:paraId="510FBF2F" w14:textId="77777777" w:rsidTr="000E413C">
        <w:trPr>
          <w:trHeight w:val="355"/>
          <w:jc w:val="center"/>
        </w:trPr>
        <w:tc>
          <w:tcPr>
            <w:tcW w:w="8820" w:type="dxa"/>
            <w:tcBorders>
              <w:top w:val="nil"/>
              <w:left w:val="nil"/>
              <w:bottom w:val="nil"/>
              <w:right w:val="nil"/>
            </w:tcBorders>
            <w:shd w:val="clear" w:color="auto" w:fill="auto"/>
          </w:tcPr>
          <w:p w14:paraId="7070741B" w14:textId="77777777" w:rsidR="00001D81" w:rsidRPr="00001D81" w:rsidRDefault="00001D81" w:rsidP="00001D81">
            <w:pPr>
              <w:jc w:val="center"/>
              <w:rPr>
                <w:rFonts w:ascii="David" w:hAnsi="David"/>
                <w:b/>
                <w:bCs/>
                <w:sz w:val="32"/>
                <w:szCs w:val="32"/>
                <w:u w:val="single"/>
                <w:rtl/>
              </w:rPr>
            </w:pPr>
            <w:bookmarkStart w:id="5" w:name="PsakDin" w:colFirst="0" w:colLast="0"/>
            <w:bookmarkEnd w:id="0"/>
            <w:r w:rsidRPr="00001D81">
              <w:rPr>
                <w:rFonts w:ascii="David" w:hAnsi="David"/>
                <w:b/>
                <w:bCs/>
                <w:sz w:val="32"/>
                <w:szCs w:val="32"/>
                <w:u w:val="single"/>
                <w:rtl/>
              </w:rPr>
              <w:t>גזר דין</w:t>
            </w:r>
          </w:p>
          <w:p w14:paraId="25232A05" w14:textId="77777777" w:rsidR="000E413C" w:rsidRPr="00001D81" w:rsidRDefault="000E413C" w:rsidP="00001D81">
            <w:pPr>
              <w:jc w:val="center"/>
              <w:rPr>
                <w:rFonts w:ascii="David" w:hAnsi="David"/>
                <w:bCs/>
                <w:sz w:val="32"/>
                <w:szCs w:val="32"/>
                <w:u w:val="single"/>
                <w:rtl/>
              </w:rPr>
            </w:pPr>
          </w:p>
        </w:tc>
      </w:tr>
      <w:bookmarkEnd w:id="5"/>
    </w:tbl>
    <w:p w14:paraId="64263ED8" w14:textId="77777777" w:rsidR="000E413C" w:rsidRPr="000F2247" w:rsidRDefault="000E413C" w:rsidP="000E413C">
      <w:pPr>
        <w:rPr>
          <w:rFonts w:ascii="Arial" w:hAnsi="Arial"/>
          <w:b/>
          <w:bCs/>
          <w:sz w:val="26"/>
          <w:szCs w:val="26"/>
          <w:rtl/>
        </w:rPr>
      </w:pPr>
    </w:p>
    <w:p w14:paraId="2A45DD54" w14:textId="77777777" w:rsidR="000E413C" w:rsidRDefault="000E413C" w:rsidP="000E413C">
      <w:pPr>
        <w:spacing w:line="360" w:lineRule="auto"/>
        <w:jc w:val="both"/>
        <w:rPr>
          <w:rFonts w:ascii="David" w:hAnsi="David"/>
          <w:b/>
          <w:bCs/>
          <w:u w:val="single"/>
        </w:rPr>
      </w:pPr>
      <w:r>
        <w:rPr>
          <w:rFonts w:ascii="David" w:hAnsi="David"/>
          <w:b/>
          <w:bCs/>
          <w:u w:val="single"/>
          <w:rtl/>
        </w:rPr>
        <w:t>רקע</w:t>
      </w:r>
    </w:p>
    <w:p w14:paraId="5548B8D4" w14:textId="77777777" w:rsidR="000E413C" w:rsidRDefault="000E413C" w:rsidP="000E413C">
      <w:pPr>
        <w:pStyle w:val="aa"/>
        <w:numPr>
          <w:ilvl w:val="0"/>
          <w:numId w:val="2"/>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הודה והורשע ביום  27.6.21, במסגרת הסדר, בעובדות כתב האישום המתוקן בעבירת החזקת סם מסוכן שלא לצריכה עצמית – עבירה לפי </w:t>
      </w:r>
      <w:hyperlink r:id="rId12" w:history="1">
        <w:bookmarkStart w:id="7" w:name="Seif3"/>
        <w:r w:rsidR="008459DA" w:rsidRPr="008459DA">
          <w:rPr>
            <w:rStyle w:val="Hyperlink"/>
            <w:rFonts w:ascii="David" w:hAnsi="David" w:cs="David"/>
            <w:sz w:val="24"/>
            <w:szCs w:val="24"/>
            <w:rtl/>
          </w:rPr>
          <w:t xml:space="preserve">סעיף </w:t>
        </w:r>
        <w:bookmarkEnd w:id="7"/>
        <w:r w:rsidR="008459DA" w:rsidRPr="008459DA">
          <w:rPr>
            <w:rStyle w:val="Hyperlink"/>
            <w:rFonts w:ascii="David" w:hAnsi="David" w:cs="David"/>
            <w:sz w:val="24"/>
            <w:szCs w:val="24"/>
            <w:rtl/>
          </w:rPr>
          <w:t>7(א)</w:t>
        </w:r>
      </w:hyperlink>
      <w:r>
        <w:rPr>
          <w:rFonts w:ascii="David" w:hAnsi="David" w:cs="David"/>
          <w:sz w:val="24"/>
          <w:szCs w:val="24"/>
          <w:rtl/>
        </w:rPr>
        <w:t xml:space="preserve"> + </w:t>
      </w:r>
      <w:hyperlink r:id="rId13" w:history="1">
        <w:r w:rsidR="008459DA" w:rsidRPr="008459DA">
          <w:rPr>
            <w:rStyle w:val="Hyperlink"/>
            <w:rFonts w:ascii="David" w:hAnsi="David" w:cs="David"/>
            <w:sz w:val="24"/>
            <w:szCs w:val="24"/>
            <w:rtl/>
          </w:rPr>
          <w:t>7(ג)</w:t>
        </w:r>
      </w:hyperlink>
      <w:r>
        <w:rPr>
          <w:rFonts w:ascii="David" w:hAnsi="David" w:cs="David"/>
          <w:sz w:val="24"/>
          <w:szCs w:val="24"/>
          <w:rtl/>
        </w:rPr>
        <w:t xml:space="preserve"> רישא ל</w:t>
      </w:r>
      <w:hyperlink r:id="rId14" w:history="1">
        <w:r w:rsidR="00001D81" w:rsidRPr="00001D8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w:t>
      </w:r>
    </w:p>
    <w:p w14:paraId="61E78AA2" w14:textId="77777777" w:rsidR="000E413C" w:rsidRDefault="000E413C" w:rsidP="000E413C">
      <w:pPr>
        <w:pStyle w:val="aa"/>
        <w:spacing w:after="0" w:line="360" w:lineRule="auto"/>
        <w:jc w:val="both"/>
        <w:rPr>
          <w:rFonts w:ascii="David" w:hAnsi="David" w:cs="David"/>
          <w:sz w:val="24"/>
          <w:szCs w:val="24"/>
        </w:rPr>
      </w:pPr>
    </w:p>
    <w:p w14:paraId="0ABE5F18" w14:textId="77777777" w:rsidR="000E413C" w:rsidRDefault="000E413C" w:rsidP="000E413C">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מכתב האישום המתוקן עולה כי הנאשם החזיק בתוך תחתוניו 3 יחידות סם מסוכן מסוג קוקאין במשקל 1.2 גרם שלא לצריכתו העצמית.  </w:t>
      </w:r>
    </w:p>
    <w:p w14:paraId="4452C0F5" w14:textId="77777777" w:rsidR="000E413C" w:rsidRDefault="000E413C" w:rsidP="000E413C">
      <w:pPr>
        <w:pStyle w:val="aa"/>
        <w:spacing w:after="0" w:line="360" w:lineRule="auto"/>
        <w:jc w:val="both"/>
        <w:rPr>
          <w:rFonts w:ascii="David" w:hAnsi="David" w:cs="David"/>
          <w:sz w:val="24"/>
          <w:szCs w:val="24"/>
        </w:rPr>
      </w:pPr>
    </w:p>
    <w:p w14:paraId="35C15B69" w14:textId="77777777" w:rsidR="000E413C" w:rsidRDefault="000E413C" w:rsidP="000E413C">
      <w:pPr>
        <w:pStyle w:val="aa"/>
        <w:numPr>
          <w:ilvl w:val="0"/>
          <w:numId w:val="2"/>
        </w:numPr>
        <w:spacing w:after="0" w:line="360" w:lineRule="auto"/>
        <w:ind w:hanging="352"/>
        <w:jc w:val="both"/>
        <w:rPr>
          <w:rFonts w:ascii="David" w:hAnsi="David" w:cs="David"/>
          <w:sz w:val="24"/>
          <w:szCs w:val="24"/>
        </w:rPr>
      </w:pPr>
      <w:bookmarkStart w:id="8" w:name="ABSTRACT_END"/>
      <w:bookmarkEnd w:id="8"/>
      <w:r>
        <w:rPr>
          <w:rFonts w:ascii="David" w:hAnsi="David" w:cs="David"/>
          <w:sz w:val="24"/>
          <w:szCs w:val="24"/>
          <w:rtl/>
        </w:rPr>
        <w:t xml:space="preserve">במסגרת ההסדר סוכם כי הצדדים יטענו לעונש באופן פתוח.  </w:t>
      </w:r>
    </w:p>
    <w:p w14:paraId="55DC8DE8" w14:textId="77777777" w:rsidR="000E413C" w:rsidRDefault="000E413C" w:rsidP="000E413C">
      <w:pPr>
        <w:pStyle w:val="aa"/>
        <w:rPr>
          <w:rFonts w:ascii="David" w:hAnsi="David" w:cs="David"/>
          <w:sz w:val="24"/>
          <w:szCs w:val="24"/>
        </w:rPr>
      </w:pPr>
    </w:p>
    <w:p w14:paraId="093CD10E" w14:textId="77777777" w:rsidR="000E413C" w:rsidRDefault="000E413C" w:rsidP="000E413C">
      <w:pPr>
        <w:spacing w:line="360" w:lineRule="auto"/>
        <w:jc w:val="both"/>
        <w:rPr>
          <w:rFonts w:ascii="David" w:hAnsi="David"/>
          <w:b/>
          <w:bCs/>
          <w:u w:val="single"/>
          <w:rtl/>
        </w:rPr>
      </w:pPr>
      <w:r>
        <w:rPr>
          <w:rFonts w:ascii="David" w:hAnsi="David"/>
          <w:b/>
          <w:bCs/>
          <w:u w:val="single"/>
          <w:rtl/>
        </w:rPr>
        <w:t>תסקירי שירות המבחן</w:t>
      </w:r>
    </w:p>
    <w:p w14:paraId="7D2CBC68" w14:textId="77777777" w:rsidR="000E413C" w:rsidRDefault="000E413C" w:rsidP="000E413C">
      <w:pPr>
        <w:pStyle w:val="aa"/>
        <w:spacing w:after="0" w:line="360" w:lineRule="auto"/>
        <w:jc w:val="both"/>
        <w:rPr>
          <w:rFonts w:ascii="David" w:hAnsi="David" w:cs="David"/>
          <w:sz w:val="24"/>
          <w:szCs w:val="24"/>
        </w:rPr>
      </w:pPr>
    </w:p>
    <w:p w14:paraId="3844D612" w14:textId="77777777" w:rsidR="000E413C" w:rsidRDefault="000E413C" w:rsidP="000E413C">
      <w:pPr>
        <w:pStyle w:val="aa"/>
        <w:numPr>
          <w:ilvl w:val="0"/>
          <w:numId w:val="2"/>
        </w:numPr>
        <w:spacing w:after="0" w:line="360" w:lineRule="auto"/>
        <w:ind w:hanging="352"/>
        <w:jc w:val="both"/>
        <w:rPr>
          <w:rFonts w:ascii="David" w:hAnsi="David" w:cs="David"/>
          <w:sz w:val="24"/>
          <w:szCs w:val="24"/>
        </w:rPr>
      </w:pPr>
      <w:r>
        <w:rPr>
          <w:rFonts w:ascii="David" w:hAnsi="David" w:cs="David"/>
          <w:sz w:val="24"/>
          <w:szCs w:val="24"/>
          <w:rtl/>
        </w:rPr>
        <w:lastRenderedPageBreak/>
        <w:t xml:space="preserve">ביום 31.1.22 התקבל התסקיר הראשון בעניינו של הנאשם  ממנו עלה כי הנאשם צרך סמים מגיל צעיר. השתלב מיוזמתו במהלך אוגוסט 21, בקהילה הטיפולית "רטורנו". בחודש ינואר 22 הושעה מהקהילה. אך בסמוך לאחר מכן יצר קשר עם גורמי הקהילה על מנת להשתלב שם בשנית. הנאשם לקח אחריות על מעשיו בפני שירות המבחן והביע רצון לשוב ל"רטורנו". שירות המבחן התרשם מחשיבות שילובו בחזרה ב"רטורנו", ולפיכך המליץ על דחיית הדיון על מנת לבחון השתלבותו שם. </w:t>
      </w:r>
    </w:p>
    <w:p w14:paraId="43D546C8" w14:textId="77777777" w:rsidR="000E413C" w:rsidRDefault="000E413C" w:rsidP="000E413C">
      <w:pPr>
        <w:pStyle w:val="aa"/>
        <w:spacing w:after="0" w:line="360" w:lineRule="auto"/>
        <w:jc w:val="both"/>
        <w:rPr>
          <w:rFonts w:ascii="David" w:hAnsi="David" w:cs="David"/>
          <w:sz w:val="24"/>
          <w:szCs w:val="24"/>
        </w:rPr>
      </w:pPr>
    </w:p>
    <w:p w14:paraId="6809431E" w14:textId="77777777" w:rsidR="000E413C" w:rsidRDefault="000E413C" w:rsidP="000E413C">
      <w:pPr>
        <w:pStyle w:val="aa"/>
        <w:numPr>
          <w:ilvl w:val="0"/>
          <w:numId w:val="2"/>
        </w:numPr>
        <w:spacing w:after="0" w:line="360" w:lineRule="auto"/>
        <w:ind w:hanging="352"/>
        <w:jc w:val="both"/>
        <w:rPr>
          <w:rFonts w:ascii="David" w:hAnsi="David" w:cs="David"/>
          <w:sz w:val="24"/>
          <w:szCs w:val="24"/>
        </w:rPr>
      </w:pPr>
      <w:r>
        <w:rPr>
          <w:rFonts w:ascii="David" w:hAnsi="David" w:cs="David"/>
          <w:sz w:val="24"/>
          <w:szCs w:val="24"/>
          <w:rtl/>
        </w:rPr>
        <w:t xml:space="preserve">ביום 11.7.22 הגיש שירות המבחן תסקיר משלים ממנו עלה כי הנאשם שולב ב"רטורנו" בהצלחה רבה וכי כיום משולב בתעסוקה ונמצא בשלב המתקדם ביותר, כך שעתיד בזמן הקרוב לסיים את הטיפול בקהילה ולהשתלב בהוסטל. שירות המבחן המליץ על נקיטה בגישה שיקומית, על מנת לאפשר לנאשם להשתלב בהוסטל ובצד האמור להטיל מאסר מותנה מרתיע.  </w:t>
      </w:r>
    </w:p>
    <w:p w14:paraId="4660B548" w14:textId="77777777" w:rsidR="000E413C" w:rsidRDefault="000E413C" w:rsidP="000E413C">
      <w:pPr>
        <w:pStyle w:val="aa"/>
        <w:spacing w:after="0" w:line="360" w:lineRule="auto"/>
        <w:ind w:left="368"/>
        <w:jc w:val="both"/>
        <w:rPr>
          <w:rFonts w:ascii="David" w:hAnsi="David" w:cs="David"/>
          <w:b/>
          <w:bCs/>
          <w:sz w:val="24"/>
          <w:szCs w:val="24"/>
          <w:u w:val="single"/>
        </w:rPr>
      </w:pPr>
      <w:r>
        <w:rPr>
          <w:rFonts w:ascii="David" w:hAnsi="David" w:cs="David"/>
          <w:sz w:val="24"/>
          <w:szCs w:val="24"/>
          <w:rtl/>
        </w:rPr>
        <w:t xml:space="preserve"> </w:t>
      </w:r>
    </w:p>
    <w:p w14:paraId="07176DC4" w14:textId="77777777" w:rsidR="000E413C" w:rsidRDefault="000E413C" w:rsidP="000E413C">
      <w:pPr>
        <w:spacing w:line="360" w:lineRule="auto"/>
        <w:jc w:val="both"/>
        <w:rPr>
          <w:rFonts w:ascii="David" w:hAnsi="David"/>
          <w:b/>
          <w:bCs/>
          <w:u w:val="single"/>
          <w:rtl/>
        </w:rPr>
      </w:pPr>
      <w:r>
        <w:rPr>
          <w:rFonts w:ascii="David" w:hAnsi="David"/>
          <w:b/>
          <w:bCs/>
          <w:u w:val="single"/>
          <w:rtl/>
        </w:rPr>
        <w:t>טיעוני הצדדים:</w:t>
      </w:r>
    </w:p>
    <w:p w14:paraId="28DAAD2E" w14:textId="77777777" w:rsidR="000E413C" w:rsidRDefault="000E413C" w:rsidP="000E413C">
      <w:pPr>
        <w:spacing w:line="360" w:lineRule="auto"/>
        <w:ind w:left="360"/>
        <w:jc w:val="both"/>
        <w:rPr>
          <w:rFonts w:ascii="David" w:hAnsi="David"/>
          <w:b/>
          <w:bCs/>
          <w:u w:val="single"/>
          <w:rtl/>
        </w:rPr>
      </w:pPr>
    </w:p>
    <w:p w14:paraId="6832814B"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הפנה לכך שהנאשם החזיק בסם מסוכן שלא לצריכתו העצמית. הפנה לנזק שהיה עלול להיגרם כתוצאה מהפצת הסם.  עתר למתחם של 7 עד 18 חודשי מאסר. ביקש שלא לאמץ את המלצת שירות המבחן משום שאינה מביאה בחשבון את חומרת העבירות.  ב"כ המאשימה הפנה ל</w:t>
      </w:r>
      <w:hyperlink r:id="rId15" w:history="1">
        <w:r w:rsidR="00001D81" w:rsidRPr="00001D81">
          <w:rPr>
            <w:rFonts w:ascii="David" w:hAnsi="David" w:cs="David"/>
            <w:color w:val="0000FF"/>
            <w:sz w:val="24"/>
            <w:szCs w:val="24"/>
            <w:u w:val="single"/>
            <w:rtl/>
          </w:rPr>
          <w:t>רע"פ 747/14</w:t>
        </w:r>
      </w:hyperlink>
      <w:r>
        <w:rPr>
          <w:rFonts w:ascii="David" w:hAnsi="David" w:cs="David"/>
          <w:sz w:val="24"/>
          <w:szCs w:val="24"/>
          <w:rtl/>
        </w:rPr>
        <w:t xml:space="preserve"> </w:t>
      </w:r>
      <w:r>
        <w:rPr>
          <w:rFonts w:ascii="David" w:hAnsi="David" w:cs="David"/>
          <w:b/>
          <w:bCs/>
          <w:sz w:val="24"/>
          <w:szCs w:val="24"/>
          <w:rtl/>
        </w:rPr>
        <w:t>אלי לוי נ' מדינת ישראל</w:t>
      </w:r>
      <w:r>
        <w:rPr>
          <w:rFonts w:ascii="David" w:hAnsi="David" w:cs="David"/>
          <w:sz w:val="24"/>
          <w:szCs w:val="24"/>
          <w:rtl/>
        </w:rPr>
        <w:t xml:space="preserve"> ולעוד מספר פסקי דין מן הערכאות הנמוכות. ב"כ המאשימה הסכים כי ראוי לחרוג ממתחם הענישה בשל השיקום שעבר הנאשם אך חריגה כזו שהעונש הסופי יהיה 6 ח' מאסר בעבודות שירות. </w:t>
      </w:r>
    </w:p>
    <w:p w14:paraId="7497144D" w14:textId="77777777" w:rsidR="000E413C" w:rsidRDefault="000E413C" w:rsidP="000E413C">
      <w:pPr>
        <w:pStyle w:val="aa"/>
        <w:spacing w:after="0" w:line="360" w:lineRule="auto"/>
        <w:jc w:val="both"/>
        <w:rPr>
          <w:rFonts w:ascii="David" w:hAnsi="David" w:cs="David"/>
          <w:sz w:val="24"/>
          <w:szCs w:val="24"/>
        </w:rPr>
      </w:pPr>
    </w:p>
    <w:p w14:paraId="62F2CA0D" w14:textId="77777777" w:rsidR="000E413C" w:rsidRDefault="000E413C" w:rsidP="000E413C">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ב"כ הנאשם  </w:t>
      </w:r>
      <w:r>
        <w:rPr>
          <w:rFonts w:ascii="David" w:hAnsi="David" w:cs="David"/>
          <w:sz w:val="24"/>
          <w:szCs w:val="24"/>
          <w:rtl/>
        </w:rPr>
        <w:t xml:space="preserve">טען כי העבירה בוצעה בשעת משבר לאחר פיטורי הנאשם מעבודתו. הפנה לכך שהגם שהנאשם הורשע בהחזקת סם שלא לצריכה עצמית החזיק בו בנסיבות בהן השתמש תדיר בסמים. עתר למתחם של ענישה צופה פני עתיד ועד מספר קצר של חודשי מאסר. תיאר את ההליך השיקומי הארוך שעבר הנאשם וטען כי בנסיבות הללו יש מקום לחרוג ממתחם העונש ההולם. </w:t>
      </w:r>
    </w:p>
    <w:p w14:paraId="173E4D23" w14:textId="77777777" w:rsidR="000E413C" w:rsidRDefault="000E413C" w:rsidP="000E413C">
      <w:pPr>
        <w:pStyle w:val="aa"/>
        <w:rPr>
          <w:rFonts w:ascii="David" w:hAnsi="David" w:cs="David"/>
          <w:sz w:val="24"/>
          <w:szCs w:val="24"/>
        </w:rPr>
      </w:pPr>
    </w:p>
    <w:p w14:paraId="4C21E738"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העיד כי הוא באמת רוצה לעשות שינוי. הבהיר כי אכן הייתה לו מעידה אחת אך הוא רצה להמשיך את ההליך ואכן המשיך בו בהצלחה. </w:t>
      </w:r>
      <w:r>
        <w:rPr>
          <w:rFonts w:ascii="David" w:hAnsi="David" w:cs="David"/>
          <w:sz w:val="24"/>
          <w:szCs w:val="24"/>
        </w:rPr>
        <w:t xml:space="preserve"> </w:t>
      </w:r>
    </w:p>
    <w:p w14:paraId="4BB02F54" w14:textId="77777777" w:rsidR="000E413C" w:rsidRDefault="000E413C" w:rsidP="000E413C">
      <w:pPr>
        <w:pStyle w:val="aa"/>
        <w:spacing w:after="0" w:line="360" w:lineRule="auto"/>
        <w:jc w:val="both"/>
        <w:rPr>
          <w:rFonts w:ascii="David" w:hAnsi="David" w:cs="David"/>
          <w:sz w:val="24"/>
          <w:szCs w:val="24"/>
        </w:rPr>
      </w:pPr>
    </w:p>
    <w:p w14:paraId="41147724" w14:textId="77777777" w:rsidR="000E413C" w:rsidRDefault="000E413C" w:rsidP="000E413C">
      <w:pPr>
        <w:spacing w:line="360" w:lineRule="auto"/>
        <w:jc w:val="both"/>
        <w:rPr>
          <w:rFonts w:ascii="David" w:hAnsi="David"/>
          <w:b/>
          <w:bCs/>
          <w:u w:val="single"/>
        </w:rPr>
      </w:pPr>
      <w:r>
        <w:rPr>
          <w:rFonts w:ascii="David" w:hAnsi="David"/>
          <w:b/>
          <w:bCs/>
          <w:u w:val="single"/>
          <w:rtl/>
        </w:rPr>
        <w:t>קביעת מתחם העונש ההולם</w:t>
      </w:r>
    </w:p>
    <w:p w14:paraId="492B80CF" w14:textId="77777777" w:rsidR="000E413C" w:rsidRDefault="000E413C" w:rsidP="000E413C">
      <w:pPr>
        <w:spacing w:line="360" w:lineRule="auto"/>
        <w:jc w:val="both"/>
        <w:rPr>
          <w:rFonts w:ascii="David" w:hAnsi="David"/>
          <w:b/>
          <w:bCs/>
          <w:u w:val="single"/>
          <w:rtl/>
        </w:rPr>
      </w:pPr>
    </w:p>
    <w:p w14:paraId="24F97226" w14:textId="77777777" w:rsidR="000E413C" w:rsidRDefault="000E413C" w:rsidP="000E413C">
      <w:pPr>
        <w:spacing w:line="360" w:lineRule="auto"/>
        <w:ind w:firstLine="360"/>
        <w:jc w:val="both"/>
        <w:rPr>
          <w:rFonts w:ascii="David" w:hAnsi="David"/>
          <w:u w:val="single"/>
          <w:rtl/>
        </w:rPr>
      </w:pPr>
      <w:r>
        <w:rPr>
          <w:rFonts w:ascii="David" w:hAnsi="David"/>
          <w:b/>
          <w:bCs/>
          <w:u w:val="single"/>
          <w:rtl/>
        </w:rPr>
        <w:t>הערכים המוגנים</w:t>
      </w:r>
      <w:r>
        <w:rPr>
          <w:rFonts w:ascii="David" w:hAnsi="David"/>
          <w:rtl/>
        </w:rPr>
        <w:t xml:space="preserve">: </w:t>
      </w:r>
    </w:p>
    <w:p w14:paraId="109CD354" w14:textId="77777777" w:rsidR="000E413C" w:rsidRDefault="000E413C" w:rsidP="000E413C">
      <w:pPr>
        <w:spacing w:line="360" w:lineRule="auto"/>
        <w:ind w:firstLine="360"/>
        <w:jc w:val="both"/>
        <w:rPr>
          <w:rFonts w:ascii="David" w:hAnsi="David"/>
          <w:u w:val="single"/>
          <w:rtl/>
        </w:rPr>
      </w:pPr>
    </w:p>
    <w:p w14:paraId="6B6407D8" w14:textId="77777777" w:rsidR="000E413C" w:rsidRDefault="000E413C" w:rsidP="000E413C">
      <w:pPr>
        <w:pStyle w:val="aa"/>
        <w:numPr>
          <w:ilvl w:val="0"/>
          <w:numId w:val="2"/>
        </w:numPr>
        <w:spacing w:after="0" w:line="360" w:lineRule="auto"/>
        <w:jc w:val="both"/>
        <w:rPr>
          <w:rFonts w:cs="David"/>
          <w:sz w:val="24"/>
          <w:szCs w:val="24"/>
          <w:rtl/>
        </w:rPr>
      </w:pPr>
      <w:r>
        <w:rPr>
          <w:rFonts w:ascii="David" w:hAnsi="David" w:cs="David"/>
          <w:sz w:val="24"/>
          <w:szCs w:val="24"/>
          <w:rtl/>
        </w:rPr>
        <w:lastRenderedPageBreak/>
        <w:t xml:space="preserve">בכל הנוגע לעבירות החזקת הסמים שלא לצריכה עצמית </w:t>
      </w:r>
      <w:r>
        <w:rPr>
          <w:rFonts w:cs="David"/>
          <w:sz w:val="24"/>
          <w:szCs w:val="24"/>
          <w:rtl/>
        </w:rPr>
        <w:t xml:space="preserve">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הפגיעה של אדם בעצמו באמצעות שימוש בסם, לא מסתכמת בכך בלבד. שימוש ממושך בסם מסוכן עלול לגרום לפגיעה גופנית ונפשית של המשתמש בו, כזו שתצריך טיפול רפואי שעלותו נופלת על החברה. </w:t>
      </w:r>
      <w:r>
        <w:rPr>
          <w:rFonts w:cs="David"/>
          <w:sz w:val="24"/>
          <w:szCs w:val="24"/>
          <w:rtl/>
          <w:lang w:eastAsia="he-IL"/>
        </w:rPr>
        <w:t>ב</w:t>
      </w:r>
      <w:hyperlink w:history="1">
        <w:r w:rsidRPr="00001D81">
          <w:rPr>
            <w:rFonts w:cs="David"/>
            <w:color w:val="000000"/>
            <w:sz w:val="24"/>
            <w:szCs w:val="24"/>
            <w:rtl/>
            <w:lang w:eastAsia="he-IL"/>
          </w:rPr>
          <w:t>ע"פ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נקבע כי:</w:t>
      </w:r>
    </w:p>
    <w:p w14:paraId="778DCA7F" w14:textId="77777777" w:rsidR="000E413C" w:rsidRDefault="000E413C" w:rsidP="000E413C">
      <w:pPr>
        <w:pStyle w:val="aa"/>
        <w:spacing w:after="0" w:line="360" w:lineRule="auto"/>
        <w:jc w:val="both"/>
        <w:rPr>
          <w:rFonts w:cs="David"/>
          <w:sz w:val="24"/>
          <w:szCs w:val="24"/>
        </w:rPr>
      </w:pPr>
    </w:p>
    <w:p w14:paraId="159E7309" w14:textId="77777777" w:rsidR="000E413C" w:rsidRDefault="000E413C" w:rsidP="000E413C">
      <w:pPr>
        <w:pStyle w:val="aa"/>
        <w:spacing w:after="0" w:line="360" w:lineRule="auto"/>
        <w:ind w:left="1440"/>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7AAFCE59" w14:textId="77777777" w:rsidR="000E413C" w:rsidRDefault="000E413C" w:rsidP="000E413C">
      <w:pPr>
        <w:pStyle w:val="aa"/>
        <w:spacing w:after="0" w:line="360" w:lineRule="auto"/>
        <w:ind w:left="1440"/>
        <w:jc w:val="both"/>
        <w:rPr>
          <w:rFonts w:ascii="David" w:hAnsi="David" w:cs="David"/>
          <w:b/>
          <w:bCs/>
          <w:sz w:val="24"/>
          <w:szCs w:val="24"/>
          <w:u w:val="single"/>
          <w:rtl/>
        </w:rPr>
      </w:pPr>
    </w:p>
    <w:p w14:paraId="458C215F" w14:textId="77777777" w:rsidR="000E413C" w:rsidRDefault="000E413C" w:rsidP="000E413C">
      <w:pPr>
        <w:pStyle w:val="a"/>
        <w:numPr>
          <w:ilvl w:val="0"/>
          <w:numId w:val="2"/>
        </w:numPr>
        <w:tabs>
          <w:tab w:val="left" w:pos="720"/>
        </w:tabs>
        <w:spacing w:after="200"/>
        <w:contextualSpacing/>
        <w:jc w:val="both"/>
      </w:pPr>
      <w:r>
        <w:rPr>
          <w:rFonts w:hint="cs"/>
          <w:rtl/>
        </w:rPr>
        <w:t xml:space="preserve">מידת הפגיעה בערכים הללו הינה ברף הבינוני-נמוך. רף בינוני משום שמדובר בסם קשה המחולק לשלוש מנות. רף נמוך משום שמדובר בכמות קטנה במיוחד, ובשים לב לכך שהנאשם עצמו השתמש באותה העת בסמים.      </w:t>
      </w:r>
    </w:p>
    <w:p w14:paraId="2BE908DD" w14:textId="77777777" w:rsidR="000E413C" w:rsidRDefault="000E413C" w:rsidP="000E413C">
      <w:pPr>
        <w:spacing w:line="360" w:lineRule="auto"/>
        <w:ind w:left="720"/>
        <w:contextualSpacing/>
        <w:jc w:val="both"/>
        <w:rPr>
          <w:rFonts w:ascii="David" w:hAnsi="David"/>
          <w:b/>
          <w:bCs/>
          <w:u w:val="single"/>
        </w:rPr>
      </w:pPr>
      <w:r>
        <w:rPr>
          <w:rFonts w:ascii="David" w:hAnsi="David"/>
          <w:rtl/>
        </w:rPr>
        <w:t xml:space="preserve"> </w:t>
      </w:r>
      <w:r>
        <w:rPr>
          <w:rFonts w:ascii="David" w:hAnsi="David"/>
          <w:b/>
          <w:bCs/>
          <w:u w:val="single"/>
          <w:rtl/>
        </w:rPr>
        <w:t xml:space="preserve"> </w:t>
      </w:r>
    </w:p>
    <w:p w14:paraId="2605C77A" w14:textId="77777777" w:rsidR="000E413C" w:rsidRDefault="000E413C" w:rsidP="000E413C">
      <w:pPr>
        <w:spacing w:line="360" w:lineRule="auto"/>
        <w:ind w:firstLine="360"/>
        <w:jc w:val="both"/>
        <w:rPr>
          <w:rFonts w:ascii="David" w:hAnsi="David"/>
          <w:b/>
          <w:bCs/>
          <w:u w:val="single"/>
        </w:rPr>
      </w:pPr>
      <w:r>
        <w:rPr>
          <w:rFonts w:ascii="David" w:hAnsi="David"/>
          <w:b/>
          <w:bCs/>
          <w:u w:val="single"/>
          <w:rtl/>
        </w:rPr>
        <w:t>מדיניות הענישה הנוהגת:</w:t>
      </w:r>
    </w:p>
    <w:p w14:paraId="46C247D8" w14:textId="77777777" w:rsidR="000E413C" w:rsidRDefault="000E413C" w:rsidP="000E413C">
      <w:pPr>
        <w:spacing w:line="360" w:lineRule="auto"/>
        <w:jc w:val="both"/>
        <w:rPr>
          <w:rFonts w:ascii="David" w:hAnsi="David"/>
          <w:b/>
          <w:bCs/>
          <w:u w:val="single"/>
          <w:rtl/>
        </w:rPr>
      </w:pPr>
    </w:p>
    <w:p w14:paraId="264B0FF9" w14:textId="77777777" w:rsidR="000E413C" w:rsidRDefault="000E413C" w:rsidP="000E413C">
      <w:pPr>
        <w:numPr>
          <w:ilvl w:val="0"/>
          <w:numId w:val="2"/>
        </w:numPr>
        <w:spacing w:after="200" w:line="360" w:lineRule="auto"/>
        <w:jc w:val="both"/>
        <w:rPr>
          <w:rFonts w:ascii="Calibri" w:eastAsia="Calibri" w:hAnsi="Calibri"/>
          <w:rtl/>
        </w:rPr>
      </w:pPr>
      <w:r>
        <w:rPr>
          <w:rFonts w:ascii="David" w:hAnsi="David"/>
          <w:rtl/>
        </w:rPr>
        <w:t xml:space="preserve">בכל הנוגע לענישה הנוהגת בעבירת החזקת סם שלא לצריכה עצמית מהסוג שהחזיק הנאשם אפנה </w:t>
      </w:r>
      <w:r>
        <w:rPr>
          <w:rtl/>
        </w:rPr>
        <w:t>לפסקי הדין הבאים:</w:t>
      </w:r>
      <w:r>
        <w:rPr>
          <w:rFonts w:hint="cs"/>
        </w:rPr>
        <w:t xml:space="preserve"> </w:t>
      </w:r>
    </w:p>
    <w:p w14:paraId="28B08984" w14:textId="77777777" w:rsidR="000E413C" w:rsidRDefault="00001D81" w:rsidP="000E413C">
      <w:pPr>
        <w:numPr>
          <w:ilvl w:val="1"/>
          <w:numId w:val="2"/>
        </w:numPr>
        <w:spacing w:after="200" w:line="360" w:lineRule="auto"/>
        <w:jc w:val="both"/>
      </w:pPr>
      <w:hyperlink r:id="rId16" w:history="1">
        <w:r w:rsidRPr="00001D81">
          <w:rPr>
            <w:color w:val="0000FF"/>
            <w:u w:val="single"/>
            <w:rtl/>
          </w:rPr>
          <w:t>רע"פ 1473/18</w:t>
        </w:r>
      </w:hyperlink>
      <w:r w:rsidR="000E413C">
        <w:rPr>
          <w:rtl/>
        </w:rPr>
        <w:t xml:space="preserve"> </w:t>
      </w:r>
      <w:r w:rsidR="000E413C">
        <w:rPr>
          <w:b/>
          <w:bCs/>
          <w:rtl/>
        </w:rPr>
        <w:t>אוחיון נ' מדינת ישראל</w:t>
      </w:r>
      <w:r w:rsidR="000E413C">
        <w:rPr>
          <w:rtl/>
        </w:rPr>
        <w:t xml:space="preserve"> שם החזיק הנאשם סם מסוכן מסוג קוקאין במשקל 1.688 ג' וכן יחידת סם קוקאין במשקל 0.4185 ג'. בית משפט השלום הטיל עונש מותנה, ואילו בית המשפט המחוזי קבע מתחם עונש של 6-12 ח' מאסר, אך החליט לחרוג מן המתחם ולהטיל שני חודשי מאסר שירוצו בעבודות שירות, על אף שהנאשם לא עבר הליך טיפול סדור, אלא רק מן הטעם שהנאשם שינה את מקום מגוריו ושינה את אורחות חייו. </w:t>
      </w:r>
    </w:p>
    <w:p w14:paraId="1798606D" w14:textId="77777777" w:rsidR="000E413C" w:rsidRDefault="00001D81" w:rsidP="000E413C">
      <w:pPr>
        <w:numPr>
          <w:ilvl w:val="1"/>
          <w:numId w:val="2"/>
        </w:numPr>
        <w:spacing w:after="200" w:line="360" w:lineRule="auto"/>
        <w:jc w:val="both"/>
      </w:pPr>
      <w:hyperlink r:id="rId17" w:history="1">
        <w:r w:rsidRPr="00001D81">
          <w:rPr>
            <w:rFonts w:ascii="David" w:hAnsi="David"/>
            <w:color w:val="0000FF"/>
            <w:u w:val="single"/>
            <w:rtl/>
          </w:rPr>
          <w:t>רע"פ 747/14</w:t>
        </w:r>
      </w:hyperlink>
      <w:r w:rsidR="000E413C">
        <w:rPr>
          <w:rFonts w:ascii="David" w:hAnsi="David"/>
          <w:rtl/>
        </w:rPr>
        <w:t xml:space="preserve"> </w:t>
      </w:r>
      <w:r w:rsidR="000E413C">
        <w:rPr>
          <w:rtl/>
        </w:rPr>
        <w:t xml:space="preserve"> </w:t>
      </w:r>
      <w:r w:rsidR="000E413C">
        <w:rPr>
          <w:b/>
          <w:bCs/>
          <w:rtl/>
        </w:rPr>
        <w:t>לוי נגד מדינת ישראל</w:t>
      </w:r>
      <w:r w:rsidR="000E413C">
        <w:rPr>
          <w:rtl/>
        </w:rPr>
        <w:t xml:space="preserve"> שם החזיק הנאשם 5 ג' הרואין ו-0.095 ג' קוקאין וצירף תיק נוסף בו החזיק 0.5 גרם הרואין. נקבע מתחם של 8-18 ח' מאסר, ובית המשפט לא סטה לקולא מהמתחם בשים לב לכך שהנאשם היה בתחילתו של הליך שיקומי, תוך שהוא מצוי בהליך של בניית אמון מול עצמו ומול שירות המבחן. </w:t>
      </w:r>
    </w:p>
    <w:p w14:paraId="4BB7F669" w14:textId="77777777" w:rsidR="000E413C" w:rsidRDefault="000E413C" w:rsidP="000E413C">
      <w:pPr>
        <w:numPr>
          <w:ilvl w:val="1"/>
          <w:numId w:val="2"/>
        </w:numPr>
        <w:spacing w:before="60" w:after="160" w:line="360" w:lineRule="auto"/>
        <w:jc w:val="both"/>
        <w:rPr>
          <w:rFonts w:ascii="David" w:hAnsi="David"/>
        </w:rPr>
      </w:pPr>
      <w:r>
        <w:rPr>
          <w:rtl/>
        </w:rPr>
        <w:t xml:space="preserve">עוד אפנה מן הערכאות הנמוכות לת"פ 27076-04-3 </w:t>
      </w:r>
      <w:r>
        <w:rPr>
          <w:b/>
          <w:bCs/>
          <w:rtl/>
        </w:rPr>
        <w:t xml:space="preserve">מדינת ישראל נ' לפיגל </w:t>
      </w:r>
      <w:r>
        <w:rPr>
          <w:rtl/>
        </w:rPr>
        <w:t>שם נקבע מתחם עונש של 5-15 ח' מאסר בעניינו של נאשם שהחזיק 1.25 ג' קוקאין ו-0.844 ג' הרואין. וכן ל</w:t>
      </w:r>
      <w:hyperlink r:id="rId18" w:history="1">
        <w:r w:rsidR="00001D81" w:rsidRPr="00001D81">
          <w:rPr>
            <w:color w:val="0000FF"/>
            <w:u w:val="single"/>
            <w:rtl/>
          </w:rPr>
          <w:t>ת"פ 13045-08-17</w:t>
        </w:r>
      </w:hyperlink>
      <w:r>
        <w:rPr>
          <w:rtl/>
        </w:rPr>
        <w:t xml:space="preserve"> </w:t>
      </w:r>
      <w:r>
        <w:rPr>
          <w:b/>
          <w:bCs/>
          <w:rtl/>
        </w:rPr>
        <w:t>מדינת ישראל נ' אבו סהיבאן</w:t>
      </w:r>
      <w:r>
        <w:rPr>
          <w:rtl/>
        </w:rPr>
        <w:t xml:space="preserve">  שם נקבע מתחם ענישה של 6-18 ח' מאסר בגין החזקה של 8 ג' קוקאין. </w:t>
      </w:r>
    </w:p>
    <w:p w14:paraId="6B74F88D" w14:textId="77777777" w:rsidR="000E413C" w:rsidRDefault="000E413C" w:rsidP="000E413C">
      <w:pPr>
        <w:spacing w:before="60" w:after="160" w:line="360" w:lineRule="auto"/>
        <w:ind w:left="1440"/>
        <w:jc w:val="both"/>
        <w:rPr>
          <w:rFonts w:ascii="David" w:hAnsi="David"/>
        </w:rPr>
      </w:pPr>
    </w:p>
    <w:p w14:paraId="01703456" w14:textId="77777777" w:rsidR="000E413C" w:rsidRDefault="000E413C" w:rsidP="000E413C">
      <w:pPr>
        <w:spacing w:line="360" w:lineRule="auto"/>
        <w:ind w:firstLine="360"/>
        <w:jc w:val="both"/>
        <w:rPr>
          <w:rFonts w:ascii="David" w:eastAsia="Calibri" w:hAnsi="David"/>
          <w:rtl/>
        </w:rPr>
      </w:pPr>
      <w:r>
        <w:rPr>
          <w:rFonts w:ascii="David" w:hAnsi="David"/>
          <w:b/>
          <w:bCs/>
          <w:u w:val="single"/>
          <w:rtl/>
        </w:rPr>
        <w:t>הנסיבות הקשורות בביצוע העבירה:</w:t>
      </w:r>
    </w:p>
    <w:p w14:paraId="48946523"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הסמים הוחזקו על ידי הנאשם כשהם מוסלקים בתחתוניו ומחולקים לשלוש מנות, כשאין מחלוקת שהסם הוחזק שלא לצריכתו העצמית של הנאשם. נסיבות אלו מלמדות על פוטנציאל נזק ממשי. פוטנציאל נזק אשר </w:t>
      </w:r>
      <w:hyperlink r:id="rId19" w:history="1">
        <w:bookmarkStart w:id="9" w:name="Seif4"/>
        <w:r w:rsidR="008459DA" w:rsidRPr="008459DA">
          <w:rPr>
            <w:rStyle w:val="Hyperlink"/>
            <w:rFonts w:ascii="David" w:hAnsi="David" w:cs="David"/>
            <w:sz w:val="24"/>
            <w:szCs w:val="24"/>
            <w:rtl/>
          </w:rPr>
          <w:t xml:space="preserve">סעיף </w:t>
        </w:r>
        <w:bookmarkEnd w:id="9"/>
        <w:r w:rsidR="008459DA" w:rsidRPr="008459DA">
          <w:rPr>
            <w:rStyle w:val="Hyperlink"/>
            <w:rFonts w:ascii="David" w:hAnsi="David" w:cs="David"/>
            <w:sz w:val="24"/>
            <w:szCs w:val="24"/>
            <w:rtl/>
          </w:rPr>
          <w:t>40ט(א)(3)</w:t>
        </w:r>
      </w:hyperlink>
      <w:r>
        <w:rPr>
          <w:rFonts w:ascii="David" w:hAnsi="David" w:cs="David"/>
          <w:sz w:val="24"/>
          <w:szCs w:val="24"/>
          <w:rtl/>
        </w:rPr>
        <w:t xml:space="preserve"> ל</w:t>
      </w:r>
      <w:hyperlink r:id="rId20" w:history="1">
        <w:r w:rsidR="00001D81" w:rsidRPr="00001D81">
          <w:rPr>
            <w:rFonts w:ascii="David" w:hAnsi="David" w:cs="David"/>
            <w:color w:val="0000FF"/>
            <w:sz w:val="24"/>
            <w:szCs w:val="24"/>
            <w:u w:val="single"/>
            <w:rtl/>
          </w:rPr>
          <w:t>חוק העונשין</w:t>
        </w:r>
      </w:hyperlink>
      <w:r>
        <w:rPr>
          <w:rFonts w:ascii="David" w:hAnsi="David" w:cs="David"/>
          <w:sz w:val="24"/>
          <w:szCs w:val="24"/>
          <w:rtl/>
        </w:rPr>
        <w:t xml:space="preserve">, מורה לבית המשפט לשקול בבואו לקבוע את מתחם העונש. </w:t>
      </w:r>
    </w:p>
    <w:p w14:paraId="7FF8DBC2" w14:textId="77777777" w:rsidR="000E413C" w:rsidRDefault="000E413C" w:rsidP="000E413C">
      <w:pPr>
        <w:pStyle w:val="aa"/>
        <w:spacing w:after="0" w:line="360" w:lineRule="auto"/>
        <w:jc w:val="both"/>
        <w:rPr>
          <w:rFonts w:ascii="David" w:hAnsi="David" w:cs="David"/>
          <w:sz w:val="24"/>
          <w:szCs w:val="24"/>
        </w:rPr>
      </w:pPr>
    </w:p>
    <w:p w14:paraId="0913AA4D" w14:textId="77777777" w:rsidR="000E413C" w:rsidRDefault="000E413C" w:rsidP="000E413C">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מנגד, כמות הסם נמוכה במיוחד, וגם אם עולה על כמות הסם המוגדרת בחוק להחזקה עצמית, הרי שאינה עולה עליה בהרבה. בנסיבות בהן היה מדובר במי שמכור לסמים באותה העת, הרי שחזקת מסוכנות יותר משמעותית כלפי הנאשם עצמו מאשר כלפי כולי עלמא. </w:t>
      </w:r>
    </w:p>
    <w:p w14:paraId="5278F329" w14:textId="77777777" w:rsidR="000E413C" w:rsidRDefault="000E413C" w:rsidP="000E413C">
      <w:pPr>
        <w:pStyle w:val="aa"/>
        <w:rPr>
          <w:rFonts w:ascii="David" w:hAnsi="David" w:cs="David"/>
          <w:sz w:val="24"/>
          <w:szCs w:val="24"/>
        </w:rPr>
      </w:pPr>
    </w:p>
    <w:p w14:paraId="051545AA"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לאחר שבחנתי את הערכים המוגנים שנפגעו מביצוע העבירה על ידי הנאשם, מידת הפגיעה בערכים אלו, ובנסיבות ביצוע העבירה, הרי שאני קובע כי מתחם העונש הראוי נע בין 3 חודשי מאסר שיכול וירוצה על דרך עבודות שירות ועד 9 חודשי מאסר מאחורי סורג ובריח.  </w:t>
      </w:r>
    </w:p>
    <w:p w14:paraId="1C1E2F1A" w14:textId="77777777" w:rsidR="000E413C" w:rsidRDefault="000E413C" w:rsidP="000E413C">
      <w:pPr>
        <w:pStyle w:val="aa"/>
        <w:spacing w:after="0" w:line="360" w:lineRule="auto"/>
        <w:ind w:left="0"/>
        <w:jc w:val="both"/>
        <w:rPr>
          <w:rFonts w:ascii="David" w:hAnsi="David" w:cs="David"/>
          <w:b/>
          <w:bCs/>
          <w:sz w:val="24"/>
          <w:szCs w:val="24"/>
          <w:rtl/>
        </w:rPr>
      </w:pPr>
    </w:p>
    <w:p w14:paraId="4D01AF98" w14:textId="77777777" w:rsidR="000E413C" w:rsidRDefault="000E413C" w:rsidP="000E413C">
      <w:pPr>
        <w:spacing w:line="360" w:lineRule="auto"/>
        <w:jc w:val="both"/>
        <w:rPr>
          <w:rFonts w:ascii="David" w:hAnsi="David"/>
          <w:rtl/>
        </w:rPr>
      </w:pPr>
      <w:r>
        <w:rPr>
          <w:rFonts w:ascii="David" w:hAnsi="David"/>
          <w:b/>
          <w:bCs/>
          <w:u w:val="single"/>
          <w:rtl/>
        </w:rPr>
        <w:t>סטייה ממתחם העונש ההולם</w:t>
      </w:r>
      <w:r>
        <w:rPr>
          <w:rFonts w:ascii="David" w:hAnsi="David"/>
          <w:rtl/>
        </w:rPr>
        <w:t>:</w:t>
      </w:r>
    </w:p>
    <w:p w14:paraId="54BA2811"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על נאשם המבקש לסטות לקולה ממתחם העונש ההולם הנטל להציג ראיות לכך שעבר הליך שיקומי משמעותי. [ראו למשל: </w:t>
      </w:r>
      <w:hyperlink r:id="rId21" w:history="1">
        <w:r w:rsidR="00001D81" w:rsidRPr="00001D81">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זאת ועוד הלכה היא כי : "</w:t>
      </w:r>
      <w:r>
        <w:rPr>
          <w:rFonts w:ascii="David" w:hAnsi="David" w:cs="David"/>
          <w:b/>
          <w:bCs/>
          <w:sz w:val="24"/>
          <w:szCs w:val="24"/>
          <w:rtl/>
        </w:rPr>
        <w:t>סטייה ממתחם הענישה תיעשה אך במקרים חריגים ובמשורה, מקום בו סיכויי שיקום מובהקים מצדיקים זאת</w:t>
      </w:r>
      <w:r>
        <w:rPr>
          <w:rFonts w:ascii="David" w:hAnsi="David" w:cs="David"/>
          <w:sz w:val="24"/>
          <w:szCs w:val="24"/>
          <w:rtl/>
        </w:rPr>
        <w:t xml:space="preserve">" [ראו </w:t>
      </w:r>
      <w:hyperlink r:id="rId22" w:history="1">
        <w:r w:rsidR="00001D81" w:rsidRPr="00001D81">
          <w:rPr>
            <w:rFonts w:ascii="David" w:hAnsi="David" w:cs="David"/>
            <w:color w:val="0000FF"/>
            <w:sz w:val="24"/>
            <w:szCs w:val="24"/>
            <w:u w:val="single"/>
            <w:rtl/>
          </w:rPr>
          <w:t>ע"פ 7757/21</w:t>
        </w:r>
      </w:hyperlink>
      <w:r>
        <w:rPr>
          <w:rFonts w:ascii="David" w:hAnsi="David" w:cs="David"/>
          <w:sz w:val="24"/>
          <w:szCs w:val="24"/>
          <w:rtl/>
        </w:rPr>
        <w:t xml:space="preserve"> </w:t>
      </w:r>
      <w:r>
        <w:rPr>
          <w:rFonts w:ascii="David" w:hAnsi="David" w:cs="David"/>
          <w:b/>
          <w:bCs/>
          <w:sz w:val="24"/>
          <w:szCs w:val="24"/>
          <w:rtl/>
        </w:rPr>
        <w:t>מרזוקי נ' מדינת ישראל]</w:t>
      </w:r>
      <w:r>
        <w:rPr>
          <w:rFonts w:ascii="David" w:hAnsi="David" w:cs="David"/>
          <w:sz w:val="24"/>
          <w:szCs w:val="24"/>
          <w:rtl/>
        </w:rPr>
        <w:t xml:space="preserve"> </w:t>
      </w:r>
    </w:p>
    <w:p w14:paraId="04A009D1" w14:textId="77777777" w:rsidR="000E413C" w:rsidRDefault="000E413C" w:rsidP="000E413C">
      <w:pPr>
        <w:pStyle w:val="aa"/>
        <w:spacing w:after="0" w:line="360" w:lineRule="auto"/>
        <w:jc w:val="both"/>
        <w:rPr>
          <w:rFonts w:ascii="David" w:hAnsi="David" w:cs="David"/>
          <w:sz w:val="24"/>
          <w:szCs w:val="24"/>
        </w:rPr>
      </w:pPr>
    </w:p>
    <w:p w14:paraId="0AA55126" w14:textId="77777777" w:rsidR="000E413C" w:rsidRDefault="000E413C" w:rsidP="000E413C">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במסגרת המבחנים שנקבעו בפסיקה נקבע כי ישקול לשקול את: "</w:t>
      </w:r>
      <w:r>
        <w:rPr>
          <w:rFonts w:ascii="David" w:hAnsi="David" w:cs="David"/>
          <w:b/>
          <w:bCs/>
          <w:sz w:val="24"/>
          <w:szCs w:val="24"/>
          <w:rtl/>
        </w:rPr>
        <w:t>המוטיבציה שהפגין האדם שהשתקם, הליך של גמילה מהתמכרות שהוא עובר, השתלבות מוצלחת בהליכים טיפוליים שונים אינדיקציות לשינוי עמוק בהתנהגות ובדרך החשיבה, הבעת חרטה על המעשים והפגנת אמפתיה כלפי נפגעי העבירה</w:t>
      </w:r>
      <w:r>
        <w:rPr>
          <w:rFonts w:ascii="David" w:hAnsi="David" w:cs="David"/>
          <w:sz w:val="24"/>
          <w:szCs w:val="24"/>
          <w:rtl/>
        </w:rPr>
        <w:t xml:space="preserve">". ראו </w:t>
      </w:r>
      <w:hyperlink r:id="rId23" w:history="1">
        <w:r w:rsidR="00001D81" w:rsidRPr="00001D81">
          <w:rPr>
            <w:rFonts w:ascii="David" w:hAnsi="David" w:cs="David"/>
            <w:color w:val="0000FF"/>
            <w:sz w:val="24"/>
            <w:szCs w:val="24"/>
            <w:u w:val="single"/>
            <w:rtl/>
          </w:rPr>
          <w:t>ע"פ 1229/19</w:t>
        </w:r>
      </w:hyperlink>
      <w:r>
        <w:rPr>
          <w:rFonts w:ascii="David" w:hAnsi="David" w:cs="David"/>
          <w:sz w:val="24"/>
          <w:szCs w:val="24"/>
          <w:rtl/>
        </w:rPr>
        <w:t xml:space="preserve"> </w:t>
      </w:r>
      <w:r>
        <w:rPr>
          <w:rFonts w:ascii="David" w:hAnsi="David" w:cs="David"/>
          <w:b/>
          <w:bCs/>
          <w:sz w:val="24"/>
          <w:szCs w:val="24"/>
          <w:rtl/>
        </w:rPr>
        <w:t>סלומינסקי נ' מדינת ישראל</w:t>
      </w:r>
      <w:r>
        <w:rPr>
          <w:rFonts w:ascii="David" w:hAnsi="David" w:cs="David"/>
          <w:sz w:val="24"/>
          <w:szCs w:val="24"/>
          <w:rtl/>
        </w:rPr>
        <w:t>.</w:t>
      </w:r>
    </w:p>
    <w:p w14:paraId="0326D774" w14:textId="77777777" w:rsidR="000E413C" w:rsidRDefault="000E413C" w:rsidP="000E413C">
      <w:pPr>
        <w:pStyle w:val="aa"/>
        <w:spacing w:after="0" w:line="360" w:lineRule="auto"/>
        <w:jc w:val="both"/>
        <w:rPr>
          <w:rFonts w:ascii="David" w:hAnsi="David" w:cs="David"/>
          <w:sz w:val="24"/>
          <w:szCs w:val="24"/>
        </w:rPr>
      </w:pPr>
    </w:p>
    <w:p w14:paraId="04243CE9" w14:textId="77777777" w:rsidR="000E413C" w:rsidRDefault="000E413C" w:rsidP="000E413C">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הנאשם עובר בהצלחה יתרה את כל המבחנים האמורים: הנאשם הפגין מוטיבציה, עבר הליך גמילה מהתמכרות, השתלב באופן מוצלח בהליכים טיפוליים משמעותיים ואינטנסיביים בקהילה טיפולית, קיימת אינדיקציה לשינוי עמוק בהתנהגות ובדרך החשיבה, והוא אף הביע חרטה מלאה על מעשיו. </w:t>
      </w:r>
    </w:p>
    <w:p w14:paraId="7D4159DC" w14:textId="77777777" w:rsidR="000E413C" w:rsidRDefault="000E413C" w:rsidP="000E413C">
      <w:pPr>
        <w:pStyle w:val="aa"/>
        <w:rPr>
          <w:rFonts w:ascii="David" w:hAnsi="David" w:cs="David"/>
          <w:sz w:val="24"/>
          <w:szCs w:val="24"/>
        </w:rPr>
      </w:pPr>
    </w:p>
    <w:p w14:paraId="4F214BFE"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תסקיר שירות המבחן תומך בעמדה השיקומית, והמלצתו מעוגנת בראיות טובות ומשכנעות. </w:t>
      </w:r>
    </w:p>
    <w:p w14:paraId="4B6D1C60" w14:textId="77777777" w:rsidR="000E413C" w:rsidRDefault="000E413C" w:rsidP="000E413C">
      <w:pPr>
        <w:pStyle w:val="aa"/>
        <w:rPr>
          <w:rFonts w:ascii="David" w:hAnsi="David" w:cs="David"/>
          <w:sz w:val="24"/>
          <w:szCs w:val="24"/>
        </w:rPr>
      </w:pPr>
    </w:p>
    <w:p w14:paraId="33E66532"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אשר על כן, זהו מסוג המקרים החריגים בהם על בית המשפט לסטות לקולא ממתחם העונש ההולם. ודוק, לא אוכל לקבל את עמדת התביעה לפיה יש מקום לסטות לקולא סטייה קלה בלבד מהמתחם, כך שהנאשם ירצה עונש בן מספר חודשי עבודות שירות, משום שטיב השיקום והיקפו משליכים במישרין על טיב הסטייה והיקפה. בענייננו טיב השיקום והיקפו משמעותיים במיוחד ועל כן מצדיקים חריגה משמעותית מהמתחם. הדברים נכונים ביתר שאת, משמדובר בעבירות שאינן חמורות במיוחד, כבענייננו. </w:t>
      </w:r>
    </w:p>
    <w:p w14:paraId="28C4EC3B" w14:textId="77777777" w:rsidR="000E413C" w:rsidRDefault="000E413C" w:rsidP="000E413C">
      <w:pPr>
        <w:pStyle w:val="aa"/>
        <w:rPr>
          <w:rFonts w:ascii="David" w:hAnsi="David" w:cs="David"/>
          <w:sz w:val="24"/>
          <w:szCs w:val="24"/>
        </w:rPr>
      </w:pPr>
    </w:p>
    <w:p w14:paraId="25A76EB3"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עוד נתתי דעתי לכך שמדובר בנאשם שהודה וחסך זמן שיפוטי, וגם אם לחובתו עבר פלילי מדובר בעבר ישן מאוד, ולא מכביד, שהתיישן מזה כבר. </w:t>
      </w:r>
    </w:p>
    <w:p w14:paraId="234E85A5" w14:textId="77777777" w:rsidR="000E413C" w:rsidRDefault="000E413C" w:rsidP="000E413C">
      <w:pPr>
        <w:pStyle w:val="aa"/>
        <w:spacing w:line="360" w:lineRule="auto"/>
        <w:jc w:val="both"/>
        <w:rPr>
          <w:rFonts w:ascii="David" w:hAnsi="David" w:cs="David"/>
          <w:sz w:val="24"/>
          <w:szCs w:val="24"/>
          <w:rtl/>
        </w:rPr>
      </w:pPr>
    </w:p>
    <w:p w14:paraId="1669E2C3" w14:textId="77777777" w:rsidR="000E413C" w:rsidRDefault="000E413C" w:rsidP="000E413C">
      <w:pPr>
        <w:spacing w:line="360" w:lineRule="auto"/>
        <w:jc w:val="both"/>
        <w:rPr>
          <w:rFonts w:ascii="David" w:hAnsi="David"/>
          <w:b/>
          <w:bCs/>
          <w:u w:val="single"/>
          <w:rtl/>
        </w:rPr>
      </w:pPr>
      <w:r>
        <w:rPr>
          <w:rFonts w:ascii="David" w:hAnsi="David"/>
          <w:b/>
          <w:bCs/>
          <w:u w:val="single"/>
          <w:rtl/>
        </w:rPr>
        <w:t>סוף דבר</w:t>
      </w:r>
    </w:p>
    <w:p w14:paraId="772D01D1" w14:textId="77777777" w:rsidR="000E413C" w:rsidRDefault="000E413C" w:rsidP="000E413C">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לאחר ששקלתי את </w:t>
      </w:r>
      <w:bookmarkStart w:id="10" w:name="Seif5"/>
      <w:r>
        <w:rPr>
          <w:rFonts w:ascii="David" w:hAnsi="David" w:cs="David"/>
          <w:sz w:val="24"/>
          <w:szCs w:val="24"/>
          <w:rtl/>
        </w:rPr>
        <w:t xml:space="preserve">כלל השיקולים </w:t>
      </w:r>
      <w:bookmarkEnd w:id="10"/>
      <w:r>
        <w:rPr>
          <w:rFonts w:ascii="David" w:hAnsi="David" w:cs="David"/>
          <w:sz w:val="24"/>
          <w:szCs w:val="24"/>
          <w:rtl/>
        </w:rPr>
        <w:t>לעיל, לקולא ולחומרה, אני גוזר על הנאשם את העונשים הבאים:</w:t>
      </w:r>
    </w:p>
    <w:p w14:paraId="14ABAADC" w14:textId="77777777" w:rsidR="000E413C" w:rsidRDefault="000E413C" w:rsidP="000E413C">
      <w:pPr>
        <w:pStyle w:val="aa"/>
        <w:spacing w:after="0" w:line="360" w:lineRule="auto"/>
        <w:jc w:val="both"/>
        <w:rPr>
          <w:rFonts w:ascii="David" w:hAnsi="David" w:cs="David"/>
          <w:sz w:val="24"/>
          <w:szCs w:val="24"/>
        </w:rPr>
      </w:pPr>
    </w:p>
    <w:p w14:paraId="18C67E2F" w14:textId="77777777" w:rsidR="000E413C" w:rsidRDefault="000E413C" w:rsidP="000E413C">
      <w:pPr>
        <w:pStyle w:val="aa"/>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3 חודשי מאסר מותנה למשך 3 שנים מהיום. מאסר זה יופעל במידה והנאשם יעבור במשך תקופת התנאי עבירת סם מסוג עוון.</w:t>
      </w:r>
    </w:p>
    <w:p w14:paraId="11E396C3" w14:textId="77777777" w:rsidR="000E413C" w:rsidRDefault="000E413C" w:rsidP="000E413C">
      <w:pPr>
        <w:pStyle w:val="aa"/>
        <w:spacing w:line="360" w:lineRule="auto"/>
        <w:rPr>
          <w:rFonts w:ascii="David" w:hAnsi="David" w:cs="David"/>
          <w:sz w:val="24"/>
          <w:szCs w:val="24"/>
        </w:rPr>
      </w:pPr>
    </w:p>
    <w:p w14:paraId="631B6777" w14:textId="77777777" w:rsidR="000E413C" w:rsidRDefault="000E413C" w:rsidP="000E413C">
      <w:pPr>
        <w:pStyle w:val="aa"/>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2D5D3C03" w14:textId="77777777" w:rsidR="000E413C" w:rsidRDefault="000E413C" w:rsidP="000E413C">
      <w:pPr>
        <w:pStyle w:val="aa"/>
        <w:rPr>
          <w:rFonts w:ascii="David" w:hAnsi="David" w:cs="David"/>
          <w:sz w:val="24"/>
          <w:szCs w:val="24"/>
        </w:rPr>
      </w:pPr>
    </w:p>
    <w:p w14:paraId="6CD41BA0" w14:textId="77777777" w:rsidR="000E413C" w:rsidRDefault="000E413C" w:rsidP="000E413C">
      <w:pPr>
        <w:pStyle w:val="aa"/>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6 חודשי פסילה על תנאי למשך 3 שנים מהיום. עונש הפסילה יופעל במידה והנאשם יעבור במשך תקופת התנאי עבירת סם מכל סוג.</w:t>
      </w:r>
    </w:p>
    <w:p w14:paraId="2034AF7B" w14:textId="77777777" w:rsidR="000E413C" w:rsidRDefault="000E413C" w:rsidP="000E413C">
      <w:pPr>
        <w:pStyle w:val="aa"/>
        <w:rPr>
          <w:rFonts w:ascii="David" w:hAnsi="David" w:cs="David"/>
          <w:sz w:val="24"/>
          <w:szCs w:val="24"/>
        </w:rPr>
      </w:pPr>
    </w:p>
    <w:p w14:paraId="203CB9F5" w14:textId="77777777" w:rsidR="000E413C" w:rsidRDefault="000E413C" w:rsidP="000E413C">
      <w:pPr>
        <w:pStyle w:val="aa"/>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קנס בסך 1,</w:t>
      </w:r>
      <w:r>
        <w:rPr>
          <w:rFonts w:ascii="David" w:hAnsi="David" w:cs="David" w:hint="cs"/>
          <w:sz w:val="24"/>
          <w:szCs w:val="24"/>
          <w:rtl/>
        </w:rPr>
        <w:t>200</w:t>
      </w:r>
      <w:r>
        <w:rPr>
          <w:rFonts w:ascii="David" w:hAnsi="David" w:cs="David"/>
          <w:sz w:val="24"/>
          <w:szCs w:val="24"/>
          <w:rtl/>
        </w:rPr>
        <w:t xml:space="preserve"> ₪ שישולם ב</w:t>
      </w:r>
      <w:r>
        <w:rPr>
          <w:rFonts w:ascii="David" w:hAnsi="David" w:cs="David" w:hint="cs"/>
          <w:sz w:val="24"/>
          <w:szCs w:val="24"/>
          <w:rtl/>
        </w:rPr>
        <w:t xml:space="preserve">שישה </w:t>
      </w:r>
      <w:r>
        <w:rPr>
          <w:rFonts w:ascii="David" w:hAnsi="David" w:cs="David"/>
          <w:sz w:val="24"/>
          <w:szCs w:val="24"/>
          <w:rtl/>
        </w:rPr>
        <w:t xml:space="preserve">תשלומים חודשיים שווים החל מיום 1.12.22 ובכל ראשון לחודש שלאחריו. </w:t>
      </w:r>
    </w:p>
    <w:p w14:paraId="54B6AF4A" w14:textId="77777777" w:rsidR="000E413C" w:rsidRDefault="000E413C" w:rsidP="000E413C">
      <w:pPr>
        <w:pStyle w:val="aa"/>
        <w:spacing w:before="60" w:after="0" w:line="360" w:lineRule="auto"/>
        <w:ind w:left="1080"/>
        <w:jc w:val="both"/>
        <w:rPr>
          <w:rFonts w:ascii="David" w:hAnsi="David" w:cs="David"/>
          <w:sz w:val="24"/>
          <w:szCs w:val="24"/>
        </w:rPr>
      </w:pPr>
    </w:p>
    <w:p w14:paraId="7F6F8810" w14:textId="77777777" w:rsidR="000E413C" w:rsidRPr="006F4257" w:rsidRDefault="00001D81" w:rsidP="000E413C">
      <w:pPr>
        <w:pStyle w:val="aa"/>
        <w:spacing w:before="60" w:after="0" w:line="360" w:lineRule="auto"/>
        <w:ind w:left="0"/>
        <w:jc w:val="both"/>
        <w:rPr>
          <w:rFonts w:ascii="David" w:hAnsi="David" w:cs="David"/>
          <w:b/>
          <w:bCs/>
          <w:sz w:val="24"/>
          <w:szCs w:val="24"/>
          <w:rtl/>
        </w:rPr>
      </w:pPr>
      <w:r w:rsidRPr="00001D81">
        <w:rPr>
          <w:rFonts w:ascii="David" w:hAnsi="David" w:cs="David"/>
          <w:b/>
          <w:bCs/>
          <w:color w:val="FFFFFF"/>
          <w:sz w:val="2"/>
          <w:szCs w:val="2"/>
          <w:rtl/>
        </w:rPr>
        <w:t>5129371</w:t>
      </w:r>
      <w:r w:rsidR="000E413C" w:rsidRPr="006F4257">
        <w:rPr>
          <w:rFonts w:ascii="David" w:hAnsi="David" w:cs="David"/>
          <w:b/>
          <w:bCs/>
          <w:sz w:val="24"/>
          <w:szCs w:val="24"/>
          <w:rtl/>
        </w:rPr>
        <w:t>זכות ערעור כדין.</w:t>
      </w:r>
    </w:p>
    <w:p w14:paraId="74C3DA60" w14:textId="77777777" w:rsidR="000E413C" w:rsidRPr="00001D81" w:rsidRDefault="00001D81" w:rsidP="000E413C">
      <w:pPr>
        <w:rPr>
          <w:rFonts w:ascii="Arial" w:hAnsi="Arial"/>
          <w:b/>
          <w:bCs/>
          <w:color w:val="FFFFFF"/>
          <w:sz w:val="2"/>
          <w:szCs w:val="2"/>
          <w:rtl/>
        </w:rPr>
      </w:pPr>
      <w:r w:rsidRPr="00001D81">
        <w:rPr>
          <w:rFonts w:ascii="Arial" w:hAnsi="Arial"/>
          <w:b/>
          <w:bCs/>
          <w:color w:val="FFFFFF"/>
          <w:sz w:val="2"/>
          <w:szCs w:val="2"/>
          <w:rtl/>
        </w:rPr>
        <w:t>54678313</w:t>
      </w:r>
    </w:p>
    <w:p w14:paraId="189D8BCA" w14:textId="77777777" w:rsidR="000E413C" w:rsidRPr="000F2247" w:rsidRDefault="000E413C" w:rsidP="000E413C">
      <w:pPr>
        <w:rPr>
          <w:rFonts w:ascii="Arial" w:hAnsi="Arial"/>
          <w:b/>
          <w:bCs/>
          <w:sz w:val="26"/>
          <w:szCs w:val="26"/>
          <w:rtl/>
        </w:rPr>
      </w:pPr>
    </w:p>
    <w:p w14:paraId="6F08820C" w14:textId="77777777" w:rsidR="000E413C" w:rsidRPr="000F2247" w:rsidRDefault="00001D81" w:rsidP="000E413C">
      <w:pPr>
        <w:rPr>
          <w:rFonts w:ascii="Arial" w:hAnsi="Arial"/>
          <w:b/>
          <w:bCs/>
          <w:sz w:val="26"/>
          <w:szCs w:val="26"/>
          <w:rtl/>
        </w:rPr>
      </w:pPr>
      <w:bookmarkStart w:id="11" w:name="Nitan"/>
      <w:r>
        <w:rPr>
          <w:rFonts w:ascii="Arial" w:hAnsi="Arial"/>
          <w:b/>
          <w:bCs/>
          <w:sz w:val="26"/>
          <w:szCs w:val="26"/>
          <w:rtl/>
        </w:rPr>
        <w:t xml:space="preserve">ניתן היום,  ט"ז אלול תשפ"ב, 12 ספטמבר 2022, במעמד הצדדים. </w:t>
      </w:r>
      <w:bookmarkEnd w:id="11"/>
    </w:p>
    <w:p w14:paraId="3471F302" w14:textId="77777777" w:rsidR="000E413C" w:rsidRPr="000F2247" w:rsidRDefault="000E413C" w:rsidP="00001D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8455E4" w14:textId="77777777" w:rsidR="000E413C" w:rsidRPr="008459DA" w:rsidRDefault="008459DA" w:rsidP="000E413C">
      <w:pPr>
        <w:jc w:val="center"/>
        <w:rPr>
          <w:rFonts w:ascii="Arial" w:hAnsi="Arial"/>
          <w:b/>
          <w:bCs/>
          <w:color w:val="FFFFFF"/>
          <w:sz w:val="2"/>
          <w:szCs w:val="2"/>
          <w:rtl/>
        </w:rPr>
      </w:pPr>
      <w:r w:rsidRPr="008459DA">
        <w:rPr>
          <w:rFonts w:ascii="Arial" w:hAnsi="Arial"/>
          <w:b/>
          <w:bCs/>
          <w:color w:val="FFFFFF"/>
          <w:sz w:val="2"/>
          <w:szCs w:val="2"/>
          <w:rtl/>
        </w:rPr>
        <w:t>5129371</w:t>
      </w:r>
    </w:p>
    <w:p w14:paraId="79DFCE36" w14:textId="77777777" w:rsidR="006D2137" w:rsidRPr="008459DA" w:rsidRDefault="008459DA" w:rsidP="00001D81">
      <w:pPr>
        <w:keepNext/>
        <w:rPr>
          <w:rFonts w:ascii="David" w:hAnsi="David"/>
          <w:color w:val="FFFFFF"/>
          <w:sz w:val="2"/>
          <w:szCs w:val="2"/>
          <w:rtl/>
        </w:rPr>
      </w:pPr>
      <w:r w:rsidRPr="008459DA">
        <w:rPr>
          <w:rFonts w:ascii="David" w:hAnsi="David"/>
          <w:color w:val="FFFFFF"/>
          <w:sz w:val="2"/>
          <w:szCs w:val="2"/>
          <w:rtl/>
        </w:rPr>
        <w:t>54678313</w:t>
      </w:r>
    </w:p>
    <w:p w14:paraId="19F6EB46" w14:textId="77777777" w:rsidR="00001D81" w:rsidRDefault="00001D81" w:rsidP="00001D81">
      <w:pPr>
        <w:rPr>
          <w:rtl/>
        </w:rPr>
      </w:pPr>
    </w:p>
    <w:p w14:paraId="30ACA76F" w14:textId="77777777" w:rsidR="00001D81" w:rsidRDefault="00001D81" w:rsidP="00001D8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AA02058" w14:textId="77777777" w:rsidR="008459DA" w:rsidRPr="008459DA" w:rsidRDefault="008459DA" w:rsidP="008459DA">
      <w:pPr>
        <w:keepNext/>
        <w:rPr>
          <w:rFonts w:ascii="David" w:hAnsi="David"/>
          <w:color w:val="000000"/>
          <w:sz w:val="22"/>
          <w:szCs w:val="22"/>
          <w:rtl/>
        </w:rPr>
      </w:pPr>
    </w:p>
    <w:p w14:paraId="1C05B3B3" w14:textId="77777777" w:rsidR="008459DA" w:rsidRPr="008459DA" w:rsidRDefault="008459DA" w:rsidP="008459DA">
      <w:pPr>
        <w:keepNext/>
        <w:rPr>
          <w:rFonts w:ascii="David" w:hAnsi="David"/>
          <w:color w:val="000000"/>
          <w:sz w:val="22"/>
          <w:szCs w:val="22"/>
          <w:rtl/>
        </w:rPr>
      </w:pPr>
      <w:r w:rsidRPr="008459DA">
        <w:rPr>
          <w:rFonts w:ascii="David" w:hAnsi="David"/>
          <w:color w:val="000000"/>
          <w:sz w:val="22"/>
          <w:szCs w:val="22"/>
          <w:rtl/>
        </w:rPr>
        <w:t>יניב בן הרוש 54678313-/</w:t>
      </w:r>
    </w:p>
    <w:p w14:paraId="21CBAACD" w14:textId="77777777" w:rsidR="00001D81" w:rsidRPr="00001D81" w:rsidRDefault="008459DA" w:rsidP="008459DA">
      <w:pPr>
        <w:rPr>
          <w:color w:val="0000FF"/>
          <w:u w:val="single"/>
        </w:rPr>
      </w:pPr>
      <w:r w:rsidRPr="008459DA">
        <w:rPr>
          <w:color w:val="000000"/>
          <w:u w:val="single"/>
          <w:rtl/>
        </w:rPr>
        <w:t>נוסח מסמך זה כפוף לשינויי ניסוח ועריכה</w:t>
      </w:r>
    </w:p>
    <w:sectPr w:rsidR="00001D81" w:rsidRPr="00001D81" w:rsidSect="008459DA">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3263D" w14:textId="77777777" w:rsidR="00EF4B97" w:rsidRDefault="00EF4B97" w:rsidP="00EA1BED">
      <w:r>
        <w:separator/>
      </w:r>
    </w:p>
  </w:endnote>
  <w:endnote w:type="continuationSeparator" w:id="0">
    <w:p w14:paraId="752F9580" w14:textId="77777777" w:rsidR="00EF4B97" w:rsidRDefault="00EF4B97" w:rsidP="00EA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C3A45" w14:textId="77777777" w:rsidR="008459DA" w:rsidRDefault="008459DA" w:rsidP="008459D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F459E8" w14:textId="77777777" w:rsidR="00B06874" w:rsidRPr="008459DA" w:rsidRDefault="008459DA" w:rsidP="008459DA">
    <w:pPr>
      <w:pStyle w:val="a6"/>
      <w:pBdr>
        <w:top w:val="single" w:sz="4" w:space="1" w:color="auto"/>
        <w:between w:val="single" w:sz="4" w:space="0" w:color="auto"/>
      </w:pBdr>
      <w:spacing w:after="60"/>
      <w:jc w:val="center"/>
      <w:rPr>
        <w:rFonts w:ascii="FrankRuehl" w:hAnsi="FrankRuehl" w:cs="FrankRuehl"/>
        <w:color w:val="000000"/>
      </w:rPr>
    </w:pPr>
    <w:r w:rsidRPr="008459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5989" w14:textId="77777777" w:rsidR="008459DA" w:rsidRDefault="008459DA" w:rsidP="008459D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63D4">
      <w:rPr>
        <w:rFonts w:ascii="FrankRuehl" w:hAnsi="FrankRuehl" w:cs="FrankRuehl"/>
        <w:noProof/>
        <w:rtl/>
      </w:rPr>
      <w:t>1</w:t>
    </w:r>
    <w:r>
      <w:rPr>
        <w:rFonts w:ascii="FrankRuehl" w:hAnsi="FrankRuehl" w:cs="FrankRuehl"/>
        <w:rtl/>
      </w:rPr>
      <w:fldChar w:fldCharType="end"/>
    </w:r>
  </w:p>
  <w:p w14:paraId="0AF6D841" w14:textId="77777777" w:rsidR="00B06874" w:rsidRPr="008459DA" w:rsidRDefault="008459DA" w:rsidP="008459DA">
    <w:pPr>
      <w:pStyle w:val="a6"/>
      <w:pBdr>
        <w:top w:val="single" w:sz="4" w:space="1" w:color="auto"/>
        <w:between w:val="single" w:sz="4" w:space="0" w:color="auto"/>
      </w:pBdr>
      <w:spacing w:after="60"/>
      <w:jc w:val="center"/>
      <w:rPr>
        <w:rFonts w:ascii="FrankRuehl" w:hAnsi="FrankRuehl" w:cs="FrankRuehl"/>
        <w:color w:val="000000"/>
      </w:rPr>
    </w:pPr>
    <w:r w:rsidRPr="008459DA">
      <w:rPr>
        <w:rFonts w:ascii="FrankRuehl" w:hAnsi="FrankRuehl" w:cs="FrankRuehl"/>
        <w:color w:val="000000"/>
      </w:rPr>
      <w:pict w14:anchorId="67155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99F69" w14:textId="77777777" w:rsidR="00EF4B97" w:rsidRDefault="00EF4B97" w:rsidP="00EA1BED">
      <w:r>
        <w:separator/>
      </w:r>
    </w:p>
  </w:footnote>
  <w:footnote w:type="continuationSeparator" w:id="0">
    <w:p w14:paraId="45BAAD4B" w14:textId="77777777" w:rsidR="00EF4B97" w:rsidRDefault="00EF4B97" w:rsidP="00EA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C78F8" w14:textId="77777777" w:rsidR="00001D81" w:rsidRPr="008459DA" w:rsidRDefault="008459DA" w:rsidP="008459D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59017-02-21</w:t>
    </w:r>
    <w:r>
      <w:rPr>
        <w:rFonts w:ascii="David" w:hAnsi="David"/>
        <w:color w:val="000000"/>
        <w:sz w:val="22"/>
        <w:szCs w:val="22"/>
        <w:rtl/>
      </w:rPr>
      <w:tab/>
      <w:t xml:space="preserve"> מדינת ישראל נ' אלירן 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5C1E" w14:textId="77777777" w:rsidR="00001D81" w:rsidRPr="008459DA" w:rsidRDefault="008459DA" w:rsidP="008459D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59017-02-21</w:t>
    </w:r>
    <w:r>
      <w:rPr>
        <w:rFonts w:ascii="David" w:hAnsi="David"/>
        <w:color w:val="000000"/>
        <w:sz w:val="22"/>
        <w:szCs w:val="22"/>
        <w:rtl/>
      </w:rPr>
      <w:tab/>
      <w:t xml:space="preserve"> מדינת ישראל נ' אלירן מויאל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1AD4A1A0"/>
    <w:lvl w:ilvl="0" w:tplc="1376E05A">
      <w:start w:val="1"/>
      <w:numFmt w:val="decimal"/>
      <w:pStyle w:val="a"/>
      <w:lvlText w:val="%1."/>
      <w:lvlJc w:val="left"/>
      <w:pPr>
        <w:tabs>
          <w:tab w:val="num" w:pos="720"/>
        </w:tabs>
        <w:ind w:left="720" w:hanging="720"/>
      </w:pPr>
      <w:rPr>
        <w:rFonts w:cs="David"/>
      </w:rPr>
    </w:lvl>
    <w:lvl w:ilvl="1" w:tplc="8CB8D4C2">
      <w:start w:val="1"/>
      <w:numFmt w:val="hebrew1"/>
      <w:lvlText w:val="%2."/>
      <w:lvlJc w:val="left"/>
      <w:pPr>
        <w:tabs>
          <w:tab w:val="num" w:pos="1620"/>
        </w:tabs>
        <w:ind w:left="1620" w:hanging="360"/>
      </w:pPr>
      <w:rPr>
        <w:rFonts w:cs="David"/>
        <w:b w:val="0"/>
        <w:bCs w:val="0"/>
      </w:rPr>
    </w:lvl>
    <w:lvl w:ilvl="2" w:tplc="CB82C9C8">
      <w:start w:val="1"/>
      <w:numFmt w:val="decimal"/>
      <w:lvlText w:val="(%3)"/>
      <w:lvlJc w:val="left"/>
      <w:pPr>
        <w:tabs>
          <w:tab w:val="num" w:pos="2340"/>
        </w:tabs>
        <w:ind w:left="2340" w:hanging="360"/>
      </w:pPr>
      <w:rPr>
        <w:rFonts w:cs="Times New Roman"/>
      </w:rPr>
    </w:lvl>
    <w:lvl w:ilvl="3" w:tplc="A5448AAA">
      <w:start w:val="1"/>
      <w:numFmt w:val="decimal"/>
      <w:lvlText w:val="%4."/>
      <w:lvlJc w:val="left"/>
      <w:pPr>
        <w:tabs>
          <w:tab w:val="num" w:pos="2880"/>
        </w:tabs>
        <w:ind w:left="2880" w:hanging="360"/>
      </w:pPr>
      <w:rPr>
        <w:rFonts w:cs="Times New Roman"/>
      </w:rPr>
    </w:lvl>
    <w:lvl w:ilvl="4" w:tplc="3A04315C">
      <w:start w:val="1"/>
      <w:numFmt w:val="lowerLetter"/>
      <w:lvlText w:val="%5."/>
      <w:lvlJc w:val="left"/>
      <w:pPr>
        <w:tabs>
          <w:tab w:val="num" w:pos="3600"/>
        </w:tabs>
        <w:ind w:left="3600" w:hanging="360"/>
      </w:pPr>
      <w:rPr>
        <w:rFonts w:cs="Times New Roman"/>
      </w:rPr>
    </w:lvl>
    <w:lvl w:ilvl="5" w:tplc="F0CEB85A">
      <w:start w:val="1"/>
      <w:numFmt w:val="lowerRoman"/>
      <w:lvlText w:val="%6."/>
      <w:lvlJc w:val="right"/>
      <w:pPr>
        <w:tabs>
          <w:tab w:val="num" w:pos="4320"/>
        </w:tabs>
        <w:ind w:left="4320" w:hanging="180"/>
      </w:pPr>
      <w:rPr>
        <w:rFonts w:cs="Times New Roman"/>
      </w:rPr>
    </w:lvl>
    <w:lvl w:ilvl="6" w:tplc="CD7A694A">
      <w:start w:val="1"/>
      <w:numFmt w:val="decimal"/>
      <w:lvlText w:val="%7."/>
      <w:lvlJc w:val="left"/>
      <w:pPr>
        <w:tabs>
          <w:tab w:val="num" w:pos="5040"/>
        </w:tabs>
        <w:ind w:left="5040" w:hanging="360"/>
      </w:pPr>
      <w:rPr>
        <w:rFonts w:cs="Times New Roman"/>
      </w:rPr>
    </w:lvl>
    <w:lvl w:ilvl="7" w:tplc="A6404F8A">
      <w:start w:val="1"/>
      <w:numFmt w:val="lowerLetter"/>
      <w:lvlText w:val="%8."/>
      <w:lvlJc w:val="left"/>
      <w:pPr>
        <w:tabs>
          <w:tab w:val="num" w:pos="5760"/>
        </w:tabs>
        <w:ind w:left="5760" w:hanging="360"/>
      </w:pPr>
      <w:rPr>
        <w:rFonts w:cs="Times New Roman"/>
      </w:rPr>
    </w:lvl>
    <w:lvl w:ilvl="8" w:tplc="F970CA78">
      <w:start w:val="1"/>
      <w:numFmt w:val="lowerRoman"/>
      <w:lvlText w:val="%9."/>
      <w:lvlJc w:val="right"/>
      <w:pPr>
        <w:tabs>
          <w:tab w:val="num" w:pos="6480"/>
        </w:tabs>
        <w:ind w:left="6480" w:hanging="180"/>
      </w:pPr>
      <w:rPr>
        <w:rFonts w:cs="Times New Roman"/>
      </w:rPr>
    </w:lvl>
  </w:abstractNum>
  <w:abstractNum w:abstractNumId="1" w15:restartNumberingAfterBreak="0">
    <w:nsid w:val="3EC3747F"/>
    <w:multiLevelType w:val="hybridMultilevel"/>
    <w:tmpl w:val="E126F992"/>
    <w:lvl w:ilvl="0" w:tplc="6144C2B2">
      <w:start w:val="1"/>
      <w:numFmt w:val="hebrew1"/>
      <w:lvlText w:val="%1."/>
      <w:lvlJc w:val="left"/>
      <w:pPr>
        <w:ind w:left="720" w:hanging="360"/>
      </w:pPr>
      <w:rPr>
        <w:lang w:val="en-US"/>
      </w:rPr>
    </w:lvl>
    <w:lvl w:ilvl="1" w:tplc="C00AB2A6">
      <w:start w:val="1"/>
      <w:numFmt w:val="lowerLetter"/>
      <w:lvlText w:val="%2."/>
      <w:lvlJc w:val="left"/>
      <w:pPr>
        <w:ind w:left="1440" w:hanging="360"/>
      </w:pPr>
    </w:lvl>
    <w:lvl w:ilvl="2" w:tplc="3E9A180C">
      <w:start w:val="1"/>
      <w:numFmt w:val="lowerRoman"/>
      <w:lvlText w:val="%3."/>
      <w:lvlJc w:val="right"/>
      <w:pPr>
        <w:ind w:left="2160" w:hanging="180"/>
      </w:pPr>
    </w:lvl>
    <w:lvl w:ilvl="3" w:tplc="D6843F26">
      <w:start w:val="1"/>
      <w:numFmt w:val="decimal"/>
      <w:lvlText w:val="%4."/>
      <w:lvlJc w:val="left"/>
      <w:pPr>
        <w:ind w:left="2880" w:hanging="360"/>
      </w:pPr>
    </w:lvl>
    <w:lvl w:ilvl="4" w:tplc="03A64AF6">
      <w:start w:val="1"/>
      <w:numFmt w:val="lowerLetter"/>
      <w:lvlText w:val="%5."/>
      <w:lvlJc w:val="left"/>
      <w:pPr>
        <w:ind w:left="3600" w:hanging="360"/>
      </w:pPr>
    </w:lvl>
    <w:lvl w:ilvl="5" w:tplc="32601D4E">
      <w:start w:val="1"/>
      <w:numFmt w:val="lowerRoman"/>
      <w:lvlText w:val="%6."/>
      <w:lvlJc w:val="right"/>
      <w:pPr>
        <w:ind w:left="4320" w:hanging="180"/>
      </w:pPr>
    </w:lvl>
    <w:lvl w:ilvl="6" w:tplc="875080BE">
      <w:start w:val="1"/>
      <w:numFmt w:val="decimal"/>
      <w:lvlText w:val="%7."/>
      <w:lvlJc w:val="left"/>
      <w:pPr>
        <w:ind w:left="5040" w:hanging="360"/>
      </w:pPr>
    </w:lvl>
    <w:lvl w:ilvl="7" w:tplc="703634B2">
      <w:start w:val="1"/>
      <w:numFmt w:val="lowerLetter"/>
      <w:lvlText w:val="%8."/>
      <w:lvlJc w:val="left"/>
      <w:pPr>
        <w:ind w:left="5760" w:hanging="360"/>
      </w:pPr>
    </w:lvl>
    <w:lvl w:ilvl="8" w:tplc="D8B8BDFA">
      <w:start w:val="1"/>
      <w:numFmt w:val="lowerRoman"/>
      <w:lvlText w:val="%9."/>
      <w:lvlJc w:val="right"/>
      <w:pPr>
        <w:ind w:left="6480" w:hanging="180"/>
      </w:pPr>
    </w:lvl>
  </w:abstractNum>
  <w:abstractNum w:abstractNumId="2" w15:restartNumberingAfterBreak="0">
    <w:nsid w:val="67F56DA5"/>
    <w:multiLevelType w:val="hybridMultilevel"/>
    <w:tmpl w:val="93944286"/>
    <w:lvl w:ilvl="0" w:tplc="2C4CBB40">
      <w:start w:val="1"/>
      <w:numFmt w:val="decimal"/>
      <w:lvlText w:val="%1."/>
      <w:lvlJc w:val="left"/>
      <w:pPr>
        <w:ind w:left="720" w:hanging="360"/>
      </w:pPr>
      <w:rPr>
        <w:rFonts w:cs="Times New Roman"/>
        <w:b w:val="0"/>
        <w:bCs w:val="0"/>
      </w:rPr>
    </w:lvl>
    <w:lvl w:ilvl="1" w:tplc="2D7C56CE">
      <w:start w:val="1"/>
      <w:numFmt w:val="hebrew1"/>
      <w:lvlText w:val="%2."/>
      <w:lvlJc w:val="center"/>
      <w:pPr>
        <w:ind w:left="1440" w:hanging="360"/>
      </w:pPr>
    </w:lvl>
    <w:lvl w:ilvl="2" w:tplc="9C96C456">
      <w:start w:val="1"/>
      <w:numFmt w:val="lowerRoman"/>
      <w:lvlText w:val="%3."/>
      <w:lvlJc w:val="right"/>
      <w:pPr>
        <w:ind w:left="2160" w:hanging="180"/>
      </w:pPr>
      <w:rPr>
        <w:rFonts w:cs="Times New Roman"/>
      </w:rPr>
    </w:lvl>
    <w:lvl w:ilvl="3" w:tplc="CF7699EA">
      <w:start w:val="1"/>
      <w:numFmt w:val="decimal"/>
      <w:lvlText w:val="%4."/>
      <w:lvlJc w:val="left"/>
      <w:pPr>
        <w:ind w:left="2880" w:hanging="360"/>
      </w:pPr>
      <w:rPr>
        <w:rFonts w:cs="Times New Roman"/>
      </w:rPr>
    </w:lvl>
    <w:lvl w:ilvl="4" w:tplc="44A4CCCA">
      <w:start w:val="1"/>
      <w:numFmt w:val="lowerLetter"/>
      <w:lvlText w:val="%5."/>
      <w:lvlJc w:val="left"/>
      <w:pPr>
        <w:ind w:left="3600" w:hanging="360"/>
      </w:pPr>
      <w:rPr>
        <w:rFonts w:cs="Times New Roman"/>
      </w:rPr>
    </w:lvl>
    <w:lvl w:ilvl="5" w:tplc="DBD2BBBC">
      <w:start w:val="1"/>
      <w:numFmt w:val="lowerRoman"/>
      <w:lvlText w:val="%6."/>
      <w:lvlJc w:val="right"/>
      <w:pPr>
        <w:ind w:left="4320" w:hanging="180"/>
      </w:pPr>
      <w:rPr>
        <w:rFonts w:cs="Times New Roman"/>
      </w:rPr>
    </w:lvl>
    <w:lvl w:ilvl="6" w:tplc="A6E679BC">
      <w:start w:val="1"/>
      <w:numFmt w:val="decimal"/>
      <w:lvlText w:val="%7."/>
      <w:lvlJc w:val="left"/>
      <w:pPr>
        <w:ind w:left="5040" w:hanging="360"/>
      </w:pPr>
      <w:rPr>
        <w:rFonts w:cs="Times New Roman"/>
      </w:rPr>
    </w:lvl>
    <w:lvl w:ilvl="7" w:tplc="8FB22AD8">
      <w:start w:val="1"/>
      <w:numFmt w:val="lowerLetter"/>
      <w:lvlText w:val="%8."/>
      <w:lvlJc w:val="left"/>
      <w:pPr>
        <w:ind w:left="5760" w:hanging="360"/>
      </w:pPr>
      <w:rPr>
        <w:rFonts w:cs="Times New Roman"/>
      </w:rPr>
    </w:lvl>
    <w:lvl w:ilvl="8" w:tplc="E41E1678">
      <w:start w:val="1"/>
      <w:numFmt w:val="lowerRoman"/>
      <w:lvlText w:val="%9."/>
      <w:lvlJc w:val="right"/>
      <w:pPr>
        <w:ind w:left="6480" w:hanging="180"/>
      </w:pPr>
      <w:rPr>
        <w:rFonts w:cs="Times New Roman"/>
      </w:rPr>
    </w:lvl>
  </w:abstractNum>
  <w:num w:numId="1" w16cid:durableId="3929732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1961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54756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413C"/>
    <w:rsid w:val="00001D81"/>
    <w:rsid w:val="000E413C"/>
    <w:rsid w:val="001B5A3B"/>
    <w:rsid w:val="00323110"/>
    <w:rsid w:val="006D2137"/>
    <w:rsid w:val="00714D67"/>
    <w:rsid w:val="007323D7"/>
    <w:rsid w:val="008459DA"/>
    <w:rsid w:val="00961D86"/>
    <w:rsid w:val="00A60384"/>
    <w:rsid w:val="00AA5247"/>
    <w:rsid w:val="00B06874"/>
    <w:rsid w:val="00BF63D4"/>
    <w:rsid w:val="00D36720"/>
    <w:rsid w:val="00DA3265"/>
    <w:rsid w:val="00EA1BED"/>
    <w:rsid w:val="00EF4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40EC6B"/>
  <w15:chartTrackingRefBased/>
  <w15:docId w15:val="{535F0BD9-E3A3-454A-83CF-5ECCFB2F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E413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E413C"/>
    <w:pPr>
      <w:tabs>
        <w:tab w:val="center" w:pos="4153"/>
        <w:tab w:val="right" w:pos="8306"/>
      </w:tabs>
    </w:pPr>
  </w:style>
  <w:style w:type="character" w:customStyle="1" w:styleId="a5">
    <w:name w:val="כותרת עליונה תו"/>
    <w:link w:val="a4"/>
    <w:rsid w:val="000E413C"/>
    <w:rPr>
      <w:rFonts w:ascii="Times New Roman" w:eastAsia="Times New Roman" w:hAnsi="Times New Roman" w:cs="David"/>
      <w:sz w:val="24"/>
      <w:szCs w:val="24"/>
    </w:rPr>
  </w:style>
  <w:style w:type="paragraph" w:styleId="a6">
    <w:name w:val="footer"/>
    <w:basedOn w:val="a0"/>
    <w:link w:val="a7"/>
    <w:rsid w:val="000E413C"/>
    <w:pPr>
      <w:tabs>
        <w:tab w:val="center" w:pos="4153"/>
        <w:tab w:val="right" w:pos="8306"/>
      </w:tabs>
    </w:pPr>
  </w:style>
  <w:style w:type="character" w:customStyle="1" w:styleId="a7">
    <w:name w:val="כותרת תחתונה תו"/>
    <w:link w:val="a6"/>
    <w:rsid w:val="000E413C"/>
    <w:rPr>
      <w:rFonts w:ascii="Times New Roman" w:eastAsia="Times New Roman" w:hAnsi="Times New Roman" w:cs="David"/>
      <w:sz w:val="24"/>
      <w:szCs w:val="24"/>
    </w:rPr>
  </w:style>
  <w:style w:type="table" w:styleId="a8">
    <w:name w:val="Table Grid"/>
    <w:basedOn w:val="a2"/>
    <w:rsid w:val="000E41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0E413C"/>
  </w:style>
  <w:style w:type="paragraph" w:styleId="aa">
    <w:name w:val="List Paragraph"/>
    <w:basedOn w:val="a0"/>
    <w:qFormat/>
    <w:rsid w:val="000E413C"/>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0E413C"/>
    <w:pPr>
      <w:numPr>
        <w:numId w:val="1"/>
      </w:numPr>
      <w:spacing w:after="120" w:line="360" w:lineRule="auto"/>
    </w:pPr>
    <w:rPr>
      <w:rFonts w:ascii="David" w:hAnsi="David"/>
      <w:color w:val="000000"/>
    </w:rPr>
  </w:style>
  <w:style w:type="character" w:styleId="Hyperlink">
    <w:name w:val="Hyperlink"/>
    <w:rsid w:val="00001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290050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838821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1127920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3750765"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a.3"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11279208" TargetMode="External"/><Relationship Id="rId23" Type="http://schemas.openxmlformats.org/officeDocument/2006/relationships/hyperlink" Target="http://www.nevo.co.il/case/25459244"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0i.a.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809239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1376</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8245</CharactersWithSpaces>
  <SharedDoc>false</SharedDoc>
  <HLinks>
    <vt:vector size="108" baseType="variant">
      <vt:variant>
        <vt:i4>393283</vt:i4>
      </vt:variant>
      <vt:variant>
        <vt:i4>54</vt:i4>
      </vt:variant>
      <vt:variant>
        <vt:i4>0</vt:i4>
      </vt:variant>
      <vt:variant>
        <vt:i4>5</vt:i4>
      </vt:variant>
      <vt:variant>
        <vt:lpwstr>http://www.nevo.co.il/advertisements/nevo-100.doc</vt:lpwstr>
      </vt:variant>
      <vt:variant>
        <vt:lpwstr/>
      </vt:variant>
      <vt:variant>
        <vt:i4>3866742</vt:i4>
      </vt:variant>
      <vt:variant>
        <vt:i4>51</vt:i4>
      </vt:variant>
      <vt:variant>
        <vt:i4>0</vt:i4>
      </vt:variant>
      <vt:variant>
        <vt:i4>5</vt:i4>
      </vt:variant>
      <vt:variant>
        <vt:lpwstr>http://www.nevo.co.il/case/25459244</vt:lpwstr>
      </vt:variant>
      <vt:variant>
        <vt:lpwstr/>
      </vt:variant>
      <vt:variant>
        <vt:i4>3735670</vt:i4>
      </vt:variant>
      <vt:variant>
        <vt:i4>48</vt:i4>
      </vt:variant>
      <vt:variant>
        <vt:i4>0</vt:i4>
      </vt:variant>
      <vt:variant>
        <vt:i4>5</vt:i4>
      </vt:variant>
      <vt:variant>
        <vt:lpwstr>http://www.nevo.co.il/case/28092391</vt:lpwstr>
      </vt:variant>
      <vt:variant>
        <vt:lpwstr/>
      </vt:variant>
      <vt:variant>
        <vt:i4>3670134</vt:i4>
      </vt:variant>
      <vt:variant>
        <vt:i4>45</vt:i4>
      </vt:variant>
      <vt:variant>
        <vt:i4>0</vt:i4>
      </vt:variant>
      <vt:variant>
        <vt:i4>5</vt:i4>
      </vt:variant>
      <vt:variant>
        <vt:lpwstr>http://www.nevo.co.il/case/28388215</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6619241</vt:i4>
      </vt:variant>
      <vt:variant>
        <vt:i4>39</vt:i4>
      </vt:variant>
      <vt:variant>
        <vt:i4>0</vt:i4>
      </vt:variant>
      <vt:variant>
        <vt:i4>5</vt:i4>
      </vt:variant>
      <vt:variant>
        <vt:lpwstr>http://www.nevo.co.il/law/70301/40i.a.3</vt:lpwstr>
      </vt:variant>
      <vt:variant>
        <vt:lpwstr/>
      </vt:variant>
      <vt:variant>
        <vt:i4>3866739</vt:i4>
      </vt:variant>
      <vt:variant>
        <vt:i4>36</vt:i4>
      </vt:variant>
      <vt:variant>
        <vt:i4>0</vt:i4>
      </vt:variant>
      <vt:variant>
        <vt:i4>5</vt:i4>
      </vt:variant>
      <vt:variant>
        <vt:lpwstr>http://www.nevo.co.il/case/22900505</vt:lpwstr>
      </vt:variant>
      <vt:variant>
        <vt:lpwstr/>
      </vt:variant>
      <vt:variant>
        <vt:i4>3801200</vt:i4>
      </vt:variant>
      <vt:variant>
        <vt:i4>33</vt:i4>
      </vt:variant>
      <vt:variant>
        <vt:i4>0</vt:i4>
      </vt:variant>
      <vt:variant>
        <vt:i4>5</vt:i4>
      </vt:variant>
      <vt:variant>
        <vt:lpwstr>http://www.nevo.co.il/case/11279208</vt:lpwstr>
      </vt:variant>
      <vt:variant>
        <vt:lpwstr/>
      </vt:variant>
      <vt:variant>
        <vt:i4>3342453</vt:i4>
      </vt:variant>
      <vt:variant>
        <vt:i4>30</vt:i4>
      </vt:variant>
      <vt:variant>
        <vt:i4>0</vt:i4>
      </vt:variant>
      <vt:variant>
        <vt:i4>5</vt:i4>
      </vt:variant>
      <vt:variant>
        <vt:lpwstr>http://www.nevo.co.il/case/23750765</vt:lpwstr>
      </vt:variant>
      <vt:variant>
        <vt:lpwstr/>
      </vt:variant>
      <vt:variant>
        <vt:i4>3801200</vt:i4>
      </vt:variant>
      <vt:variant>
        <vt:i4>24</vt:i4>
      </vt:variant>
      <vt:variant>
        <vt:i4>0</vt:i4>
      </vt:variant>
      <vt:variant>
        <vt:i4>5</vt:i4>
      </vt:variant>
      <vt:variant>
        <vt:lpwstr>http://www.nevo.co.il/case/11279208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6619241</vt:i4>
      </vt:variant>
      <vt:variant>
        <vt:i4>12</vt:i4>
      </vt:variant>
      <vt:variant>
        <vt:i4>0</vt:i4>
      </vt:variant>
      <vt:variant>
        <vt:i4>5</vt:i4>
      </vt:variant>
      <vt:variant>
        <vt:lpwstr>http://www.nevo.co.il/law/70301/40i.a.3</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59017</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אלירן מויאל</vt:lpwstr>
  </property>
  <property fmtid="{D5CDD505-2E9C-101B-9397-08002B2CF9AE}" pid="10" name="LAWYER">
    <vt:lpwstr>תום נקש;אלי גורליק</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20220912</vt:lpwstr>
  </property>
  <property fmtid="{D5CDD505-2E9C-101B-9397-08002B2CF9AE}" pid="14" name="TYPE_N_DATE">
    <vt:lpwstr>38020220912</vt:lpwstr>
  </property>
  <property fmtid="{D5CDD505-2E9C-101B-9397-08002B2CF9AE}" pid="15" name="WORDNUMPAGES">
    <vt:lpwstr>5</vt:lpwstr>
  </property>
  <property fmtid="{D5CDD505-2E9C-101B-9397-08002B2CF9AE}" pid="16" name="TYPE_ABS_DATE">
    <vt:lpwstr>380020220912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11279208:2;23750765;22900505;28388215;28092391;25459244</vt:lpwstr>
  </property>
  <property fmtid="{D5CDD505-2E9C-101B-9397-08002B2CF9AE}" pid="36" name="LAWLISTTMP1">
    <vt:lpwstr>4216/007.a;007.c</vt:lpwstr>
  </property>
  <property fmtid="{D5CDD505-2E9C-101B-9397-08002B2CF9AE}" pid="37" name="LAWLISTTMP2">
    <vt:lpwstr>70301/040i.a.3</vt:lpwstr>
  </property>
</Properties>
</file>