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F863F0" w:rsidRPr="0026419E" w14:paraId="739719F2" w14:textId="77777777" w:rsidTr="00610800">
        <w:trPr>
          <w:gridAfter w:val="1"/>
          <w:wAfter w:w="99" w:type="dxa"/>
          <w:trHeight w:hRule="exact" w:val="418"/>
          <w:jc w:val="center"/>
        </w:trPr>
        <w:tc>
          <w:tcPr>
            <w:tcW w:w="8721" w:type="dxa"/>
            <w:gridSpan w:val="4"/>
          </w:tcPr>
          <w:p w14:paraId="1FD2C332" w14:textId="77777777" w:rsidR="00F863F0" w:rsidRPr="0026419E" w:rsidRDefault="00F863F0" w:rsidP="006744FC">
            <w:pPr>
              <w:pStyle w:val="a3"/>
              <w:jc w:val="center"/>
              <w:rPr>
                <w:rFonts w:ascii="Tahoma" w:hAnsi="Tahoma" w:cs="Tahoma"/>
                <w:color w:val="000080"/>
                <w:rtl/>
              </w:rPr>
            </w:pPr>
            <w:bookmarkStart w:id="0" w:name="LastJudge"/>
            <w:r w:rsidRPr="0026419E">
              <w:rPr>
                <w:rFonts w:ascii="Tahoma" w:hAnsi="Tahoma" w:cs="Tahoma"/>
                <w:b/>
                <w:bCs/>
                <w:color w:val="000080"/>
                <w:rtl/>
              </w:rPr>
              <w:t>בית משפט השלום בירושלים</w:t>
            </w:r>
          </w:p>
        </w:tc>
      </w:tr>
      <w:tr w:rsidR="00F863F0" w:rsidRPr="0026419E" w14:paraId="730518B7" w14:textId="77777777" w:rsidTr="00610800">
        <w:trPr>
          <w:gridAfter w:val="1"/>
          <w:wAfter w:w="99" w:type="dxa"/>
          <w:trHeight w:val="337"/>
          <w:jc w:val="center"/>
        </w:trPr>
        <w:tc>
          <w:tcPr>
            <w:tcW w:w="5054" w:type="dxa"/>
            <w:gridSpan w:val="3"/>
          </w:tcPr>
          <w:p w14:paraId="06CB4F61" w14:textId="77777777" w:rsidR="00F863F0" w:rsidRPr="0026419E" w:rsidRDefault="00F863F0" w:rsidP="006744FC">
            <w:pPr>
              <w:rPr>
                <w:rFonts w:cs="FrankRuehl"/>
                <w:sz w:val="28"/>
                <w:szCs w:val="28"/>
                <w:rtl/>
              </w:rPr>
            </w:pPr>
            <w:r w:rsidRPr="0026419E">
              <w:rPr>
                <w:rFonts w:cs="FrankRuehl"/>
                <w:sz w:val="28"/>
                <w:szCs w:val="28"/>
                <w:rtl/>
              </w:rPr>
              <w:t>ת"פ</w:t>
            </w:r>
            <w:r w:rsidRPr="0026419E">
              <w:rPr>
                <w:rFonts w:cs="FrankRuehl" w:hint="cs"/>
                <w:sz w:val="28"/>
                <w:szCs w:val="28"/>
                <w:rtl/>
              </w:rPr>
              <w:t xml:space="preserve"> </w:t>
            </w:r>
            <w:r w:rsidRPr="0026419E">
              <w:rPr>
                <w:rFonts w:cs="FrankRuehl"/>
                <w:sz w:val="28"/>
                <w:szCs w:val="28"/>
                <w:rtl/>
              </w:rPr>
              <w:t>16231-03-21</w:t>
            </w:r>
            <w:r w:rsidRPr="0026419E">
              <w:rPr>
                <w:rFonts w:cs="FrankRuehl" w:hint="cs"/>
                <w:sz w:val="28"/>
                <w:szCs w:val="28"/>
                <w:rtl/>
              </w:rPr>
              <w:t xml:space="preserve"> </w:t>
            </w:r>
            <w:r w:rsidRPr="0026419E">
              <w:rPr>
                <w:rFonts w:cs="FrankRuehl"/>
                <w:sz w:val="28"/>
                <w:szCs w:val="28"/>
                <w:rtl/>
              </w:rPr>
              <w:t>מדינת ישראל נ' אלסנע</w:t>
            </w:r>
          </w:p>
          <w:p w14:paraId="40B0F675" w14:textId="77777777" w:rsidR="00F863F0" w:rsidRPr="0026419E" w:rsidRDefault="00F863F0" w:rsidP="006744FC">
            <w:pPr>
              <w:pStyle w:val="a3"/>
              <w:rPr>
                <w:rFonts w:cs="FrankRuehl"/>
                <w:sz w:val="28"/>
                <w:szCs w:val="28"/>
                <w:rtl/>
              </w:rPr>
            </w:pPr>
          </w:p>
        </w:tc>
        <w:tc>
          <w:tcPr>
            <w:tcW w:w="3667" w:type="dxa"/>
          </w:tcPr>
          <w:p w14:paraId="5FEBC583" w14:textId="77777777" w:rsidR="00F863F0" w:rsidRPr="0026419E" w:rsidRDefault="00F863F0" w:rsidP="006744FC">
            <w:pPr>
              <w:pStyle w:val="a3"/>
              <w:jc w:val="right"/>
              <w:rPr>
                <w:rFonts w:cs="FrankRuehl"/>
                <w:sz w:val="28"/>
                <w:szCs w:val="28"/>
                <w:rtl/>
              </w:rPr>
            </w:pPr>
          </w:p>
        </w:tc>
      </w:tr>
      <w:tr w:rsidR="00F863F0" w:rsidRPr="0026419E" w14:paraId="570E7BA5" w14:textId="77777777" w:rsidTr="00610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592146D" w14:textId="77777777" w:rsidR="00F863F0" w:rsidRPr="0026419E" w:rsidRDefault="00F863F0" w:rsidP="00F863F0">
            <w:pPr>
              <w:jc w:val="both"/>
              <w:rPr>
                <w:rFonts w:ascii="David" w:hAnsi="David"/>
                <w:sz w:val="26"/>
                <w:szCs w:val="26"/>
              </w:rPr>
            </w:pPr>
            <w:r w:rsidRPr="0026419E">
              <w:rPr>
                <w:rFonts w:hint="cs"/>
                <w:rtl/>
              </w:rPr>
              <w:t xml:space="preserve"> </w:t>
            </w:r>
            <w:r w:rsidRPr="0026419E">
              <w:rPr>
                <w:rFonts w:ascii="David" w:hAnsi="David" w:hint="cs"/>
                <w:sz w:val="26"/>
                <w:szCs w:val="26"/>
                <w:rtl/>
              </w:rPr>
              <w:t>ל</w:t>
            </w:r>
            <w:r w:rsidRPr="0026419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0265B75" w14:textId="77777777" w:rsidR="00F863F0" w:rsidRPr="0026419E" w:rsidRDefault="00F863F0" w:rsidP="006744FC">
            <w:pPr>
              <w:rPr>
                <w:rFonts w:ascii="David" w:hAnsi="David"/>
                <w:b/>
                <w:bCs/>
                <w:sz w:val="26"/>
                <w:szCs w:val="26"/>
                <w:rtl/>
              </w:rPr>
            </w:pPr>
            <w:r w:rsidRPr="0026419E">
              <w:rPr>
                <w:rFonts w:ascii="David" w:hAnsi="David"/>
                <w:b/>
                <w:bCs/>
                <w:sz w:val="26"/>
                <w:szCs w:val="26"/>
                <w:rtl/>
              </w:rPr>
              <w:t>כבוד השופט בכיר  יהושע צימרמן</w:t>
            </w:r>
          </w:p>
          <w:p w14:paraId="0A8F8ABF" w14:textId="77777777" w:rsidR="00F863F0" w:rsidRPr="0026419E" w:rsidRDefault="00F863F0" w:rsidP="006744FC">
            <w:pPr>
              <w:rPr>
                <w:rFonts w:ascii="David" w:hAnsi="David"/>
                <w:sz w:val="26"/>
                <w:szCs w:val="26"/>
                <w:rtl/>
              </w:rPr>
            </w:pPr>
          </w:p>
          <w:p w14:paraId="3FCA82F3" w14:textId="77777777" w:rsidR="00F863F0" w:rsidRPr="0026419E" w:rsidRDefault="00F863F0" w:rsidP="00F863F0">
            <w:pPr>
              <w:jc w:val="both"/>
              <w:rPr>
                <w:rFonts w:ascii="David" w:hAnsi="David"/>
                <w:sz w:val="26"/>
                <w:szCs w:val="26"/>
              </w:rPr>
            </w:pPr>
          </w:p>
        </w:tc>
      </w:tr>
      <w:tr w:rsidR="00F863F0" w:rsidRPr="0026419E" w14:paraId="029EF415" w14:textId="77777777" w:rsidTr="00610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AA3AD6" w14:textId="77777777" w:rsidR="00F863F0" w:rsidRPr="0026419E" w:rsidRDefault="00F863F0" w:rsidP="00F863F0">
            <w:pPr>
              <w:jc w:val="both"/>
              <w:rPr>
                <w:rFonts w:ascii="David" w:hAnsi="David"/>
                <w:sz w:val="26"/>
                <w:szCs w:val="26"/>
              </w:rPr>
            </w:pPr>
            <w:bookmarkStart w:id="1" w:name="FirstAppellant"/>
            <w:r w:rsidRPr="0026419E">
              <w:rPr>
                <w:rFonts w:ascii="David" w:hAnsi="David"/>
                <w:sz w:val="26"/>
                <w:szCs w:val="26"/>
                <w:rtl/>
              </w:rPr>
              <w:t>בעניין:</w:t>
            </w:r>
          </w:p>
        </w:tc>
        <w:tc>
          <w:tcPr>
            <w:tcW w:w="3219" w:type="dxa"/>
            <w:tcBorders>
              <w:top w:val="nil"/>
              <w:left w:val="nil"/>
              <w:bottom w:val="nil"/>
              <w:right w:val="nil"/>
            </w:tcBorders>
            <w:shd w:val="clear" w:color="auto" w:fill="auto"/>
          </w:tcPr>
          <w:p w14:paraId="5AA01209" w14:textId="77777777" w:rsidR="00F863F0" w:rsidRPr="0026419E" w:rsidRDefault="00F863F0" w:rsidP="00F863F0">
            <w:pPr>
              <w:suppressLineNumbers/>
            </w:pPr>
            <w:r w:rsidRPr="0026419E">
              <w:rPr>
                <w:rFonts w:ascii="Arial" w:hAnsi="Arial" w:hint="cs"/>
                <w:b/>
                <w:bCs/>
                <w:sz w:val="26"/>
                <w:szCs w:val="26"/>
                <w:rtl/>
              </w:rPr>
              <w:t>ה</w:t>
            </w:r>
            <w:r w:rsidRPr="0026419E">
              <w:rPr>
                <w:rFonts w:ascii="Arial" w:hAnsi="Arial"/>
                <w:b/>
                <w:bCs/>
                <w:sz w:val="26"/>
                <w:szCs w:val="26"/>
                <w:rtl/>
              </w:rPr>
              <w:t>מאשימה</w:t>
            </w:r>
          </w:p>
          <w:p w14:paraId="49E0CB7F" w14:textId="77777777" w:rsidR="00F863F0" w:rsidRPr="0026419E" w:rsidRDefault="00F863F0" w:rsidP="006744F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FEB9403" w14:textId="77777777" w:rsidR="00F863F0" w:rsidRPr="0026419E" w:rsidRDefault="00F863F0" w:rsidP="00F863F0">
            <w:pPr>
              <w:suppressLineNumbers/>
            </w:pPr>
            <w:r w:rsidRPr="0026419E">
              <w:rPr>
                <w:rFonts w:ascii="Arial" w:hAnsi="Arial"/>
                <w:b/>
                <w:bCs/>
                <w:sz w:val="26"/>
                <w:szCs w:val="26"/>
                <w:rtl/>
              </w:rPr>
              <w:t>מדינת ישראל</w:t>
            </w:r>
            <w:r w:rsidRPr="0026419E">
              <w:rPr>
                <w:rFonts w:ascii="Arial" w:hAnsi="Arial" w:hint="cs"/>
                <w:b/>
                <w:bCs/>
                <w:sz w:val="26"/>
                <w:szCs w:val="26"/>
                <w:rtl/>
              </w:rPr>
              <w:t xml:space="preserve"> </w:t>
            </w:r>
          </w:p>
          <w:p w14:paraId="1B9A1EDE" w14:textId="77777777" w:rsidR="00F863F0" w:rsidRPr="0026419E" w:rsidRDefault="00F863F0" w:rsidP="006744FC">
            <w:pPr>
              <w:rPr>
                <w:rFonts w:ascii="David" w:hAnsi="David"/>
                <w:sz w:val="26"/>
                <w:szCs w:val="26"/>
              </w:rPr>
            </w:pPr>
          </w:p>
        </w:tc>
      </w:tr>
      <w:bookmarkEnd w:id="1"/>
      <w:tr w:rsidR="00F863F0" w:rsidRPr="0026419E" w14:paraId="2ACAA8A7" w14:textId="77777777" w:rsidTr="00610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7067D68" w14:textId="77777777" w:rsidR="00F863F0" w:rsidRPr="0026419E" w:rsidRDefault="00F863F0" w:rsidP="00F863F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F05C5F7" w14:textId="77777777" w:rsidR="00F863F0" w:rsidRPr="0026419E" w:rsidRDefault="00F863F0" w:rsidP="00F863F0">
            <w:pPr>
              <w:jc w:val="center"/>
              <w:rPr>
                <w:rFonts w:ascii="David" w:hAnsi="David"/>
                <w:b/>
                <w:bCs/>
                <w:sz w:val="26"/>
                <w:szCs w:val="26"/>
                <w:rtl/>
              </w:rPr>
            </w:pPr>
          </w:p>
          <w:p w14:paraId="5B8874A3" w14:textId="77777777" w:rsidR="00F863F0" w:rsidRPr="0026419E" w:rsidRDefault="00F863F0" w:rsidP="00F863F0">
            <w:pPr>
              <w:jc w:val="center"/>
              <w:rPr>
                <w:rFonts w:ascii="David" w:hAnsi="David"/>
                <w:b/>
                <w:bCs/>
                <w:sz w:val="26"/>
                <w:szCs w:val="26"/>
                <w:rtl/>
              </w:rPr>
            </w:pPr>
            <w:r w:rsidRPr="0026419E">
              <w:rPr>
                <w:rFonts w:ascii="David" w:hAnsi="David"/>
                <w:b/>
                <w:bCs/>
                <w:sz w:val="26"/>
                <w:szCs w:val="26"/>
                <w:rtl/>
              </w:rPr>
              <w:t>נגד</w:t>
            </w:r>
          </w:p>
          <w:p w14:paraId="1CEF7E3D" w14:textId="77777777" w:rsidR="00F863F0" w:rsidRPr="0026419E" w:rsidRDefault="00F863F0" w:rsidP="00F863F0">
            <w:pPr>
              <w:jc w:val="both"/>
              <w:rPr>
                <w:rFonts w:ascii="David" w:hAnsi="David"/>
                <w:sz w:val="26"/>
                <w:szCs w:val="26"/>
              </w:rPr>
            </w:pPr>
          </w:p>
        </w:tc>
      </w:tr>
      <w:tr w:rsidR="00F863F0" w:rsidRPr="0026419E" w14:paraId="31674104" w14:textId="77777777" w:rsidTr="006108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B4D4E0" w14:textId="77777777" w:rsidR="00F863F0" w:rsidRPr="0026419E" w:rsidRDefault="00F863F0" w:rsidP="006744FC">
            <w:pPr>
              <w:rPr>
                <w:rFonts w:ascii="David" w:hAnsi="David"/>
                <w:sz w:val="26"/>
                <w:szCs w:val="26"/>
                <w:rtl/>
              </w:rPr>
            </w:pPr>
          </w:p>
        </w:tc>
        <w:tc>
          <w:tcPr>
            <w:tcW w:w="3219" w:type="dxa"/>
            <w:tcBorders>
              <w:top w:val="nil"/>
              <w:left w:val="nil"/>
              <w:bottom w:val="nil"/>
              <w:right w:val="nil"/>
            </w:tcBorders>
            <w:shd w:val="clear" w:color="auto" w:fill="auto"/>
          </w:tcPr>
          <w:p w14:paraId="235776C9" w14:textId="77777777" w:rsidR="00F863F0" w:rsidRPr="0026419E" w:rsidRDefault="00F863F0" w:rsidP="006744FC">
            <w:pPr>
              <w:rPr>
                <w:rFonts w:ascii="Arial" w:hAnsi="Arial"/>
                <w:b/>
                <w:bCs/>
                <w:sz w:val="26"/>
                <w:szCs w:val="26"/>
                <w:rtl/>
              </w:rPr>
            </w:pPr>
            <w:r w:rsidRPr="0026419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D74B597" w14:textId="77777777" w:rsidR="00F863F0" w:rsidRPr="0026419E" w:rsidRDefault="00F863F0" w:rsidP="00F863F0">
            <w:pPr>
              <w:suppressLineNumbers/>
              <w:rPr>
                <w:rFonts w:ascii="David" w:hAnsi="David"/>
                <w:sz w:val="26"/>
                <w:szCs w:val="26"/>
              </w:rPr>
            </w:pPr>
            <w:r w:rsidRPr="0026419E">
              <w:rPr>
                <w:rFonts w:ascii="Arial" w:hAnsi="Arial"/>
                <w:b/>
                <w:bCs/>
                <w:sz w:val="26"/>
                <w:szCs w:val="26"/>
                <w:rtl/>
              </w:rPr>
              <w:t>מוסא אלסנע</w:t>
            </w:r>
            <w:r w:rsidRPr="0026419E">
              <w:rPr>
                <w:rFonts w:ascii="Arial" w:hAnsi="Arial" w:hint="cs"/>
                <w:b/>
                <w:bCs/>
                <w:sz w:val="26"/>
                <w:szCs w:val="26"/>
                <w:rtl/>
              </w:rPr>
              <w:t xml:space="preserve"> </w:t>
            </w:r>
          </w:p>
        </w:tc>
      </w:tr>
    </w:tbl>
    <w:p w14:paraId="6136044D" w14:textId="77777777" w:rsidR="0026419E" w:rsidRPr="0026419E" w:rsidRDefault="0026419E" w:rsidP="0026419E">
      <w:pPr>
        <w:spacing w:before="120" w:after="120" w:line="240" w:lineRule="exact"/>
        <w:ind w:left="283" w:hanging="283"/>
        <w:jc w:val="both"/>
        <w:rPr>
          <w:rFonts w:ascii="FrankRuehl" w:hAnsi="FrankRuehl" w:cs="FrankRuehl"/>
          <w:rtl/>
        </w:rPr>
      </w:pPr>
    </w:p>
    <w:p w14:paraId="704FF39C" w14:textId="77777777" w:rsidR="0026419E" w:rsidRPr="0026419E" w:rsidRDefault="0026419E" w:rsidP="0026419E">
      <w:pPr>
        <w:rPr>
          <w:rtl/>
        </w:rPr>
      </w:pPr>
    </w:p>
    <w:p w14:paraId="46418841" w14:textId="77777777" w:rsidR="00610800" w:rsidRPr="00610800" w:rsidRDefault="00610800" w:rsidP="00610800">
      <w:pPr>
        <w:spacing w:before="120" w:after="120" w:line="240" w:lineRule="exact"/>
        <w:ind w:left="283" w:hanging="283"/>
        <w:jc w:val="both"/>
        <w:rPr>
          <w:rFonts w:ascii="FrankRuehl" w:hAnsi="FrankRuehl" w:cs="FrankRuehl"/>
          <w:rtl/>
        </w:rPr>
      </w:pPr>
    </w:p>
    <w:p w14:paraId="5B1504B2" w14:textId="77777777" w:rsidR="00B90BB8" w:rsidRPr="00B90BB8" w:rsidRDefault="00B90BB8" w:rsidP="00B90BB8">
      <w:pPr>
        <w:spacing w:before="120" w:after="120" w:line="240" w:lineRule="exact"/>
        <w:ind w:left="283" w:hanging="283"/>
        <w:jc w:val="both"/>
        <w:rPr>
          <w:rFonts w:ascii="FrankRuehl" w:hAnsi="FrankRuehl" w:cs="FrankRuehl"/>
          <w:rtl/>
        </w:rPr>
      </w:pPr>
    </w:p>
    <w:p w14:paraId="50620DC2" w14:textId="77777777" w:rsidR="00E461F6" w:rsidRDefault="00E461F6" w:rsidP="00E461F6">
      <w:pPr>
        <w:rPr>
          <w:rtl/>
        </w:rPr>
      </w:pPr>
      <w:bookmarkStart w:id="2" w:name="LawTable"/>
      <w:bookmarkEnd w:id="2"/>
    </w:p>
    <w:p w14:paraId="5CB6B74C" w14:textId="77777777" w:rsidR="00E461F6" w:rsidRPr="00E461F6" w:rsidRDefault="00E461F6" w:rsidP="00E461F6">
      <w:pPr>
        <w:spacing w:before="120" w:after="120" w:line="240" w:lineRule="exact"/>
        <w:ind w:left="283" w:hanging="283"/>
        <w:jc w:val="both"/>
        <w:rPr>
          <w:rFonts w:ascii="FrankRuehl" w:hAnsi="FrankRuehl" w:cs="FrankRuehl"/>
          <w:rtl/>
        </w:rPr>
      </w:pPr>
    </w:p>
    <w:p w14:paraId="68A2C70F" w14:textId="77777777" w:rsidR="00E461F6" w:rsidRPr="00E461F6" w:rsidRDefault="00E461F6" w:rsidP="00E461F6">
      <w:pPr>
        <w:spacing w:before="120" w:after="120" w:line="240" w:lineRule="exact"/>
        <w:ind w:left="283" w:hanging="283"/>
        <w:jc w:val="both"/>
        <w:rPr>
          <w:rFonts w:ascii="FrankRuehl" w:hAnsi="FrankRuehl" w:cs="FrankRuehl"/>
          <w:rtl/>
        </w:rPr>
      </w:pPr>
    </w:p>
    <w:p w14:paraId="47BB6C3B" w14:textId="77777777" w:rsidR="00E461F6" w:rsidRPr="00E461F6" w:rsidRDefault="00E461F6" w:rsidP="00E461F6">
      <w:pPr>
        <w:spacing w:before="120" w:after="120" w:line="240" w:lineRule="exact"/>
        <w:ind w:left="283" w:hanging="283"/>
        <w:jc w:val="both"/>
        <w:rPr>
          <w:rFonts w:ascii="FrankRuehl" w:hAnsi="FrankRuehl" w:cs="FrankRuehl"/>
          <w:rtl/>
        </w:rPr>
      </w:pPr>
      <w:r w:rsidRPr="00E461F6">
        <w:rPr>
          <w:rFonts w:ascii="FrankRuehl" w:hAnsi="FrankRuehl" w:cs="FrankRuehl"/>
          <w:rtl/>
        </w:rPr>
        <w:t xml:space="preserve">חקיקה שאוזכרה: </w:t>
      </w:r>
    </w:p>
    <w:p w14:paraId="7C33EED8" w14:textId="77777777" w:rsidR="00E461F6" w:rsidRPr="00E461F6" w:rsidRDefault="00E461F6" w:rsidP="00E461F6">
      <w:pPr>
        <w:spacing w:before="120" w:after="120" w:line="240" w:lineRule="exact"/>
        <w:ind w:left="283" w:hanging="283"/>
        <w:jc w:val="both"/>
        <w:rPr>
          <w:rFonts w:ascii="FrankRuehl" w:hAnsi="FrankRuehl" w:cs="FrankRuehl"/>
          <w:rtl/>
        </w:rPr>
      </w:pPr>
      <w:hyperlink r:id="rId7" w:history="1">
        <w:r w:rsidRPr="00E461F6">
          <w:rPr>
            <w:rFonts w:ascii="FrankRuehl" w:hAnsi="FrankRuehl" w:cs="FrankRuehl"/>
            <w:color w:val="0000FF"/>
            <w:rtl/>
          </w:rPr>
          <w:t>חוק העונשין, תשל"ז-1977</w:t>
        </w:r>
      </w:hyperlink>
      <w:r w:rsidRPr="00E461F6">
        <w:rPr>
          <w:rFonts w:ascii="FrankRuehl" w:hAnsi="FrankRuehl" w:cs="FrankRuehl"/>
          <w:rtl/>
        </w:rPr>
        <w:t xml:space="preserve">: סע'  </w:t>
      </w:r>
      <w:hyperlink r:id="rId8" w:history="1">
        <w:r w:rsidRPr="00E461F6">
          <w:rPr>
            <w:rFonts w:ascii="FrankRuehl" w:hAnsi="FrankRuehl" w:cs="FrankRuehl"/>
            <w:color w:val="0000FF"/>
            <w:rtl/>
          </w:rPr>
          <w:t>40יא</w:t>
        </w:r>
      </w:hyperlink>
    </w:p>
    <w:p w14:paraId="6F5EC562" w14:textId="77777777" w:rsidR="00E461F6" w:rsidRPr="00E461F6" w:rsidRDefault="00E461F6" w:rsidP="00E461F6">
      <w:pPr>
        <w:spacing w:before="120" w:after="120" w:line="240" w:lineRule="exact"/>
        <w:ind w:left="283" w:hanging="283"/>
        <w:jc w:val="both"/>
        <w:rPr>
          <w:rFonts w:ascii="FrankRuehl" w:hAnsi="FrankRuehl" w:cs="FrankRuehl"/>
          <w:rtl/>
        </w:rPr>
      </w:pPr>
      <w:hyperlink r:id="rId9" w:history="1">
        <w:r w:rsidRPr="00E461F6">
          <w:rPr>
            <w:rFonts w:ascii="FrankRuehl" w:hAnsi="FrankRuehl" w:cs="FrankRuehl"/>
            <w:color w:val="0000FF"/>
            <w:rtl/>
          </w:rPr>
          <w:t>פקודת הסמים המסוכנים [נוסח חדש], תשל"ג-1973</w:t>
        </w:r>
      </w:hyperlink>
      <w:r w:rsidRPr="00E461F6">
        <w:rPr>
          <w:rFonts w:ascii="FrankRuehl" w:hAnsi="FrankRuehl" w:cs="FrankRuehl"/>
          <w:rtl/>
        </w:rPr>
        <w:t xml:space="preserve">: סע'  </w:t>
      </w:r>
      <w:hyperlink r:id="rId10" w:history="1">
        <w:r w:rsidRPr="00E461F6">
          <w:rPr>
            <w:rFonts w:ascii="FrankRuehl" w:hAnsi="FrankRuehl" w:cs="FrankRuehl"/>
            <w:color w:val="0000FF"/>
            <w:rtl/>
          </w:rPr>
          <w:t>31(6)(א)</w:t>
        </w:r>
      </w:hyperlink>
      <w:r w:rsidRPr="00E461F6">
        <w:rPr>
          <w:rFonts w:ascii="FrankRuehl" w:hAnsi="FrankRuehl" w:cs="FrankRuehl"/>
          <w:rtl/>
        </w:rPr>
        <w:t xml:space="preserve">, </w:t>
      </w:r>
      <w:hyperlink r:id="rId11" w:history="1">
        <w:r w:rsidRPr="00E461F6">
          <w:rPr>
            <w:rFonts w:ascii="FrankRuehl" w:hAnsi="FrankRuehl" w:cs="FrankRuehl"/>
            <w:color w:val="0000FF"/>
            <w:rtl/>
          </w:rPr>
          <w:t>36א(א)</w:t>
        </w:r>
      </w:hyperlink>
    </w:p>
    <w:p w14:paraId="21C7369E" w14:textId="77777777" w:rsidR="00E461F6" w:rsidRPr="00E461F6" w:rsidRDefault="00E461F6" w:rsidP="00E461F6">
      <w:pPr>
        <w:spacing w:before="120" w:after="120" w:line="240" w:lineRule="exact"/>
        <w:ind w:left="283" w:hanging="283"/>
        <w:jc w:val="both"/>
        <w:rPr>
          <w:rFonts w:ascii="FrankRuehl" w:hAnsi="FrankRuehl" w:cs="FrankRuehl"/>
          <w:rtl/>
        </w:rPr>
      </w:pPr>
      <w:hyperlink r:id="rId12" w:history="1">
        <w:r w:rsidRPr="00E461F6">
          <w:rPr>
            <w:rFonts w:ascii="FrankRuehl" w:hAnsi="FrankRuehl" w:cs="FrankRuehl"/>
            <w:color w:val="0000FF"/>
            <w:rtl/>
          </w:rPr>
          <w:t>חוק איסור הלבנת הון, תש"ס-2000</w:t>
        </w:r>
      </w:hyperlink>
    </w:p>
    <w:p w14:paraId="7287022B" w14:textId="77777777" w:rsidR="00E461F6" w:rsidRPr="00E461F6" w:rsidRDefault="00E461F6" w:rsidP="00E461F6">
      <w:pPr>
        <w:rPr>
          <w:rtl/>
        </w:rPr>
      </w:pPr>
      <w:bookmarkStart w:id="3" w:name="LawTable_End"/>
      <w:bookmarkEnd w:id="3"/>
    </w:p>
    <w:p w14:paraId="406B235B" w14:textId="77777777" w:rsidR="00610800" w:rsidRPr="00B90BB8" w:rsidRDefault="00610800" w:rsidP="00B90BB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63F0" w14:paraId="3D485B97" w14:textId="77777777" w:rsidTr="00F863F0">
        <w:trPr>
          <w:trHeight w:val="355"/>
          <w:jc w:val="center"/>
        </w:trPr>
        <w:tc>
          <w:tcPr>
            <w:tcW w:w="8820" w:type="dxa"/>
            <w:tcBorders>
              <w:top w:val="nil"/>
              <w:left w:val="nil"/>
              <w:bottom w:val="nil"/>
              <w:right w:val="nil"/>
            </w:tcBorders>
            <w:shd w:val="clear" w:color="auto" w:fill="auto"/>
          </w:tcPr>
          <w:p w14:paraId="69383E16" w14:textId="77777777" w:rsidR="0026419E" w:rsidRPr="0026419E" w:rsidRDefault="0026419E" w:rsidP="0026419E">
            <w:pPr>
              <w:jc w:val="center"/>
              <w:rPr>
                <w:rFonts w:ascii="David" w:hAnsi="David"/>
                <w:b/>
                <w:bCs/>
                <w:sz w:val="32"/>
                <w:szCs w:val="32"/>
                <w:u w:val="single"/>
                <w:rtl/>
              </w:rPr>
            </w:pPr>
            <w:bookmarkStart w:id="4" w:name="PsakDin" w:colFirst="0" w:colLast="0"/>
            <w:bookmarkEnd w:id="0"/>
            <w:r w:rsidRPr="0026419E">
              <w:rPr>
                <w:rFonts w:ascii="David" w:hAnsi="David"/>
                <w:b/>
                <w:bCs/>
                <w:sz w:val="32"/>
                <w:szCs w:val="32"/>
                <w:u w:val="single"/>
                <w:rtl/>
              </w:rPr>
              <w:t>גזר דין</w:t>
            </w:r>
          </w:p>
          <w:p w14:paraId="2DB2BEA4" w14:textId="77777777" w:rsidR="00F863F0" w:rsidRPr="0026419E" w:rsidRDefault="00F863F0" w:rsidP="0026419E">
            <w:pPr>
              <w:jc w:val="center"/>
              <w:rPr>
                <w:rFonts w:ascii="David" w:hAnsi="David"/>
                <w:bCs/>
                <w:sz w:val="32"/>
                <w:szCs w:val="32"/>
                <w:u w:val="single"/>
                <w:rtl/>
              </w:rPr>
            </w:pPr>
          </w:p>
        </w:tc>
      </w:tr>
      <w:bookmarkEnd w:id="4"/>
    </w:tbl>
    <w:p w14:paraId="1BEE8AAC" w14:textId="77777777" w:rsidR="00F863F0" w:rsidRPr="000F2247" w:rsidRDefault="00F863F0" w:rsidP="00F863F0">
      <w:pPr>
        <w:rPr>
          <w:rFonts w:ascii="Arial" w:hAnsi="Arial"/>
          <w:b/>
          <w:bCs/>
          <w:sz w:val="26"/>
          <w:szCs w:val="26"/>
          <w:rtl/>
        </w:rPr>
      </w:pPr>
    </w:p>
    <w:p w14:paraId="294AA1A8" w14:textId="77777777" w:rsidR="00F863F0" w:rsidRDefault="00F863F0" w:rsidP="00F863F0">
      <w:pPr>
        <w:spacing w:line="360" w:lineRule="auto"/>
        <w:jc w:val="both"/>
        <w:rPr>
          <w:rFonts w:ascii="David" w:hAnsi="David"/>
          <w:rtl/>
        </w:rPr>
      </w:pPr>
    </w:p>
    <w:p w14:paraId="2F287436" w14:textId="77777777" w:rsidR="00F863F0" w:rsidRPr="00C91831" w:rsidRDefault="00F863F0" w:rsidP="00F863F0">
      <w:pPr>
        <w:spacing w:line="360" w:lineRule="auto"/>
        <w:jc w:val="both"/>
        <w:rPr>
          <w:rFonts w:ascii="David" w:hAnsi="David"/>
          <w:b/>
          <w:bCs/>
          <w:u w:val="single"/>
          <w:rtl/>
        </w:rPr>
      </w:pPr>
      <w:r w:rsidRPr="00C91831">
        <w:rPr>
          <w:rFonts w:ascii="David" w:hAnsi="David" w:hint="cs"/>
          <w:b/>
          <w:bCs/>
          <w:u w:val="single"/>
          <w:rtl/>
        </w:rPr>
        <w:t>השתלשלות העניינים ותמצית טיעוני הצדדים</w:t>
      </w:r>
    </w:p>
    <w:p w14:paraId="3DFF0EB7" w14:textId="77777777" w:rsidR="00F863F0" w:rsidRDefault="00F863F0" w:rsidP="00F863F0">
      <w:pPr>
        <w:spacing w:line="360" w:lineRule="auto"/>
        <w:jc w:val="both"/>
        <w:rPr>
          <w:rFonts w:ascii="David" w:hAnsi="David"/>
          <w:rtl/>
        </w:rPr>
      </w:pPr>
    </w:p>
    <w:p w14:paraId="7CE446D0" w14:textId="77777777" w:rsidR="00F863F0" w:rsidRDefault="00F863F0" w:rsidP="00F863F0">
      <w:pPr>
        <w:spacing w:line="360" w:lineRule="auto"/>
        <w:jc w:val="both"/>
        <w:rPr>
          <w:rFonts w:ascii="David" w:hAnsi="David"/>
          <w:rtl/>
        </w:rPr>
      </w:pPr>
      <w:bookmarkStart w:id="5" w:name="ABSTRACT_START"/>
      <w:bookmarkEnd w:id="5"/>
      <w:r w:rsidRPr="002541C1">
        <w:rPr>
          <w:rFonts w:ascii="David" w:hAnsi="David"/>
          <w:rtl/>
        </w:rPr>
        <w:t>הנאשם הודה והורשע ב</w:t>
      </w:r>
      <w:r>
        <w:rPr>
          <w:rFonts w:ascii="David" w:hAnsi="David" w:hint="cs"/>
          <w:rtl/>
        </w:rPr>
        <w:t xml:space="preserve">מסגרת הסדר טיעון ב 3 </w:t>
      </w:r>
      <w:r w:rsidRPr="002541C1">
        <w:rPr>
          <w:rFonts w:ascii="David" w:hAnsi="David"/>
          <w:rtl/>
        </w:rPr>
        <w:t xml:space="preserve">עבירות של סחר בסם </w:t>
      </w:r>
      <w:r>
        <w:rPr>
          <w:rFonts w:ascii="David" w:hAnsi="David" w:hint="cs"/>
          <w:rtl/>
        </w:rPr>
        <w:t xml:space="preserve">מסוג קוקאין </w:t>
      </w:r>
      <w:r w:rsidRPr="002541C1">
        <w:rPr>
          <w:rFonts w:ascii="David" w:hAnsi="David"/>
          <w:rtl/>
        </w:rPr>
        <w:t>ו</w:t>
      </w:r>
      <w:r>
        <w:rPr>
          <w:rFonts w:ascii="David" w:hAnsi="David" w:hint="cs"/>
          <w:rtl/>
        </w:rPr>
        <w:t xml:space="preserve">עבירה נוספת של </w:t>
      </w:r>
      <w:r>
        <w:rPr>
          <w:rFonts w:ascii="David" w:hAnsi="David"/>
          <w:rtl/>
        </w:rPr>
        <w:t>החזקת ס</w:t>
      </w:r>
      <w:r w:rsidRPr="002541C1">
        <w:rPr>
          <w:rFonts w:ascii="David" w:hAnsi="David"/>
          <w:rtl/>
        </w:rPr>
        <w:t xml:space="preserve">ם </w:t>
      </w:r>
      <w:r>
        <w:rPr>
          <w:rFonts w:ascii="David" w:hAnsi="David" w:hint="cs"/>
          <w:rtl/>
        </w:rPr>
        <w:t xml:space="preserve">מסוג קוקאין </w:t>
      </w:r>
      <w:r w:rsidRPr="002541C1">
        <w:rPr>
          <w:rFonts w:ascii="David" w:hAnsi="David"/>
          <w:rtl/>
        </w:rPr>
        <w:t>שלא לצריכה עצמית.</w:t>
      </w:r>
      <w:r>
        <w:rPr>
          <w:rFonts w:ascii="David" w:hAnsi="David" w:hint="cs"/>
          <w:rtl/>
        </w:rPr>
        <w:t xml:space="preserve"> לא הייתה הסכמה לעניין העונש והדיון נדחה לקבלת תסקיר שרות המבחן. </w:t>
      </w:r>
    </w:p>
    <w:p w14:paraId="5C7D8C93" w14:textId="77777777" w:rsidR="00F863F0" w:rsidRDefault="00F863F0" w:rsidP="00F863F0">
      <w:pPr>
        <w:spacing w:line="360" w:lineRule="auto"/>
        <w:jc w:val="both"/>
        <w:rPr>
          <w:rFonts w:ascii="David" w:hAnsi="David"/>
          <w:rtl/>
        </w:rPr>
      </w:pPr>
      <w:bookmarkStart w:id="6" w:name="ABSTRACT_END"/>
      <w:bookmarkEnd w:id="6"/>
    </w:p>
    <w:p w14:paraId="5786DCB6" w14:textId="77777777" w:rsidR="00F863F0" w:rsidRPr="002541C1" w:rsidRDefault="00F863F0" w:rsidP="00F863F0">
      <w:pPr>
        <w:spacing w:line="360" w:lineRule="auto"/>
        <w:jc w:val="both"/>
        <w:rPr>
          <w:rFonts w:ascii="David" w:hAnsi="David"/>
          <w:rtl/>
        </w:rPr>
      </w:pPr>
      <w:r w:rsidRPr="002541C1">
        <w:rPr>
          <w:rFonts w:ascii="David" w:hAnsi="David"/>
          <w:rtl/>
        </w:rPr>
        <w:t xml:space="preserve">המאשימה בטיעוניה לעונש התייחסה לפרטי העבירות, ריבוי העבירות, היקפי הסחר וההחזקה, והדומיננטיות של הנאשם בביצוע עסקאות הסחר. המאשימה </w:t>
      </w:r>
      <w:r>
        <w:rPr>
          <w:rFonts w:ascii="David" w:hAnsi="David" w:hint="cs"/>
          <w:rtl/>
        </w:rPr>
        <w:t xml:space="preserve">טענה למתחם אחד לכל העבירות ומסרה כי </w:t>
      </w:r>
      <w:r w:rsidRPr="002541C1">
        <w:rPr>
          <w:rFonts w:ascii="David" w:hAnsi="David"/>
          <w:rtl/>
        </w:rPr>
        <w:t>מתחם הענישה ההולם נע בין 5 שנות מאסר ל -7 שנות מאסר. המאשימה סברה כי בש</w:t>
      </w:r>
      <w:r>
        <w:rPr>
          <w:rFonts w:ascii="David" w:hAnsi="David" w:hint="cs"/>
          <w:rtl/>
        </w:rPr>
        <w:t xml:space="preserve">ל </w:t>
      </w:r>
      <w:r>
        <w:rPr>
          <w:rFonts w:ascii="David" w:hAnsi="David" w:hint="cs"/>
          <w:rtl/>
        </w:rPr>
        <w:lastRenderedPageBreak/>
        <w:t>ה</w:t>
      </w:r>
      <w:r w:rsidRPr="002541C1">
        <w:rPr>
          <w:rFonts w:ascii="David" w:hAnsi="David"/>
          <w:rtl/>
        </w:rPr>
        <w:t xml:space="preserve">שלב בו הנאשם הודה, לאחר תחילת ההוכחות, ובשל </w:t>
      </w:r>
      <w:r>
        <w:rPr>
          <w:rFonts w:ascii="David" w:hAnsi="David" w:hint="cs"/>
          <w:rtl/>
        </w:rPr>
        <w:t>ה</w:t>
      </w:r>
      <w:r w:rsidRPr="002541C1">
        <w:rPr>
          <w:rFonts w:ascii="David" w:hAnsi="David"/>
          <w:rtl/>
        </w:rPr>
        <w:t xml:space="preserve">אמור בתסקיר שרות המבחן ניתן לקבוע את העונש המתאים לנאשם לא בקצה העליון של המתחם וגם לא בתחתיתו. לפיכך המאשימה </w:t>
      </w:r>
      <w:r>
        <w:rPr>
          <w:rFonts w:ascii="David" w:hAnsi="David" w:hint="cs"/>
          <w:rtl/>
        </w:rPr>
        <w:t xml:space="preserve">ביקשה להטיל </w:t>
      </w:r>
      <w:r w:rsidRPr="002541C1">
        <w:rPr>
          <w:rFonts w:ascii="David" w:hAnsi="David"/>
          <w:rtl/>
        </w:rPr>
        <w:t xml:space="preserve">על הנאשם מאסר לתקופה של 5 וחצי שנים, קנס וחילוט. </w:t>
      </w:r>
      <w:r>
        <w:rPr>
          <w:rFonts w:ascii="David" w:hAnsi="David" w:hint="cs"/>
          <w:rtl/>
        </w:rPr>
        <w:t xml:space="preserve">הוצגה </w:t>
      </w:r>
      <w:r w:rsidRPr="002541C1">
        <w:rPr>
          <w:rFonts w:ascii="David" w:hAnsi="David"/>
          <w:rtl/>
        </w:rPr>
        <w:t>פסיקה לתמיכה בעמדתה.</w:t>
      </w:r>
    </w:p>
    <w:p w14:paraId="6BCE0EE0" w14:textId="77777777" w:rsidR="00F863F0" w:rsidRPr="002541C1" w:rsidRDefault="00F863F0" w:rsidP="00F863F0">
      <w:pPr>
        <w:spacing w:line="360" w:lineRule="auto"/>
        <w:jc w:val="both"/>
        <w:rPr>
          <w:rFonts w:ascii="David" w:hAnsi="David"/>
          <w:rtl/>
        </w:rPr>
      </w:pPr>
    </w:p>
    <w:p w14:paraId="5B1DA2A1" w14:textId="77777777" w:rsidR="00F863F0" w:rsidRPr="002541C1" w:rsidRDefault="00F863F0" w:rsidP="00F863F0">
      <w:pPr>
        <w:spacing w:line="360" w:lineRule="auto"/>
        <w:jc w:val="both"/>
        <w:rPr>
          <w:rFonts w:ascii="David" w:hAnsi="David"/>
          <w:rtl/>
        </w:rPr>
      </w:pPr>
      <w:r>
        <w:rPr>
          <w:rFonts w:ascii="David" w:hAnsi="David"/>
          <w:rtl/>
        </w:rPr>
        <w:t>ב"כ הנאש</w:t>
      </w:r>
      <w:r>
        <w:rPr>
          <w:rFonts w:ascii="David" w:hAnsi="David" w:hint="cs"/>
          <w:rtl/>
        </w:rPr>
        <w:t>ם</w:t>
      </w:r>
      <w:r w:rsidRPr="002541C1">
        <w:rPr>
          <w:rFonts w:ascii="David" w:hAnsi="David"/>
          <w:rtl/>
        </w:rPr>
        <w:t xml:space="preserve"> התייחסה </w:t>
      </w:r>
      <w:r>
        <w:rPr>
          <w:rFonts w:ascii="David" w:hAnsi="David" w:hint="cs"/>
          <w:rtl/>
        </w:rPr>
        <w:t xml:space="preserve">בטיעוניה </w:t>
      </w:r>
      <w:r w:rsidRPr="002541C1">
        <w:rPr>
          <w:rFonts w:ascii="David" w:hAnsi="David"/>
          <w:rtl/>
        </w:rPr>
        <w:t>לפסיקה שהוצגה על ידי המאשימה</w:t>
      </w:r>
      <w:r>
        <w:rPr>
          <w:rFonts w:ascii="David" w:hAnsi="David" w:hint="cs"/>
          <w:rtl/>
        </w:rPr>
        <w:t>, ו</w:t>
      </w:r>
      <w:r w:rsidRPr="002541C1">
        <w:rPr>
          <w:rFonts w:ascii="David" w:hAnsi="David"/>
          <w:rtl/>
        </w:rPr>
        <w:t>הפנתה את בית המשפט לתסקיר</w:t>
      </w:r>
      <w:r>
        <w:rPr>
          <w:rFonts w:ascii="David" w:hAnsi="David" w:hint="cs"/>
          <w:rtl/>
        </w:rPr>
        <w:t xml:space="preserve"> החיובי </w:t>
      </w:r>
      <w:r w:rsidRPr="002541C1">
        <w:rPr>
          <w:rFonts w:ascii="David" w:hAnsi="David"/>
          <w:rtl/>
        </w:rPr>
        <w:t xml:space="preserve">של שרות המבחן, להשתלבות הנאשם בעבודה ומכתבי המלצה </w:t>
      </w:r>
      <w:r>
        <w:rPr>
          <w:rFonts w:ascii="David" w:hAnsi="David" w:hint="cs"/>
          <w:rtl/>
        </w:rPr>
        <w:t>ובכלל זאת מכתב ממנהל בית הספר בו עבד הנאשם כמורה.</w:t>
      </w:r>
      <w:r w:rsidRPr="002541C1">
        <w:rPr>
          <w:rFonts w:ascii="David" w:hAnsi="David"/>
          <w:rtl/>
        </w:rPr>
        <w:t xml:space="preserve"> הסנגורית מסרה כי הנאשם נטל אחריות למעשיו. הסנגורית טענה כי לסוכן המשטרתי, המוכר למשפחת הנאשם, הייתה השפעה על הנאשם שהיה אזרח נורמטיבי עד לאירועים אלו. עוד ציינה הסנגורית כי בפועל לא נגרם נזק לציבור שהרי הסמים הגיעו למשטרת ישראל. הסנגורית התייחסה לביצוע העבירות בתקופה בה הייתה מצוקה כלכלית בזמן הקורונה. כיום, מוסרת הסנגורית, הנאשם עובד תקופה ממושכת בעבודה מסודרת. לדברי הסנגורית </w:t>
      </w:r>
      <w:r>
        <w:rPr>
          <w:rFonts w:ascii="David" w:hAnsi="David" w:hint="cs"/>
          <w:rtl/>
        </w:rPr>
        <w:t xml:space="preserve">בשל </w:t>
      </w:r>
      <w:r w:rsidRPr="002541C1">
        <w:rPr>
          <w:rFonts w:ascii="David" w:hAnsi="David"/>
          <w:rtl/>
        </w:rPr>
        <w:t xml:space="preserve">תהליך </w:t>
      </w:r>
      <w:r>
        <w:rPr>
          <w:rFonts w:ascii="David" w:hAnsi="David" w:hint="cs"/>
          <w:rtl/>
        </w:rPr>
        <w:t xml:space="preserve">שיקום </w:t>
      </w:r>
      <w:r w:rsidRPr="002541C1">
        <w:rPr>
          <w:rFonts w:ascii="David" w:hAnsi="David"/>
          <w:rtl/>
        </w:rPr>
        <w:t>ארוך ומשמעותי שרות המבחן העריך כי הסיכון למעורבות חוזרת הצטמצם</w:t>
      </w:r>
      <w:r>
        <w:rPr>
          <w:rFonts w:ascii="David" w:hAnsi="David" w:hint="cs"/>
          <w:rtl/>
        </w:rPr>
        <w:t>, ו</w:t>
      </w:r>
      <w:r w:rsidRPr="002541C1">
        <w:rPr>
          <w:rFonts w:ascii="David" w:hAnsi="David"/>
          <w:rtl/>
        </w:rPr>
        <w:t>כתוצאה מהירתמותו של הנאשם לתהליכי השיקום, הנאשם מבין</w:t>
      </w:r>
      <w:r>
        <w:rPr>
          <w:rFonts w:ascii="David" w:hAnsi="David" w:hint="cs"/>
          <w:rtl/>
        </w:rPr>
        <w:t xml:space="preserve"> היום</w:t>
      </w:r>
      <w:r w:rsidRPr="002541C1">
        <w:rPr>
          <w:rFonts w:ascii="David" w:hAnsi="David"/>
          <w:rtl/>
        </w:rPr>
        <w:t xml:space="preserve"> הרבה יותר לעומק את משמעות מעשיו. הסנגורית ביקשה כי </w:t>
      </w:r>
      <w:r>
        <w:rPr>
          <w:rFonts w:ascii="David" w:hAnsi="David" w:hint="cs"/>
          <w:rtl/>
        </w:rPr>
        <w:t>תי</w:t>
      </w:r>
      <w:r w:rsidRPr="002541C1">
        <w:rPr>
          <w:rFonts w:ascii="David" w:hAnsi="David" w:hint="cs"/>
          <w:rtl/>
        </w:rPr>
        <w:t>לק</w:t>
      </w:r>
      <w:r w:rsidRPr="002541C1">
        <w:rPr>
          <w:rFonts w:ascii="David" w:hAnsi="David" w:hint="eastAsia"/>
          <w:rtl/>
        </w:rPr>
        <w:t>ח</w:t>
      </w:r>
      <w:r w:rsidRPr="002541C1">
        <w:rPr>
          <w:rFonts w:ascii="David" w:hAnsi="David"/>
          <w:rtl/>
        </w:rPr>
        <w:t xml:space="preserve"> בחשבון </w:t>
      </w:r>
      <w:r>
        <w:rPr>
          <w:rFonts w:ascii="David" w:hAnsi="David" w:hint="cs"/>
          <w:rtl/>
        </w:rPr>
        <w:t xml:space="preserve">תקופת מעצרו </w:t>
      </w:r>
      <w:r w:rsidRPr="002541C1">
        <w:rPr>
          <w:rFonts w:ascii="David" w:hAnsi="David"/>
          <w:rtl/>
        </w:rPr>
        <w:t xml:space="preserve">מאחורי סורג ובריח, </w:t>
      </w:r>
      <w:r>
        <w:rPr>
          <w:rFonts w:ascii="David" w:hAnsi="David" w:hint="cs"/>
          <w:rtl/>
        </w:rPr>
        <w:t xml:space="preserve">מעצרו </w:t>
      </w:r>
      <w:r w:rsidRPr="002541C1">
        <w:rPr>
          <w:rFonts w:ascii="David" w:hAnsi="David"/>
          <w:rtl/>
        </w:rPr>
        <w:t>כשנה בפיקוח אלקטרוני</w:t>
      </w:r>
      <w:r>
        <w:rPr>
          <w:rFonts w:ascii="David" w:hAnsi="David" w:hint="cs"/>
          <w:rtl/>
        </w:rPr>
        <w:t>,</w:t>
      </w:r>
      <w:r w:rsidRPr="002541C1">
        <w:rPr>
          <w:rFonts w:ascii="David" w:hAnsi="David"/>
          <w:rtl/>
        </w:rPr>
        <w:t xml:space="preserve"> ו</w:t>
      </w:r>
      <w:r>
        <w:rPr>
          <w:rFonts w:ascii="David" w:hAnsi="David" w:hint="cs"/>
          <w:rtl/>
        </w:rPr>
        <w:t>ה</w:t>
      </w:r>
      <w:r w:rsidRPr="002541C1">
        <w:rPr>
          <w:rFonts w:ascii="David" w:hAnsi="David"/>
          <w:rtl/>
        </w:rPr>
        <w:t xml:space="preserve">תקופה </w:t>
      </w:r>
      <w:r>
        <w:rPr>
          <w:rFonts w:ascii="David" w:hAnsi="David" w:hint="cs"/>
          <w:rtl/>
        </w:rPr>
        <w:t xml:space="preserve">בה שהה בהמשך לכך </w:t>
      </w:r>
      <w:r w:rsidRPr="002541C1">
        <w:rPr>
          <w:rFonts w:ascii="David" w:hAnsi="David"/>
          <w:rtl/>
        </w:rPr>
        <w:t xml:space="preserve">במעצר בית, כל זאת ללא הפרות.   לסיכומו של דבר ביקשה הסנגורית כי בית המשפט יאמץ את המלצת שרות המבחן ויגזור את דינו של הנאשם למאסר אשר ירוצה בעבודות שרות. </w:t>
      </w:r>
    </w:p>
    <w:p w14:paraId="1AF4F30D" w14:textId="77777777" w:rsidR="00F863F0" w:rsidRPr="002541C1" w:rsidRDefault="00F863F0" w:rsidP="00F863F0">
      <w:pPr>
        <w:spacing w:line="360" w:lineRule="auto"/>
        <w:jc w:val="both"/>
        <w:rPr>
          <w:rFonts w:ascii="David" w:hAnsi="David"/>
          <w:rtl/>
        </w:rPr>
      </w:pPr>
    </w:p>
    <w:p w14:paraId="421CF72A" w14:textId="77777777" w:rsidR="00F863F0" w:rsidRPr="002541C1" w:rsidRDefault="00F863F0" w:rsidP="00F863F0">
      <w:pPr>
        <w:spacing w:line="360" w:lineRule="auto"/>
        <w:jc w:val="both"/>
        <w:rPr>
          <w:rFonts w:ascii="David" w:hAnsi="David"/>
          <w:b/>
          <w:bCs/>
          <w:u w:val="single"/>
          <w:rtl/>
        </w:rPr>
      </w:pPr>
      <w:r w:rsidRPr="002541C1">
        <w:rPr>
          <w:rFonts w:ascii="David" w:hAnsi="David"/>
          <w:b/>
          <w:bCs/>
          <w:u w:val="single"/>
          <w:rtl/>
        </w:rPr>
        <w:t>דיון והכרעה</w:t>
      </w:r>
    </w:p>
    <w:p w14:paraId="6C42DDFF" w14:textId="77777777" w:rsidR="00F863F0" w:rsidRPr="002541C1" w:rsidRDefault="00F863F0" w:rsidP="00F863F0">
      <w:pPr>
        <w:spacing w:line="360" w:lineRule="auto"/>
        <w:jc w:val="both"/>
        <w:rPr>
          <w:rFonts w:ascii="David" w:hAnsi="David"/>
          <w:rtl/>
        </w:rPr>
      </w:pPr>
    </w:p>
    <w:p w14:paraId="5C4B7460" w14:textId="77777777" w:rsidR="00F863F0" w:rsidRPr="002541C1" w:rsidRDefault="00F863F0" w:rsidP="00F863F0">
      <w:pPr>
        <w:spacing w:line="360" w:lineRule="auto"/>
        <w:jc w:val="both"/>
        <w:rPr>
          <w:rFonts w:ascii="David" w:hAnsi="David"/>
          <w:u w:val="single"/>
          <w:rtl/>
        </w:rPr>
      </w:pPr>
      <w:r w:rsidRPr="002541C1">
        <w:rPr>
          <w:rFonts w:ascii="David" w:hAnsi="David"/>
          <w:u w:val="single"/>
          <w:rtl/>
        </w:rPr>
        <w:t xml:space="preserve">הפגיעה בערכים המוגנים </w:t>
      </w:r>
      <w:r w:rsidRPr="002541C1">
        <w:rPr>
          <w:rFonts w:ascii="David" w:hAnsi="David" w:hint="cs"/>
          <w:u w:val="single"/>
          <w:rtl/>
        </w:rPr>
        <w:t>ו</w:t>
      </w:r>
      <w:r w:rsidRPr="002541C1">
        <w:rPr>
          <w:rFonts w:ascii="David" w:hAnsi="David"/>
          <w:u w:val="single"/>
          <w:rtl/>
        </w:rPr>
        <w:t xml:space="preserve">מתחם העונש ההולם. </w:t>
      </w:r>
    </w:p>
    <w:p w14:paraId="55BC60B7" w14:textId="77777777" w:rsidR="00F863F0" w:rsidRPr="002541C1" w:rsidRDefault="00F863F0" w:rsidP="00F863F0">
      <w:pPr>
        <w:spacing w:line="360" w:lineRule="auto"/>
        <w:jc w:val="both"/>
        <w:rPr>
          <w:rFonts w:ascii="David" w:hAnsi="David"/>
          <w:u w:val="single"/>
          <w:rtl/>
        </w:rPr>
      </w:pPr>
    </w:p>
    <w:p w14:paraId="36D71E27" w14:textId="77777777" w:rsidR="00F863F0" w:rsidRPr="002541C1" w:rsidRDefault="00F863F0" w:rsidP="00F863F0">
      <w:pPr>
        <w:spacing w:line="360" w:lineRule="auto"/>
        <w:jc w:val="both"/>
        <w:rPr>
          <w:rFonts w:ascii="David" w:hAnsi="David"/>
          <w:rtl/>
        </w:rPr>
      </w:pPr>
      <w:r w:rsidRPr="002541C1">
        <w:rPr>
          <w:rFonts w:ascii="David" w:hAnsi="David"/>
          <w:rtl/>
        </w:rPr>
        <w:t>מעשיו של הנאשם חמורים ביותר. הנאשם ביצע 3 עסקאות מכירת סמים בהיקף כולל</w:t>
      </w:r>
      <w:r>
        <w:rPr>
          <w:rFonts w:ascii="David" w:hAnsi="David" w:hint="cs"/>
          <w:rtl/>
        </w:rPr>
        <w:t xml:space="preserve"> של</w:t>
      </w:r>
      <w:r w:rsidRPr="002541C1">
        <w:rPr>
          <w:rFonts w:ascii="David" w:hAnsi="David"/>
          <w:rtl/>
        </w:rPr>
        <w:t xml:space="preserve"> 76.5 גרם קוקאין וכן החזיק כ 70 גרם נוספים של קוקאין. אין צורך להרבות מילים אודות הפגיעה החמורה בציבור בשל מכירת סם, וודאי סם קשה מסוג קוקאין, שפגיעתו רעה במיוחד. הפסיקה חזרה והדגישה את החשיבות בדבר הטלת ענישה מכבידה בעבירות אלו. הפגיעה של הנאשם, בשל מעשיו, בערכים המוגנים הינה פגיעה ברמה גבוהה. </w:t>
      </w:r>
    </w:p>
    <w:p w14:paraId="75AC978E" w14:textId="77777777" w:rsidR="00F863F0" w:rsidRPr="002541C1" w:rsidRDefault="00F863F0" w:rsidP="00F863F0">
      <w:pPr>
        <w:spacing w:line="360" w:lineRule="auto"/>
        <w:jc w:val="both"/>
        <w:rPr>
          <w:rFonts w:ascii="David" w:hAnsi="David"/>
          <w:rtl/>
        </w:rPr>
      </w:pPr>
    </w:p>
    <w:p w14:paraId="793F172C" w14:textId="77777777" w:rsidR="00F863F0" w:rsidRPr="002541C1" w:rsidRDefault="00F863F0" w:rsidP="00F863F0">
      <w:pPr>
        <w:spacing w:line="360" w:lineRule="auto"/>
        <w:jc w:val="both"/>
        <w:rPr>
          <w:rFonts w:ascii="David" w:hAnsi="David"/>
          <w:rtl/>
        </w:rPr>
      </w:pPr>
      <w:r w:rsidRPr="002541C1">
        <w:rPr>
          <w:rFonts w:ascii="David" w:hAnsi="David"/>
          <w:rtl/>
        </w:rPr>
        <w:t xml:space="preserve">הצדדים טענו לעניין מתחמי הענישה והציגו פסיקה לתמיכה בטענותיהם. במקרה שלפני ניתן לבחון את מתחם העונש ההולם ביחס לגזרי הדין שניתנו באשר למעורבים נוספים באותה פרשייה. כך גם נוכל לתת ביטוי לחשיבות באחידות הענישה. </w:t>
      </w:r>
    </w:p>
    <w:p w14:paraId="0468E51B" w14:textId="77777777" w:rsidR="00F863F0" w:rsidRPr="002541C1" w:rsidRDefault="00F863F0" w:rsidP="00F863F0">
      <w:pPr>
        <w:spacing w:line="360" w:lineRule="auto"/>
        <w:jc w:val="both"/>
        <w:rPr>
          <w:rFonts w:ascii="David" w:hAnsi="David"/>
          <w:rtl/>
        </w:rPr>
      </w:pPr>
    </w:p>
    <w:p w14:paraId="4729E27F" w14:textId="77777777" w:rsidR="00F863F0" w:rsidRPr="002541C1" w:rsidRDefault="00F863F0" w:rsidP="00F863F0">
      <w:pPr>
        <w:spacing w:line="360" w:lineRule="auto"/>
        <w:jc w:val="both"/>
        <w:rPr>
          <w:rFonts w:ascii="David" w:hAnsi="David"/>
          <w:rtl/>
        </w:rPr>
      </w:pPr>
      <w:r w:rsidRPr="002541C1">
        <w:rPr>
          <w:rFonts w:ascii="David" w:hAnsi="David"/>
          <w:rtl/>
        </w:rPr>
        <w:t>בעניינו של מרבוע (</w:t>
      </w:r>
      <w:hyperlink r:id="rId13" w:history="1">
        <w:r w:rsidR="0026419E" w:rsidRPr="0026419E">
          <w:rPr>
            <w:rFonts w:ascii="David" w:hAnsi="David"/>
            <w:color w:val="0000FF"/>
            <w:u w:val="single"/>
            <w:rtl/>
          </w:rPr>
          <w:t>ת"פ 13672-03-21</w:t>
        </w:r>
      </w:hyperlink>
      <w:r w:rsidRPr="002541C1">
        <w:rPr>
          <w:rFonts w:ascii="David" w:hAnsi="David"/>
          <w:rtl/>
        </w:rPr>
        <w:t xml:space="preserve">) הורשע הנאשם </w:t>
      </w:r>
      <w:r>
        <w:rPr>
          <w:rFonts w:ascii="David" w:hAnsi="David" w:hint="cs"/>
          <w:rtl/>
        </w:rPr>
        <w:t xml:space="preserve">שם </w:t>
      </w:r>
      <w:r w:rsidRPr="002541C1">
        <w:rPr>
          <w:rFonts w:ascii="David" w:hAnsi="David"/>
          <w:rtl/>
        </w:rPr>
        <w:t>במכירת 52 ג' קוקאין במסגרת 12 עסקאות</w:t>
      </w:r>
      <w:r>
        <w:rPr>
          <w:rFonts w:ascii="David" w:hAnsi="David" w:hint="cs"/>
          <w:rtl/>
        </w:rPr>
        <w:t>.</w:t>
      </w:r>
      <w:r w:rsidRPr="002541C1">
        <w:rPr>
          <w:rFonts w:ascii="David" w:hAnsi="David"/>
          <w:rtl/>
        </w:rPr>
        <w:t xml:space="preserve"> נקבע מתחם הנע בין 3 שנות מאסר ל 6 שנים</w:t>
      </w:r>
      <w:r>
        <w:rPr>
          <w:rFonts w:ascii="David" w:hAnsi="David" w:hint="cs"/>
          <w:rtl/>
        </w:rPr>
        <w:t xml:space="preserve"> ומרבוע </w:t>
      </w:r>
      <w:r w:rsidRPr="002541C1">
        <w:rPr>
          <w:rFonts w:ascii="David" w:hAnsi="David"/>
          <w:rtl/>
        </w:rPr>
        <w:t xml:space="preserve"> נדון ל 3 וחצי שנות מאסר. ערעור</w:t>
      </w:r>
      <w:r>
        <w:rPr>
          <w:rFonts w:ascii="David" w:hAnsi="David" w:hint="cs"/>
          <w:rtl/>
        </w:rPr>
        <w:t>ו</w:t>
      </w:r>
      <w:r w:rsidRPr="002541C1">
        <w:rPr>
          <w:rFonts w:ascii="David" w:hAnsi="David"/>
          <w:rtl/>
        </w:rPr>
        <w:t xml:space="preserve"> (</w:t>
      </w:r>
      <w:hyperlink r:id="rId14" w:history="1">
        <w:r w:rsidR="0026419E" w:rsidRPr="0026419E">
          <w:rPr>
            <w:rFonts w:ascii="David" w:hAnsi="David"/>
            <w:color w:val="0000FF"/>
            <w:u w:val="single"/>
            <w:rtl/>
          </w:rPr>
          <w:t>עפ"ג 61207-01-23</w:t>
        </w:r>
      </w:hyperlink>
      <w:r w:rsidRPr="002541C1">
        <w:rPr>
          <w:rFonts w:ascii="David" w:hAnsi="David"/>
          <w:rtl/>
        </w:rPr>
        <w:t xml:space="preserve">) נדחה. </w:t>
      </w:r>
    </w:p>
    <w:p w14:paraId="2CE309FD" w14:textId="77777777" w:rsidR="00F863F0" w:rsidRPr="002541C1" w:rsidRDefault="00F863F0" w:rsidP="00F863F0">
      <w:pPr>
        <w:spacing w:line="360" w:lineRule="auto"/>
        <w:jc w:val="both"/>
        <w:rPr>
          <w:rFonts w:ascii="David" w:hAnsi="David"/>
          <w:rtl/>
        </w:rPr>
      </w:pPr>
    </w:p>
    <w:p w14:paraId="1D02FF50" w14:textId="77777777" w:rsidR="00F863F0" w:rsidRPr="002541C1" w:rsidRDefault="00F863F0" w:rsidP="00F863F0">
      <w:pPr>
        <w:spacing w:line="360" w:lineRule="auto"/>
        <w:jc w:val="both"/>
        <w:rPr>
          <w:rFonts w:ascii="David" w:hAnsi="David"/>
          <w:rtl/>
        </w:rPr>
      </w:pPr>
      <w:r w:rsidRPr="002541C1">
        <w:rPr>
          <w:rFonts w:ascii="David" w:hAnsi="David"/>
          <w:rtl/>
        </w:rPr>
        <w:t>בעניינו של גרירה (</w:t>
      </w:r>
      <w:hyperlink r:id="rId15" w:history="1">
        <w:r w:rsidR="0026419E" w:rsidRPr="0026419E">
          <w:rPr>
            <w:rFonts w:ascii="David" w:hAnsi="David"/>
            <w:color w:val="0000FF"/>
            <w:u w:val="single"/>
            <w:rtl/>
          </w:rPr>
          <w:t>ת"פ 13672-03-21</w:t>
        </w:r>
      </w:hyperlink>
      <w:r w:rsidRPr="002541C1">
        <w:rPr>
          <w:rFonts w:ascii="David" w:hAnsi="David"/>
          <w:rtl/>
        </w:rPr>
        <w:t xml:space="preserve">) הורשע הנאשם </w:t>
      </w:r>
      <w:r>
        <w:rPr>
          <w:rFonts w:ascii="David" w:hAnsi="David" w:hint="cs"/>
          <w:rtl/>
        </w:rPr>
        <w:t xml:space="preserve">שם </w:t>
      </w:r>
      <w:r w:rsidRPr="002541C1">
        <w:rPr>
          <w:rFonts w:ascii="David" w:hAnsi="David"/>
          <w:rtl/>
        </w:rPr>
        <w:t>במכירת כ 95 ג' קוקאין במסגרת 6 עסקאות ונקבע מתחם הנע בין 3 וחצי שנות מאסר ועד ל 7 שנות מאסר</w:t>
      </w:r>
      <w:r>
        <w:rPr>
          <w:rFonts w:ascii="David" w:hAnsi="David" w:hint="cs"/>
          <w:rtl/>
        </w:rPr>
        <w:t xml:space="preserve">.  גרירה </w:t>
      </w:r>
      <w:r w:rsidRPr="002541C1">
        <w:rPr>
          <w:rFonts w:ascii="David" w:hAnsi="David"/>
          <w:rtl/>
        </w:rPr>
        <w:t xml:space="preserve"> נדון ל 5 שנות מאסר. במסגרת ערעורו (עפ"ג 37964-09-22) הוקל אמנם מעט בעונשו של </w:t>
      </w:r>
      <w:r>
        <w:rPr>
          <w:rFonts w:ascii="David" w:hAnsi="David" w:hint="cs"/>
          <w:rtl/>
        </w:rPr>
        <w:t xml:space="preserve">גרירה </w:t>
      </w:r>
      <w:r w:rsidRPr="002541C1">
        <w:rPr>
          <w:rFonts w:ascii="David" w:hAnsi="David"/>
          <w:rtl/>
        </w:rPr>
        <w:t xml:space="preserve">ואולם מתחם הענישה שנקבע בבית המשפט קמא, אושר. </w:t>
      </w:r>
    </w:p>
    <w:p w14:paraId="17094FB8" w14:textId="77777777" w:rsidR="00F863F0" w:rsidRPr="002541C1" w:rsidRDefault="00F863F0" w:rsidP="00F863F0">
      <w:pPr>
        <w:spacing w:line="360" w:lineRule="auto"/>
        <w:jc w:val="both"/>
        <w:rPr>
          <w:rFonts w:ascii="David" w:hAnsi="David"/>
          <w:rtl/>
        </w:rPr>
      </w:pPr>
    </w:p>
    <w:p w14:paraId="5B440D66" w14:textId="77777777" w:rsidR="00F863F0" w:rsidRDefault="00F863F0" w:rsidP="00F863F0">
      <w:pPr>
        <w:spacing w:line="360" w:lineRule="auto"/>
        <w:jc w:val="both"/>
        <w:rPr>
          <w:rFonts w:ascii="David" w:hAnsi="David"/>
          <w:rtl/>
        </w:rPr>
      </w:pPr>
      <w:r w:rsidRPr="002541C1">
        <w:rPr>
          <w:rFonts w:ascii="David" w:hAnsi="David"/>
          <w:rtl/>
        </w:rPr>
        <w:t>בעניינו של עביידאת (</w:t>
      </w:r>
      <w:hyperlink r:id="rId16" w:history="1">
        <w:r w:rsidR="0026419E" w:rsidRPr="0026419E">
          <w:rPr>
            <w:rFonts w:ascii="David" w:hAnsi="David"/>
            <w:color w:val="0000FF"/>
            <w:u w:val="single"/>
            <w:rtl/>
          </w:rPr>
          <w:t>ת"פ 11722-03-21</w:t>
        </w:r>
      </w:hyperlink>
      <w:r w:rsidRPr="002541C1">
        <w:rPr>
          <w:rFonts w:ascii="David" w:hAnsi="David"/>
          <w:rtl/>
        </w:rPr>
        <w:t xml:space="preserve">) הורשע הנאשם </w:t>
      </w:r>
      <w:r>
        <w:rPr>
          <w:rFonts w:ascii="David" w:hAnsi="David" w:hint="cs"/>
          <w:rtl/>
        </w:rPr>
        <w:t xml:space="preserve">שם </w:t>
      </w:r>
      <w:r w:rsidRPr="002541C1">
        <w:rPr>
          <w:rFonts w:ascii="David" w:hAnsi="David"/>
          <w:rtl/>
        </w:rPr>
        <w:t xml:space="preserve">במכירת 86 ג' קוקאין במסגרת 3 עסקאות ונקבע מתחם הנע בין 3 שנות מאסר ל 5 שנים. </w:t>
      </w:r>
      <w:r>
        <w:rPr>
          <w:rFonts w:ascii="David" w:hAnsi="David" w:hint="cs"/>
          <w:rtl/>
        </w:rPr>
        <w:t>עביידאת</w:t>
      </w:r>
      <w:r w:rsidRPr="002541C1">
        <w:rPr>
          <w:rFonts w:ascii="David" w:hAnsi="David"/>
          <w:rtl/>
        </w:rPr>
        <w:t xml:space="preserve"> נדון ל 3 וחצי שנות מאסר. במסגרת ערעורו של </w:t>
      </w:r>
      <w:r>
        <w:rPr>
          <w:rFonts w:ascii="David" w:hAnsi="David" w:hint="cs"/>
          <w:rtl/>
        </w:rPr>
        <w:t xml:space="preserve">עביידאת </w:t>
      </w:r>
      <w:r w:rsidRPr="002541C1">
        <w:rPr>
          <w:rFonts w:ascii="David" w:hAnsi="David"/>
          <w:rtl/>
        </w:rPr>
        <w:t xml:space="preserve"> (</w:t>
      </w:r>
      <w:hyperlink r:id="rId17" w:history="1">
        <w:r w:rsidR="0026419E" w:rsidRPr="0026419E">
          <w:rPr>
            <w:rFonts w:ascii="David" w:hAnsi="David"/>
            <w:color w:val="0000FF"/>
            <w:u w:val="single"/>
            <w:rtl/>
          </w:rPr>
          <w:t>עפ"ג 47883-07-22</w:t>
        </w:r>
      </w:hyperlink>
      <w:r w:rsidRPr="002541C1">
        <w:rPr>
          <w:rFonts w:ascii="David" w:hAnsi="David"/>
          <w:rtl/>
        </w:rPr>
        <w:t xml:space="preserve">) נקבע כי היה על בית המשפט לתת משקל רב יותר לשיקולי השיקום ועל כן העמיד בית המשפט את עונש של המערער על 3 שנות מאסר. מנימוקו של בית המשפט </w:t>
      </w:r>
      <w:r>
        <w:rPr>
          <w:rFonts w:ascii="David" w:hAnsi="David" w:hint="cs"/>
          <w:rtl/>
        </w:rPr>
        <w:t xml:space="preserve">המחוזי </w:t>
      </w:r>
      <w:r w:rsidRPr="002541C1">
        <w:rPr>
          <w:rFonts w:ascii="David" w:hAnsi="David"/>
          <w:rtl/>
        </w:rPr>
        <w:t>ניתן ללמוד כי ההקלה בעונש נגזרה ממיקום העונש המתאים בתוך המתחם (</w:t>
      </w:r>
      <w:r>
        <w:rPr>
          <w:rFonts w:ascii="David" w:hAnsi="David" w:hint="cs"/>
          <w:rtl/>
        </w:rPr>
        <w:t>שיקולי שיקום -</w:t>
      </w:r>
      <w:r w:rsidRPr="002541C1">
        <w:rPr>
          <w:rFonts w:ascii="David" w:hAnsi="David"/>
          <w:rtl/>
        </w:rPr>
        <w:t>נסיב</w:t>
      </w:r>
      <w:r>
        <w:rPr>
          <w:rFonts w:ascii="David" w:hAnsi="David" w:hint="cs"/>
          <w:rtl/>
        </w:rPr>
        <w:t>ה</w:t>
      </w:r>
      <w:r w:rsidRPr="002541C1">
        <w:rPr>
          <w:rFonts w:ascii="David" w:hAnsi="David"/>
          <w:rtl/>
        </w:rPr>
        <w:t xml:space="preserve"> שאינ</w:t>
      </w:r>
      <w:r>
        <w:rPr>
          <w:rFonts w:ascii="David" w:hAnsi="David" w:hint="cs"/>
          <w:rtl/>
        </w:rPr>
        <w:t>ה</w:t>
      </w:r>
      <w:r w:rsidRPr="002541C1">
        <w:rPr>
          <w:rFonts w:ascii="David" w:hAnsi="David"/>
          <w:rtl/>
        </w:rPr>
        <w:t xml:space="preserve"> כרוכ</w:t>
      </w:r>
      <w:r>
        <w:rPr>
          <w:rFonts w:ascii="David" w:hAnsi="David" w:hint="cs"/>
          <w:rtl/>
        </w:rPr>
        <w:t>ה</w:t>
      </w:r>
      <w:r w:rsidRPr="002541C1">
        <w:rPr>
          <w:rFonts w:ascii="David" w:hAnsi="David"/>
          <w:rtl/>
        </w:rPr>
        <w:t xml:space="preserve"> בעבירה) ולא מהתערבות במתחם הענישה אשר נקבע על ידי בית המשפט קמא. </w:t>
      </w:r>
    </w:p>
    <w:p w14:paraId="5CC2EDCD" w14:textId="77777777" w:rsidR="00F863F0" w:rsidRPr="002541C1" w:rsidRDefault="00F863F0" w:rsidP="00F863F0">
      <w:pPr>
        <w:spacing w:line="360" w:lineRule="auto"/>
        <w:jc w:val="both"/>
        <w:rPr>
          <w:rFonts w:ascii="David" w:hAnsi="David"/>
          <w:rtl/>
        </w:rPr>
      </w:pPr>
      <w:r w:rsidRPr="002541C1">
        <w:rPr>
          <w:rFonts w:ascii="David" w:hAnsi="David"/>
          <w:rtl/>
        </w:rPr>
        <w:t>במקרה שלפנינו הנאשם כאמור מכר קוקאין בהיקף כולל של 76.5 ג' והחזיק ב 70 ג' נוספים של קוקאין.  בהתאמה למתחמים שנקבעו</w:t>
      </w:r>
      <w:r>
        <w:rPr>
          <w:rFonts w:ascii="David" w:hAnsi="David" w:hint="cs"/>
          <w:rtl/>
        </w:rPr>
        <w:t xml:space="preserve"> ל</w:t>
      </w:r>
      <w:r w:rsidRPr="002541C1">
        <w:rPr>
          <w:rFonts w:ascii="David" w:hAnsi="David"/>
          <w:rtl/>
        </w:rPr>
        <w:t>עבירות של נאשמים נוספים באותה פרשייה</w:t>
      </w:r>
      <w:r>
        <w:rPr>
          <w:rFonts w:ascii="David" w:hAnsi="David" w:hint="cs"/>
          <w:rtl/>
        </w:rPr>
        <w:t>,</w:t>
      </w:r>
      <w:r w:rsidRPr="002541C1">
        <w:rPr>
          <w:rFonts w:ascii="David" w:hAnsi="David"/>
          <w:rtl/>
        </w:rPr>
        <w:t xml:space="preserve"> מתחם העונש ההולם את מעשי הנאשם </w:t>
      </w:r>
      <w:r>
        <w:rPr>
          <w:rFonts w:ascii="David" w:hAnsi="David"/>
          <w:rtl/>
        </w:rPr>
        <w:t xml:space="preserve">יתחיל איפה ב </w:t>
      </w:r>
      <w:r>
        <w:rPr>
          <w:rFonts w:ascii="David" w:hAnsi="David" w:hint="cs"/>
          <w:rtl/>
        </w:rPr>
        <w:t xml:space="preserve">3 וחצי שנות מאסר </w:t>
      </w:r>
      <w:r w:rsidRPr="002541C1">
        <w:rPr>
          <w:rFonts w:ascii="David" w:hAnsi="David"/>
          <w:rtl/>
        </w:rPr>
        <w:t xml:space="preserve">ועד ל 6 שנים. </w:t>
      </w:r>
    </w:p>
    <w:p w14:paraId="3D29B2F4" w14:textId="77777777" w:rsidR="00F863F0" w:rsidRPr="002541C1" w:rsidRDefault="00F863F0" w:rsidP="00F863F0">
      <w:pPr>
        <w:spacing w:line="360" w:lineRule="auto"/>
        <w:jc w:val="both"/>
        <w:rPr>
          <w:rFonts w:ascii="David" w:hAnsi="David"/>
          <w:rtl/>
        </w:rPr>
      </w:pPr>
    </w:p>
    <w:p w14:paraId="03C3208C" w14:textId="77777777" w:rsidR="00F863F0" w:rsidRPr="002541C1" w:rsidRDefault="00F863F0" w:rsidP="00F863F0">
      <w:pPr>
        <w:spacing w:line="360" w:lineRule="auto"/>
        <w:jc w:val="both"/>
        <w:rPr>
          <w:rFonts w:ascii="David" w:hAnsi="David"/>
          <w:rtl/>
        </w:rPr>
      </w:pPr>
      <w:r>
        <w:rPr>
          <w:rFonts w:ascii="David" w:hAnsi="David" w:hint="cs"/>
          <w:rtl/>
        </w:rPr>
        <w:t xml:space="preserve">הסנגורית </w:t>
      </w:r>
      <w:r w:rsidRPr="002541C1">
        <w:rPr>
          <w:rFonts w:ascii="David" w:hAnsi="David"/>
          <w:rtl/>
        </w:rPr>
        <w:t>טענה בדבר השפעתו של הסוכן המשטרתי על הנאשם, וכן טענה בדבר המצב הכלכלי הקשה בתקופת הקורו</w:t>
      </w:r>
      <w:r>
        <w:rPr>
          <w:rFonts w:ascii="David" w:hAnsi="David"/>
          <w:rtl/>
        </w:rPr>
        <w:t>נה שהביא את הנאשם לבצע את מעשיו</w:t>
      </w:r>
      <w:r>
        <w:rPr>
          <w:rFonts w:ascii="David" w:hAnsi="David" w:hint="cs"/>
          <w:rtl/>
        </w:rPr>
        <w:t xml:space="preserve">. </w:t>
      </w:r>
      <w:r w:rsidRPr="002541C1">
        <w:rPr>
          <w:rFonts w:ascii="David" w:hAnsi="David"/>
          <w:rtl/>
        </w:rPr>
        <w:t>אינני מקבל טענתה</w:t>
      </w:r>
      <w:r>
        <w:rPr>
          <w:rFonts w:ascii="David" w:hAnsi="David" w:hint="cs"/>
          <w:rtl/>
        </w:rPr>
        <w:t xml:space="preserve"> </w:t>
      </w:r>
      <w:r w:rsidRPr="002541C1">
        <w:rPr>
          <w:rFonts w:ascii="David" w:hAnsi="David"/>
          <w:rtl/>
        </w:rPr>
        <w:t xml:space="preserve">. מצב כלכלי מורכב אינו יכול לשמש נתון לקולא כאשר הנאשם סוחר ומחזיק בקוקאין בהיקפים כה גדולים. ובאשר לטענה בדבר השפעת הסוכן המשטרתי על הנאשם, אין בהיכרות מוקדמת של הסוכן עם אביו של הנאשם ואף היותו בן בית במשפחת הנאשם, כפי שמסרה הסנגורית, כדי להוות שיקול בקביעת המתחם. </w:t>
      </w:r>
    </w:p>
    <w:p w14:paraId="6FC44F88" w14:textId="77777777" w:rsidR="00F863F0" w:rsidRPr="002541C1" w:rsidRDefault="00F863F0" w:rsidP="00F863F0">
      <w:pPr>
        <w:spacing w:line="360" w:lineRule="auto"/>
        <w:jc w:val="both"/>
        <w:rPr>
          <w:rFonts w:ascii="David" w:hAnsi="David"/>
          <w:rtl/>
        </w:rPr>
      </w:pPr>
    </w:p>
    <w:p w14:paraId="592C08D8" w14:textId="77777777" w:rsidR="00F863F0" w:rsidRPr="00A839F1" w:rsidRDefault="00F863F0" w:rsidP="00F863F0">
      <w:pPr>
        <w:spacing w:line="360" w:lineRule="auto"/>
        <w:jc w:val="both"/>
        <w:rPr>
          <w:rFonts w:ascii="David" w:hAnsi="David"/>
          <w:u w:val="single"/>
          <w:rtl/>
        </w:rPr>
      </w:pPr>
      <w:r w:rsidRPr="00A839F1">
        <w:rPr>
          <w:rFonts w:ascii="David" w:hAnsi="David"/>
          <w:u w:val="single"/>
          <w:rtl/>
        </w:rPr>
        <w:t xml:space="preserve">העונש המתאים לנאשם  </w:t>
      </w:r>
    </w:p>
    <w:p w14:paraId="095C2ACD" w14:textId="77777777" w:rsidR="00F863F0" w:rsidRPr="002541C1" w:rsidRDefault="00F863F0" w:rsidP="00F863F0">
      <w:pPr>
        <w:spacing w:line="360" w:lineRule="auto"/>
        <w:jc w:val="both"/>
        <w:rPr>
          <w:rFonts w:ascii="David" w:hAnsi="David"/>
          <w:rtl/>
        </w:rPr>
      </w:pPr>
    </w:p>
    <w:p w14:paraId="2FE2B644" w14:textId="77777777" w:rsidR="00F863F0" w:rsidRPr="002541C1" w:rsidRDefault="00F863F0" w:rsidP="00F863F0">
      <w:pPr>
        <w:spacing w:line="360" w:lineRule="auto"/>
        <w:jc w:val="both"/>
        <w:rPr>
          <w:rFonts w:ascii="David" w:hAnsi="David"/>
          <w:rtl/>
        </w:rPr>
      </w:pPr>
      <w:r w:rsidRPr="002541C1">
        <w:rPr>
          <w:rFonts w:ascii="David" w:hAnsi="David"/>
          <w:rtl/>
        </w:rPr>
        <w:t xml:space="preserve">בקביעת העונש המתאים לנאשם בתוך מתחם הענישה יש לתת את הדעת לנסיבות שאינן כרוכות בעבירה כמפורט </w:t>
      </w:r>
      <w:hyperlink r:id="rId18" w:history="1">
        <w:r w:rsidR="00610800" w:rsidRPr="00610800">
          <w:rPr>
            <w:rStyle w:val="Hyperlink"/>
            <w:rFonts w:ascii="David" w:hAnsi="David"/>
            <w:rtl/>
          </w:rPr>
          <w:t>בסעיף 40יא</w:t>
        </w:r>
      </w:hyperlink>
      <w:r w:rsidRPr="002541C1">
        <w:rPr>
          <w:rFonts w:ascii="David" w:hAnsi="David"/>
          <w:rtl/>
        </w:rPr>
        <w:t xml:space="preserve"> ל</w:t>
      </w:r>
      <w:hyperlink r:id="rId19" w:history="1">
        <w:r w:rsidR="0026419E" w:rsidRPr="0026419E">
          <w:rPr>
            <w:rFonts w:ascii="David" w:hAnsi="David"/>
            <w:color w:val="0000FF"/>
            <w:u w:val="single"/>
            <w:rtl/>
          </w:rPr>
          <w:t>חוק העונשין</w:t>
        </w:r>
      </w:hyperlink>
      <w:r w:rsidRPr="002541C1">
        <w:rPr>
          <w:rFonts w:ascii="David" w:hAnsi="David"/>
          <w:rtl/>
        </w:rPr>
        <w:t xml:space="preserve">. </w:t>
      </w:r>
    </w:p>
    <w:p w14:paraId="27772699" w14:textId="77777777" w:rsidR="00F863F0" w:rsidRPr="002541C1" w:rsidRDefault="00F863F0" w:rsidP="00F863F0">
      <w:pPr>
        <w:spacing w:line="360" w:lineRule="auto"/>
        <w:jc w:val="both"/>
        <w:rPr>
          <w:rFonts w:ascii="David" w:hAnsi="David"/>
          <w:rtl/>
        </w:rPr>
      </w:pPr>
    </w:p>
    <w:p w14:paraId="21107188" w14:textId="77777777" w:rsidR="00F863F0" w:rsidRPr="002541C1" w:rsidRDefault="00F863F0" w:rsidP="00F863F0">
      <w:pPr>
        <w:spacing w:line="360" w:lineRule="auto"/>
        <w:jc w:val="both"/>
        <w:rPr>
          <w:rFonts w:ascii="David" w:hAnsi="David"/>
          <w:rtl/>
        </w:rPr>
      </w:pPr>
      <w:r w:rsidRPr="002541C1">
        <w:rPr>
          <w:rFonts w:ascii="David" w:hAnsi="David"/>
          <w:rtl/>
        </w:rPr>
        <w:t>הנאשם הודה ונטל אחריות למעשיו. נטילת האחריות אינה מתבטאת רק בהודאתו בבית המשפט. הדבר עולה מתסקיר שרות המבחן אשר מביא את תחושות האכזבה העצמית, הבושה והחרטה אות</w:t>
      </w:r>
      <w:r>
        <w:rPr>
          <w:rFonts w:ascii="David" w:hAnsi="David" w:hint="cs"/>
          <w:rtl/>
        </w:rPr>
        <w:t>ן</w:t>
      </w:r>
      <w:r w:rsidRPr="002541C1">
        <w:rPr>
          <w:rFonts w:ascii="David" w:hAnsi="David"/>
          <w:rtl/>
        </w:rPr>
        <w:t xml:space="preserve"> ביטא הנאשם בקבוצות טיפוליות שונות ובטיפול הפרטני אותו עבר במסגרת שרות המבחן.  </w:t>
      </w:r>
    </w:p>
    <w:p w14:paraId="0EE03FDB" w14:textId="77777777" w:rsidR="00F863F0" w:rsidRPr="002541C1" w:rsidRDefault="00F863F0" w:rsidP="00F863F0">
      <w:pPr>
        <w:spacing w:line="360" w:lineRule="auto"/>
        <w:jc w:val="both"/>
        <w:rPr>
          <w:rFonts w:ascii="David" w:hAnsi="David"/>
          <w:rtl/>
        </w:rPr>
      </w:pPr>
    </w:p>
    <w:p w14:paraId="4BFE790B" w14:textId="77777777" w:rsidR="00F863F0" w:rsidRPr="002541C1" w:rsidRDefault="00F863F0" w:rsidP="00F863F0">
      <w:pPr>
        <w:spacing w:line="360" w:lineRule="auto"/>
        <w:jc w:val="both"/>
        <w:rPr>
          <w:rFonts w:ascii="David" w:hAnsi="David"/>
          <w:rtl/>
        </w:rPr>
      </w:pPr>
      <w:r w:rsidRPr="002541C1">
        <w:rPr>
          <w:rFonts w:ascii="David" w:hAnsi="David"/>
          <w:rtl/>
        </w:rPr>
        <w:t xml:space="preserve">אין לחובתו של הנאשם עבר פלילי רלוונטי ולחובתו הרשעה אחת בגין הסגת גבול משנת 2022. בשל עבירה זו הנאשם נדון ל 4 חודשי מאסר בפועל יחד עם יתר רכיבי הענישה. </w:t>
      </w:r>
    </w:p>
    <w:p w14:paraId="7C767595" w14:textId="77777777" w:rsidR="00F863F0" w:rsidRPr="002541C1" w:rsidRDefault="00F863F0" w:rsidP="00F863F0">
      <w:pPr>
        <w:spacing w:line="360" w:lineRule="auto"/>
        <w:jc w:val="both"/>
        <w:rPr>
          <w:rFonts w:ascii="David" w:hAnsi="David"/>
          <w:rtl/>
        </w:rPr>
      </w:pPr>
    </w:p>
    <w:p w14:paraId="6789C61E" w14:textId="77777777" w:rsidR="00F863F0" w:rsidRPr="002541C1" w:rsidRDefault="00F863F0" w:rsidP="00F863F0">
      <w:pPr>
        <w:spacing w:line="360" w:lineRule="auto"/>
        <w:jc w:val="both"/>
        <w:rPr>
          <w:rFonts w:ascii="David" w:hAnsi="David"/>
          <w:rtl/>
        </w:rPr>
      </w:pPr>
      <w:r w:rsidRPr="002541C1">
        <w:rPr>
          <w:rFonts w:ascii="David" w:hAnsi="David"/>
          <w:rtl/>
        </w:rPr>
        <w:t>הנאשם שהה</w:t>
      </w:r>
      <w:r>
        <w:rPr>
          <w:rFonts w:ascii="David" w:hAnsi="David" w:hint="cs"/>
          <w:rtl/>
        </w:rPr>
        <w:t xml:space="preserve">, לאחר מעצרו מאחורי סורג ובריח, </w:t>
      </w:r>
      <w:r w:rsidRPr="002541C1">
        <w:rPr>
          <w:rFonts w:ascii="David" w:hAnsi="David"/>
          <w:rtl/>
        </w:rPr>
        <w:t xml:space="preserve">במעצר בפיקוח אלקטרוני כשנה, לאחר מכן במעצר בית במשך תקופה ממושכת נוספת, כל זאת ללא הפרות התנאים.  </w:t>
      </w:r>
    </w:p>
    <w:p w14:paraId="2B8269CE" w14:textId="77777777" w:rsidR="00F863F0" w:rsidRPr="002541C1" w:rsidRDefault="00F863F0" w:rsidP="00F863F0">
      <w:pPr>
        <w:spacing w:line="360" w:lineRule="auto"/>
        <w:jc w:val="both"/>
        <w:rPr>
          <w:rFonts w:ascii="David" w:hAnsi="David"/>
          <w:rtl/>
        </w:rPr>
      </w:pPr>
    </w:p>
    <w:p w14:paraId="4521D5CF" w14:textId="77777777" w:rsidR="00F863F0" w:rsidRPr="002541C1" w:rsidRDefault="00F863F0" w:rsidP="00F863F0">
      <w:pPr>
        <w:spacing w:line="360" w:lineRule="auto"/>
        <w:jc w:val="both"/>
        <w:rPr>
          <w:rFonts w:ascii="David" w:hAnsi="David"/>
          <w:rtl/>
        </w:rPr>
      </w:pPr>
      <w:r w:rsidRPr="002541C1">
        <w:rPr>
          <w:rFonts w:ascii="David" w:hAnsi="David"/>
          <w:rtl/>
        </w:rPr>
        <w:t xml:space="preserve">טרם מעצרו, הנאשם </w:t>
      </w:r>
      <w:r>
        <w:rPr>
          <w:rFonts w:ascii="David" w:hAnsi="David"/>
          <w:rtl/>
        </w:rPr>
        <w:t>עבד כמורה מחליף בבית ספר</w:t>
      </w:r>
      <w:r>
        <w:rPr>
          <w:rFonts w:ascii="David" w:hAnsi="David" w:hint="cs"/>
          <w:rtl/>
        </w:rPr>
        <w:t>. הנאשם</w:t>
      </w:r>
      <w:r w:rsidRPr="002541C1">
        <w:rPr>
          <w:rFonts w:ascii="David" w:hAnsi="David"/>
          <w:rtl/>
        </w:rPr>
        <w:t xml:space="preserve"> ערך מאמצים להשלים לימודים אקדמאיים באוניברסיטה הפתוחה, וסיים תואר בספרות במכללת "יציב". אין ספק כי העונש אשר יוטל על הנאשם ימנע ממנו את המשך ההתפתחות המקצועית בכיוון זה.   </w:t>
      </w:r>
    </w:p>
    <w:p w14:paraId="3E143519" w14:textId="77777777" w:rsidR="00F863F0" w:rsidRPr="002541C1" w:rsidRDefault="00F863F0" w:rsidP="00F863F0">
      <w:pPr>
        <w:spacing w:line="360" w:lineRule="auto"/>
        <w:jc w:val="both"/>
        <w:rPr>
          <w:rFonts w:ascii="David" w:hAnsi="David"/>
          <w:rtl/>
        </w:rPr>
      </w:pPr>
    </w:p>
    <w:p w14:paraId="2845E430" w14:textId="77777777" w:rsidR="00F863F0" w:rsidRDefault="00F863F0" w:rsidP="00F863F0">
      <w:pPr>
        <w:spacing w:line="360" w:lineRule="auto"/>
        <w:jc w:val="both"/>
        <w:rPr>
          <w:rFonts w:ascii="David" w:hAnsi="David"/>
          <w:rtl/>
        </w:rPr>
      </w:pPr>
      <w:r w:rsidRPr="002541C1">
        <w:rPr>
          <w:rFonts w:ascii="David" w:hAnsi="David"/>
          <w:rtl/>
        </w:rPr>
        <w:t xml:space="preserve">די בכל האמור עד כה כדי לקבוע כי ניתן למקם את העונש המתאים לנאשם בתחתית מתחם הענישה. יחד עם זאת ובשים לב לשיקולי שיקום אני סבור כי ניתן לחרוג, במידת מה, ממתחם הענישה לקולא. </w:t>
      </w:r>
    </w:p>
    <w:p w14:paraId="1C4FD2B1" w14:textId="77777777" w:rsidR="00F863F0" w:rsidRDefault="00F863F0" w:rsidP="00F863F0">
      <w:pPr>
        <w:spacing w:line="360" w:lineRule="auto"/>
        <w:jc w:val="both"/>
        <w:rPr>
          <w:rFonts w:ascii="David" w:hAnsi="David"/>
          <w:rtl/>
        </w:rPr>
      </w:pPr>
      <w:r w:rsidRPr="002541C1">
        <w:rPr>
          <w:rFonts w:ascii="David" w:hAnsi="David"/>
          <w:rtl/>
        </w:rPr>
        <w:t xml:space="preserve">הנאשם עשה מאמצים רבים לשיקום חייו. שרות המבחן מציין את שיתוף הפעולה המלא והממושך ביותר של הנאשם. הנאשם שולב בשלוש קבוצות טיפוליות, קבוצה לעצורי בית, ולאחר מכן השתתף בפרק זמן ממושך מידי שבוע בשתי קבוצות </w:t>
      </w:r>
      <w:r>
        <w:rPr>
          <w:rFonts w:ascii="David" w:hAnsi="David" w:hint="cs"/>
          <w:rtl/>
        </w:rPr>
        <w:t xml:space="preserve">טיפוליות </w:t>
      </w:r>
      <w:r>
        <w:rPr>
          <w:rFonts w:ascii="David" w:hAnsi="David"/>
          <w:rtl/>
        </w:rPr>
        <w:t>נוספות</w:t>
      </w:r>
      <w:r w:rsidRPr="002541C1">
        <w:rPr>
          <w:rFonts w:ascii="David" w:hAnsi="David"/>
          <w:rtl/>
        </w:rPr>
        <w:t xml:space="preserve">. כמו כן הנאשם שולב בטיפול פרטני בשרות המבחן. לאחר הקלה בתנאי השחרור הנאשם שולב בעבודה וגילה יציבות תעסוקתית. שרות המבחן העריך כי המעצר וההליך הפלילי היוו גורם מרתיע ומציב גבולות לעתיד. המלצתו של שרות המבחן לעונש אינה עולה </w:t>
      </w:r>
      <w:r>
        <w:rPr>
          <w:rFonts w:ascii="David" w:hAnsi="David" w:hint="cs"/>
          <w:rtl/>
        </w:rPr>
        <w:t xml:space="preserve">אמנם </w:t>
      </w:r>
      <w:r w:rsidRPr="002541C1">
        <w:rPr>
          <w:rFonts w:ascii="David" w:hAnsi="David"/>
          <w:rtl/>
        </w:rPr>
        <w:t>בקנה אחד עם מדיניות הענישה הנוהגת ואולם לשיקומו של הנאשם ישנה חשיבות רבה במסגרת שיקולי הענישה</w:t>
      </w:r>
      <w:r>
        <w:rPr>
          <w:rFonts w:ascii="David" w:hAnsi="David" w:hint="cs"/>
          <w:rtl/>
        </w:rPr>
        <w:t xml:space="preserve">, ובקשר לחריגה לקולא ממתחם הענישה ההולם. </w:t>
      </w:r>
      <w:r w:rsidRPr="002541C1">
        <w:rPr>
          <w:rFonts w:ascii="David" w:hAnsi="David"/>
          <w:rtl/>
        </w:rPr>
        <w:t xml:space="preserve"> </w:t>
      </w:r>
      <w:r>
        <w:rPr>
          <w:rFonts w:ascii="David" w:hAnsi="David" w:hint="cs"/>
          <w:rtl/>
        </w:rPr>
        <w:t>לאור כל האמור</w:t>
      </w:r>
      <w:r w:rsidRPr="002541C1">
        <w:rPr>
          <w:rFonts w:ascii="David" w:hAnsi="David"/>
          <w:rtl/>
        </w:rPr>
        <w:t xml:space="preserve"> ניתן</w:t>
      </w:r>
      <w:r>
        <w:rPr>
          <w:rFonts w:ascii="David" w:hAnsi="David" w:hint="cs"/>
          <w:rtl/>
        </w:rPr>
        <w:t xml:space="preserve"> לטעמי </w:t>
      </w:r>
      <w:r w:rsidRPr="002541C1">
        <w:rPr>
          <w:rFonts w:ascii="David" w:hAnsi="David"/>
          <w:rtl/>
        </w:rPr>
        <w:t xml:space="preserve"> לחרוג</w:t>
      </w:r>
      <w:r>
        <w:rPr>
          <w:rFonts w:ascii="David" w:hAnsi="David" w:hint="cs"/>
          <w:rtl/>
        </w:rPr>
        <w:t>,</w:t>
      </w:r>
      <w:r w:rsidRPr="002541C1">
        <w:rPr>
          <w:rFonts w:ascii="David" w:hAnsi="David"/>
          <w:rtl/>
        </w:rPr>
        <w:t xml:space="preserve"> </w:t>
      </w:r>
      <w:r>
        <w:rPr>
          <w:rFonts w:ascii="David" w:hAnsi="David" w:hint="cs"/>
          <w:rtl/>
        </w:rPr>
        <w:t xml:space="preserve">במידת מה, </w:t>
      </w:r>
      <w:r w:rsidRPr="002541C1">
        <w:rPr>
          <w:rFonts w:ascii="David" w:hAnsi="David"/>
          <w:rtl/>
        </w:rPr>
        <w:t>ממתחם העניש</w:t>
      </w:r>
      <w:r>
        <w:rPr>
          <w:rFonts w:ascii="David" w:hAnsi="David"/>
          <w:rtl/>
        </w:rPr>
        <w:t>ה לקולא וזאת בשל שיקולי השיקום.</w:t>
      </w:r>
    </w:p>
    <w:p w14:paraId="3D528E31" w14:textId="77777777" w:rsidR="00F863F0" w:rsidRDefault="00F863F0" w:rsidP="00F863F0">
      <w:pPr>
        <w:spacing w:line="360" w:lineRule="auto"/>
        <w:jc w:val="both"/>
        <w:rPr>
          <w:rFonts w:ascii="David" w:hAnsi="David"/>
          <w:rtl/>
        </w:rPr>
      </w:pPr>
    </w:p>
    <w:p w14:paraId="2325C8FE" w14:textId="77777777" w:rsidR="00F863F0" w:rsidRPr="006D2877" w:rsidRDefault="00F863F0" w:rsidP="00F863F0">
      <w:pPr>
        <w:spacing w:line="360" w:lineRule="auto"/>
        <w:jc w:val="both"/>
        <w:rPr>
          <w:rFonts w:ascii="David" w:hAnsi="David"/>
          <w:b/>
          <w:bCs/>
          <w:u w:val="single"/>
          <w:rtl/>
        </w:rPr>
      </w:pPr>
      <w:r w:rsidRPr="006D2877">
        <w:rPr>
          <w:rFonts w:ascii="David" w:hAnsi="David" w:hint="cs"/>
          <w:b/>
          <w:bCs/>
          <w:u w:val="single"/>
          <w:rtl/>
        </w:rPr>
        <w:t xml:space="preserve">חילוט הרכבים ויתר הרכוש כמפורט בבקשה אשר בכתב האישום. </w:t>
      </w:r>
    </w:p>
    <w:p w14:paraId="7B9C6DEB" w14:textId="77777777" w:rsidR="00F863F0" w:rsidRPr="006D2877" w:rsidRDefault="00F863F0" w:rsidP="00F863F0">
      <w:pPr>
        <w:spacing w:line="360" w:lineRule="auto"/>
        <w:jc w:val="both"/>
        <w:rPr>
          <w:rFonts w:ascii="David" w:hAnsi="David"/>
          <w:u w:val="single"/>
          <w:rtl/>
        </w:rPr>
      </w:pPr>
    </w:p>
    <w:p w14:paraId="3B31D2AC" w14:textId="77777777" w:rsidR="00F863F0" w:rsidRPr="006D2877" w:rsidRDefault="00F863F0" w:rsidP="00F863F0">
      <w:pPr>
        <w:spacing w:line="360" w:lineRule="auto"/>
        <w:jc w:val="both"/>
        <w:rPr>
          <w:rFonts w:ascii="David" w:hAnsi="David"/>
          <w:u w:val="single"/>
          <w:rtl/>
        </w:rPr>
      </w:pPr>
      <w:r w:rsidRPr="006D2877">
        <w:rPr>
          <w:rFonts w:ascii="David" w:hAnsi="David" w:hint="cs"/>
          <w:u w:val="single"/>
          <w:rtl/>
        </w:rPr>
        <w:t xml:space="preserve">רכב המזדה </w:t>
      </w:r>
    </w:p>
    <w:p w14:paraId="016BE588" w14:textId="77777777" w:rsidR="00F863F0" w:rsidRDefault="00F863F0" w:rsidP="00F863F0">
      <w:pPr>
        <w:spacing w:line="360" w:lineRule="auto"/>
        <w:jc w:val="both"/>
        <w:rPr>
          <w:rFonts w:ascii="David" w:hAnsi="David"/>
          <w:rtl/>
        </w:rPr>
      </w:pPr>
    </w:p>
    <w:p w14:paraId="23514C1A" w14:textId="77777777" w:rsidR="00F863F0" w:rsidRDefault="00F863F0" w:rsidP="00F863F0">
      <w:pPr>
        <w:spacing w:line="360" w:lineRule="auto"/>
        <w:jc w:val="both"/>
        <w:rPr>
          <w:rFonts w:ascii="David" w:hAnsi="David"/>
          <w:rtl/>
        </w:rPr>
      </w:pPr>
      <w:r>
        <w:rPr>
          <w:rFonts w:ascii="David" w:hAnsi="David" w:hint="cs"/>
          <w:rtl/>
        </w:rPr>
        <w:t xml:space="preserve">בעובדות כתב האישום בו הנאשם הודה והורשע צוין, באישום הרביעי, כי הנאשם </w:t>
      </w:r>
      <w:r w:rsidRPr="0003164D">
        <w:rPr>
          <w:rFonts w:ascii="David" w:hAnsi="David" w:hint="cs"/>
          <w:u w:val="single"/>
          <w:rtl/>
        </w:rPr>
        <w:t>החזיק ברכב המזדה</w:t>
      </w:r>
      <w:r>
        <w:rPr>
          <w:rFonts w:ascii="David" w:hAnsi="David" w:hint="cs"/>
          <w:rtl/>
        </w:rPr>
        <w:t xml:space="preserve"> 70 ג' קוקאין. כיצד ניתן לומר כי אין מדובר בכלי אשר שימש באופן ישיר לביצוע העבירה ? הסנגור טען (על דרך האירוניה)  ומנה דוגמאות, השעון אשר על ידו, הבגדים לגופו וכו', פריטים אשר לא יעלה על הדעת כי יתבקש חילוטן, ועל כן אין לחלט גם את הרכב. הדוגמאות לחלוטין אינן ממין העניין, הסמים הוחזקו ברכב ועל כן מדובר בזיקה ישירה, ואין צורך להידר</w:t>
      </w:r>
      <w:r>
        <w:rPr>
          <w:rFonts w:ascii="David" w:hAnsi="David" w:hint="eastAsia"/>
          <w:rtl/>
        </w:rPr>
        <w:t>ש</w:t>
      </w:r>
      <w:r>
        <w:rPr>
          <w:rFonts w:ascii="David" w:hAnsi="David" w:hint="cs"/>
          <w:rtl/>
        </w:rPr>
        <w:t xml:space="preserve"> לסוגיה מעבר לכך.  </w:t>
      </w:r>
    </w:p>
    <w:p w14:paraId="00E1560B" w14:textId="77777777" w:rsidR="00F863F0" w:rsidRDefault="00F863F0" w:rsidP="00F863F0">
      <w:pPr>
        <w:spacing w:line="360" w:lineRule="auto"/>
        <w:jc w:val="both"/>
        <w:rPr>
          <w:rFonts w:ascii="David" w:hAnsi="David"/>
          <w:rtl/>
        </w:rPr>
      </w:pPr>
    </w:p>
    <w:p w14:paraId="5FAEA5BE" w14:textId="77777777" w:rsidR="00F863F0" w:rsidRDefault="00F863F0" w:rsidP="00F863F0">
      <w:pPr>
        <w:spacing w:line="360" w:lineRule="auto"/>
        <w:jc w:val="both"/>
        <w:rPr>
          <w:rFonts w:ascii="David" w:hAnsi="David"/>
          <w:rtl/>
        </w:rPr>
      </w:pPr>
      <w:r w:rsidRPr="006D2877">
        <w:rPr>
          <w:rFonts w:ascii="David" w:hAnsi="David" w:hint="cs"/>
          <w:u w:val="single"/>
          <w:rtl/>
        </w:rPr>
        <w:t>רכב הטויוטה ויתרות זכות ופקדונות</w:t>
      </w:r>
      <w:r>
        <w:rPr>
          <w:rFonts w:ascii="David" w:hAnsi="David" w:hint="cs"/>
          <w:rtl/>
        </w:rPr>
        <w:t xml:space="preserve"> </w:t>
      </w:r>
    </w:p>
    <w:p w14:paraId="4A1965FE" w14:textId="77777777" w:rsidR="00F863F0" w:rsidRDefault="00F863F0" w:rsidP="00F863F0">
      <w:pPr>
        <w:spacing w:line="360" w:lineRule="auto"/>
        <w:jc w:val="both"/>
        <w:rPr>
          <w:rFonts w:ascii="David" w:hAnsi="David"/>
          <w:rtl/>
        </w:rPr>
      </w:pPr>
    </w:p>
    <w:p w14:paraId="4B6AA78D" w14:textId="77777777" w:rsidR="00F863F0" w:rsidRPr="002541C1" w:rsidRDefault="00F863F0" w:rsidP="00F863F0">
      <w:pPr>
        <w:spacing w:line="360" w:lineRule="auto"/>
        <w:jc w:val="both"/>
        <w:rPr>
          <w:rFonts w:ascii="David" w:hAnsi="David"/>
          <w:rtl/>
        </w:rPr>
      </w:pPr>
      <w:r>
        <w:rPr>
          <w:rFonts w:ascii="David" w:hAnsi="David" w:hint="cs"/>
          <w:rtl/>
        </w:rPr>
        <w:t xml:space="preserve">טיעוני הצדדים התמקדו ברכב הטויוטה. הרכב רשום על שמו של הנאשם. מאחר ונטען בתחילה  כי יש טוענים אחרים לזכות ביקש בית המשפט לתת להם הזדמנות להשמיע טענותיהם. נקבע דיון ליום 30.5.23. במועד זה נמסר על המאשימה כי עוה"ד אורי בן נתן אשר ייצג עד כה את הטוענים לזכות לא מייצגם עוד וכי הייצוג עבר לעו"ד ויצמן. התובע שוחח עם עו"ד ויצמן טרם הדיון, עו"ד ויצמן ביקש ארכה להיערך לדיון ואף מסר מועד מבוקש לדיון בבקשה. בית המשפט קבע הדיון ליום 25.6.23, מועד שהתבקש על ידי עו"ד ויצמן. במועד זה לא התקיים דיון בשל מחלת עוה"ד ויצמן והדיון נדחה ליום 13.7.23. אף במועד זה לא הייתה התייצבות וניתנה במועד זה החלטה מפורטת בקשר לטוענים לזכות. אין צורך לחזור על כל פרטי ההחלטה ונימוקיה, ואולם לעניינו כעת בקשת הטוענים לזכות נדחתה.  בנסיבות אלו ומשהרכב רשום על שמו של הנאשם הרכב הוא רכושו של הנאשם. הנאשם הוכרז כסוחר סמים.  הנאשם לא הוכיח ואף לא טען לגבי האמצעים להשגת הרכוש. הנאשם גם לא טען כי מדובר ברכוש שהגיע לידיו שמונה שנים או יותר לפני יום הגשת כתב האישום. שילוב כל האמור מוביל לקביעה כי מדובר ברכוש שהושג בעבירה של עסקת סמים. בנסיבות אלו בית המשפט יחלט את הרכוש אלא אם סבר שלא לעשות כן מנימוקים מיוחדים שירשמו. הסנגור טען מס' טענות. לדברי הסנגור שווי הרכב קרוב ל 300,000 ₪  - פי 10 מסכום העסקאות. על כן טוען הסנגור בקשת החילוט אינה מידתית. הוסיף הסנגור וטען כי מדובר ברכב שברור שלא נקנה על ידו באופן עצמאי, הוא לא יכול לקנות רכב ששוויו קרוב ל 300,000 ₪ אלא מדובר ברכב שנקנה על ידי המשפחה על ידי מס' אנשים שהיו מעורבים בדבר הזה. אין לי אלא לדחות טענות אלו. הרכב רשום על שמו של הנאשם ולא הוכחה בעלות אחרת. מכאן שהרכב הינו רכושו של הנאשם בלבד. בהקשר זה אמרות הסנגור באשר לנוהג במגזר הבדואי או אמרותיו באשר להתרחשות במשפחת הנאשם הינן טענות בעלמא ללא כל ביסוס ושאין להן כל רלוונטיות למקרה שלפני. ובאשר לטענה בדבר מידתיות, אף זו אינה רלוונטית לשאלת החילוט על פי </w:t>
      </w:r>
      <w:hyperlink r:id="rId20" w:history="1">
        <w:r w:rsidR="0026419E" w:rsidRPr="0026419E">
          <w:rPr>
            <w:rFonts w:ascii="David" w:hAnsi="David"/>
            <w:color w:val="0000FF"/>
            <w:u w:val="single"/>
            <w:rtl/>
          </w:rPr>
          <w:t>פקודת הסמים המסוכנים</w:t>
        </w:r>
      </w:hyperlink>
      <w:r>
        <w:rPr>
          <w:rFonts w:ascii="David" w:hAnsi="David" w:hint="cs"/>
          <w:rtl/>
        </w:rPr>
        <w:t>. הסנגור הפנה את בית המשפט להסדר "חילוט בשווי" בקשר ל</w:t>
      </w:r>
      <w:hyperlink r:id="rId21" w:history="1">
        <w:r w:rsidR="0026419E" w:rsidRPr="0026419E">
          <w:rPr>
            <w:rFonts w:ascii="David" w:hAnsi="David"/>
            <w:color w:val="0000FF"/>
            <w:u w:val="single"/>
            <w:rtl/>
          </w:rPr>
          <w:t>חוק איסור הלבנת הון</w:t>
        </w:r>
      </w:hyperlink>
      <w:r>
        <w:rPr>
          <w:rFonts w:ascii="David" w:hAnsi="David" w:hint="cs"/>
          <w:rtl/>
        </w:rPr>
        <w:t xml:space="preserve"> ואולם צודקת המאשימה באומרה כי לא בכדי מדובר בהסדרי חילוט שונים, כל הסדר והרציונל שלו. במקרה שלפנינו, משהוכרז נאשם כסוחר סמים, </w:t>
      </w:r>
      <w:r w:rsidRPr="0003164D">
        <w:rPr>
          <w:rFonts w:ascii="David" w:hAnsi="David" w:hint="cs"/>
          <w:u w:val="single"/>
          <w:rtl/>
        </w:rPr>
        <w:t>ובקשר לסוגית החילוט בלבד,</w:t>
      </w:r>
      <w:r>
        <w:rPr>
          <w:rFonts w:ascii="David" w:hAnsi="David" w:hint="cs"/>
          <w:rtl/>
        </w:rPr>
        <w:t xml:space="preserve"> ולהבדיל מסוגית הענישה באשר למעשיו, חילוט הרכוש לא נבחן רק ביחס לרווח הנקודתי בעבירות בהן הורשע אלא בקשר להכרזתו הכללית כסוחר סמים. זהו ההיגיו</w:t>
      </w:r>
      <w:r>
        <w:rPr>
          <w:rFonts w:ascii="David" w:hAnsi="David" w:hint="eastAsia"/>
          <w:rtl/>
        </w:rPr>
        <w:t>ן</w:t>
      </w:r>
      <w:r>
        <w:rPr>
          <w:rFonts w:ascii="David" w:hAnsi="David" w:hint="cs"/>
          <w:rtl/>
        </w:rPr>
        <w:t xml:space="preserve"> שבהסדר חילוט זה ועל כן בוחנים את רכושו של נאשם 8 שנים לאחור ובוחנים אף את רכוש בן זוגו וילדיו ואף רכוש של אחרים, הכל כמפורט </w:t>
      </w:r>
      <w:hyperlink r:id="rId22" w:history="1">
        <w:r w:rsidR="00610800" w:rsidRPr="00610800">
          <w:rPr>
            <w:rStyle w:val="Hyperlink"/>
            <w:rFonts w:ascii="David" w:hAnsi="David" w:hint="eastAsia"/>
            <w:rtl/>
          </w:rPr>
          <w:t>בסעיף</w:t>
        </w:r>
        <w:r w:rsidR="00610800" w:rsidRPr="00610800">
          <w:rPr>
            <w:rStyle w:val="Hyperlink"/>
            <w:rFonts w:ascii="David" w:hAnsi="David"/>
            <w:rtl/>
          </w:rPr>
          <w:t xml:space="preserve"> 31(6)(א)</w:t>
        </w:r>
      </w:hyperlink>
      <w:r>
        <w:rPr>
          <w:rFonts w:ascii="David" w:hAnsi="David" w:hint="cs"/>
          <w:rtl/>
        </w:rPr>
        <w:t xml:space="preserve"> ל</w:t>
      </w:r>
      <w:hyperlink r:id="rId23" w:history="1">
        <w:r w:rsidR="0026419E" w:rsidRPr="0026419E">
          <w:rPr>
            <w:rFonts w:ascii="David" w:hAnsi="David"/>
            <w:color w:val="0000FF"/>
            <w:u w:val="single"/>
            <w:rtl/>
          </w:rPr>
          <w:t>פקודת הסמים המסוכנים</w:t>
        </w:r>
      </w:hyperlink>
      <w:r>
        <w:rPr>
          <w:rFonts w:ascii="David" w:hAnsi="David" w:hint="cs"/>
          <w:rtl/>
        </w:rPr>
        <w:t xml:space="preserve">. למעלה מן הצורך אחזור ואזכיר כי ההוראה הנקובה </w:t>
      </w:r>
      <w:hyperlink r:id="rId24" w:history="1">
        <w:r w:rsidR="00610800" w:rsidRPr="00610800">
          <w:rPr>
            <w:rStyle w:val="Hyperlink"/>
            <w:rFonts w:ascii="David" w:hAnsi="David" w:hint="eastAsia"/>
            <w:rtl/>
          </w:rPr>
          <w:t>בסעיף</w:t>
        </w:r>
        <w:r w:rsidR="00610800" w:rsidRPr="00610800">
          <w:rPr>
            <w:rStyle w:val="Hyperlink"/>
            <w:rFonts w:ascii="David" w:hAnsi="David"/>
            <w:rtl/>
          </w:rPr>
          <w:t xml:space="preserve"> 36א(א)</w:t>
        </w:r>
      </w:hyperlink>
      <w:r>
        <w:rPr>
          <w:rFonts w:ascii="David" w:hAnsi="David" w:hint="cs"/>
          <w:rtl/>
        </w:rPr>
        <w:t xml:space="preserve"> לפקודה מורה לבית המשפט לצוות על החילוט, זולת אם סבר שלא לעשות כן מנימוקים מיוחדים שירשמו. בהינתן קביעה זו כמובן שבית המשפט ימנע מלהורות על חילוט רק במקרים החריגי</w:t>
      </w:r>
      <w:r>
        <w:rPr>
          <w:rFonts w:ascii="David" w:hAnsi="David" w:hint="eastAsia"/>
          <w:rtl/>
        </w:rPr>
        <w:t>ם</w:t>
      </w:r>
      <w:r>
        <w:rPr>
          <w:rFonts w:ascii="David" w:hAnsi="David" w:hint="cs"/>
          <w:rtl/>
        </w:rPr>
        <w:t xml:space="preserve"> שבחריגים. בהיקף הסחר וההחזקה של הנאשם, העולים יחד כדי קרוב ל 150 ג' קוקאין, הרכוש בר החילוט איננו ביחס בלתי מידתי כה קיצוני לסכומי עסקאות הסחר ושווי הסם שהוחזק. על כן אין כל נסיבה כה חריגה שבשלה בית המשפט יסטה מההוראה הנקובה בחוק.       </w:t>
      </w:r>
    </w:p>
    <w:p w14:paraId="55AAA3BD" w14:textId="77777777" w:rsidR="00F863F0" w:rsidRPr="002541C1" w:rsidRDefault="00F863F0" w:rsidP="00F863F0">
      <w:pPr>
        <w:spacing w:line="360" w:lineRule="auto"/>
        <w:jc w:val="both"/>
        <w:rPr>
          <w:rFonts w:ascii="David" w:hAnsi="David"/>
          <w:rtl/>
        </w:rPr>
      </w:pPr>
    </w:p>
    <w:p w14:paraId="0E58697F" w14:textId="77777777" w:rsidR="00F863F0" w:rsidRPr="002F469A" w:rsidRDefault="00F863F0" w:rsidP="00F863F0">
      <w:pPr>
        <w:spacing w:line="360" w:lineRule="auto"/>
        <w:jc w:val="both"/>
        <w:rPr>
          <w:rFonts w:ascii="David" w:hAnsi="David"/>
          <w:b/>
          <w:bCs/>
          <w:rtl/>
        </w:rPr>
      </w:pPr>
      <w:r w:rsidRPr="002F469A">
        <w:rPr>
          <w:rFonts w:ascii="David" w:hAnsi="David"/>
          <w:b/>
          <w:bCs/>
          <w:rtl/>
        </w:rPr>
        <w:t>לנוכח כל האמור</w:t>
      </w:r>
      <w:r w:rsidRPr="002F469A">
        <w:rPr>
          <w:rFonts w:ascii="David" w:hAnsi="David" w:hint="cs"/>
          <w:b/>
          <w:bCs/>
          <w:rtl/>
        </w:rPr>
        <w:t xml:space="preserve"> אני דן את הנאשם לעונשים הבאים :</w:t>
      </w:r>
    </w:p>
    <w:p w14:paraId="70D3ECD3" w14:textId="77777777" w:rsidR="00F863F0" w:rsidRDefault="00F863F0" w:rsidP="00F863F0">
      <w:pPr>
        <w:spacing w:line="360" w:lineRule="auto"/>
        <w:jc w:val="both"/>
        <w:rPr>
          <w:rFonts w:ascii="David" w:hAnsi="David"/>
          <w:rtl/>
        </w:rPr>
      </w:pPr>
    </w:p>
    <w:p w14:paraId="0D3143A1" w14:textId="77777777" w:rsidR="00F863F0" w:rsidRDefault="00F863F0" w:rsidP="00F863F0">
      <w:pPr>
        <w:pStyle w:val="a9"/>
        <w:numPr>
          <w:ilvl w:val="0"/>
          <w:numId w:val="1"/>
        </w:numPr>
        <w:spacing w:line="360" w:lineRule="auto"/>
        <w:jc w:val="both"/>
        <w:rPr>
          <w:rFonts w:ascii="David" w:hAnsi="David"/>
        </w:rPr>
      </w:pPr>
      <w:r>
        <w:rPr>
          <w:rFonts w:ascii="David" w:hAnsi="David" w:hint="cs"/>
          <w:rtl/>
        </w:rPr>
        <w:t>מאסר בפועל לתקופה של שלוש שנים. מתקופה זו ינוכו ימי מעצרו של הנאשם.</w:t>
      </w:r>
    </w:p>
    <w:p w14:paraId="35FC3D66" w14:textId="77777777" w:rsidR="00F863F0" w:rsidRDefault="0026419E" w:rsidP="00F863F0">
      <w:pPr>
        <w:pStyle w:val="a9"/>
        <w:numPr>
          <w:ilvl w:val="0"/>
          <w:numId w:val="1"/>
        </w:numPr>
        <w:spacing w:line="360" w:lineRule="auto"/>
        <w:jc w:val="both"/>
        <w:rPr>
          <w:rFonts w:ascii="David" w:hAnsi="David"/>
        </w:rPr>
      </w:pPr>
      <w:r w:rsidRPr="0026419E">
        <w:rPr>
          <w:rFonts w:ascii="David" w:hAnsi="David"/>
          <w:color w:val="FFFFFF"/>
          <w:sz w:val="2"/>
          <w:szCs w:val="2"/>
          <w:rtl/>
        </w:rPr>
        <w:t>5129371</w:t>
      </w:r>
      <w:r w:rsidR="00F863F0">
        <w:rPr>
          <w:rFonts w:ascii="David" w:hAnsi="David" w:hint="cs"/>
          <w:rtl/>
        </w:rPr>
        <w:t>8 חודשי מאסר על תנאי למשך 3 שנים שלא יעבור מיום שחרורו עבירת סמים מסוג פשע.</w:t>
      </w:r>
    </w:p>
    <w:p w14:paraId="28CC3797" w14:textId="77777777" w:rsidR="00F863F0" w:rsidRPr="007102A3" w:rsidRDefault="0026419E" w:rsidP="00F863F0">
      <w:pPr>
        <w:pStyle w:val="a9"/>
        <w:numPr>
          <w:ilvl w:val="0"/>
          <w:numId w:val="1"/>
        </w:numPr>
        <w:spacing w:line="360" w:lineRule="auto"/>
        <w:jc w:val="both"/>
        <w:rPr>
          <w:rFonts w:ascii="David" w:hAnsi="David"/>
          <w:rtl/>
        </w:rPr>
      </w:pPr>
      <w:r w:rsidRPr="0026419E">
        <w:rPr>
          <w:rFonts w:ascii="David" w:hAnsi="David"/>
          <w:color w:val="FFFFFF"/>
          <w:sz w:val="2"/>
          <w:szCs w:val="2"/>
          <w:rtl/>
        </w:rPr>
        <w:t>54678313</w:t>
      </w:r>
      <w:r w:rsidR="00F863F0">
        <w:rPr>
          <w:rFonts w:ascii="David" w:hAnsi="David" w:hint="cs"/>
          <w:rtl/>
        </w:rPr>
        <w:t xml:space="preserve">רכב מסוג מזדה מ.ר 4054855, רכב מסוג טויוטה מ.ר 46520401, ויתרות זכות ופקדונות מחשבון בנק מרכנתיל סניף 696 מס' חשבון 70802477 , יחולטו. </w:t>
      </w:r>
      <w:r w:rsidR="00F863F0" w:rsidRPr="007102A3">
        <w:rPr>
          <w:rFonts w:ascii="David" w:hAnsi="David"/>
          <w:rtl/>
        </w:rPr>
        <w:t xml:space="preserve">   </w:t>
      </w:r>
    </w:p>
    <w:p w14:paraId="3D7D64E9" w14:textId="77777777" w:rsidR="00F863F0" w:rsidRPr="002541C1" w:rsidRDefault="00F863F0" w:rsidP="00F863F0">
      <w:pPr>
        <w:spacing w:line="360" w:lineRule="auto"/>
        <w:jc w:val="both"/>
        <w:rPr>
          <w:rFonts w:ascii="David" w:hAnsi="David"/>
          <w:rtl/>
        </w:rPr>
      </w:pPr>
    </w:p>
    <w:p w14:paraId="0E951C4F" w14:textId="77777777" w:rsidR="00F863F0" w:rsidRPr="000F2247" w:rsidRDefault="0026419E" w:rsidP="00F863F0">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כ"ז אדר א' תשפ"ד, 07 מרץ 2024, בנוכחות הצדדים. </w:t>
      </w:r>
      <w:bookmarkEnd w:id="7"/>
      <w:r w:rsidR="00F863F0">
        <w:rPr>
          <w:rFonts w:ascii="Arial" w:hAnsi="Arial"/>
          <w:b/>
          <w:bCs/>
          <w:sz w:val="26"/>
          <w:szCs w:val="26"/>
          <w:rtl/>
        </w:rPr>
        <w:tab/>
      </w:r>
      <w:r w:rsidR="00F863F0">
        <w:rPr>
          <w:rFonts w:ascii="Arial" w:hAnsi="Arial"/>
          <w:b/>
          <w:bCs/>
          <w:sz w:val="26"/>
          <w:szCs w:val="26"/>
          <w:rtl/>
        </w:rPr>
        <w:tab/>
      </w:r>
      <w:r w:rsidR="00F863F0">
        <w:rPr>
          <w:rFonts w:ascii="Arial" w:hAnsi="Arial"/>
          <w:b/>
          <w:bCs/>
          <w:sz w:val="26"/>
          <w:szCs w:val="26"/>
          <w:rtl/>
        </w:rPr>
        <w:tab/>
      </w:r>
      <w:r w:rsidR="00F863F0">
        <w:rPr>
          <w:rFonts w:ascii="Arial" w:hAnsi="Arial"/>
          <w:b/>
          <w:bCs/>
          <w:sz w:val="26"/>
          <w:szCs w:val="26"/>
          <w:rtl/>
        </w:rPr>
        <w:tab/>
      </w:r>
      <w:r w:rsidR="00F863F0">
        <w:rPr>
          <w:rFonts w:ascii="Arial" w:hAnsi="Arial"/>
          <w:b/>
          <w:bCs/>
          <w:sz w:val="26"/>
          <w:szCs w:val="26"/>
          <w:rtl/>
        </w:rPr>
        <w:tab/>
      </w:r>
      <w:r w:rsidR="00F863F0">
        <w:rPr>
          <w:rFonts w:ascii="Arial" w:hAnsi="Arial"/>
          <w:b/>
          <w:bCs/>
          <w:sz w:val="26"/>
          <w:szCs w:val="26"/>
          <w:rtl/>
        </w:rPr>
        <w:tab/>
      </w:r>
      <w:r w:rsidR="00F863F0">
        <w:rPr>
          <w:rFonts w:ascii="Arial" w:hAnsi="Arial"/>
          <w:b/>
          <w:bCs/>
          <w:sz w:val="26"/>
          <w:szCs w:val="26"/>
          <w:rtl/>
        </w:rPr>
        <w:tab/>
      </w:r>
      <w:r w:rsidR="00F863F0">
        <w:rPr>
          <w:rFonts w:ascii="Arial" w:hAnsi="Arial" w:hint="cs"/>
          <w:b/>
          <w:bCs/>
          <w:sz w:val="26"/>
          <w:szCs w:val="26"/>
          <w:rtl/>
        </w:rPr>
        <w:t xml:space="preserve">         </w:t>
      </w:r>
    </w:p>
    <w:p w14:paraId="096BB820" w14:textId="77777777" w:rsidR="00F863F0" w:rsidRPr="000F2247" w:rsidRDefault="00F863F0" w:rsidP="0026419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4836AA9" w14:textId="77777777" w:rsidR="00F863F0" w:rsidRPr="000F2247" w:rsidRDefault="00F863F0" w:rsidP="00F863F0">
      <w:pPr>
        <w:jc w:val="center"/>
        <w:rPr>
          <w:rFonts w:ascii="Arial" w:hAnsi="Arial"/>
          <w:b/>
          <w:bCs/>
          <w:sz w:val="26"/>
          <w:szCs w:val="26"/>
          <w:rtl/>
        </w:rPr>
      </w:pPr>
    </w:p>
    <w:p w14:paraId="409F905D" w14:textId="77777777" w:rsidR="00015F01" w:rsidRPr="0026419E" w:rsidRDefault="00015F01" w:rsidP="0026419E">
      <w:pPr>
        <w:keepNext/>
        <w:rPr>
          <w:rFonts w:ascii="David" w:hAnsi="David"/>
          <w:color w:val="000000"/>
          <w:sz w:val="22"/>
          <w:szCs w:val="22"/>
          <w:rtl/>
        </w:rPr>
      </w:pPr>
    </w:p>
    <w:p w14:paraId="447217C0" w14:textId="77777777" w:rsidR="0026419E" w:rsidRPr="0026419E" w:rsidRDefault="0026419E" w:rsidP="0026419E">
      <w:pPr>
        <w:keepNext/>
        <w:rPr>
          <w:rFonts w:ascii="David" w:hAnsi="David"/>
          <w:color w:val="000000"/>
          <w:sz w:val="22"/>
          <w:szCs w:val="22"/>
          <w:rtl/>
        </w:rPr>
      </w:pPr>
      <w:r w:rsidRPr="0026419E">
        <w:rPr>
          <w:rFonts w:ascii="David" w:hAnsi="David"/>
          <w:color w:val="000000"/>
          <w:sz w:val="22"/>
          <w:szCs w:val="22"/>
          <w:rtl/>
        </w:rPr>
        <w:t>יהושע צימרמן 54678313</w:t>
      </w:r>
    </w:p>
    <w:p w14:paraId="68060407" w14:textId="77777777" w:rsidR="0026419E" w:rsidRDefault="0026419E" w:rsidP="0026419E">
      <w:r w:rsidRPr="0026419E">
        <w:rPr>
          <w:color w:val="000000"/>
          <w:rtl/>
        </w:rPr>
        <w:t>נוסח מסמך זה כפוף לשינויי ניסוח ועריכה</w:t>
      </w:r>
    </w:p>
    <w:p w14:paraId="49D5743B" w14:textId="77777777" w:rsidR="0026419E" w:rsidRDefault="0026419E" w:rsidP="0026419E">
      <w:pPr>
        <w:rPr>
          <w:rtl/>
        </w:rPr>
      </w:pPr>
    </w:p>
    <w:p w14:paraId="1CD8E6A9" w14:textId="77777777" w:rsidR="0026419E" w:rsidRDefault="0026419E" w:rsidP="0026419E">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8159219" w14:textId="77777777" w:rsidR="0026419E" w:rsidRPr="0026419E" w:rsidRDefault="0026419E" w:rsidP="0026419E">
      <w:pPr>
        <w:jc w:val="center"/>
        <w:rPr>
          <w:color w:val="0000FF"/>
          <w:u w:val="single"/>
        </w:rPr>
      </w:pPr>
    </w:p>
    <w:sectPr w:rsidR="0026419E" w:rsidRPr="0026419E" w:rsidSect="0026419E">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EFC50" w14:textId="77777777" w:rsidR="009E6FB4" w:rsidRDefault="009E6FB4" w:rsidP="00DF7119">
      <w:r>
        <w:separator/>
      </w:r>
    </w:p>
  </w:endnote>
  <w:endnote w:type="continuationSeparator" w:id="0">
    <w:p w14:paraId="36535627" w14:textId="77777777" w:rsidR="009E6FB4" w:rsidRDefault="009E6FB4" w:rsidP="00DF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5AD91" w14:textId="77777777" w:rsidR="0026419E" w:rsidRDefault="0026419E" w:rsidP="002641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C04F04" w14:textId="77777777" w:rsidR="006744FC" w:rsidRPr="0026419E" w:rsidRDefault="0026419E" w:rsidP="002641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EA417" w14:textId="77777777" w:rsidR="0026419E" w:rsidRDefault="0026419E" w:rsidP="0026419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094D">
      <w:rPr>
        <w:rFonts w:ascii="FrankRuehl" w:hAnsi="FrankRuehl" w:cs="FrankRuehl"/>
        <w:noProof/>
        <w:rtl/>
      </w:rPr>
      <w:t>1</w:t>
    </w:r>
    <w:r>
      <w:rPr>
        <w:rFonts w:ascii="FrankRuehl" w:hAnsi="FrankRuehl" w:cs="FrankRuehl"/>
        <w:rtl/>
      </w:rPr>
      <w:fldChar w:fldCharType="end"/>
    </w:r>
  </w:p>
  <w:p w14:paraId="00F9DC87" w14:textId="77777777" w:rsidR="006744FC" w:rsidRPr="0026419E" w:rsidRDefault="0026419E" w:rsidP="0026419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D05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2C502" w14:textId="77777777" w:rsidR="009E6FB4" w:rsidRDefault="009E6FB4" w:rsidP="00DF7119">
      <w:r>
        <w:separator/>
      </w:r>
    </w:p>
  </w:footnote>
  <w:footnote w:type="continuationSeparator" w:id="0">
    <w:p w14:paraId="26F9711B" w14:textId="77777777" w:rsidR="009E6FB4" w:rsidRDefault="009E6FB4" w:rsidP="00DF7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0F64A" w14:textId="77777777" w:rsidR="0026419E" w:rsidRPr="0026419E" w:rsidRDefault="0026419E" w:rsidP="002641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16231-03-21</w:t>
    </w:r>
    <w:r>
      <w:rPr>
        <w:rFonts w:ascii="David" w:hAnsi="David"/>
        <w:color w:val="000000"/>
        <w:sz w:val="22"/>
        <w:szCs w:val="22"/>
        <w:rtl/>
      </w:rPr>
      <w:tab/>
      <w:t xml:space="preserve"> מדינת ישראל נ' מוסא אלסנע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65F46" w14:textId="77777777" w:rsidR="0026419E" w:rsidRPr="0026419E" w:rsidRDefault="0026419E" w:rsidP="002641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16231-03-21</w:t>
    </w:r>
    <w:r>
      <w:rPr>
        <w:rFonts w:ascii="David" w:hAnsi="David"/>
        <w:color w:val="000000"/>
        <w:sz w:val="22"/>
        <w:szCs w:val="22"/>
        <w:rtl/>
      </w:rPr>
      <w:tab/>
      <w:t xml:space="preserve"> מדינת ישראל נ' מוסא אלסנע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12386"/>
    <w:multiLevelType w:val="hybridMultilevel"/>
    <w:tmpl w:val="530688B6"/>
    <w:lvl w:ilvl="0" w:tplc="F496D1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76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63F0"/>
    <w:rsid w:val="00015F01"/>
    <w:rsid w:val="001B5A3B"/>
    <w:rsid w:val="00210110"/>
    <w:rsid w:val="0026419E"/>
    <w:rsid w:val="00266D0D"/>
    <w:rsid w:val="002E1C0D"/>
    <w:rsid w:val="005E27DE"/>
    <w:rsid w:val="00610800"/>
    <w:rsid w:val="006744FC"/>
    <w:rsid w:val="009E6FB4"/>
    <w:rsid w:val="00B2536C"/>
    <w:rsid w:val="00B90BB8"/>
    <w:rsid w:val="00DF7119"/>
    <w:rsid w:val="00E461F6"/>
    <w:rsid w:val="00F3094D"/>
    <w:rsid w:val="00F863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F85B08"/>
  <w15:chartTrackingRefBased/>
  <w15:docId w15:val="{01D18C1C-0262-4781-ACB5-167AC7CD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3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63F0"/>
    <w:pPr>
      <w:tabs>
        <w:tab w:val="center" w:pos="4153"/>
        <w:tab w:val="right" w:pos="8306"/>
      </w:tabs>
    </w:pPr>
  </w:style>
  <w:style w:type="character" w:customStyle="1" w:styleId="a4">
    <w:name w:val="כותרת עליונה תו"/>
    <w:link w:val="a3"/>
    <w:rsid w:val="00F863F0"/>
    <w:rPr>
      <w:rFonts w:ascii="Times New Roman" w:eastAsia="Times New Roman" w:hAnsi="Times New Roman" w:cs="David"/>
      <w:sz w:val="24"/>
      <w:szCs w:val="24"/>
    </w:rPr>
  </w:style>
  <w:style w:type="paragraph" w:styleId="a5">
    <w:name w:val="footer"/>
    <w:basedOn w:val="a"/>
    <w:link w:val="a6"/>
    <w:rsid w:val="00F863F0"/>
    <w:pPr>
      <w:tabs>
        <w:tab w:val="center" w:pos="4153"/>
        <w:tab w:val="right" w:pos="8306"/>
      </w:tabs>
    </w:pPr>
  </w:style>
  <w:style w:type="character" w:customStyle="1" w:styleId="a6">
    <w:name w:val="כותרת תחתונה תו"/>
    <w:link w:val="a5"/>
    <w:rsid w:val="00F863F0"/>
    <w:rPr>
      <w:rFonts w:ascii="Times New Roman" w:eastAsia="Times New Roman" w:hAnsi="Times New Roman" w:cs="David"/>
      <w:sz w:val="24"/>
      <w:szCs w:val="24"/>
    </w:rPr>
  </w:style>
  <w:style w:type="table" w:styleId="a7">
    <w:name w:val="Table Grid"/>
    <w:basedOn w:val="a1"/>
    <w:rsid w:val="00F863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63F0"/>
  </w:style>
  <w:style w:type="paragraph" w:styleId="a9">
    <w:name w:val="List Paragraph"/>
    <w:basedOn w:val="a"/>
    <w:qFormat/>
    <w:rsid w:val="00F863F0"/>
    <w:pPr>
      <w:ind w:left="720"/>
      <w:contextualSpacing/>
    </w:pPr>
  </w:style>
  <w:style w:type="character" w:styleId="Hyperlink">
    <w:name w:val="Hyperlink"/>
    <w:rsid w:val="0026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a" TargetMode="External"/><Relationship Id="rId13" Type="http://schemas.openxmlformats.org/officeDocument/2006/relationships/hyperlink" Target="http://www.nevo.co.il/case/27452713" TargetMode="External"/><Relationship Id="rId18" Type="http://schemas.openxmlformats.org/officeDocument/2006/relationships/hyperlink" Target="http://www.nevo.co.il/law/70301/40j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7434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4345" TargetMode="External"/><Relationship Id="rId17" Type="http://schemas.openxmlformats.org/officeDocument/2006/relationships/hyperlink" Target="http://www.nevo.co.il/case/2879672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7450394" TargetMode="External"/><Relationship Id="rId20" Type="http://schemas.openxmlformats.org/officeDocument/2006/relationships/hyperlink" Target="http://www.nevo.co.il/law/421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a" TargetMode="External"/><Relationship Id="rId24" Type="http://schemas.openxmlformats.org/officeDocument/2006/relationships/hyperlink" Target="http://www.nevo.co.il/law/4216/36a.a" TargetMode="External"/><Relationship Id="rId5" Type="http://schemas.openxmlformats.org/officeDocument/2006/relationships/footnotes" Target="footnotes.xml"/><Relationship Id="rId15" Type="http://schemas.openxmlformats.org/officeDocument/2006/relationships/hyperlink" Target="http://www.nevo.co.il/case/27452713" TargetMode="External"/><Relationship Id="rId23" Type="http://schemas.openxmlformats.org/officeDocument/2006/relationships/hyperlink" Target="http://www.nevo.co.il/law/4216" TargetMode="External"/><Relationship Id="rId28" Type="http://schemas.openxmlformats.org/officeDocument/2006/relationships/footer" Target="footer1.xml"/><Relationship Id="rId10" Type="http://schemas.openxmlformats.org/officeDocument/2006/relationships/hyperlink" Target="http://www.nevo.co.il/law/4216/31.6.a" TargetMode="External"/><Relationship Id="rId19" Type="http://schemas.openxmlformats.org/officeDocument/2006/relationships/hyperlink" Target="http://www.nevo.co.il/law/703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9339986" TargetMode="External"/><Relationship Id="rId22" Type="http://schemas.openxmlformats.org/officeDocument/2006/relationships/hyperlink" Target="http://www.nevo.co.il/law/4216/31.6.a"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1820</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10901</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5046354</vt:i4>
      </vt:variant>
      <vt:variant>
        <vt:i4>51</vt:i4>
      </vt:variant>
      <vt:variant>
        <vt:i4>0</vt:i4>
      </vt:variant>
      <vt:variant>
        <vt:i4>5</vt:i4>
      </vt:variant>
      <vt:variant>
        <vt:lpwstr>http://www.nevo.co.il/law/4216/36a.a</vt:lpwstr>
      </vt:variant>
      <vt:variant>
        <vt:lpwstr/>
      </vt:variant>
      <vt:variant>
        <vt:i4>8257637</vt:i4>
      </vt:variant>
      <vt:variant>
        <vt:i4>48</vt:i4>
      </vt:variant>
      <vt:variant>
        <vt:i4>0</vt:i4>
      </vt:variant>
      <vt:variant>
        <vt:i4>5</vt:i4>
      </vt:variant>
      <vt:variant>
        <vt:lpwstr>http://www.nevo.co.il/law/4216</vt:lpwstr>
      </vt:variant>
      <vt:variant>
        <vt:lpwstr/>
      </vt:variant>
      <vt:variant>
        <vt:i4>5046349</vt:i4>
      </vt:variant>
      <vt:variant>
        <vt:i4>45</vt:i4>
      </vt:variant>
      <vt:variant>
        <vt:i4>0</vt:i4>
      </vt:variant>
      <vt:variant>
        <vt:i4>5</vt:i4>
      </vt:variant>
      <vt:variant>
        <vt:lpwstr>http://www.nevo.co.il/law/4216/31.6.a</vt:lpwstr>
      </vt:variant>
      <vt:variant>
        <vt:lpwstr/>
      </vt:variant>
      <vt:variant>
        <vt:i4>7995492</vt:i4>
      </vt:variant>
      <vt:variant>
        <vt:i4>42</vt:i4>
      </vt:variant>
      <vt:variant>
        <vt:i4>0</vt:i4>
      </vt:variant>
      <vt:variant>
        <vt:i4>5</vt:i4>
      </vt:variant>
      <vt:variant>
        <vt:lpwstr>http://www.nevo.co.il/law/74345</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3211378</vt:i4>
      </vt:variant>
      <vt:variant>
        <vt:i4>30</vt:i4>
      </vt:variant>
      <vt:variant>
        <vt:i4>0</vt:i4>
      </vt:variant>
      <vt:variant>
        <vt:i4>5</vt:i4>
      </vt:variant>
      <vt:variant>
        <vt:lpwstr>http://www.nevo.co.il/case/28796724</vt:lpwstr>
      </vt:variant>
      <vt:variant>
        <vt:lpwstr/>
      </vt:variant>
      <vt:variant>
        <vt:i4>4128885</vt:i4>
      </vt:variant>
      <vt:variant>
        <vt:i4>27</vt:i4>
      </vt:variant>
      <vt:variant>
        <vt:i4>0</vt:i4>
      </vt:variant>
      <vt:variant>
        <vt:i4>5</vt:i4>
      </vt:variant>
      <vt:variant>
        <vt:lpwstr>http://www.nevo.co.il/case/27450394</vt:lpwstr>
      </vt:variant>
      <vt:variant>
        <vt:lpwstr/>
      </vt:variant>
      <vt:variant>
        <vt:i4>3473521</vt:i4>
      </vt:variant>
      <vt:variant>
        <vt:i4>24</vt:i4>
      </vt:variant>
      <vt:variant>
        <vt:i4>0</vt:i4>
      </vt:variant>
      <vt:variant>
        <vt:i4>5</vt:i4>
      </vt:variant>
      <vt:variant>
        <vt:lpwstr>http://www.nevo.co.il/case/27452713</vt:lpwstr>
      </vt:variant>
      <vt:variant>
        <vt:lpwstr/>
      </vt:variant>
      <vt:variant>
        <vt:i4>3145847</vt:i4>
      </vt:variant>
      <vt:variant>
        <vt:i4>21</vt:i4>
      </vt:variant>
      <vt:variant>
        <vt:i4>0</vt:i4>
      </vt:variant>
      <vt:variant>
        <vt:i4>5</vt:i4>
      </vt:variant>
      <vt:variant>
        <vt:lpwstr>http://www.nevo.co.il/case/29339986</vt:lpwstr>
      </vt:variant>
      <vt:variant>
        <vt:lpwstr/>
      </vt:variant>
      <vt:variant>
        <vt:i4>3473521</vt:i4>
      </vt:variant>
      <vt:variant>
        <vt:i4>18</vt:i4>
      </vt:variant>
      <vt:variant>
        <vt:i4>0</vt:i4>
      </vt:variant>
      <vt:variant>
        <vt:i4>5</vt:i4>
      </vt:variant>
      <vt:variant>
        <vt:lpwstr>http://www.nevo.co.il/case/27452713</vt:lpwstr>
      </vt:variant>
      <vt:variant>
        <vt:lpwstr/>
      </vt:variant>
      <vt:variant>
        <vt:i4>7995492</vt:i4>
      </vt:variant>
      <vt:variant>
        <vt:i4>15</vt:i4>
      </vt:variant>
      <vt:variant>
        <vt:i4>0</vt:i4>
      </vt:variant>
      <vt:variant>
        <vt:i4>5</vt:i4>
      </vt:variant>
      <vt:variant>
        <vt:lpwstr>http://www.nevo.co.il/law/74345</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5046349</vt:i4>
      </vt:variant>
      <vt:variant>
        <vt:i4>9</vt:i4>
      </vt:variant>
      <vt:variant>
        <vt:i4>0</vt:i4>
      </vt:variant>
      <vt:variant>
        <vt:i4>5</vt:i4>
      </vt:variant>
      <vt:variant>
        <vt:lpwstr>http://www.nevo.co.il/law/4216/31.6.a</vt:lpwstr>
      </vt:variant>
      <vt:variant>
        <vt:lpwstr/>
      </vt:variant>
      <vt:variant>
        <vt:i4>8257637</vt:i4>
      </vt:variant>
      <vt:variant>
        <vt:i4>6</vt:i4>
      </vt:variant>
      <vt:variant>
        <vt:i4>0</vt:i4>
      </vt:variant>
      <vt:variant>
        <vt:i4>5</vt:i4>
      </vt:variant>
      <vt:variant>
        <vt:lpwstr>http://www.nevo.co.il/law/4216</vt:lpwstr>
      </vt:variant>
      <vt:variant>
        <vt:lpwstr/>
      </vt:variant>
      <vt:variant>
        <vt:i4>262155</vt:i4>
      </vt:variant>
      <vt:variant>
        <vt:i4>3</vt:i4>
      </vt:variant>
      <vt:variant>
        <vt:i4>0</vt:i4>
      </vt:variant>
      <vt:variant>
        <vt:i4>5</vt:i4>
      </vt:variant>
      <vt:variant>
        <vt:lpwstr>http://www.nevo.co.il/law/70301/40ja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16231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מוסא אלסנע</vt:lpwstr>
  </property>
  <property fmtid="{D5CDD505-2E9C-101B-9397-08002B2CF9AE}" pid="10" name="JUDGE">
    <vt:lpwstr>יהושע צימרמן</vt:lpwstr>
  </property>
  <property fmtid="{D5CDD505-2E9C-101B-9397-08002B2CF9AE}" pid="11" name="CITY">
    <vt:lpwstr>י-ם</vt:lpwstr>
  </property>
  <property fmtid="{D5CDD505-2E9C-101B-9397-08002B2CF9AE}" pid="12" name="DATE">
    <vt:lpwstr>20240307</vt:lpwstr>
  </property>
  <property fmtid="{D5CDD505-2E9C-101B-9397-08002B2CF9AE}" pid="13" name="TYPE_N_DATE">
    <vt:lpwstr>38020240307</vt:lpwstr>
  </property>
  <property fmtid="{D5CDD505-2E9C-101B-9397-08002B2CF9AE}" pid="14" name="WORDNUMPAGES">
    <vt:lpwstr>6</vt:lpwstr>
  </property>
  <property fmtid="{D5CDD505-2E9C-101B-9397-08002B2CF9AE}" pid="15" name="TYPE_ABS_DATE">
    <vt:lpwstr>380020240307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27452713:2;29339986;27450394;28796724</vt:lpwstr>
  </property>
  <property fmtid="{D5CDD505-2E9C-101B-9397-08002B2CF9AE}" pid="36" name="LAWLISTTMP1">
    <vt:lpwstr>70301/40ja</vt:lpwstr>
  </property>
  <property fmtid="{D5CDD505-2E9C-101B-9397-08002B2CF9AE}" pid="37" name="LAWLISTTMP2">
    <vt:lpwstr>4216/031.6.a;036a.a</vt:lpwstr>
  </property>
  <property fmtid="{D5CDD505-2E9C-101B-9397-08002B2CF9AE}" pid="38" name="LAWLISTTMP3">
    <vt:lpwstr>74345</vt:lpwstr>
  </property>
</Properties>
</file>