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41AAC" w:rsidRPr="00CC1800" w14:paraId="0A6ED9F9" w14:textId="77777777" w:rsidTr="0034256C">
        <w:trPr>
          <w:trHeight w:hRule="exact" w:val="418"/>
          <w:jc w:val="center"/>
        </w:trPr>
        <w:tc>
          <w:tcPr>
            <w:tcW w:w="8721" w:type="dxa"/>
            <w:gridSpan w:val="2"/>
          </w:tcPr>
          <w:p w14:paraId="7E79318D" w14:textId="77777777" w:rsidR="00041AAC" w:rsidRPr="00CC1800" w:rsidRDefault="00041AAC" w:rsidP="002114CA">
            <w:pPr>
              <w:pStyle w:val="a4"/>
              <w:jc w:val="center"/>
              <w:rPr>
                <w:rFonts w:ascii="Tahoma" w:hAnsi="Tahoma" w:cs="Tahoma"/>
                <w:color w:val="000080"/>
                <w:rtl/>
              </w:rPr>
            </w:pPr>
            <w:bookmarkStart w:id="0" w:name="LastJudge"/>
            <w:r w:rsidRPr="00CC1800">
              <w:rPr>
                <w:rFonts w:ascii="Tahoma" w:hAnsi="Tahoma" w:cs="Tahoma"/>
                <w:b/>
                <w:bCs/>
                <w:color w:val="000080"/>
                <w:rtl/>
              </w:rPr>
              <w:t>בית משפט השלום בקריות</w:t>
            </w:r>
          </w:p>
        </w:tc>
      </w:tr>
      <w:tr w:rsidR="00041AAC" w:rsidRPr="00CC1800" w14:paraId="7805C55A" w14:textId="77777777" w:rsidTr="0034256C">
        <w:trPr>
          <w:trHeight w:val="337"/>
          <w:jc w:val="center"/>
        </w:trPr>
        <w:tc>
          <w:tcPr>
            <w:tcW w:w="5054" w:type="dxa"/>
          </w:tcPr>
          <w:p w14:paraId="59ACE0B9" w14:textId="77777777" w:rsidR="00041AAC" w:rsidRPr="00CC1800" w:rsidRDefault="00041AAC" w:rsidP="002114CA">
            <w:pPr>
              <w:rPr>
                <w:rFonts w:cs="FrankRuehl"/>
                <w:sz w:val="28"/>
                <w:szCs w:val="28"/>
                <w:rtl/>
              </w:rPr>
            </w:pPr>
            <w:r w:rsidRPr="00CC1800">
              <w:rPr>
                <w:rFonts w:cs="FrankRuehl"/>
                <w:sz w:val="28"/>
                <w:szCs w:val="28"/>
                <w:rtl/>
              </w:rPr>
              <w:t>ת"פ</w:t>
            </w:r>
            <w:r w:rsidRPr="00CC1800">
              <w:rPr>
                <w:rFonts w:cs="FrankRuehl" w:hint="cs"/>
                <w:sz w:val="28"/>
                <w:szCs w:val="28"/>
                <w:rtl/>
              </w:rPr>
              <w:t xml:space="preserve"> </w:t>
            </w:r>
            <w:r w:rsidRPr="00CC1800">
              <w:rPr>
                <w:rFonts w:cs="FrankRuehl"/>
                <w:sz w:val="28"/>
                <w:szCs w:val="28"/>
                <w:rtl/>
              </w:rPr>
              <w:t>16595-03-21</w:t>
            </w:r>
            <w:r w:rsidRPr="00CC1800">
              <w:rPr>
                <w:rFonts w:cs="FrankRuehl" w:hint="cs"/>
                <w:sz w:val="28"/>
                <w:szCs w:val="28"/>
                <w:rtl/>
              </w:rPr>
              <w:t xml:space="preserve"> </w:t>
            </w:r>
            <w:r w:rsidRPr="00CC1800">
              <w:rPr>
                <w:rFonts w:cs="FrankRuehl"/>
                <w:sz w:val="28"/>
                <w:szCs w:val="28"/>
                <w:rtl/>
              </w:rPr>
              <w:t>מדינת ישראל נ' גוסין</w:t>
            </w:r>
          </w:p>
          <w:p w14:paraId="58360D0C" w14:textId="77777777" w:rsidR="00041AAC" w:rsidRPr="00CC1800" w:rsidRDefault="00041AAC" w:rsidP="002114CA">
            <w:pPr>
              <w:pStyle w:val="a4"/>
              <w:rPr>
                <w:rFonts w:cs="FrankRuehl"/>
                <w:sz w:val="28"/>
                <w:szCs w:val="28"/>
                <w:rtl/>
              </w:rPr>
            </w:pPr>
          </w:p>
        </w:tc>
        <w:tc>
          <w:tcPr>
            <w:tcW w:w="3667" w:type="dxa"/>
          </w:tcPr>
          <w:p w14:paraId="2C9F5828" w14:textId="77777777" w:rsidR="00041AAC" w:rsidRPr="00CC1800" w:rsidRDefault="00041AAC" w:rsidP="002114CA">
            <w:pPr>
              <w:pStyle w:val="a4"/>
              <w:jc w:val="right"/>
              <w:rPr>
                <w:rFonts w:cs="FrankRuehl"/>
                <w:sz w:val="28"/>
                <w:szCs w:val="28"/>
                <w:rtl/>
              </w:rPr>
            </w:pPr>
          </w:p>
        </w:tc>
      </w:tr>
    </w:tbl>
    <w:p w14:paraId="10711133" w14:textId="77777777" w:rsidR="00041AAC" w:rsidRPr="00CC1800" w:rsidRDefault="00041AAC" w:rsidP="0034256C">
      <w:pPr>
        <w:pStyle w:val="a4"/>
        <w:rPr>
          <w:rtl/>
        </w:rPr>
      </w:pPr>
      <w:r w:rsidRPr="00CC180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41AAC" w:rsidRPr="00CC1800" w14:paraId="6CC3122F" w14:textId="77777777" w:rsidTr="00041AAC">
        <w:trPr>
          <w:trHeight w:val="295"/>
          <w:jc w:val="center"/>
        </w:trPr>
        <w:tc>
          <w:tcPr>
            <w:tcW w:w="923" w:type="dxa"/>
            <w:tcBorders>
              <w:top w:val="nil"/>
              <w:left w:val="nil"/>
              <w:bottom w:val="nil"/>
              <w:right w:val="nil"/>
            </w:tcBorders>
            <w:shd w:val="clear" w:color="auto" w:fill="auto"/>
          </w:tcPr>
          <w:p w14:paraId="5CAD7C9C" w14:textId="77777777" w:rsidR="00041AAC" w:rsidRPr="00CC1800" w:rsidRDefault="00041AAC" w:rsidP="00041AAC">
            <w:pPr>
              <w:jc w:val="both"/>
              <w:rPr>
                <w:rFonts w:ascii="David" w:hAnsi="David"/>
                <w:sz w:val="26"/>
                <w:szCs w:val="26"/>
              </w:rPr>
            </w:pPr>
            <w:r w:rsidRPr="00CC180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6925786" w14:textId="77777777" w:rsidR="00041AAC" w:rsidRPr="00CC1800" w:rsidRDefault="00041AAC" w:rsidP="002114CA">
            <w:pPr>
              <w:rPr>
                <w:rFonts w:ascii="David" w:hAnsi="David"/>
                <w:b/>
                <w:bCs/>
                <w:sz w:val="26"/>
                <w:szCs w:val="26"/>
                <w:rtl/>
              </w:rPr>
            </w:pPr>
            <w:r w:rsidRPr="00CC1800">
              <w:rPr>
                <w:rFonts w:ascii="David" w:hAnsi="David"/>
                <w:b/>
                <w:bCs/>
                <w:sz w:val="26"/>
                <w:szCs w:val="26"/>
                <w:rtl/>
              </w:rPr>
              <w:t>כבוד השופטת  סימי פלג קימלוב</w:t>
            </w:r>
          </w:p>
          <w:p w14:paraId="373463E8" w14:textId="77777777" w:rsidR="00041AAC" w:rsidRPr="00CC1800" w:rsidRDefault="00041AAC" w:rsidP="002114CA">
            <w:pPr>
              <w:rPr>
                <w:rFonts w:ascii="David" w:hAnsi="David"/>
                <w:sz w:val="26"/>
                <w:szCs w:val="26"/>
                <w:rtl/>
              </w:rPr>
            </w:pPr>
          </w:p>
          <w:p w14:paraId="6FE985E8" w14:textId="77777777" w:rsidR="00041AAC" w:rsidRPr="00CC1800" w:rsidRDefault="00041AAC" w:rsidP="00041AAC">
            <w:pPr>
              <w:jc w:val="both"/>
              <w:rPr>
                <w:rFonts w:ascii="David" w:hAnsi="David"/>
                <w:sz w:val="26"/>
                <w:szCs w:val="26"/>
              </w:rPr>
            </w:pPr>
          </w:p>
        </w:tc>
      </w:tr>
      <w:tr w:rsidR="00041AAC" w:rsidRPr="00CC1800" w14:paraId="6D36F4D5" w14:textId="77777777" w:rsidTr="00041AAC">
        <w:trPr>
          <w:trHeight w:val="355"/>
          <w:jc w:val="center"/>
        </w:trPr>
        <w:tc>
          <w:tcPr>
            <w:tcW w:w="923" w:type="dxa"/>
            <w:tcBorders>
              <w:top w:val="nil"/>
              <w:left w:val="nil"/>
              <w:bottom w:val="nil"/>
              <w:right w:val="nil"/>
            </w:tcBorders>
            <w:shd w:val="clear" w:color="auto" w:fill="auto"/>
          </w:tcPr>
          <w:p w14:paraId="129D8D7D" w14:textId="77777777" w:rsidR="00041AAC" w:rsidRPr="00CC1800" w:rsidRDefault="00041AAC" w:rsidP="00041AAC">
            <w:pPr>
              <w:jc w:val="both"/>
              <w:rPr>
                <w:rFonts w:ascii="David" w:hAnsi="David"/>
                <w:sz w:val="26"/>
                <w:szCs w:val="26"/>
              </w:rPr>
            </w:pPr>
            <w:bookmarkStart w:id="1" w:name="FirstAppellant"/>
            <w:r w:rsidRPr="00CC1800">
              <w:rPr>
                <w:rFonts w:ascii="David" w:hAnsi="David"/>
                <w:sz w:val="26"/>
                <w:szCs w:val="26"/>
                <w:rtl/>
              </w:rPr>
              <w:t>בעניין:</w:t>
            </w:r>
          </w:p>
        </w:tc>
        <w:tc>
          <w:tcPr>
            <w:tcW w:w="3219" w:type="dxa"/>
            <w:tcBorders>
              <w:top w:val="nil"/>
              <w:left w:val="nil"/>
              <w:bottom w:val="nil"/>
              <w:right w:val="nil"/>
            </w:tcBorders>
            <w:shd w:val="clear" w:color="auto" w:fill="auto"/>
          </w:tcPr>
          <w:p w14:paraId="4149A3FD" w14:textId="77777777" w:rsidR="00041AAC" w:rsidRPr="00CC1800" w:rsidRDefault="00041AAC" w:rsidP="00041AAC">
            <w:pPr>
              <w:suppressLineNumbers/>
            </w:pPr>
            <w:r w:rsidRPr="00CC1800">
              <w:rPr>
                <w:rFonts w:ascii="Arial" w:hAnsi="Arial" w:hint="cs"/>
                <w:b/>
                <w:bCs/>
                <w:sz w:val="26"/>
                <w:szCs w:val="26"/>
                <w:rtl/>
              </w:rPr>
              <w:t>ה</w:t>
            </w:r>
            <w:r w:rsidRPr="00CC1800">
              <w:rPr>
                <w:rFonts w:ascii="Arial" w:hAnsi="Arial"/>
                <w:b/>
                <w:bCs/>
                <w:sz w:val="26"/>
                <w:szCs w:val="26"/>
                <w:rtl/>
              </w:rPr>
              <w:t>מאשימה</w:t>
            </w:r>
          </w:p>
          <w:p w14:paraId="412507DD" w14:textId="77777777" w:rsidR="00041AAC" w:rsidRPr="00CC1800" w:rsidRDefault="00041AAC" w:rsidP="002114CA">
            <w:pPr>
              <w:rPr>
                <w:rFonts w:ascii="David" w:hAnsi="David"/>
                <w:sz w:val="26"/>
                <w:szCs w:val="26"/>
              </w:rPr>
            </w:pPr>
          </w:p>
        </w:tc>
        <w:tc>
          <w:tcPr>
            <w:tcW w:w="4678" w:type="dxa"/>
            <w:tcBorders>
              <w:top w:val="nil"/>
              <w:left w:val="nil"/>
              <w:bottom w:val="nil"/>
              <w:right w:val="nil"/>
            </w:tcBorders>
            <w:shd w:val="clear" w:color="auto" w:fill="auto"/>
            <w:vAlign w:val="center"/>
          </w:tcPr>
          <w:p w14:paraId="44AB72CA" w14:textId="77777777" w:rsidR="00041AAC" w:rsidRPr="00CC1800" w:rsidRDefault="00041AAC" w:rsidP="00041AAC">
            <w:pPr>
              <w:suppressLineNumbers/>
            </w:pPr>
            <w:r w:rsidRPr="00CC1800">
              <w:rPr>
                <w:rFonts w:ascii="Arial" w:hAnsi="Arial"/>
                <w:b/>
                <w:bCs/>
                <w:sz w:val="26"/>
                <w:szCs w:val="26"/>
                <w:rtl/>
              </w:rPr>
              <w:t>מדינת ישראל</w:t>
            </w:r>
            <w:r w:rsidRPr="00CC1800">
              <w:rPr>
                <w:rFonts w:ascii="Arial" w:hAnsi="Arial" w:hint="cs"/>
                <w:b/>
                <w:bCs/>
                <w:sz w:val="26"/>
                <w:szCs w:val="26"/>
                <w:rtl/>
              </w:rPr>
              <w:t xml:space="preserve"> </w:t>
            </w:r>
          </w:p>
          <w:p w14:paraId="005F907E" w14:textId="77777777" w:rsidR="00041AAC" w:rsidRPr="00CC1800" w:rsidRDefault="00041AAC" w:rsidP="002114CA">
            <w:pPr>
              <w:rPr>
                <w:rFonts w:ascii="David" w:hAnsi="David"/>
                <w:sz w:val="26"/>
                <w:szCs w:val="26"/>
              </w:rPr>
            </w:pPr>
          </w:p>
        </w:tc>
      </w:tr>
      <w:bookmarkEnd w:id="1"/>
      <w:tr w:rsidR="00041AAC" w:rsidRPr="00CC1800" w14:paraId="15A22A28" w14:textId="77777777" w:rsidTr="00041AAC">
        <w:trPr>
          <w:trHeight w:val="355"/>
          <w:jc w:val="center"/>
        </w:trPr>
        <w:tc>
          <w:tcPr>
            <w:tcW w:w="923" w:type="dxa"/>
            <w:tcBorders>
              <w:top w:val="nil"/>
              <w:left w:val="nil"/>
              <w:bottom w:val="nil"/>
              <w:right w:val="nil"/>
            </w:tcBorders>
            <w:shd w:val="clear" w:color="auto" w:fill="auto"/>
          </w:tcPr>
          <w:p w14:paraId="705B7F05" w14:textId="77777777" w:rsidR="00041AAC" w:rsidRPr="00CC1800" w:rsidRDefault="00041AAC" w:rsidP="00041AA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124E3C6" w14:textId="77777777" w:rsidR="00041AAC" w:rsidRPr="00CC1800" w:rsidRDefault="00041AAC" w:rsidP="00041AAC">
            <w:pPr>
              <w:jc w:val="center"/>
              <w:rPr>
                <w:rFonts w:ascii="David" w:hAnsi="David"/>
                <w:b/>
                <w:bCs/>
                <w:sz w:val="26"/>
                <w:szCs w:val="26"/>
                <w:rtl/>
              </w:rPr>
            </w:pPr>
          </w:p>
          <w:p w14:paraId="7F42C744" w14:textId="77777777" w:rsidR="00041AAC" w:rsidRPr="00CC1800" w:rsidRDefault="00041AAC" w:rsidP="00041AAC">
            <w:pPr>
              <w:jc w:val="center"/>
              <w:rPr>
                <w:rFonts w:ascii="David" w:hAnsi="David"/>
                <w:b/>
                <w:bCs/>
                <w:sz w:val="26"/>
                <w:szCs w:val="26"/>
                <w:rtl/>
              </w:rPr>
            </w:pPr>
            <w:r w:rsidRPr="00CC1800">
              <w:rPr>
                <w:rFonts w:ascii="David" w:hAnsi="David"/>
                <w:b/>
                <w:bCs/>
                <w:sz w:val="26"/>
                <w:szCs w:val="26"/>
                <w:rtl/>
              </w:rPr>
              <w:t>נגד</w:t>
            </w:r>
          </w:p>
          <w:p w14:paraId="3FE37F94" w14:textId="77777777" w:rsidR="00041AAC" w:rsidRPr="00CC1800" w:rsidRDefault="00041AAC" w:rsidP="00041AAC">
            <w:pPr>
              <w:jc w:val="both"/>
              <w:rPr>
                <w:rFonts w:ascii="David" w:hAnsi="David"/>
                <w:sz w:val="26"/>
                <w:szCs w:val="26"/>
              </w:rPr>
            </w:pPr>
          </w:p>
        </w:tc>
      </w:tr>
      <w:tr w:rsidR="00041AAC" w:rsidRPr="00CC1800" w14:paraId="09F86808" w14:textId="77777777" w:rsidTr="00041AAC">
        <w:trPr>
          <w:trHeight w:val="355"/>
          <w:jc w:val="center"/>
        </w:trPr>
        <w:tc>
          <w:tcPr>
            <w:tcW w:w="923" w:type="dxa"/>
            <w:tcBorders>
              <w:top w:val="nil"/>
              <w:left w:val="nil"/>
              <w:bottom w:val="nil"/>
              <w:right w:val="nil"/>
            </w:tcBorders>
            <w:shd w:val="clear" w:color="auto" w:fill="auto"/>
          </w:tcPr>
          <w:p w14:paraId="09380EC3" w14:textId="77777777" w:rsidR="00041AAC" w:rsidRPr="00CC1800" w:rsidRDefault="00041AAC" w:rsidP="002114CA">
            <w:pPr>
              <w:rPr>
                <w:rFonts w:ascii="David" w:hAnsi="David"/>
                <w:sz w:val="26"/>
                <w:szCs w:val="26"/>
                <w:rtl/>
              </w:rPr>
            </w:pPr>
          </w:p>
        </w:tc>
        <w:tc>
          <w:tcPr>
            <w:tcW w:w="3219" w:type="dxa"/>
            <w:tcBorders>
              <w:top w:val="nil"/>
              <w:left w:val="nil"/>
              <w:bottom w:val="nil"/>
              <w:right w:val="nil"/>
            </w:tcBorders>
            <w:shd w:val="clear" w:color="auto" w:fill="auto"/>
          </w:tcPr>
          <w:p w14:paraId="469AF43B" w14:textId="77777777" w:rsidR="00041AAC" w:rsidRPr="00CC1800" w:rsidRDefault="00041AAC" w:rsidP="002114CA">
            <w:pPr>
              <w:rPr>
                <w:rFonts w:ascii="Arial" w:hAnsi="Arial"/>
                <w:b/>
                <w:bCs/>
                <w:sz w:val="26"/>
                <w:szCs w:val="26"/>
                <w:rtl/>
              </w:rPr>
            </w:pPr>
            <w:r w:rsidRPr="00CC180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1984769" w14:textId="77777777" w:rsidR="00041AAC" w:rsidRPr="00CC1800" w:rsidRDefault="00041AAC" w:rsidP="00041AAC">
            <w:pPr>
              <w:suppressLineNumbers/>
              <w:rPr>
                <w:rFonts w:ascii="David" w:hAnsi="David"/>
                <w:sz w:val="26"/>
                <w:szCs w:val="26"/>
              </w:rPr>
            </w:pPr>
            <w:r w:rsidRPr="00CC1800">
              <w:rPr>
                <w:rFonts w:ascii="Arial" w:hAnsi="Arial"/>
                <w:b/>
                <w:bCs/>
                <w:sz w:val="26"/>
                <w:szCs w:val="26"/>
                <w:rtl/>
              </w:rPr>
              <w:t>דימטרי גוסין</w:t>
            </w:r>
            <w:r w:rsidRPr="00CC1800">
              <w:rPr>
                <w:rFonts w:ascii="Arial" w:hAnsi="Arial" w:hint="cs"/>
                <w:b/>
                <w:bCs/>
                <w:sz w:val="26"/>
                <w:szCs w:val="26"/>
                <w:rtl/>
              </w:rPr>
              <w:t xml:space="preserve"> </w:t>
            </w:r>
          </w:p>
        </w:tc>
      </w:tr>
    </w:tbl>
    <w:p w14:paraId="19BBA911" w14:textId="77777777" w:rsidR="0034256C" w:rsidRDefault="0034256C" w:rsidP="00CC1800">
      <w:pPr>
        <w:rPr>
          <w:sz w:val="26"/>
          <w:szCs w:val="26"/>
          <w:rtl/>
        </w:rPr>
      </w:pPr>
    </w:p>
    <w:p w14:paraId="4F51A074" w14:textId="77777777" w:rsidR="0034256C" w:rsidRPr="0034256C" w:rsidRDefault="0034256C" w:rsidP="0034256C">
      <w:pPr>
        <w:spacing w:after="120" w:line="240" w:lineRule="exact"/>
        <w:ind w:left="283" w:hanging="283"/>
        <w:jc w:val="both"/>
        <w:rPr>
          <w:rFonts w:ascii="FrankRuehl" w:hAnsi="FrankRuehl" w:cs="FrankRuehl"/>
          <w:rtl/>
        </w:rPr>
      </w:pPr>
    </w:p>
    <w:p w14:paraId="09857396" w14:textId="77777777" w:rsidR="006976C5" w:rsidRPr="006976C5" w:rsidRDefault="006976C5" w:rsidP="006976C5">
      <w:pPr>
        <w:spacing w:before="120" w:after="120" w:line="240" w:lineRule="exact"/>
        <w:ind w:left="283" w:hanging="283"/>
        <w:jc w:val="both"/>
        <w:rPr>
          <w:rFonts w:ascii="FrankRuehl" w:hAnsi="FrankRuehl" w:cs="FrankRuehl"/>
          <w:rtl/>
        </w:rPr>
      </w:pPr>
    </w:p>
    <w:p w14:paraId="5FAFF51E" w14:textId="77777777" w:rsidR="00801ECF" w:rsidRDefault="00801ECF" w:rsidP="00801ECF">
      <w:pPr>
        <w:rPr>
          <w:sz w:val="26"/>
          <w:szCs w:val="26"/>
          <w:rtl/>
        </w:rPr>
      </w:pPr>
      <w:bookmarkStart w:id="2" w:name="LawTable"/>
      <w:bookmarkEnd w:id="2"/>
    </w:p>
    <w:p w14:paraId="7C5B5F81" w14:textId="77777777" w:rsidR="00801ECF" w:rsidRPr="00801ECF" w:rsidRDefault="00801ECF" w:rsidP="00801ECF">
      <w:pPr>
        <w:spacing w:before="120" w:after="120" w:line="240" w:lineRule="exact"/>
        <w:ind w:left="283" w:hanging="283"/>
        <w:jc w:val="both"/>
        <w:rPr>
          <w:rFonts w:ascii="FrankRuehl" w:hAnsi="FrankRuehl" w:cs="FrankRuehl"/>
          <w:rtl/>
        </w:rPr>
      </w:pPr>
    </w:p>
    <w:p w14:paraId="586BCF5F" w14:textId="77777777" w:rsidR="00801ECF" w:rsidRPr="00801ECF" w:rsidRDefault="00801ECF" w:rsidP="00801ECF">
      <w:pPr>
        <w:spacing w:before="120" w:after="120" w:line="240" w:lineRule="exact"/>
        <w:ind w:left="283" w:hanging="283"/>
        <w:jc w:val="both"/>
        <w:rPr>
          <w:rFonts w:ascii="FrankRuehl" w:hAnsi="FrankRuehl" w:cs="FrankRuehl"/>
          <w:rtl/>
        </w:rPr>
      </w:pPr>
    </w:p>
    <w:p w14:paraId="3AFF64ED" w14:textId="77777777" w:rsidR="00801ECF" w:rsidRPr="00801ECF" w:rsidRDefault="00801ECF" w:rsidP="00801ECF">
      <w:pPr>
        <w:spacing w:before="120" w:after="120" w:line="240" w:lineRule="exact"/>
        <w:ind w:left="283" w:hanging="283"/>
        <w:jc w:val="both"/>
        <w:rPr>
          <w:rFonts w:ascii="FrankRuehl" w:hAnsi="FrankRuehl" w:cs="FrankRuehl"/>
          <w:rtl/>
        </w:rPr>
      </w:pPr>
      <w:r w:rsidRPr="00801ECF">
        <w:rPr>
          <w:rFonts w:ascii="FrankRuehl" w:hAnsi="FrankRuehl" w:cs="FrankRuehl"/>
          <w:rtl/>
        </w:rPr>
        <w:t xml:space="preserve">חקיקה שאוזכרה: </w:t>
      </w:r>
    </w:p>
    <w:p w14:paraId="72CFA3C6" w14:textId="77777777" w:rsidR="00801ECF" w:rsidRPr="00801ECF" w:rsidRDefault="00801ECF" w:rsidP="00801ECF">
      <w:pPr>
        <w:spacing w:before="120" w:after="120" w:line="240" w:lineRule="exact"/>
        <w:ind w:left="283" w:hanging="283"/>
        <w:jc w:val="both"/>
        <w:rPr>
          <w:rFonts w:ascii="FrankRuehl" w:hAnsi="FrankRuehl" w:cs="FrankRuehl"/>
          <w:rtl/>
        </w:rPr>
      </w:pPr>
      <w:hyperlink r:id="rId7" w:history="1">
        <w:r w:rsidRPr="00801ECF">
          <w:rPr>
            <w:rFonts w:ascii="FrankRuehl" w:hAnsi="FrankRuehl" w:cs="FrankRuehl"/>
            <w:color w:val="0000FF"/>
            <w:rtl/>
          </w:rPr>
          <w:t>פקודת הסמים המסוכנים [נוסח חדש], תשל"ג-1973</w:t>
        </w:r>
      </w:hyperlink>
      <w:r w:rsidRPr="00801ECF">
        <w:rPr>
          <w:rFonts w:ascii="FrankRuehl" w:hAnsi="FrankRuehl" w:cs="FrankRuehl"/>
          <w:rtl/>
        </w:rPr>
        <w:t xml:space="preserve">: סע'  </w:t>
      </w:r>
      <w:hyperlink r:id="rId8" w:history="1">
        <w:r w:rsidRPr="00801ECF">
          <w:rPr>
            <w:rFonts w:ascii="FrankRuehl" w:hAnsi="FrankRuehl" w:cs="FrankRuehl"/>
            <w:color w:val="0000FF"/>
            <w:rtl/>
          </w:rPr>
          <w:t>6</w:t>
        </w:r>
      </w:hyperlink>
      <w:r w:rsidRPr="00801ECF">
        <w:rPr>
          <w:rFonts w:ascii="FrankRuehl" w:hAnsi="FrankRuehl" w:cs="FrankRuehl"/>
          <w:rtl/>
        </w:rPr>
        <w:t xml:space="preserve">, </w:t>
      </w:r>
      <w:hyperlink r:id="rId9" w:history="1">
        <w:r w:rsidRPr="00801ECF">
          <w:rPr>
            <w:rFonts w:ascii="FrankRuehl" w:hAnsi="FrankRuehl" w:cs="FrankRuehl"/>
            <w:color w:val="0000FF"/>
            <w:rtl/>
          </w:rPr>
          <w:t>7.א.</w:t>
        </w:r>
      </w:hyperlink>
      <w:r w:rsidRPr="00801ECF">
        <w:rPr>
          <w:rFonts w:ascii="FrankRuehl" w:hAnsi="FrankRuehl" w:cs="FrankRuehl"/>
          <w:rtl/>
        </w:rPr>
        <w:t xml:space="preserve">, </w:t>
      </w:r>
      <w:hyperlink r:id="rId10" w:history="1">
        <w:r w:rsidRPr="00801ECF">
          <w:rPr>
            <w:rFonts w:ascii="FrankRuehl" w:hAnsi="FrankRuehl" w:cs="FrankRuehl"/>
            <w:color w:val="0000FF"/>
            <w:rtl/>
          </w:rPr>
          <w:t>7.ג</w:t>
        </w:r>
      </w:hyperlink>
      <w:r w:rsidRPr="00801ECF">
        <w:rPr>
          <w:rFonts w:ascii="FrankRuehl" w:hAnsi="FrankRuehl" w:cs="FrankRuehl"/>
          <w:rtl/>
        </w:rPr>
        <w:t xml:space="preserve">, </w:t>
      </w:r>
      <w:hyperlink r:id="rId11" w:history="1">
        <w:r w:rsidRPr="00801ECF">
          <w:rPr>
            <w:rFonts w:ascii="FrankRuehl" w:hAnsi="FrankRuehl" w:cs="FrankRuehl"/>
            <w:color w:val="0000FF"/>
            <w:rtl/>
          </w:rPr>
          <w:t>10</w:t>
        </w:r>
      </w:hyperlink>
    </w:p>
    <w:p w14:paraId="22CACE4E" w14:textId="77777777" w:rsidR="00801ECF" w:rsidRPr="00801ECF" w:rsidRDefault="00801ECF" w:rsidP="00801ECF">
      <w:pPr>
        <w:spacing w:before="120" w:after="120" w:line="240" w:lineRule="exact"/>
        <w:ind w:left="283" w:hanging="283"/>
        <w:jc w:val="both"/>
        <w:rPr>
          <w:rFonts w:ascii="FrankRuehl" w:hAnsi="FrankRuehl" w:cs="FrankRuehl"/>
          <w:rtl/>
        </w:rPr>
      </w:pPr>
      <w:hyperlink r:id="rId12" w:history="1">
        <w:r w:rsidRPr="00801ECF">
          <w:rPr>
            <w:rFonts w:ascii="FrankRuehl" w:hAnsi="FrankRuehl" w:cs="FrankRuehl"/>
            <w:color w:val="0000FF"/>
            <w:rtl/>
          </w:rPr>
          <w:t>חוק העונשין, תשל"ז-1977</w:t>
        </w:r>
      </w:hyperlink>
      <w:r w:rsidRPr="00801ECF">
        <w:rPr>
          <w:rFonts w:ascii="FrankRuehl" w:hAnsi="FrankRuehl" w:cs="FrankRuehl"/>
          <w:rtl/>
        </w:rPr>
        <w:t xml:space="preserve">: סע'  </w:t>
      </w:r>
      <w:hyperlink r:id="rId13" w:history="1">
        <w:r w:rsidRPr="00801ECF">
          <w:rPr>
            <w:rFonts w:ascii="FrankRuehl" w:hAnsi="FrankRuehl" w:cs="FrankRuehl"/>
            <w:color w:val="0000FF"/>
            <w:rtl/>
          </w:rPr>
          <w:t>40ד'</w:t>
        </w:r>
      </w:hyperlink>
    </w:p>
    <w:p w14:paraId="5959450D" w14:textId="77777777" w:rsidR="00801ECF" w:rsidRPr="00801ECF" w:rsidRDefault="00801ECF" w:rsidP="00801ECF">
      <w:pPr>
        <w:rPr>
          <w:sz w:val="26"/>
          <w:szCs w:val="26"/>
          <w:rtl/>
        </w:rPr>
      </w:pPr>
      <w:bookmarkStart w:id="3" w:name="LawTable_End"/>
      <w:bookmarkEnd w:id="3"/>
    </w:p>
    <w:p w14:paraId="50BADED6" w14:textId="77777777" w:rsidR="00041AAC" w:rsidRPr="006976C5" w:rsidRDefault="00041AAC" w:rsidP="006976C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1AAC" w14:paraId="7CAD62DB" w14:textId="77777777" w:rsidTr="00041AAC">
        <w:trPr>
          <w:trHeight w:val="355"/>
          <w:jc w:val="center"/>
        </w:trPr>
        <w:tc>
          <w:tcPr>
            <w:tcW w:w="8820" w:type="dxa"/>
            <w:tcBorders>
              <w:top w:val="nil"/>
              <w:left w:val="nil"/>
              <w:bottom w:val="nil"/>
              <w:right w:val="nil"/>
            </w:tcBorders>
            <w:shd w:val="clear" w:color="auto" w:fill="auto"/>
          </w:tcPr>
          <w:p w14:paraId="2C038CCA" w14:textId="77777777" w:rsidR="00CC1800" w:rsidRPr="00CC1800" w:rsidRDefault="00CC1800" w:rsidP="00CC1800">
            <w:pPr>
              <w:jc w:val="center"/>
              <w:rPr>
                <w:rFonts w:ascii="David" w:hAnsi="David"/>
                <w:b/>
                <w:bCs/>
                <w:sz w:val="32"/>
                <w:szCs w:val="32"/>
                <w:u w:val="single"/>
                <w:rtl/>
              </w:rPr>
            </w:pPr>
            <w:bookmarkStart w:id="4" w:name="PsakDin" w:colFirst="0" w:colLast="0"/>
            <w:bookmarkEnd w:id="0"/>
            <w:r w:rsidRPr="00CC1800">
              <w:rPr>
                <w:rFonts w:ascii="David" w:hAnsi="David"/>
                <w:b/>
                <w:bCs/>
                <w:sz w:val="32"/>
                <w:szCs w:val="32"/>
                <w:u w:val="single"/>
                <w:rtl/>
              </w:rPr>
              <w:t>גזר דין</w:t>
            </w:r>
          </w:p>
          <w:p w14:paraId="1F3CDB14" w14:textId="77777777" w:rsidR="00041AAC" w:rsidRPr="00CC1800" w:rsidRDefault="00041AAC" w:rsidP="00CC1800">
            <w:pPr>
              <w:jc w:val="center"/>
              <w:rPr>
                <w:rFonts w:ascii="David" w:hAnsi="David"/>
                <w:bCs/>
                <w:sz w:val="32"/>
                <w:szCs w:val="32"/>
                <w:u w:val="single"/>
                <w:rtl/>
              </w:rPr>
            </w:pPr>
          </w:p>
        </w:tc>
      </w:tr>
      <w:bookmarkEnd w:id="4"/>
    </w:tbl>
    <w:p w14:paraId="22B66E89" w14:textId="77777777" w:rsidR="00041AAC" w:rsidRPr="000F2247" w:rsidRDefault="00041AAC" w:rsidP="00041AAC">
      <w:pPr>
        <w:rPr>
          <w:rFonts w:ascii="Arial" w:hAnsi="Arial"/>
          <w:b/>
          <w:bCs/>
          <w:sz w:val="26"/>
          <w:szCs w:val="26"/>
          <w:rtl/>
        </w:rPr>
      </w:pPr>
    </w:p>
    <w:p w14:paraId="4BBB44BA" w14:textId="77777777" w:rsidR="00041AAC" w:rsidRPr="007210EB" w:rsidRDefault="00041AAC" w:rsidP="00041AAC">
      <w:pPr>
        <w:spacing w:line="360" w:lineRule="auto"/>
        <w:rPr>
          <w:rFonts w:ascii="Arial" w:hAnsi="Arial"/>
          <w:b/>
          <w:bCs/>
          <w:rtl/>
        </w:rPr>
      </w:pPr>
      <w:r>
        <w:rPr>
          <w:rFonts w:ascii="Arial" w:hAnsi="Arial"/>
          <w:b/>
          <w:bCs/>
          <w:sz w:val="26"/>
          <w:szCs w:val="26"/>
          <w:rtl/>
        </w:rPr>
        <w:tab/>
      </w:r>
      <w:r w:rsidRPr="007210EB">
        <w:rPr>
          <w:rFonts w:ascii="Arial" w:hAnsi="Arial" w:hint="cs"/>
          <w:b/>
          <w:bCs/>
          <w:u w:val="single"/>
          <w:rtl/>
        </w:rPr>
        <w:t xml:space="preserve">כתב האישום </w:t>
      </w:r>
    </w:p>
    <w:p w14:paraId="6A486DEE" w14:textId="77777777" w:rsidR="00041AAC" w:rsidRDefault="00041AAC" w:rsidP="00041AAC">
      <w:pPr>
        <w:pStyle w:val="aa"/>
        <w:numPr>
          <w:ilvl w:val="0"/>
          <w:numId w:val="1"/>
        </w:numPr>
        <w:spacing w:line="360" w:lineRule="auto"/>
        <w:jc w:val="both"/>
        <w:rPr>
          <w:rFonts w:ascii="Arial" w:hAnsi="Arial"/>
        </w:rPr>
      </w:pPr>
      <w:bookmarkStart w:id="5" w:name="ABSTRACT_START"/>
      <w:bookmarkEnd w:id="5"/>
      <w:r w:rsidRPr="007210EB">
        <w:rPr>
          <w:rFonts w:ascii="Arial" w:hAnsi="Arial" w:hint="cs"/>
          <w:rtl/>
        </w:rPr>
        <w:t>הנאשם הורשע על פי הודא</w:t>
      </w:r>
      <w:r>
        <w:rPr>
          <w:rFonts w:ascii="Arial" w:hAnsi="Arial" w:hint="cs"/>
          <w:rtl/>
        </w:rPr>
        <w:t xml:space="preserve">תו בעובדות כתב האישום בעבירות של ייצור, הכנה והפקה </w:t>
      </w:r>
      <w:r>
        <w:rPr>
          <w:rFonts w:ascii="Arial" w:hAnsi="Arial"/>
          <w:rtl/>
        </w:rPr>
        <w:t>–</w:t>
      </w:r>
      <w:r>
        <w:rPr>
          <w:rFonts w:ascii="Arial" w:hAnsi="Arial" w:hint="cs"/>
          <w:rtl/>
        </w:rPr>
        <w:t xml:space="preserve"> עבירה לפי </w:t>
      </w:r>
      <w:hyperlink r:id="rId14" w:history="1">
        <w:r w:rsidR="0034256C" w:rsidRPr="0034256C">
          <w:rPr>
            <w:rStyle w:val="Hyperlink"/>
            <w:rFonts w:ascii="Arial" w:hAnsi="Arial" w:cs="David" w:hint="eastAsia"/>
            <w:rtl/>
          </w:rPr>
          <w:t>סעיף</w:t>
        </w:r>
        <w:r w:rsidR="0034256C" w:rsidRPr="0034256C">
          <w:rPr>
            <w:rStyle w:val="Hyperlink"/>
            <w:rFonts w:ascii="Arial" w:hAnsi="Arial" w:cs="David"/>
            <w:rtl/>
          </w:rPr>
          <w:t xml:space="preserve"> 6</w:t>
        </w:r>
      </w:hyperlink>
      <w:r>
        <w:rPr>
          <w:rFonts w:ascii="Arial" w:hAnsi="Arial" w:hint="cs"/>
          <w:rtl/>
        </w:rPr>
        <w:t xml:space="preserve"> ל</w:t>
      </w:r>
      <w:hyperlink r:id="rId15" w:history="1">
        <w:r w:rsidR="00CC1800" w:rsidRPr="00CC1800">
          <w:rPr>
            <w:rFonts w:ascii="Arial" w:hAnsi="Arial"/>
            <w:color w:val="0000FF"/>
            <w:u w:val="single"/>
            <w:rtl/>
          </w:rPr>
          <w:t>פקודת הסמים המסוכנים</w:t>
        </w:r>
      </w:hyperlink>
      <w:r>
        <w:rPr>
          <w:rFonts w:ascii="Arial" w:hAnsi="Arial" w:hint="cs"/>
          <w:rtl/>
        </w:rPr>
        <w:t xml:space="preserve"> [נוסח חדש], התשל"ג </w:t>
      </w:r>
      <w:r>
        <w:rPr>
          <w:rFonts w:ascii="Arial" w:hAnsi="Arial"/>
          <w:rtl/>
        </w:rPr>
        <w:t>–</w:t>
      </w:r>
      <w:r>
        <w:rPr>
          <w:rFonts w:ascii="Arial" w:hAnsi="Arial" w:hint="cs"/>
          <w:rtl/>
        </w:rPr>
        <w:t xml:space="preserve"> 1973 (</w:t>
      </w:r>
      <w:r w:rsidRPr="005B4F95">
        <w:rPr>
          <w:rFonts w:ascii="Arial" w:hAnsi="Arial" w:hint="cs"/>
          <w:b/>
          <w:bCs/>
          <w:rtl/>
        </w:rPr>
        <w:t>להלן: "פקודת</w:t>
      </w:r>
      <w:r>
        <w:rPr>
          <w:rFonts w:ascii="Arial" w:hAnsi="Arial" w:hint="cs"/>
          <w:rtl/>
        </w:rPr>
        <w:t xml:space="preserve"> </w:t>
      </w:r>
      <w:r w:rsidRPr="005B4F95">
        <w:rPr>
          <w:rFonts w:ascii="Arial" w:hAnsi="Arial" w:hint="cs"/>
          <w:b/>
          <w:bCs/>
          <w:rtl/>
        </w:rPr>
        <w:t>הסמים"</w:t>
      </w:r>
      <w:r>
        <w:rPr>
          <w:rFonts w:ascii="Arial" w:hAnsi="Arial" w:hint="cs"/>
          <w:rtl/>
        </w:rPr>
        <w:t xml:space="preserve">), החזקת סם מסוכן שלא לצריכה עצמית </w:t>
      </w:r>
      <w:r>
        <w:rPr>
          <w:rFonts w:ascii="Arial" w:hAnsi="Arial"/>
          <w:rtl/>
        </w:rPr>
        <w:t>–</w:t>
      </w:r>
      <w:r>
        <w:rPr>
          <w:rFonts w:ascii="Arial" w:hAnsi="Arial" w:hint="cs"/>
          <w:rtl/>
        </w:rPr>
        <w:t xml:space="preserve"> עבירה לפי סעיף </w:t>
      </w:r>
      <w:hyperlink r:id="rId16" w:history="1">
        <w:r w:rsidR="0034256C" w:rsidRPr="0034256C">
          <w:rPr>
            <w:rStyle w:val="Hyperlink"/>
            <w:rFonts w:ascii="Arial" w:hAnsi="Arial" w:cs="David"/>
            <w:rtl/>
          </w:rPr>
          <w:t>7(א|) + (ג)</w:t>
        </w:r>
      </w:hyperlink>
      <w:r>
        <w:rPr>
          <w:rFonts w:ascii="Arial" w:hAnsi="Arial" w:hint="cs"/>
          <w:rtl/>
        </w:rPr>
        <w:t xml:space="preserve"> רישא לפקודת הסמים, החזקת כלים </w:t>
      </w:r>
      <w:r>
        <w:rPr>
          <w:rFonts w:ascii="Arial" w:hAnsi="Arial"/>
          <w:rtl/>
        </w:rPr>
        <w:t>–</w:t>
      </w:r>
      <w:r>
        <w:rPr>
          <w:rFonts w:ascii="Arial" w:hAnsi="Arial" w:hint="cs"/>
          <w:rtl/>
        </w:rPr>
        <w:t xml:space="preserve"> עבירה לפי </w:t>
      </w:r>
      <w:hyperlink r:id="rId17" w:history="1">
        <w:r w:rsidR="0034256C" w:rsidRPr="0034256C">
          <w:rPr>
            <w:rStyle w:val="Hyperlink"/>
            <w:rFonts w:ascii="Arial" w:hAnsi="Arial" w:cs="David" w:hint="eastAsia"/>
            <w:rtl/>
          </w:rPr>
          <w:t>סעיף</w:t>
        </w:r>
        <w:r w:rsidR="0034256C" w:rsidRPr="0034256C">
          <w:rPr>
            <w:rStyle w:val="Hyperlink"/>
            <w:rFonts w:ascii="Arial" w:hAnsi="Arial" w:cs="David"/>
            <w:rtl/>
          </w:rPr>
          <w:t xml:space="preserve"> 10</w:t>
        </w:r>
      </w:hyperlink>
      <w:r>
        <w:rPr>
          <w:rFonts w:ascii="Arial" w:hAnsi="Arial" w:hint="cs"/>
          <w:rtl/>
        </w:rPr>
        <w:t xml:space="preserve"> רישא לפקודת הסמים. </w:t>
      </w:r>
    </w:p>
    <w:p w14:paraId="77AE45E8" w14:textId="77777777" w:rsidR="00041AAC" w:rsidRDefault="00041AAC" w:rsidP="00041AAC">
      <w:pPr>
        <w:pStyle w:val="aa"/>
        <w:spacing w:line="360" w:lineRule="auto"/>
        <w:jc w:val="both"/>
        <w:rPr>
          <w:rFonts w:ascii="Arial" w:hAnsi="Arial"/>
        </w:rPr>
      </w:pPr>
      <w:bookmarkStart w:id="6" w:name="ABSTRACT_END"/>
      <w:bookmarkEnd w:id="6"/>
    </w:p>
    <w:p w14:paraId="73BCDE8C" w14:textId="77777777" w:rsidR="00041AAC" w:rsidRDefault="00041AAC" w:rsidP="00041AAC">
      <w:pPr>
        <w:pStyle w:val="aa"/>
        <w:numPr>
          <w:ilvl w:val="0"/>
          <w:numId w:val="1"/>
        </w:numPr>
        <w:spacing w:line="360" w:lineRule="auto"/>
        <w:jc w:val="both"/>
        <w:rPr>
          <w:rFonts w:ascii="Arial" w:hAnsi="Arial"/>
        </w:rPr>
      </w:pPr>
      <w:r>
        <w:rPr>
          <w:rFonts w:ascii="Arial" w:hAnsi="Arial" w:hint="cs"/>
          <w:rtl/>
        </w:rPr>
        <w:t xml:space="preserve">על פי עובדות כתב האישום, ביום 10.9.20 שכר הנאשם דירה ברחוב הרדוף בקריית ים. על פי הסכם השכירות בדירה חתמו חבריו של הנאשם בעוד שבפועל הנאשם היה המחזיק בדירה. </w:t>
      </w:r>
    </w:p>
    <w:p w14:paraId="2FB29812" w14:textId="77777777" w:rsidR="00041AAC" w:rsidRDefault="00041AAC" w:rsidP="00041AAC">
      <w:pPr>
        <w:pStyle w:val="aa"/>
        <w:spacing w:line="360" w:lineRule="auto"/>
        <w:jc w:val="both"/>
        <w:rPr>
          <w:rFonts w:ascii="Arial" w:hAnsi="Arial"/>
          <w:rtl/>
        </w:rPr>
      </w:pPr>
      <w:r>
        <w:rPr>
          <w:rFonts w:ascii="Arial" w:hAnsi="Arial" w:hint="cs"/>
          <w:rtl/>
        </w:rPr>
        <w:t xml:space="preserve">הנאשם קיבל את החזקה בדירה ביום 10.9.20 והחזיק בה עד ליום 23.2.21. במועדים שאינם ידועים למאשימה במהלך התקופה הקים הנאשם בדירה מעבדה לשם גידול סם מסוכן מסוג קנבוס. לשם כך צייד הנאשם את הדירה בציוד ייעודי המשמש להכנת סם </w:t>
      </w:r>
      <w:r>
        <w:rPr>
          <w:rFonts w:ascii="Arial" w:hAnsi="Arial" w:hint="cs"/>
          <w:rtl/>
        </w:rPr>
        <w:lastRenderedPageBreak/>
        <w:t xml:space="preserve">מסוכן שלא בהיתר: 18 מנורות, 5 מאווררים, מפוח ו </w:t>
      </w:r>
      <w:r>
        <w:rPr>
          <w:rFonts w:ascii="Arial" w:hAnsi="Arial"/>
          <w:rtl/>
        </w:rPr>
        <w:t>–</w:t>
      </w:r>
      <w:r>
        <w:rPr>
          <w:rFonts w:ascii="Arial" w:hAnsi="Arial" w:hint="cs"/>
          <w:rtl/>
        </w:rPr>
        <w:t xml:space="preserve"> 2 מזגנים. בהמשך לאמור במועדים שאינם ידועים למאשימה במהלך התקופה ועד ליום 23.2.21 גידל הנאשם בדירה סם מסוכן מסוג קנבוס והחזיק בסם ובכלים. </w:t>
      </w:r>
    </w:p>
    <w:p w14:paraId="7180C413" w14:textId="77777777" w:rsidR="00041AAC" w:rsidRDefault="00041AAC" w:rsidP="00041AAC">
      <w:pPr>
        <w:pStyle w:val="aa"/>
        <w:spacing w:line="360" w:lineRule="auto"/>
        <w:jc w:val="both"/>
        <w:rPr>
          <w:rFonts w:ascii="Arial" w:hAnsi="Arial"/>
          <w:rtl/>
        </w:rPr>
      </w:pPr>
      <w:r>
        <w:rPr>
          <w:rFonts w:ascii="Arial" w:hAnsi="Arial" w:hint="cs"/>
          <w:rtl/>
        </w:rPr>
        <w:t xml:space="preserve">בתאריך 23.2.21 גידל הנאשם בדירה 343 שתילים של סם מסוכן מסוג קנבוס במשקל נטו של 38.74 ק"ג והחזיק בהם. </w:t>
      </w:r>
    </w:p>
    <w:p w14:paraId="73EF0F6D" w14:textId="77777777" w:rsidR="00041AAC" w:rsidRDefault="00041AAC" w:rsidP="00041AAC">
      <w:pPr>
        <w:pStyle w:val="aa"/>
        <w:spacing w:line="360" w:lineRule="auto"/>
        <w:jc w:val="both"/>
        <w:rPr>
          <w:rFonts w:ascii="Arial" w:hAnsi="Arial"/>
          <w:rtl/>
        </w:rPr>
      </w:pPr>
    </w:p>
    <w:p w14:paraId="352FB29F" w14:textId="77777777" w:rsidR="00041AAC" w:rsidRDefault="00041AAC" w:rsidP="00041AAC">
      <w:pPr>
        <w:pStyle w:val="aa"/>
        <w:numPr>
          <w:ilvl w:val="0"/>
          <w:numId w:val="1"/>
        </w:numPr>
        <w:spacing w:line="360" w:lineRule="auto"/>
        <w:jc w:val="both"/>
        <w:rPr>
          <w:rFonts w:ascii="Arial" w:hAnsi="Arial"/>
        </w:rPr>
      </w:pPr>
      <w:r>
        <w:rPr>
          <w:rFonts w:ascii="Arial" w:hAnsi="Arial" w:hint="cs"/>
          <w:rtl/>
        </w:rPr>
        <w:t xml:space="preserve">טרם הטיעונים לעונש הופנה הנאשם לקבלת תסקיר ל שירות המבחן. </w:t>
      </w:r>
    </w:p>
    <w:p w14:paraId="01E45881" w14:textId="77777777" w:rsidR="00041AAC" w:rsidRDefault="00041AAC" w:rsidP="00041AAC">
      <w:pPr>
        <w:pStyle w:val="aa"/>
        <w:spacing w:line="360" w:lineRule="auto"/>
        <w:jc w:val="both"/>
        <w:rPr>
          <w:rFonts w:ascii="Arial" w:hAnsi="Arial"/>
        </w:rPr>
      </w:pPr>
    </w:p>
    <w:p w14:paraId="3023FF11" w14:textId="77777777" w:rsidR="00041AAC" w:rsidRPr="00580DCE" w:rsidRDefault="00041AAC" w:rsidP="00041AAC">
      <w:pPr>
        <w:pStyle w:val="aa"/>
        <w:spacing w:line="360" w:lineRule="auto"/>
        <w:jc w:val="both"/>
        <w:rPr>
          <w:rFonts w:ascii="Arial" w:hAnsi="Arial"/>
          <w:b/>
          <w:bCs/>
          <w:u w:val="single"/>
        </w:rPr>
      </w:pPr>
      <w:r w:rsidRPr="00580DCE">
        <w:rPr>
          <w:rFonts w:ascii="Arial" w:hAnsi="Arial" w:hint="cs"/>
          <w:b/>
          <w:bCs/>
          <w:u w:val="single"/>
          <w:rtl/>
        </w:rPr>
        <w:t>תסקירי שירות המבחן</w:t>
      </w:r>
    </w:p>
    <w:p w14:paraId="6FFCFD7A" w14:textId="77777777" w:rsidR="00041AAC" w:rsidRDefault="00041AAC" w:rsidP="00041AAC">
      <w:pPr>
        <w:pStyle w:val="aa"/>
        <w:numPr>
          <w:ilvl w:val="0"/>
          <w:numId w:val="1"/>
        </w:numPr>
        <w:spacing w:line="360" w:lineRule="auto"/>
        <w:jc w:val="both"/>
        <w:rPr>
          <w:rFonts w:ascii="Arial" w:hAnsi="Arial"/>
        </w:rPr>
      </w:pPr>
      <w:r>
        <w:rPr>
          <w:rFonts w:ascii="Arial" w:hAnsi="Arial" w:hint="cs"/>
          <w:rtl/>
        </w:rPr>
        <w:t xml:space="preserve">ביום 2.5.22 הוגש תסקיר של שירות המבחן. בתסקיר סקר שירות המבחן את הרקע האישי והמשפחתי של הנאשם בן 37 רווק, עלה ארצה בשנת 1990. טרם מעצרו עבד עם קבלן בתחום השיפוצים למשך מספר שבועות. מעיון בגיליון הרשעותיו הקודמות עולה שלנאשם אין עבר פלילי. מעיון בגיליון הרשעותיו הקודמות בתעבורה עולה כי לחובתו תשע הרשעות קודמות בעבירות מגוונות. במסגרת הליך המעצר נערך לנאשם אבחון ושירות המבחן ציין שהנאשם התקשה לתת אמון בשירות המבחן והתייחס באופן מצומצם  להסתבכותו ולשימוש בסם מסוכן מסוג קנבוס. שירות המבחן התרשם שבהיעדר טיפול בתחום ההתמכרויות קיימת רמת סיכון למעורבות בעבירות דומות בעתיד אך הנאשם ביטא עמדה אמביוולנטית והיעדר מוטיבציה ביחס להצעת שירות המבחן לשלבו בטיפול מתחום ההתמכרויות. שירות המבחן מציין שבמהלך השנים השימוש בסמים העמיק והתדירות עלתה וכיום הנאשם שולל שימוש בסמים ובהתאם לכך שלל התערבות טיפולית של שירות המבחן וטען שאינו זקוק לליווי ופיקוח מצד שירות המבחן. שירות המבחן מציין שהנאשם סיים בהצלחה טיפול קבוצתי בשיטת 12 הצעדים לגמילה מהתמכרויות במסגרת היחידה להתמכרויות בעכו. שירות המבחן מציין שבמהלך האבחון נערכו ניסיונות לברר עם הנאשם את סיבת התנגדותו לשיתוף פעולה עם שירות המבחן כאשר הוא מצוי בהליך טיפולי אך ללא הצלחה. </w:t>
      </w:r>
    </w:p>
    <w:p w14:paraId="57951B0B" w14:textId="77777777" w:rsidR="00041AAC" w:rsidRDefault="00041AAC" w:rsidP="00041AAC">
      <w:pPr>
        <w:pStyle w:val="aa"/>
        <w:spacing w:line="360" w:lineRule="auto"/>
        <w:jc w:val="both"/>
        <w:rPr>
          <w:rFonts w:ascii="Arial" w:hAnsi="Arial"/>
          <w:rtl/>
        </w:rPr>
      </w:pPr>
      <w:r>
        <w:rPr>
          <w:rFonts w:ascii="Arial" w:hAnsi="Arial" w:hint="cs"/>
          <w:rtl/>
        </w:rPr>
        <w:t xml:space="preserve">שירות המבחן התרשם שממכלול השיקולים עולה שלנאשם גורמי סיכון משמעותיים וכי לא ניתן לשלול קיומה של רמת סיכון להישנות עבירה. </w:t>
      </w:r>
    </w:p>
    <w:p w14:paraId="0E3B5A3A" w14:textId="77777777" w:rsidR="00041AAC" w:rsidRDefault="00041AAC" w:rsidP="00041AAC">
      <w:pPr>
        <w:pStyle w:val="aa"/>
        <w:spacing w:line="360" w:lineRule="auto"/>
        <w:jc w:val="both"/>
        <w:rPr>
          <w:rFonts w:ascii="Arial" w:hAnsi="Arial"/>
          <w:rtl/>
        </w:rPr>
      </w:pPr>
      <w:r>
        <w:rPr>
          <w:rFonts w:ascii="Arial" w:hAnsi="Arial" w:hint="cs"/>
          <w:rtl/>
        </w:rPr>
        <w:t xml:space="preserve">שירות המבחן התרשם שהנאשם אינו בשל להשתלב בהליך טיפולי בקבוצה בשירות המבחן לא המליץ שירות המבחן על חלופה שיקומית שעשויה להפחית מהסיכון להישנות עבירות בעתיד. </w:t>
      </w:r>
    </w:p>
    <w:p w14:paraId="160125C2" w14:textId="77777777" w:rsidR="00041AAC" w:rsidRPr="00B249CA" w:rsidRDefault="00041AAC" w:rsidP="00041AAC">
      <w:pPr>
        <w:spacing w:line="360" w:lineRule="auto"/>
        <w:jc w:val="both"/>
        <w:rPr>
          <w:rFonts w:ascii="Arial" w:hAnsi="Arial"/>
        </w:rPr>
      </w:pPr>
    </w:p>
    <w:p w14:paraId="45125047" w14:textId="77777777" w:rsidR="00041AAC" w:rsidRDefault="00041AAC" w:rsidP="00041AAC">
      <w:pPr>
        <w:pStyle w:val="aa"/>
        <w:numPr>
          <w:ilvl w:val="0"/>
          <w:numId w:val="1"/>
        </w:numPr>
        <w:spacing w:line="360" w:lineRule="auto"/>
        <w:jc w:val="both"/>
        <w:rPr>
          <w:rFonts w:ascii="Arial" w:hAnsi="Arial"/>
        </w:rPr>
      </w:pPr>
      <w:r>
        <w:rPr>
          <w:rFonts w:ascii="Arial" w:hAnsi="Arial" w:hint="cs"/>
          <w:rtl/>
        </w:rPr>
        <w:t xml:space="preserve">לבקשת ההגנה לתסקיר משלים הוגש תסקיר ביום 29.6.22. שירות המבחן מציין שבתקופת הדחייה התקיימה פגישה עם הנאשם והנאשם ציין בפני שירות המבחן שלא התבטא כראוי ובעקבות כך כוונותיו לא הובנו וכיום מעוניין במשך הקשר עם שירות המבחן. בשיחה עם גורמי הטיפול ביחידה להתמכרויות עלה שהנאשם סיים בהצלחה את קבוצת 12 הצעדים </w:t>
      </w:r>
      <w:r>
        <w:rPr>
          <w:rFonts w:ascii="Arial" w:hAnsi="Arial" w:hint="cs"/>
          <w:rtl/>
        </w:rPr>
        <w:lastRenderedPageBreak/>
        <w:t xml:space="preserve">וקיבל תעודה על כך. דווח כי הוצע לנאשם להשתתף בקבוצה נוספת והנאשם נענה בחיוב. בדיקות השתן השבועיות שמסר הנאשם נמצאו נקיות ללא שרידי סם. במצב המתואר להתרשמות שירות המבחן ניכרים סיכויי השיקום הגבוהים לצד נזקקות להמשך מעקב וטיפול בתחום ההתמכרויות. שירות המבחן מציין בתסקיר שהתרשם משיתוף פעולה חיובי של הנאשם עם גורמי הטיפול. ההתרשמות היא שהנאשם לוקח אחריות על ביצוע העבירות ומבין את חומרת העבירות. בהתאם לכך  המליץ שירות המבחן על העמדתו של הנאשם בצו מבחן למשך שנה כענישה הרתעתית המליץ שירות המבחן על השתת עונש של מאסר על תנאי וקנס כספי. מוסיף וכותב שירות המבחן בתסקיר שהחמרה בענישה עלולה לגרום לרגרסיה במצבו של הנאשם ולחבל בהישגים הטיפוליים. </w:t>
      </w:r>
    </w:p>
    <w:p w14:paraId="6A9E9499" w14:textId="77777777" w:rsidR="00041AAC" w:rsidRDefault="00041AAC" w:rsidP="00041AAC">
      <w:pPr>
        <w:pStyle w:val="aa"/>
        <w:spacing w:line="360" w:lineRule="auto"/>
        <w:jc w:val="both"/>
        <w:rPr>
          <w:rFonts w:ascii="Arial" w:hAnsi="Arial"/>
        </w:rPr>
      </w:pPr>
    </w:p>
    <w:p w14:paraId="60B7A57F" w14:textId="77777777" w:rsidR="00041AAC" w:rsidRDefault="00041AAC" w:rsidP="00041AAC">
      <w:pPr>
        <w:pStyle w:val="aa"/>
        <w:numPr>
          <w:ilvl w:val="0"/>
          <w:numId w:val="1"/>
        </w:numPr>
        <w:spacing w:line="360" w:lineRule="auto"/>
        <w:jc w:val="both"/>
        <w:rPr>
          <w:rFonts w:ascii="Arial" w:hAnsi="Arial"/>
        </w:rPr>
      </w:pPr>
      <w:r>
        <w:rPr>
          <w:rFonts w:ascii="Arial" w:hAnsi="Arial" w:hint="cs"/>
          <w:rtl/>
        </w:rPr>
        <w:t xml:space="preserve">ביום 18.9.22 הוגש תסקיר נוסף של שירות המבחן וזאת לאחר שהנאשם נשלח לקבלת חוות דעת של הממונה על עבודות השירות. מהתסקיר עלה שבדיקות שתן שנערכו לנאשם העידו על שרידי סם מסוג קוקאין. עוד מוסיף ומציין שירות המבחן בתסקיר זה שנערכה לנאשם וועדה וגורמי הטיפול מסרו שהנאשם אינו מגלה תובנות ביחס להליך הטיפולי. עמדתו של הנאשם כי אינו מכור מקשה עליו לשתף פעולה לעומק בטיפול. שירות המבחן ציין בתסקיר זה כי להערכתו הנאשם התמיד בהגעה לטיפול במטרה להיטיב עם גזר הדין בין היתר בשל היותו במעצר בית מלא. שירות המבחן ציין כי ללא טיפול קיים סיכון גבוה להישנות העבירות. הוכח עמדתו של הנאשם שירות המבחן חזר בו מהמלצתו להטיל על הנאשם צו מבחן והמליץ על מאסר בדרך של עבודות שירות לצד קנס כספי ומאסר מותנה. </w:t>
      </w:r>
    </w:p>
    <w:p w14:paraId="0054D2E8" w14:textId="77777777" w:rsidR="00041AAC" w:rsidRPr="00801A61" w:rsidRDefault="00041AAC" w:rsidP="00041AAC">
      <w:pPr>
        <w:pStyle w:val="aa"/>
        <w:rPr>
          <w:rFonts w:ascii="Arial" w:hAnsi="Arial"/>
          <w:rtl/>
        </w:rPr>
      </w:pPr>
    </w:p>
    <w:p w14:paraId="512BB29F" w14:textId="77777777" w:rsidR="00041AAC" w:rsidRDefault="00041AAC" w:rsidP="00041AAC">
      <w:pPr>
        <w:pStyle w:val="aa"/>
        <w:numPr>
          <w:ilvl w:val="0"/>
          <w:numId w:val="1"/>
        </w:numPr>
        <w:spacing w:line="360" w:lineRule="auto"/>
        <w:jc w:val="both"/>
        <w:rPr>
          <w:rFonts w:ascii="Arial" w:hAnsi="Arial"/>
        </w:rPr>
      </w:pPr>
      <w:r>
        <w:rPr>
          <w:rFonts w:ascii="Arial" w:hAnsi="Arial" w:hint="cs"/>
          <w:rtl/>
        </w:rPr>
        <w:t xml:space="preserve">ביום 9.11.22 שירות המבחן הגיש תסקיר נוסף בעניינו של הנאשם וזאת לאחר שהתברר שהנאשם ביקש להשתלב שוב בהליך טיפולי. שירות המבחן מציין שהנאשם מצוי באבחון מזה כשמונה חודשים במהלכם עקב שירות המבחן אחר התקדמותו. שירות המבחן מציין כי התלבט באשר להמלצתו. מחד, התרשם שירות המבחן מיכולתו של הנאשם לשתף פעולה באופן פורמאלי דבר שעמד בפער מיכולתו להתבוננות מעמיקה על מעשיו. יחד עם זאת מציין שירות המבחן את נכונותו של הנאשם לחזור לטיפול ולפיכך שירות המבחן המליץ להעמיד את הנאשם בצו מבחן למשך שנה, זאת לצד ענישה מרתיעה של מאסר בדרך של עבודות שירות. הוסיף שירות המבחן שהוא סבור שענישה טיפולית עשויה לחזק את יכולתו להפעיל שיקול דעת  ולשמור על ניקיון משימוש בחומרים ממכרים וכן הוסיף שהטלת ענישה בין כתלי הכלא עלולה לסכן את הנאשם מבחינה רגשית ולפגוע בהמשכו של ההליך הטיפולי ולהביא מפגש בעייתי עם אוכלוסייה עוברת חוק. </w:t>
      </w:r>
    </w:p>
    <w:p w14:paraId="14705B47" w14:textId="77777777" w:rsidR="00041AAC" w:rsidRDefault="00041AAC" w:rsidP="00041AAC">
      <w:pPr>
        <w:pStyle w:val="aa"/>
        <w:spacing w:line="360" w:lineRule="auto"/>
        <w:jc w:val="both"/>
        <w:rPr>
          <w:rFonts w:ascii="Arial" w:hAnsi="Arial"/>
          <w:b/>
          <w:bCs/>
          <w:u w:val="single"/>
          <w:rtl/>
        </w:rPr>
      </w:pPr>
    </w:p>
    <w:p w14:paraId="356A68AB" w14:textId="77777777" w:rsidR="00041AAC" w:rsidRPr="00F32E08" w:rsidRDefault="00041AAC" w:rsidP="00041AAC">
      <w:pPr>
        <w:pStyle w:val="aa"/>
        <w:spacing w:line="360" w:lineRule="auto"/>
        <w:jc w:val="both"/>
        <w:rPr>
          <w:rFonts w:ascii="Arial" w:hAnsi="Arial"/>
          <w:b/>
          <w:bCs/>
          <w:u w:val="single"/>
        </w:rPr>
      </w:pPr>
      <w:r w:rsidRPr="00F32E08">
        <w:rPr>
          <w:rFonts w:ascii="Arial" w:hAnsi="Arial" w:hint="cs"/>
          <w:b/>
          <w:bCs/>
          <w:u w:val="single"/>
          <w:rtl/>
        </w:rPr>
        <w:t>תמצית טיעוני הצדדים</w:t>
      </w:r>
    </w:p>
    <w:p w14:paraId="4E3E3299" w14:textId="77777777" w:rsidR="00041AAC" w:rsidRDefault="00041AAC" w:rsidP="00041AAC">
      <w:pPr>
        <w:pStyle w:val="aa"/>
        <w:numPr>
          <w:ilvl w:val="0"/>
          <w:numId w:val="1"/>
        </w:numPr>
        <w:spacing w:line="360" w:lineRule="auto"/>
        <w:jc w:val="both"/>
        <w:rPr>
          <w:rFonts w:ascii="Arial" w:hAnsi="Arial"/>
        </w:rPr>
      </w:pPr>
      <w:r>
        <w:rPr>
          <w:rFonts w:hint="cs"/>
          <w:rtl/>
        </w:rPr>
        <w:t xml:space="preserve">ב"כ המאשימה הגישה טיעונים לעונש בכתב (ת/1) והדגישה את הערכים החברתיים שנפגעו כתוצאה ממעשיו של הנאשם. סך הכל גידל הנאשם  38.74 ק"ג קנאבוס.  המאשימה עתרה למתחם ענישה שנע בין מאסר של 20 חודשים ברף התחתון לבין עונש של 40 חודשי מאסר ברף העליון, עונש מאסר על תנאי, קנס כספי, פסילת רישיון ובנוסף עתרה המאשימה לחילוט הרכוש כמפורט בכתב האישום. ב"כ המאשימה הפנתה לתסקירי שירות המבחן המלמדים על חוסר יציבות בהליך הטיפולי </w:t>
      </w:r>
      <w:r>
        <w:rPr>
          <w:rtl/>
        </w:rPr>
        <w:t>.</w:t>
      </w:r>
      <w:r>
        <w:rPr>
          <w:rFonts w:ascii="Arial" w:hAnsi="Arial" w:hint="cs"/>
          <w:rtl/>
        </w:rPr>
        <w:t xml:space="preserve"> באשר לעונשו של הנאשם עתרה המאשימה כי עונשו ייגזר ברף התחתון של מתחם העונש ההולם. </w:t>
      </w:r>
    </w:p>
    <w:p w14:paraId="4328068D" w14:textId="77777777" w:rsidR="00041AAC" w:rsidRDefault="00041AAC" w:rsidP="00041AAC">
      <w:pPr>
        <w:pStyle w:val="aa"/>
        <w:spacing w:line="360" w:lineRule="auto"/>
        <w:jc w:val="both"/>
        <w:rPr>
          <w:rFonts w:ascii="Arial" w:hAnsi="Arial"/>
        </w:rPr>
      </w:pPr>
    </w:p>
    <w:p w14:paraId="7190296F" w14:textId="77777777" w:rsidR="00041AAC" w:rsidRDefault="00041AAC" w:rsidP="00041AAC">
      <w:pPr>
        <w:pStyle w:val="aa"/>
        <w:numPr>
          <w:ilvl w:val="0"/>
          <w:numId w:val="1"/>
        </w:numPr>
        <w:spacing w:line="360" w:lineRule="auto"/>
        <w:jc w:val="both"/>
      </w:pPr>
      <w:r w:rsidRPr="00B94513">
        <w:rPr>
          <w:rFonts w:ascii="Arial" w:hAnsi="Arial" w:hint="cs"/>
          <w:rtl/>
        </w:rPr>
        <w:t xml:space="preserve">ב"כ הנאשם טען באשר לנסיבות ביצוע העבירות כי מדובר בתקופה קצרה בה הנאשם גידל סמים שכן תקופת השכירות היא 54 חודשים ואולם תקופת הגידול אינה ידועה. </w:t>
      </w:r>
      <w:r>
        <w:rPr>
          <w:rFonts w:hint="cs"/>
          <w:rtl/>
        </w:rPr>
        <w:t xml:space="preserve">טען הסנגור כי בתיק זה אין נסיבות של גניבת חשמל וכי במקרים דומים מתחם העונש ההולם נע בין עונש של 8 חודשי מאסר ברף התחתון לבין עונש של 20 חודשי מאסר ברף העליון. </w:t>
      </w:r>
    </w:p>
    <w:p w14:paraId="42927BD6" w14:textId="77777777" w:rsidR="00041AAC" w:rsidRDefault="00041AAC" w:rsidP="00041AAC">
      <w:pPr>
        <w:pStyle w:val="aa"/>
        <w:spacing w:line="360" w:lineRule="auto"/>
        <w:jc w:val="both"/>
        <w:rPr>
          <w:rtl/>
        </w:rPr>
      </w:pPr>
      <w:r>
        <w:rPr>
          <w:rFonts w:hint="cs"/>
          <w:rtl/>
        </w:rPr>
        <w:t xml:space="preserve">הוסיף וטען הסנגור שהנאשם נעדר עבר פלילי והודה וחסך זמן שיפוטי יקר וציין כי הנאשם מצוי תקופה ממושכת בתנאים מגבילים. ב"כ הנאשם הפנה לפסיקה רלוונטית במקרים דומים ובעיקר הפנה לתסקירי שירות המבחן ולהליך הטיפולי שהנאשם מצוי בו.  </w:t>
      </w:r>
    </w:p>
    <w:p w14:paraId="08A5ABF8" w14:textId="77777777" w:rsidR="00041AAC" w:rsidRDefault="00041AAC" w:rsidP="00041AAC">
      <w:pPr>
        <w:spacing w:line="360" w:lineRule="auto"/>
        <w:jc w:val="both"/>
        <w:rPr>
          <w:rtl/>
        </w:rPr>
      </w:pPr>
    </w:p>
    <w:p w14:paraId="56C2F9CC" w14:textId="77777777" w:rsidR="00041AAC" w:rsidRDefault="00041AAC" w:rsidP="00041AAC">
      <w:pPr>
        <w:pStyle w:val="aa"/>
        <w:numPr>
          <w:ilvl w:val="0"/>
          <w:numId w:val="1"/>
        </w:numPr>
        <w:spacing w:line="360" w:lineRule="auto"/>
        <w:jc w:val="both"/>
        <w:rPr>
          <w:rtl/>
        </w:rPr>
      </w:pPr>
      <w:r>
        <w:rPr>
          <w:rFonts w:hint="cs"/>
          <w:rtl/>
        </w:rPr>
        <w:t xml:space="preserve">הנאשם בדברו הביע צער על מעשיו וסיפר על תרומת ההליך המשפטי והשינוי שעשה בחייו לראשונה וביקש כי בית המשפט יאפשר לו את ההזדמנות להמשיך את ההליך הטיפולי. </w:t>
      </w:r>
    </w:p>
    <w:p w14:paraId="10F5E380" w14:textId="77777777" w:rsidR="00041AAC" w:rsidRPr="001D0423" w:rsidRDefault="00041AAC" w:rsidP="00041AAC">
      <w:pPr>
        <w:pStyle w:val="aa"/>
        <w:spacing w:line="360" w:lineRule="auto"/>
        <w:jc w:val="both"/>
        <w:rPr>
          <w:rFonts w:ascii="Arial" w:hAnsi="Arial"/>
          <w:rtl/>
        </w:rPr>
      </w:pPr>
    </w:p>
    <w:p w14:paraId="4425578D" w14:textId="77777777" w:rsidR="00041AAC" w:rsidRPr="00997087" w:rsidRDefault="00041AAC" w:rsidP="00041AAC">
      <w:pPr>
        <w:spacing w:line="360" w:lineRule="auto"/>
        <w:jc w:val="both"/>
        <w:rPr>
          <w:rFonts w:ascii="Arial" w:hAnsi="Arial"/>
          <w:b/>
          <w:bCs/>
          <w:u w:val="single"/>
          <w:rtl/>
        </w:rPr>
      </w:pPr>
      <w:r>
        <w:rPr>
          <w:rFonts w:ascii="Arial" w:hAnsi="Arial"/>
          <w:sz w:val="26"/>
          <w:szCs w:val="26"/>
          <w:rtl/>
        </w:rPr>
        <w:tab/>
      </w:r>
      <w:r w:rsidRPr="00997087">
        <w:rPr>
          <w:rFonts w:ascii="Arial" w:hAnsi="Arial" w:hint="cs"/>
          <w:b/>
          <w:bCs/>
          <w:u w:val="single"/>
          <w:rtl/>
        </w:rPr>
        <w:t xml:space="preserve">דיון והכרעה </w:t>
      </w:r>
    </w:p>
    <w:p w14:paraId="679CA2F2" w14:textId="77777777" w:rsidR="00041AAC" w:rsidRDefault="00041AAC" w:rsidP="00041AAC">
      <w:pPr>
        <w:pStyle w:val="aa"/>
        <w:numPr>
          <w:ilvl w:val="0"/>
          <w:numId w:val="1"/>
        </w:numPr>
        <w:spacing w:before="120" w:after="120" w:line="360" w:lineRule="auto"/>
        <w:jc w:val="both"/>
      </w:pPr>
      <w:r>
        <w:rPr>
          <w:rFonts w:hint="cs"/>
          <w:rtl/>
        </w:rPr>
        <w:t xml:space="preserve">בקביעת מתחם העונש ההולם את מעשי העבירות אותן ביצע הנאשם יתחשב בית המשפט </w:t>
      </w:r>
      <w:r>
        <w:rPr>
          <w:rFonts w:hint="cs"/>
          <w:b/>
          <w:bCs/>
          <w:rtl/>
        </w:rPr>
        <w:t>בערך החברתי</w:t>
      </w:r>
      <w:r>
        <w:rPr>
          <w:rFonts w:hint="cs"/>
          <w:rtl/>
        </w:rPr>
        <w:t xml:space="preserve"> הנפגע מביצוע העבירות, </w:t>
      </w:r>
      <w:r>
        <w:rPr>
          <w:rFonts w:hint="cs"/>
          <w:b/>
          <w:bCs/>
          <w:rtl/>
        </w:rPr>
        <w:t>במידת הפגיעה בו,</w:t>
      </w:r>
      <w:r>
        <w:rPr>
          <w:rFonts w:hint="cs"/>
          <w:rtl/>
        </w:rPr>
        <w:t xml:space="preserve"> </w:t>
      </w:r>
      <w:r>
        <w:rPr>
          <w:rFonts w:hint="cs"/>
          <w:b/>
          <w:bCs/>
          <w:rtl/>
        </w:rPr>
        <w:t>במדיניות הענישה</w:t>
      </w:r>
      <w:r>
        <w:rPr>
          <w:rFonts w:hint="cs"/>
          <w:rtl/>
        </w:rPr>
        <w:t xml:space="preserve"> הנהוגה </w:t>
      </w:r>
      <w:r>
        <w:rPr>
          <w:rFonts w:hint="cs"/>
          <w:b/>
          <w:bCs/>
          <w:rtl/>
        </w:rPr>
        <w:t>ובנסיבות הקשורות בביצוע העבירה</w:t>
      </w:r>
      <w:r>
        <w:rPr>
          <w:rFonts w:hint="cs"/>
          <w:rtl/>
        </w:rPr>
        <w:t>.</w:t>
      </w:r>
    </w:p>
    <w:p w14:paraId="7F241F3D" w14:textId="77777777" w:rsidR="00041AAC" w:rsidRPr="006F009A" w:rsidRDefault="00041AAC" w:rsidP="00041AAC">
      <w:pPr>
        <w:numPr>
          <w:ilvl w:val="0"/>
          <w:numId w:val="1"/>
        </w:numPr>
        <w:spacing w:after="120" w:line="360" w:lineRule="auto"/>
        <w:jc w:val="both"/>
        <w:rPr>
          <w:rFonts w:ascii="David" w:hAnsi="David"/>
          <w:color w:val="000000"/>
        </w:rPr>
      </w:pPr>
      <w:r w:rsidRPr="006F009A">
        <w:rPr>
          <w:rFonts w:ascii="David" w:hAnsi="David" w:hint="eastAsia"/>
          <w:color w:val="000000"/>
          <w:rtl/>
        </w:rPr>
        <w:t>כתב</w:t>
      </w:r>
      <w:r w:rsidRPr="006F009A">
        <w:rPr>
          <w:rFonts w:ascii="David" w:hAnsi="David"/>
          <w:color w:val="000000"/>
          <w:rtl/>
        </w:rPr>
        <w:t xml:space="preserve"> </w:t>
      </w:r>
      <w:r w:rsidRPr="006F009A">
        <w:rPr>
          <w:rFonts w:ascii="David" w:hAnsi="David" w:hint="eastAsia"/>
          <w:color w:val="000000"/>
          <w:rtl/>
        </w:rPr>
        <w:t>האישום</w:t>
      </w:r>
      <w:r w:rsidRPr="006F009A">
        <w:rPr>
          <w:rFonts w:ascii="David" w:hAnsi="David"/>
          <w:color w:val="000000"/>
          <w:rtl/>
        </w:rPr>
        <w:t xml:space="preserve"> </w:t>
      </w:r>
      <w:r w:rsidRPr="006F009A">
        <w:rPr>
          <w:rFonts w:ascii="David" w:hAnsi="David" w:hint="eastAsia"/>
          <w:color w:val="000000"/>
          <w:rtl/>
        </w:rPr>
        <w:t>מתאר</w:t>
      </w:r>
      <w:r w:rsidRPr="006F009A">
        <w:rPr>
          <w:rFonts w:ascii="David" w:hAnsi="David"/>
          <w:color w:val="000000"/>
          <w:rtl/>
        </w:rPr>
        <w:t xml:space="preserve"> </w:t>
      </w:r>
      <w:r>
        <w:rPr>
          <w:rFonts w:ascii="David" w:hAnsi="David" w:hint="cs"/>
          <w:color w:val="000000"/>
          <w:rtl/>
        </w:rPr>
        <w:t xml:space="preserve">תכנית עבריינית אחת שיש בה כדי להוות אירוע אחד בגינו יש מקום לקבוע מתחם עונש אחד. </w:t>
      </w:r>
      <w:r w:rsidRPr="006F009A">
        <w:rPr>
          <w:rFonts w:ascii="David" w:hAnsi="David"/>
          <w:color w:val="000000"/>
          <w:rtl/>
        </w:rPr>
        <w:t xml:space="preserve"> </w:t>
      </w:r>
    </w:p>
    <w:p w14:paraId="27CF54A2" w14:textId="77777777" w:rsidR="00041AAC" w:rsidRDefault="00041AAC" w:rsidP="00041AAC">
      <w:pPr>
        <w:pStyle w:val="aa"/>
        <w:numPr>
          <w:ilvl w:val="0"/>
          <w:numId w:val="1"/>
        </w:numPr>
        <w:spacing w:before="120" w:after="120" w:line="360" w:lineRule="auto"/>
        <w:jc w:val="both"/>
      </w:pPr>
      <w:r>
        <w:rPr>
          <w:rFonts w:hint="cs"/>
          <w:rtl/>
        </w:rPr>
        <w:t xml:space="preserve">אין צורך להכביר במילים על הערכים החברתיים שנפגעו כתוצאה ממעשי הנאשם. במעשיו פגע הנאשם בערכים חברתיים מוגנים של  שמירה על בריאותו ושלומו הפיזי והנפשי של הציבור מפני הנזקים הנגרמים כתוצאה משימוש בסמים והשפעתם ההרסנית. </w:t>
      </w:r>
    </w:p>
    <w:p w14:paraId="57EE8CDD" w14:textId="77777777" w:rsidR="00041AAC" w:rsidRDefault="00041AAC" w:rsidP="00041AAC">
      <w:pPr>
        <w:pStyle w:val="aa"/>
        <w:spacing w:before="120" w:after="120" w:line="360" w:lineRule="auto"/>
        <w:jc w:val="both"/>
      </w:pPr>
    </w:p>
    <w:p w14:paraId="759ED518" w14:textId="77777777" w:rsidR="00041AAC" w:rsidRPr="00E70AAD" w:rsidRDefault="00041AAC" w:rsidP="00041AAC">
      <w:pPr>
        <w:pStyle w:val="aa"/>
        <w:numPr>
          <w:ilvl w:val="0"/>
          <w:numId w:val="4"/>
        </w:numPr>
        <w:spacing w:line="360" w:lineRule="auto"/>
        <w:jc w:val="both"/>
        <w:rPr>
          <w:rFonts w:ascii="David" w:hAnsi="David"/>
        </w:rPr>
      </w:pPr>
      <w:r>
        <w:rPr>
          <w:rFonts w:hint="cs"/>
          <w:rtl/>
        </w:rPr>
        <w:t>נ</w:t>
      </w:r>
      <w:r w:rsidRPr="0083183C">
        <w:rPr>
          <w:rtl/>
        </w:rPr>
        <w:t>סיבות ביצוע העבירה מלמדות בבירור על תכנון מוקדם</w:t>
      </w:r>
      <w:r>
        <w:rPr>
          <w:rFonts w:hint="cs"/>
          <w:rtl/>
        </w:rPr>
        <w:t xml:space="preserve"> גם אם לא מצוינת תקופת גידול הסמים. התכנון המוקדם ה</w:t>
      </w:r>
      <w:r w:rsidRPr="0083183C">
        <w:rPr>
          <w:rtl/>
        </w:rPr>
        <w:t>תבטא</w:t>
      </w:r>
      <w:r w:rsidRPr="00E70AAD">
        <w:rPr>
          <w:b/>
          <w:bCs/>
          <w:rtl/>
        </w:rPr>
        <w:t xml:space="preserve"> </w:t>
      </w:r>
      <w:r w:rsidRPr="0083183C">
        <w:rPr>
          <w:rtl/>
        </w:rPr>
        <w:t>בהצטיידות בכלים מתאימים לצורך גידול השתילים</w:t>
      </w:r>
      <w:r w:rsidRPr="00E70AAD">
        <w:rPr>
          <w:rtl/>
        </w:rPr>
        <w:t xml:space="preserve">. </w:t>
      </w:r>
      <w:r w:rsidRPr="00E70AAD">
        <w:rPr>
          <w:rFonts w:ascii="David" w:hAnsi="David" w:hint="cs"/>
          <w:rtl/>
        </w:rPr>
        <w:t xml:space="preserve">לא זו אף זו הרי שהסכם השכירות נעשה על ידי חבריו של הנאשם, דבר המלמד על חשיבה והכנה לביצוע העבירות. </w:t>
      </w:r>
    </w:p>
    <w:p w14:paraId="6961FF9D" w14:textId="77777777" w:rsidR="00041AAC" w:rsidRPr="001D4C70" w:rsidRDefault="00041AAC" w:rsidP="00041AAC">
      <w:pPr>
        <w:pStyle w:val="aa"/>
        <w:spacing w:line="360" w:lineRule="auto"/>
        <w:jc w:val="both"/>
        <w:rPr>
          <w:rFonts w:ascii="David" w:hAnsi="David"/>
          <w:b/>
          <w:bCs/>
          <w:u w:val="single"/>
        </w:rPr>
      </w:pPr>
    </w:p>
    <w:p w14:paraId="6F981AA6" w14:textId="77777777" w:rsidR="00041AAC" w:rsidRPr="0061726E" w:rsidRDefault="00041AAC" w:rsidP="00041AAC">
      <w:pPr>
        <w:pStyle w:val="aa"/>
        <w:numPr>
          <w:ilvl w:val="0"/>
          <w:numId w:val="4"/>
        </w:numPr>
        <w:spacing w:line="360" w:lineRule="auto"/>
        <w:jc w:val="both"/>
        <w:rPr>
          <w:rFonts w:ascii="David" w:hAnsi="David"/>
          <w:u w:val="single"/>
        </w:rPr>
      </w:pPr>
      <w:r>
        <w:rPr>
          <w:rFonts w:ascii="David" w:hAnsi="David" w:hint="cs"/>
          <w:rtl/>
        </w:rPr>
        <w:t xml:space="preserve">על </w:t>
      </w:r>
      <w:r w:rsidRPr="00E70AAD">
        <w:rPr>
          <w:rFonts w:ascii="David" w:hAnsi="David"/>
          <w:rtl/>
        </w:rPr>
        <w:t xml:space="preserve">הנזק שנגרם וכן שהיה צפוי להיגרם </w:t>
      </w:r>
      <w:r>
        <w:rPr>
          <w:rFonts w:ascii="David" w:hAnsi="David" w:hint="cs"/>
          <w:rtl/>
        </w:rPr>
        <w:t xml:space="preserve">ניתן ללמוד </w:t>
      </w:r>
      <w:r w:rsidRPr="00E70AAD">
        <w:rPr>
          <w:rFonts w:ascii="David" w:hAnsi="David"/>
          <w:rtl/>
        </w:rPr>
        <w:t>מביצוע העביר</w:t>
      </w:r>
      <w:r w:rsidRPr="00E70AAD">
        <w:rPr>
          <w:rFonts w:ascii="David" w:hAnsi="David" w:hint="cs"/>
          <w:rtl/>
        </w:rPr>
        <w:t xml:space="preserve">ות </w:t>
      </w:r>
      <w:r>
        <w:rPr>
          <w:rFonts w:ascii="David" w:hAnsi="David" w:hint="cs"/>
          <w:rtl/>
        </w:rPr>
        <w:t>ו</w:t>
      </w:r>
      <w:r w:rsidRPr="00E70AAD">
        <w:rPr>
          <w:rFonts w:ascii="David" w:hAnsi="David"/>
          <w:rtl/>
        </w:rPr>
        <w:t>כמות הסמים</w:t>
      </w:r>
      <w:r w:rsidRPr="0061726E">
        <w:rPr>
          <w:rFonts w:ascii="David" w:hAnsi="David"/>
          <w:rtl/>
        </w:rPr>
        <w:t xml:space="preserve"> שגידל הנאשם משמעותית </w:t>
      </w:r>
      <w:r>
        <w:rPr>
          <w:rFonts w:ascii="David" w:hAnsi="David" w:hint="cs"/>
          <w:rtl/>
        </w:rPr>
        <w:t xml:space="preserve">שיש בה כדי להיות כמות משמעותית . </w:t>
      </w:r>
      <w:r w:rsidRPr="0061726E">
        <w:rPr>
          <w:rFonts w:ascii="David" w:hAnsi="David"/>
          <w:rtl/>
        </w:rPr>
        <w:t xml:space="preserve">מדובר ב- </w:t>
      </w:r>
      <w:r>
        <w:rPr>
          <w:rFonts w:ascii="David" w:hAnsi="David" w:hint="cs"/>
          <w:rtl/>
        </w:rPr>
        <w:t xml:space="preserve">343 </w:t>
      </w:r>
      <w:r w:rsidRPr="0061726E">
        <w:rPr>
          <w:rFonts w:ascii="David" w:hAnsi="David"/>
          <w:rtl/>
        </w:rPr>
        <w:t xml:space="preserve"> שתילים אשר שקלו במועד התפיסה </w:t>
      </w:r>
      <w:r>
        <w:rPr>
          <w:rFonts w:ascii="David" w:hAnsi="David" w:hint="cs"/>
          <w:rtl/>
        </w:rPr>
        <w:t xml:space="preserve">38.74  </w:t>
      </w:r>
      <w:r w:rsidRPr="0061726E">
        <w:rPr>
          <w:rFonts w:ascii="David" w:hAnsi="David"/>
          <w:rtl/>
        </w:rPr>
        <w:t xml:space="preserve">ק"ג. </w:t>
      </w:r>
      <w:r>
        <w:rPr>
          <w:rFonts w:ascii="David" w:hAnsi="David" w:hint="cs"/>
          <w:rtl/>
        </w:rPr>
        <w:t xml:space="preserve">מנתונים אלה ניתן להסיק </w:t>
      </w:r>
      <w:r w:rsidRPr="0061726E">
        <w:rPr>
          <w:rFonts w:ascii="David" w:hAnsi="David"/>
          <w:rtl/>
        </w:rPr>
        <w:t>להסיק את הנזק שהיה צפוי להיגרם מביצוע העבירה</w:t>
      </w:r>
      <w:r>
        <w:rPr>
          <w:rFonts w:ascii="David" w:hAnsi="David" w:hint="cs"/>
          <w:rtl/>
        </w:rPr>
        <w:t xml:space="preserve"> ראו לעניין זה </w:t>
      </w:r>
      <w:hyperlink r:id="rId18" w:history="1">
        <w:r w:rsidR="00CC1800" w:rsidRPr="00CC1800">
          <w:rPr>
            <w:rFonts w:ascii="David" w:hAnsi="David"/>
            <w:color w:val="0000FF"/>
            <w:u w:val="single"/>
            <w:rtl/>
          </w:rPr>
          <w:t>ע"פ 5807/17</w:t>
        </w:r>
      </w:hyperlink>
      <w:r w:rsidRPr="0061726E">
        <w:rPr>
          <w:rFonts w:ascii="David" w:hAnsi="David"/>
          <w:rtl/>
        </w:rPr>
        <w:t xml:space="preserve"> </w:t>
      </w:r>
      <w:r w:rsidRPr="0061726E">
        <w:rPr>
          <w:rFonts w:ascii="David" w:hAnsi="David"/>
          <w:b/>
          <w:bCs/>
          <w:rtl/>
        </w:rPr>
        <w:t>משה דרחי נ' מדינת ישראל</w:t>
      </w:r>
      <w:r w:rsidRPr="0061726E">
        <w:rPr>
          <w:rFonts w:ascii="David" w:hAnsi="David"/>
          <w:rtl/>
        </w:rPr>
        <w:t xml:space="preserve"> (8.6.</w:t>
      </w:r>
      <w:r>
        <w:rPr>
          <w:rFonts w:ascii="David" w:hAnsi="David" w:hint="cs"/>
          <w:rtl/>
        </w:rPr>
        <w:t>2018</w:t>
      </w:r>
      <w:r>
        <w:rPr>
          <w:rFonts w:ascii="David" w:hAnsi="David"/>
          <w:rtl/>
        </w:rPr>
        <w:t>)</w:t>
      </w:r>
      <w:r>
        <w:rPr>
          <w:rFonts w:ascii="David" w:hAnsi="David" w:hint="cs"/>
          <w:rtl/>
        </w:rPr>
        <w:t>)</w:t>
      </w:r>
      <w:r w:rsidRPr="00E764DD">
        <w:rPr>
          <w:rFonts w:ascii="David" w:hAnsi="David" w:hint="cs"/>
          <w:rtl/>
        </w:rPr>
        <w:t>.</w:t>
      </w:r>
    </w:p>
    <w:p w14:paraId="394352BC" w14:textId="77777777" w:rsidR="00041AAC" w:rsidRPr="00D9298B" w:rsidRDefault="00041AAC" w:rsidP="00041AAC">
      <w:pPr>
        <w:pStyle w:val="aa"/>
        <w:jc w:val="both"/>
        <w:rPr>
          <w:rFonts w:ascii="David" w:hAnsi="David"/>
          <w:u w:val="single"/>
          <w:rtl/>
        </w:rPr>
      </w:pPr>
    </w:p>
    <w:p w14:paraId="66C9B6A9" w14:textId="77777777" w:rsidR="00041AAC" w:rsidRPr="00E70AAD" w:rsidRDefault="00041AAC" w:rsidP="00041AAC">
      <w:pPr>
        <w:pStyle w:val="aa"/>
        <w:numPr>
          <w:ilvl w:val="0"/>
          <w:numId w:val="4"/>
        </w:numPr>
        <w:jc w:val="both"/>
        <w:rPr>
          <w:rFonts w:ascii="David" w:hAnsi="David"/>
          <w:rtl/>
        </w:rPr>
      </w:pPr>
      <w:r w:rsidRPr="00E70AAD">
        <w:rPr>
          <w:rFonts w:ascii="David" w:hAnsi="David"/>
          <w:rtl/>
        </w:rPr>
        <w:t>על מדיניות הענישה ניתן ללמוד מפסקי הדין הבאים</w:t>
      </w:r>
      <w:r w:rsidRPr="00E70AAD">
        <w:rPr>
          <w:rFonts w:ascii="David" w:hAnsi="David"/>
        </w:rPr>
        <w:t>:</w:t>
      </w:r>
    </w:p>
    <w:p w14:paraId="63714C5B" w14:textId="77777777" w:rsidR="00041AAC" w:rsidRPr="00E70AAD" w:rsidRDefault="00041AAC" w:rsidP="00041AAC">
      <w:pPr>
        <w:jc w:val="both"/>
        <w:rPr>
          <w:rFonts w:ascii="David" w:hAnsi="David"/>
          <w:rtl/>
        </w:rPr>
      </w:pPr>
    </w:p>
    <w:p w14:paraId="0C8B2C88" w14:textId="77777777" w:rsidR="00041AAC" w:rsidRPr="00E279D4" w:rsidRDefault="00CC1800" w:rsidP="00041AAC">
      <w:pPr>
        <w:spacing w:after="160" w:line="360" w:lineRule="auto"/>
        <w:ind w:left="720"/>
        <w:jc w:val="both"/>
        <w:rPr>
          <w:rFonts w:ascii="David" w:hAnsi="David"/>
          <w:rtl/>
        </w:rPr>
      </w:pPr>
      <w:hyperlink r:id="rId19" w:history="1">
        <w:r w:rsidRPr="00CC1800">
          <w:rPr>
            <w:rFonts w:ascii="David" w:hAnsi="David"/>
            <w:color w:val="0000FF"/>
            <w:u w:val="single"/>
            <w:rtl/>
          </w:rPr>
          <w:t>עפ"ג (מרכז) 34383-10-16</w:t>
        </w:r>
      </w:hyperlink>
      <w:r w:rsidR="00041AAC" w:rsidRPr="00E279D4">
        <w:rPr>
          <w:rFonts w:ascii="David" w:hAnsi="David"/>
          <w:rtl/>
        </w:rPr>
        <w:t xml:space="preserve"> </w:t>
      </w:r>
      <w:r w:rsidR="00041AAC" w:rsidRPr="00E279D4">
        <w:rPr>
          <w:rFonts w:ascii="David" w:hAnsi="David"/>
          <w:b/>
          <w:bCs/>
          <w:rtl/>
        </w:rPr>
        <w:t xml:space="preserve">מדינת ישראל נ' קדר </w:t>
      </w:r>
      <w:r w:rsidR="00041AAC" w:rsidRPr="00E279D4">
        <w:rPr>
          <w:rFonts w:ascii="David" w:hAnsi="David"/>
          <w:rtl/>
        </w:rPr>
        <w:t xml:space="preserve">(12.2.17) – בית משפט השלום הרשיע את הנאשם, לפי הודאתו, בעבירות של ייצור סם, החזקת כלים המשמשים להכנת סם והחזקת סם מסוכן שלא לצריכה עצמית בלבד, בכך שגידל שתילי סם מסוג קנבוס במשקל של </w:t>
      </w:r>
      <w:r w:rsidR="00041AAC" w:rsidRPr="00E279D4">
        <w:rPr>
          <w:rFonts w:ascii="David" w:hAnsi="David"/>
          <w:b/>
          <w:bCs/>
          <w:rtl/>
        </w:rPr>
        <w:t>25</w:t>
      </w:r>
      <w:r w:rsidR="00041AAC" w:rsidRPr="00E279D4">
        <w:rPr>
          <w:rFonts w:ascii="David" w:hAnsi="David"/>
          <w:rtl/>
        </w:rPr>
        <w:t xml:space="preserve"> ק"ג. בית המשפט השלום גזר עליו מאסר בפועל לתקופה של 6 חודשים בדרך של עבודות שירות, בחריגה מהמתחם מטעמי שיקום, מאסר על-תנאי וקנס בסכום של 7,000 ₪. בית המשפט המחוזי קבע כי מתחם העונש ההולם כולל מאסר הנע בין </w:t>
      </w:r>
      <w:r w:rsidR="00041AAC" w:rsidRPr="00E279D4">
        <w:rPr>
          <w:rFonts w:ascii="David" w:hAnsi="David"/>
          <w:b/>
          <w:bCs/>
          <w:rtl/>
        </w:rPr>
        <w:t>10 – 26</w:t>
      </w:r>
      <w:r w:rsidR="00041AAC" w:rsidRPr="00E279D4">
        <w:rPr>
          <w:rFonts w:ascii="David" w:hAnsi="David"/>
          <w:rtl/>
        </w:rPr>
        <w:t xml:space="preserve"> חודשים וגזר על הנאשם עונש של מאסר לתקופה של 8 חודשים בשל הליך השיקום שעבר הנאשם.</w:t>
      </w:r>
    </w:p>
    <w:p w14:paraId="52381F58" w14:textId="77777777" w:rsidR="00041AAC" w:rsidRPr="00E279D4" w:rsidRDefault="00CC1800" w:rsidP="00041AAC">
      <w:pPr>
        <w:spacing w:line="360" w:lineRule="auto"/>
        <w:ind w:left="720"/>
        <w:jc w:val="both"/>
        <w:rPr>
          <w:rFonts w:ascii="David" w:hAnsi="David"/>
          <w:sz w:val="26"/>
          <w:szCs w:val="26"/>
          <w:rtl/>
        </w:rPr>
      </w:pPr>
      <w:hyperlink r:id="rId20" w:history="1">
        <w:r w:rsidRPr="00CC1800">
          <w:rPr>
            <w:rFonts w:ascii="David" w:hAnsi="David"/>
            <w:color w:val="0000FF"/>
            <w:u w:val="single"/>
            <w:rtl/>
          </w:rPr>
          <w:t>רע"פ 2151/21</w:t>
        </w:r>
      </w:hyperlink>
      <w:r w:rsidR="00041AAC" w:rsidRPr="00E279D4">
        <w:rPr>
          <w:rFonts w:ascii="David" w:hAnsi="David"/>
          <w:rtl/>
        </w:rPr>
        <w:t xml:space="preserve"> </w:t>
      </w:r>
      <w:r w:rsidR="00041AAC" w:rsidRPr="00E279D4">
        <w:rPr>
          <w:rFonts w:ascii="David" w:hAnsi="David"/>
          <w:b/>
          <w:bCs/>
          <w:rtl/>
        </w:rPr>
        <w:t>שחף דהן נ' מדינת ישראל</w:t>
      </w:r>
      <w:r w:rsidR="00041AAC" w:rsidRPr="00E279D4">
        <w:rPr>
          <w:rFonts w:ascii="David" w:hAnsi="David"/>
          <w:rtl/>
        </w:rPr>
        <w:t xml:space="preserve"> (7.4.2021), בו נידון נאשם ל-18 חודשי מאסר בגין גידול 100 שתילי קנבוס במשקל כולל של 23 ק"ג. עברו של הנאשם היה נקי אך התסקיר בעניינו היה שלילי.</w:t>
      </w:r>
    </w:p>
    <w:p w14:paraId="4E1746D0" w14:textId="77777777" w:rsidR="00041AAC" w:rsidRDefault="00041AAC" w:rsidP="00041AAC">
      <w:pPr>
        <w:spacing w:line="360" w:lineRule="auto"/>
        <w:ind w:firstLine="720"/>
        <w:jc w:val="both"/>
      </w:pPr>
    </w:p>
    <w:p w14:paraId="6E047D37" w14:textId="77777777" w:rsidR="00041AAC" w:rsidRPr="00E279D4" w:rsidRDefault="00CC1800" w:rsidP="00041AAC">
      <w:pPr>
        <w:spacing w:line="360" w:lineRule="auto"/>
        <w:ind w:left="720"/>
        <w:jc w:val="both"/>
      </w:pPr>
      <w:hyperlink r:id="rId21" w:history="1">
        <w:r w:rsidRPr="00CC1800">
          <w:rPr>
            <w:rFonts w:ascii="David" w:hAnsi="David"/>
            <w:color w:val="0000FF"/>
            <w:u w:val="single"/>
            <w:rtl/>
          </w:rPr>
          <w:t>ת"פ (ירושלים) 14829-07-16</w:t>
        </w:r>
      </w:hyperlink>
      <w:r w:rsidR="00041AAC" w:rsidRPr="00E279D4">
        <w:rPr>
          <w:rFonts w:ascii="David" w:hAnsi="David"/>
          <w:rtl/>
        </w:rPr>
        <w:t xml:space="preserve"> </w:t>
      </w:r>
      <w:r w:rsidR="00041AAC" w:rsidRPr="00E279D4">
        <w:rPr>
          <w:rFonts w:ascii="David" w:hAnsi="David"/>
          <w:b/>
          <w:bCs/>
          <w:rtl/>
        </w:rPr>
        <w:t xml:space="preserve">מדינת ישראל נ' דוד בן ישי </w:t>
      </w:r>
      <w:r w:rsidR="00041AAC" w:rsidRPr="00E279D4">
        <w:rPr>
          <w:rFonts w:ascii="David" w:hAnsi="David"/>
          <w:rtl/>
        </w:rPr>
        <w:t xml:space="preserve">(4.7.18)- הנאשם הודה והורשע בעבירות של גידול, יצור והכנת סמים מסוכנים והחזקת כלים להכנת סם שלא לצריכה עצמית. הנאשם </w:t>
      </w:r>
      <w:r w:rsidR="00041AAC" w:rsidRPr="00E279D4">
        <w:rPr>
          <w:rFonts w:ascii="David" w:hAnsi="David" w:hint="cs"/>
          <w:rtl/>
        </w:rPr>
        <w:t xml:space="preserve">גידל </w:t>
      </w:r>
      <w:r w:rsidR="00041AAC" w:rsidRPr="00E279D4">
        <w:rPr>
          <w:rFonts w:ascii="David" w:hAnsi="David"/>
          <w:rtl/>
        </w:rPr>
        <w:t xml:space="preserve">ביחד עם אחר סם מסוג קנבוס במשקל כולל של 3.18 קילוגרם נטו וכן החזיק כלים להכנת סמים מסוכנים שלא כדין. באותן נסיבות גידל הנאשם בדירה 227  עציצי קנבוס בגדלים שונים </w:t>
      </w:r>
      <w:r w:rsidR="00041AAC" w:rsidRPr="00E279D4">
        <w:rPr>
          <w:rFonts w:ascii="David" w:hAnsi="David" w:hint="cs"/>
          <w:rtl/>
        </w:rPr>
        <w:t xml:space="preserve">והחזיק כלים ואביזרים נוספים. </w:t>
      </w:r>
      <w:r w:rsidR="00041AAC" w:rsidRPr="00E279D4">
        <w:rPr>
          <w:rFonts w:ascii="David" w:hAnsi="David"/>
          <w:rtl/>
        </w:rPr>
        <w:t xml:space="preserve">בית המשפט קבע כי מתחם העונש ההולם נע במקרה זה בין שישה חודשי מאסר שיכול שירוצו בעבודות שירות ועד למאסר בפועל בן 18 חודשים, לצד ענישה נלווית צופת פני עתיד. בית המשפט גזר על הנאשם, בן 25, שנטל אחריות על מעשיו, שיתף פעולה עם רשויות אכיפת החוק, נעדר עבר פלילי, תוך התחשבות בנסיבות חייו המורכבות </w:t>
      </w:r>
      <w:r w:rsidR="00041AAC" w:rsidRPr="00E279D4">
        <w:rPr>
          <w:rFonts w:ascii="David" w:hAnsi="David" w:hint="cs"/>
          <w:rtl/>
        </w:rPr>
        <w:t xml:space="preserve">ושיתוף פעולה עם שירות מבחן </w:t>
      </w:r>
      <w:r w:rsidR="00041AAC" w:rsidRPr="00E279D4">
        <w:rPr>
          <w:rFonts w:ascii="David" w:hAnsi="David"/>
          <w:rtl/>
        </w:rPr>
        <w:t>עונש של שישה חודשי מאסר אשר ירוצו בעבודות שירות,  ארבעה חודשי מאסר על תנאי למשך 3 שנים מיום מתן גזר הדין, קנס בסך 1,000 ₪ או 10 ימי מאסר תמורתו וצו מבחן למשך שנה.</w:t>
      </w:r>
    </w:p>
    <w:p w14:paraId="3D449726" w14:textId="77777777" w:rsidR="00041AAC" w:rsidRPr="00E279D4" w:rsidRDefault="00041AAC" w:rsidP="00041AAC">
      <w:pPr>
        <w:pStyle w:val="a"/>
        <w:numPr>
          <w:ilvl w:val="0"/>
          <w:numId w:val="0"/>
        </w:numPr>
        <w:ind w:left="720"/>
        <w:jc w:val="both"/>
        <w:rPr>
          <w:color w:val="auto"/>
          <w:rtl/>
        </w:rPr>
      </w:pPr>
    </w:p>
    <w:p w14:paraId="0B676380" w14:textId="77777777" w:rsidR="00041AAC" w:rsidRDefault="00041AAC" w:rsidP="00041AAC">
      <w:pPr>
        <w:pStyle w:val="a"/>
        <w:numPr>
          <w:ilvl w:val="0"/>
          <w:numId w:val="0"/>
        </w:numPr>
        <w:ind w:left="720"/>
        <w:jc w:val="both"/>
        <w:rPr>
          <w:color w:val="auto"/>
          <w:rtl/>
        </w:rPr>
      </w:pPr>
      <w:r w:rsidRPr="00E279D4">
        <w:rPr>
          <w:rFonts w:hint="cs"/>
          <w:color w:val="auto"/>
          <w:rtl/>
        </w:rPr>
        <w:t>ב</w:t>
      </w:r>
      <w:hyperlink r:id="rId22" w:history="1">
        <w:r w:rsidR="00CC1800" w:rsidRPr="00CC1800">
          <w:rPr>
            <w:color w:val="0000FF"/>
            <w:u w:val="single"/>
            <w:rtl/>
          </w:rPr>
          <w:t>ת"פ (כ"ס) 59087-01-18</w:t>
        </w:r>
      </w:hyperlink>
      <w:r w:rsidRPr="00E279D4">
        <w:rPr>
          <w:rFonts w:hint="cs"/>
          <w:color w:val="auto"/>
          <w:rtl/>
        </w:rPr>
        <w:t xml:space="preserve"> </w:t>
      </w:r>
      <w:r w:rsidRPr="00E279D4">
        <w:rPr>
          <w:rFonts w:hint="cs"/>
          <w:b/>
          <w:bCs/>
          <w:color w:val="auto"/>
          <w:rtl/>
        </w:rPr>
        <w:t xml:space="preserve">מדינת ישראל נ' טל סביון </w:t>
      </w:r>
      <w:r w:rsidRPr="00E279D4">
        <w:rPr>
          <w:rFonts w:hint="cs"/>
          <w:color w:val="auto"/>
          <w:rtl/>
        </w:rPr>
        <w:t xml:space="preserve">(11.6.19) - הנאשם הורשע בעבירות של גידול, יצור והכנת סמים מסוכנים והחזקת כלים להכנת סם שלא לצריכה עצמית. הנאשם גידל בדירתו 209 שתילי סם מסוג קנבוס, במשקל של 2.9 ק"ג, בחדרים ייעודיים לכך. בית ת המשפט קבע כי מתחם העונש ההולם נע בין 7 חודשי מאסר שיכול וירוצו בעבודות שירות ועד </w:t>
      </w:r>
      <w:r w:rsidRPr="00325770">
        <w:rPr>
          <w:rFonts w:hint="cs"/>
          <w:color w:val="auto"/>
          <w:rtl/>
        </w:rPr>
        <w:t xml:space="preserve">ל-15 חודשי מאסר, לצד רכיבי ענישה נלווים. </w:t>
      </w:r>
      <w:r>
        <w:rPr>
          <w:rFonts w:hint="cs"/>
          <w:color w:val="auto"/>
          <w:rtl/>
        </w:rPr>
        <w:t xml:space="preserve">עונשו של הנאשם נגזר לעונש </w:t>
      </w:r>
      <w:r w:rsidRPr="00325770">
        <w:rPr>
          <w:rFonts w:hint="cs"/>
          <w:color w:val="auto"/>
          <w:rtl/>
        </w:rPr>
        <w:t>של חודשיים מאסר בפועל לריצוי בעבודות שירות, מאסרים מותנים, 3 חודשי פסילת רישיון נהיגה על תנאי למשך 3 שנים, קנס כספי בסך 2,000 ₪ או 15 ימי מאסר תמורתו, וחילוט של 3,000 ₪ לטובת אוצר המדינה בהסכמת הצדדים.</w:t>
      </w:r>
    </w:p>
    <w:p w14:paraId="1860DF0C" w14:textId="77777777" w:rsidR="00041AAC" w:rsidRDefault="00CC1800" w:rsidP="00041AAC">
      <w:pPr>
        <w:spacing w:after="160" w:line="360" w:lineRule="auto"/>
        <w:ind w:left="720"/>
        <w:jc w:val="both"/>
        <w:rPr>
          <w:rFonts w:ascii="David" w:hAnsi="David"/>
          <w:rtl/>
        </w:rPr>
      </w:pPr>
      <w:hyperlink r:id="rId23" w:history="1">
        <w:r w:rsidRPr="00CC1800">
          <w:rPr>
            <w:rFonts w:ascii="David" w:hAnsi="David" w:cs="Times New Roman"/>
            <w:color w:val="0000FF"/>
            <w:u w:val="single"/>
            <w:rtl/>
          </w:rPr>
          <w:t>עפ"ג 22919-03-18</w:t>
        </w:r>
      </w:hyperlink>
      <w:r w:rsidR="00041AAC" w:rsidRPr="00E43B36">
        <w:rPr>
          <w:rFonts w:ascii="David" w:hAnsi="David"/>
          <w:rtl/>
        </w:rPr>
        <w:t xml:space="preserve"> </w:t>
      </w:r>
      <w:r w:rsidR="00041AAC" w:rsidRPr="00E43B36">
        <w:rPr>
          <w:rFonts w:ascii="David" w:hAnsi="David"/>
          <w:b/>
          <w:bCs/>
          <w:rtl/>
        </w:rPr>
        <w:t>מדינת ישראל נ' חכים</w:t>
      </w:r>
      <w:r w:rsidR="00041AAC" w:rsidRPr="00E43B36">
        <w:rPr>
          <w:rFonts w:ascii="David" w:hAnsi="David"/>
          <w:rtl/>
        </w:rPr>
        <w:t xml:space="preserve"> (29.5.18) – בית משפט השלום הרשיע את הנאשם, לפי הודאתו, בעבירה של גידול סמים. הנאשם הקים מעבדה לייצור סמים בה נתפס סם מסוג קנבוס במשקל של 33 קילוגרם. בית המשפט קבע כי מתחם העונש ההולם כולל מאסר לתקופה הנעה בין 12 – 36 חודשים, אולם בחריגה ממתחם העונש ההולם, ומטעמי שיקום, הטיל עליו מאסר לתקופה של 6 חודשים בדרך של עבודות שירות, לצד ענישה נלווית. בית המשפט המחוזי דחה את ערעור התביעה, בשל הליך השיקום.</w:t>
      </w:r>
    </w:p>
    <w:p w14:paraId="57599604" w14:textId="77777777" w:rsidR="00041AAC" w:rsidRPr="00E279D4" w:rsidRDefault="00CC1800" w:rsidP="00041AAC">
      <w:pPr>
        <w:spacing w:after="160" w:line="360" w:lineRule="auto"/>
        <w:ind w:left="720"/>
        <w:jc w:val="both"/>
        <w:rPr>
          <w:rFonts w:ascii="David" w:hAnsi="David"/>
        </w:rPr>
      </w:pPr>
      <w:hyperlink r:id="rId24" w:history="1">
        <w:r w:rsidRPr="00CC1800">
          <w:rPr>
            <w:rFonts w:ascii="David" w:hAnsi="David" w:cs="Times New Roman"/>
            <w:color w:val="0000FF"/>
            <w:u w:val="single"/>
            <w:rtl/>
          </w:rPr>
          <w:t>עפ"ג (מרכז) 34383-10-16</w:t>
        </w:r>
      </w:hyperlink>
      <w:r w:rsidR="00041AAC" w:rsidRPr="00E279D4">
        <w:rPr>
          <w:rFonts w:ascii="David" w:hAnsi="David"/>
          <w:rtl/>
        </w:rPr>
        <w:t xml:space="preserve"> </w:t>
      </w:r>
      <w:r w:rsidR="00041AAC" w:rsidRPr="00E279D4">
        <w:rPr>
          <w:rFonts w:ascii="David" w:hAnsi="David"/>
          <w:b/>
          <w:bCs/>
          <w:rtl/>
        </w:rPr>
        <w:t>מדינת ישראל נ' קדר</w:t>
      </w:r>
      <w:r w:rsidR="00041AAC" w:rsidRPr="00E279D4">
        <w:rPr>
          <w:rFonts w:ascii="David" w:hAnsi="David"/>
          <w:rtl/>
        </w:rPr>
        <w:t xml:space="preserve"> (12.2.17) – בית משפט השלום הרשיע את הנאשם, לפי הודאתו, בעבירות של גידול סמים, החזקת כלים להכנת סם והחזקת סם מסוכן שלא לצריכה עצמית. הנאשם גידל שתילי קנבוס במשקל של 25 קילוגרם. בית המשפט השלום גזר על הנאשם מאסר בפועל לתקופה של 6 חודשים בדרך של עבודות שירות, בחריגה מהמתחם מטעמי שיקום, מאסר על תנאי וקנס בסכום של 7,000 ₪. בית המשפט המחוזי קבע כי מתחם העונש ההולם כולל מאסר לתקופה הנעה בין 10 – 26 חודשים וגזר על הנאשם עונש של מאסר לתקופה של 8 חודשים בשל הליך השיקום.</w:t>
      </w:r>
    </w:p>
    <w:p w14:paraId="22DCFC4F" w14:textId="77777777" w:rsidR="00041AAC" w:rsidRPr="00E43B36" w:rsidRDefault="00CC1800" w:rsidP="00041AAC">
      <w:pPr>
        <w:spacing w:after="160" w:line="360" w:lineRule="auto"/>
        <w:ind w:left="720"/>
        <w:jc w:val="both"/>
        <w:rPr>
          <w:rFonts w:ascii="David" w:hAnsi="David"/>
          <w:rtl/>
        </w:rPr>
      </w:pPr>
      <w:hyperlink r:id="rId25" w:history="1">
        <w:r w:rsidRPr="00CC1800">
          <w:rPr>
            <w:rFonts w:ascii="David" w:hAnsi="David" w:cs="Times New Roman"/>
            <w:color w:val="0000FF"/>
            <w:u w:val="single"/>
            <w:rtl/>
          </w:rPr>
          <w:t>רע"פ 6869/17</w:t>
        </w:r>
      </w:hyperlink>
      <w:r w:rsidR="00041AAC" w:rsidRPr="00E43B36">
        <w:rPr>
          <w:rFonts w:ascii="David" w:hAnsi="David"/>
          <w:rtl/>
        </w:rPr>
        <w:t xml:space="preserve"> </w:t>
      </w:r>
      <w:r w:rsidR="00041AAC" w:rsidRPr="00E43B36">
        <w:rPr>
          <w:rFonts w:ascii="David" w:hAnsi="David"/>
          <w:b/>
          <w:bCs/>
          <w:rtl/>
        </w:rPr>
        <w:t>פילברג נ' מדינת ישראל</w:t>
      </w:r>
      <w:r w:rsidR="00041AAC" w:rsidRPr="00E43B36">
        <w:rPr>
          <w:rFonts w:ascii="David" w:hAnsi="David"/>
          <w:rtl/>
        </w:rPr>
        <w:t xml:space="preserve"> (11.9.17) – בית משפט השלום הרשיע את הנאשם, לפי הודאתו, בגידול סמים ובהחזקת כלים להכנת סמים. הנאשם הקים בביתו מעבדת סמים ובה נתפסו שתילי קנבוס במשקל של 19 קילוגרם. בית המשפט קבע כי מתחם העונש ההולם כולל מאסר לתקופה הנעה בין 12 – 36 חודשים, אך משיקולי שיקום הטיל עליו עונש מאסר לתקופה של 6 חודשים בדרך של עבודות שירות, קנס בסכום של 10,000 ₪ וענישה נלווית. בית המשפט המחוזי קיבל את ערעור התביעה על קולת העונש, וגזר על הנאשם מאסר לתקופה של 9 חודשים. בית המשפט העליון דחה את בקשתו של הנאשם להרשות ערעור.</w:t>
      </w:r>
    </w:p>
    <w:p w14:paraId="12C828E9" w14:textId="77777777" w:rsidR="00041AAC" w:rsidRPr="00E43B36" w:rsidRDefault="00CC1800" w:rsidP="00041AAC">
      <w:pPr>
        <w:pStyle w:val="1"/>
        <w:spacing w:line="360" w:lineRule="auto"/>
        <w:jc w:val="both"/>
        <w:rPr>
          <w:rFonts w:ascii="David" w:eastAsia="Calibri" w:hAnsi="David" w:cs="David"/>
          <w:rtl/>
        </w:rPr>
      </w:pPr>
      <w:hyperlink r:id="rId26" w:history="1">
        <w:r w:rsidRPr="00CC1800">
          <w:rPr>
            <w:rFonts w:ascii="David" w:eastAsia="Calibri" w:hAnsi="David" w:cs="David"/>
            <w:color w:val="0000FF"/>
            <w:u w:val="single"/>
            <w:rtl/>
          </w:rPr>
          <w:t>רע"פ 1787/15</w:t>
        </w:r>
      </w:hyperlink>
      <w:r w:rsidR="00041AAC" w:rsidRPr="00E43B36">
        <w:rPr>
          <w:rFonts w:ascii="David" w:eastAsia="Calibri" w:hAnsi="David" w:cs="David"/>
          <w:rtl/>
        </w:rPr>
        <w:t xml:space="preserve"> </w:t>
      </w:r>
      <w:r w:rsidR="00041AAC" w:rsidRPr="00E43B36">
        <w:rPr>
          <w:rFonts w:ascii="David" w:eastAsia="Calibri" w:hAnsi="David" w:cs="David"/>
          <w:b/>
          <w:bCs/>
          <w:rtl/>
        </w:rPr>
        <w:t>עמר נ' מדינת ישראל</w:t>
      </w:r>
      <w:r w:rsidR="00041AAC" w:rsidRPr="00E43B36">
        <w:rPr>
          <w:rFonts w:ascii="David" w:eastAsia="Calibri" w:hAnsi="David" w:cs="David"/>
          <w:rtl/>
        </w:rPr>
        <w:t xml:space="preserve"> </w:t>
      </w:r>
      <w:r w:rsidR="00041AAC" w:rsidRPr="00E43B36">
        <w:rPr>
          <w:rFonts w:ascii="David" w:eastAsia="Calibri" w:hAnsi="David" w:cs="David"/>
          <w:sz w:val="22"/>
          <w:rtl/>
        </w:rPr>
        <w:t xml:space="preserve"> </w:t>
      </w:r>
      <w:r w:rsidR="00041AAC" w:rsidRPr="00E43B36">
        <w:rPr>
          <w:rFonts w:ascii="David" w:eastAsia="Calibri" w:hAnsi="David" w:cs="David"/>
          <w:rtl/>
        </w:rPr>
        <w:t xml:space="preserve">(24.3.15), בו הוטלו על הנאשם 8 חודשי מאסר בשל גידול שתילי קנבוס במשקל 4,380 גרם והחזקה של כ-2.5 ק"ג סם מסוג קנבוס שלא לשימוש עצמי. יצוין כי בית המשפט העליון ראה במתחם שנקבע בבית המשפט השלום (8-20 חודשי מאסר) כראוי ונכון. </w:t>
      </w:r>
    </w:p>
    <w:p w14:paraId="23D62DB1" w14:textId="77777777" w:rsidR="00041AAC" w:rsidRPr="00E43B36" w:rsidRDefault="00041AAC" w:rsidP="00041AAC">
      <w:pPr>
        <w:spacing w:after="160" w:line="360" w:lineRule="auto"/>
        <w:jc w:val="both"/>
        <w:rPr>
          <w:rFonts w:ascii="David" w:hAnsi="David"/>
          <w:rtl/>
        </w:rPr>
      </w:pPr>
      <w:r w:rsidRPr="00E43B36">
        <w:rPr>
          <w:rFonts w:ascii="David" w:hAnsi="David"/>
          <w:rtl/>
        </w:rPr>
        <w:tab/>
      </w:r>
    </w:p>
    <w:p w14:paraId="6AA397DF" w14:textId="77777777" w:rsidR="00041AAC" w:rsidRPr="00E43B36" w:rsidRDefault="00CC1800" w:rsidP="00041AAC">
      <w:pPr>
        <w:pStyle w:val="1"/>
        <w:spacing w:line="360" w:lineRule="auto"/>
        <w:jc w:val="both"/>
        <w:rPr>
          <w:rFonts w:ascii="David" w:eastAsia="Calibri" w:hAnsi="David" w:cs="David"/>
        </w:rPr>
      </w:pPr>
      <w:hyperlink r:id="rId27" w:history="1">
        <w:r w:rsidRPr="00CC1800">
          <w:rPr>
            <w:rFonts w:ascii="David" w:eastAsia="Calibri" w:hAnsi="David" w:cs="David"/>
            <w:color w:val="0000FF"/>
            <w:u w:val="single"/>
            <w:rtl/>
          </w:rPr>
          <w:t>עפ"ג 42358-10-14</w:t>
        </w:r>
      </w:hyperlink>
      <w:r w:rsidR="00041AAC" w:rsidRPr="00E43B36">
        <w:rPr>
          <w:rFonts w:ascii="David" w:eastAsia="Calibri" w:hAnsi="David" w:cs="David"/>
          <w:rtl/>
        </w:rPr>
        <w:t xml:space="preserve"> </w:t>
      </w:r>
      <w:r w:rsidR="00041AAC" w:rsidRPr="00E43B36">
        <w:rPr>
          <w:rFonts w:ascii="David" w:eastAsia="Calibri" w:hAnsi="David" w:cs="David"/>
          <w:b/>
          <w:bCs/>
          <w:rtl/>
        </w:rPr>
        <w:t>גיא נ' מדינת ישראל</w:t>
      </w:r>
      <w:r w:rsidR="00041AAC" w:rsidRPr="00E43B36">
        <w:rPr>
          <w:rFonts w:ascii="David" w:eastAsia="Calibri" w:hAnsi="David" w:cs="David"/>
          <w:rtl/>
        </w:rPr>
        <w:t xml:space="preserve"> </w:t>
      </w:r>
      <w:r w:rsidR="00041AAC" w:rsidRPr="00E43B36">
        <w:rPr>
          <w:rFonts w:ascii="David" w:eastAsia="Calibri" w:hAnsi="David" w:cs="David"/>
          <w:sz w:val="22"/>
          <w:rtl/>
        </w:rPr>
        <w:t xml:space="preserve"> </w:t>
      </w:r>
      <w:r w:rsidR="00041AAC" w:rsidRPr="00E43B36">
        <w:rPr>
          <w:rFonts w:ascii="David" w:eastAsia="Calibri" w:hAnsi="David" w:cs="David"/>
          <w:rtl/>
        </w:rPr>
        <w:t xml:space="preserve">(18.2.15), בו נדחה ערעור נאשם על חומרת עונשו – 8 חודשי מאסר והפעלת מאסר מותנה – בגין עבירה של גידול סם מסוג קנבוס במשקל 5.5 ק"ג והחזקת כלים לגידול הסם. יצוין כי בית המשפט המחוזי קבע שמתחם העונש שנקבע   (7-20 חודשי מאסר) הוא ראוי. </w:t>
      </w:r>
    </w:p>
    <w:p w14:paraId="2106252C" w14:textId="77777777" w:rsidR="00041AAC" w:rsidRDefault="00041AAC" w:rsidP="00041AAC">
      <w:pPr>
        <w:spacing w:after="160" w:line="360" w:lineRule="auto"/>
        <w:jc w:val="both"/>
        <w:rPr>
          <w:rtl/>
        </w:rPr>
      </w:pPr>
      <w:r w:rsidRPr="00E43B36">
        <w:rPr>
          <w:rFonts w:ascii="David" w:hAnsi="David"/>
          <w:rtl/>
        </w:rPr>
        <w:tab/>
      </w:r>
    </w:p>
    <w:p w14:paraId="03CCD6B0" w14:textId="77777777" w:rsidR="00041AAC" w:rsidRPr="009F4FD1" w:rsidRDefault="00041AAC" w:rsidP="00041AAC">
      <w:pPr>
        <w:pStyle w:val="aa"/>
        <w:numPr>
          <w:ilvl w:val="0"/>
          <w:numId w:val="5"/>
        </w:numPr>
        <w:spacing w:after="160" w:line="360" w:lineRule="auto"/>
        <w:jc w:val="both"/>
        <w:rPr>
          <w:b/>
          <w:bCs/>
        </w:rPr>
      </w:pPr>
      <w:r w:rsidRPr="009F4FD1">
        <w:rPr>
          <w:rFonts w:hint="cs"/>
          <w:b/>
          <w:bCs/>
          <w:rtl/>
        </w:rPr>
        <w:t xml:space="preserve">בשים לב לאמור אני קובעת כי בנסיבות תיק זה מתחם העונש ההולם נע בין עונש של 9  חודשי מאסר שניתן לשאת בדרך של עבודות שירות לבין עונש של 24 חודשי מאסר ברף העליון בצירוף ענישה נלווית. </w:t>
      </w:r>
    </w:p>
    <w:p w14:paraId="6454DF46" w14:textId="77777777" w:rsidR="00041AAC" w:rsidRDefault="00041AAC" w:rsidP="00041AAC">
      <w:pPr>
        <w:pStyle w:val="aa"/>
        <w:spacing w:after="160" w:line="360" w:lineRule="auto"/>
        <w:jc w:val="both"/>
      </w:pPr>
    </w:p>
    <w:p w14:paraId="27066942" w14:textId="77777777" w:rsidR="00041AAC" w:rsidRDefault="00041AAC" w:rsidP="00041AAC">
      <w:pPr>
        <w:pStyle w:val="aa"/>
        <w:numPr>
          <w:ilvl w:val="0"/>
          <w:numId w:val="5"/>
        </w:numPr>
        <w:spacing w:after="160" w:line="360" w:lineRule="auto"/>
        <w:jc w:val="both"/>
      </w:pPr>
      <w:r>
        <w:rPr>
          <w:rFonts w:hint="cs"/>
          <w:rtl/>
        </w:rPr>
        <w:t xml:space="preserve">בהתאם </w:t>
      </w:r>
      <w:hyperlink r:id="rId28" w:history="1">
        <w:r w:rsidR="0034256C" w:rsidRPr="0034256C">
          <w:rPr>
            <w:rStyle w:val="Hyperlink"/>
            <w:rFonts w:cs="David" w:hint="eastAsia"/>
            <w:rtl/>
          </w:rPr>
          <w:t>לסעיף</w:t>
        </w:r>
        <w:r w:rsidR="0034256C" w:rsidRPr="0034256C">
          <w:rPr>
            <w:rStyle w:val="Hyperlink"/>
            <w:rFonts w:cs="David"/>
            <w:rtl/>
          </w:rPr>
          <w:t xml:space="preserve"> 40ד'</w:t>
        </w:r>
      </w:hyperlink>
      <w:r>
        <w:rPr>
          <w:rFonts w:hint="cs"/>
          <w:rtl/>
        </w:rPr>
        <w:t xml:space="preserve"> ל</w:t>
      </w:r>
      <w:hyperlink r:id="rId29" w:history="1">
        <w:r w:rsidR="00CC1800" w:rsidRPr="00CC1800">
          <w:rPr>
            <w:color w:val="0000FF"/>
            <w:u w:val="single"/>
            <w:rtl/>
          </w:rPr>
          <w:t>חוק העונשין</w:t>
        </w:r>
      </w:hyperlink>
      <w:r>
        <w:rPr>
          <w:rFonts w:hint="cs"/>
          <w:rtl/>
        </w:rPr>
        <w:t xml:space="preserve"> רשאי בית המשפט לחרוג לקולה ממתחם העונש ההולם שקבע, אם מצא כי "</w:t>
      </w:r>
      <w:r w:rsidRPr="00E279D4">
        <w:rPr>
          <w:rFonts w:ascii="Miriam" w:hAnsi="Miriam" w:cs="Miriam"/>
          <w:rtl/>
        </w:rPr>
        <w:t xml:space="preserve">הנאשם השתקם או כי יש סיכוי של ממש שישתקם". </w:t>
      </w:r>
      <w:r>
        <w:rPr>
          <w:rFonts w:hint="cs"/>
          <w:rtl/>
        </w:rPr>
        <w:t xml:space="preserve">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30" w:history="1">
        <w:r w:rsidR="00CC1800" w:rsidRPr="00CC1800">
          <w:rPr>
            <w:color w:val="0000FF"/>
            <w:u w:val="single"/>
            <w:rtl/>
          </w:rPr>
          <w:t>רע"פ 7683/13</w:t>
        </w:r>
      </w:hyperlink>
      <w:r>
        <w:rPr>
          <w:rFonts w:hint="cs"/>
          <w:rtl/>
        </w:rPr>
        <w:t xml:space="preserve"> </w:t>
      </w:r>
      <w:r w:rsidRPr="00E279D4">
        <w:rPr>
          <w:rFonts w:hint="cs"/>
          <w:b/>
          <w:bCs/>
          <w:rtl/>
        </w:rPr>
        <w:t>דוד פרלמן נ' מדינת ישראל</w:t>
      </w:r>
      <w:r>
        <w:rPr>
          <w:rFonts w:hint="cs"/>
          <w:rtl/>
        </w:rPr>
        <w:t xml:space="preserve"> (23.2.14)). </w:t>
      </w:r>
    </w:p>
    <w:p w14:paraId="3C00C0E0" w14:textId="77777777" w:rsidR="00041AAC" w:rsidRDefault="00041AAC" w:rsidP="00041AAC">
      <w:pPr>
        <w:pStyle w:val="aa"/>
        <w:spacing w:line="360" w:lineRule="auto"/>
        <w:jc w:val="both"/>
        <w:rPr>
          <w:rtl/>
        </w:rPr>
      </w:pPr>
    </w:p>
    <w:p w14:paraId="03F41830" w14:textId="77777777" w:rsidR="00041AAC" w:rsidRDefault="00041AAC" w:rsidP="00041AAC">
      <w:pPr>
        <w:pStyle w:val="aa"/>
        <w:numPr>
          <w:ilvl w:val="0"/>
          <w:numId w:val="5"/>
        </w:numPr>
        <w:spacing w:line="360" w:lineRule="auto"/>
        <w:jc w:val="both"/>
      </w:pPr>
      <w:r>
        <w:rPr>
          <w:rFonts w:hint="cs"/>
          <w:rtl/>
        </w:rPr>
        <w:t xml:space="preserve">בנסיבות תיק זה הרי שניתן היה להיווכח מחד מחוסר יציבות בהליך הטיפולי, אך לא ניתן להתעלם מהדרך הטיפולית שעשה הנאשם כמפורט בכל תסקירי שירות המבחן. לא נעלמו מעיני הפרטים אותם מסר שירות המבחן במהלך הטיפול לפיהם נמצאו שרידי סם ואולם אני סבורה שבסופו של דבר נוכח ההליך הארוך אותו סיים הנאשם בחלקו יש בו כדי ללמד שהנאשם יכול ומסוגל לשמור על יציבות טיפולית ולהתגייס באופן מלא להליך הטיפולי. </w:t>
      </w:r>
    </w:p>
    <w:p w14:paraId="46508F80" w14:textId="77777777" w:rsidR="00041AAC" w:rsidRDefault="00041AAC" w:rsidP="00041AAC">
      <w:pPr>
        <w:pStyle w:val="aa"/>
        <w:rPr>
          <w:rtl/>
        </w:rPr>
      </w:pPr>
    </w:p>
    <w:p w14:paraId="1B9E05D5" w14:textId="77777777" w:rsidR="00041AAC" w:rsidRPr="004F2970" w:rsidRDefault="00041AAC" w:rsidP="00041AAC">
      <w:pPr>
        <w:pStyle w:val="aa"/>
        <w:numPr>
          <w:ilvl w:val="0"/>
          <w:numId w:val="5"/>
        </w:numPr>
        <w:spacing w:line="360" w:lineRule="auto"/>
        <w:jc w:val="both"/>
        <w:rPr>
          <w:rFonts w:ascii="Arial" w:hAnsi="Arial"/>
          <w:sz w:val="26"/>
          <w:szCs w:val="26"/>
          <w:rtl/>
        </w:rPr>
      </w:pPr>
      <w:r w:rsidRPr="004F2970">
        <w:rPr>
          <w:rFonts w:ascii="David" w:hAnsi="David" w:hint="cs"/>
          <w:rtl/>
        </w:rPr>
        <w:t xml:space="preserve">כאמור, שירות המבחן המליץ להימנע מהטלת מאסר מאחורי  סורג ובריח נוכח הפגיעה הצפויה בהישגיו של הנאשם בהליך הטיפולי וממליץ על הטלת עונש מאסר בדרך של עבודות שירות. </w:t>
      </w:r>
      <w:r w:rsidRPr="004F2970">
        <w:rPr>
          <w:rFonts w:ascii="Arial" w:hAnsi="Arial" w:hint="cs"/>
          <w:sz w:val="26"/>
          <w:szCs w:val="26"/>
          <w:rtl/>
        </w:rPr>
        <w:t xml:space="preserve"> </w:t>
      </w:r>
      <w:r>
        <w:rPr>
          <w:rtl/>
        </w:rPr>
        <w:t xml:space="preserve">שירות המבחן הוא הגוף המקצועי האמון על שיקום נאשמים ועל הערכת הסיכויים לכך וקצין המבחן משמש כזרועו הארוכה של בית המשפט לעניין זה. </w:t>
      </w:r>
      <w:r>
        <w:rPr>
          <w:rFonts w:hint="cs"/>
          <w:rtl/>
        </w:rPr>
        <w:t xml:space="preserve">בית המשפט אינו חייב </w:t>
      </w:r>
      <w:r>
        <w:rPr>
          <w:rtl/>
        </w:rPr>
        <w:t>לאמץ את המלצת שירות המבחן</w:t>
      </w:r>
      <w:r>
        <w:rPr>
          <w:rFonts w:hint="cs"/>
          <w:rtl/>
        </w:rPr>
        <w:t xml:space="preserve"> ואולם להמלצה המקצועית של שירות המבחן יש משקל של ממש בבוא בית המשפט לגזור את דינו של הנאשם, בשים לב לעובדה כי קיימים  סיכויי שיקום ועל בית המשפט לשקול גם שיקולי ענישה אחרים  לעניין זה ראו רע"פ </w:t>
      </w:r>
      <w:hyperlink r:id="rId31" w:history="1">
        <w:r w:rsidR="006976C5" w:rsidRPr="006976C5">
          <w:rPr>
            <w:color w:val="0000FF"/>
            <w:u w:val="single"/>
            <w:rtl/>
          </w:rPr>
          <w:t xml:space="preserve">750/21 </w:t>
        </w:r>
      </w:hyperlink>
      <w:r>
        <w:rPr>
          <w:rFonts w:hint="cs"/>
          <w:rtl/>
        </w:rPr>
        <w:t xml:space="preserve"> </w:t>
      </w:r>
      <w:r w:rsidRPr="004F2970">
        <w:rPr>
          <w:rFonts w:hint="cs"/>
          <w:b/>
          <w:bCs/>
          <w:rtl/>
        </w:rPr>
        <w:t>מנשירוב נ' מדינת ישראל</w:t>
      </w:r>
      <w:r>
        <w:rPr>
          <w:rFonts w:hint="cs"/>
          <w:rtl/>
        </w:rPr>
        <w:t xml:space="preserve"> (28.10.2021); ע"פ 126/21 </w:t>
      </w:r>
      <w:r w:rsidRPr="004F2970">
        <w:rPr>
          <w:rFonts w:hint="cs"/>
          <w:b/>
          <w:bCs/>
          <w:rtl/>
        </w:rPr>
        <w:t>מדינת ישראל נ' פלוני</w:t>
      </w:r>
      <w:r>
        <w:rPr>
          <w:rFonts w:hint="cs"/>
          <w:rtl/>
        </w:rPr>
        <w:t xml:space="preserve"> (27.4.2022)).</w:t>
      </w:r>
    </w:p>
    <w:p w14:paraId="1852782D" w14:textId="77777777" w:rsidR="00041AAC" w:rsidRDefault="00041AAC" w:rsidP="00041AAC">
      <w:pPr>
        <w:jc w:val="both"/>
        <w:rPr>
          <w:rFonts w:ascii="Arial" w:hAnsi="Arial"/>
          <w:sz w:val="26"/>
          <w:szCs w:val="26"/>
          <w:rtl/>
        </w:rPr>
      </w:pPr>
    </w:p>
    <w:p w14:paraId="2ED907E0" w14:textId="77777777" w:rsidR="00041AAC" w:rsidRDefault="00041AAC" w:rsidP="00041AAC">
      <w:pPr>
        <w:jc w:val="both"/>
        <w:rPr>
          <w:rFonts w:ascii="Arial" w:hAnsi="Arial"/>
          <w:sz w:val="26"/>
          <w:szCs w:val="26"/>
          <w:rtl/>
        </w:rPr>
      </w:pPr>
    </w:p>
    <w:p w14:paraId="570FF8B0" w14:textId="77777777" w:rsidR="00041AAC" w:rsidRDefault="00041AAC" w:rsidP="00041AAC">
      <w:pPr>
        <w:jc w:val="both"/>
        <w:rPr>
          <w:rFonts w:ascii="Arial" w:hAnsi="Arial"/>
          <w:sz w:val="26"/>
          <w:szCs w:val="26"/>
          <w:rtl/>
        </w:rPr>
      </w:pPr>
    </w:p>
    <w:p w14:paraId="1AC44963" w14:textId="77777777" w:rsidR="00041AAC" w:rsidRPr="00067659" w:rsidRDefault="00041AAC" w:rsidP="00041AAC">
      <w:pPr>
        <w:pStyle w:val="aa"/>
        <w:numPr>
          <w:ilvl w:val="0"/>
          <w:numId w:val="5"/>
        </w:numPr>
        <w:spacing w:line="360" w:lineRule="auto"/>
        <w:jc w:val="both"/>
        <w:rPr>
          <w:rFonts w:ascii="David" w:hAnsi="David"/>
        </w:rPr>
      </w:pPr>
      <w:r>
        <w:rPr>
          <w:rFonts w:hint="cs"/>
          <w:rtl/>
        </w:rPr>
        <w:t xml:space="preserve">בעניינו של הנאשם החלטתי לחרוג ממתחם העונש ההולם אותו קבעתי בשל שיקולי שיקום תוך שנתתי דעתי לנזק הצפוי לשיקום הנאשם ככל שיושת על הנאשם עונש של מאסר בפועל מאחורי סורג ובריח.  לצד זאת נתתי משקל לקולה שלנאשם אין עבר פלילי והודה בהזדמנות הראשונה ונטל אחריות והביע צער על מעשיו. כמו כן יש לתת משקל לעובדה שהנאשם שהה בתנאים מגבילים תקופה ממושכת ועל כן  אני סבורה כי ניתן לאמץ את המלצת שירות המבחן במלואה ולהימנע מהטלת עונש מאסר בפועל ולהשית על הנאשם עונש מאסר בדרך של עבודות שירות. </w:t>
      </w:r>
    </w:p>
    <w:p w14:paraId="77401F72" w14:textId="77777777" w:rsidR="00041AAC" w:rsidRDefault="00041AAC" w:rsidP="00041AAC">
      <w:pPr>
        <w:pStyle w:val="aa"/>
        <w:spacing w:before="120" w:after="120" w:line="360" w:lineRule="auto"/>
        <w:ind w:left="0"/>
        <w:jc w:val="both"/>
        <w:rPr>
          <w:rtl/>
        </w:rPr>
      </w:pPr>
    </w:p>
    <w:p w14:paraId="7203595D" w14:textId="77777777" w:rsidR="00041AAC" w:rsidRDefault="00041AAC" w:rsidP="00041AAC">
      <w:pPr>
        <w:pStyle w:val="aa"/>
        <w:spacing w:before="120" w:after="120" w:line="360" w:lineRule="auto"/>
        <w:ind w:left="0"/>
        <w:jc w:val="both"/>
        <w:rPr>
          <w:rtl/>
        </w:rPr>
      </w:pPr>
    </w:p>
    <w:p w14:paraId="058835DB" w14:textId="77777777" w:rsidR="00041AAC" w:rsidRDefault="00041AAC" w:rsidP="00041AAC">
      <w:pPr>
        <w:pStyle w:val="aa"/>
        <w:spacing w:before="120" w:after="120" w:line="360" w:lineRule="auto"/>
        <w:ind w:left="0"/>
        <w:jc w:val="both"/>
        <w:rPr>
          <w:rtl/>
        </w:rPr>
      </w:pPr>
    </w:p>
    <w:p w14:paraId="5586C9C8" w14:textId="77777777" w:rsidR="00041AAC" w:rsidRDefault="00041AAC" w:rsidP="00041AAC">
      <w:pPr>
        <w:pStyle w:val="aa"/>
        <w:spacing w:before="120" w:after="120" w:line="360" w:lineRule="auto"/>
        <w:ind w:left="0"/>
        <w:jc w:val="both"/>
        <w:rPr>
          <w:rtl/>
        </w:rPr>
      </w:pPr>
    </w:p>
    <w:p w14:paraId="2EF7D27A" w14:textId="77777777" w:rsidR="00041AAC" w:rsidRPr="009F4FD1" w:rsidRDefault="00041AAC" w:rsidP="00041AAC">
      <w:pPr>
        <w:pStyle w:val="aa"/>
        <w:numPr>
          <w:ilvl w:val="0"/>
          <w:numId w:val="5"/>
        </w:numPr>
        <w:spacing w:before="120" w:after="120" w:line="360" w:lineRule="auto"/>
        <w:jc w:val="both"/>
        <w:rPr>
          <w:b/>
          <w:bCs/>
        </w:rPr>
      </w:pPr>
      <w:r w:rsidRPr="009F4FD1">
        <w:rPr>
          <w:b/>
          <w:bCs/>
          <w:rtl/>
        </w:rPr>
        <w:t>סיכומו של דבר, לאחר שבחנתי את מכלול השיקולים, הן לקולה והן לחומרה, אני מטיל</w:t>
      </w:r>
      <w:r w:rsidRPr="009F4FD1">
        <w:rPr>
          <w:rFonts w:hint="cs"/>
          <w:b/>
          <w:bCs/>
          <w:rtl/>
        </w:rPr>
        <w:t>ה</w:t>
      </w:r>
      <w:r w:rsidRPr="009F4FD1">
        <w:rPr>
          <w:b/>
          <w:bCs/>
          <w:rtl/>
        </w:rPr>
        <w:t xml:space="preserve"> על הנאשם את העונשים הבאים:</w:t>
      </w:r>
    </w:p>
    <w:p w14:paraId="74525D78" w14:textId="77777777" w:rsidR="00041AAC" w:rsidRPr="00BC6034" w:rsidRDefault="00041AAC" w:rsidP="00041AAC">
      <w:pPr>
        <w:pStyle w:val="aa"/>
        <w:spacing w:before="120" w:after="120"/>
        <w:ind w:left="0"/>
        <w:jc w:val="both"/>
        <w:rPr>
          <w:rtl/>
        </w:rPr>
      </w:pPr>
    </w:p>
    <w:p w14:paraId="16D8CBEB" w14:textId="77777777" w:rsidR="00041AAC" w:rsidRPr="009F4FD1" w:rsidRDefault="00041AAC" w:rsidP="00041AAC">
      <w:pPr>
        <w:spacing w:line="360" w:lineRule="auto"/>
        <w:ind w:left="720"/>
        <w:jc w:val="both"/>
        <w:rPr>
          <w:rFonts w:ascii="Calibri" w:hAnsi="Calibri"/>
          <w:b/>
          <w:bCs/>
        </w:rPr>
      </w:pPr>
      <w:r w:rsidRPr="009F4FD1">
        <w:rPr>
          <w:rFonts w:ascii="Calibri" w:hAnsi="Calibri" w:hint="cs"/>
          <w:b/>
          <w:bCs/>
          <w:rtl/>
        </w:rPr>
        <w:t xml:space="preserve">עונש של 6 חודשי מאסר אותם יישא הנאשם בדרך של עבודות שירות על פי חוות הדעת של הממונה על עבודות השירות במרכז אזורי לקשיש עכו. הנאשם יתייצב לריצוי עבודות השירות ביום 15.1.23 שעה 08:00 במשרדי הממונה על עבודות השירות. </w:t>
      </w:r>
    </w:p>
    <w:p w14:paraId="1613ABA6" w14:textId="77777777" w:rsidR="00041AAC" w:rsidRDefault="00041AAC" w:rsidP="00041AAC">
      <w:pPr>
        <w:pStyle w:val="aa"/>
        <w:spacing w:line="360" w:lineRule="auto"/>
        <w:jc w:val="both"/>
        <w:rPr>
          <w:rFonts w:ascii="Calibri" w:hAnsi="Calibri"/>
          <w:b/>
          <w:bCs/>
          <w:rtl/>
        </w:rPr>
      </w:pPr>
      <w:r>
        <w:rPr>
          <w:rFonts w:ascii="Calibri" w:hAnsi="Calibri" w:hint="cs"/>
          <w:b/>
          <w:bCs/>
          <w:rtl/>
        </w:rPr>
        <w:t xml:space="preserve">הוסבר לנאשם כי עליו לבצע את עבודות השירות על פי הנחיות ונהלי הממונה על עבודות השירות שאם לא כן, ניתן יהיה להפסיק את עבודות השירות ויתרת המאסר תרוצה מאחורי סורג ובריח. </w:t>
      </w:r>
    </w:p>
    <w:p w14:paraId="0BACB867" w14:textId="77777777" w:rsidR="00041AAC" w:rsidRPr="009F4FD1" w:rsidRDefault="00041AAC" w:rsidP="00041AAC">
      <w:pPr>
        <w:spacing w:line="360" w:lineRule="auto"/>
        <w:jc w:val="both"/>
        <w:rPr>
          <w:rFonts w:ascii="Calibri" w:hAnsi="Calibri"/>
          <w:b/>
          <w:bCs/>
        </w:rPr>
      </w:pPr>
    </w:p>
    <w:p w14:paraId="7C2B0AA0" w14:textId="77777777" w:rsidR="00041AAC" w:rsidRDefault="00041AAC" w:rsidP="00041AAC">
      <w:pPr>
        <w:spacing w:line="360" w:lineRule="auto"/>
        <w:ind w:left="720"/>
        <w:jc w:val="both"/>
        <w:rPr>
          <w:rFonts w:ascii="Calibri" w:hAnsi="Calibri"/>
          <w:b/>
          <w:bCs/>
          <w:rtl/>
        </w:rPr>
      </w:pPr>
      <w:r w:rsidRPr="009F4FD1">
        <w:rPr>
          <w:rFonts w:ascii="Calibri" w:hAnsi="Calibri" w:hint="eastAsia"/>
          <w:b/>
          <w:bCs/>
          <w:rtl/>
        </w:rPr>
        <w:t>אני</w:t>
      </w:r>
      <w:r w:rsidRPr="009F4FD1">
        <w:rPr>
          <w:rFonts w:ascii="Calibri" w:hAnsi="Calibri"/>
          <w:b/>
          <w:bCs/>
          <w:rtl/>
        </w:rPr>
        <w:t xml:space="preserve"> </w:t>
      </w:r>
      <w:r w:rsidRPr="009F4FD1">
        <w:rPr>
          <w:rFonts w:ascii="Calibri" w:hAnsi="Calibri" w:hint="eastAsia"/>
          <w:b/>
          <w:bCs/>
          <w:rtl/>
        </w:rPr>
        <w:t>מעמיד</w:t>
      </w:r>
      <w:r w:rsidRPr="009F4FD1">
        <w:rPr>
          <w:rFonts w:ascii="Calibri" w:hAnsi="Calibri" w:hint="cs"/>
          <w:b/>
          <w:bCs/>
          <w:rtl/>
        </w:rPr>
        <w:t>ה</w:t>
      </w:r>
      <w:r w:rsidRPr="009F4FD1">
        <w:rPr>
          <w:rFonts w:ascii="Calibri" w:hAnsi="Calibri"/>
          <w:b/>
          <w:bCs/>
          <w:rtl/>
        </w:rPr>
        <w:t xml:space="preserve"> </w:t>
      </w:r>
      <w:r w:rsidRPr="009F4FD1">
        <w:rPr>
          <w:rFonts w:ascii="Calibri" w:hAnsi="Calibri" w:hint="eastAsia"/>
          <w:b/>
          <w:bCs/>
          <w:rtl/>
        </w:rPr>
        <w:t>את</w:t>
      </w:r>
      <w:r w:rsidRPr="009F4FD1">
        <w:rPr>
          <w:rFonts w:ascii="Calibri" w:hAnsi="Calibri"/>
          <w:b/>
          <w:bCs/>
          <w:rtl/>
        </w:rPr>
        <w:t xml:space="preserve"> </w:t>
      </w:r>
      <w:r w:rsidRPr="009F4FD1">
        <w:rPr>
          <w:rFonts w:ascii="Calibri" w:hAnsi="Calibri" w:hint="eastAsia"/>
          <w:b/>
          <w:bCs/>
          <w:rtl/>
        </w:rPr>
        <w:t>הנאשם</w:t>
      </w:r>
      <w:r w:rsidRPr="009F4FD1">
        <w:rPr>
          <w:rFonts w:ascii="Calibri" w:hAnsi="Calibri"/>
          <w:b/>
          <w:bCs/>
          <w:rtl/>
        </w:rPr>
        <w:t xml:space="preserve"> </w:t>
      </w:r>
      <w:r w:rsidRPr="009F4FD1">
        <w:rPr>
          <w:rFonts w:ascii="Calibri" w:hAnsi="Calibri" w:hint="eastAsia"/>
          <w:b/>
          <w:bCs/>
          <w:rtl/>
        </w:rPr>
        <w:t>בפיקוח</w:t>
      </w:r>
      <w:r w:rsidRPr="009F4FD1">
        <w:rPr>
          <w:rFonts w:ascii="Calibri" w:hAnsi="Calibri"/>
          <w:b/>
          <w:bCs/>
          <w:rtl/>
        </w:rPr>
        <w:t xml:space="preserve"> </w:t>
      </w:r>
      <w:r w:rsidRPr="009F4FD1">
        <w:rPr>
          <w:rFonts w:ascii="Calibri" w:hAnsi="Calibri" w:hint="eastAsia"/>
          <w:b/>
          <w:bCs/>
          <w:rtl/>
        </w:rPr>
        <w:t>שירות</w:t>
      </w:r>
      <w:r w:rsidRPr="009F4FD1">
        <w:rPr>
          <w:rFonts w:ascii="Calibri" w:hAnsi="Calibri"/>
          <w:b/>
          <w:bCs/>
          <w:rtl/>
        </w:rPr>
        <w:t xml:space="preserve"> </w:t>
      </w:r>
      <w:r w:rsidRPr="009F4FD1">
        <w:rPr>
          <w:rFonts w:ascii="Calibri" w:hAnsi="Calibri" w:hint="eastAsia"/>
          <w:b/>
          <w:bCs/>
          <w:rtl/>
        </w:rPr>
        <w:t>המבחן</w:t>
      </w:r>
      <w:r w:rsidRPr="009F4FD1">
        <w:rPr>
          <w:rFonts w:ascii="Calibri" w:hAnsi="Calibri"/>
          <w:b/>
          <w:bCs/>
          <w:rtl/>
        </w:rPr>
        <w:t xml:space="preserve"> </w:t>
      </w:r>
      <w:r w:rsidRPr="009F4FD1">
        <w:rPr>
          <w:rFonts w:ascii="Calibri" w:hAnsi="Calibri" w:hint="eastAsia"/>
          <w:b/>
          <w:bCs/>
          <w:rtl/>
        </w:rPr>
        <w:t>למשך</w:t>
      </w:r>
      <w:r w:rsidRPr="009F4FD1">
        <w:rPr>
          <w:rFonts w:ascii="Calibri" w:hAnsi="Calibri" w:hint="cs"/>
          <w:b/>
          <w:bCs/>
          <w:rtl/>
        </w:rPr>
        <w:t xml:space="preserve"> 12 </w:t>
      </w:r>
      <w:r w:rsidRPr="009F4FD1">
        <w:rPr>
          <w:rFonts w:ascii="Calibri" w:hAnsi="Calibri"/>
          <w:b/>
          <w:bCs/>
          <w:rtl/>
        </w:rPr>
        <w:t xml:space="preserve"> </w:t>
      </w:r>
      <w:r w:rsidRPr="009F4FD1">
        <w:rPr>
          <w:rFonts w:ascii="Calibri" w:hAnsi="Calibri" w:hint="eastAsia"/>
          <w:b/>
          <w:bCs/>
          <w:rtl/>
        </w:rPr>
        <w:t>חודשים</w:t>
      </w:r>
      <w:r w:rsidRPr="009F4FD1">
        <w:rPr>
          <w:rFonts w:ascii="Calibri" w:hAnsi="Calibri"/>
          <w:b/>
          <w:bCs/>
          <w:rtl/>
        </w:rPr>
        <w:t xml:space="preserve">. </w:t>
      </w:r>
      <w:r w:rsidRPr="009F4FD1">
        <w:rPr>
          <w:rFonts w:ascii="Calibri" w:hAnsi="Calibri" w:hint="eastAsia"/>
          <w:b/>
          <w:bCs/>
          <w:rtl/>
        </w:rPr>
        <w:t>הוסבר</w:t>
      </w:r>
      <w:r w:rsidRPr="009F4FD1">
        <w:rPr>
          <w:rFonts w:ascii="Calibri" w:hAnsi="Calibri"/>
          <w:b/>
          <w:bCs/>
          <w:rtl/>
        </w:rPr>
        <w:t xml:space="preserve"> </w:t>
      </w:r>
      <w:r w:rsidRPr="009F4FD1">
        <w:rPr>
          <w:rFonts w:ascii="Calibri" w:hAnsi="Calibri" w:hint="eastAsia"/>
          <w:b/>
          <w:bCs/>
          <w:rtl/>
        </w:rPr>
        <w:t>לנאשם</w:t>
      </w:r>
      <w:r w:rsidRPr="009F4FD1">
        <w:rPr>
          <w:rFonts w:ascii="Calibri" w:hAnsi="Calibri"/>
          <w:b/>
          <w:bCs/>
          <w:rtl/>
        </w:rPr>
        <w:t xml:space="preserve"> </w:t>
      </w:r>
      <w:r w:rsidRPr="009F4FD1">
        <w:rPr>
          <w:rFonts w:ascii="Calibri" w:hAnsi="Calibri" w:hint="cs"/>
          <w:b/>
          <w:bCs/>
          <w:rtl/>
        </w:rPr>
        <w:t xml:space="preserve">בשפה פשוטה וברורה </w:t>
      </w:r>
      <w:r w:rsidRPr="009F4FD1">
        <w:rPr>
          <w:rFonts w:ascii="Calibri" w:hAnsi="Calibri" w:hint="eastAsia"/>
          <w:b/>
          <w:bCs/>
          <w:rtl/>
        </w:rPr>
        <w:t>שעליו</w:t>
      </w:r>
      <w:r w:rsidRPr="009F4FD1">
        <w:rPr>
          <w:rFonts w:ascii="Calibri" w:hAnsi="Calibri"/>
          <w:b/>
          <w:bCs/>
          <w:rtl/>
        </w:rPr>
        <w:t xml:space="preserve"> </w:t>
      </w:r>
      <w:r w:rsidRPr="009F4FD1">
        <w:rPr>
          <w:rFonts w:ascii="Calibri" w:hAnsi="Calibri" w:hint="eastAsia"/>
          <w:b/>
          <w:bCs/>
          <w:rtl/>
        </w:rPr>
        <w:t>לקיים</w:t>
      </w:r>
      <w:r w:rsidRPr="009F4FD1">
        <w:rPr>
          <w:rFonts w:ascii="Calibri" w:hAnsi="Calibri"/>
          <w:b/>
          <w:bCs/>
          <w:rtl/>
        </w:rPr>
        <w:t xml:space="preserve"> </w:t>
      </w:r>
      <w:r w:rsidRPr="009F4FD1">
        <w:rPr>
          <w:rFonts w:ascii="Calibri" w:hAnsi="Calibri" w:hint="eastAsia"/>
          <w:b/>
          <w:bCs/>
          <w:rtl/>
        </w:rPr>
        <w:t>את</w:t>
      </w:r>
      <w:r w:rsidRPr="009F4FD1">
        <w:rPr>
          <w:rFonts w:ascii="Calibri" w:hAnsi="Calibri"/>
          <w:b/>
          <w:bCs/>
          <w:rtl/>
        </w:rPr>
        <w:t xml:space="preserve"> </w:t>
      </w:r>
      <w:r w:rsidRPr="009F4FD1">
        <w:rPr>
          <w:rFonts w:ascii="Calibri" w:hAnsi="Calibri" w:hint="eastAsia"/>
          <w:b/>
          <w:bCs/>
          <w:rtl/>
        </w:rPr>
        <w:t>הוראות</w:t>
      </w:r>
      <w:r w:rsidRPr="009F4FD1">
        <w:rPr>
          <w:rFonts w:ascii="Calibri" w:hAnsi="Calibri"/>
          <w:b/>
          <w:bCs/>
          <w:rtl/>
        </w:rPr>
        <w:t xml:space="preserve"> </w:t>
      </w:r>
      <w:r w:rsidRPr="009F4FD1">
        <w:rPr>
          <w:rFonts w:ascii="Calibri" w:hAnsi="Calibri" w:hint="eastAsia"/>
          <w:b/>
          <w:bCs/>
          <w:rtl/>
        </w:rPr>
        <w:t>שירות</w:t>
      </w:r>
      <w:r w:rsidRPr="009F4FD1">
        <w:rPr>
          <w:rFonts w:ascii="Calibri" w:hAnsi="Calibri"/>
          <w:b/>
          <w:bCs/>
          <w:rtl/>
        </w:rPr>
        <w:t xml:space="preserve"> </w:t>
      </w:r>
      <w:r w:rsidRPr="009F4FD1">
        <w:rPr>
          <w:rFonts w:ascii="Calibri" w:hAnsi="Calibri" w:hint="eastAsia"/>
          <w:b/>
          <w:bCs/>
          <w:rtl/>
        </w:rPr>
        <w:t>המבחן</w:t>
      </w:r>
      <w:r w:rsidRPr="009F4FD1">
        <w:rPr>
          <w:rFonts w:ascii="Calibri" w:hAnsi="Calibri"/>
          <w:b/>
          <w:bCs/>
          <w:rtl/>
        </w:rPr>
        <w:t xml:space="preserve"> </w:t>
      </w:r>
      <w:r w:rsidRPr="009F4FD1">
        <w:rPr>
          <w:rFonts w:ascii="Calibri" w:hAnsi="Calibri" w:hint="eastAsia"/>
          <w:b/>
          <w:bCs/>
          <w:rtl/>
        </w:rPr>
        <w:t>וכי</w:t>
      </w:r>
      <w:r w:rsidRPr="009F4FD1">
        <w:rPr>
          <w:rFonts w:ascii="Calibri" w:hAnsi="Calibri"/>
          <w:b/>
          <w:bCs/>
          <w:rtl/>
        </w:rPr>
        <w:t xml:space="preserve"> </w:t>
      </w:r>
      <w:r w:rsidRPr="009F4FD1">
        <w:rPr>
          <w:rFonts w:ascii="Calibri" w:hAnsi="Calibri" w:hint="eastAsia"/>
          <w:b/>
          <w:bCs/>
          <w:rtl/>
        </w:rPr>
        <w:t>הפרה</w:t>
      </w:r>
      <w:r w:rsidRPr="009F4FD1">
        <w:rPr>
          <w:rFonts w:ascii="Calibri" w:hAnsi="Calibri"/>
          <w:b/>
          <w:bCs/>
          <w:rtl/>
        </w:rPr>
        <w:t xml:space="preserve"> </w:t>
      </w:r>
      <w:r w:rsidRPr="009F4FD1">
        <w:rPr>
          <w:rFonts w:ascii="Calibri" w:hAnsi="Calibri" w:hint="eastAsia"/>
          <w:b/>
          <w:bCs/>
          <w:rtl/>
        </w:rPr>
        <w:t>של</w:t>
      </w:r>
      <w:r w:rsidRPr="009F4FD1">
        <w:rPr>
          <w:rFonts w:ascii="Calibri" w:hAnsi="Calibri"/>
          <w:b/>
          <w:bCs/>
          <w:rtl/>
        </w:rPr>
        <w:t xml:space="preserve"> </w:t>
      </w:r>
      <w:r w:rsidRPr="009F4FD1">
        <w:rPr>
          <w:rFonts w:ascii="Calibri" w:hAnsi="Calibri" w:hint="eastAsia"/>
          <w:b/>
          <w:bCs/>
          <w:rtl/>
        </w:rPr>
        <w:t>צו</w:t>
      </w:r>
      <w:r w:rsidRPr="009F4FD1">
        <w:rPr>
          <w:rFonts w:ascii="Calibri" w:hAnsi="Calibri"/>
          <w:b/>
          <w:bCs/>
          <w:rtl/>
        </w:rPr>
        <w:t xml:space="preserve"> </w:t>
      </w:r>
      <w:r w:rsidRPr="009F4FD1">
        <w:rPr>
          <w:rFonts w:ascii="Calibri" w:hAnsi="Calibri" w:hint="eastAsia"/>
          <w:b/>
          <w:bCs/>
          <w:rtl/>
        </w:rPr>
        <w:t>הפיקוח</w:t>
      </w:r>
      <w:r w:rsidRPr="009F4FD1">
        <w:rPr>
          <w:rFonts w:ascii="Calibri" w:hAnsi="Calibri"/>
          <w:b/>
          <w:bCs/>
          <w:rtl/>
        </w:rPr>
        <w:t xml:space="preserve"> </w:t>
      </w:r>
      <w:r w:rsidRPr="009F4FD1">
        <w:rPr>
          <w:rFonts w:ascii="Calibri" w:hAnsi="Calibri" w:hint="eastAsia"/>
          <w:b/>
          <w:bCs/>
          <w:rtl/>
        </w:rPr>
        <w:t>עלולה</w:t>
      </w:r>
      <w:r w:rsidRPr="009F4FD1">
        <w:rPr>
          <w:rFonts w:ascii="Calibri" w:hAnsi="Calibri"/>
          <w:b/>
          <w:bCs/>
          <w:rtl/>
        </w:rPr>
        <w:t xml:space="preserve"> </w:t>
      </w:r>
      <w:r w:rsidRPr="009F4FD1">
        <w:rPr>
          <w:rFonts w:ascii="Calibri" w:hAnsi="Calibri" w:hint="eastAsia"/>
          <w:b/>
          <w:bCs/>
          <w:rtl/>
        </w:rPr>
        <w:t>להוביל</w:t>
      </w:r>
      <w:r w:rsidRPr="009F4FD1">
        <w:rPr>
          <w:rFonts w:ascii="Calibri" w:hAnsi="Calibri"/>
          <w:b/>
          <w:bCs/>
          <w:rtl/>
        </w:rPr>
        <w:t xml:space="preserve"> </w:t>
      </w:r>
      <w:r w:rsidRPr="009F4FD1">
        <w:rPr>
          <w:rFonts w:ascii="Calibri" w:hAnsi="Calibri" w:hint="eastAsia"/>
          <w:b/>
          <w:bCs/>
          <w:rtl/>
        </w:rPr>
        <w:t>להפקעתו</w:t>
      </w:r>
      <w:r w:rsidRPr="009F4FD1">
        <w:rPr>
          <w:rFonts w:ascii="Calibri" w:hAnsi="Calibri"/>
          <w:b/>
          <w:bCs/>
          <w:rtl/>
        </w:rPr>
        <w:t xml:space="preserve"> </w:t>
      </w:r>
      <w:r w:rsidRPr="009F4FD1">
        <w:rPr>
          <w:rFonts w:ascii="Calibri" w:hAnsi="Calibri" w:hint="eastAsia"/>
          <w:b/>
          <w:bCs/>
          <w:rtl/>
        </w:rPr>
        <w:t>ו</w:t>
      </w:r>
      <w:r w:rsidRPr="009F4FD1">
        <w:rPr>
          <w:rFonts w:ascii="Calibri" w:hAnsi="Calibri" w:hint="cs"/>
          <w:b/>
          <w:bCs/>
          <w:rtl/>
        </w:rPr>
        <w:t>לדיון מחדש בתיק זה ו</w:t>
      </w:r>
      <w:r w:rsidRPr="009F4FD1">
        <w:rPr>
          <w:rFonts w:ascii="Calibri" w:hAnsi="Calibri" w:hint="eastAsia"/>
          <w:b/>
          <w:bCs/>
          <w:rtl/>
        </w:rPr>
        <w:t>להטלת</w:t>
      </w:r>
      <w:r w:rsidRPr="009F4FD1">
        <w:rPr>
          <w:rFonts w:ascii="Calibri" w:hAnsi="Calibri"/>
          <w:b/>
          <w:bCs/>
          <w:rtl/>
        </w:rPr>
        <w:t xml:space="preserve"> </w:t>
      </w:r>
      <w:r w:rsidRPr="009F4FD1">
        <w:rPr>
          <w:rFonts w:ascii="Calibri" w:hAnsi="Calibri" w:hint="eastAsia"/>
          <w:b/>
          <w:bCs/>
          <w:rtl/>
        </w:rPr>
        <w:t>עונשים</w:t>
      </w:r>
      <w:r w:rsidRPr="009F4FD1">
        <w:rPr>
          <w:rFonts w:ascii="Calibri" w:hAnsi="Calibri"/>
          <w:b/>
          <w:bCs/>
          <w:rtl/>
        </w:rPr>
        <w:t xml:space="preserve"> </w:t>
      </w:r>
      <w:r w:rsidRPr="009F4FD1">
        <w:rPr>
          <w:rFonts w:ascii="Calibri" w:hAnsi="Calibri" w:hint="eastAsia"/>
          <w:b/>
          <w:bCs/>
          <w:rtl/>
        </w:rPr>
        <w:t>נוספים</w:t>
      </w:r>
      <w:r w:rsidRPr="009F4FD1">
        <w:rPr>
          <w:rFonts w:ascii="Calibri" w:hAnsi="Calibri"/>
          <w:b/>
          <w:bCs/>
          <w:rtl/>
        </w:rPr>
        <w:t xml:space="preserve">. </w:t>
      </w:r>
    </w:p>
    <w:p w14:paraId="1A4399B5" w14:textId="77777777" w:rsidR="00041AAC" w:rsidRDefault="00041AAC" w:rsidP="00041AAC">
      <w:pPr>
        <w:pStyle w:val="aa"/>
        <w:spacing w:line="360" w:lineRule="auto"/>
        <w:jc w:val="both"/>
        <w:rPr>
          <w:rFonts w:ascii="Calibri" w:hAnsi="Calibri"/>
          <w:b/>
          <w:bCs/>
        </w:rPr>
      </w:pPr>
    </w:p>
    <w:p w14:paraId="2E6C78B7" w14:textId="77777777" w:rsidR="00041AAC" w:rsidRDefault="00041AAC" w:rsidP="00041AAC">
      <w:pPr>
        <w:spacing w:line="360" w:lineRule="auto"/>
        <w:ind w:left="720"/>
        <w:jc w:val="both"/>
        <w:rPr>
          <w:rFonts w:ascii="Calibri" w:hAnsi="Calibri"/>
          <w:b/>
          <w:bCs/>
          <w:rtl/>
        </w:rPr>
      </w:pPr>
      <w:r w:rsidRPr="009F4FD1">
        <w:rPr>
          <w:b/>
          <w:bCs/>
          <w:rtl/>
        </w:rPr>
        <w:t xml:space="preserve">מאסר על תנאי לתקופה של </w:t>
      </w:r>
      <w:r w:rsidRPr="009F4FD1">
        <w:rPr>
          <w:rFonts w:hint="cs"/>
          <w:b/>
          <w:bCs/>
          <w:rtl/>
        </w:rPr>
        <w:t>6</w:t>
      </w:r>
      <w:r w:rsidRPr="009F4FD1">
        <w:rPr>
          <w:b/>
          <w:bCs/>
          <w:rtl/>
        </w:rPr>
        <w:t xml:space="preserve"> חודשים והתנאי הוא שהנאשם לא יעבור במשך שנתיים כל עבירה על פקודת הסמים שהיא פשע. </w:t>
      </w:r>
    </w:p>
    <w:p w14:paraId="125FD4A8" w14:textId="77777777" w:rsidR="00041AAC" w:rsidRDefault="00041AAC" w:rsidP="00041AAC">
      <w:pPr>
        <w:spacing w:line="360" w:lineRule="auto"/>
        <w:ind w:left="720"/>
        <w:jc w:val="both"/>
        <w:rPr>
          <w:rFonts w:ascii="Calibri" w:hAnsi="Calibri"/>
          <w:b/>
          <w:bCs/>
          <w:rtl/>
        </w:rPr>
      </w:pPr>
    </w:p>
    <w:p w14:paraId="016DF226" w14:textId="77777777" w:rsidR="00041AAC" w:rsidRPr="009F4FD1" w:rsidRDefault="00041AAC" w:rsidP="00041AAC">
      <w:pPr>
        <w:spacing w:line="360" w:lineRule="auto"/>
        <w:ind w:left="720"/>
        <w:jc w:val="both"/>
        <w:rPr>
          <w:rFonts w:ascii="Calibri" w:hAnsi="Calibri"/>
          <w:b/>
          <w:bCs/>
        </w:rPr>
      </w:pPr>
      <w:r>
        <w:rPr>
          <w:rFonts w:ascii="Calibri" w:hAnsi="Calibri" w:hint="cs"/>
          <w:b/>
          <w:bCs/>
          <w:rtl/>
        </w:rPr>
        <w:t>בנסיבות תיק זה אני מטילה על הנאשם עונש של פסילת רישיון הנהיגה על תנאי לתקופה של חודשיים למשך שנתיים שלא יעבור הנאשם עבירת סמים על פי פקודת הסמים שהיא עבירת פשע.</w:t>
      </w:r>
    </w:p>
    <w:p w14:paraId="71EF495C" w14:textId="77777777" w:rsidR="00041AAC" w:rsidRPr="009F4FD1" w:rsidRDefault="00041AAC" w:rsidP="00041AAC">
      <w:pPr>
        <w:pStyle w:val="aa"/>
        <w:rPr>
          <w:rFonts w:ascii="Calibri" w:hAnsi="Calibri"/>
          <w:b/>
          <w:bCs/>
          <w:rtl/>
        </w:rPr>
      </w:pPr>
    </w:p>
    <w:p w14:paraId="03DE390D" w14:textId="77777777" w:rsidR="00041AAC" w:rsidRPr="009F4FD1" w:rsidRDefault="00041AAC" w:rsidP="00041AAC">
      <w:pPr>
        <w:spacing w:line="360" w:lineRule="auto"/>
        <w:ind w:left="720"/>
        <w:jc w:val="both"/>
        <w:rPr>
          <w:rFonts w:ascii="Calibri" w:hAnsi="Calibri"/>
          <w:b/>
          <w:bCs/>
        </w:rPr>
      </w:pPr>
      <w:r w:rsidRPr="009F4FD1">
        <w:rPr>
          <w:b/>
          <w:bCs/>
          <w:rtl/>
        </w:rPr>
        <w:t xml:space="preserve">קנס בסך </w:t>
      </w:r>
      <w:r w:rsidRPr="009F4FD1">
        <w:rPr>
          <w:rFonts w:hint="cs"/>
          <w:b/>
          <w:bCs/>
          <w:rtl/>
        </w:rPr>
        <w:t>6</w:t>
      </w:r>
      <w:r w:rsidRPr="009F4FD1">
        <w:rPr>
          <w:b/>
          <w:bCs/>
          <w:rtl/>
        </w:rPr>
        <w:t xml:space="preserve">,000 ₪. הקנס ישולם </w:t>
      </w:r>
      <w:r w:rsidRPr="009F4FD1">
        <w:rPr>
          <w:rFonts w:hint="cs"/>
          <w:b/>
          <w:bCs/>
          <w:rtl/>
        </w:rPr>
        <w:t>בעשרה</w:t>
      </w:r>
      <w:r w:rsidRPr="009F4FD1">
        <w:rPr>
          <w:b/>
          <w:bCs/>
          <w:rtl/>
        </w:rPr>
        <w:t xml:space="preserve"> תשלומים שווים ורצופים מיום</w:t>
      </w:r>
      <w:r w:rsidRPr="009F4FD1">
        <w:rPr>
          <w:rFonts w:hint="cs"/>
          <w:b/>
          <w:bCs/>
          <w:rtl/>
        </w:rPr>
        <w:t xml:space="preserve"> 1.5.23 </w:t>
      </w:r>
      <w:r w:rsidRPr="009F4FD1">
        <w:rPr>
          <w:b/>
          <w:bCs/>
          <w:rtl/>
        </w:rPr>
        <w:t xml:space="preserve"> ובכל -1 לחודש שלאחריו. לא ישולם אחד התשלומים או יותר במועדו, תעמוד היתרה לפירעון מידי. את הסכום יש לשלם ישירות למרכז לגביית אגרות וקנסות באחת הדרכים הבאות:</w:t>
      </w:r>
      <w:r w:rsidRPr="009F4FD1">
        <w:rPr>
          <w:rFonts w:ascii="David" w:hAnsi="David"/>
          <w:b/>
          <w:bCs/>
          <w:rtl/>
        </w:rPr>
        <w:t xml:space="preserve"> </w:t>
      </w:r>
    </w:p>
    <w:p w14:paraId="7F3F52A7" w14:textId="77777777" w:rsidR="00041AAC" w:rsidRPr="009F4FD1" w:rsidRDefault="00041AAC" w:rsidP="00041AAC">
      <w:pPr>
        <w:pStyle w:val="aa"/>
        <w:numPr>
          <w:ilvl w:val="0"/>
          <w:numId w:val="3"/>
        </w:numPr>
        <w:contextualSpacing w:val="0"/>
        <w:rPr>
          <w:rFonts w:ascii="David" w:hAnsi="David"/>
          <w:b/>
          <w:bCs/>
        </w:rPr>
      </w:pPr>
      <w:r w:rsidRPr="009F4FD1">
        <w:rPr>
          <w:rFonts w:ascii="David" w:hAnsi="David"/>
          <w:b/>
          <w:bCs/>
          <w:rtl/>
        </w:rPr>
        <w:t xml:space="preserve">בכרטיס אשראי – באתר המקוון של רשות האכיפה והגבייה, </w:t>
      </w:r>
      <w:hyperlink r:id="rId32" w:history="1">
        <w:r w:rsidRPr="009F4FD1">
          <w:rPr>
            <w:rStyle w:val="Hyperlink"/>
            <w:rFonts w:ascii="David" w:hAnsi="David"/>
            <w:b/>
            <w:bCs/>
          </w:rPr>
          <w:t>www.eca.gov.il</w:t>
        </w:r>
      </w:hyperlink>
      <w:r w:rsidRPr="009F4FD1">
        <w:rPr>
          <w:rFonts w:ascii="David" w:hAnsi="David"/>
          <w:b/>
          <w:bCs/>
        </w:rPr>
        <w:t xml:space="preserve"> </w:t>
      </w:r>
      <w:r w:rsidRPr="009F4FD1">
        <w:rPr>
          <w:rFonts w:ascii="David" w:hAnsi="David"/>
          <w:b/>
          <w:bCs/>
          <w:rtl/>
        </w:rPr>
        <w:t xml:space="preserve"> </w:t>
      </w:r>
    </w:p>
    <w:p w14:paraId="3B52D3F1" w14:textId="77777777" w:rsidR="00041AAC" w:rsidRPr="009F4FD1" w:rsidRDefault="00041AAC" w:rsidP="00041AAC">
      <w:pPr>
        <w:pStyle w:val="aa"/>
        <w:numPr>
          <w:ilvl w:val="0"/>
          <w:numId w:val="3"/>
        </w:numPr>
        <w:contextualSpacing w:val="0"/>
        <w:rPr>
          <w:rFonts w:ascii="David" w:hAnsi="David"/>
          <w:b/>
          <w:bCs/>
        </w:rPr>
      </w:pPr>
      <w:r w:rsidRPr="009F4FD1">
        <w:rPr>
          <w:rFonts w:ascii="David" w:hAnsi="David"/>
          <w:b/>
          <w:bCs/>
          <w:rtl/>
        </w:rPr>
        <w:t>מוקד שירות טלפוני בשרות עצמי (מרכז גבייה)  – בטלפון 35592* או בטלפון 073-2055000</w:t>
      </w:r>
    </w:p>
    <w:p w14:paraId="7399A761" w14:textId="77777777" w:rsidR="00041AAC" w:rsidRPr="009F4FD1" w:rsidRDefault="00041AAC" w:rsidP="00041AAC">
      <w:pPr>
        <w:pStyle w:val="aa"/>
        <w:numPr>
          <w:ilvl w:val="0"/>
          <w:numId w:val="3"/>
        </w:numPr>
        <w:contextualSpacing w:val="0"/>
        <w:rPr>
          <w:rFonts w:ascii="David" w:hAnsi="David"/>
          <w:b/>
          <w:bCs/>
        </w:rPr>
      </w:pPr>
      <w:r w:rsidRPr="009F4FD1">
        <w:rPr>
          <w:rFonts w:ascii="David" w:hAnsi="David"/>
          <w:b/>
          <w:bCs/>
          <w:rtl/>
        </w:rPr>
        <w:t>במזומן בכל סניף של בנק הדואר – בהצגת תעודת זהות בלבד (אין צורך בשוברי תשלום).</w:t>
      </w:r>
    </w:p>
    <w:p w14:paraId="68B7247B" w14:textId="77777777" w:rsidR="00041AAC" w:rsidRDefault="00041AAC" w:rsidP="00041AAC">
      <w:pPr>
        <w:pStyle w:val="aa"/>
        <w:spacing w:before="120" w:after="120" w:line="360" w:lineRule="auto"/>
        <w:jc w:val="both"/>
        <w:rPr>
          <w:b/>
          <w:bCs/>
          <w:rtl/>
        </w:rPr>
      </w:pPr>
    </w:p>
    <w:p w14:paraId="54FF606B" w14:textId="77777777" w:rsidR="00041AAC" w:rsidRDefault="00041AAC" w:rsidP="00041AAC">
      <w:pPr>
        <w:pStyle w:val="aa"/>
        <w:spacing w:before="120" w:after="120" w:line="360" w:lineRule="auto"/>
        <w:jc w:val="both"/>
        <w:rPr>
          <w:b/>
          <w:bCs/>
          <w:rtl/>
        </w:rPr>
      </w:pPr>
    </w:p>
    <w:p w14:paraId="6422CBA0" w14:textId="77777777" w:rsidR="00041AAC" w:rsidRDefault="00041AAC" w:rsidP="00041AAC">
      <w:pPr>
        <w:pStyle w:val="aa"/>
        <w:spacing w:before="120" w:after="120" w:line="360" w:lineRule="auto"/>
        <w:jc w:val="both"/>
        <w:rPr>
          <w:b/>
          <w:bCs/>
          <w:rtl/>
        </w:rPr>
      </w:pPr>
    </w:p>
    <w:p w14:paraId="25EAA267" w14:textId="77777777" w:rsidR="00041AAC" w:rsidRDefault="00041AAC" w:rsidP="00041AAC">
      <w:pPr>
        <w:pStyle w:val="aa"/>
        <w:spacing w:before="120" w:after="120" w:line="360" w:lineRule="auto"/>
        <w:jc w:val="both"/>
        <w:rPr>
          <w:b/>
          <w:bCs/>
          <w:rtl/>
        </w:rPr>
      </w:pPr>
    </w:p>
    <w:p w14:paraId="356504C3" w14:textId="77777777" w:rsidR="00041AAC" w:rsidRDefault="00041AAC" w:rsidP="00041AAC">
      <w:pPr>
        <w:pStyle w:val="aa"/>
        <w:spacing w:before="120" w:after="120" w:line="360" w:lineRule="auto"/>
        <w:jc w:val="both"/>
        <w:rPr>
          <w:b/>
          <w:bCs/>
          <w:rtl/>
        </w:rPr>
      </w:pPr>
    </w:p>
    <w:p w14:paraId="7F748148" w14:textId="77777777" w:rsidR="00041AAC" w:rsidRDefault="00041AAC" w:rsidP="00041AAC">
      <w:pPr>
        <w:pStyle w:val="aa"/>
        <w:spacing w:before="120" w:after="120" w:line="360" w:lineRule="auto"/>
        <w:jc w:val="both"/>
        <w:rPr>
          <w:b/>
          <w:bCs/>
          <w:rtl/>
        </w:rPr>
      </w:pPr>
    </w:p>
    <w:p w14:paraId="33909C32" w14:textId="77777777" w:rsidR="00041AAC" w:rsidRPr="009F4FD1" w:rsidRDefault="00041AAC" w:rsidP="00041AAC">
      <w:pPr>
        <w:pStyle w:val="aa"/>
        <w:spacing w:before="120" w:after="120" w:line="360" w:lineRule="auto"/>
        <w:jc w:val="both"/>
        <w:rPr>
          <w:b/>
          <w:bCs/>
          <w:rtl/>
        </w:rPr>
      </w:pPr>
      <w:r w:rsidRPr="009F4FD1">
        <w:rPr>
          <w:b/>
          <w:bCs/>
          <w:rtl/>
        </w:rPr>
        <w:t>אני מורה על חילוט הכלים כמפורט בכתב האישום</w:t>
      </w:r>
      <w:r>
        <w:rPr>
          <w:rFonts w:hint="cs"/>
          <w:b/>
          <w:bCs/>
          <w:rtl/>
        </w:rPr>
        <w:t xml:space="preserve"> וזאת בתום תקופת הערעור. </w:t>
      </w:r>
      <w:r w:rsidRPr="009F4FD1">
        <w:rPr>
          <w:rFonts w:hint="cs"/>
          <w:b/>
          <w:bCs/>
          <w:rtl/>
        </w:rPr>
        <w:t xml:space="preserve"> </w:t>
      </w:r>
    </w:p>
    <w:p w14:paraId="4DC4F983" w14:textId="77777777" w:rsidR="00041AAC" w:rsidRDefault="00041AAC" w:rsidP="00041AAC">
      <w:pPr>
        <w:spacing w:before="120" w:after="120" w:line="360" w:lineRule="auto"/>
        <w:jc w:val="both"/>
        <w:rPr>
          <w:b/>
          <w:bCs/>
          <w:u w:val="single"/>
          <w:rtl/>
        </w:rPr>
      </w:pPr>
      <w:r w:rsidRPr="005567C6">
        <w:rPr>
          <w:b/>
          <w:bCs/>
          <w:color w:val="FFFFFF"/>
          <w:sz w:val="2"/>
          <w:szCs w:val="2"/>
          <w:u w:val="single"/>
          <w:rtl/>
        </w:rPr>
        <w:t>512937</w:t>
      </w:r>
      <w:r>
        <w:rPr>
          <w:b/>
          <w:bCs/>
          <w:u w:val="single"/>
          <w:rtl/>
        </w:rPr>
        <w:t xml:space="preserve"> זכות ערעור לבית המשפט המחוזי בתוך 45 יום.</w:t>
      </w:r>
    </w:p>
    <w:p w14:paraId="18A4FE25" w14:textId="77777777" w:rsidR="00041AAC" w:rsidRDefault="00CC1800" w:rsidP="00041AAC">
      <w:pPr>
        <w:spacing w:before="120" w:after="120" w:line="360" w:lineRule="auto"/>
        <w:jc w:val="both"/>
        <w:rPr>
          <w:b/>
          <w:bCs/>
          <w:u w:val="single"/>
          <w:rtl/>
        </w:rPr>
      </w:pPr>
      <w:r w:rsidRPr="00CC1800">
        <w:rPr>
          <w:b/>
          <w:bCs/>
          <w:color w:val="FFFFFF"/>
          <w:sz w:val="2"/>
          <w:szCs w:val="2"/>
          <w:u w:val="single"/>
          <w:rtl/>
        </w:rPr>
        <w:t>5129371</w:t>
      </w:r>
      <w:r w:rsidR="00041AAC" w:rsidRPr="005567C6">
        <w:rPr>
          <w:b/>
          <w:bCs/>
          <w:color w:val="FFFFFF"/>
          <w:sz w:val="2"/>
          <w:szCs w:val="2"/>
          <w:u w:val="single"/>
          <w:rtl/>
        </w:rPr>
        <w:t>54678313</w:t>
      </w:r>
      <w:r w:rsidR="00041AAC">
        <w:rPr>
          <w:rFonts w:hint="cs"/>
          <w:b/>
          <w:bCs/>
          <w:u w:val="single"/>
          <w:rtl/>
        </w:rPr>
        <w:t xml:space="preserve">המזכירות תעביר עותק מגזר הדין לשירות המבחן  ולממונה על עבודות השירות.  </w:t>
      </w:r>
    </w:p>
    <w:p w14:paraId="0CB685F8" w14:textId="77777777" w:rsidR="00041AAC" w:rsidRPr="00CC1800" w:rsidRDefault="00CC1800" w:rsidP="00041AAC">
      <w:pPr>
        <w:jc w:val="both"/>
        <w:rPr>
          <w:rFonts w:ascii="Arial" w:hAnsi="Arial"/>
          <w:color w:val="FFFFFF"/>
          <w:sz w:val="2"/>
          <w:szCs w:val="2"/>
          <w:rtl/>
        </w:rPr>
      </w:pPr>
      <w:r w:rsidRPr="00CC1800">
        <w:rPr>
          <w:rFonts w:ascii="Arial" w:hAnsi="Arial"/>
          <w:color w:val="FFFFFF"/>
          <w:sz w:val="2"/>
          <w:szCs w:val="2"/>
          <w:rtl/>
        </w:rPr>
        <w:t>54678313</w:t>
      </w:r>
    </w:p>
    <w:p w14:paraId="513E3B3B" w14:textId="77777777" w:rsidR="00041AAC" w:rsidRPr="007210EB" w:rsidRDefault="00041AAC" w:rsidP="00041AAC">
      <w:pPr>
        <w:jc w:val="both"/>
        <w:rPr>
          <w:rFonts w:ascii="Arial" w:hAnsi="Arial"/>
          <w:sz w:val="26"/>
          <w:szCs w:val="26"/>
          <w:rtl/>
        </w:rPr>
      </w:pPr>
    </w:p>
    <w:p w14:paraId="5B7332DA" w14:textId="77777777" w:rsidR="00041AAC" w:rsidRPr="000F2247" w:rsidRDefault="00CC1800" w:rsidP="00041AAC">
      <w:pPr>
        <w:rPr>
          <w:rFonts w:ascii="Arial" w:hAnsi="Arial"/>
          <w:b/>
          <w:bCs/>
          <w:sz w:val="26"/>
          <w:szCs w:val="26"/>
          <w:rtl/>
        </w:rPr>
      </w:pPr>
      <w:bookmarkStart w:id="7" w:name="Nitan"/>
      <w:r>
        <w:rPr>
          <w:rFonts w:ascii="Arial" w:hAnsi="Arial"/>
          <w:b/>
          <w:bCs/>
          <w:sz w:val="26"/>
          <w:szCs w:val="26"/>
          <w:rtl/>
        </w:rPr>
        <w:t xml:space="preserve">ניתן היום,  ג' כסלו תשפ"ג, 27 נובמבר 2022, בנוכחות הצדדים. </w:t>
      </w:r>
      <w:bookmarkEnd w:id="7"/>
    </w:p>
    <w:p w14:paraId="6D72CF07" w14:textId="77777777" w:rsidR="00041AAC" w:rsidRPr="000F2247" w:rsidRDefault="00041AAC" w:rsidP="00CC180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87D26B8" w14:textId="77777777" w:rsidR="00041AAC" w:rsidRPr="000F2247" w:rsidRDefault="00041AAC" w:rsidP="00041AAC">
      <w:pPr>
        <w:jc w:val="center"/>
        <w:rPr>
          <w:rFonts w:ascii="Arial" w:hAnsi="Arial"/>
          <w:b/>
          <w:bCs/>
          <w:sz w:val="26"/>
          <w:szCs w:val="26"/>
          <w:rtl/>
        </w:rPr>
      </w:pPr>
    </w:p>
    <w:p w14:paraId="24433F55" w14:textId="77777777" w:rsidR="00B8287E" w:rsidRPr="00CC1800" w:rsidRDefault="00B8287E" w:rsidP="00CC1800">
      <w:pPr>
        <w:keepNext/>
        <w:rPr>
          <w:rFonts w:ascii="David" w:hAnsi="David"/>
          <w:color w:val="000000"/>
          <w:sz w:val="22"/>
          <w:szCs w:val="22"/>
          <w:rtl/>
        </w:rPr>
      </w:pPr>
    </w:p>
    <w:p w14:paraId="42E1553A" w14:textId="77777777" w:rsidR="00CC1800" w:rsidRPr="00CC1800" w:rsidRDefault="00CC1800" w:rsidP="00CC1800">
      <w:pPr>
        <w:keepNext/>
        <w:rPr>
          <w:rFonts w:ascii="David" w:hAnsi="David"/>
          <w:color w:val="000000"/>
          <w:sz w:val="22"/>
          <w:szCs w:val="22"/>
          <w:rtl/>
        </w:rPr>
      </w:pPr>
      <w:r w:rsidRPr="00CC1800">
        <w:rPr>
          <w:rFonts w:ascii="David" w:hAnsi="David"/>
          <w:color w:val="000000"/>
          <w:sz w:val="22"/>
          <w:szCs w:val="22"/>
          <w:rtl/>
        </w:rPr>
        <w:t>סימי פלג קימלוב 54678313</w:t>
      </w:r>
    </w:p>
    <w:p w14:paraId="598F787F" w14:textId="77777777" w:rsidR="00CC1800" w:rsidRDefault="00CC1800" w:rsidP="00CC1800">
      <w:r w:rsidRPr="00CC1800">
        <w:rPr>
          <w:color w:val="000000"/>
          <w:rtl/>
        </w:rPr>
        <w:t>נוסח מסמך זה כפוף לשינויי ניסוח ועריכה</w:t>
      </w:r>
    </w:p>
    <w:p w14:paraId="700E8596" w14:textId="77777777" w:rsidR="00CC1800" w:rsidRDefault="00CC1800" w:rsidP="00CC1800">
      <w:pPr>
        <w:rPr>
          <w:rtl/>
        </w:rPr>
      </w:pPr>
    </w:p>
    <w:p w14:paraId="7827C972" w14:textId="77777777" w:rsidR="00CC1800" w:rsidRDefault="00CC1800" w:rsidP="00CC180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2968014B" w14:textId="77777777" w:rsidR="00CC1800" w:rsidRPr="00CC1800" w:rsidRDefault="00CC1800" w:rsidP="00CC1800">
      <w:pPr>
        <w:jc w:val="center"/>
        <w:rPr>
          <w:color w:val="0000FF"/>
          <w:u w:val="single"/>
        </w:rPr>
      </w:pPr>
    </w:p>
    <w:sectPr w:rsidR="00CC1800" w:rsidRPr="00CC1800" w:rsidSect="00CC1800">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49060" w14:textId="77777777" w:rsidR="0071751D" w:rsidRDefault="0071751D" w:rsidP="005C2241">
      <w:r>
        <w:separator/>
      </w:r>
    </w:p>
  </w:endnote>
  <w:endnote w:type="continuationSeparator" w:id="0">
    <w:p w14:paraId="524F170C" w14:textId="77777777" w:rsidR="0071751D" w:rsidRDefault="0071751D" w:rsidP="005C2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F6793" w14:textId="77777777" w:rsidR="00CC1800" w:rsidRDefault="00CC1800" w:rsidP="00CC180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6536A9" w14:textId="77777777" w:rsidR="002114CA" w:rsidRPr="00CC1800" w:rsidRDefault="00CC1800" w:rsidP="00CC180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20F0B" w14:textId="77777777" w:rsidR="00CC1800" w:rsidRDefault="00CC1800" w:rsidP="00CC1800">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02C2">
      <w:rPr>
        <w:rFonts w:ascii="FrankRuehl" w:hAnsi="FrankRuehl" w:cs="FrankRuehl"/>
        <w:noProof/>
        <w:rtl/>
      </w:rPr>
      <w:t>1</w:t>
    </w:r>
    <w:r>
      <w:rPr>
        <w:rFonts w:ascii="FrankRuehl" w:hAnsi="FrankRuehl" w:cs="FrankRuehl"/>
        <w:rtl/>
      </w:rPr>
      <w:fldChar w:fldCharType="end"/>
    </w:r>
  </w:p>
  <w:p w14:paraId="23F7EE7E" w14:textId="77777777" w:rsidR="002114CA" w:rsidRPr="00CC1800" w:rsidRDefault="00CC1800" w:rsidP="00CC1800">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ED3F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529C2" w14:textId="77777777" w:rsidR="0071751D" w:rsidRDefault="0071751D" w:rsidP="005C2241">
      <w:r>
        <w:separator/>
      </w:r>
    </w:p>
  </w:footnote>
  <w:footnote w:type="continuationSeparator" w:id="0">
    <w:p w14:paraId="06B7912D" w14:textId="77777777" w:rsidR="0071751D" w:rsidRDefault="0071751D" w:rsidP="005C2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A780A" w14:textId="77777777" w:rsidR="00CC1800" w:rsidRPr="00CC1800" w:rsidRDefault="00CC1800" w:rsidP="00CC180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16595-03-21</w:t>
    </w:r>
    <w:r>
      <w:rPr>
        <w:rFonts w:ascii="David" w:hAnsi="David"/>
        <w:color w:val="000000"/>
        <w:sz w:val="22"/>
        <w:szCs w:val="22"/>
        <w:rtl/>
      </w:rPr>
      <w:tab/>
      <w:t xml:space="preserve"> מדינת ישראל נ' דימטרי גוסין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E42D" w14:textId="77777777" w:rsidR="00CC1800" w:rsidRPr="00CC1800" w:rsidRDefault="00CC1800" w:rsidP="00CC1800">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16595-03-21</w:t>
    </w:r>
    <w:r>
      <w:rPr>
        <w:rFonts w:ascii="David" w:hAnsi="David"/>
        <w:color w:val="000000"/>
        <w:sz w:val="22"/>
        <w:szCs w:val="22"/>
        <w:rtl/>
      </w:rPr>
      <w:tab/>
      <w:t xml:space="preserve"> מדינת ישראל נ' דימטרי גוסין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CA581FB2"/>
    <w:lvl w:ilvl="0" w:tplc="70EA5674">
      <w:start w:val="1"/>
      <w:numFmt w:val="decimal"/>
      <w:pStyle w:val="a"/>
      <w:lvlText w:val="%1."/>
      <w:lvlJc w:val="left"/>
      <w:pPr>
        <w:tabs>
          <w:tab w:val="num" w:pos="720"/>
        </w:tabs>
        <w:ind w:left="720" w:hanging="720"/>
      </w:pPr>
      <w:rPr>
        <w:rFonts w:cs="Times New Roman" w:hint="default"/>
        <w:b w:val="0"/>
        <w:bCs w:val="0"/>
      </w:rPr>
    </w:lvl>
    <w:lvl w:ilvl="1" w:tplc="32A2D1E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26E009E"/>
    <w:multiLevelType w:val="hybridMultilevel"/>
    <w:tmpl w:val="C78262C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4F53FD3"/>
    <w:multiLevelType w:val="hybridMultilevel"/>
    <w:tmpl w:val="7C1CA990"/>
    <w:lvl w:ilvl="0" w:tplc="B622DCDC">
      <w:start w:val="17"/>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B02BD"/>
    <w:multiLevelType w:val="hybridMultilevel"/>
    <w:tmpl w:val="D2268B6A"/>
    <w:lvl w:ilvl="0" w:tplc="430A58EE">
      <w:start w:val="14"/>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3603E"/>
    <w:multiLevelType w:val="hybridMultilevel"/>
    <w:tmpl w:val="CB04FB64"/>
    <w:lvl w:ilvl="0" w:tplc="3D460C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8368828">
    <w:abstractNumId w:val="4"/>
  </w:num>
  <w:num w:numId="2" w16cid:durableId="1218400365">
    <w:abstractNumId w:val="0"/>
  </w:num>
  <w:num w:numId="3" w16cid:durableId="875511167">
    <w:abstractNumId w:val="1"/>
  </w:num>
  <w:num w:numId="4" w16cid:durableId="1677420524">
    <w:abstractNumId w:val="3"/>
  </w:num>
  <w:num w:numId="5" w16cid:durableId="266692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1AAC"/>
    <w:rsid w:val="00041AAC"/>
    <w:rsid w:val="00053B6A"/>
    <w:rsid w:val="002114CA"/>
    <w:rsid w:val="0034256C"/>
    <w:rsid w:val="003A3946"/>
    <w:rsid w:val="003F20BC"/>
    <w:rsid w:val="005C2241"/>
    <w:rsid w:val="006976C5"/>
    <w:rsid w:val="0071751D"/>
    <w:rsid w:val="00801ECF"/>
    <w:rsid w:val="009A4E4C"/>
    <w:rsid w:val="00B8287E"/>
    <w:rsid w:val="00CC1800"/>
    <w:rsid w:val="00D902C2"/>
    <w:rsid w:val="00DD38BD"/>
    <w:rsid w:val="00F326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CC39F1"/>
  <w15:chartTrackingRefBased/>
  <w15:docId w15:val="{E3F8A29B-04FF-4795-BE22-E5BF479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41AAC"/>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041AAC"/>
    <w:pPr>
      <w:tabs>
        <w:tab w:val="center" w:pos="4153"/>
        <w:tab w:val="right" w:pos="8306"/>
      </w:tabs>
    </w:pPr>
  </w:style>
  <w:style w:type="character" w:customStyle="1" w:styleId="a5">
    <w:name w:val="כותרת עליונה תו"/>
    <w:link w:val="a4"/>
    <w:rsid w:val="00041AAC"/>
    <w:rPr>
      <w:rFonts w:ascii="Times New Roman" w:eastAsia="Times New Roman" w:hAnsi="Times New Roman" w:cs="David"/>
      <w:sz w:val="24"/>
      <w:szCs w:val="24"/>
    </w:rPr>
  </w:style>
  <w:style w:type="paragraph" w:styleId="a6">
    <w:name w:val="footer"/>
    <w:basedOn w:val="a0"/>
    <w:link w:val="a7"/>
    <w:rsid w:val="00041AAC"/>
    <w:pPr>
      <w:tabs>
        <w:tab w:val="center" w:pos="4153"/>
        <w:tab w:val="right" w:pos="8306"/>
      </w:tabs>
    </w:pPr>
  </w:style>
  <w:style w:type="character" w:customStyle="1" w:styleId="a7">
    <w:name w:val="כותרת תחתונה תו"/>
    <w:link w:val="a6"/>
    <w:rsid w:val="00041AAC"/>
    <w:rPr>
      <w:rFonts w:ascii="Times New Roman" w:eastAsia="Times New Roman" w:hAnsi="Times New Roman" w:cs="David"/>
      <w:sz w:val="24"/>
      <w:szCs w:val="24"/>
    </w:rPr>
  </w:style>
  <w:style w:type="table" w:styleId="a8">
    <w:name w:val="Table Grid"/>
    <w:basedOn w:val="a2"/>
    <w:rsid w:val="00041A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041AAC"/>
  </w:style>
  <w:style w:type="paragraph" w:styleId="aa">
    <w:name w:val="List Paragraph"/>
    <w:basedOn w:val="a0"/>
    <w:link w:val="ab"/>
    <w:qFormat/>
    <w:rsid w:val="00041AAC"/>
    <w:pPr>
      <w:ind w:left="720"/>
      <w:contextualSpacing/>
    </w:pPr>
  </w:style>
  <w:style w:type="character" w:customStyle="1" w:styleId="ab">
    <w:name w:val="פיסקת רשימה תו"/>
    <w:link w:val="aa"/>
    <w:locked/>
    <w:rsid w:val="00041AAC"/>
    <w:rPr>
      <w:rFonts w:ascii="Times New Roman" w:eastAsia="Times New Roman" w:hAnsi="Times New Roman" w:cs="David"/>
      <w:sz w:val="24"/>
      <w:szCs w:val="24"/>
    </w:rPr>
  </w:style>
  <w:style w:type="paragraph" w:customStyle="1" w:styleId="a">
    <w:name w:val="ממוספר"/>
    <w:basedOn w:val="a0"/>
    <w:rsid w:val="00041AAC"/>
    <w:pPr>
      <w:numPr>
        <w:numId w:val="2"/>
      </w:numPr>
      <w:spacing w:after="120" w:line="360" w:lineRule="auto"/>
    </w:pPr>
    <w:rPr>
      <w:rFonts w:ascii="David" w:hAnsi="David"/>
      <w:color w:val="000000"/>
    </w:rPr>
  </w:style>
  <w:style w:type="character" w:styleId="Hyperlink">
    <w:name w:val="Hyperlink"/>
    <w:rsid w:val="00041AAC"/>
    <w:rPr>
      <w:rFonts w:cs="Times New Roman"/>
      <w:color w:val="0000FF"/>
      <w:u w:val="single"/>
    </w:rPr>
  </w:style>
  <w:style w:type="paragraph" w:customStyle="1" w:styleId="1">
    <w:name w:val="פיסקת רשימה1"/>
    <w:basedOn w:val="a0"/>
    <w:rsid w:val="00041AAC"/>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case/22841413" TargetMode="External"/><Relationship Id="rId26" Type="http://schemas.openxmlformats.org/officeDocument/2006/relationships/hyperlink" Target="http://www.nevo.co.il/case/20111708" TargetMode="External"/><Relationship Id="rId39" Type="http://schemas.openxmlformats.org/officeDocument/2006/relationships/theme" Target="theme/theme1.xml"/><Relationship Id="rId21" Type="http://schemas.openxmlformats.org/officeDocument/2006/relationships/hyperlink" Target="http://www.nevo.co.il/case/21641727"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2961877"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7502816"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2087107" TargetMode="External"/><Relationship Id="rId32" Type="http://schemas.openxmlformats.org/officeDocument/2006/relationships/hyperlink" Target="http://www.eca.gov.il"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3778567" TargetMode="External"/><Relationship Id="rId28" Type="http://schemas.openxmlformats.org/officeDocument/2006/relationships/hyperlink" Target="http://www.nevo.co.il/law/70301/40d" TargetMode="External"/><Relationship Id="rId36"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22087107" TargetMode="External"/><Relationship Id="rId31" Type="http://schemas.openxmlformats.org/officeDocument/2006/relationships/hyperlink" Target="http://www.nevo.co.il/case/280328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3580206" TargetMode="External"/><Relationship Id="rId27" Type="http://schemas.openxmlformats.org/officeDocument/2006/relationships/hyperlink" Target="http://www.nevo.co.il/case/18119161" TargetMode="External"/><Relationship Id="rId30" Type="http://schemas.openxmlformats.org/officeDocument/2006/relationships/hyperlink" Target="http://www.nevo.co.il/case/10459128" TargetMode="External"/><Relationship Id="rId35"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2814</Words>
  <Characters>14075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16856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7864368</vt:i4>
      </vt:variant>
      <vt:variant>
        <vt:i4>75</vt:i4>
      </vt:variant>
      <vt:variant>
        <vt:i4>0</vt:i4>
      </vt:variant>
      <vt:variant>
        <vt:i4>5</vt:i4>
      </vt:variant>
      <vt:variant>
        <vt:lpwstr>http://www.eca.gov.il/</vt:lpwstr>
      </vt:variant>
      <vt:variant>
        <vt:lpwstr/>
      </vt:variant>
      <vt:variant>
        <vt:i4>3211383</vt:i4>
      </vt:variant>
      <vt:variant>
        <vt:i4>72</vt:i4>
      </vt:variant>
      <vt:variant>
        <vt:i4>0</vt:i4>
      </vt:variant>
      <vt:variant>
        <vt:i4>5</vt:i4>
      </vt:variant>
      <vt:variant>
        <vt:lpwstr>http://www.nevo.co.il/case/28032816</vt:lpwstr>
      </vt:variant>
      <vt:variant>
        <vt:lpwstr/>
      </vt:variant>
      <vt:variant>
        <vt:i4>4063344</vt:i4>
      </vt:variant>
      <vt:variant>
        <vt:i4>69</vt:i4>
      </vt:variant>
      <vt:variant>
        <vt:i4>0</vt:i4>
      </vt:variant>
      <vt:variant>
        <vt:i4>5</vt:i4>
      </vt:variant>
      <vt:variant>
        <vt:lpwstr>http://www.nevo.co.il/case/10459128</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4128892</vt:i4>
      </vt:variant>
      <vt:variant>
        <vt:i4>60</vt:i4>
      </vt:variant>
      <vt:variant>
        <vt:i4>0</vt:i4>
      </vt:variant>
      <vt:variant>
        <vt:i4>5</vt:i4>
      </vt:variant>
      <vt:variant>
        <vt:lpwstr>http://www.nevo.co.il/case/18119161</vt:lpwstr>
      </vt:variant>
      <vt:variant>
        <vt:lpwstr/>
      </vt:variant>
      <vt:variant>
        <vt:i4>3276914</vt:i4>
      </vt:variant>
      <vt:variant>
        <vt:i4>57</vt:i4>
      </vt:variant>
      <vt:variant>
        <vt:i4>0</vt:i4>
      </vt:variant>
      <vt:variant>
        <vt:i4>5</vt:i4>
      </vt:variant>
      <vt:variant>
        <vt:lpwstr>http://www.nevo.co.il/case/20111708</vt:lpwstr>
      </vt:variant>
      <vt:variant>
        <vt:lpwstr/>
      </vt:variant>
      <vt:variant>
        <vt:i4>3997816</vt:i4>
      </vt:variant>
      <vt:variant>
        <vt:i4>54</vt:i4>
      </vt:variant>
      <vt:variant>
        <vt:i4>0</vt:i4>
      </vt:variant>
      <vt:variant>
        <vt:i4>5</vt:i4>
      </vt:variant>
      <vt:variant>
        <vt:lpwstr>http://www.nevo.co.il/case/22961877</vt:lpwstr>
      </vt:variant>
      <vt:variant>
        <vt:lpwstr/>
      </vt:variant>
      <vt:variant>
        <vt:i4>3473535</vt:i4>
      </vt:variant>
      <vt:variant>
        <vt:i4>51</vt:i4>
      </vt:variant>
      <vt:variant>
        <vt:i4>0</vt:i4>
      </vt:variant>
      <vt:variant>
        <vt:i4>5</vt:i4>
      </vt:variant>
      <vt:variant>
        <vt:lpwstr>http://www.nevo.co.il/case/22087107</vt:lpwstr>
      </vt:variant>
      <vt:variant>
        <vt:lpwstr/>
      </vt:variant>
      <vt:variant>
        <vt:i4>3866741</vt:i4>
      </vt:variant>
      <vt:variant>
        <vt:i4>48</vt:i4>
      </vt:variant>
      <vt:variant>
        <vt:i4>0</vt:i4>
      </vt:variant>
      <vt:variant>
        <vt:i4>5</vt:i4>
      </vt:variant>
      <vt:variant>
        <vt:lpwstr>http://www.nevo.co.il/case/23778567</vt:lpwstr>
      </vt:variant>
      <vt:variant>
        <vt:lpwstr/>
      </vt:variant>
      <vt:variant>
        <vt:i4>3604605</vt:i4>
      </vt:variant>
      <vt:variant>
        <vt:i4>45</vt:i4>
      </vt:variant>
      <vt:variant>
        <vt:i4>0</vt:i4>
      </vt:variant>
      <vt:variant>
        <vt:i4>5</vt:i4>
      </vt:variant>
      <vt:variant>
        <vt:lpwstr>http://www.nevo.co.il/case/23580206</vt:lpwstr>
      </vt:variant>
      <vt:variant>
        <vt:lpwstr/>
      </vt:variant>
      <vt:variant>
        <vt:i4>3604598</vt:i4>
      </vt:variant>
      <vt:variant>
        <vt:i4>42</vt:i4>
      </vt:variant>
      <vt:variant>
        <vt:i4>0</vt:i4>
      </vt:variant>
      <vt:variant>
        <vt:i4>5</vt:i4>
      </vt:variant>
      <vt:variant>
        <vt:lpwstr>http://www.nevo.co.il/case/21641727</vt:lpwstr>
      </vt:variant>
      <vt:variant>
        <vt:lpwstr/>
      </vt:variant>
      <vt:variant>
        <vt:i4>3407995</vt:i4>
      </vt:variant>
      <vt:variant>
        <vt:i4>39</vt:i4>
      </vt:variant>
      <vt:variant>
        <vt:i4>0</vt:i4>
      </vt:variant>
      <vt:variant>
        <vt:i4>5</vt:i4>
      </vt:variant>
      <vt:variant>
        <vt:lpwstr>http://www.nevo.co.il/case/27502816</vt:lpwstr>
      </vt:variant>
      <vt:variant>
        <vt:lpwstr/>
      </vt:variant>
      <vt:variant>
        <vt:i4>3473535</vt:i4>
      </vt:variant>
      <vt:variant>
        <vt:i4>36</vt:i4>
      </vt:variant>
      <vt:variant>
        <vt:i4>0</vt:i4>
      </vt:variant>
      <vt:variant>
        <vt:i4>5</vt:i4>
      </vt:variant>
      <vt:variant>
        <vt:lpwstr>http://www.nevo.co.il/case/22087107</vt:lpwstr>
      </vt:variant>
      <vt:variant>
        <vt:lpwstr/>
      </vt:variant>
      <vt:variant>
        <vt:i4>3801206</vt:i4>
      </vt:variant>
      <vt:variant>
        <vt:i4>33</vt:i4>
      </vt:variant>
      <vt:variant>
        <vt:i4>0</vt:i4>
      </vt:variant>
      <vt:variant>
        <vt:i4>5</vt:i4>
      </vt:variant>
      <vt:variant>
        <vt:lpwstr>http://www.nevo.co.il/case/22841413</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16595</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דימטרי גוסין</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20221127</vt:lpwstr>
  </property>
  <property fmtid="{D5CDD505-2E9C-101B-9397-08002B2CF9AE}" pid="13" name="TYPE_N_DATE">
    <vt:lpwstr>38020221127</vt:lpwstr>
  </property>
  <property fmtid="{D5CDD505-2E9C-101B-9397-08002B2CF9AE}" pid="14" name="WORDNUMPAGES">
    <vt:lpwstr>9</vt:lpwstr>
  </property>
  <property fmtid="{D5CDD505-2E9C-101B-9397-08002B2CF9AE}" pid="15" name="TYPE_ABS_DATE">
    <vt:lpwstr>380020221127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22841413;22087107:2;27502816;21641727;23580206;23778567;22961877;20111708;18119161;10459128;28032816</vt:lpwstr>
  </property>
  <property fmtid="{D5CDD505-2E9C-101B-9397-08002B2CF9AE}" pid="36" name="LAWLISTTMP1">
    <vt:lpwstr>4216/006;007.a;007.c;010</vt:lpwstr>
  </property>
  <property fmtid="{D5CDD505-2E9C-101B-9397-08002B2CF9AE}" pid="37" name="LAWLISTTMP2">
    <vt:lpwstr>70301/040d</vt:lpwstr>
  </property>
</Properties>
</file>