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1620"/>
        <w:gridCol w:w="2512"/>
        <w:gridCol w:w="3666"/>
        <w:gridCol w:w="99"/>
      </w:tblGrid>
      <w:tr w:rsidR="00AB3580" w:rsidRPr="00FC31CD" w14:paraId="41B544EE" w14:textId="77777777" w:rsidTr="00F45F91">
        <w:trPr>
          <w:gridAfter w:val="1"/>
          <w:wAfter w:w="99" w:type="dxa"/>
          <w:trHeight w:hRule="exact" w:val="418"/>
          <w:jc w:val="center"/>
        </w:trPr>
        <w:tc>
          <w:tcPr>
            <w:tcW w:w="8721" w:type="dxa"/>
            <w:gridSpan w:val="4"/>
          </w:tcPr>
          <w:p w14:paraId="612774B6" w14:textId="77777777" w:rsidR="00AB3580" w:rsidRPr="00FC31CD" w:rsidRDefault="00AB3580" w:rsidP="00335349">
            <w:pPr>
              <w:pStyle w:val="a3"/>
              <w:jc w:val="center"/>
              <w:rPr>
                <w:rFonts w:ascii="Tahoma" w:hAnsi="Tahoma" w:cs="Tahoma"/>
                <w:color w:val="000080"/>
                <w:rtl/>
              </w:rPr>
            </w:pPr>
            <w:bookmarkStart w:id="0" w:name="FirstLawyer"/>
            <w:bookmarkStart w:id="1" w:name="LastJudge"/>
            <w:r w:rsidRPr="00FC31CD">
              <w:rPr>
                <w:rFonts w:ascii="Tahoma" w:hAnsi="Tahoma" w:cs="Tahoma"/>
                <w:b/>
                <w:bCs/>
                <w:color w:val="000080"/>
                <w:rtl/>
              </w:rPr>
              <w:t>בית משפט השלום בראשון לציון</w:t>
            </w:r>
          </w:p>
        </w:tc>
      </w:tr>
      <w:tr w:rsidR="00AB3580" w:rsidRPr="004F588C" w14:paraId="659E0A05" w14:textId="77777777" w:rsidTr="00F45F91">
        <w:trPr>
          <w:gridAfter w:val="1"/>
          <w:wAfter w:w="99" w:type="dxa"/>
          <w:trHeight w:val="337"/>
          <w:jc w:val="center"/>
        </w:trPr>
        <w:tc>
          <w:tcPr>
            <w:tcW w:w="5055" w:type="dxa"/>
            <w:gridSpan w:val="3"/>
          </w:tcPr>
          <w:p w14:paraId="62223DFE" w14:textId="77777777" w:rsidR="00AB3580" w:rsidRPr="004F588C" w:rsidRDefault="00AB3580" w:rsidP="004F588C">
            <w:pPr>
              <w:pStyle w:val="a3"/>
              <w:spacing w:before="120" w:after="120" w:line="240" w:lineRule="exact"/>
              <w:rPr>
                <w:rFonts w:ascii="David" w:hAnsi="David"/>
                <w:b/>
                <w:bCs/>
                <w:sz w:val="26"/>
                <w:szCs w:val="26"/>
                <w:rtl/>
              </w:rPr>
            </w:pPr>
            <w:r w:rsidRPr="004F588C">
              <w:rPr>
                <w:rFonts w:ascii="David" w:hAnsi="David"/>
                <w:b/>
                <w:bCs/>
                <w:sz w:val="26"/>
                <w:szCs w:val="26"/>
                <w:rtl/>
              </w:rPr>
              <w:t>ת"פ 16982-03-21 מדינת ישראל נ' אטנלובי</w:t>
            </w:r>
          </w:p>
        </w:tc>
        <w:tc>
          <w:tcPr>
            <w:tcW w:w="3666" w:type="dxa"/>
          </w:tcPr>
          <w:p w14:paraId="56B129D1" w14:textId="77777777" w:rsidR="00AB3580" w:rsidRPr="004F588C" w:rsidRDefault="00AB3580" w:rsidP="004F588C">
            <w:pPr>
              <w:pStyle w:val="a3"/>
              <w:spacing w:before="120" w:after="120" w:line="240" w:lineRule="exact"/>
              <w:jc w:val="right"/>
              <w:rPr>
                <w:rFonts w:ascii="David" w:hAnsi="David"/>
                <w:b/>
                <w:bCs/>
                <w:sz w:val="26"/>
                <w:szCs w:val="26"/>
                <w:rtl/>
              </w:rPr>
            </w:pPr>
          </w:p>
        </w:tc>
      </w:tr>
      <w:tr w:rsidR="00AB3580" w:rsidRPr="00FC31CD" w14:paraId="28147D42" w14:textId="77777777" w:rsidTr="00F45F9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AF34C83" w14:textId="77777777" w:rsidR="00AB3580" w:rsidRPr="004F588C" w:rsidRDefault="00AB3580" w:rsidP="004F588C">
            <w:pPr>
              <w:spacing w:before="120" w:after="120" w:line="240" w:lineRule="exact"/>
              <w:jc w:val="both"/>
              <w:rPr>
                <w:rFonts w:ascii="David" w:hAnsi="David"/>
                <w:b/>
                <w:bCs/>
                <w:sz w:val="26"/>
                <w:szCs w:val="26"/>
              </w:rPr>
            </w:pPr>
            <w:r w:rsidRPr="004F588C">
              <w:rPr>
                <w:rFonts w:ascii="David" w:hAnsi="David"/>
                <w:b/>
                <w:bCs/>
                <w:sz w:val="26"/>
                <w:szCs w:val="26"/>
                <w:rtl/>
              </w:rPr>
              <w:t xml:space="preserve"> בפני </w:t>
            </w:r>
          </w:p>
        </w:tc>
        <w:tc>
          <w:tcPr>
            <w:tcW w:w="7897" w:type="dxa"/>
            <w:gridSpan w:val="4"/>
            <w:tcBorders>
              <w:top w:val="nil"/>
              <w:left w:val="nil"/>
              <w:bottom w:val="nil"/>
              <w:right w:val="nil"/>
            </w:tcBorders>
            <w:shd w:val="clear" w:color="auto" w:fill="auto"/>
          </w:tcPr>
          <w:p w14:paraId="62CB309A" w14:textId="77777777" w:rsidR="00AB3580" w:rsidRPr="004F588C" w:rsidRDefault="00AB3580" w:rsidP="004F588C">
            <w:pPr>
              <w:spacing w:before="120" w:after="120" w:line="240" w:lineRule="exact"/>
              <w:jc w:val="both"/>
              <w:rPr>
                <w:rFonts w:ascii="David" w:hAnsi="David"/>
                <w:b/>
                <w:bCs/>
                <w:sz w:val="26"/>
                <w:szCs w:val="26"/>
              </w:rPr>
            </w:pPr>
            <w:r w:rsidRPr="004F588C">
              <w:rPr>
                <w:rFonts w:ascii="David" w:hAnsi="David"/>
                <w:b/>
                <w:bCs/>
                <w:sz w:val="26"/>
                <w:szCs w:val="26"/>
                <w:rtl/>
              </w:rPr>
              <w:t>כבוד השופט  יוני לבני</w:t>
            </w:r>
          </w:p>
        </w:tc>
      </w:tr>
      <w:tr w:rsidR="004F588C" w:rsidRPr="00FC31CD" w14:paraId="603215C6" w14:textId="77777777" w:rsidTr="009172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2543" w:type="dxa"/>
            <w:gridSpan w:val="2"/>
            <w:tcBorders>
              <w:top w:val="nil"/>
              <w:left w:val="nil"/>
              <w:bottom w:val="nil"/>
              <w:right w:val="nil"/>
            </w:tcBorders>
            <w:shd w:val="clear" w:color="auto" w:fill="auto"/>
          </w:tcPr>
          <w:p w14:paraId="35160360" w14:textId="77777777" w:rsidR="004F588C" w:rsidRPr="004F588C" w:rsidRDefault="004F588C" w:rsidP="004F588C">
            <w:pPr>
              <w:spacing w:before="120" w:after="120" w:line="240" w:lineRule="exact"/>
              <w:jc w:val="both"/>
              <w:rPr>
                <w:rFonts w:ascii="David" w:hAnsi="David"/>
                <w:b/>
                <w:bCs/>
                <w:sz w:val="26"/>
                <w:szCs w:val="26"/>
              </w:rPr>
            </w:pPr>
            <w:bookmarkStart w:id="2" w:name="FirstAppellant"/>
            <w:r w:rsidRPr="004F588C">
              <w:rPr>
                <w:rFonts w:ascii="David" w:hAnsi="David"/>
                <w:b/>
                <w:bCs/>
                <w:sz w:val="26"/>
                <w:szCs w:val="26"/>
                <w:rtl/>
              </w:rPr>
              <w:t>בעניין:</w:t>
            </w:r>
          </w:p>
          <w:p w14:paraId="288C4EC5" w14:textId="77777777" w:rsidR="004F588C" w:rsidRPr="004F588C" w:rsidRDefault="004F588C" w:rsidP="004F588C">
            <w:pPr>
              <w:spacing w:before="120" w:after="120" w:line="240" w:lineRule="exact"/>
              <w:rPr>
                <w:rFonts w:ascii="David" w:hAnsi="David"/>
                <w:b/>
                <w:bCs/>
                <w:sz w:val="26"/>
                <w:szCs w:val="26"/>
              </w:rPr>
            </w:pPr>
            <w:r w:rsidRPr="004F588C">
              <w:rPr>
                <w:rFonts w:ascii="David" w:hAnsi="David"/>
                <w:b/>
                <w:bCs/>
                <w:sz w:val="26"/>
                <w:szCs w:val="26"/>
                <w:rtl/>
              </w:rPr>
              <w:t>המאשימה</w:t>
            </w:r>
          </w:p>
        </w:tc>
        <w:tc>
          <w:tcPr>
            <w:tcW w:w="6277" w:type="dxa"/>
            <w:gridSpan w:val="3"/>
            <w:tcBorders>
              <w:top w:val="nil"/>
              <w:left w:val="nil"/>
              <w:bottom w:val="nil"/>
              <w:right w:val="nil"/>
            </w:tcBorders>
            <w:shd w:val="clear" w:color="auto" w:fill="auto"/>
            <w:vAlign w:val="center"/>
          </w:tcPr>
          <w:p w14:paraId="29B6ADB1" w14:textId="77777777" w:rsidR="004F588C" w:rsidRPr="004F588C" w:rsidRDefault="004F588C" w:rsidP="004F588C">
            <w:pPr>
              <w:spacing w:before="120" w:after="120" w:line="240" w:lineRule="exact"/>
              <w:rPr>
                <w:rFonts w:ascii="David" w:hAnsi="David"/>
                <w:b/>
                <w:bCs/>
                <w:sz w:val="26"/>
                <w:szCs w:val="26"/>
              </w:rPr>
            </w:pPr>
            <w:r w:rsidRPr="004F588C">
              <w:rPr>
                <w:rFonts w:ascii="David" w:hAnsi="David"/>
                <w:b/>
                <w:bCs/>
                <w:sz w:val="26"/>
                <w:szCs w:val="26"/>
                <w:rtl/>
              </w:rPr>
              <w:t>מדינת ישראל ע"י ב"כ עוה"ד</w:t>
            </w:r>
          </w:p>
        </w:tc>
      </w:tr>
      <w:bookmarkEnd w:id="2"/>
      <w:tr w:rsidR="004F588C" w:rsidRPr="00FC31CD" w14:paraId="757BC1BE" w14:textId="77777777" w:rsidTr="009172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8820" w:type="dxa"/>
            <w:gridSpan w:val="5"/>
            <w:tcBorders>
              <w:top w:val="nil"/>
              <w:left w:val="nil"/>
              <w:bottom w:val="nil"/>
              <w:right w:val="nil"/>
            </w:tcBorders>
            <w:shd w:val="clear" w:color="auto" w:fill="auto"/>
          </w:tcPr>
          <w:p w14:paraId="7C7A28CA" w14:textId="77777777" w:rsidR="004F588C" w:rsidRPr="004F588C" w:rsidRDefault="004F588C" w:rsidP="003C6250">
            <w:pPr>
              <w:spacing w:before="240" w:after="240" w:line="240" w:lineRule="exact"/>
              <w:jc w:val="center"/>
              <w:rPr>
                <w:rFonts w:ascii="David" w:hAnsi="David" w:hint="cs"/>
                <w:b/>
                <w:bCs/>
                <w:sz w:val="26"/>
                <w:szCs w:val="26"/>
              </w:rPr>
            </w:pPr>
            <w:r w:rsidRPr="004F588C">
              <w:rPr>
                <w:rFonts w:ascii="David" w:hAnsi="David"/>
                <w:b/>
                <w:bCs/>
                <w:sz w:val="26"/>
                <w:szCs w:val="26"/>
                <w:rtl/>
              </w:rPr>
              <w:t>נגד</w:t>
            </w:r>
          </w:p>
        </w:tc>
      </w:tr>
      <w:tr w:rsidR="004F588C" w:rsidRPr="00FC31CD" w14:paraId="3A073941" w14:textId="77777777" w:rsidTr="009172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2543" w:type="dxa"/>
            <w:gridSpan w:val="2"/>
            <w:tcBorders>
              <w:top w:val="nil"/>
              <w:left w:val="nil"/>
              <w:bottom w:val="nil"/>
              <w:right w:val="nil"/>
            </w:tcBorders>
            <w:shd w:val="clear" w:color="auto" w:fill="auto"/>
          </w:tcPr>
          <w:p w14:paraId="27C499AD" w14:textId="77777777" w:rsidR="004F588C" w:rsidRPr="004F588C" w:rsidRDefault="004F588C" w:rsidP="004F588C">
            <w:pPr>
              <w:spacing w:before="120" w:after="120" w:line="240" w:lineRule="exact"/>
              <w:rPr>
                <w:rFonts w:ascii="David" w:hAnsi="David"/>
                <w:b/>
                <w:bCs/>
                <w:sz w:val="26"/>
                <w:szCs w:val="26"/>
                <w:rtl/>
              </w:rPr>
            </w:pPr>
            <w:r w:rsidRPr="004F588C">
              <w:rPr>
                <w:rFonts w:ascii="David" w:hAnsi="David"/>
                <w:b/>
                <w:bCs/>
                <w:sz w:val="26"/>
                <w:szCs w:val="26"/>
                <w:rtl/>
              </w:rPr>
              <w:t>הנאשמים</w:t>
            </w:r>
          </w:p>
        </w:tc>
        <w:tc>
          <w:tcPr>
            <w:tcW w:w="6277" w:type="dxa"/>
            <w:gridSpan w:val="3"/>
            <w:tcBorders>
              <w:top w:val="nil"/>
              <w:left w:val="nil"/>
              <w:bottom w:val="nil"/>
              <w:right w:val="nil"/>
            </w:tcBorders>
            <w:shd w:val="clear" w:color="auto" w:fill="auto"/>
            <w:vAlign w:val="center"/>
          </w:tcPr>
          <w:p w14:paraId="3C483ADE" w14:textId="77777777" w:rsidR="004F588C" w:rsidRPr="004F588C" w:rsidRDefault="004F588C" w:rsidP="004F588C">
            <w:pPr>
              <w:spacing w:before="120" w:after="120" w:line="240" w:lineRule="exact"/>
              <w:rPr>
                <w:rFonts w:ascii="David" w:hAnsi="David"/>
                <w:b/>
                <w:bCs/>
                <w:sz w:val="26"/>
                <w:szCs w:val="26"/>
              </w:rPr>
            </w:pPr>
            <w:r w:rsidRPr="004F588C">
              <w:rPr>
                <w:rFonts w:ascii="David" w:hAnsi="David"/>
                <w:b/>
                <w:bCs/>
                <w:sz w:val="26"/>
                <w:szCs w:val="26"/>
                <w:rtl/>
              </w:rPr>
              <w:t>ניקה אטנלובי ע"י ב"כ עוה"ד</w:t>
            </w:r>
          </w:p>
        </w:tc>
      </w:tr>
    </w:tbl>
    <w:p w14:paraId="422C4DF3" w14:textId="77777777" w:rsidR="003C6250" w:rsidRDefault="003C6250" w:rsidP="00AB3580">
      <w:pPr>
        <w:rPr>
          <w:sz w:val="26"/>
          <w:szCs w:val="26"/>
          <w:rtl/>
        </w:rPr>
      </w:pPr>
      <w:bookmarkStart w:id="3" w:name="Links_Kitvei_Start"/>
    </w:p>
    <w:bookmarkEnd w:id="3"/>
    <w:p w14:paraId="38B74D3A" w14:textId="77777777" w:rsidR="003C6250" w:rsidRPr="003C6250" w:rsidRDefault="003C6250" w:rsidP="003C6250">
      <w:pPr>
        <w:spacing w:after="120" w:line="240" w:lineRule="exact"/>
        <w:ind w:left="283" w:hanging="283"/>
        <w:jc w:val="both"/>
        <w:rPr>
          <w:rStyle w:val="Hyperlink"/>
          <w:rFonts w:ascii="FrankRuehl" w:hAnsi="FrankRuehl" w:cs="FrankRuehl"/>
          <w:u w:val="none"/>
          <w:rtl/>
        </w:rPr>
      </w:pPr>
      <w:r w:rsidRPr="003C6250">
        <w:rPr>
          <w:rFonts w:ascii="FrankRuehl" w:hAnsi="FrankRuehl" w:cs="FrankRuehl"/>
          <w:rtl/>
        </w:rPr>
        <w:t>כתבי עת:</w:t>
      </w:r>
      <w:r w:rsidRPr="003C6250">
        <w:rPr>
          <w:rFonts w:ascii="FrankRuehl" w:hAnsi="FrankRuehl" w:cs="FrankRuehl"/>
          <w:rtl/>
        </w:rPr>
        <w:fldChar w:fldCharType="begin"/>
      </w:r>
      <w:r w:rsidRPr="003C6250">
        <w:rPr>
          <w:rFonts w:ascii="FrankRuehl" w:hAnsi="FrankRuehl" w:cs="FrankRuehl"/>
          <w:rtl/>
        </w:rPr>
        <w:instrText xml:space="preserve"> </w:instrText>
      </w:r>
      <w:r w:rsidRPr="003C6250">
        <w:rPr>
          <w:rFonts w:ascii="FrankRuehl" w:hAnsi="FrankRuehl" w:cs="FrankRuehl"/>
        </w:rPr>
        <w:instrText>HYPERLINK</w:instrText>
      </w:r>
      <w:r w:rsidRPr="003C6250">
        <w:rPr>
          <w:rFonts w:ascii="FrankRuehl" w:hAnsi="FrankRuehl" w:cs="FrankRuehl"/>
          <w:rtl/>
        </w:rPr>
        <w:instrText xml:space="preserve"> "</w:instrText>
      </w:r>
      <w:r w:rsidRPr="003C6250">
        <w:rPr>
          <w:rFonts w:ascii="FrankRuehl" w:hAnsi="FrankRuehl" w:cs="FrankRuehl"/>
        </w:rPr>
        <w:instrText>http://www.nevo.co.il/safrut/book/36018</w:instrText>
      </w:r>
      <w:r w:rsidRPr="003C6250">
        <w:rPr>
          <w:rFonts w:ascii="FrankRuehl" w:hAnsi="FrankRuehl" w:cs="FrankRuehl"/>
          <w:rtl/>
        </w:rPr>
        <w:instrText xml:space="preserve">" </w:instrText>
      </w:r>
      <w:r w:rsidR="009172D8" w:rsidRPr="003C6250">
        <w:rPr>
          <w:rFonts w:ascii="FrankRuehl" w:hAnsi="FrankRuehl" w:cs="FrankRuehl"/>
        </w:rPr>
      </w:r>
      <w:r w:rsidRPr="003C6250">
        <w:rPr>
          <w:rFonts w:ascii="FrankRuehl" w:hAnsi="FrankRuehl" w:cs="FrankRuehl"/>
          <w:rtl/>
        </w:rPr>
        <w:fldChar w:fldCharType="separate"/>
      </w:r>
    </w:p>
    <w:p w14:paraId="6B1A7DC3" w14:textId="77777777" w:rsidR="003C6250" w:rsidRPr="003C6250" w:rsidRDefault="003C6250" w:rsidP="003C6250">
      <w:pPr>
        <w:spacing w:after="120" w:line="240" w:lineRule="exact"/>
        <w:ind w:left="283" w:hanging="283"/>
        <w:jc w:val="both"/>
        <w:rPr>
          <w:rFonts w:ascii="FrankRuehl" w:hAnsi="FrankRuehl" w:cs="FrankRuehl"/>
          <w:rtl/>
        </w:rPr>
      </w:pPr>
      <w:r w:rsidRPr="003C6250">
        <w:rPr>
          <w:rStyle w:val="Hyperlink"/>
          <w:rFonts w:ascii="FrankRuehl" w:hAnsi="FrankRuehl" w:cs="FrankRuehl"/>
          <w:u w:val="none"/>
          <w:rtl/>
        </w:rPr>
        <w:t>דיקלה ואקי, "מה בין ריבוי אירועים לריבוי עבירות", משפט מפתח, 3 (דצמבר 2015) 100</w:t>
      </w:r>
      <w:r w:rsidRPr="003C6250">
        <w:rPr>
          <w:rFonts w:ascii="FrankRuehl" w:hAnsi="FrankRuehl" w:cs="FrankRuehl"/>
          <w:rtl/>
        </w:rPr>
        <w:fldChar w:fldCharType="end"/>
      </w:r>
    </w:p>
    <w:p w14:paraId="72579DEB" w14:textId="77777777" w:rsidR="003C6250" w:rsidRPr="003C6250" w:rsidRDefault="003C6250" w:rsidP="003C6250">
      <w:pPr>
        <w:spacing w:after="120" w:line="240" w:lineRule="exact"/>
        <w:ind w:left="283" w:hanging="283"/>
        <w:jc w:val="both"/>
        <w:rPr>
          <w:rFonts w:ascii="FrankRuehl" w:hAnsi="FrankRuehl" w:cs="FrankRuehl"/>
          <w:rtl/>
        </w:rPr>
      </w:pPr>
      <w:hyperlink r:id="rId7" w:history="1">
        <w:r w:rsidRPr="003C6250">
          <w:rPr>
            <w:rStyle w:val="Hyperlink"/>
            <w:rFonts w:ascii="FrankRuehl" w:hAnsi="FrankRuehl" w:cs="FrankRuehl"/>
            <w:u w:val="none"/>
            <w:rtl/>
          </w:rPr>
          <w:t>ברק אריאל;יעל לוי־אריאל, "התבוננות מחודשת במוסד ההרתעה (ובדרכים ליצירת הרתעה יעילה)", משפט, חברה ותרבות, משפט צדק? ההליך הפלילי בישראל - כשלים ואתגרים (אלון הראל עורך, אונ' תל אביב, 2017) 83</w:t>
        </w:r>
      </w:hyperlink>
    </w:p>
    <w:p w14:paraId="265238C8" w14:textId="77777777" w:rsidR="003C6250" w:rsidRPr="003C6250" w:rsidRDefault="003C6250" w:rsidP="003C6250">
      <w:pPr>
        <w:spacing w:before="120" w:after="120" w:line="240" w:lineRule="exact"/>
        <w:ind w:left="283" w:hanging="283"/>
        <w:jc w:val="both"/>
        <w:rPr>
          <w:rFonts w:ascii="FrankRuehl" w:hAnsi="FrankRuehl" w:cs="FrankRuehl"/>
          <w:rtl/>
        </w:rPr>
      </w:pPr>
      <w:bookmarkStart w:id="4" w:name="Links_Kitvei_End"/>
      <w:bookmarkStart w:id="5" w:name="LawTable"/>
      <w:bookmarkEnd w:id="4"/>
      <w:bookmarkEnd w:id="5"/>
    </w:p>
    <w:p w14:paraId="3B59269A" w14:textId="77777777" w:rsidR="003C6250" w:rsidRPr="003C6250" w:rsidRDefault="003C6250" w:rsidP="003C6250">
      <w:pPr>
        <w:spacing w:before="120" w:after="120" w:line="240" w:lineRule="exact"/>
        <w:ind w:left="283" w:hanging="283"/>
        <w:jc w:val="both"/>
        <w:rPr>
          <w:rFonts w:ascii="FrankRuehl" w:hAnsi="FrankRuehl" w:cs="FrankRuehl"/>
          <w:rtl/>
        </w:rPr>
      </w:pPr>
      <w:r w:rsidRPr="003C6250">
        <w:rPr>
          <w:rFonts w:ascii="FrankRuehl" w:hAnsi="FrankRuehl" w:cs="FrankRuehl"/>
          <w:rtl/>
        </w:rPr>
        <w:t xml:space="preserve">חקיקה שאוזכרה: </w:t>
      </w:r>
    </w:p>
    <w:p w14:paraId="662AA288" w14:textId="77777777" w:rsidR="003C6250" w:rsidRPr="003C6250" w:rsidRDefault="003C6250" w:rsidP="003C6250">
      <w:pPr>
        <w:spacing w:before="120" w:after="120" w:line="240" w:lineRule="exact"/>
        <w:ind w:left="283" w:hanging="283"/>
        <w:jc w:val="both"/>
        <w:rPr>
          <w:rFonts w:ascii="FrankRuehl" w:hAnsi="FrankRuehl" w:cs="FrankRuehl"/>
          <w:color w:val="0000FF"/>
          <w:rtl/>
        </w:rPr>
      </w:pPr>
      <w:hyperlink r:id="rId8" w:history="1">
        <w:r w:rsidRPr="003C6250">
          <w:rPr>
            <w:rStyle w:val="Hyperlink"/>
            <w:rFonts w:ascii="FrankRuehl" w:hAnsi="FrankRuehl" w:cs="FrankRuehl"/>
            <w:u w:val="none"/>
            <w:rtl/>
          </w:rPr>
          <w:t>חוק שירותי תשלום, תשע"ט-2019</w:t>
        </w:r>
      </w:hyperlink>
      <w:r w:rsidRPr="003C6250">
        <w:rPr>
          <w:rFonts w:ascii="FrankRuehl" w:hAnsi="FrankRuehl" w:cs="FrankRuehl"/>
          <w:color w:val="0000FF"/>
          <w:rtl/>
        </w:rPr>
        <w:t xml:space="preserve">: סע'  </w:t>
      </w:r>
      <w:hyperlink r:id="rId9" w:history="1">
        <w:r w:rsidRPr="003C6250">
          <w:rPr>
            <w:rStyle w:val="Hyperlink"/>
            <w:rFonts w:ascii="FrankRuehl" w:hAnsi="FrankRuehl" w:cs="FrankRuehl"/>
            <w:u w:val="none"/>
          </w:rPr>
          <w:t>40</w:t>
        </w:r>
      </w:hyperlink>
      <w:r w:rsidRPr="003C6250">
        <w:rPr>
          <w:rFonts w:ascii="FrankRuehl" w:hAnsi="FrankRuehl" w:cs="FrankRuehl"/>
          <w:color w:val="0000FF"/>
          <w:rtl/>
        </w:rPr>
        <w:t>(ג)(1)</w:t>
      </w:r>
    </w:p>
    <w:p w14:paraId="0CAA2B47" w14:textId="77777777" w:rsidR="003C6250" w:rsidRPr="003C6250" w:rsidRDefault="003C6250" w:rsidP="003C6250">
      <w:pPr>
        <w:spacing w:before="120" w:after="120" w:line="240" w:lineRule="exact"/>
        <w:ind w:left="283" w:hanging="283"/>
        <w:jc w:val="both"/>
        <w:rPr>
          <w:rFonts w:ascii="FrankRuehl" w:hAnsi="FrankRuehl" w:cs="FrankRuehl"/>
          <w:color w:val="0000FF"/>
          <w:rtl/>
        </w:rPr>
      </w:pPr>
      <w:hyperlink r:id="rId10" w:history="1">
        <w:r w:rsidRPr="003C6250">
          <w:rPr>
            <w:rStyle w:val="Hyperlink"/>
            <w:rFonts w:ascii="FrankRuehl" w:hAnsi="FrankRuehl" w:cs="FrankRuehl"/>
            <w:u w:val="none"/>
            <w:rtl/>
          </w:rPr>
          <w:t>חוק העונשין, תשל"ז-1977</w:t>
        </w:r>
      </w:hyperlink>
      <w:r w:rsidRPr="003C6250">
        <w:rPr>
          <w:rFonts w:ascii="FrankRuehl" w:hAnsi="FrankRuehl" w:cs="FrankRuehl"/>
          <w:color w:val="0000FF"/>
          <w:rtl/>
        </w:rPr>
        <w:t xml:space="preserve">: סע'  </w:t>
      </w:r>
      <w:hyperlink r:id="rId11" w:history="1">
        <w:r w:rsidRPr="003C6250">
          <w:rPr>
            <w:rStyle w:val="Hyperlink"/>
            <w:rFonts w:ascii="FrankRuehl" w:hAnsi="FrankRuehl" w:cs="FrankRuehl"/>
            <w:u w:val="none"/>
          </w:rPr>
          <w:t>40.</w:t>
        </w:r>
        <w:r w:rsidRPr="003C6250">
          <w:rPr>
            <w:rStyle w:val="Hyperlink"/>
            <w:rFonts w:ascii="FrankRuehl" w:hAnsi="FrankRuehl" w:cs="FrankRuehl"/>
            <w:u w:val="none"/>
            <w:rtl/>
          </w:rPr>
          <w:t>ג</w:t>
        </w:r>
      </w:hyperlink>
      <w:r w:rsidRPr="003C6250">
        <w:rPr>
          <w:rFonts w:ascii="FrankRuehl" w:hAnsi="FrankRuehl" w:cs="FrankRuehl"/>
          <w:color w:val="0000FF"/>
          <w:rtl/>
        </w:rPr>
        <w:t xml:space="preserve">, </w:t>
      </w:r>
      <w:hyperlink r:id="rId12" w:history="1">
        <w:r w:rsidRPr="003C6250">
          <w:rPr>
            <w:rStyle w:val="Hyperlink"/>
            <w:rFonts w:ascii="FrankRuehl" w:hAnsi="FrankRuehl" w:cs="FrankRuehl"/>
            <w:u w:val="none"/>
          </w:rPr>
          <w:t>40.</w:t>
        </w:r>
        <w:r w:rsidRPr="003C6250">
          <w:rPr>
            <w:rStyle w:val="Hyperlink"/>
            <w:rFonts w:ascii="FrankRuehl" w:hAnsi="FrankRuehl" w:cs="FrankRuehl"/>
            <w:u w:val="none"/>
            <w:rtl/>
          </w:rPr>
          <w:t>ה</w:t>
        </w:r>
      </w:hyperlink>
      <w:r w:rsidRPr="003C6250">
        <w:rPr>
          <w:rFonts w:ascii="FrankRuehl" w:hAnsi="FrankRuehl" w:cs="FrankRuehl"/>
          <w:color w:val="0000FF"/>
          <w:rtl/>
        </w:rPr>
        <w:t xml:space="preserve">, </w:t>
      </w:r>
      <w:hyperlink r:id="rId13" w:history="1">
        <w:r w:rsidRPr="003C6250">
          <w:rPr>
            <w:rStyle w:val="Hyperlink"/>
            <w:rFonts w:ascii="FrankRuehl" w:hAnsi="FrankRuehl" w:cs="FrankRuehl"/>
            <w:u w:val="none"/>
          </w:rPr>
          <w:t>40.</w:t>
        </w:r>
        <w:r w:rsidRPr="003C6250">
          <w:rPr>
            <w:rStyle w:val="Hyperlink"/>
            <w:rFonts w:ascii="FrankRuehl" w:hAnsi="FrankRuehl" w:cs="FrankRuehl"/>
            <w:u w:val="none"/>
            <w:rtl/>
          </w:rPr>
          <w:t>ו</w:t>
        </w:r>
        <w:r w:rsidRPr="003C6250">
          <w:rPr>
            <w:rStyle w:val="Hyperlink"/>
            <w:rFonts w:ascii="FrankRuehl" w:hAnsi="FrankRuehl" w:cs="FrankRuehl"/>
            <w:u w:val="none"/>
          </w:rPr>
          <w:t>.</w:t>
        </w:r>
      </w:hyperlink>
      <w:r w:rsidRPr="003C6250">
        <w:rPr>
          <w:rFonts w:ascii="FrankRuehl" w:hAnsi="FrankRuehl" w:cs="FrankRuehl"/>
          <w:color w:val="0000FF"/>
          <w:rtl/>
        </w:rPr>
        <w:t xml:space="preserve">, </w:t>
      </w:r>
      <w:hyperlink r:id="rId14" w:history="1">
        <w:r w:rsidRPr="003C6250">
          <w:rPr>
            <w:rStyle w:val="Hyperlink"/>
            <w:rFonts w:ascii="FrankRuehl" w:hAnsi="FrankRuehl" w:cs="FrankRuehl"/>
            <w:u w:val="none"/>
          </w:rPr>
          <w:t>40.</w:t>
        </w:r>
        <w:r w:rsidRPr="003C6250">
          <w:rPr>
            <w:rStyle w:val="Hyperlink"/>
            <w:rFonts w:ascii="FrankRuehl" w:hAnsi="FrankRuehl" w:cs="FrankRuehl"/>
            <w:u w:val="none"/>
            <w:rtl/>
          </w:rPr>
          <w:t>ז</w:t>
        </w:r>
      </w:hyperlink>
      <w:r w:rsidRPr="003C6250">
        <w:rPr>
          <w:rFonts w:ascii="FrankRuehl" w:hAnsi="FrankRuehl" w:cs="FrankRuehl"/>
          <w:color w:val="0000FF"/>
          <w:rtl/>
        </w:rPr>
        <w:t xml:space="preserve">, </w:t>
      </w:r>
      <w:hyperlink r:id="rId15" w:history="1">
        <w:r w:rsidRPr="003C6250">
          <w:rPr>
            <w:rStyle w:val="Hyperlink"/>
            <w:rFonts w:ascii="FrankRuehl" w:hAnsi="FrankRuehl" w:cs="FrankRuehl"/>
            <w:u w:val="none"/>
          </w:rPr>
          <w:t>40</w:t>
        </w:r>
        <w:r w:rsidRPr="003C6250">
          <w:rPr>
            <w:rStyle w:val="Hyperlink"/>
            <w:rFonts w:ascii="FrankRuehl" w:hAnsi="FrankRuehl" w:cs="FrankRuehl"/>
            <w:u w:val="none"/>
            <w:rtl/>
          </w:rPr>
          <w:t>א</w:t>
        </w:r>
      </w:hyperlink>
      <w:r w:rsidRPr="003C6250">
        <w:rPr>
          <w:rFonts w:ascii="FrankRuehl" w:hAnsi="FrankRuehl" w:cs="FrankRuehl"/>
          <w:color w:val="0000FF"/>
          <w:rtl/>
        </w:rPr>
        <w:t xml:space="preserve">, </w:t>
      </w:r>
      <w:hyperlink r:id="rId16" w:history="1">
        <w:r w:rsidRPr="003C6250">
          <w:rPr>
            <w:rStyle w:val="Hyperlink"/>
            <w:rFonts w:ascii="FrankRuehl" w:hAnsi="FrankRuehl" w:cs="FrankRuehl"/>
            <w:u w:val="none"/>
          </w:rPr>
          <w:t>40</w:t>
        </w:r>
        <w:r w:rsidRPr="003C6250">
          <w:rPr>
            <w:rStyle w:val="Hyperlink"/>
            <w:rFonts w:ascii="FrankRuehl" w:hAnsi="FrankRuehl" w:cs="FrankRuehl"/>
            <w:u w:val="none"/>
            <w:rtl/>
          </w:rPr>
          <w:t>ד</w:t>
        </w:r>
      </w:hyperlink>
      <w:r w:rsidRPr="003C6250">
        <w:rPr>
          <w:rFonts w:ascii="FrankRuehl" w:hAnsi="FrankRuehl" w:cs="FrankRuehl"/>
          <w:color w:val="0000FF"/>
          <w:rtl/>
        </w:rPr>
        <w:t xml:space="preserve">, </w:t>
      </w:r>
      <w:hyperlink r:id="rId17" w:history="1">
        <w:r w:rsidRPr="003C6250">
          <w:rPr>
            <w:rStyle w:val="Hyperlink"/>
            <w:rFonts w:ascii="FrankRuehl" w:hAnsi="FrankRuehl" w:cs="FrankRuehl"/>
            <w:u w:val="none"/>
          </w:rPr>
          <w:t>244</w:t>
        </w:r>
      </w:hyperlink>
      <w:r w:rsidRPr="003C6250">
        <w:rPr>
          <w:rFonts w:ascii="FrankRuehl" w:hAnsi="FrankRuehl" w:cs="FrankRuehl"/>
          <w:color w:val="0000FF"/>
          <w:rtl/>
        </w:rPr>
        <w:t xml:space="preserve">, </w:t>
      </w:r>
      <w:hyperlink r:id="rId18" w:history="1">
        <w:r w:rsidRPr="003C6250">
          <w:rPr>
            <w:rStyle w:val="Hyperlink"/>
            <w:rFonts w:ascii="FrankRuehl" w:hAnsi="FrankRuehl" w:cs="FrankRuehl"/>
            <w:u w:val="none"/>
          </w:rPr>
          <w:t>275</w:t>
        </w:r>
      </w:hyperlink>
      <w:r w:rsidRPr="003C6250">
        <w:rPr>
          <w:rFonts w:ascii="FrankRuehl" w:hAnsi="FrankRuehl" w:cs="FrankRuehl"/>
          <w:color w:val="0000FF"/>
          <w:rtl/>
        </w:rPr>
        <w:t xml:space="preserve">, </w:t>
      </w:r>
      <w:hyperlink r:id="rId19" w:history="1">
        <w:r w:rsidRPr="003C6250">
          <w:rPr>
            <w:rStyle w:val="Hyperlink"/>
            <w:rFonts w:ascii="FrankRuehl" w:hAnsi="FrankRuehl" w:cs="FrankRuehl"/>
            <w:u w:val="none"/>
          </w:rPr>
          <w:t>420</w:t>
        </w:r>
      </w:hyperlink>
    </w:p>
    <w:p w14:paraId="774AFD89" w14:textId="77777777" w:rsidR="003C6250" w:rsidRPr="003C6250" w:rsidRDefault="003C6250" w:rsidP="003C6250">
      <w:pPr>
        <w:spacing w:before="120" w:after="120" w:line="240" w:lineRule="exact"/>
        <w:ind w:left="283" w:hanging="283"/>
        <w:jc w:val="both"/>
        <w:rPr>
          <w:rFonts w:ascii="FrankRuehl" w:hAnsi="FrankRuehl" w:cs="FrankRuehl"/>
          <w:color w:val="0000FF"/>
          <w:rtl/>
        </w:rPr>
      </w:pPr>
      <w:hyperlink r:id="rId20" w:history="1">
        <w:r w:rsidRPr="003C6250">
          <w:rPr>
            <w:rStyle w:val="Hyperlink"/>
            <w:rFonts w:ascii="FrankRuehl" w:hAnsi="FrankRuehl" w:cs="FrankRuehl"/>
            <w:u w:val="none"/>
            <w:rtl/>
          </w:rPr>
          <w:t>פקודת הסמים המסוכנים [נוסח חדש], תשל"ג-1973</w:t>
        </w:r>
      </w:hyperlink>
      <w:r w:rsidRPr="003C6250">
        <w:rPr>
          <w:rFonts w:ascii="FrankRuehl" w:hAnsi="FrankRuehl" w:cs="FrankRuehl"/>
          <w:color w:val="0000FF"/>
          <w:rtl/>
        </w:rPr>
        <w:t xml:space="preserve">: סע'  </w:t>
      </w:r>
      <w:hyperlink r:id="rId21" w:history="1">
        <w:r w:rsidRPr="003C6250">
          <w:rPr>
            <w:rStyle w:val="Hyperlink"/>
            <w:rFonts w:ascii="FrankRuehl" w:hAnsi="FrankRuehl" w:cs="FrankRuehl"/>
            <w:u w:val="none"/>
          </w:rPr>
          <w:t>7.</w:t>
        </w:r>
        <w:r w:rsidRPr="003C6250">
          <w:rPr>
            <w:rStyle w:val="Hyperlink"/>
            <w:rFonts w:ascii="FrankRuehl" w:hAnsi="FrankRuehl" w:cs="FrankRuehl"/>
            <w:u w:val="none"/>
            <w:rtl/>
          </w:rPr>
          <w:t>א</w:t>
        </w:r>
        <w:r w:rsidRPr="003C6250">
          <w:rPr>
            <w:rStyle w:val="Hyperlink"/>
            <w:rFonts w:ascii="FrankRuehl" w:hAnsi="FrankRuehl" w:cs="FrankRuehl"/>
            <w:u w:val="none"/>
          </w:rPr>
          <w:t>.</w:t>
        </w:r>
      </w:hyperlink>
      <w:r w:rsidRPr="003C6250">
        <w:rPr>
          <w:rFonts w:ascii="FrankRuehl" w:hAnsi="FrankRuehl" w:cs="FrankRuehl"/>
          <w:color w:val="0000FF"/>
          <w:rtl/>
        </w:rPr>
        <w:t xml:space="preserve">, </w:t>
      </w:r>
      <w:hyperlink r:id="rId22" w:history="1">
        <w:r w:rsidRPr="003C6250">
          <w:rPr>
            <w:rStyle w:val="Hyperlink"/>
            <w:rFonts w:ascii="FrankRuehl" w:hAnsi="FrankRuehl" w:cs="FrankRuehl"/>
            <w:u w:val="none"/>
          </w:rPr>
          <w:t>7.</w:t>
        </w:r>
        <w:r w:rsidRPr="003C6250">
          <w:rPr>
            <w:rStyle w:val="Hyperlink"/>
            <w:rFonts w:ascii="FrankRuehl" w:hAnsi="FrankRuehl" w:cs="FrankRuehl"/>
            <w:u w:val="none"/>
            <w:rtl/>
          </w:rPr>
          <w:t>ג</w:t>
        </w:r>
      </w:hyperlink>
    </w:p>
    <w:p w14:paraId="12ED5A32" w14:textId="77777777" w:rsidR="00F45F91" w:rsidRDefault="00F45F91" w:rsidP="003C6250">
      <w:pPr>
        <w:rPr>
          <w:rFonts w:hint="cs"/>
          <w:sz w:val="26"/>
          <w:szCs w:val="26"/>
          <w:rtl/>
        </w:rPr>
      </w:pPr>
      <w:bookmarkStart w:id="6" w:name="LawTable_End"/>
      <w:bookmarkEnd w:id="6"/>
    </w:p>
    <w:p w14:paraId="36A9F985" w14:textId="77777777" w:rsidR="002978A0" w:rsidRDefault="002978A0" w:rsidP="002978A0">
      <w:pPr>
        <w:pBdr>
          <w:top w:val="single" w:sz="4" w:space="1" w:color="auto"/>
          <w:bottom w:val="single" w:sz="4" w:space="1" w:color="auto"/>
        </w:pBdr>
        <w:spacing w:after="120" w:line="320" w:lineRule="exact"/>
        <w:jc w:val="both"/>
        <w:rPr>
          <w:rFonts w:cs="FrankRuehl" w:hint="cs"/>
          <w:szCs w:val="26"/>
          <w:rtl/>
        </w:rPr>
      </w:pPr>
      <w:bookmarkStart w:id="7" w:name="ABSTRACT_START"/>
      <w:bookmarkEnd w:id="7"/>
      <w:r>
        <w:rPr>
          <w:rFonts w:cs="FrankRuehl"/>
          <w:szCs w:val="26"/>
          <w:rtl/>
        </w:rPr>
        <w:t>מיני-רציו:</w:t>
      </w:r>
    </w:p>
    <w:p w14:paraId="31D6367D" w14:textId="77777777" w:rsidR="002978A0" w:rsidRPr="00284A49" w:rsidRDefault="002978A0" w:rsidP="002978A0">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284A49">
        <w:rPr>
          <w:rFonts w:cs="FrankRuehl" w:hint="cs"/>
          <w:szCs w:val="26"/>
          <w:rtl/>
        </w:rPr>
        <w:t>בית המשפט גזר עונש של 13 חודשי מאסר בפועל על הנאשם ש</w:t>
      </w:r>
      <w:r w:rsidRPr="00284A49">
        <w:rPr>
          <w:rFonts w:cs="FrankRuehl"/>
          <w:szCs w:val="26"/>
          <w:rtl/>
        </w:rPr>
        <w:t>הורשע על פי הודאתו</w:t>
      </w:r>
      <w:r w:rsidRPr="00284A49">
        <w:rPr>
          <w:rFonts w:cs="FrankRuehl" w:hint="cs"/>
          <w:szCs w:val="26"/>
          <w:rtl/>
        </w:rPr>
        <w:t>, בין היתר,</w:t>
      </w:r>
      <w:r w:rsidRPr="00284A49">
        <w:rPr>
          <w:rFonts w:cs="FrankRuehl"/>
          <w:szCs w:val="26"/>
          <w:rtl/>
        </w:rPr>
        <w:t xml:space="preserve"> בשורה של עבירות לפי חוק שירותי תשלום, הנוגעות לשימוש שעשה בכרטיסי אשראי מזויפים הכוללים נתונים של צדדים שלישיים לצורך ביצוע עסקאות, ללא ידיעתם וללא הסכמתם</w:t>
      </w:r>
      <w:r w:rsidRPr="00284A49">
        <w:rPr>
          <w:rFonts w:cs="FrankRuehl" w:hint="cs"/>
          <w:szCs w:val="26"/>
          <w:rtl/>
        </w:rPr>
        <w:t>.</w:t>
      </w:r>
    </w:p>
    <w:p w14:paraId="01F524B8" w14:textId="77777777" w:rsidR="002978A0" w:rsidRDefault="002978A0" w:rsidP="002978A0">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מרמה</w:t>
      </w:r>
    </w:p>
    <w:p w14:paraId="348E4903" w14:textId="77777777" w:rsidR="002978A0" w:rsidRPr="00284A49" w:rsidRDefault="002978A0" w:rsidP="002978A0">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193CB56" w14:textId="77777777" w:rsidR="002978A0" w:rsidRPr="00284A49" w:rsidRDefault="002978A0" w:rsidP="002978A0">
      <w:pPr>
        <w:pBdr>
          <w:top w:val="single" w:sz="4" w:space="1" w:color="auto"/>
          <w:bottom w:val="single" w:sz="4" w:space="1" w:color="auto"/>
        </w:pBdr>
        <w:spacing w:after="120" w:line="320" w:lineRule="exact"/>
        <w:jc w:val="both"/>
        <w:rPr>
          <w:rFonts w:cs="FrankRuehl"/>
          <w:szCs w:val="26"/>
          <w:rtl/>
        </w:rPr>
      </w:pPr>
      <w:r w:rsidRPr="00284A49">
        <w:rPr>
          <w:rFonts w:cs="FrankRuehl" w:hint="cs"/>
          <w:szCs w:val="26"/>
          <w:rtl/>
        </w:rPr>
        <w:t xml:space="preserve">בית המשפט נדרש לגזור את דינו של </w:t>
      </w:r>
      <w:r w:rsidRPr="00284A49">
        <w:rPr>
          <w:rFonts w:cs="FrankRuehl"/>
          <w:szCs w:val="26"/>
          <w:rtl/>
        </w:rPr>
        <w:t xml:space="preserve">הנאשם </w:t>
      </w:r>
      <w:r w:rsidRPr="00284A49">
        <w:rPr>
          <w:rFonts w:cs="FrankRuehl" w:hint="cs"/>
          <w:szCs w:val="26"/>
          <w:rtl/>
        </w:rPr>
        <w:t>ש</w:t>
      </w:r>
      <w:r w:rsidRPr="00284A49">
        <w:rPr>
          <w:rFonts w:cs="FrankRuehl"/>
          <w:szCs w:val="26"/>
          <w:rtl/>
        </w:rPr>
        <w:t>הורשע על פי הודאתו, בכתב אישום מתוקן האוחז 22 אישומים, במסגרת הסדר טיעון, בשורה של עבירות לפי חוק שירותי תשלום, הנוגעות לשימוש שעשה בכרטיסי אשראי מזויפים הכוללים נתונים של צדדים שלישיים לצורך ביצוע עסקאות, ללא ידיעתם וללא הסכמתם. כן הורשע הנאשם בעבירות של הפרעה לשוטר במילוי תפקידו ושל שיבוש מהלכי משפט בעת ששוטרים הגיעו לבית דודו לבצע צו מעצר וחיפוש; ובעבירות של שימוש בסמים לצריכה עצמית.</w:t>
      </w:r>
    </w:p>
    <w:p w14:paraId="2DEC8B85" w14:textId="77777777" w:rsidR="002978A0" w:rsidRPr="00284A49" w:rsidRDefault="002978A0" w:rsidP="002978A0">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6B128A8" w14:textId="77777777" w:rsidR="002978A0" w:rsidRPr="00284A49" w:rsidRDefault="002978A0" w:rsidP="002978A0">
      <w:pPr>
        <w:pBdr>
          <w:top w:val="single" w:sz="4" w:space="1" w:color="auto"/>
          <w:bottom w:val="single" w:sz="4" w:space="1" w:color="auto"/>
        </w:pBdr>
        <w:spacing w:after="120" w:line="320" w:lineRule="exact"/>
        <w:jc w:val="both"/>
        <w:rPr>
          <w:rFonts w:cs="FrankRuehl"/>
          <w:szCs w:val="26"/>
          <w:rtl/>
        </w:rPr>
      </w:pPr>
      <w:r w:rsidRPr="00284A49">
        <w:rPr>
          <w:rFonts w:cs="FrankRuehl" w:hint="cs"/>
          <w:szCs w:val="26"/>
          <w:rtl/>
        </w:rPr>
        <w:t>בית המשפט פסק כלהלן:</w:t>
      </w:r>
    </w:p>
    <w:p w14:paraId="3571AFD7" w14:textId="77777777" w:rsidR="002978A0" w:rsidRPr="00284A49" w:rsidRDefault="002978A0" w:rsidP="002978A0">
      <w:pPr>
        <w:pBdr>
          <w:top w:val="single" w:sz="4" w:space="1" w:color="auto"/>
          <w:bottom w:val="single" w:sz="4" w:space="1" w:color="auto"/>
        </w:pBdr>
        <w:spacing w:after="120" w:line="320" w:lineRule="exact"/>
        <w:jc w:val="both"/>
        <w:rPr>
          <w:rFonts w:cs="FrankRuehl"/>
          <w:szCs w:val="26"/>
          <w:rtl/>
        </w:rPr>
      </w:pPr>
      <w:r w:rsidRPr="00284A49">
        <w:rPr>
          <w:rFonts w:cs="FrankRuehl"/>
          <w:szCs w:val="26"/>
          <w:rtl/>
        </w:rPr>
        <w:lastRenderedPageBreak/>
        <w:t>אישומים 2 ואילך מתארים שורת מעשים שבוצעו לאורך פרק זמן של שבועות אחדים, בחלק מהזמן באותו יום או בימים עוקבים, ובחלקו האחר</w:t>
      </w:r>
      <w:r w:rsidRPr="00284A49">
        <w:rPr>
          <w:rFonts w:cs="FrankRuehl" w:hint="cs"/>
          <w:szCs w:val="26"/>
          <w:rtl/>
        </w:rPr>
        <w:t xml:space="preserve"> </w:t>
      </w:r>
      <w:r w:rsidRPr="00284A49">
        <w:rPr>
          <w:rFonts w:cs="FrankRuehl"/>
          <w:szCs w:val="26"/>
          <w:rtl/>
        </w:rPr>
        <w:t>– שלא ברציפות. המעשים כולם משקפים דפוס דומה, קירבה במאפייניהם ובדרכי הפעולה וחזרתיות. טעמים אלה מצדיקים לסווגם כאירוע אחד.</w:t>
      </w:r>
    </w:p>
    <w:p w14:paraId="657399C7" w14:textId="77777777" w:rsidR="002978A0" w:rsidRPr="00284A49" w:rsidRDefault="002978A0" w:rsidP="002978A0">
      <w:pPr>
        <w:pBdr>
          <w:top w:val="single" w:sz="4" w:space="1" w:color="auto"/>
          <w:bottom w:val="single" w:sz="4" w:space="1" w:color="auto"/>
        </w:pBdr>
        <w:spacing w:after="120" w:line="320" w:lineRule="exact"/>
        <w:jc w:val="both"/>
        <w:rPr>
          <w:rFonts w:cs="FrankRuehl"/>
          <w:szCs w:val="26"/>
          <w:rtl/>
        </w:rPr>
      </w:pPr>
      <w:r w:rsidRPr="00284A49">
        <w:rPr>
          <w:rFonts w:cs="FrankRuehl"/>
          <w:szCs w:val="26"/>
          <w:rtl/>
        </w:rPr>
        <w:t>כשמדובר בדפוס התנהגות אחד – גם אם מתמשך, של מעשים חוזרים, תיטה הפסיקה לסווגו כאירוע אחד. העובדה שבענייננו מדובר בפרק זמן לא ארוך באופן מיוחד, שהמעשים בוצעו בצמידות יחסית ושלמצער קיימת אפשרות שהנזק הכספי העיקרי ייספג על-ידי חברות האשראי ולא על-ידי שורת קורבנות שונים, מחזקת אף היא עמדה זו.</w:t>
      </w:r>
    </w:p>
    <w:p w14:paraId="1EDF5CDC" w14:textId="77777777" w:rsidR="002978A0" w:rsidRPr="00284A49" w:rsidRDefault="002978A0" w:rsidP="002978A0">
      <w:pPr>
        <w:pBdr>
          <w:top w:val="single" w:sz="4" w:space="1" w:color="auto"/>
          <w:bottom w:val="single" w:sz="4" w:space="1" w:color="auto"/>
        </w:pBdr>
        <w:spacing w:after="120" w:line="320" w:lineRule="exact"/>
        <w:jc w:val="both"/>
        <w:rPr>
          <w:rFonts w:cs="FrankRuehl"/>
          <w:szCs w:val="26"/>
          <w:rtl/>
        </w:rPr>
      </w:pPr>
      <w:r w:rsidRPr="00284A49">
        <w:rPr>
          <w:rFonts w:cs="FrankRuehl"/>
          <w:szCs w:val="26"/>
          <w:rtl/>
        </w:rPr>
        <w:t>גם כשנקבע שריבוי מעשים יסווג כאירוע אחד, אין משמעות הדבר כי בעת קביעת המתחם לא יינתן משקל למספר הפעולות שהרכיבוהו, למשכן, לפרקי הזמן ביניהם, לתכליתן ולאינטרסים המוגנים שנפגעו בעקבותיהן</w:t>
      </w:r>
      <w:r w:rsidRPr="00284A49">
        <w:rPr>
          <w:rFonts w:cs="FrankRuehl" w:hint="cs"/>
          <w:szCs w:val="26"/>
          <w:rtl/>
        </w:rPr>
        <w:t>.</w:t>
      </w:r>
    </w:p>
    <w:p w14:paraId="79FA172B" w14:textId="77777777" w:rsidR="002978A0" w:rsidRPr="00284A49" w:rsidRDefault="002978A0" w:rsidP="002978A0">
      <w:pPr>
        <w:pBdr>
          <w:top w:val="single" w:sz="4" w:space="1" w:color="auto"/>
          <w:bottom w:val="single" w:sz="4" w:space="1" w:color="auto"/>
        </w:pBdr>
        <w:spacing w:after="120" w:line="320" w:lineRule="exact"/>
        <w:jc w:val="both"/>
        <w:rPr>
          <w:rFonts w:cs="FrankRuehl"/>
          <w:szCs w:val="26"/>
          <w:rtl/>
        </w:rPr>
      </w:pPr>
      <w:r w:rsidRPr="00284A49">
        <w:rPr>
          <w:rFonts w:cs="FrankRuehl"/>
          <w:szCs w:val="26"/>
          <w:rtl/>
        </w:rPr>
        <w:t xml:space="preserve">בהתחשב באינטרסים המוגנים, בעוצמת הפגיעה בהם, בנסיבות הקשורות בביצוע העבירה ובמדיניות הענישה הנוהגת, </w:t>
      </w:r>
      <w:r w:rsidRPr="00284A49">
        <w:rPr>
          <w:rFonts w:cs="FrankRuehl" w:hint="cs"/>
          <w:szCs w:val="26"/>
          <w:rtl/>
        </w:rPr>
        <w:t>יש</w:t>
      </w:r>
      <w:r w:rsidRPr="00284A49">
        <w:rPr>
          <w:rFonts w:cs="FrankRuehl"/>
          <w:szCs w:val="26"/>
          <w:rtl/>
        </w:rPr>
        <w:t xml:space="preserve"> להעמיד את מתחם העונש ההולם על טווח שבין 1</w:t>
      </w:r>
      <w:r w:rsidRPr="00284A49">
        <w:rPr>
          <w:rFonts w:cs="FrankRuehl" w:hint="cs"/>
          <w:szCs w:val="26"/>
          <w:rtl/>
        </w:rPr>
        <w:t>2</w:t>
      </w:r>
      <w:r w:rsidRPr="00284A49">
        <w:rPr>
          <w:rFonts w:cs="FrankRuehl"/>
          <w:szCs w:val="26"/>
          <w:rtl/>
        </w:rPr>
        <w:t xml:space="preserve"> ועד 2</w:t>
      </w:r>
      <w:r w:rsidRPr="00284A49">
        <w:rPr>
          <w:rFonts w:cs="FrankRuehl" w:hint="cs"/>
          <w:szCs w:val="26"/>
          <w:rtl/>
        </w:rPr>
        <w:t>6</w:t>
      </w:r>
      <w:r w:rsidRPr="00284A49">
        <w:rPr>
          <w:rFonts w:cs="FrankRuehl"/>
          <w:szCs w:val="26"/>
          <w:rtl/>
        </w:rPr>
        <w:t xml:space="preserve"> חודשי מאסר, בצד ענישה כלכלית, שתשקף את טיב הרווחים שהופקו ואת טיב הנזק שנגרם לנפגעי העבירה.</w:t>
      </w:r>
    </w:p>
    <w:p w14:paraId="0A57D61E" w14:textId="77777777" w:rsidR="002978A0" w:rsidRPr="00284A49" w:rsidRDefault="002978A0" w:rsidP="002978A0">
      <w:pPr>
        <w:pBdr>
          <w:top w:val="single" w:sz="4" w:space="1" w:color="auto"/>
          <w:bottom w:val="single" w:sz="4" w:space="1" w:color="auto"/>
        </w:pBdr>
        <w:spacing w:after="120" w:line="320" w:lineRule="exact"/>
        <w:jc w:val="both"/>
        <w:rPr>
          <w:rFonts w:cs="FrankRuehl"/>
          <w:szCs w:val="26"/>
        </w:rPr>
      </w:pPr>
      <w:r w:rsidRPr="00284A49">
        <w:rPr>
          <w:rFonts w:cs="FrankRuehl"/>
          <w:szCs w:val="26"/>
          <w:rtl/>
        </w:rPr>
        <w:t xml:space="preserve">יש למקם את עונשו של הנאשם בחלקו התחתון של המתחם, אך לא בקצהו התחתון. </w:t>
      </w:r>
    </w:p>
    <w:p w14:paraId="66BDFC5C" w14:textId="77777777" w:rsidR="002978A0" w:rsidRPr="002978A0" w:rsidRDefault="002978A0" w:rsidP="003C6250">
      <w:pPr>
        <w:rPr>
          <w:rFonts w:hint="cs"/>
          <w:sz w:val="26"/>
          <w:szCs w:val="26"/>
          <w:rtl/>
        </w:rPr>
      </w:pPr>
      <w:bookmarkStart w:id="8" w:name="ABSTRACT_END"/>
      <w:bookmarkEnd w:id="8"/>
    </w:p>
    <w:p w14:paraId="21874FDB" w14:textId="77777777" w:rsidR="00F45F91" w:rsidRPr="00FC31CD" w:rsidRDefault="00F45F91" w:rsidP="00FC31CD">
      <w:pPr>
        <w:jc w:val="center"/>
        <w:rPr>
          <w:rFonts w:ascii="David" w:hAnsi="David"/>
          <w:b/>
          <w:bCs/>
          <w:sz w:val="32"/>
          <w:szCs w:val="32"/>
          <w:u w:val="single"/>
          <w:rtl/>
        </w:rPr>
      </w:pPr>
      <w:bookmarkStart w:id="9" w:name="PsakDin"/>
      <w:r w:rsidRPr="00F45F91">
        <w:rPr>
          <w:rFonts w:ascii="David" w:hAnsi="David"/>
          <w:b/>
          <w:bCs/>
          <w:sz w:val="32"/>
          <w:szCs w:val="32"/>
          <w:u w:val="single"/>
          <w:rtl/>
        </w:rPr>
        <w:t>גזר</w:t>
      </w:r>
      <w:r w:rsidRPr="00FC31CD">
        <w:rPr>
          <w:rFonts w:ascii="David" w:hAnsi="David"/>
          <w:b/>
          <w:bCs/>
          <w:sz w:val="32"/>
          <w:szCs w:val="32"/>
          <w:u w:val="single"/>
          <w:rtl/>
        </w:rPr>
        <w:t xml:space="preserve"> דין</w:t>
      </w:r>
    </w:p>
    <w:bookmarkEnd w:id="9"/>
    <w:p w14:paraId="5F0F56C1" w14:textId="77777777" w:rsidR="00F45F91" w:rsidRPr="00AB3580" w:rsidRDefault="00F45F91" w:rsidP="00AB3580">
      <w:pPr>
        <w:jc w:val="center"/>
        <w:rPr>
          <w:rFonts w:ascii="David" w:hAnsi="David"/>
          <w:sz w:val="32"/>
          <w:szCs w:val="32"/>
          <w:u w:val="single"/>
          <w:rtl/>
        </w:rPr>
      </w:pPr>
    </w:p>
    <w:bookmarkEnd w:id="0"/>
    <w:bookmarkEnd w:id="1"/>
    <w:p w14:paraId="6A800DEA" w14:textId="77777777" w:rsidR="00AB3580" w:rsidRPr="000F2247" w:rsidRDefault="00AB3580" w:rsidP="00AB3580">
      <w:pPr>
        <w:rPr>
          <w:rFonts w:ascii="Arial" w:hAnsi="Arial"/>
          <w:b/>
          <w:bCs/>
          <w:sz w:val="26"/>
          <w:szCs w:val="26"/>
          <w:rtl/>
        </w:rPr>
      </w:pPr>
    </w:p>
    <w:p w14:paraId="4DA2C81D" w14:textId="77777777" w:rsidR="00AB3580" w:rsidRDefault="00AB3580" w:rsidP="00AB3580">
      <w:pPr>
        <w:pStyle w:val="ListParagraph"/>
        <w:numPr>
          <w:ilvl w:val="0"/>
          <w:numId w:val="1"/>
        </w:numPr>
        <w:spacing w:line="360" w:lineRule="auto"/>
        <w:jc w:val="both"/>
        <w:rPr>
          <w:rFonts w:ascii="David" w:hAnsi="David"/>
        </w:rPr>
      </w:pPr>
      <w:r>
        <w:rPr>
          <w:rFonts w:ascii="David" w:hAnsi="David"/>
          <w:rtl/>
        </w:rPr>
        <w:t xml:space="preserve">הנאשם הורשע על פי הודאתו, בכתב אישום מתוקן האוחז 22 אישומים, במסגרת הסדר טיעון, בשורה של עבירות לפי </w:t>
      </w:r>
      <w:hyperlink r:id="rId23" w:history="1">
        <w:r w:rsidR="00FC31CD" w:rsidRPr="00FC31CD">
          <w:rPr>
            <w:rFonts w:ascii="David" w:hAnsi="David"/>
            <w:color w:val="0000FF"/>
            <w:u w:val="single"/>
            <w:rtl/>
          </w:rPr>
          <w:t>חוק שירותי תשלום, התשע"ט-2019</w:t>
        </w:r>
      </w:hyperlink>
      <w:r>
        <w:rPr>
          <w:rFonts w:ascii="David" w:hAnsi="David"/>
          <w:rtl/>
        </w:rPr>
        <w:t xml:space="preserve"> (להלן: </w:t>
      </w:r>
      <w:r>
        <w:rPr>
          <w:rFonts w:ascii="David" w:hAnsi="David"/>
          <w:b/>
          <w:bCs/>
          <w:rtl/>
        </w:rPr>
        <w:t>חוק שירותי תשלום</w:t>
      </w:r>
      <w:r>
        <w:rPr>
          <w:rFonts w:ascii="David" w:hAnsi="David"/>
          <w:rtl/>
        </w:rPr>
        <w:t xml:space="preserve">), הנוגעות לשימוש שעשה בכרטיסי אשראי מזויפים הכוללים נתונים של צדדים שלישיים לצורך ביצוע עסקאות, ללא ידיעתם וללא הסכמתם. כן הורשע הנאשם בעבירות של הפרעה לשוטר במילוי תפקידו ושל שיבוש מהלכי משפט בעת ששוטרים הגיעו לבית דודו לבצע צו מעצר וחיפוש; ובעבירות של שימוש בסמים לצריכה עצמית. </w:t>
      </w:r>
    </w:p>
    <w:p w14:paraId="78E3CEE8" w14:textId="77777777" w:rsidR="00AB3580" w:rsidRDefault="00AB3580" w:rsidP="00AB3580">
      <w:pPr>
        <w:spacing w:line="360" w:lineRule="auto"/>
        <w:jc w:val="both"/>
        <w:rPr>
          <w:rFonts w:ascii="David" w:hAnsi="David"/>
          <w:rtl/>
        </w:rPr>
      </w:pPr>
    </w:p>
    <w:p w14:paraId="56859A55" w14:textId="77777777" w:rsidR="00AB3580" w:rsidRDefault="00AB3580" w:rsidP="00AB3580">
      <w:pPr>
        <w:pStyle w:val="ListParagraph"/>
        <w:numPr>
          <w:ilvl w:val="0"/>
          <w:numId w:val="1"/>
        </w:numPr>
        <w:spacing w:line="360" w:lineRule="auto"/>
        <w:jc w:val="both"/>
        <w:rPr>
          <w:rFonts w:ascii="David" w:hAnsi="David"/>
          <w:rtl/>
        </w:rPr>
      </w:pPr>
      <w:r>
        <w:rPr>
          <w:rFonts w:ascii="David" w:hAnsi="David"/>
          <w:rtl/>
        </w:rPr>
        <w:t xml:space="preserve">לפי כתב האישום שבו הורשע, בתקופה שבין 10.11.2020 ועד 23.11.2020, וכן בימים 7.12.2020 ו-10.12.2020, ביצע הנאשם שורה של עסקאות בבתי עסק שונים תוך שימוש בכרטיסי אשראי מזויפים של צדדים שלישיים שלא בידיעתם ושלא בהסכמתם. באותם מקרים, מסר הנאשם לבתי העסק את כרטיסי האשראי המזויפים שהיו רשומים על שמו, אשר על כל אחד מהם היה צרוב המידע הפיננסי של כרטיס אשראי השייך לצד השלישי, וביצע באמצעותם עסקאות. בחלק מהמקרים בוצעו בדרך זו עסקאות מספר פעמים ביום, בשלבים שונים של היום ובמספר בתי עסק. בעסקאות אלה רכש הנאשם סיגריות, אלכוהול, מכונות ופולי קפה, מוצרי מזון רמקולים ומוצרים נוספים. על יסוד מעשים אלה הורשע הנאשם ב-31 עבירות של שימוש ברכיב חיוני באמצעי תשלום, בכוונה להונות מספר רב של משתמשים או כלפי חסרי ישע, לפי </w:t>
      </w:r>
      <w:hyperlink r:id="rId24" w:history="1">
        <w:r w:rsidR="00F45F91" w:rsidRPr="00F45F91">
          <w:rPr>
            <w:rStyle w:val="Hyperlink"/>
            <w:rFonts w:ascii="David" w:hAnsi="David"/>
            <w:rtl/>
          </w:rPr>
          <w:t>סעיף 40(ג)(1)</w:t>
        </w:r>
      </w:hyperlink>
      <w:r>
        <w:rPr>
          <w:rFonts w:ascii="David" w:hAnsi="David"/>
          <w:rtl/>
        </w:rPr>
        <w:t xml:space="preserve"> לחוק שירותי תשלום; וב-38 עבירות של שימוש במסמך מזויף</w:t>
      </w:r>
      <w:r>
        <w:rPr>
          <w:rFonts w:ascii="David" w:hAnsi="David" w:hint="cs"/>
          <w:rtl/>
        </w:rPr>
        <w:t xml:space="preserve"> או של שימוש במסמך מזויף בכוונה לקבל דבר,</w:t>
      </w:r>
      <w:r>
        <w:rPr>
          <w:rFonts w:ascii="David" w:hAnsi="David"/>
          <w:rtl/>
        </w:rPr>
        <w:t xml:space="preserve"> לפי </w:t>
      </w:r>
      <w:hyperlink r:id="rId25" w:history="1">
        <w:r w:rsidR="00F45F91" w:rsidRPr="00F45F91">
          <w:rPr>
            <w:rStyle w:val="Hyperlink"/>
            <w:rFonts w:ascii="David" w:hAnsi="David"/>
            <w:rtl/>
          </w:rPr>
          <w:t>סעיף 420</w:t>
        </w:r>
      </w:hyperlink>
      <w:r>
        <w:rPr>
          <w:rFonts w:ascii="David" w:hAnsi="David"/>
          <w:rtl/>
        </w:rPr>
        <w:t xml:space="preserve"> ל</w:t>
      </w:r>
      <w:hyperlink r:id="rId26" w:history="1">
        <w:r w:rsidR="00FC31CD" w:rsidRPr="00FC31CD">
          <w:rPr>
            <w:rFonts w:ascii="David" w:hAnsi="David"/>
            <w:color w:val="0000FF"/>
            <w:u w:val="single"/>
            <w:rtl/>
          </w:rPr>
          <w:t xml:space="preserve">חוק </w:t>
        </w:r>
        <w:r w:rsidR="00FC31CD" w:rsidRPr="00FC31CD">
          <w:rPr>
            <w:rFonts w:ascii="David" w:hAnsi="David"/>
            <w:color w:val="0000FF"/>
            <w:u w:val="single"/>
            <w:rtl/>
          </w:rPr>
          <w:lastRenderedPageBreak/>
          <w:t>העונשין</w:t>
        </w:r>
      </w:hyperlink>
      <w:r>
        <w:rPr>
          <w:rFonts w:ascii="David" w:hAnsi="David"/>
          <w:rtl/>
        </w:rPr>
        <w:t>. כן הורשע הנאשם ב-8 עבירות של ניסיון לעשות שימוש ברכיב חיוני באמצעי תשלום בכוונה להונות מספר רב של משתמשים או כלפי חסר ישע, וזאת בהתייחס למקרים שבהם עבירה זו לא הושלמה. באחד ממקרים אלה, חשד בעל העסק בנאשם, לאחר שזה האחרון מסר לו תעודת זהות מזויפת ומיאן לאשר את העסקה. בהמשך לכך, ברח הנאשם מהמקום. בסך הכול ביצע הנאשם עסקאות בסכום מצטבר של 24,709 ₪ וניסה לעשות עסקות נוספות בסכום מצטבר של 4,928 ₪, הכול כמפורט בטבלה שלהלן:</w:t>
      </w:r>
    </w:p>
    <w:p w14:paraId="5E7E990D" w14:textId="77777777" w:rsidR="00AB3580" w:rsidRDefault="00AB3580" w:rsidP="00AB3580">
      <w:pPr>
        <w:pStyle w:val="ListParagraph"/>
        <w:spacing w:line="360" w:lineRule="auto"/>
        <w:jc w:val="both"/>
        <w:rPr>
          <w:rFonts w:ascii="David" w:hAnsi="David"/>
        </w:rPr>
      </w:pPr>
    </w:p>
    <w:p w14:paraId="39C27053" w14:textId="77777777" w:rsidR="00AB3580" w:rsidRDefault="00985233" w:rsidP="00AB3580">
      <w:pPr>
        <w:pStyle w:val="ListParagraph"/>
        <w:spacing w:line="360" w:lineRule="auto"/>
        <w:ind w:hanging="1004"/>
        <w:jc w:val="both"/>
        <w:rPr>
          <w:rFonts w:ascii="David" w:hAnsi="David"/>
          <w:rt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2" o:spid="_x0000_i1026" type="#_x0000_t75" style="width:496.5pt;height:212.25pt;visibility:visible">
            <v:imagedata r:id="rId27" o:title=""/>
          </v:shape>
        </w:pict>
      </w:r>
    </w:p>
    <w:p w14:paraId="735BE981" w14:textId="77777777" w:rsidR="00AB3580" w:rsidRDefault="00AB3580" w:rsidP="00AB3580">
      <w:pPr>
        <w:pStyle w:val="ListParagraph"/>
        <w:numPr>
          <w:ilvl w:val="0"/>
          <w:numId w:val="2"/>
        </w:numPr>
        <w:spacing w:line="360" w:lineRule="auto"/>
        <w:jc w:val="both"/>
        <w:rPr>
          <w:rFonts w:ascii="David" w:hAnsi="David"/>
          <w:sz w:val="20"/>
          <w:szCs w:val="20"/>
          <w:rtl/>
        </w:rPr>
      </w:pPr>
      <w:r>
        <w:rPr>
          <w:rFonts w:ascii="David" w:hAnsi="David"/>
          <w:sz w:val="20"/>
          <w:szCs w:val="20"/>
          <w:rtl/>
        </w:rPr>
        <w:t>ביום 10.11.2020 בוצעו עסקאות בסכום של 1917 ₪, ונעשה ניסיון לבצע עסקאות בסכום של 3267 ₪ נוספים.</w:t>
      </w:r>
    </w:p>
    <w:p w14:paraId="2819F366" w14:textId="77777777" w:rsidR="00AB3580" w:rsidRDefault="00AB3580" w:rsidP="00AB3580">
      <w:pPr>
        <w:pStyle w:val="ListParagraph"/>
        <w:spacing w:line="360" w:lineRule="auto"/>
        <w:jc w:val="both"/>
        <w:rPr>
          <w:rFonts w:ascii="David" w:hAnsi="David"/>
          <w:sz w:val="20"/>
          <w:szCs w:val="20"/>
        </w:rPr>
      </w:pPr>
    </w:p>
    <w:p w14:paraId="069B5B83" w14:textId="77777777" w:rsidR="00AB3580" w:rsidRDefault="00AB3580" w:rsidP="00AB3580">
      <w:pPr>
        <w:pStyle w:val="ListParagraph"/>
        <w:numPr>
          <w:ilvl w:val="0"/>
          <w:numId w:val="1"/>
        </w:numPr>
        <w:spacing w:line="360" w:lineRule="auto"/>
        <w:jc w:val="both"/>
        <w:rPr>
          <w:rFonts w:ascii="David" w:hAnsi="David"/>
          <w:rtl/>
        </w:rPr>
      </w:pPr>
      <w:r>
        <w:rPr>
          <w:rFonts w:ascii="David" w:hAnsi="David"/>
          <w:rtl/>
        </w:rPr>
        <w:t xml:space="preserve">לאחר הדברים האלה, ביום 22.2.21 הגיעו שוטרים לבצע צו מעצר וחיפוש בבית דודו של הנאשם. כאשר דפקו השוטרים בדלת, ביקש הנאשם מדודו כי יאמר לשוטרים שהוא אינו נמצא בבית. לאחר מספר דקות, כשהחלו השוטרים לבצע את החיפוש על פי צו, נמצא הנאשם מסתתר מאחורי וילון האמבטיה בחדר האמבטיה, כשבכיס מכנסיו סם מסוכן מסוג קנביס במשקל של 0.52 גרם נטו, לצריכתו העצמית, שלא כדין וללא היתר. בגין מעשים אלה הורשע הנאשם בעבירות של הפרעת שוטר במילוי תפקידו ושיבוש מהלכי משפט, לפי סעיפים </w:t>
      </w:r>
      <w:hyperlink r:id="rId28" w:history="1">
        <w:r w:rsidR="00F45F91" w:rsidRPr="00F45F91">
          <w:rPr>
            <w:rStyle w:val="Hyperlink"/>
            <w:rFonts w:ascii="David" w:hAnsi="David"/>
            <w:rtl/>
          </w:rPr>
          <w:t>275 ו-244</w:t>
        </w:r>
      </w:hyperlink>
      <w:r>
        <w:rPr>
          <w:rFonts w:ascii="David" w:hAnsi="David"/>
          <w:rtl/>
        </w:rPr>
        <w:t xml:space="preserve"> ל</w:t>
      </w:r>
      <w:hyperlink r:id="rId29" w:history="1">
        <w:r w:rsidR="00FC31CD" w:rsidRPr="00FC31CD">
          <w:rPr>
            <w:rFonts w:ascii="David" w:hAnsi="David"/>
            <w:color w:val="0000FF"/>
            <w:u w:val="single"/>
            <w:rtl/>
          </w:rPr>
          <w:t>חוק העונשין</w:t>
        </w:r>
      </w:hyperlink>
      <w:r>
        <w:rPr>
          <w:rFonts w:ascii="David" w:hAnsi="David"/>
          <w:rtl/>
        </w:rPr>
        <w:t xml:space="preserve">, התשל"ז-1977 בהתאמה; ובעבירה של החזקה או שימוש בסמים לצריכה עצמית, לפי סעיפים </w:t>
      </w:r>
      <w:hyperlink r:id="rId30" w:history="1">
        <w:r w:rsidR="00F45F91" w:rsidRPr="00F45F91">
          <w:rPr>
            <w:rStyle w:val="Hyperlink"/>
            <w:rFonts w:ascii="David" w:hAnsi="David"/>
            <w:rtl/>
          </w:rPr>
          <w:t>7(א) +7(ג)</w:t>
        </w:r>
      </w:hyperlink>
      <w:r>
        <w:rPr>
          <w:rFonts w:ascii="David" w:hAnsi="David"/>
          <w:rtl/>
        </w:rPr>
        <w:t xml:space="preserve"> סיפא ל</w:t>
      </w:r>
      <w:hyperlink r:id="rId31" w:history="1">
        <w:r w:rsidR="00FC31CD" w:rsidRPr="00FC31CD">
          <w:rPr>
            <w:rFonts w:ascii="David" w:hAnsi="David"/>
            <w:color w:val="0000FF"/>
            <w:u w:val="single"/>
            <w:rtl/>
          </w:rPr>
          <w:t>פקודת הסמים המסוכנים</w:t>
        </w:r>
      </w:hyperlink>
      <w:r>
        <w:rPr>
          <w:rFonts w:ascii="David" w:hAnsi="David"/>
          <w:rtl/>
        </w:rPr>
        <w:t>, (נוסח חדש), תשל"ג-1973.</w:t>
      </w:r>
    </w:p>
    <w:p w14:paraId="111260B2" w14:textId="77777777" w:rsidR="00AB3580" w:rsidRDefault="00AB3580" w:rsidP="00AB3580">
      <w:pPr>
        <w:spacing w:line="360" w:lineRule="auto"/>
        <w:jc w:val="both"/>
        <w:rPr>
          <w:rFonts w:ascii="David" w:hAnsi="David"/>
          <w:rtl/>
        </w:rPr>
      </w:pPr>
    </w:p>
    <w:p w14:paraId="091457AC" w14:textId="77777777" w:rsidR="00AB3580" w:rsidRDefault="00AB3580" w:rsidP="00AB3580">
      <w:pPr>
        <w:pStyle w:val="ListParagraph"/>
        <w:numPr>
          <w:ilvl w:val="0"/>
          <w:numId w:val="1"/>
        </w:numPr>
        <w:spacing w:line="360" w:lineRule="auto"/>
        <w:jc w:val="both"/>
        <w:rPr>
          <w:rFonts w:ascii="David" w:hAnsi="David"/>
          <w:rtl/>
        </w:rPr>
      </w:pPr>
      <w:r>
        <w:rPr>
          <w:rFonts w:ascii="David" w:hAnsi="David"/>
          <w:rtl/>
        </w:rPr>
        <w:t xml:space="preserve">כאמור, הצדדים הגיעו להסדר טיעון שבמסגרתו הודה הנאשם בכתב אישום מתוקן. הצדדים לא הגיעו להסכמה בנוגע לענישה בתיק זה. </w:t>
      </w:r>
    </w:p>
    <w:p w14:paraId="6C740E24" w14:textId="77777777" w:rsidR="00AB3580" w:rsidRDefault="00AB3580" w:rsidP="00AB3580">
      <w:pPr>
        <w:pStyle w:val="ListParagraph"/>
        <w:rPr>
          <w:rFonts w:ascii="David" w:hAnsi="David"/>
          <w:rtl/>
        </w:rPr>
      </w:pPr>
    </w:p>
    <w:p w14:paraId="3B4F5ECF" w14:textId="77777777" w:rsidR="00AB3580" w:rsidRDefault="00AB3580" w:rsidP="00AB3580">
      <w:pPr>
        <w:pStyle w:val="ListParagraph"/>
        <w:rPr>
          <w:rFonts w:ascii="David" w:hAnsi="David"/>
        </w:rPr>
      </w:pPr>
    </w:p>
    <w:p w14:paraId="6EF4FC0B" w14:textId="77777777" w:rsidR="00AB3580" w:rsidRDefault="00AB3580" w:rsidP="00AB3580">
      <w:pPr>
        <w:spacing w:line="360" w:lineRule="auto"/>
        <w:jc w:val="both"/>
        <w:rPr>
          <w:rFonts w:ascii="David" w:hAnsi="David"/>
          <w:b/>
          <w:bCs/>
          <w:u w:val="single"/>
          <w:rtl/>
        </w:rPr>
      </w:pPr>
      <w:r>
        <w:rPr>
          <w:rFonts w:ascii="David" w:hAnsi="David"/>
          <w:b/>
          <w:bCs/>
          <w:u w:val="single"/>
          <w:rtl/>
        </w:rPr>
        <w:t>תסקירי שירות המבחן</w:t>
      </w:r>
    </w:p>
    <w:p w14:paraId="477631D3" w14:textId="77777777" w:rsidR="00AB3580" w:rsidRDefault="00AB3580" w:rsidP="00AB3580">
      <w:pPr>
        <w:spacing w:line="360" w:lineRule="auto"/>
        <w:jc w:val="both"/>
        <w:rPr>
          <w:rFonts w:ascii="David" w:hAnsi="David"/>
          <w:b/>
          <w:bCs/>
          <w:u w:val="single"/>
          <w:rtl/>
        </w:rPr>
      </w:pPr>
    </w:p>
    <w:p w14:paraId="1C624100" w14:textId="77777777" w:rsidR="00AB3580" w:rsidRDefault="00AB3580" w:rsidP="00AB3580">
      <w:pPr>
        <w:pStyle w:val="ListParagraph"/>
        <w:numPr>
          <w:ilvl w:val="0"/>
          <w:numId w:val="1"/>
        </w:numPr>
        <w:spacing w:line="360" w:lineRule="auto"/>
        <w:jc w:val="both"/>
        <w:rPr>
          <w:rFonts w:ascii="David" w:hAnsi="David"/>
          <w:rtl/>
        </w:rPr>
      </w:pPr>
      <w:r>
        <w:rPr>
          <w:rFonts w:ascii="David" w:hAnsi="David"/>
          <w:rtl/>
        </w:rPr>
        <w:t xml:space="preserve">בעניינו של הנאשם נערכו שלושה תסקירים מטעם שירות המבחן. </w:t>
      </w:r>
      <w:r>
        <w:rPr>
          <w:rFonts w:ascii="David" w:hAnsi="David"/>
          <w:u w:val="single"/>
          <w:rtl/>
        </w:rPr>
        <w:t>בתסקיר הראשון</w:t>
      </w:r>
      <w:r>
        <w:rPr>
          <w:rFonts w:ascii="David" w:hAnsi="David"/>
          <w:rtl/>
        </w:rPr>
        <w:t xml:space="preserve"> מיום 28.4.2022, עמד שירות המבחן על כך שהנאשם בעל אישיות לא מגובשת, אימפולסיבי, המתקשה לעיתים לווסת את דחפיו, להפעיל שיקול דעת ולעמוד בפני גבולות חיצוניים. בהתאם לתסקיר, הנאשם נטל אחריות על ביצוע העבירות, הוא מביע חרטה, הוא מסוגל לגלות אמפתיה כלפי נפגעי העבירה ואינו אוחז בעמדות אנטי חברתיות מושרשות, אך בד בבד הוא נוטה לייחס לשותפו לעבירות את היוזמה לביצוע המעשים, ומתקשה להתייחס בביקורתיות להתנהלותו, לחלקו האקטיבי במעשים ולמניעים שהביאוהו למעורבות בעבירות. השירות התרשם כי לאחר שתחילה התמיד הנאשם בהליך השיקומי ביחידה לטיפול בהתמכרויות, הוא אינו מבטא מוטיבציה להמשך השתלבותו בהליך זה באופן המקים ספק ביחס למסוגלותו להתמיד ולהיתרם מהקשר הטיפולי; וכן שמדובר באדם בעל רקע מתמשך של שימוש בקנאביס, המבטא עמדות קלות ביחס לשימוש בחומר זה (ואף נמצא שהשתמש בחומר במהלך פיקוח המעצר). בשקלול גורמי הסיכון, התרשם שירות המבחן שלא ניתן לשלול סיכון לביצוע עבירות דומות בעתיד. על רקע זה, השירות לא בא בהמלצה טיפולית, וסבר שיש להטיל על הנאשם עבודות שירות ברף הגבוה, בצד מאסר על תנאי ופיצוי.</w:t>
      </w:r>
    </w:p>
    <w:p w14:paraId="00644C36" w14:textId="77777777" w:rsidR="00AB3580" w:rsidRDefault="00AB3580" w:rsidP="00AB3580">
      <w:pPr>
        <w:pStyle w:val="ListParagraph"/>
        <w:spacing w:line="360" w:lineRule="auto"/>
        <w:jc w:val="both"/>
        <w:rPr>
          <w:rFonts w:ascii="David" w:hAnsi="David"/>
        </w:rPr>
      </w:pPr>
    </w:p>
    <w:p w14:paraId="22CC515E" w14:textId="77777777" w:rsidR="00AB3580" w:rsidRDefault="00AB3580" w:rsidP="00AB3580">
      <w:pPr>
        <w:pStyle w:val="ListParagraph"/>
        <w:numPr>
          <w:ilvl w:val="0"/>
          <w:numId w:val="1"/>
        </w:numPr>
        <w:spacing w:line="360" w:lineRule="auto"/>
        <w:jc w:val="both"/>
        <w:rPr>
          <w:rFonts w:ascii="David" w:hAnsi="David"/>
        </w:rPr>
      </w:pPr>
      <w:r>
        <w:rPr>
          <w:rFonts w:ascii="David" w:hAnsi="David"/>
          <w:rtl/>
        </w:rPr>
        <w:t xml:space="preserve">בתסקיר השני מיום 24.7.21 ציין שירות המבחן כי נמסר לו מגורמי הטיפול כי לנאשם מונתה מטפלת חדשה לאחר שהמטפלת הקודמת סיימה תפקידה, וכי הוא מצוי בשלבים ראשונים של היכרות ובניית הקשר הטיפולי עמה. עוד נאמר בתסקיר שגורמי הטיפול מסרו כי נוכח התמדתו בטיפול כיום, הנאשם מתאים להמשך השתלבותו במסגרת הטיפולית. לפי עורכי התסקיר, אף שהם עדיין ספקנים ביחד למידת המוטיבציה של הנאשם להמשיך את הקשר הטיפולי לאורך זמן, יש מקום לאפשר לו למצות את ההליך הקיים. לדידם, הקשר הטיפולי במסגרת היחידה יוכל לסייע לנאשם להרחיב את יכולתו בהתבוננות עצמית ובשיח רגשי ולצייד אותו בכלים ובדפוסי התנהגות חדשים, בהתמודדותו עם קונפליקטים ומצבי לחץ. עוד העריכו עורכי התסקיר כי המשך הקשר הטיפולי תחת פיקוח שירות המבחן, יוכל לשמש גורם הרתעה מספק שיש בו כדי להפחית את גורמי הסיכון לביצוע עבירות דומות בעתיד. </w:t>
      </w:r>
    </w:p>
    <w:p w14:paraId="135A3AE6" w14:textId="77777777" w:rsidR="00AB3580" w:rsidRDefault="00AB3580" w:rsidP="00AB3580">
      <w:pPr>
        <w:ind w:left="360"/>
        <w:rPr>
          <w:rFonts w:ascii="David" w:hAnsi="David"/>
          <w:b/>
          <w:bCs/>
        </w:rPr>
      </w:pPr>
    </w:p>
    <w:p w14:paraId="079250D1" w14:textId="77777777" w:rsidR="00AB3580" w:rsidRDefault="00AB3580" w:rsidP="00AB3580">
      <w:pPr>
        <w:pStyle w:val="ListParagraph"/>
        <w:numPr>
          <w:ilvl w:val="0"/>
          <w:numId w:val="1"/>
        </w:numPr>
        <w:spacing w:line="360" w:lineRule="auto"/>
        <w:jc w:val="both"/>
        <w:rPr>
          <w:rFonts w:ascii="David" w:hAnsi="David"/>
          <w:rtl/>
        </w:rPr>
      </w:pPr>
      <w:r>
        <w:rPr>
          <w:rFonts w:ascii="David" w:hAnsi="David"/>
          <w:rtl/>
        </w:rPr>
        <w:t xml:space="preserve">לבקשת הנאשם, ביום 11.9.22 הוריתי על קבלת תסקיר משלים בעניינו. בתסקיר מיום 19.12.22 נמסר כי לאחר שהנאשם עבר לטיפולה של עובדת סוציאלית חדשה, בחודש יולי 2022, התקיימו עמו 4 פגישות בלבד, לאור ביטולים מרובים מצדו, ובפגישות שבהן נכח שיתף הנאשם פעולה בשיחה. על רקע זה, נאמר שהיכרותה של העובדת הסוציאלית עם הנאשם דלה, והתהליך הטיפולי טרם החל. עוד נאמר שהנאשם הפסיק להגיע על דעת עצמו לכל בדיקות השתן שאליהן זומן, וזאת מחודש מאי 2022, שאז מסר בדיקה שהייתה נקייה משרידי סם כלשהו. נוכח התנהלותו בטיפול, גורמי הטיפול התרשמו שהנאשם אינו משתף פעולה בטיפול באופן משביע רצון, ועל כן הובהר לו על ידם שאם לא יגלה אחריות בטיפול, יאלצו לסיים עמו את הקשר הטיפולי. נוכח התנהלות זו התרשמו עורכי התסקיר מהיעדר מוטיבציה פנימית כנה מצד הנאשם להמשך הקשר עם היחידה לטיפול בהתמכרויות. לכן, ובשים לב לספק ביחס למוטיבציה שהנאשם מבטא וביחס למסוגלותו להתמיד בטיפול לאורך זמן, חזר בו שירות המבחן מהמלצתו, ונמנע מהמלצה טיפולית בעניינו. </w:t>
      </w:r>
    </w:p>
    <w:p w14:paraId="13330B70" w14:textId="77777777" w:rsidR="00AB3580" w:rsidRDefault="00AB3580" w:rsidP="00AB3580">
      <w:pPr>
        <w:pStyle w:val="ListParagraph"/>
        <w:rPr>
          <w:rFonts w:ascii="David" w:hAnsi="David"/>
        </w:rPr>
      </w:pPr>
    </w:p>
    <w:p w14:paraId="284A934B" w14:textId="77777777" w:rsidR="00AB3580" w:rsidRDefault="00AB3580" w:rsidP="00AB3580">
      <w:pPr>
        <w:spacing w:line="360" w:lineRule="auto"/>
        <w:jc w:val="both"/>
        <w:rPr>
          <w:rFonts w:ascii="David" w:hAnsi="David"/>
          <w:b/>
          <w:bCs/>
          <w:u w:val="single"/>
          <w:rtl/>
        </w:rPr>
      </w:pPr>
    </w:p>
    <w:p w14:paraId="50016249" w14:textId="77777777" w:rsidR="00AB3580" w:rsidRDefault="00AB3580" w:rsidP="00AB3580">
      <w:pPr>
        <w:spacing w:line="360" w:lineRule="auto"/>
        <w:jc w:val="both"/>
        <w:rPr>
          <w:rFonts w:ascii="David" w:hAnsi="David"/>
          <w:b/>
          <w:bCs/>
          <w:u w:val="single"/>
          <w:rtl/>
        </w:rPr>
      </w:pPr>
      <w:r>
        <w:rPr>
          <w:rFonts w:ascii="David" w:hAnsi="David"/>
          <w:b/>
          <w:bCs/>
          <w:u w:val="single"/>
          <w:rtl/>
        </w:rPr>
        <w:t>טענות הצדדים</w:t>
      </w:r>
    </w:p>
    <w:p w14:paraId="602473A4" w14:textId="77777777" w:rsidR="00AB3580" w:rsidRDefault="00AB3580" w:rsidP="00AB3580">
      <w:pPr>
        <w:spacing w:line="360" w:lineRule="auto"/>
        <w:jc w:val="both"/>
        <w:rPr>
          <w:rFonts w:ascii="David" w:hAnsi="David"/>
          <w:b/>
          <w:bCs/>
          <w:u w:val="single"/>
          <w:rtl/>
        </w:rPr>
      </w:pPr>
    </w:p>
    <w:p w14:paraId="717554B5" w14:textId="77777777" w:rsidR="00AB3580" w:rsidRDefault="00AB3580" w:rsidP="00AB3580">
      <w:pPr>
        <w:pStyle w:val="ListParagraph"/>
        <w:numPr>
          <w:ilvl w:val="0"/>
          <w:numId w:val="1"/>
        </w:numPr>
        <w:spacing w:line="360" w:lineRule="auto"/>
        <w:jc w:val="both"/>
        <w:rPr>
          <w:rFonts w:ascii="David" w:hAnsi="David"/>
          <w:rtl/>
        </w:rPr>
      </w:pPr>
      <w:r>
        <w:rPr>
          <w:rFonts w:ascii="David" w:hAnsi="David"/>
          <w:rtl/>
        </w:rPr>
        <w:t xml:space="preserve">לטענת המאשימה, מעשי הנאשם פגעו בפרטיותם של בעלי כרטיסי החיוב; בחיי מסחר תקינים; באמינות כרטיסי האשראי; וכן באינטרס הקנייני של בעלי הכרטיסים ושל חברות האשראי. לדבריה, מעשי השיבוש שביצע הנאשם כשהגיעו שוטרים למקום שבו שהה, פגעו בערכים בדבר שמירה והגנה על הסדר הציבורי, שלטון החוק ויעילות האכיפה. לשיטתה, משעה שהעבירות בוצעו בכל רחבי הארץ, בתחכום ובצורה סדורה, תוך שימוש במסמכים מזויפים ובסכומי כסף משמעותיים, הרי שהם משקפים רף חומרה גבוה. עוד טוענת המאשימה כי מדיניות הענישה מציבה רף גבוה של מאסר בפועל מאחורי סורג ובריח, ומצדיקה, בצד יתר הנסיבות, קביעת מתחם ענישה הנע בין 20 ל-48 חודשי מאסר בפועל לצד קנס כספי גבוה ופיצוי. </w:t>
      </w:r>
    </w:p>
    <w:p w14:paraId="3D3FA6CE" w14:textId="77777777" w:rsidR="00AB3580" w:rsidRDefault="00AB3580" w:rsidP="00AB3580">
      <w:pPr>
        <w:spacing w:line="360" w:lineRule="auto"/>
        <w:jc w:val="both"/>
        <w:rPr>
          <w:rFonts w:ascii="David" w:hAnsi="David"/>
          <w:rtl/>
        </w:rPr>
      </w:pPr>
    </w:p>
    <w:p w14:paraId="4DEEFAD6" w14:textId="77777777" w:rsidR="00AB3580" w:rsidRDefault="00AB3580" w:rsidP="00AB3580">
      <w:pPr>
        <w:pStyle w:val="ListParagraph"/>
        <w:numPr>
          <w:ilvl w:val="0"/>
          <w:numId w:val="1"/>
        </w:numPr>
        <w:spacing w:line="360" w:lineRule="auto"/>
        <w:jc w:val="both"/>
        <w:rPr>
          <w:rFonts w:ascii="David" w:hAnsi="David"/>
          <w:rtl/>
        </w:rPr>
      </w:pPr>
      <w:r>
        <w:rPr>
          <w:rFonts w:ascii="David" w:hAnsi="David"/>
          <w:rtl/>
        </w:rPr>
        <w:t>אשר לעונש בתוככי המתחם, מצביעה המאשימה, מחד גיסא, על כך שמדובר בנאשם נעדר הרשעות קודמות אשר הודה בכתב אישום מתוקן, נטל אחריות וחסך זמן שיפוטי. מנגד, מפנה המאשימה לתסקיר שירות המבחן, שממנו עולה, לדידה, ספק בשאלה אם הנאשם אכן נטל אחריות על מעשהו; וכן עולה שהמעשים בוצעו משיקולי רווח ולא עקב מצוקה. לדברי המאשימה, מהתסקיר עולה כי הנאשם נעדר מוטיבציה להמשיך בטיפול ביחידה להתמכרויות, ובשל כך לא בא שירות המבחן בהמלצה טיפולית וציין כי אין לשלול הישנות עבירות בעתיד. על יסוד זה, עותרת המאשימה לעונש מאסר המצוי באמצע המתחם.</w:t>
      </w:r>
    </w:p>
    <w:p w14:paraId="6419C0F3" w14:textId="77777777" w:rsidR="00AB3580" w:rsidRDefault="00AB3580" w:rsidP="00AB3580">
      <w:pPr>
        <w:spacing w:line="360" w:lineRule="auto"/>
        <w:jc w:val="both"/>
        <w:rPr>
          <w:rFonts w:ascii="David" w:hAnsi="David"/>
          <w:rtl/>
        </w:rPr>
      </w:pPr>
    </w:p>
    <w:p w14:paraId="4B0C28FB" w14:textId="77777777" w:rsidR="00AB3580" w:rsidRDefault="00AB3580" w:rsidP="00AB3580">
      <w:pPr>
        <w:pStyle w:val="ListParagraph"/>
        <w:numPr>
          <w:ilvl w:val="0"/>
          <w:numId w:val="1"/>
        </w:numPr>
        <w:spacing w:line="360" w:lineRule="auto"/>
        <w:jc w:val="both"/>
        <w:rPr>
          <w:rFonts w:ascii="David" w:hAnsi="David"/>
          <w:rtl/>
        </w:rPr>
      </w:pPr>
      <w:r>
        <w:rPr>
          <w:rFonts w:ascii="David" w:hAnsi="David"/>
          <w:rtl/>
        </w:rPr>
        <w:t>הנאשם טוען מנגד כי רף הענישה שלו עתרה המאשימה אינו עולה בקנה אחד עם הפסיקה הנוהגת. לדידה, המקרים שהוצגו כוללים נאשמים שביצעו את העבירות עם אחרים כחלק מרשת עבריינית</w:t>
      </w:r>
      <w:r>
        <w:rPr>
          <w:rFonts w:ascii="David" w:hAnsi="David" w:hint="cs"/>
          <w:rtl/>
        </w:rPr>
        <w:t>,</w:t>
      </w:r>
      <w:r>
        <w:rPr>
          <w:rFonts w:ascii="David" w:hAnsi="David"/>
          <w:rtl/>
        </w:rPr>
        <w:t xml:space="preserve"> ומקרים שבהם נעשה שימוש באמצעים מתוחכמים ובהיקף נרחב – כל זאת בשונה מן המקרה שלפנינו שבו הנאשם ביצע את </w:t>
      </w:r>
      <w:r>
        <w:rPr>
          <w:rFonts w:ascii="David" w:hAnsi="David" w:hint="cs"/>
          <w:rtl/>
        </w:rPr>
        <w:t>המעשה</w:t>
      </w:r>
      <w:r>
        <w:rPr>
          <w:rFonts w:ascii="David" w:hAnsi="David"/>
          <w:rtl/>
        </w:rPr>
        <w:t xml:space="preserve"> לבדו, ללא כל תחכום. לדבריה, הגם שמדובר בכתב אישום ארוך ומרובה אישומים, בפועל אין מדובר בענייננו אלא בתכנית עבריינית אחת שנעשתה במתווה דומה, בחלקה באותו יום או בימים סמוכים, לאורך תקופה קצרה, והופסקה ביוזמת הנאשם עוד קודם שנעצר. עוד מדגיש הנאשם כי הוא צעיר, נעדר עבר פלילי, כי הודה וחסך הליכי משפט ממושכים שכללו עדים רבים, וכי נטל אחריות מלאה, כנה ואמיתית. בצד זה מצביע הנאשם כי מתסקירי שירות המבחן עולה שהוא אינו אוחז בעמדות אנטי חברתיות מושרשות ומפנה לכך כי גם בתסקיר האחרון המליץ שירות המבחן על עונש של עבודות שירות. לדידו, גם עבירת השיבוש שבה הורשע מצויה ברף הנמוך. אשר לרף הענישה, גורס הנאשם כי עיון במקרים הדומים בנסיבותיהם לאלה שלו מצביעים על רף ענישה שאינו עולה על עבודות שירות. על יסוד כל אלה עותר הנאשם למתחם שאינו כולל עונש של מאסר מאחורי סורג ובריח, כשלעניין הקנס טוען הוא כי בשים לב למצבו הכלכלי ולעובדה שפוטר לאחרונה מעבודה, יש להסתפק בענישה כלכלית בשיעור מתון.</w:t>
      </w:r>
    </w:p>
    <w:p w14:paraId="2C8D04F2" w14:textId="77777777" w:rsidR="00AB3580" w:rsidRDefault="00AB3580" w:rsidP="00AB3580">
      <w:pPr>
        <w:spacing w:line="360" w:lineRule="auto"/>
        <w:jc w:val="both"/>
        <w:rPr>
          <w:rFonts w:ascii="David" w:hAnsi="David"/>
          <w:rtl/>
        </w:rPr>
      </w:pPr>
    </w:p>
    <w:p w14:paraId="390370A3" w14:textId="77777777" w:rsidR="00AB3580" w:rsidRDefault="00AB3580" w:rsidP="00AB3580">
      <w:pPr>
        <w:pStyle w:val="ListParagraph"/>
        <w:numPr>
          <w:ilvl w:val="0"/>
          <w:numId w:val="1"/>
        </w:numPr>
        <w:spacing w:line="360" w:lineRule="auto"/>
        <w:jc w:val="both"/>
        <w:rPr>
          <w:rFonts w:ascii="David" w:hAnsi="David"/>
          <w:rtl/>
        </w:rPr>
      </w:pPr>
      <w:r>
        <w:rPr>
          <w:rFonts w:ascii="David" w:hAnsi="David"/>
          <w:rtl/>
        </w:rPr>
        <w:t>בתום טיעוני הצדדים, ניצל הנאשם את "זכות המילה האחרונה". במסגרת זאת, הביע הנאשם חרטה על מעשיו, הדגיש כי עבר תהליך שיקומי משמעותי כשנה ו-10 חודשים, וטען כי היום הוא מצוי "במקום אחר" בחייו.</w:t>
      </w:r>
    </w:p>
    <w:p w14:paraId="5404E3F2" w14:textId="77777777" w:rsidR="00AB3580" w:rsidRDefault="00AB3580" w:rsidP="00AB3580">
      <w:pPr>
        <w:spacing w:line="360" w:lineRule="auto"/>
        <w:jc w:val="both"/>
        <w:rPr>
          <w:rFonts w:ascii="David" w:hAnsi="David"/>
        </w:rPr>
      </w:pPr>
    </w:p>
    <w:p w14:paraId="5AA9A6BC" w14:textId="77777777" w:rsidR="00AB3580" w:rsidRDefault="00AB3580" w:rsidP="00AB3580">
      <w:pPr>
        <w:spacing w:line="360" w:lineRule="auto"/>
        <w:jc w:val="both"/>
        <w:rPr>
          <w:rFonts w:ascii="David" w:hAnsi="David"/>
          <w:b/>
          <w:bCs/>
          <w:u w:val="single"/>
          <w:rtl/>
        </w:rPr>
      </w:pPr>
      <w:r>
        <w:rPr>
          <w:rFonts w:ascii="David" w:hAnsi="David"/>
          <w:b/>
          <w:bCs/>
          <w:u w:val="single"/>
          <w:rtl/>
        </w:rPr>
        <w:t>דיון והכרעה</w:t>
      </w:r>
    </w:p>
    <w:p w14:paraId="396E62BF" w14:textId="77777777" w:rsidR="00AB3580" w:rsidRDefault="00AB3580" w:rsidP="00AB3580">
      <w:pPr>
        <w:spacing w:line="360" w:lineRule="auto"/>
        <w:jc w:val="both"/>
        <w:rPr>
          <w:rFonts w:ascii="David" w:hAnsi="David"/>
          <w:rtl/>
        </w:rPr>
      </w:pPr>
    </w:p>
    <w:p w14:paraId="5ACF1B2B" w14:textId="77777777" w:rsidR="00AB3580" w:rsidRDefault="00AB3580" w:rsidP="00AB3580">
      <w:pPr>
        <w:pStyle w:val="ListParagraph"/>
        <w:numPr>
          <w:ilvl w:val="0"/>
          <w:numId w:val="1"/>
        </w:numPr>
        <w:spacing w:line="360" w:lineRule="auto"/>
        <w:jc w:val="both"/>
        <w:rPr>
          <w:rFonts w:ascii="David" w:hAnsi="David"/>
          <w:rtl/>
        </w:rPr>
      </w:pPr>
      <w:r>
        <w:rPr>
          <w:rFonts w:ascii="David" w:hAnsi="David"/>
          <w:color w:val="000000"/>
          <w:rtl/>
        </w:rPr>
        <w:t xml:space="preserve">תיקון 113 </w:t>
      </w:r>
      <w:r>
        <w:rPr>
          <w:rFonts w:ascii="David" w:hAnsi="David"/>
          <w:rtl/>
        </w:rPr>
        <w:t>ל</w:t>
      </w:r>
      <w:hyperlink r:id="rId32" w:history="1">
        <w:r w:rsidR="00FC31CD" w:rsidRPr="00FC31CD">
          <w:rPr>
            <w:rFonts w:ascii="David" w:hAnsi="David"/>
            <w:color w:val="0000FF"/>
            <w:u w:val="single"/>
            <w:rtl/>
          </w:rPr>
          <w:t>חוק העונשין</w:t>
        </w:r>
      </w:hyperlink>
      <w:r>
        <w:rPr>
          <w:rFonts w:ascii="David" w:hAnsi="David"/>
          <w:rtl/>
        </w:rPr>
        <w:t xml:space="preserve"> </w:t>
      </w:r>
      <w:r>
        <w:rPr>
          <w:rFonts w:ascii="David" w:hAnsi="David"/>
          <w:color w:val="000000"/>
          <w:rtl/>
        </w:rPr>
        <w:t xml:space="preserve">– הבניית שיקול הדעת השיפוטי בענישה (להלן: </w:t>
      </w:r>
      <w:r>
        <w:rPr>
          <w:rFonts w:ascii="David" w:hAnsi="David"/>
          <w:b/>
          <w:bCs/>
          <w:color w:val="000000"/>
          <w:rtl/>
        </w:rPr>
        <w:t>תיקון 113</w:t>
      </w:r>
      <w:r>
        <w:rPr>
          <w:rFonts w:ascii="David" w:hAnsi="David"/>
          <w:color w:val="000000"/>
          <w:rtl/>
        </w:rPr>
        <w:t xml:space="preserve">), יצר מנגנון תלת שלבי בעת גזירת העונש: תחילה נדרשת הכרעה בשאלת מספר האירועים הנכללים בעובדות כתב האישום, וכפועל יוצא בשאלת מספר </w:t>
      </w:r>
      <w:r>
        <w:rPr>
          <w:rFonts w:ascii="David" w:hAnsi="David"/>
          <w:rtl/>
        </w:rPr>
        <w:t>מתחמי</w:t>
      </w:r>
      <w:r>
        <w:rPr>
          <w:rFonts w:ascii="David" w:hAnsi="David"/>
          <w:color w:val="000000"/>
          <w:rtl/>
        </w:rPr>
        <w:t xml:space="preserve"> הענישה שעל בית המשפט לקבוע. בשלב השני, יקבע בית המשפט את מתחם העונש ההולם בהתחשב בעקרון המנחה </w:t>
      </w:r>
      <w:r>
        <w:rPr>
          <w:rFonts w:ascii="David" w:eastAsia="Malgun Gothic Semilight" w:hAnsi="David"/>
          <w:color w:val="000000"/>
          <w:rtl/>
        </w:rPr>
        <w:t>–</w:t>
      </w:r>
      <w:r>
        <w:rPr>
          <w:rFonts w:ascii="David" w:hAnsi="David"/>
          <w:color w:val="000000"/>
          <w:rtl/>
        </w:rPr>
        <w:t xml:space="preserve"> הלימה בין חומרת מעשה העבירה בנסיבותיו ומידת אשמו של הנאשם לבין סוג העונש המוטל עליו ומידתו. בתוך כך ייתן בית </w:t>
      </w:r>
      <w:r>
        <w:rPr>
          <w:rFonts w:ascii="David" w:hAnsi="David"/>
          <w:rtl/>
        </w:rPr>
        <w:t>המשפט</w:t>
      </w:r>
      <w:r>
        <w:rPr>
          <w:rFonts w:ascii="David" w:hAnsi="David"/>
          <w:color w:val="000000"/>
          <w:rtl/>
        </w:rPr>
        <w:t xml:space="preserve"> דעתו לשלושה פרמטרים: הערך החברתי אשר נפגע מביצוע העבירה ומידת הפגיעה בו; מדיניות הענישה הנוהגת; והנסיבות הקשורות בביצוע העבירה. </w:t>
      </w:r>
      <w:r>
        <w:rPr>
          <w:rFonts w:ascii="David" w:hAnsi="David"/>
          <w:rtl/>
        </w:rPr>
        <w:t xml:space="preserve">בשלב השלישי, יבחן בית המשפט את הנסיבות אשר אינן קשורות בביצוע העבירה לרבות נסיבותיו האישיות של הנאשם, ובהתחשב בכל אלה, כמו גם בשיקול הרתעת היחיד והרבים, יקבע את עונשו של הנאשם בתוך מתחם </w:t>
      </w:r>
      <w:r>
        <w:rPr>
          <w:rFonts w:ascii="David" w:hAnsi="David"/>
          <w:color w:val="000000"/>
          <w:rtl/>
        </w:rPr>
        <w:t xml:space="preserve">הענישה. </w:t>
      </w:r>
      <w:r>
        <w:rPr>
          <w:rFonts w:ascii="David" w:hAnsi="David"/>
          <w:rtl/>
        </w:rPr>
        <w:t xml:space="preserve">חריגה מהמתחם תתאפשר רק בנסיבות חריגות של שיקום, או בהתקיים צורך יוצא דופן בהגנה על שלום הציבור (ראו </w:t>
      </w:r>
      <w:hyperlink r:id="rId33" w:history="1">
        <w:r w:rsidR="00F45F91" w:rsidRPr="00F45F91">
          <w:rPr>
            <w:rStyle w:val="Hyperlink"/>
            <w:rFonts w:ascii="David" w:hAnsi="David"/>
            <w:rtl/>
          </w:rPr>
          <w:t>סעיפים 40א-40יג</w:t>
        </w:r>
      </w:hyperlink>
      <w:r>
        <w:rPr>
          <w:rFonts w:ascii="David" w:hAnsi="David"/>
          <w:rtl/>
        </w:rPr>
        <w:t xml:space="preserve"> ל</w:t>
      </w:r>
      <w:hyperlink r:id="rId34" w:history="1">
        <w:r w:rsidR="00FC31CD" w:rsidRPr="00FC31CD">
          <w:rPr>
            <w:rFonts w:ascii="David" w:hAnsi="David"/>
            <w:color w:val="0000FF"/>
            <w:u w:val="single"/>
            <w:rtl/>
          </w:rPr>
          <w:t>חוק העונשין</w:t>
        </w:r>
      </w:hyperlink>
      <w:r>
        <w:rPr>
          <w:rFonts w:ascii="David" w:hAnsi="David"/>
          <w:rtl/>
        </w:rPr>
        <w:t>).</w:t>
      </w:r>
    </w:p>
    <w:p w14:paraId="56521C08" w14:textId="77777777" w:rsidR="00AB3580" w:rsidRDefault="00AB3580" w:rsidP="00AB3580">
      <w:pPr>
        <w:pStyle w:val="ListParagraph"/>
        <w:spacing w:line="360" w:lineRule="auto"/>
        <w:ind w:left="360"/>
        <w:jc w:val="both"/>
        <w:rPr>
          <w:rFonts w:ascii="David" w:hAnsi="David"/>
          <w:u w:val="single"/>
        </w:rPr>
      </w:pPr>
    </w:p>
    <w:p w14:paraId="270A4FD3" w14:textId="77777777" w:rsidR="00AB3580" w:rsidRDefault="00AB3580" w:rsidP="00AB3580">
      <w:pPr>
        <w:pStyle w:val="ListParagraph"/>
        <w:spacing w:line="360" w:lineRule="auto"/>
        <w:ind w:left="509" w:hanging="283"/>
        <w:jc w:val="both"/>
        <w:rPr>
          <w:rFonts w:ascii="David" w:hAnsi="David"/>
          <w:b/>
          <w:bCs/>
          <w:rtl/>
        </w:rPr>
      </w:pPr>
      <w:r>
        <w:rPr>
          <w:rFonts w:ascii="David" w:hAnsi="David"/>
          <w:b/>
          <w:bCs/>
          <w:rtl/>
        </w:rPr>
        <w:t>(</w:t>
      </w:r>
      <w:r>
        <w:rPr>
          <w:rFonts w:ascii="David" w:hAnsi="David"/>
          <w:b/>
          <w:bCs/>
        </w:rPr>
        <w:t>I</w:t>
      </w:r>
      <w:r>
        <w:rPr>
          <w:rFonts w:ascii="David" w:hAnsi="David"/>
          <w:b/>
          <w:bCs/>
          <w:rtl/>
        </w:rPr>
        <w:t>)</w:t>
      </w:r>
      <w:r>
        <w:rPr>
          <w:rFonts w:ascii="David" w:hAnsi="David"/>
          <w:b/>
          <w:bCs/>
        </w:rPr>
        <w:t xml:space="preserve"> </w:t>
      </w:r>
      <w:r>
        <w:rPr>
          <w:rFonts w:ascii="David" w:hAnsi="David"/>
          <w:b/>
          <w:bCs/>
          <w:rtl/>
        </w:rPr>
        <w:t>מספר האירועים</w:t>
      </w:r>
    </w:p>
    <w:p w14:paraId="51A5213A" w14:textId="77777777" w:rsidR="00AB3580" w:rsidRDefault="00AB3580" w:rsidP="00AB3580">
      <w:pPr>
        <w:pStyle w:val="ListParagraph"/>
        <w:spacing w:line="360" w:lineRule="auto"/>
        <w:rPr>
          <w:rFonts w:ascii="David" w:hAnsi="David"/>
          <w:rtl/>
        </w:rPr>
      </w:pPr>
    </w:p>
    <w:p w14:paraId="46F8842A" w14:textId="77777777" w:rsidR="00AB3580" w:rsidRDefault="00AB3580" w:rsidP="00AB3580">
      <w:pPr>
        <w:pStyle w:val="ListParagraph"/>
        <w:numPr>
          <w:ilvl w:val="0"/>
          <w:numId w:val="1"/>
        </w:numPr>
        <w:spacing w:line="360" w:lineRule="auto"/>
        <w:jc w:val="both"/>
        <w:rPr>
          <w:rFonts w:ascii="David" w:hAnsi="David"/>
          <w:rtl/>
        </w:rPr>
      </w:pPr>
      <w:r>
        <w:rPr>
          <w:rFonts w:ascii="David" w:hAnsi="David"/>
          <w:rtl/>
        </w:rPr>
        <w:t>בהתאם להלכה שנקבעה ב</w:t>
      </w:r>
      <w:hyperlink r:id="rId35" w:history="1">
        <w:r w:rsidR="00FC31CD" w:rsidRPr="00FC31CD">
          <w:rPr>
            <w:rFonts w:ascii="David" w:hAnsi="David"/>
            <w:color w:val="0000FF"/>
            <w:u w:val="single"/>
            <w:rtl/>
          </w:rPr>
          <w:t>ע"פ 4910/13</w:t>
        </w:r>
      </w:hyperlink>
      <w:r>
        <w:rPr>
          <w:rFonts w:ascii="David" w:hAnsi="David"/>
          <w:rtl/>
        </w:rPr>
        <w:t xml:space="preserve"> </w:t>
      </w:r>
      <w:r>
        <w:rPr>
          <w:rFonts w:ascii="David" w:hAnsi="David"/>
          <w:b/>
          <w:bCs/>
          <w:rtl/>
        </w:rPr>
        <w:t xml:space="preserve">ג'אבר </w:t>
      </w:r>
      <w:r>
        <w:rPr>
          <w:rFonts w:ascii="David" w:hAnsi="David"/>
          <w:rtl/>
        </w:rPr>
        <w:t>נ</w:t>
      </w:r>
      <w:r>
        <w:rPr>
          <w:rFonts w:ascii="David" w:hAnsi="David"/>
          <w:b/>
          <w:bCs/>
          <w:rtl/>
        </w:rPr>
        <w:t>' מדינת ישראל</w:t>
      </w:r>
      <w:r>
        <w:rPr>
          <w:rFonts w:ascii="David" w:hAnsi="David"/>
          <w:rtl/>
        </w:rPr>
        <w:t xml:space="preserve"> </w:t>
      </w:r>
      <w:r w:rsidR="003C6250" w:rsidRPr="003C6250">
        <w:rPr>
          <w:rFonts w:ascii="Times New Roman" w:hAnsi="Times New Roman"/>
          <w:sz w:val="22"/>
          <w:rtl/>
        </w:rPr>
        <w:t xml:space="preserve">[פורסם בנבו] </w:t>
      </w:r>
      <w:r>
        <w:rPr>
          <w:rFonts w:ascii="David" w:hAnsi="David"/>
          <w:rtl/>
        </w:rPr>
        <w:t xml:space="preserve">(29.10.2014), </w:t>
      </w:r>
      <w:r>
        <w:rPr>
          <w:rFonts w:ascii="David" w:hAnsi="David"/>
          <w:color w:val="000000"/>
          <w:rtl/>
        </w:rPr>
        <w:t xml:space="preserve">מספר פעולות ייחשבו לאירוע אחד כשיש ביניהם קשר ענייני הדוק, וזה יימצא כשקיימת סמיכות זמנים או </w:t>
      </w:r>
      <w:r>
        <w:rPr>
          <w:rFonts w:ascii="David" w:hAnsi="David"/>
          <w:rtl/>
        </w:rPr>
        <w:t>כשהן</w:t>
      </w:r>
      <w:r>
        <w:rPr>
          <w:rFonts w:ascii="David" w:hAnsi="David"/>
          <w:color w:val="000000"/>
          <w:rtl/>
        </w:rPr>
        <w:t xml:space="preserve"> חלק מאותה תכנית עבריינית, אף כשבוצעו לאורך זמן לא קצר.</w:t>
      </w:r>
      <w:r>
        <w:rPr>
          <w:rFonts w:ascii="David" w:hAnsi="David"/>
          <w:rtl/>
        </w:rPr>
        <w:t xml:space="preserve"> ב</w:t>
      </w:r>
      <w:hyperlink r:id="rId36" w:history="1">
        <w:r w:rsidR="00FC31CD" w:rsidRPr="00FC31CD">
          <w:rPr>
            <w:rFonts w:ascii="David" w:hAnsi="David"/>
            <w:color w:val="0000FF"/>
            <w:u w:val="single"/>
            <w:rtl/>
          </w:rPr>
          <w:t>ע"פ 1261/15</w:t>
        </w:r>
      </w:hyperlink>
      <w:r>
        <w:rPr>
          <w:rFonts w:ascii="David" w:hAnsi="David"/>
          <w:rtl/>
        </w:rPr>
        <w:t xml:space="preserve"> </w:t>
      </w:r>
      <w:r>
        <w:rPr>
          <w:rFonts w:ascii="David" w:hAnsi="David"/>
          <w:b/>
          <w:bCs/>
          <w:rtl/>
        </w:rPr>
        <w:t>דלאל</w:t>
      </w:r>
      <w:r>
        <w:rPr>
          <w:rFonts w:ascii="David" w:hAnsi="David"/>
          <w:rtl/>
        </w:rPr>
        <w:t xml:space="preserve"> נ' </w:t>
      </w:r>
      <w:r>
        <w:rPr>
          <w:rFonts w:ascii="David" w:hAnsi="David"/>
          <w:b/>
          <w:bCs/>
          <w:rtl/>
        </w:rPr>
        <w:t>מדינת ישראל</w:t>
      </w:r>
      <w:r>
        <w:rPr>
          <w:rFonts w:ascii="David" w:hAnsi="David"/>
          <w:rtl/>
        </w:rPr>
        <w:t xml:space="preserve"> </w:t>
      </w:r>
      <w:r w:rsidR="003C6250" w:rsidRPr="003C6250">
        <w:rPr>
          <w:rFonts w:ascii="Times New Roman" w:hAnsi="Times New Roman"/>
          <w:sz w:val="22"/>
          <w:rtl/>
        </w:rPr>
        <w:t xml:space="preserve">[פורסם בנבו] </w:t>
      </w:r>
      <w:r>
        <w:rPr>
          <w:rFonts w:ascii="David" w:hAnsi="David"/>
          <w:rtl/>
        </w:rPr>
        <w:t xml:space="preserve">(3.9.2015) (להלן: עניין </w:t>
      </w:r>
      <w:r>
        <w:rPr>
          <w:rFonts w:ascii="David" w:hAnsi="David"/>
          <w:b/>
          <w:bCs/>
          <w:rtl/>
        </w:rPr>
        <w:t>דלאל</w:t>
      </w:r>
      <w:r>
        <w:rPr>
          <w:rFonts w:ascii="David" w:hAnsi="David"/>
          <w:rtl/>
        </w:rPr>
        <w:t xml:space="preserve">) </w:t>
      </w:r>
      <w:r>
        <w:rPr>
          <w:rFonts w:ascii="David" w:hAnsi="David"/>
          <w:color w:val="000000"/>
          <w:rtl/>
        </w:rPr>
        <w:t>הוצגו שני מבחנים שינחו את בית המשפט בעת שהוא מכריע בשאלת החלוקה לאירועים: הראשון, מבחן עובדתי, שבגדרו ייבחן אם העבירות מאופיינות בתכנון או בשיטתיות; אם הן התבצעו בסמיכות זמן ומקום; אם עבירה אחרת נועדה לאפשר ביצועה של האחרת או הימלטות ממנה וכיוצא באלה. השני, מבחן נורמטיבי, שבגדרו תיבחן השאלה אם ראוי לראות את העבירות כמספר אירועים נפרדים, וזאת "במיוחד במטרה למנוע מצב שבו עבירה הקשורה בעבירה אחרת 'תיבלע' באותה עבירה, ולא תזכה להתייחסות הראויה לה בנסיבות העניין" (פסקה 25).</w:t>
      </w:r>
    </w:p>
    <w:p w14:paraId="46F30DC8" w14:textId="77777777" w:rsidR="00AB3580" w:rsidRDefault="00AB3580" w:rsidP="00AB3580">
      <w:pPr>
        <w:spacing w:line="360" w:lineRule="auto"/>
        <w:jc w:val="both"/>
        <w:rPr>
          <w:rFonts w:ascii="David" w:hAnsi="David"/>
        </w:rPr>
      </w:pPr>
    </w:p>
    <w:p w14:paraId="75649947" w14:textId="77777777" w:rsidR="00AB3580" w:rsidRDefault="00AB3580" w:rsidP="00AB3580">
      <w:pPr>
        <w:pStyle w:val="ListParagraph"/>
        <w:numPr>
          <w:ilvl w:val="0"/>
          <w:numId w:val="1"/>
        </w:numPr>
        <w:spacing w:line="360" w:lineRule="auto"/>
        <w:jc w:val="both"/>
        <w:rPr>
          <w:rFonts w:ascii="David" w:hAnsi="David"/>
          <w:color w:val="000000"/>
          <w:rtl/>
        </w:rPr>
      </w:pPr>
      <w:r>
        <w:rPr>
          <w:rFonts w:ascii="David" w:hAnsi="David"/>
          <w:rtl/>
        </w:rPr>
        <w:t xml:space="preserve">בענייננו, אישומים 2 ואילך מתארים </w:t>
      </w:r>
      <w:r w:rsidRPr="002036F4">
        <w:rPr>
          <w:rFonts w:ascii="David" w:hAnsi="David"/>
          <w:b/>
          <w:bCs/>
          <w:rtl/>
        </w:rPr>
        <w:t>שורת מעשים שבוצעו לאורך פרק זמן של שבועות אחדים, בחלק מהזמן באותו יום או בימים עוקבים, ובחלקו האחר</w:t>
      </w:r>
      <w:r w:rsidRPr="002036F4">
        <w:rPr>
          <w:rFonts w:ascii="David" w:hAnsi="David" w:hint="cs"/>
          <w:b/>
          <w:bCs/>
          <w:rtl/>
        </w:rPr>
        <w:t xml:space="preserve"> </w:t>
      </w:r>
      <w:r w:rsidRPr="002036F4">
        <w:rPr>
          <w:rFonts w:ascii="David" w:hAnsi="David"/>
          <w:b/>
          <w:bCs/>
          <w:rtl/>
        </w:rPr>
        <w:t>– שלא ברציפות</w:t>
      </w:r>
      <w:r>
        <w:rPr>
          <w:rFonts w:ascii="David" w:hAnsi="David"/>
          <w:rtl/>
        </w:rPr>
        <w:t xml:space="preserve">. </w:t>
      </w:r>
      <w:r>
        <w:rPr>
          <w:rFonts w:ascii="David" w:hAnsi="David"/>
          <w:color w:val="000000"/>
          <w:rtl/>
        </w:rPr>
        <w:t xml:space="preserve">המעשים כולם משקפים </w:t>
      </w:r>
      <w:r w:rsidRPr="002036F4">
        <w:rPr>
          <w:rFonts w:ascii="David" w:hAnsi="David"/>
          <w:b/>
          <w:bCs/>
          <w:color w:val="000000"/>
          <w:rtl/>
        </w:rPr>
        <w:t>דפוס דומה, קירבה במאפייניהם ובדרכי הפעולה וחזרתיות</w:t>
      </w:r>
      <w:r>
        <w:rPr>
          <w:rFonts w:ascii="David" w:hAnsi="David"/>
          <w:color w:val="000000"/>
          <w:rtl/>
        </w:rPr>
        <w:t xml:space="preserve">. טעמים אלה מצדיקים </w:t>
      </w:r>
      <w:r w:rsidRPr="002036F4">
        <w:rPr>
          <w:rFonts w:ascii="David" w:hAnsi="David"/>
          <w:b/>
          <w:bCs/>
          <w:color w:val="000000"/>
          <w:rtl/>
        </w:rPr>
        <w:t>לסווגם כאירוע אחד</w:t>
      </w:r>
      <w:r>
        <w:rPr>
          <w:rFonts w:ascii="David" w:hAnsi="David"/>
          <w:color w:val="000000"/>
          <w:rtl/>
        </w:rPr>
        <w:t xml:space="preserve">. </w:t>
      </w:r>
    </w:p>
    <w:p w14:paraId="2F594104" w14:textId="77777777" w:rsidR="00AB3580" w:rsidRDefault="00FC31CD" w:rsidP="00AB3580">
      <w:pPr>
        <w:pStyle w:val="listparagraph0"/>
        <w:bidi/>
        <w:spacing w:before="0" w:beforeAutospacing="0" w:after="0" w:afterAutospacing="0" w:line="360" w:lineRule="auto"/>
        <w:ind w:left="720"/>
        <w:rPr>
          <w:rFonts w:ascii="David" w:hAnsi="David" w:cs="David"/>
          <w:color w:val="000000"/>
        </w:rPr>
      </w:pPr>
      <w:r>
        <w:rPr>
          <w:rFonts w:ascii="David" w:hAnsi="David" w:cs="David"/>
          <w:color w:val="000000"/>
        </w:rPr>
        <w:t xml:space="preserve"> </w:t>
      </w:r>
    </w:p>
    <w:p w14:paraId="0E1FF2A0" w14:textId="77777777" w:rsidR="00AB3580" w:rsidRDefault="00AB3580" w:rsidP="00AB3580">
      <w:pPr>
        <w:pStyle w:val="ListParagraph"/>
        <w:numPr>
          <w:ilvl w:val="0"/>
          <w:numId w:val="1"/>
        </w:numPr>
        <w:spacing w:line="360" w:lineRule="auto"/>
        <w:jc w:val="both"/>
        <w:rPr>
          <w:rFonts w:ascii="David" w:hAnsi="David"/>
          <w:color w:val="000000"/>
          <w:rtl/>
        </w:rPr>
      </w:pPr>
      <w:r>
        <w:rPr>
          <w:rFonts w:ascii="David" w:hAnsi="David"/>
          <w:color w:val="000000"/>
          <w:rtl/>
        </w:rPr>
        <w:t>אפשר אמנם לטעון כי משעה שמדובר בריבוי פעולות שבוצעו לאורך ימים לא מעטים, אין להלום כי אלה יסווגו כאירוע אחד בלבד, כך בפרט כשכל פעולה פגעה באינטרס קנייני של גורם אחר. בהתאם לגישה זו, סיווג ריבוי פעולות שכזה כאירוע אחד יהיה בו כדי להקשות על שימוש במתחם כאמת מידה נורמטיבית למקרים הבאים (לעניין אופיו הנורמטיבי של המתחם, ראו</w:t>
      </w:r>
      <w:r w:rsidR="00FC31CD">
        <w:rPr>
          <w:rFonts w:ascii="David" w:hAnsi="David"/>
          <w:color w:val="000000"/>
          <w:rtl/>
        </w:rPr>
        <w:t xml:space="preserve"> </w:t>
      </w:r>
      <w:hyperlink r:id="rId37" w:history="1">
        <w:r w:rsidR="00FC31CD" w:rsidRPr="00FC31CD">
          <w:rPr>
            <w:rFonts w:ascii="David" w:hAnsi="David"/>
            <w:color w:val="0000FF"/>
            <w:u w:val="single"/>
            <w:rtl/>
          </w:rPr>
          <w:t>ע"פ 1323/13</w:t>
        </w:r>
      </w:hyperlink>
      <w:r w:rsidR="00FC31CD">
        <w:rPr>
          <w:rFonts w:ascii="David" w:hAnsi="David"/>
          <w:color w:val="000000"/>
          <w:rtl/>
        </w:rPr>
        <w:t xml:space="preserve"> </w:t>
      </w:r>
      <w:r>
        <w:rPr>
          <w:rFonts w:ascii="David" w:hAnsi="David"/>
          <w:b/>
          <w:bCs/>
          <w:color w:val="000000"/>
          <w:rtl/>
        </w:rPr>
        <w:t>חסן</w:t>
      </w:r>
      <w:r>
        <w:rPr>
          <w:rFonts w:ascii="David" w:hAnsi="David"/>
          <w:color w:val="000000"/>
          <w:rtl/>
        </w:rPr>
        <w:t xml:space="preserve"> נ' מדינת ישראל, פסקה 7</w:t>
      </w:r>
      <w:r w:rsidR="00FC31CD">
        <w:rPr>
          <w:rFonts w:ascii="David" w:hAnsi="David"/>
          <w:color w:val="000000"/>
          <w:rtl/>
        </w:rPr>
        <w:t xml:space="preserve"> </w:t>
      </w:r>
      <w:r>
        <w:rPr>
          <w:rFonts w:ascii="David" w:hAnsi="David"/>
          <w:color w:val="000000"/>
          <w:rtl/>
        </w:rPr>
        <w:t xml:space="preserve"> </w:t>
      </w:r>
      <w:r w:rsidR="003C6250" w:rsidRPr="003C6250">
        <w:rPr>
          <w:rFonts w:ascii="Times New Roman" w:hAnsi="Times New Roman"/>
          <w:sz w:val="22"/>
          <w:rtl/>
        </w:rPr>
        <w:t xml:space="preserve">[פורסם בנבו] </w:t>
      </w:r>
      <w:r>
        <w:rPr>
          <w:rFonts w:ascii="David" w:hAnsi="David"/>
          <w:color w:val="000000"/>
          <w:rtl/>
        </w:rPr>
        <w:t>(5.6.2013)), שהרי נוכח מאפייניו הספציפיים של המקרה, ספק אם יימצא מקרה נוסף בעל קווים זהים שניתן יהיה ליישם לגביו את המתחם שנקבע. ואכן, חלק מהשופטים הביעו בעבר הסתייגות (מנימוקים מגוונים) מהאפשרות של סיווג דפוס חוזר של פעולות המשתרע לאורך תקופה כאירוע אחד (ראו עמדותיהם השונות של השופטים ב</w:t>
      </w:r>
      <w:hyperlink r:id="rId38" w:history="1">
        <w:r w:rsidR="00FC31CD" w:rsidRPr="00FC31CD">
          <w:rPr>
            <w:rFonts w:ascii="David" w:hAnsi="David"/>
            <w:color w:val="0000FF"/>
            <w:u w:val="single"/>
            <w:rtl/>
          </w:rPr>
          <w:t>ע"פ 5668/13</w:t>
        </w:r>
      </w:hyperlink>
      <w:r w:rsidR="00FC31CD">
        <w:rPr>
          <w:rFonts w:ascii="David" w:hAnsi="David"/>
          <w:color w:val="000000"/>
          <w:rtl/>
        </w:rPr>
        <w:t xml:space="preserve"> </w:t>
      </w:r>
      <w:r>
        <w:rPr>
          <w:rFonts w:ascii="David" w:hAnsi="David"/>
          <w:b/>
          <w:bCs/>
          <w:color w:val="000000"/>
          <w:rtl/>
        </w:rPr>
        <w:t>מזרחי נ' מדינת ישראל</w:t>
      </w:r>
      <w:r w:rsidR="00FC31CD">
        <w:rPr>
          <w:rFonts w:ascii="David" w:hAnsi="David"/>
          <w:color w:val="000000"/>
          <w:rtl/>
        </w:rPr>
        <w:t xml:space="preserve"> </w:t>
      </w:r>
      <w:r>
        <w:rPr>
          <w:rFonts w:ascii="David" w:hAnsi="David"/>
          <w:color w:val="000000"/>
          <w:rtl/>
        </w:rPr>
        <w:t xml:space="preserve"> </w:t>
      </w:r>
      <w:r w:rsidR="003C6250" w:rsidRPr="003C6250">
        <w:rPr>
          <w:rFonts w:ascii="Times New Roman" w:hAnsi="Times New Roman"/>
          <w:sz w:val="22"/>
          <w:rtl/>
        </w:rPr>
        <w:t xml:space="preserve">[פורסם בנבו] </w:t>
      </w:r>
      <w:r>
        <w:rPr>
          <w:rFonts w:ascii="David" w:hAnsi="David"/>
          <w:color w:val="000000"/>
          <w:rtl/>
        </w:rPr>
        <w:t>(17.3.2016);</w:t>
      </w:r>
      <w:r w:rsidR="00FC31CD">
        <w:rPr>
          <w:rFonts w:ascii="David" w:hAnsi="David"/>
          <w:color w:val="000000"/>
          <w:rtl/>
        </w:rPr>
        <w:t xml:space="preserve"> </w:t>
      </w:r>
      <w:hyperlink r:id="rId39" w:history="1">
        <w:r w:rsidR="00FC31CD" w:rsidRPr="00FC31CD">
          <w:rPr>
            <w:rFonts w:ascii="David" w:hAnsi="David"/>
            <w:color w:val="0000FF"/>
            <w:u w:val="single"/>
            <w:rtl/>
          </w:rPr>
          <w:t>ע"פ 1082/14</w:t>
        </w:r>
      </w:hyperlink>
      <w:r w:rsidR="00FC31CD">
        <w:rPr>
          <w:rFonts w:ascii="David" w:hAnsi="David"/>
          <w:color w:val="000000"/>
          <w:rtl/>
        </w:rPr>
        <w:t xml:space="preserve"> </w:t>
      </w:r>
      <w:r>
        <w:rPr>
          <w:rFonts w:ascii="David" w:hAnsi="David"/>
          <w:b/>
          <w:bCs/>
          <w:color w:val="000000"/>
          <w:rtl/>
        </w:rPr>
        <w:t>ג'סאר נ' מדינת ישראל</w:t>
      </w:r>
      <w:r>
        <w:rPr>
          <w:rFonts w:ascii="David" w:hAnsi="David"/>
          <w:color w:val="000000"/>
          <w:rtl/>
        </w:rPr>
        <w:t xml:space="preserve"> </w:t>
      </w:r>
      <w:r w:rsidR="003C6250" w:rsidRPr="003C6250">
        <w:rPr>
          <w:rFonts w:ascii="Times New Roman" w:hAnsi="Times New Roman"/>
          <w:sz w:val="22"/>
          <w:rtl/>
        </w:rPr>
        <w:t xml:space="preserve">[פורסם בנבו] </w:t>
      </w:r>
      <w:r>
        <w:rPr>
          <w:rFonts w:ascii="David" w:hAnsi="David"/>
          <w:color w:val="000000"/>
          <w:rtl/>
        </w:rPr>
        <w:t>(23.7.2015)). מנגד, קביעת מתחמי ענישה נפרדים, במקרה שבו בוצעו מעשים רבים לאורך זמן, עלולה לעורר קושי מעשי, נוכח הצורך לקבוע מספר מתחמים רב. על רקע זה אף הוצע בהצעת</w:t>
      </w:r>
      <w:r w:rsidR="00FC31CD">
        <w:rPr>
          <w:rFonts w:ascii="David" w:hAnsi="David"/>
          <w:color w:val="000000"/>
          <w:rtl/>
        </w:rPr>
        <w:t xml:space="preserve"> </w:t>
      </w:r>
      <w:hyperlink r:id="rId40" w:history="1">
        <w:r w:rsidR="00FC31CD" w:rsidRPr="00FC31CD">
          <w:rPr>
            <w:rFonts w:ascii="David" w:hAnsi="David"/>
            <w:color w:val="0000FF"/>
            <w:u w:val="single"/>
            <w:rtl/>
          </w:rPr>
          <w:t>חוק העונשין</w:t>
        </w:r>
      </w:hyperlink>
      <w:r w:rsidR="00FC31CD">
        <w:rPr>
          <w:rFonts w:ascii="David" w:hAnsi="David"/>
          <w:color w:val="000000"/>
          <w:rtl/>
        </w:rPr>
        <w:t xml:space="preserve"> </w:t>
      </w:r>
      <w:r>
        <w:rPr>
          <w:rFonts w:ascii="David" w:hAnsi="David"/>
          <w:color w:val="000000"/>
          <w:rtl/>
        </w:rPr>
        <w:t>(תיקון מס' 128) (הבניית שיקול הדעת השיפוטי בענישה), התשע"ו-2016 כי במקרה של מעשים דומים במהותם, המבוצעים באופן חוזר לאורך זמן במידה המצדיקה את סיווגם כאירועים נפרדים, רשאי בית המשפט לקבוע מתחם עונש אחד לכל האירועים (ראו גם דקלה</w:t>
      </w:r>
      <w:r w:rsidR="00FC31CD">
        <w:rPr>
          <w:rFonts w:ascii="David" w:hAnsi="David"/>
          <w:color w:val="000000"/>
          <w:rtl/>
        </w:rPr>
        <w:t xml:space="preserve"> </w:t>
      </w:r>
      <w:hyperlink r:id="rId41" w:history="1">
        <w:r w:rsidR="00FC31CD" w:rsidRPr="00FC31CD">
          <w:rPr>
            <w:rFonts w:ascii="David" w:hAnsi="David"/>
            <w:color w:val="0000FF"/>
            <w:u w:val="single"/>
            <w:rtl/>
          </w:rPr>
          <w:t xml:space="preserve">ואקי, "מה בין ריבוי אירועים </w:t>
        </w:r>
      </w:hyperlink>
      <w:r w:rsidR="00FC31CD">
        <w:rPr>
          <w:rFonts w:ascii="David" w:hAnsi="David"/>
          <w:color w:val="000000"/>
          <w:rtl/>
        </w:rPr>
        <w:t xml:space="preserve">  </w:t>
      </w:r>
      <w:r>
        <w:rPr>
          <w:rFonts w:ascii="David" w:hAnsi="David"/>
          <w:color w:val="000000"/>
          <w:rtl/>
        </w:rPr>
        <w:t>לריבוי עבירות"</w:t>
      </w:r>
      <w:r w:rsidR="00FC31CD">
        <w:rPr>
          <w:rFonts w:ascii="David" w:hAnsi="David"/>
          <w:color w:val="000000"/>
          <w:rtl/>
        </w:rPr>
        <w:t xml:space="preserve"> </w:t>
      </w:r>
      <w:r>
        <w:rPr>
          <w:rFonts w:ascii="David" w:hAnsi="David"/>
          <w:b/>
          <w:bCs/>
          <w:color w:val="000000"/>
          <w:rtl/>
        </w:rPr>
        <w:t>משפט מפתח</w:t>
      </w:r>
      <w:r w:rsidR="00FC31CD">
        <w:rPr>
          <w:rFonts w:ascii="David" w:hAnsi="David"/>
          <w:color w:val="000000"/>
          <w:rtl/>
        </w:rPr>
        <w:t xml:space="preserve"> </w:t>
      </w:r>
      <w:r>
        <w:rPr>
          <w:rFonts w:ascii="David" w:hAnsi="David"/>
          <w:color w:val="000000"/>
          <w:rtl/>
        </w:rPr>
        <w:t>3 100 (2015)).</w:t>
      </w:r>
      <w:r w:rsidR="00FC31CD">
        <w:rPr>
          <w:rFonts w:ascii="David" w:hAnsi="David"/>
          <w:color w:val="000000"/>
          <w:rtl/>
        </w:rPr>
        <w:t xml:space="preserve"> </w:t>
      </w:r>
    </w:p>
    <w:p w14:paraId="7AAB9221" w14:textId="77777777" w:rsidR="00AB3580" w:rsidRDefault="00FC31CD" w:rsidP="00AB3580">
      <w:pPr>
        <w:pStyle w:val="listparagraph0"/>
        <w:bidi/>
        <w:spacing w:before="0" w:beforeAutospacing="0" w:after="0" w:afterAutospacing="0" w:line="360" w:lineRule="auto"/>
        <w:ind w:left="720"/>
        <w:jc w:val="both"/>
        <w:rPr>
          <w:rFonts w:ascii="David" w:hAnsi="David" w:cs="David"/>
          <w:color w:val="000000"/>
          <w:rtl/>
        </w:rPr>
      </w:pPr>
      <w:r>
        <w:rPr>
          <w:rFonts w:ascii="David" w:hAnsi="David" w:cs="David"/>
          <w:color w:val="000000"/>
        </w:rPr>
        <w:t xml:space="preserve"> </w:t>
      </w:r>
    </w:p>
    <w:p w14:paraId="2311EA0F" w14:textId="77777777" w:rsidR="00AB3580" w:rsidRDefault="00AB3580" w:rsidP="00AB3580">
      <w:pPr>
        <w:pStyle w:val="ListParagraph"/>
        <w:numPr>
          <w:ilvl w:val="0"/>
          <w:numId w:val="1"/>
        </w:numPr>
        <w:spacing w:line="360" w:lineRule="auto"/>
        <w:jc w:val="both"/>
        <w:rPr>
          <w:rFonts w:ascii="David" w:hAnsi="David"/>
          <w:color w:val="000000"/>
          <w:rtl/>
        </w:rPr>
      </w:pPr>
      <w:r>
        <w:rPr>
          <w:rFonts w:ascii="David" w:hAnsi="David"/>
          <w:color w:val="000000"/>
          <w:rtl/>
        </w:rPr>
        <w:t>ברם, בפועל, נראה כי בתי המשפט נטו לבכר דרך שונה, ובמרבית המקרים, כשמדובר בדפוס התנהגות אחד – גם אם מתמשך, של מעשים חוזרים, תיטה הפסיקה לסווגו כאירוע אחד. העובדה שבענייננו מדובר בפרק זמן לא ארוך באופן מיוחד, שהמעשים בוצעו בצמידות יחסית ושלמצער קיימת אפשרות שהנזק הכספי העיקרי ייספג על-ידי חברות האשראי ולא על-ידי שורת קורבנות שונים, מחזקת אף היא עמדה זו.</w:t>
      </w:r>
    </w:p>
    <w:p w14:paraId="014D14D9" w14:textId="77777777" w:rsidR="00AB3580" w:rsidRDefault="00AB3580" w:rsidP="00AB3580">
      <w:pPr>
        <w:pStyle w:val="listparagraph0"/>
        <w:bidi/>
        <w:spacing w:before="0" w:beforeAutospacing="0" w:after="0" w:afterAutospacing="0" w:line="360" w:lineRule="auto"/>
        <w:rPr>
          <w:rFonts w:ascii="David" w:hAnsi="David" w:cs="David"/>
          <w:color w:val="000000"/>
          <w:rtl/>
        </w:rPr>
      </w:pPr>
      <w:r>
        <w:rPr>
          <w:rFonts w:ascii="David" w:hAnsi="David" w:cs="David"/>
          <w:color w:val="000000"/>
        </w:rPr>
        <w:t xml:space="preserve"> </w:t>
      </w:r>
    </w:p>
    <w:p w14:paraId="052582AE" w14:textId="77777777" w:rsidR="00AB3580" w:rsidRDefault="00AB3580" w:rsidP="00AB3580">
      <w:pPr>
        <w:pStyle w:val="listparagraph0"/>
        <w:numPr>
          <w:ilvl w:val="0"/>
          <w:numId w:val="1"/>
        </w:numPr>
        <w:bidi/>
        <w:spacing w:before="0" w:beforeAutospacing="0" w:after="0" w:afterAutospacing="0" w:line="360" w:lineRule="auto"/>
        <w:jc w:val="both"/>
        <w:rPr>
          <w:rFonts w:ascii="David" w:hAnsi="David" w:cs="David"/>
          <w:color w:val="000000"/>
        </w:rPr>
      </w:pPr>
      <w:r>
        <w:rPr>
          <w:rFonts w:ascii="David" w:hAnsi="David" w:cs="David"/>
          <w:color w:val="000000"/>
          <w:rtl/>
        </w:rPr>
        <w:t xml:space="preserve">ומה באשר למעשים נושא האישום הראשון? כאמור, בעניין </w:t>
      </w:r>
      <w:r>
        <w:rPr>
          <w:rFonts w:ascii="David" w:hAnsi="David" w:cs="David"/>
          <w:b/>
          <w:bCs/>
          <w:color w:val="000000"/>
          <w:rtl/>
        </w:rPr>
        <w:t>דלאל</w:t>
      </w:r>
      <w:r>
        <w:rPr>
          <w:rFonts w:ascii="David" w:hAnsi="David" w:cs="David"/>
          <w:color w:val="000000"/>
          <w:rtl/>
        </w:rPr>
        <w:t xml:space="preserve"> נקבע כי אם עבירה אחרת נועדה לאפשר ביצועה של האחרת או הימלטות ממנה, לרוב ייחשבו השתיים לחלק מאותו האירוע, זולת אם יש בכך כדי להביא להיבלעות של העבירה האחת באחרת ולאי מתן משקל ראוי לה בשיקולי הענישה. ברי כי בענייננו </w:t>
      </w:r>
      <w:r w:rsidRPr="002036F4">
        <w:rPr>
          <w:rFonts w:ascii="David" w:hAnsi="David" w:cs="David"/>
          <w:b/>
          <w:bCs/>
          <w:color w:val="000000"/>
          <w:rtl/>
        </w:rPr>
        <w:t>פעולות השיבוש והכשלת השוטר נועדו לאפשר הימלטות מן העבירות בכרטיסי האשראי נושא האישומים הבאים</w:t>
      </w:r>
      <w:r>
        <w:rPr>
          <w:rFonts w:ascii="David" w:hAnsi="David" w:cs="David"/>
          <w:color w:val="000000"/>
          <w:rtl/>
        </w:rPr>
        <w:t>. השאלה הנשאלת היא אם הכללת מעשים אלה בגדרי אותו אירוע לא תעניק לעבירות השיבוש את המשקל הנורמטיבי הראוי בנסיבות העניין. דילמה דומה עמדה לפני בית המשפט ב</w:t>
      </w:r>
      <w:hyperlink r:id="rId42" w:history="1">
        <w:r w:rsidR="00FC31CD" w:rsidRPr="00FC31CD">
          <w:rPr>
            <w:rFonts w:ascii="David" w:hAnsi="David" w:cs="David"/>
            <w:color w:val="0000FF"/>
            <w:u w:val="single"/>
            <w:rtl/>
          </w:rPr>
          <w:t>ת"פ (ת"א) 44959-08-14</w:t>
        </w:r>
      </w:hyperlink>
      <w:r>
        <w:rPr>
          <w:rFonts w:ascii="David" w:hAnsi="David" w:cs="David"/>
          <w:color w:val="000000"/>
          <w:rtl/>
        </w:rPr>
        <w:t xml:space="preserve"> </w:t>
      </w:r>
      <w:r>
        <w:rPr>
          <w:rFonts w:ascii="David" w:hAnsi="David" w:cs="David"/>
          <w:b/>
          <w:bCs/>
          <w:color w:val="000000"/>
          <w:rtl/>
        </w:rPr>
        <w:t>מדינת ישראל נ' רובינסון</w:t>
      </w:r>
      <w:r>
        <w:rPr>
          <w:rFonts w:ascii="David" w:hAnsi="David" w:cs="David"/>
          <w:color w:val="000000"/>
          <w:rtl/>
        </w:rPr>
        <w:t xml:space="preserve"> </w:t>
      </w:r>
      <w:r w:rsidR="003C6250" w:rsidRPr="003C6250">
        <w:rPr>
          <w:rFonts w:cs="David"/>
          <w:sz w:val="22"/>
          <w:rtl/>
        </w:rPr>
        <w:t xml:space="preserve">[פורסם בנבו] </w:t>
      </w:r>
      <w:r>
        <w:rPr>
          <w:rFonts w:ascii="David" w:hAnsi="David" w:cs="David"/>
          <w:color w:val="000000"/>
          <w:rtl/>
        </w:rPr>
        <w:t xml:space="preserve">(13.7.2016) (להלן: עניין </w:t>
      </w:r>
      <w:r>
        <w:rPr>
          <w:rFonts w:ascii="David" w:hAnsi="David" w:cs="David"/>
          <w:b/>
          <w:bCs/>
          <w:color w:val="000000"/>
          <w:rtl/>
        </w:rPr>
        <w:t>רובינסון</w:t>
      </w:r>
      <w:r>
        <w:rPr>
          <w:rFonts w:ascii="David" w:hAnsi="David" w:cs="David"/>
          <w:color w:val="000000"/>
          <w:rtl/>
        </w:rPr>
        <w:t xml:space="preserve">). באותה פרשה סיווג בית המשפט את המעשים שבגינם הורשע הנאשם בעבירות של שיבוש הליכי משפט והדחת עד כאירוע נפרד ממסכת המעשים הממושכת שהייתה מושא לפעולות שיבוש אלה. אלא שעבירות השיבוש מושא אותה פרשה היו פועל יוצא של מעשים בדרגת חומרה רבה בהרבה מזו שבענייננו, וכללו הדחת עד כנגד תמורה בעלת ערך כספי גבוה כדי שזה "ייקח על עצמו" את העבירות. חומרת מעשי השיבוש בענייננו נמוכה יותר, ואיני סבור כי הכללתם בגדרי אותו אירוע תפחית באופן בלתי ראוי מן המשקל שיש לייחד להן.  </w:t>
      </w:r>
    </w:p>
    <w:p w14:paraId="0B130962" w14:textId="77777777" w:rsidR="00AB3580" w:rsidRDefault="00AB3580" w:rsidP="00AB3580">
      <w:pPr>
        <w:pStyle w:val="ListParagraph"/>
        <w:spacing w:line="360" w:lineRule="auto"/>
        <w:rPr>
          <w:rFonts w:ascii="David" w:hAnsi="David"/>
          <w:color w:val="000000"/>
        </w:rPr>
      </w:pPr>
    </w:p>
    <w:p w14:paraId="745BAE1A" w14:textId="77777777" w:rsidR="00AB3580" w:rsidRDefault="00AB3580" w:rsidP="003C6250">
      <w:pPr>
        <w:pStyle w:val="listparagraph0"/>
        <w:numPr>
          <w:ilvl w:val="0"/>
          <w:numId w:val="1"/>
        </w:numPr>
        <w:bidi/>
        <w:spacing w:before="0" w:beforeAutospacing="0" w:after="0" w:afterAutospacing="0" w:line="360" w:lineRule="auto"/>
        <w:jc w:val="both"/>
        <w:rPr>
          <w:rFonts w:ascii="David" w:hAnsi="David" w:cs="David"/>
          <w:color w:val="000000"/>
          <w:rtl/>
        </w:rPr>
      </w:pPr>
      <w:r>
        <w:rPr>
          <w:rFonts w:ascii="David" w:hAnsi="David" w:cs="David"/>
          <w:color w:val="000000"/>
          <w:rtl/>
        </w:rPr>
        <w:t xml:space="preserve">בהקשר זה יש להזכיר כי גם </w:t>
      </w:r>
      <w:r w:rsidRPr="0032302E">
        <w:rPr>
          <w:rFonts w:ascii="David" w:hAnsi="David" w:cs="David"/>
          <w:color w:val="000000"/>
          <w:rtl/>
        </w:rPr>
        <w:t>כשנקבע שריבוי מעשים יסווג כאירוע אחד,</w:t>
      </w:r>
      <w:r w:rsidRPr="002036F4">
        <w:rPr>
          <w:rFonts w:ascii="David" w:hAnsi="David" w:cs="David"/>
          <w:b/>
          <w:bCs/>
          <w:color w:val="000000"/>
          <w:rtl/>
        </w:rPr>
        <w:t xml:space="preserve"> אין משמעות הדבר כי בעת קביעת המתחם לא יינתן משקל למספר הפעולות שהרכיבוהו, למשכן, לפרקי הזמן ביניהם, לתכליתן ולאינטרסים המוגנים שנפגעו בעקבותיהן</w:t>
      </w:r>
      <w:r>
        <w:rPr>
          <w:rFonts w:ascii="David" w:hAnsi="David" w:cs="David"/>
          <w:color w:val="000000"/>
          <w:rtl/>
        </w:rPr>
        <w:t xml:space="preserve"> (ראו והשוו</w:t>
      </w:r>
      <w:r w:rsidR="00FC31CD">
        <w:rPr>
          <w:rFonts w:ascii="David" w:hAnsi="David" w:cs="David"/>
          <w:color w:val="000000"/>
          <w:rtl/>
        </w:rPr>
        <w:t xml:space="preserve"> </w:t>
      </w:r>
      <w:hyperlink r:id="rId43" w:history="1">
        <w:r w:rsidR="00FC31CD" w:rsidRPr="00FC31CD">
          <w:rPr>
            <w:rFonts w:ascii="David" w:hAnsi="David" w:cs="David"/>
            <w:color w:val="0000FF"/>
            <w:u w:val="single"/>
            <w:rtl/>
          </w:rPr>
          <w:t>ע"פ 7952/15</w:t>
        </w:r>
      </w:hyperlink>
      <w:r w:rsidR="00FC31CD">
        <w:rPr>
          <w:rFonts w:ascii="David" w:hAnsi="David" w:cs="David"/>
          <w:color w:val="000000"/>
          <w:rtl/>
        </w:rPr>
        <w:t xml:space="preserve"> </w:t>
      </w:r>
      <w:r>
        <w:rPr>
          <w:rFonts w:ascii="David" w:hAnsi="David" w:cs="David"/>
          <w:b/>
          <w:bCs/>
          <w:color w:val="000000"/>
          <w:rtl/>
        </w:rPr>
        <w:t>מדינת ישראל נ' שץ</w:t>
      </w:r>
      <w:r>
        <w:rPr>
          <w:rFonts w:ascii="David" w:hAnsi="David" w:cs="David"/>
          <w:color w:val="000000"/>
          <w:rtl/>
        </w:rPr>
        <w:t>, פסקה 46</w:t>
      </w:r>
      <w:r w:rsidR="00FC31CD">
        <w:rPr>
          <w:rFonts w:ascii="David" w:hAnsi="David" w:cs="David"/>
          <w:color w:val="000000"/>
          <w:rtl/>
        </w:rPr>
        <w:t xml:space="preserve"> </w:t>
      </w:r>
      <w:r>
        <w:rPr>
          <w:rFonts w:ascii="David" w:hAnsi="David" w:cs="David"/>
          <w:color w:val="000000"/>
          <w:rtl/>
        </w:rPr>
        <w:t xml:space="preserve"> </w:t>
      </w:r>
      <w:r w:rsidR="003C6250" w:rsidRPr="003C6250">
        <w:rPr>
          <w:rFonts w:cs="David"/>
          <w:sz w:val="22"/>
          <w:rtl/>
        </w:rPr>
        <w:t xml:space="preserve">[פורסם בנבו] </w:t>
      </w:r>
      <w:r>
        <w:rPr>
          <w:rFonts w:ascii="David" w:hAnsi="David" w:cs="David"/>
          <w:color w:val="000000"/>
          <w:rtl/>
        </w:rPr>
        <w:t>(15.2.2016);</w:t>
      </w:r>
      <w:r w:rsidR="00FC31CD">
        <w:rPr>
          <w:rFonts w:ascii="David" w:hAnsi="David" w:cs="David"/>
          <w:color w:val="000000"/>
          <w:rtl/>
        </w:rPr>
        <w:t xml:space="preserve"> </w:t>
      </w:r>
      <w:hyperlink r:id="rId44" w:history="1">
        <w:r w:rsidR="00FC31CD" w:rsidRPr="00FC31CD">
          <w:rPr>
            <w:rFonts w:ascii="David" w:hAnsi="David" w:cs="David"/>
            <w:color w:val="0000FF"/>
            <w:u w:val="single"/>
            <w:rtl/>
          </w:rPr>
          <w:t>ע"פ 9668/16</w:t>
        </w:r>
      </w:hyperlink>
      <w:r w:rsidR="00FC31CD">
        <w:rPr>
          <w:rFonts w:ascii="David" w:hAnsi="David" w:cs="David"/>
          <w:color w:val="000000"/>
          <w:rtl/>
        </w:rPr>
        <w:t xml:space="preserve"> </w:t>
      </w:r>
      <w:r>
        <w:rPr>
          <w:rFonts w:ascii="David" w:hAnsi="David" w:cs="David"/>
          <w:color w:val="000000"/>
          <w:rtl/>
        </w:rPr>
        <w:t>‏</w:t>
      </w:r>
      <w:r>
        <w:rPr>
          <w:rFonts w:ascii="David" w:hAnsi="David" w:cs="David"/>
          <w:b/>
          <w:bCs/>
          <w:color w:val="000000"/>
          <w:rtl/>
        </w:rPr>
        <w:t>אלו נ' מדינת ישראל</w:t>
      </w:r>
      <w:r>
        <w:rPr>
          <w:rFonts w:ascii="David" w:hAnsi="David" w:cs="David"/>
          <w:color w:val="000000"/>
          <w:rtl/>
        </w:rPr>
        <w:t>,</w:t>
      </w:r>
      <w:r w:rsidR="00FC31CD">
        <w:rPr>
          <w:rFonts w:ascii="David" w:hAnsi="David" w:cs="David"/>
          <w:color w:val="000000"/>
          <w:rtl/>
        </w:rPr>
        <w:t xml:space="preserve"> </w:t>
      </w:r>
      <w:r>
        <w:rPr>
          <w:rFonts w:ascii="David" w:hAnsi="David" w:cs="David"/>
          <w:color w:val="000000"/>
          <w:rtl/>
        </w:rPr>
        <w:t>פסקה 12</w:t>
      </w:r>
      <w:r w:rsidR="00FC31CD">
        <w:rPr>
          <w:rFonts w:ascii="David" w:hAnsi="David" w:cs="David"/>
          <w:color w:val="000000"/>
          <w:rtl/>
        </w:rPr>
        <w:t xml:space="preserve"> </w:t>
      </w:r>
      <w:r w:rsidR="003C6250" w:rsidRPr="003C6250">
        <w:rPr>
          <w:rFonts w:cs="David"/>
          <w:sz w:val="22"/>
          <w:rtl/>
        </w:rPr>
        <w:t xml:space="preserve">[פורסם בנבו] </w:t>
      </w:r>
      <w:r>
        <w:rPr>
          <w:rFonts w:ascii="David" w:hAnsi="David" w:cs="David"/>
          <w:color w:val="000000"/>
          <w:rtl/>
        </w:rPr>
        <w:t xml:space="preserve"> (11.2.2018);</w:t>
      </w:r>
      <w:r w:rsidR="00FC31CD">
        <w:rPr>
          <w:rFonts w:ascii="David" w:hAnsi="David" w:cs="David"/>
          <w:color w:val="000000"/>
          <w:rtl/>
        </w:rPr>
        <w:t xml:space="preserve"> </w:t>
      </w:r>
      <w:hyperlink r:id="rId45" w:history="1">
        <w:r w:rsidR="00FC31CD" w:rsidRPr="00FC31CD">
          <w:rPr>
            <w:rFonts w:ascii="David" w:hAnsi="David" w:cs="David"/>
            <w:color w:val="0000FF"/>
            <w:u w:val="single"/>
            <w:rtl/>
          </w:rPr>
          <w:t>ע"פ 8146/16</w:t>
        </w:r>
      </w:hyperlink>
      <w:r w:rsidR="00FC31CD">
        <w:rPr>
          <w:rFonts w:ascii="David" w:hAnsi="David" w:cs="David"/>
          <w:color w:val="000000"/>
          <w:rtl/>
        </w:rPr>
        <w:t xml:space="preserve"> </w:t>
      </w:r>
      <w:r>
        <w:rPr>
          <w:rFonts w:ascii="David" w:hAnsi="David" w:cs="David"/>
          <w:b/>
          <w:bCs/>
          <w:color w:val="000000"/>
          <w:rtl/>
        </w:rPr>
        <w:t>אנטילי נ' מדינת ישראל</w:t>
      </w:r>
      <w:r>
        <w:rPr>
          <w:rFonts w:ascii="David" w:hAnsi="David" w:cs="David"/>
          <w:color w:val="000000"/>
          <w:rtl/>
        </w:rPr>
        <w:t xml:space="preserve">, פסקה 15 </w:t>
      </w:r>
      <w:r w:rsidR="003C6250" w:rsidRPr="003C6250">
        <w:rPr>
          <w:rFonts w:cs="David"/>
          <w:sz w:val="22"/>
          <w:rtl/>
        </w:rPr>
        <w:t xml:space="preserve">[פורסם בנבו] </w:t>
      </w:r>
      <w:r>
        <w:rPr>
          <w:rFonts w:ascii="David" w:hAnsi="David" w:cs="David"/>
          <w:color w:val="000000"/>
          <w:rtl/>
        </w:rPr>
        <w:t>(6.2.2018)). אכן, כאשר אדם מבצע מעשה במקום ובזמן מסוימים ולאחר מכן מבצע מעשה אחר במקום או בזמן אחר, לא כל שכן כזה הפוגע באינטרס מוגן נפרד של אדם אחר, יש בדבר ביטוי למידת אשם מוגברת, אשר מן הראוי שתתבטא גם בענישה.</w:t>
      </w:r>
    </w:p>
    <w:p w14:paraId="7C331089" w14:textId="77777777" w:rsidR="00AB3580" w:rsidRDefault="00AB3580" w:rsidP="00AB3580">
      <w:pPr>
        <w:pStyle w:val="ListParagraph"/>
        <w:spacing w:line="360" w:lineRule="auto"/>
        <w:rPr>
          <w:rFonts w:ascii="David" w:hAnsi="David"/>
          <w:color w:val="000000"/>
        </w:rPr>
      </w:pPr>
    </w:p>
    <w:p w14:paraId="4E0E5C2B" w14:textId="77777777" w:rsidR="00AB3580" w:rsidRDefault="00AB3580" w:rsidP="00AB3580">
      <w:pPr>
        <w:pStyle w:val="ListParagraph"/>
        <w:numPr>
          <w:ilvl w:val="0"/>
          <w:numId w:val="1"/>
        </w:numPr>
        <w:spacing w:line="360" w:lineRule="auto"/>
        <w:jc w:val="both"/>
        <w:rPr>
          <w:rFonts w:ascii="David" w:hAnsi="David"/>
          <w:color w:val="000000"/>
          <w:rtl/>
        </w:rPr>
      </w:pPr>
      <w:r>
        <w:rPr>
          <w:rFonts w:ascii="David" w:hAnsi="David"/>
          <w:color w:val="000000"/>
          <w:rtl/>
        </w:rPr>
        <w:t xml:space="preserve">אתייחס למעשים השונים מושא כתב האישום כאירוע אחד, אפוא. </w:t>
      </w:r>
    </w:p>
    <w:p w14:paraId="17F2B5F7" w14:textId="77777777" w:rsidR="00AB3580" w:rsidRDefault="00AB3580" w:rsidP="00AB3580">
      <w:pPr>
        <w:pStyle w:val="ListParagraph"/>
        <w:rPr>
          <w:rFonts w:ascii="David" w:hAnsi="David"/>
          <w:color w:val="000000"/>
        </w:rPr>
      </w:pPr>
    </w:p>
    <w:p w14:paraId="553B7E20" w14:textId="77777777" w:rsidR="00AB3580" w:rsidRDefault="00AB3580" w:rsidP="00AB3580">
      <w:pPr>
        <w:spacing w:line="360" w:lineRule="auto"/>
        <w:jc w:val="both"/>
        <w:rPr>
          <w:rFonts w:ascii="David" w:hAnsi="David"/>
          <w:color w:val="000000"/>
          <w:rtl/>
        </w:rPr>
      </w:pPr>
      <w:r>
        <w:rPr>
          <w:rFonts w:ascii="David" w:hAnsi="David"/>
          <w:color w:val="000000"/>
          <w:rtl/>
        </w:rPr>
        <w:t>(</w:t>
      </w:r>
      <w:r>
        <w:rPr>
          <w:rFonts w:ascii="David" w:hAnsi="David"/>
          <w:color w:val="000000"/>
        </w:rPr>
        <w:t>II</w:t>
      </w:r>
      <w:r>
        <w:rPr>
          <w:rFonts w:ascii="David" w:hAnsi="David"/>
          <w:color w:val="000000"/>
          <w:rtl/>
        </w:rPr>
        <w:t>)</w:t>
      </w:r>
      <w:r>
        <w:rPr>
          <w:rFonts w:ascii="David" w:hAnsi="David"/>
          <w:color w:val="000000"/>
        </w:rPr>
        <w:t xml:space="preserve"> </w:t>
      </w:r>
      <w:r>
        <w:rPr>
          <w:rFonts w:ascii="David" w:hAnsi="David"/>
          <w:color w:val="000000"/>
          <w:rtl/>
        </w:rPr>
        <w:t xml:space="preserve"> </w:t>
      </w:r>
      <w:r>
        <w:rPr>
          <w:rFonts w:ascii="David" w:hAnsi="David"/>
          <w:b/>
          <w:bCs/>
          <w:color w:val="000000"/>
          <w:rtl/>
        </w:rPr>
        <w:t>קביעת מתחם העונש ההולם</w:t>
      </w:r>
    </w:p>
    <w:p w14:paraId="666270B5" w14:textId="77777777" w:rsidR="00AB3580" w:rsidRDefault="00AB3580" w:rsidP="00AB3580">
      <w:pPr>
        <w:pStyle w:val="ListParagraph"/>
        <w:rPr>
          <w:rFonts w:ascii="David" w:hAnsi="David"/>
          <w:color w:val="000000"/>
        </w:rPr>
      </w:pPr>
    </w:p>
    <w:p w14:paraId="698ABCD9" w14:textId="77777777" w:rsidR="00AB3580" w:rsidRDefault="00AB3580" w:rsidP="00AB3580">
      <w:pPr>
        <w:pStyle w:val="ListParagraph"/>
        <w:numPr>
          <w:ilvl w:val="0"/>
          <w:numId w:val="3"/>
        </w:numPr>
        <w:spacing w:line="360" w:lineRule="auto"/>
        <w:ind w:left="509" w:hanging="425"/>
        <w:jc w:val="both"/>
        <w:rPr>
          <w:rFonts w:ascii="David" w:hAnsi="David"/>
          <w:u w:val="single"/>
          <w:rtl/>
        </w:rPr>
      </w:pPr>
      <w:r>
        <w:rPr>
          <w:rFonts w:ascii="David" w:hAnsi="David"/>
          <w:u w:val="single"/>
          <w:rtl/>
        </w:rPr>
        <w:t>האינטרסים המוגנים ועוצמת הפגיעה בהם</w:t>
      </w:r>
    </w:p>
    <w:p w14:paraId="0A7BBCA8" w14:textId="77777777" w:rsidR="00AB3580" w:rsidRDefault="00AB3580" w:rsidP="00AB3580">
      <w:pPr>
        <w:pStyle w:val="ListParagraph"/>
        <w:spacing w:line="360" w:lineRule="auto"/>
        <w:jc w:val="both"/>
        <w:rPr>
          <w:rFonts w:ascii="David" w:hAnsi="David"/>
          <w:u w:val="single"/>
        </w:rPr>
      </w:pPr>
    </w:p>
    <w:p w14:paraId="48013B1E" w14:textId="77777777" w:rsidR="00AB3580" w:rsidRDefault="00AB3580" w:rsidP="00AB3580">
      <w:pPr>
        <w:pStyle w:val="ListParagraph"/>
        <w:numPr>
          <w:ilvl w:val="0"/>
          <w:numId w:val="1"/>
        </w:numPr>
        <w:spacing w:line="360" w:lineRule="auto"/>
        <w:jc w:val="both"/>
        <w:rPr>
          <w:rFonts w:ascii="David" w:hAnsi="David"/>
          <w:color w:val="000000"/>
          <w:rtl/>
        </w:rPr>
      </w:pPr>
      <w:r>
        <w:rPr>
          <w:rFonts w:ascii="David" w:hAnsi="David"/>
          <w:color w:val="000000"/>
          <w:rtl/>
        </w:rPr>
        <w:t xml:space="preserve">מעשי הנאשם פגעו בשורה של אינטרסים שעליהם מבקשות עבירות אלה להגן. </w:t>
      </w:r>
      <w:r>
        <w:rPr>
          <w:rFonts w:ascii="David" w:hAnsi="David"/>
          <w:color w:val="000000"/>
          <w:u w:val="single"/>
          <w:rtl/>
        </w:rPr>
        <w:t>ראשית</w:t>
      </w:r>
      <w:r>
        <w:rPr>
          <w:rFonts w:ascii="David" w:hAnsi="David"/>
          <w:color w:val="000000"/>
          <w:rtl/>
        </w:rPr>
        <w:t xml:space="preserve">, נפגעה </w:t>
      </w:r>
      <w:r w:rsidRPr="002036F4">
        <w:rPr>
          <w:rFonts w:ascii="David" w:hAnsi="David"/>
          <w:b/>
          <w:bCs/>
          <w:color w:val="000000"/>
          <w:rtl/>
        </w:rPr>
        <w:t>פרטיותם של בעלי כרטיסי החיוב,</w:t>
      </w:r>
      <w:r>
        <w:rPr>
          <w:rFonts w:ascii="David" w:hAnsi="David"/>
          <w:color w:val="000000"/>
          <w:rtl/>
        </w:rPr>
        <w:t xml:space="preserve"> שפרטי כרטיסי האשראי שלהם לרבות סיסמאותיהם הסודיות ונתונים האישיים נחשפו בלא ידיעתם; </w:t>
      </w:r>
      <w:r>
        <w:rPr>
          <w:rFonts w:ascii="David" w:hAnsi="David"/>
          <w:color w:val="000000"/>
          <w:u w:val="single"/>
          <w:rtl/>
        </w:rPr>
        <w:t>שנית</w:t>
      </w:r>
      <w:r>
        <w:rPr>
          <w:rFonts w:ascii="David" w:hAnsi="David"/>
          <w:color w:val="000000"/>
          <w:rtl/>
        </w:rPr>
        <w:t xml:space="preserve">, נפגע </w:t>
      </w:r>
      <w:r w:rsidRPr="002036F4">
        <w:rPr>
          <w:rFonts w:ascii="David" w:hAnsi="David"/>
          <w:b/>
          <w:bCs/>
          <w:color w:val="000000"/>
          <w:rtl/>
        </w:rPr>
        <w:t>המרקם השוטף של הפעילות הכלכלית והפיננסית במשק</w:t>
      </w:r>
      <w:r>
        <w:rPr>
          <w:rFonts w:ascii="David" w:hAnsi="David"/>
          <w:color w:val="000000"/>
          <w:rtl/>
        </w:rPr>
        <w:t xml:space="preserve"> – הנסמכת בשיעורים נרחבים על כרטיסי חיוב כאמצעי תשלום יעיל, מהיר ונוח בכלכלה המודרנית; </w:t>
      </w:r>
      <w:r>
        <w:rPr>
          <w:rFonts w:ascii="David" w:hAnsi="David"/>
          <w:color w:val="000000"/>
          <w:u w:val="single"/>
          <w:rtl/>
        </w:rPr>
        <w:t>שלישית</w:t>
      </w:r>
      <w:r>
        <w:rPr>
          <w:rFonts w:ascii="David" w:hAnsi="David"/>
          <w:color w:val="000000"/>
          <w:rtl/>
        </w:rPr>
        <w:t xml:space="preserve">, נפגעה </w:t>
      </w:r>
      <w:r w:rsidRPr="002036F4">
        <w:rPr>
          <w:rFonts w:ascii="David" w:hAnsi="David"/>
          <w:b/>
          <w:bCs/>
          <w:color w:val="000000"/>
          <w:rtl/>
        </w:rPr>
        <w:t>אמינותם של כרטיסי אשראי</w:t>
      </w:r>
      <w:r>
        <w:rPr>
          <w:rFonts w:ascii="David" w:hAnsi="David"/>
          <w:color w:val="000000"/>
          <w:rtl/>
        </w:rPr>
        <w:t xml:space="preserve"> אלה והיכולת לסמוך על הפרטים המוטבעים עליהם, באופן המחייב השקעת תשומות בבדיקת האותנטיות של כל כרטיס לשם צמצום סיכונים, דבר שעלול להביא לייקור השירותים הפיננסיים ולפגיעה בציבור כולו; </w:t>
      </w:r>
      <w:r>
        <w:rPr>
          <w:rFonts w:ascii="David" w:hAnsi="David"/>
          <w:color w:val="000000"/>
          <w:u w:val="single"/>
          <w:rtl/>
        </w:rPr>
        <w:t>רביעית</w:t>
      </w:r>
      <w:r>
        <w:rPr>
          <w:rFonts w:ascii="David" w:hAnsi="David"/>
          <w:color w:val="000000"/>
          <w:rtl/>
        </w:rPr>
        <w:t xml:space="preserve">, נפגע </w:t>
      </w:r>
      <w:r w:rsidRPr="002036F4">
        <w:rPr>
          <w:rFonts w:ascii="David" w:hAnsi="David"/>
          <w:b/>
          <w:bCs/>
          <w:color w:val="000000"/>
          <w:rtl/>
        </w:rPr>
        <w:t>קניינם של בעלי כרטיס החיוב</w:t>
      </w:r>
      <w:r>
        <w:rPr>
          <w:rFonts w:ascii="David" w:hAnsi="David"/>
          <w:color w:val="000000"/>
          <w:rtl/>
        </w:rPr>
        <w:t xml:space="preserve"> – שעה שנעשה שימוש בכספם ללא אישור; </w:t>
      </w:r>
      <w:r>
        <w:rPr>
          <w:rFonts w:ascii="David" w:hAnsi="David"/>
          <w:color w:val="000000"/>
          <w:u w:val="single"/>
          <w:rtl/>
        </w:rPr>
        <w:t>חמישית</w:t>
      </w:r>
      <w:r>
        <w:rPr>
          <w:rFonts w:ascii="David" w:hAnsi="David"/>
          <w:color w:val="000000"/>
          <w:rtl/>
        </w:rPr>
        <w:t xml:space="preserve">, נפגע </w:t>
      </w:r>
      <w:r w:rsidRPr="002036F4">
        <w:rPr>
          <w:rFonts w:ascii="David" w:hAnsi="David"/>
          <w:b/>
          <w:bCs/>
          <w:color w:val="000000"/>
          <w:rtl/>
        </w:rPr>
        <w:t>קניינן של חברות האשראי</w:t>
      </w:r>
      <w:r>
        <w:rPr>
          <w:rFonts w:ascii="David" w:hAnsi="David"/>
          <w:color w:val="000000"/>
          <w:rtl/>
        </w:rPr>
        <w:t>, אשר נאלצות לספוג את נזקי ההונאה ולחוב בפרמיות גבוהות בגין עריכת ביטוח נגד סיכונים שכאלה. כפי שציין בית המשפט העליון ב</w:t>
      </w:r>
      <w:hyperlink r:id="rId46" w:history="1">
        <w:r w:rsidR="00FC31CD" w:rsidRPr="00FC31CD">
          <w:rPr>
            <w:rFonts w:ascii="David" w:hAnsi="David"/>
            <w:color w:val="0000FF"/>
            <w:u w:val="single"/>
            <w:rtl/>
          </w:rPr>
          <w:t>ע"פ 10786/04</w:t>
        </w:r>
      </w:hyperlink>
      <w:r>
        <w:rPr>
          <w:rFonts w:ascii="David" w:hAnsi="David"/>
          <w:color w:val="000000"/>
          <w:rtl/>
        </w:rPr>
        <w:t xml:space="preserve"> </w:t>
      </w:r>
      <w:r>
        <w:rPr>
          <w:rFonts w:ascii="David" w:hAnsi="David"/>
          <w:b/>
          <w:bCs/>
          <w:color w:val="000000"/>
          <w:rtl/>
        </w:rPr>
        <w:t>שמואל נ' מדינת ישראל</w:t>
      </w:r>
      <w:r>
        <w:rPr>
          <w:rFonts w:ascii="David" w:hAnsi="David"/>
          <w:color w:val="000000"/>
          <w:rtl/>
        </w:rPr>
        <w:t xml:space="preserve"> </w:t>
      </w:r>
      <w:r w:rsidR="003C6250" w:rsidRPr="003C6250">
        <w:rPr>
          <w:rFonts w:ascii="Times New Roman" w:hAnsi="Times New Roman"/>
          <w:sz w:val="22"/>
          <w:rtl/>
        </w:rPr>
        <w:t xml:space="preserve">[פורסם בנבו] </w:t>
      </w:r>
      <w:r>
        <w:rPr>
          <w:rFonts w:ascii="David" w:hAnsi="David"/>
          <w:color w:val="000000"/>
          <w:rtl/>
        </w:rPr>
        <w:t xml:space="preserve">(3.4.2006) (שם הורשע הנאשם גם בעבירות של קשירת קשר לביצוע פשע וקבלת דבר במרמה) – </w:t>
      </w:r>
    </w:p>
    <w:p w14:paraId="7245CFAD" w14:textId="77777777" w:rsidR="00AB3580" w:rsidRDefault="00AB3580" w:rsidP="00AB3580">
      <w:pPr>
        <w:pStyle w:val="ListParagraph"/>
        <w:spacing w:line="360" w:lineRule="auto"/>
        <w:rPr>
          <w:rFonts w:ascii="David" w:hAnsi="David"/>
          <w:color w:val="000000"/>
        </w:rPr>
      </w:pPr>
    </w:p>
    <w:p w14:paraId="7B3D219F" w14:textId="77777777" w:rsidR="00AB3580" w:rsidRDefault="00AB3580" w:rsidP="00AB3580">
      <w:pPr>
        <w:pStyle w:val="ListParagraph"/>
        <w:ind w:left="935" w:right="284"/>
        <w:jc w:val="both"/>
        <w:rPr>
          <w:rFonts w:ascii="David" w:hAnsi="David"/>
          <w:rtl/>
        </w:rPr>
      </w:pPr>
      <w:r>
        <w:rPr>
          <w:rFonts w:ascii="David" w:hAnsi="David"/>
          <w:rtl/>
        </w:rPr>
        <w:t>"העבירות בהן חטא [המערער] קשות הן, גם אם יש ממש בטענה כי טובת ההנאה בה זכה אינה גדולה. השימוש בכרטיסי אשראי נפוץ בקרב הציבור, ומעשיו של [המערער] ואחרים החוטאים בתחום זה גורמים נזק לחיי המסחר, ועם כך אין להשלים".</w:t>
      </w:r>
    </w:p>
    <w:p w14:paraId="733FC1AD" w14:textId="77777777" w:rsidR="00AB3580" w:rsidRDefault="00AB3580" w:rsidP="00AB3580">
      <w:pPr>
        <w:pStyle w:val="ListParagraph"/>
        <w:spacing w:line="360" w:lineRule="auto"/>
        <w:jc w:val="both"/>
        <w:rPr>
          <w:rFonts w:ascii="David" w:hAnsi="David"/>
          <w:color w:val="000000"/>
          <w:rtl/>
        </w:rPr>
      </w:pPr>
    </w:p>
    <w:p w14:paraId="6FF5FFDB" w14:textId="77777777" w:rsidR="00AB3580" w:rsidRDefault="00AB3580" w:rsidP="00AB3580">
      <w:pPr>
        <w:pStyle w:val="ListParagraph"/>
        <w:spacing w:line="360" w:lineRule="auto"/>
        <w:rPr>
          <w:rFonts w:ascii="David" w:hAnsi="David"/>
          <w:color w:val="000000"/>
        </w:rPr>
      </w:pPr>
    </w:p>
    <w:p w14:paraId="4B65780F" w14:textId="77777777" w:rsidR="00AB3580" w:rsidRDefault="00AB3580" w:rsidP="00AB3580">
      <w:pPr>
        <w:pStyle w:val="ListParagraph"/>
        <w:numPr>
          <w:ilvl w:val="0"/>
          <w:numId w:val="1"/>
        </w:numPr>
        <w:spacing w:line="360" w:lineRule="auto"/>
        <w:jc w:val="both"/>
        <w:rPr>
          <w:rFonts w:ascii="David" w:hAnsi="David"/>
          <w:color w:val="000000"/>
          <w:rtl/>
        </w:rPr>
      </w:pPr>
      <w:r>
        <w:rPr>
          <w:rFonts w:ascii="David" w:hAnsi="David"/>
          <w:color w:val="000000"/>
          <w:rtl/>
        </w:rPr>
        <w:t xml:space="preserve">זאת ועוד, כדי לאפשר את השימוש בפרטי האשראי של צדדים שלישיים מסר הנאשם לבתי העסק כרטיסי אשראי מזויפים, כל זאת כדי לקבל באמצעותם טובין שונים שבהם חפץ. הזיוף, כמו המרמה, מציג למרומה </w:t>
      </w:r>
      <w:r w:rsidRPr="002036F4">
        <w:rPr>
          <w:rFonts w:ascii="David" w:hAnsi="David"/>
          <w:b/>
          <w:bCs/>
          <w:color w:val="000000"/>
          <w:rtl/>
        </w:rPr>
        <w:t>מצג שווא המבוסס על דמיון בין המסמך המזויף למסמך המקורי, ובכך פוגע בחופש הרצון ובחופש הבחירה שלו, וביכולתו לקבל החלטה מושכלת</w:t>
      </w:r>
      <w:r>
        <w:rPr>
          <w:rFonts w:ascii="David" w:hAnsi="David"/>
          <w:color w:val="000000"/>
          <w:rtl/>
        </w:rPr>
        <w:t>, והכול במטרה להפיק תועלת כספית. כפי שציין בית המשפט העליון ב</w:t>
      </w:r>
      <w:hyperlink r:id="rId47" w:history="1">
        <w:r w:rsidR="00FC31CD" w:rsidRPr="00FC31CD">
          <w:rPr>
            <w:rFonts w:ascii="David" w:hAnsi="David"/>
            <w:color w:val="0000FF"/>
            <w:u w:val="single"/>
            <w:rtl/>
          </w:rPr>
          <w:t>ע"פ 789/99</w:t>
        </w:r>
      </w:hyperlink>
      <w:r>
        <w:rPr>
          <w:rFonts w:ascii="David" w:hAnsi="David"/>
          <w:color w:val="000000"/>
          <w:rtl/>
        </w:rPr>
        <w:t xml:space="preserve"> </w:t>
      </w:r>
      <w:r>
        <w:rPr>
          <w:rFonts w:ascii="David" w:hAnsi="David"/>
          <w:b/>
          <w:bCs/>
          <w:color w:val="000000"/>
          <w:rtl/>
        </w:rPr>
        <w:t>דרעי נ' מדינת ישראל</w:t>
      </w:r>
      <w:r>
        <w:rPr>
          <w:rFonts w:ascii="David" w:hAnsi="David"/>
          <w:color w:val="000000"/>
          <w:rtl/>
        </w:rPr>
        <w:t xml:space="preserve"> </w:t>
      </w:r>
      <w:r w:rsidR="003C6250" w:rsidRPr="003C6250">
        <w:rPr>
          <w:rFonts w:ascii="Times New Roman" w:hAnsi="Times New Roman"/>
          <w:sz w:val="22"/>
          <w:rtl/>
        </w:rPr>
        <w:t xml:space="preserve">[פורסם בנבו] </w:t>
      </w:r>
      <w:r>
        <w:rPr>
          <w:rFonts w:ascii="David" w:hAnsi="David"/>
          <w:color w:val="000000"/>
          <w:rtl/>
        </w:rPr>
        <w:t xml:space="preserve">(23.8.1999) – </w:t>
      </w:r>
    </w:p>
    <w:p w14:paraId="0EBBA8E6" w14:textId="77777777" w:rsidR="00AB3580" w:rsidRDefault="00AB3580" w:rsidP="00AB3580">
      <w:pPr>
        <w:pStyle w:val="ListParagraph"/>
        <w:spacing w:line="360" w:lineRule="auto"/>
        <w:jc w:val="both"/>
        <w:rPr>
          <w:rFonts w:ascii="David" w:hAnsi="David"/>
          <w:color w:val="000000"/>
        </w:rPr>
      </w:pPr>
    </w:p>
    <w:p w14:paraId="504B440A" w14:textId="77777777" w:rsidR="00AB3580" w:rsidRDefault="00AB3580" w:rsidP="00AB3580">
      <w:pPr>
        <w:pStyle w:val="ListParagraph"/>
        <w:ind w:left="935" w:right="284"/>
        <w:jc w:val="both"/>
        <w:rPr>
          <w:rFonts w:ascii="David" w:hAnsi="David"/>
          <w:rtl/>
        </w:rPr>
      </w:pPr>
      <w:r>
        <w:rPr>
          <w:rFonts w:ascii="David" w:hAnsi="David"/>
          <w:rtl/>
        </w:rPr>
        <w:t>הטלת עונשים מתונים בשל מעשי זיוף המאיימים על איכות החיים שמעניקה שיטת התשלום בכרטיסי אשראי, מעודד עבריינים בכוח לילך בדרך זו במקום להרתיעם מכך; וזאת בהתחשב ברווחים הקלים הטמונים בזיוף הכרטיסים, כאשר הסיכון להיתפס קלוש ביותר. אם רמת הענישה לא נתנה עד כה ביטוי לצורך להילחם בתופעת הזיוף של כרטיסי האשראי, הגיעה העת לשנות את מדיניות הענישה בתחום זה.</w:t>
      </w:r>
    </w:p>
    <w:p w14:paraId="727E0E38" w14:textId="77777777" w:rsidR="00AB3580" w:rsidRDefault="00AB3580" w:rsidP="00AB3580">
      <w:pPr>
        <w:pStyle w:val="ListParagraph"/>
        <w:spacing w:line="360" w:lineRule="auto"/>
        <w:jc w:val="both"/>
        <w:rPr>
          <w:rFonts w:ascii="David" w:hAnsi="David"/>
          <w:color w:val="000000"/>
          <w:rtl/>
        </w:rPr>
      </w:pPr>
    </w:p>
    <w:p w14:paraId="68F46B55" w14:textId="77777777" w:rsidR="00AB3580" w:rsidRDefault="00AB3580" w:rsidP="00AB3580">
      <w:pPr>
        <w:pStyle w:val="ListParagraph"/>
        <w:numPr>
          <w:ilvl w:val="0"/>
          <w:numId w:val="1"/>
        </w:numPr>
        <w:spacing w:line="360" w:lineRule="auto"/>
        <w:jc w:val="both"/>
        <w:rPr>
          <w:rFonts w:ascii="David" w:hAnsi="David"/>
          <w:color w:val="000000"/>
        </w:rPr>
      </w:pPr>
      <w:r>
        <w:rPr>
          <w:rFonts w:ascii="David" w:hAnsi="David"/>
          <w:color w:val="000000"/>
          <w:rtl/>
        </w:rPr>
        <w:t xml:space="preserve">לבסוף, פעולות השיבוש וההפרעה לשוטר שביצע הנאשם פגעו או ביקשו לפגוע </w:t>
      </w:r>
      <w:r w:rsidRPr="002036F4">
        <w:rPr>
          <w:rFonts w:ascii="David" w:hAnsi="David"/>
          <w:b/>
          <w:bCs/>
          <w:color w:val="000000"/>
          <w:rtl/>
        </w:rPr>
        <w:t>ביכולתם של גופי החקירה ורשויות האכיפה להביא לחקר האמת ולעשות משפט צדק, לשמר ערכים של שלטון החוק ושל שוויון בפני החוק ולהבטיח את אמון הציבור במערכת המשפט</w:t>
      </w:r>
      <w:r>
        <w:rPr>
          <w:rFonts w:ascii="David" w:hAnsi="David"/>
          <w:color w:val="000000"/>
          <w:rtl/>
        </w:rPr>
        <w:t xml:space="preserve">. </w:t>
      </w:r>
    </w:p>
    <w:p w14:paraId="03C698CA" w14:textId="77777777" w:rsidR="00AB3580" w:rsidRDefault="00AB3580" w:rsidP="00AB3580">
      <w:pPr>
        <w:pStyle w:val="ListParagraph"/>
        <w:spacing w:line="360" w:lineRule="auto"/>
        <w:rPr>
          <w:rFonts w:ascii="David" w:hAnsi="David"/>
          <w:color w:val="000000"/>
        </w:rPr>
      </w:pPr>
    </w:p>
    <w:p w14:paraId="74E028FD" w14:textId="77777777" w:rsidR="00AB3580" w:rsidRDefault="00AB3580" w:rsidP="00AB3580">
      <w:pPr>
        <w:pStyle w:val="ListParagraph"/>
        <w:numPr>
          <w:ilvl w:val="0"/>
          <w:numId w:val="1"/>
        </w:numPr>
        <w:spacing w:line="360" w:lineRule="auto"/>
        <w:jc w:val="both"/>
        <w:rPr>
          <w:rFonts w:ascii="David" w:hAnsi="David"/>
          <w:color w:val="000000"/>
        </w:rPr>
      </w:pPr>
      <w:r>
        <w:rPr>
          <w:rFonts w:ascii="David" w:hAnsi="David"/>
          <w:color w:val="000000"/>
          <w:rtl/>
        </w:rPr>
        <w:t xml:space="preserve">מעשי הנאשם מושא אישומים 2 ואילך פגעו בערכים אלה בעוצמה שאינה נמוכה. </w:t>
      </w:r>
      <w:r w:rsidRPr="002036F4">
        <w:rPr>
          <w:rFonts w:ascii="David" w:hAnsi="David"/>
          <w:b/>
          <w:bCs/>
          <w:color w:val="000000"/>
          <w:rtl/>
        </w:rPr>
        <w:t>ריבוי המקרים, פריסתם הגיאוגרפית הנרחבת – משל הנאשם נמצא "בכל מקום", תדירותם, ריבוי הקורבנות – בעלי הכרטיסים, ריבוי בתי העסק והיקף הסכומים המצטבר שאינו נמוך</w:t>
      </w:r>
      <w:r>
        <w:rPr>
          <w:rFonts w:ascii="David" w:hAnsi="David"/>
          <w:color w:val="000000"/>
          <w:rtl/>
        </w:rPr>
        <w:t xml:space="preserve">, כל אלה משקפים רמה לא נמוכה של אנטי-חברתיות המגבשת מסה קריטית שעשויה לשחוק את האמון באמצעי תשלום נפוצים אלה, לפגום בתקינות חיי המסחר ולהעלות את "עלויות העסקה" לכלל הציבור. </w:t>
      </w:r>
    </w:p>
    <w:p w14:paraId="5691672C" w14:textId="77777777" w:rsidR="00AB3580" w:rsidRPr="005241CE" w:rsidRDefault="00AB3580" w:rsidP="00AB3580">
      <w:pPr>
        <w:pStyle w:val="ListParagraph"/>
        <w:rPr>
          <w:rFonts w:ascii="David" w:hAnsi="David"/>
          <w:color w:val="000000"/>
          <w:rtl/>
        </w:rPr>
      </w:pPr>
    </w:p>
    <w:p w14:paraId="232FE72A" w14:textId="77777777" w:rsidR="00AB3580" w:rsidRDefault="00AB3580" w:rsidP="00AB3580">
      <w:pPr>
        <w:pStyle w:val="ListParagraph"/>
        <w:spacing w:line="360" w:lineRule="auto"/>
        <w:jc w:val="both"/>
        <w:rPr>
          <w:rFonts w:ascii="David" w:hAnsi="David"/>
          <w:color w:val="000000"/>
        </w:rPr>
      </w:pPr>
    </w:p>
    <w:p w14:paraId="7FC40A79" w14:textId="77777777" w:rsidR="00AB3580" w:rsidRDefault="00AB3580" w:rsidP="00AB3580">
      <w:pPr>
        <w:spacing w:line="360" w:lineRule="auto"/>
        <w:ind w:left="360"/>
        <w:rPr>
          <w:rFonts w:ascii="David" w:hAnsi="David"/>
          <w:color w:val="000000"/>
        </w:rPr>
      </w:pPr>
    </w:p>
    <w:p w14:paraId="1ED2CA75" w14:textId="77777777" w:rsidR="00AB3580" w:rsidRDefault="00AB3580" w:rsidP="00AB3580">
      <w:pPr>
        <w:pStyle w:val="ListParagraph"/>
        <w:numPr>
          <w:ilvl w:val="0"/>
          <w:numId w:val="3"/>
        </w:numPr>
        <w:spacing w:line="360" w:lineRule="auto"/>
        <w:ind w:left="509" w:hanging="425"/>
        <w:jc w:val="both"/>
        <w:rPr>
          <w:rFonts w:ascii="David" w:hAnsi="David"/>
          <w:u w:val="single"/>
          <w:rtl/>
        </w:rPr>
      </w:pPr>
      <w:r>
        <w:rPr>
          <w:rFonts w:ascii="David" w:hAnsi="David"/>
          <w:u w:val="single"/>
          <w:rtl/>
        </w:rPr>
        <w:t>הנסיבות הקשורות בביצוע העבירה</w:t>
      </w:r>
    </w:p>
    <w:p w14:paraId="17AD9FC8" w14:textId="77777777" w:rsidR="00AB3580" w:rsidRDefault="00AB3580" w:rsidP="00AB3580">
      <w:pPr>
        <w:pStyle w:val="ListParagraph"/>
        <w:spacing w:line="360" w:lineRule="auto"/>
        <w:ind w:left="509"/>
        <w:jc w:val="both"/>
        <w:rPr>
          <w:rFonts w:ascii="David" w:hAnsi="David"/>
          <w:u w:val="single"/>
        </w:rPr>
      </w:pPr>
    </w:p>
    <w:p w14:paraId="7AD774C0" w14:textId="77777777" w:rsidR="00AB3580" w:rsidRDefault="00AB3580" w:rsidP="00AB3580">
      <w:pPr>
        <w:pStyle w:val="ListParagraph"/>
        <w:numPr>
          <w:ilvl w:val="0"/>
          <w:numId w:val="1"/>
        </w:numPr>
        <w:spacing w:line="360" w:lineRule="auto"/>
        <w:jc w:val="both"/>
        <w:rPr>
          <w:rFonts w:ascii="David" w:hAnsi="David"/>
          <w:color w:val="000000"/>
          <w:rtl/>
        </w:rPr>
      </w:pPr>
      <w:r>
        <w:rPr>
          <w:rFonts w:ascii="David" w:hAnsi="David"/>
          <w:color w:val="000000"/>
          <w:rtl/>
        </w:rPr>
        <w:t>בעת קביעת מתחם הענישה בענייננו, ראיתי לתת את הדעת למספר היבטים:</w:t>
      </w:r>
    </w:p>
    <w:p w14:paraId="36A6D353" w14:textId="77777777" w:rsidR="00AB3580" w:rsidRDefault="00AB3580" w:rsidP="00AB3580">
      <w:pPr>
        <w:pStyle w:val="ListParagraph"/>
        <w:spacing w:line="360" w:lineRule="auto"/>
        <w:rPr>
          <w:rFonts w:ascii="David" w:hAnsi="David"/>
          <w:color w:val="000000"/>
        </w:rPr>
      </w:pPr>
    </w:p>
    <w:p w14:paraId="3905EE72" w14:textId="77777777" w:rsidR="00AB3580" w:rsidRDefault="00AB3580" w:rsidP="00AB3580">
      <w:pPr>
        <w:pStyle w:val="ListParagraph"/>
        <w:numPr>
          <w:ilvl w:val="0"/>
          <w:numId w:val="4"/>
        </w:numPr>
        <w:spacing w:line="360" w:lineRule="auto"/>
        <w:jc w:val="both"/>
        <w:rPr>
          <w:rFonts w:ascii="David" w:hAnsi="David"/>
          <w:color w:val="000000"/>
          <w:rtl/>
        </w:rPr>
      </w:pPr>
      <w:r>
        <w:rPr>
          <w:rFonts w:ascii="David" w:hAnsi="David"/>
          <w:color w:val="000000"/>
          <w:u w:val="single"/>
          <w:rtl/>
        </w:rPr>
        <w:t>התכנון שקדם לביצוע העבירה והתחכום שבמעשים</w:t>
      </w:r>
      <w:r>
        <w:rPr>
          <w:rFonts w:ascii="David" w:hAnsi="David"/>
          <w:color w:val="000000"/>
          <w:rtl/>
        </w:rPr>
        <w:t xml:space="preserve"> – הנאשם אחז בכרטיסי אשראי שעליהם נצרבו פרטי מידע הנוגעים לאזרחים תמימים. בצד זיוף הכרטיסים, אחז הנאשם גם בתעודת זהות מזויפת והשתמש בה כשנתבקש לכך על-ידי אחד מבתי העסק. ריבוי הכרטיסים המזויפים משקף מערך מסודר ושיטתי המצביע על תכנון מוקדם, תחכום ותעוזה, מקשה על גילוי העבירה ועל איתור העבריין ומגדיל את הסיכוי להצלחת המעשה הפלילי. אמנם, מידת התחכום שבמעשה נופלת מזו שנתלוותה למקרים אחרים כדוגמת זה שבו הנאשם הכמין בעצמו מצלמה על גבי כספומט כדי שיוכל להעתיק את הקוד הסודי או כמו אלה שבהם האישומים כללו את פעולת הזיוף עצמה, ולא רק את השימוש במסמך המזויף. ברם, </w:t>
      </w:r>
      <w:r w:rsidRPr="002036F4">
        <w:rPr>
          <w:rFonts w:ascii="David" w:hAnsi="David"/>
          <w:b/>
          <w:bCs/>
          <w:color w:val="000000"/>
          <w:rtl/>
        </w:rPr>
        <w:t>אין לומר כי רק פעולות מרובות שלבים ומשאבים או עתירות מורכבות ראוי שתוכתרנה כבעלות "תחכום". די בעצם השימוש בכרטיסי אשראי מזויפים והצגתם לבתי עסק לשם רכישת מוצרים – כל פעם על שם אדם אחר, כדי שהדבר ייחשב לנסיבה מחמירה</w:t>
      </w:r>
      <w:r>
        <w:rPr>
          <w:rFonts w:ascii="David" w:hAnsi="David"/>
          <w:color w:val="000000"/>
          <w:rtl/>
        </w:rPr>
        <w:t>. כך או כך, גם אם לא נדרש תחכום יוצא דופן בביצוע מעשים אלה, אין מדובר במעשים שנעשו בגחמה של רגע או בהתלקחות ספונטנית, אלא במהלך המצטייר מעובדותיו כקר רוח, שקול ומתוכנן. כידוע,</w:t>
      </w:r>
      <w:r>
        <w:rPr>
          <w:rFonts w:ascii="David" w:hAnsi="David"/>
          <w:color w:val="000000"/>
        </w:rPr>
        <w:t xml:space="preserve"> </w:t>
      </w:r>
      <w:r>
        <w:rPr>
          <w:rFonts w:ascii="David" w:hAnsi="David"/>
          <w:color w:val="000000"/>
          <w:rtl/>
        </w:rPr>
        <w:t>אדם הפוגע בערך החברתי המוגן מתוך שיצרו גבר עליו אינו דומה לאדם המתכנן את מעשיו בקפידה ובקור רוח. ככל שהייתה לנאשם</w:t>
      </w:r>
      <w:r w:rsidR="00FC31CD">
        <w:rPr>
          <w:rFonts w:ascii="David" w:hAnsi="David"/>
          <w:color w:val="000000"/>
          <w:rtl/>
        </w:rPr>
        <w:t xml:space="preserve"> </w:t>
      </w:r>
      <w:r>
        <w:rPr>
          <w:rFonts w:ascii="David" w:hAnsi="David"/>
          <w:color w:val="000000"/>
          <w:rtl/>
        </w:rPr>
        <w:t>שהות להרהר בדבר ולבחון את מעשיו בצורה שקולה, וחרף כך הוא בחר לבצע את העבירה,</w:t>
      </w:r>
      <w:r w:rsidR="00FC31CD">
        <w:rPr>
          <w:rFonts w:ascii="David" w:hAnsi="David"/>
          <w:color w:val="000000"/>
          <w:rtl/>
        </w:rPr>
        <w:t xml:space="preserve"> </w:t>
      </w:r>
      <w:r>
        <w:rPr>
          <w:rFonts w:ascii="David" w:hAnsi="David"/>
          <w:color w:val="000000"/>
          <w:rtl/>
        </w:rPr>
        <w:t>כך</w:t>
      </w:r>
      <w:r w:rsidR="00FC31CD">
        <w:rPr>
          <w:rFonts w:ascii="David" w:hAnsi="David"/>
          <w:color w:val="000000"/>
          <w:rtl/>
        </w:rPr>
        <w:t xml:space="preserve"> </w:t>
      </w:r>
      <w:r>
        <w:rPr>
          <w:rFonts w:ascii="David" w:hAnsi="David"/>
          <w:color w:val="000000"/>
          <w:rtl/>
        </w:rPr>
        <w:t>גדלה</w:t>
      </w:r>
      <w:r w:rsidR="00FC31CD">
        <w:rPr>
          <w:rFonts w:ascii="David" w:hAnsi="David"/>
          <w:color w:val="000000"/>
          <w:rtl/>
        </w:rPr>
        <w:t xml:space="preserve"> </w:t>
      </w:r>
      <w:r>
        <w:rPr>
          <w:rFonts w:ascii="David" w:hAnsi="David"/>
          <w:color w:val="000000"/>
          <w:rtl/>
        </w:rPr>
        <w:t>מידת אשמו.</w:t>
      </w:r>
    </w:p>
    <w:p w14:paraId="33995658" w14:textId="77777777" w:rsidR="00AB3580" w:rsidRDefault="00AB3580" w:rsidP="00AB3580">
      <w:pPr>
        <w:pStyle w:val="ListParagraph"/>
        <w:spacing w:line="360" w:lineRule="auto"/>
        <w:ind w:left="1440"/>
        <w:jc w:val="both"/>
        <w:rPr>
          <w:rFonts w:ascii="David" w:hAnsi="David"/>
          <w:color w:val="000000"/>
        </w:rPr>
      </w:pPr>
    </w:p>
    <w:p w14:paraId="1C923A06" w14:textId="77777777" w:rsidR="00AB3580" w:rsidRDefault="00AB3580" w:rsidP="00AB3580">
      <w:pPr>
        <w:pStyle w:val="ListParagraph"/>
        <w:numPr>
          <w:ilvl w:val="0"/>
          <w:numId w:val="4"/>
        </w:numPr>
        <w:spacing w:line="360" w:lineRule="auto"/>
        <w:jc w:val="both"/>
        <w:rPr>
          <w:rFonts w:ascii="David" w:hAnsi="David"/>
          <w:color w:val="000000"/>
        </w:rPr>
      </w:pPr>
      <w:r>
        <w:rPr>
          <w:rFonts w:ascii="David" w:hAnsi="David"/>
          <w:color w:val="000000"/>
          <w:u w:val="single"/>
          <w:rtl/>
        </w:rPr>
        <w:t>המניע שעמד ביסוד המעשים</w:t>
      </w:r>
      <w:r>
        <w:rPr>
          <w:rFonts w:ascii="David" w:hAnsi="David"/>
          <w:color w:val="000000"/>
          <w:rtl/>
        </w:rPr>
        <w:t xml:space="preserve"> – כרטיסי האשראי המזויפים שימשו את הנאשם לרכישת מוצרי מותרות – פאקטים של סיגריות, אלכוהול, בגדי מותגים, מכונת קפה וכיוצא באלה. </w:t>
      </w:r>
      <w:r w:rsidRPr="002036F4">
        <w:rPr>
          <w:rFonts w:ascii="David" w:hAnsi="David"/>
          <w:b/>
          <w:bCs/>
          <w:color w:val="000000"/>
          <w:rtl/>
        </w:rPr>
        <w:t>אין מדובר, אפוא, במצבים שהם פרי מצוקה כלכלית או צורך חיוני אחר</w:t>
      </w:r>
      <w:r>
        <w:rPr>
          <w:rFonts w:ascii="David" w:hAnsi="David"/>
          <w:color w:val="000000"/>
          <w:rtl/>
        </w:rPr>
        <w:t xml:space="preserve"> – דבר שיכול בנסיבות מסוימות להקהות במידת מה ממידת חומרתם, אלא בכאלה </w:t>
      </w:r>
      <w:r w:rsidRPr="002036F4">
        <w:rPr>
          <w:rFonts w:ascii="David" w:hAnsi="David"/>
          <w:b/>
          <w:bCs/>
          <w:color w:val="000000"/>
          <w:rtl/>
        </w:rPr>
        <w:t>שנעשו מתוך מניע של בצע כסף</w:t>
      </w:r>
      <w:r>
        <w:rPr>
          <w:rFonts w:ascii="David" w:hAnsi="David"/>
          <w:color w:val="000000"/>
          <w:rtl/>
        </w:rPr>
        <w:t>.</w:t>
      </w:r>
    </w:p>
    <w:p w14:paraId="30C8B9AB" w14:textId="77777777" w:rsidR="00AB3580" w:rsidRDefault="00AB3580" w:rsidP="00AB3580">
      <w:pPr>
        <w:pStyle w:val="ListParagraph"/>
        <w:spacing w:line="360" w:lineRule="auto"/>
        <w:jc w:val="both"/>
        <w:rPr>
          <w:rFonts w:ascii="David" w:hAnsi="David"/>
          <w:color w:val="000000"/>
          <w:rtl/>
        </w:rPr>
      </w:pPr>
    </w:p>
    <w:p w14:paraId="1F87A585" w14:textId="77777777" w:rsidR="00AB3580" w:rsidRDefault="00AB3580" w:rsidP="003C6250">
      <w:pPr>
        <w:pStyle w:val="ListParagraph"/>
        <w:numPr>
          <w:ilvl w:val="0"/>
          <w:numId w:val="4"/>
        </w:numPr>
        <w:spacing w:line="360" w:lineRule="auto"/>
        <w:jc w:val="both"/>
        <w:rPr>
          <w:rFonts w:ascii="David" w:hAnsi="David"/>
          <w:rtl/>
        </w:rPr>
      </w:pPr>
      <w:r>
        <w:rPr>
          <w:rFonts w:ascii="David" w:hAnsi="David"/>
          <w:color w:val="000000"/>
          <w:u w:val="single"/>
          <w:rtl/>
        </w:rPr>
        <w:t>יכולתו של הנאשם להימנע מעשיית המעשה</w:t>
      </w:r>
      <w:r>
        <w:rPr>
          <w:rFonts w:ascii="David" w:hAnsi="David"/>
          <w:color w:val="000000"/>
          <w:rtl/>
        </w:rPr>
        <w:t xml:space="preserve"> – שיקול זה בוחן, בין היתר, אם היה ביכולתו של הנאשם להימלך בדעתו, לנתק מגע ולהימנע מעשיית המעשה, או שמא דובר במהלך מהיר אחיד וחד אשר משעה שהתחיל, לא ניתן היה עוד לעצרו (ראו והשוו</w:t>
      </w:r>
      <w:r w:rsidR="00FC31CD">
        <w:rPr>
          <w:rFonts w:ascii="David" w:hAnsi="David"/>
          <w:color w:val="000000"/>
          <w:rtl/>
        </w:rPr>
        <w:t xml:space="preserve"> </w:t>
      </w:r>
      <w:hyperlink r:id="rId48" w:history="1">
        <w:r w:rsidR="00FC31CD" w:rsidRPr="00FC31CD">
          <w:rPr>
            <w:rFonts w:ascii="David" w:hAnsi="David"/>
            <w:color w:val="0000FF"/>
            <w:u w:val="single"/>
            <w:rtl/>
          </w:rPr>
          <w:t>ע"פ 746/14</w:t>
        </w:r>
      </w:hyperlink>
      <w:r w:rsidR="00FC31CD">
        <w:rPr>
          <w:rFonts w:ascii="David" w:hAnsi="David"/>
          <w:color w:val="000000"/>
          <w:rtl/>
        </w:rPr>
        <w:t xml:space="preserve"> </w:t>
      </w:r>
      <w:r>
        <w:rPr>
          <w:rFonts w:ascii="David" w:hAnsi="David"/>
          <w:b/>
          <w:bCs/>
          <w:color w:val="000000"/>
          <w:rtl/>
        </w:rPr>
        <w:t>‏היילו נ' מדינת ישראל</w:t>
      </w:r>
      <w:r>
        <w:rPr>
          <w:rFonts w:ascii="David" w:hAnsi="David"/>
          <w:color w:val="000000"/>
          <w:rtl/>
        </w:rPr>
        <w:t>, פס' 116</w:t>
      </w:r>
      <w:r w:rsidR="00FC31CD">
        <w:rPr>
          <w:rFonts w:ascii="David" w:hAnsi="David"/>
          <w:color w:val="000000"/>
          <w:rtl/>
        </w:rPr>
        <w:t xml:space="preserve"> </w:t>
      </w:r>
      <w:r w:rsidR="003C6250" w:rsidRPr="003C6250">
        <w:rPr>
          <w:rFonts w:ascii="Times New Roman" w:hAnsi="Times New Roman"/>
          <w:sz w:val="22"/>
          <w:rtl/>
        </w:rPr>
        <w:t xml:space="preserve">[פורסם בנבו] </w:t>
      </w:r>
      <w:r>
        <w:rPr>
          <w:rFonts w:ascii="David" w:hAnsi="David"/>
          <w:color w:val="000000"/>
          <w:rtl/>
        </w:rPr>
        <w:t>(31.5.2016);</w:t>
      </w:r>
      <w:r w:rsidR="00FC31CD">
        <w:rPr>
          <w:rFonts w:ascii="David" w:hAnsi="David"/>
          <w:color w:val="000000"/>
          <w:rtl/>
        </w:rPr>
        <w:t xml:space="preserve"> </w:t>
      </w:r>
      <w:r>
        <w:rPr>
          <w:rFonts w:ascii="David" w:hAnsi="David"/>
          <w:color w:val="000000"/>
          <w:rtl/>
        </w:rPr>
        <w:t xml:space="preserve">עניין </w:t>
      </w:r>
      <w:r>
        <w:rPr>
          <w:rFonts w:ascii="David" w:hAnsi="David"/>
          <w:b/>
          <w:bCs/>
          <w:color w:val="000000"/>
          <w:rtl/>
        </w:rPr>
        <w:t>רובינסון</w:t>
      </w:r>
      <w:r>
        <w:rPr>
          <w:rFonts w:ascii="David" w:hAnsi="David"/>
          <w:color w:val="000000"/>
          <w:rtl/>
        </w:rPr>
        <w:t xml:space="preserve">, בפסקה 14 לגזר הדין). כאמור, בענייננו, שב הנאשם וביצע את העבירות לאורך ימים, לעיתים יום אחר יום ולעיתים מספר פעמיים ביום. לאחר רצף ימים שבהם ביצע הנאשם עבירות כמעט מדי יום, חדל הנאשם ממעשיו למשך כשבועיים, אך בהמשך חזר לסורו וביצע את העבירות עוד פעמים מספר. </w:t>
      </w:r>
      <w:r w:rsidRPr="002036F4">
        <w:rPr>
          <w:rFonts w:ascii="David" w:hAnsi="David"/>
          <w:b/>
          <w:bCs/>
          <w:color w:val="000000"/>
          <w:rtl/>
        </w:rPr>
        <w:t>לנאשם הייתה, אפוא, אפשרות לעצור – כפי שאכן עשה בסופו של דבר מיוזמתו, אך הוא שב וביצע את מעשיו</w:t>
      </w:r>
      <w:r>
        <w:rPr>
          <w:rFonts w:ascii="David" w:hAnsi="David"/>
          <w:color w:val="000000"/>
          <w:rtl/>
        </w:rPr>
        <w:t xml:space="preserve"> לאורך פעמים לא מעטות תוך שהוא מוסיף שמות נוספים לרשימת נפגעיו. </w:t>
      </w:r>
    </w:p>
    <w:p w14:paraId="31E5B556" w14:textId="77777777" w:rsidR="00AB3580" w:rsidRDefault="00AB3580" w:rsidP="00AB3580">
      <w:pPr>
        <w:pStyle w:val="ListParagraph"/>
        <w:rPr>
          <w:rFonts w:ascii="David" w:hAnsi="David"/>
        </w:rPr>
      </w:pPr>
    </w:p>
    <w:p w14:paraId="546A6BCC" w14:textId="77777777" w:rsidR="00AB3580" w:rsidRDefault="00AB3580" w:rsidP="00AB3580">
      <w:pPr>
        <w:pStyle w:val="ListParagraph"/>
        <w:numPr>
          <w:ilvl w:val="0"/>
          <w:numId w:val="4"/>
        </w:numPr>
        <w:spacing w:line="360" w:lineRule="auto"/>
        <w:jc w:val="both"/>
        <w:rPr>
          <w:rFonts w:ascii="David" w:hAnsi="David"/>
          <w:color w:val="000000"/>
          <w:rtl/>
        </w:rPr>
      </w:pPr>
      <w:r>
        <w:rPr>
          <w:rFonts w:ascii="David" w:hAnsi="David"/>
          <w:color w:val="000000"/>
          <w:u w:val="single"/>
          <w:rtl/>
        </w:rPr>
        <w:t>הנזק שנגרם והנזק שעשוי היה להיגרם</w:t>
      </w:r>
      <w:r>
        <w:rPr>
          <w:rFonts w:ascii="David" w:hAnsi="David"/>
          <w:color w:val="000000"/>
          <w:rtl/>
        </w:rPr>
        <w:t xml:space="preserve"> – בהקשר זה יש לתת את הדעת הן ל</w:t>
      </w:r>
      <w:r w:rsidRPr="002036F4">
        <w:rPr>
          <w:rFonts w:ascii="David" w:hAnsi="David"/>
          <w:b/>
          <w:bCs/>
          <w:color w:val="000000"/>
          <w:rtl/>
        </w:rPr>
        <w:t xml:space="preserve">נזק הקונקרטי </w:t>
      </w:r>
      <w:r>
        <w:rPr>
          <w:rFonts w:ascii="David" w:hAnsi="David"/>
          <w:color w:val="000000"/>
          <w:rtl/>
        </w:rPr>
        <w:t xml:space="preserve">הנובע מהפגיעה בקניינם של בעלי כרטיס האשראי וחברת האשראי, הן </w:t>
      </w:r>
      <w:r w:rsidRPr="002036F4">
        <w:rPr>
          <w:rFonts w:ascii="David" w:hAnsi="David"/>
          <w:b/>
          <w:bCs/>
          <w:color w:val="000000"/>
          <w:rtl/>
        </w:rPr>
        <w:t>לנזק החברתי הרחב יותר</w:t>
      </w:r>
      <w:r>
        <w:rPr>
          <w:rFonts w:ascii="David" w:hAnsi="David"/>
          <w:color w:val="000000"/>
          <w:rtl/>
        </w:rPr>
        <w:t xml:space="preserve"> שבאובדן אמון במנגנון זה, בייקור אפשרי של עמלות ובפגיעה במרקם חיי המסחר.</w:t>
      </w:r>
    </w:p>
    <w:p w14:paraId="11B65CDC" w14:textId="77777777" w:rsidR="00AB3580" w:rsidRDefault="00AB3580" w:rsidP="00AB3580">
      <w:pPr>
        <w:pStyle w:val="ListParagraph"/>
        <w:spacing w:line="360" w:lineRule="auto"/>
        <w:rPr>
          <w:rFonts w:ascii="David" w:hAnsi="David"/>
          <w:color w:val="000000"/>
          <w:rtl/>
        </w:rPr>
      </w:pPr>
    </w:p>
    <w:p w14:paraId="1C151F0B" w14:textId="77777777" w:rsidR="00AB3580" w:rsidRDefault="00AB3580" w:rsidP="00AB3580">
      <w:pPr>
        <w:pStyle w:val="ListParagraph"/>
        <w:spacing w:line="360" w:lineRule="auto"/>
        <w:rPr>
          <w:rFonts w:ascii="David" w:hAnsi="David"/>
          <w:color w:val="000000"/>
          <w:rtl/>
        </w:rPr>
      </w:pPr>
    </w:p>
    <w:p w14:paraId="7154A888" w14:textId="77777777" w:rsidR="00AB3580" w:rsidRDefault="00AB3580" w:rsidP="00AB3580">
      <w:pPr>
        <w:pStyle w:val="ListParagraph"/>
        <w:numPr>
          <w:ilvl w:val="0"/>
          <w:numId w:val="3"/>
        </w:numPr>
        <w:spacing w:line="360" w:lineRule="auto"/>
        <w:ind w:left="509" w:hanging="425"/>
        <w:jc w:val="both"/>
        <w:rPr>
          <w:rFonts w:ascii="David" w:hAnsi="David"/>
          <w:u w:val="single"/>
          <w:rtl/>
        </w:rPr>
      </w:pPr>
      <w:r>
        <w:rPr>
          <w:rFonts w:ascii="David" w:hAnsi="David"/>
          <w:u w:val="single"/>
          <w:rtl/>
        </w:rPr>
        <w:t>מדינות הענישה</w:t>
      </w:r>
    </w:p>
    <w:p w14:paraId="57D26ACE" w14:textId="77777777" w:rsidR="00AB3580" w:rsidRDefault="00AB3580" w:rsidP="00AB3580">
      <w:pPr>
        <w:pStyle w:val="ListParagraph"/>
        <w:spacing w:line="360" w:lineRule="auto"/>
        <w:jc w:val="both"/>
        <w:rPr>
          <w:rFonts w:ascii="David" w:hAnsi="David"/>
          <w:color w:val="000000"/>
        </w:rPr>
      </w:pPr>
    </w:p>
    <w:p w14:paraId="3E58555A" w14:textId="77777777" w:rsidR="00AB3580" w:rsidRDefault="00AB3580" w:rsidP="00AB3580">
      <w:pPr>
        <w:pStyle w:val="ListParagraph"/>
        <w:numPr>
          <w:ilvl w:val="0"/>
          <w:numId w:val="1"/>
        </w:numPr>
        <w:spacing w:line="360" w:lineRule="auto"/>
        <w:jc w:val="both"/>
        <w:rPr>
          <w:rFonts w:ascii="David" w:hAnsi="David"/>
          <w:color w:val="000000"/>
        </w:rPr>
      </w:pPr>
      <w:r>
        <w:rPr>
          <w:rFonts w:ascii="David" w:hAnsi="David"/>
          <w:color w:val="000000"/>
          <w:rtl/>
        </w:rPr>
        <w:t>בעת בחינת מדינות הענישה נתתי דעתי למספר פסקי דין, כמפורט להלן :</w:t>
      </w:r>
    </w:p>
    <w:p w14:paraId="5DCF227A" w14:textId="77777777" w:rsidR="00AB3580" w:rsidRDefault="00AB3580" w:rsidP="00AB3580">
      <w:pPr>
        <w:pStyle w:val="ListParagraph"/>
        <w:spacing w:line="360" w:lineRule="auto"/>
        <w:rPr>
          <w:rFonts w:ascii="David" w:hAnsi="David"/>
          <w:color w:val="000000"/>
          <w:rtl/>
        </w:rPr>
      </w:pPr>
    </w:p>
    <w:p w14:paraId="6E6A98C8" w14:textId="77777777" w:rsidR="00AB3580" w:rsidRDefault="00FC31CD" w:rsidP="00AB3580">
      <w:pPr>
        <w:pStyle w:val="ListParagraph"/>
        <w:numPr>
          <w:ilvl w:val="0"/>
          <w:numId w:val="4"/>
        </w:numPr>
        <w:spacing w:line="360" w:lineRule="auto"/>
        <w:jc w:val="both"/>
        <w:rPr>
          <w:rFonts w:ascii="David" w:hAnsi="David"/>
          <w:color w:val="000000"/>
          <w:rtl/>
        </w:rPr>
      </w:pPr>
      <w:hyperlink r:id="rId49" w:history="1">
        <w:r w:rsidRPr="00FC31CD">
          <w:rPr>
            <w:rFonts w:ascii="David" w:hAnsi="David"/>
            <w:color w:val="0000FF"/>
            <w:u w:val="single"/>
            <w:rtl/>
          </w:rPr>
          <w:t>רע"פ 5658/15</w:t>
        </w:r>
      </w:hyperlink>
      <w:r w:rsidR="00AB3580">
        <w:rPr>
          <w:rFonts w:ascii="David" w:hAnsi="David"/>
          <w:color w:val="000000"/>
          <w:u w:val="single"/>
          <w:rtl/>
        </w:rPr>
        <w:t xml:space="preserve"> </w:t>
      </w:r>
      <w:r w:rsidR="00AB3580">
        <w:rPr>
          <w:rFonts w:ascii="David" w:hAnsi="David"/>
          <w:b/>
          <w:bCs/>
          <w:color w:val="000000"/>
          <w:u w:val="single"/>
          <w:rtl/>
        </w:rPr>
        <w:t>סמירנוב נ' מדינת ישראל</w:t>
      </w:r>
      <w:r w:rsidR="00AB3580">
        <w:rPr>
          <w:rFonts w:ascii="David" w:hAnsi="David"/>
          <w:color w:val="000000"/>
          <w:rtl/>
        </w:rPr>
        <w:t xml:space="preserve"> </w:t>
      </w:r>
      <w:r w:rsidR="003C6250" w:rsidRPr="003C6250">
        <w:rPr>
          <w:rFonts w:ascii="Times New Roman" w:hAnsi="Times New Roman"/>
          <w:sz w:val="22"/>
          <w:rtl/>
        </w:rPr>
        <w:t xml:space="preserve">[פורסם בנבו] </w:t>
      </w:r>
      <w:r w:rsidR="00AB3580">
        <w:rPr>
          <w:rFonts w:ascii="David" w:hAnsi="David"/>
          <w:color w:val="000000"/>
          <w:rtl/>
        </w:rPr>
        <w:t xml:space="preserve">(24.8.2015) –  הנאשם הורשע בביצוע בצוותא של עבירות של החזקת ציוד לזיוף כרטיסי חיוב; ניסיון לקבל דבר במרמה בנסיבות מחמירות; הוראה בכרטיסי חיוב בנסיבות מחמירות וניסיון הונאה בכרטיסי חיוב בנסיבות מחמירות. בהתאם לכתב האישום שבו הורשע, לאורך פרק זמן של כ-3 חודשים, הנאשם ונאשם נוסף העתיקו נתונים של כרטיסי אשראי של לקוחות חבר </w:t>
      </w:r>
      <w:r w:rsidR="00AB3580">
        <w:rPr>
          <w:rFonts w:ascii="David" w:hAnsi="David"/>
          <w:color w:val="000000"/>
        </w:rPr>
        <w:t>"</w:t>
      </w:r>
      <w:r w:rsidR="00AB3580">
        <w:rPr>
          <w:rFonts w:ascii="David" w:hAnsi="David"/>
          <w:color w:val="000000"/>
          <w:rtl/>
        </w:rPr>
        <w:t>לאומי קארד"; שכפלו את כרטיסי האשראי באמצעות ערכה הכוללת קורא כרטיסים מגנטיים ומצלמה שהותקנו מבעוד מועד במכשיר הכספומט; ומסרו את הנתונים לאחר. בדרך זו שכפלו הנאשמים שלושה כרטיסי אשראי, והאחר משך באמצעות אחד מהם סכום של 2,520 ₪</w:t>
      </w:r>
      <w:r w:rsidR="00AB3580">
        <w:rPr>
          <w:rFonts w:ascii="David" w:hAnsi="David"/>
          <w:color w:val="000000"/>
        </w:rPr>
        <w:t>.</w:t>
      </w:r>
      <w:r w:rsidR="00AB3580">
        <w:rPr>
          <w:rFonts w:ascii="David" w:hAnsi="David"/>
          <w:color w:val="000000"/>
          <w:rtl/>
        </w:rPr>
        <w:t xml:space="preserve"> בית המשפט עמד על התחכום שבביצוע עבירות אלה, הזילות ברכוש והיעדר המורא מן החוק, וקבע כי מתחם העונש ינוע בין 6 ל-24 חודשי מאסר לריצוי בפועל. בית המשפט נתן דעתו לתסקיר שירות המבחן שהמליץ על הליך טיפולי ועל עונש עבודות שירות</w:t>
      </w:r>
      <w:r w:rsidR="00AB3580">
        <w:rPr>
          <w:rtl/>
        </w:rPr>
        <w:t xml:space="preserve">; לעברו הפלילי הנקי של הנאשם ולהודאתו, והעמיד את עונשו על 10 חודשי מאסר בפועל בצד קנס ופיצוי. ערעור ובר"ע על גזר דין זה נדחו. </w:t>
      </w:r>
    </w:p>
    <w:p w14:paraId="0A74112B" w14:textId="77777777" w:rsidR="00AB3580" w:rsidRDefault="00AB3580" w:rsidP="00AB3580">
      <w:pPr>
        <w:pStyle w:val="ListParagraph"/>
        <w:spacing w:line="360" w:lineRule="auto"/>
        <w:ind w:left="1440"/>
        <w:jc w:val="both"/>
        <w:rPr>
          <w:rFonts w:ascii="David" w:hAnsi="David"/>
          <w:color w:val="000000"/>
          <w:u w:val="single"/>
        </w:rPr>
      </w:pPr>
    </w:p>
    <w:p w14:paraId="21C3504D" w14:textId="77777777" w:rsidR="00AB3580" w:rsidRDefault="00AB3580" w:rsidP="00AB3580">
      <w:pPr>
        <w:pStyle w:val="ListParagraph"/>
        <w:spacing w:line="360" w:lineRule="auto"/>
        <w:ind w:left="1440"/>
        <w:jc w:val="both"/>
        <w:rPr>
          <w:rFonts w:ascii="David" w:hAnsi="David"/>
          <w:color w:val="000000"/>
          <w:rtl/>
        </w:rPr>
      </w:pPr>
      <w:r>
        <w:rPr>
          <w:rFonts w:ascii="David" w:hAnsi="David"/>
          <w:color w:val="000000"/>
          <w:rtl/>
        </w:rPr>
        <w:t xml:space="preserve">לטעמי, הפרשה שלפנינו חמורה מפרשה זו. אמת, שרמת התחכום שנתלוותה לעניין </w:t>
      </w:r>
      <w:r>
        <w:rPr>
          <w:rFonts w:ascii="David" w:hAnsi="David"/>
          <w:b/>
          <w:bCs/>
          <w:color w:val="000000"/>
          <w:rtl/>
        </w:rPr>
        <w:t>סמירנוב</w:t>
      </w:r>
      <w:r>
        <w:rPr>
          <w:rFonts w:ascii="David" w:hAnsi="David"/>
          <w:color w:val="000000"/>
          <w:rtl/>
        </w:rPr>
        <w:t xml:space="preserve"> גבוה יותר וכוללת מנגנון מורכב ומחושב המלמד על תכנון ותעוזה. גם העובדה שהעבירה בוצעה ביחד עם אחר מוסיפה לה משנה חומרה. ברם, מול אלה יש להציב את סכום הכסף שבו נעשה שימוש באמצעות הכרטיסים בענייננו, שהוא גבוה בהרבה; את מספר הקורבנות הגדול יותר; ואת ריבוי העסקאות, תדירותן והאינטנסיביות הרבה שאפיינה אותן. עוד יש להביא בחשבון את עבירות השיבוש ואת שאר העבירות נושא האישום הראשון, המתקיימות במקרה שלפנינו ומוסיפות לחומרת המקרה.  </w:t>
      </w:r>
    </w:p>
    <w:p w14:paraId="5CEC5DDB" w14:textId="77777777" w:rsidR="00AB3580" w:rsidRDefault="00AB3580" w:rsidP="00AB3580">
      <w:pPr>
        <w:pStyle w:val="ListParagraph"/>
        <w:spacing w:line="360" w:lineRule="auto"/>
        <w:rPr>
          <w:rFonts w:ascii="David" w:hAnsi="David"/>
          <w:color w:val="000000"/>
          <w:rtl/>
        </w:rPr>
      </w:pPr>
    </w:p>
    <w:p w14:paraId="72D98A20" w14:textId="77777777" w:rsidR="00AB3580" w:rsidRDefault="00FC31CD" w:rsidP="00AB3580">
      <w:pPr>
        <w:pStyle w:val="ListParagraph"/>
        <w:numPr>
          <w:ilvl w:val="0"/>
          <w:numId w:val="4"/>
        </w:numPr>
        <w:spacing w:line="360" w:lineRule="auto"/>
        <w:jc w:val="both"/>
        <w:rPr>
          <w:rFonts w:ascii="David" w:hAnsi="David"/>
          <w:color w:val="000000"/>
        </w:rPr>
      </w:pPr>
      <w:hyperlink r:id="rId50" w:history="1">
        <w:r w:rsidRPr="00FC31CD">
          <w:rPr>
            <w:rFonts w:ascii="David" w:hAnsi="David"/>
            <w:color w:val="0000FF"/>
            <w:u w:val="single"/>
            <w:rtl/>
          </w:rPr>
          <w:t>עפ"ג 1771-11-16</w:t>
        </w:r>
      </w:hyperlink>
      <w:r w:rsidR="00AB3580">
        <w:rPr>
          <w:rFonts w:ascii="David" w:hAnsi="David"/>
          <w:color w:val="000000"/>
          <w:u w:val="single"/>
          <w:rtl/>
        </w:rPr>
        <w:t xml:space="preserve"> </w:t>
      </w:r>
      <w:r w:rsidR="00AB3580">
        <w:rPr>
          <w:rFonts w:ascii="David" w:hAnsi="David"/>
          <w:b/>
          <w:bCs/>
          <w:color w:val="000000"/>
          <w:u w:val="single"/>
          <w:rtl/>
        </w:rPr>
        <w:t>דויגא נ' מדינת ישראל</w:t>
      </w:r>
      <w:r w:rsidR="00AB3580">
        <w:rPr>
          <w:rFonts w:ascii="David" w:hAnsi="David"/>
          <w:color w:val="000000"/>
          <w:rtl/>
        </w:rPr>
        <w:t xml:space="preserve"> </w:t>
      </w:r>
      <w:r w:rsidR="003C6250" w:rsidRPr="003C6250">
        <w:rPr>
          <w:rFonts w:ascii="Times New Roman" w:hAnsi="Times New Roman"/>
          <w:sz w:val="22"/>
          <w:rtl/>
        </w:rPr>
        <w:t xml:space="preserve">[פורסם בנבו] </w:t>
      </w:r>
      <w:r w:rsidR="00AB3580">
        <w:rPr>
          <w:rFonts w:ascii="David" w:hAnsi="David"/>
          <w:color w:val="000000"/>
          <w:rtl/>
        </w:rPr>
        <w:t xml:space="preserve">(31.1.2017) – הנאשם, אזרח מולדובה, נכנס לישראל תחת אשרת תייר, ולאחר שזו פקעה, ביצע עשרות עבירות של הונאה ומרמה בכרטיסי אשראי. בתוך כך, הנאשם התקין מצלמה המתעדת את הקוד הסודי על גבי מכשיר כספומט, והטביע את הנתונים שהתקבלו על כרטיסים ריקים, ביחד עם אחר. בהמשך, עשה הנאשם שימוש בכרטיסים אלה, תוך ביצוע מעשי הונאה. שווי החיוב שנעשה בכרטיסים המזויפים עמד על 31,000 ₪ ושווי ניסיונות המשיכה עמד על 54,000 ₪ (נוסף על ניסיונות נוספים ללא פירוט גובה החיוב). עוד הורשע הנאשם בהחזקת סכומי כסף בשווי רב ובהחזקת 12 כרטיסי חיוב מזויפים. בית המשפט עמד על חומרת המעשים, על מידת התחכום שבהם, הזילות ברכוש הזולת וחוסר המורא מהחוק. בית המשפט ייחס משנה חומרה לכך שהנאשם התקין ציוד להעתקת מידע ולזיוף כרטיסים נוספים בשלוש הזדמנויות. על יסוד זה העמיד בית המשפט את המתחם על טווח שבין 20 חודשים לארבע שנות מאסר בפועל,  וגזר על הנאשם, שהודה בעבירות והביע חרטה, עונש בן 32 חודשים נוסף על פיצוי כספי וקנס. </w:t>
      </w:r>
    </w:p>
    <w:p w14:paraId="1E94D939" w14:textId="77777777" w:rsidR="00AB3580" w:rsidRDefault="00AB3580" w:rsidP="00AB3580">
      <w:pPr>
        <w:pStyle w:val="ListParagraph"/>
        <w:spacing w:line="360" w:lineRule="auto"/>
        <w:ind w:left="1440"/>
        <w:jc w:val="both"/>
        <w:rPr>
          <w:rFonts w:ascii="David" w:hAnsi="David"/>
          <w:color w:val="000000"/>
        </w:rPr>
      </w:pPr>
    </w:p>
    <w:p w14:paraId="4F5E3340" w14:textId="77777777" w:rsidR="00AB3580" w:rsidRDefault="00AB3580" w:rsidP="00AB3580">
      <w:pPr>
        <w:pStyle w:val="ListParagraph"/>
        <w:spacing w:line="360" w:lineRule="auto"/>
        <w:ind w:left="1440"/>
        <w:jc w:val="both"/>
        <w:rPr>
          <w:rFonts w:ascii="David" w:hAnsi="David"/>
          <w:color w:val="000000"/>
        </w:rPr>
      </w:pPr>
      <w:r>
        <w:rPr>
          <w:rFonts w:ascii="David" w:hAnsi="David"/>
          <w:color w:val="000000"/>
          <w:rtl/>
        </w:rPr>
        <w:t xml:space="preserve">בהשוואת מקרה זה לענייננו, הרי שעניין </w:t>
      </w:r>
      <w:r>
        <w:rPr>
          <w:rFonts w:ascii="David" w:hAnsi="David"/>
          <w:b/>
          <w:bCs/>
          <w:color w:val="000000"/>
          <w:rtl/>
        </w:rPr>
        <w:t>דויגא</w:t>
      </w:r>
      <w:r>
        <w:rPr>
          <w:rFonts w:ascii="David" w:hAnsi="David"/>
          <w:color w:val="000000"/>
          <w:rtl/>
        </w:rPr>
        <w:t xml:space="preserve"> הוא מקרה חמור יותר. זאת בשים לב לסכומי הכסף שבנדון, לתחכום ולתעוזה שהיו כרוכים בהתקנת המצלמה, לעובדה שהנאשם לא הפסיק את מעשיו מיוזמתו אלא נעצר עם כרטיסים מזויפים, לכך שביצע את העבירות עם אחר ולכך שביצע אותם לאחר שנכנס לישראל שלא כדין. </w:t>
      </w:r>
    </w:p>
    <w:p w14:paraId="6BE10C64" w14:textId="77777777" w:rsidR="00AB3580" w:rsidRDefault="00AB3580" w:rsidP="00AB3580">
      <w:pPr>
        <w:pStyle w:val="ListParagraph"/>
        <w:spacing w:line="360" w:lineRule="auto"/>
        <w:rPr>
          <w:rFonts w:ascii="David" w:hAnsi="David"/>
          <w:color w:val="000000"/>
          <w:rtl/>
        </w:rPr>
      </w:pPr>
    </w:p>
    <w:p w14:paraId="33A558FB" w14:textId="77777777" w:rsidR="00AB3580" w:rsidRDefault="00FC31CD" w:rsidP="00AB3580">
      <w:pPr>
        <w:pStyle w:val="ListParagraph"/>
        <w:numPr>
          <w:ilvl w:val="0"/>
          <w:numId w:val="4"/>
        </w:numPr>
        <w:spacing w:line="360" w:lineRule="auto"/>
        <w:jc w:val="both"/>
        <w:rPr>
          <w:rFonts w:ascii="David" w:hAnsi="David"/>
          <w:color w:val="000000"/>
          <w:rtl/>
        </w:rPr>
      </w:pPr>
      <w:hyperlink r:id="rId51" w:history="1">
        <w:r w:rsidRPr="00FC31CD">
          <w:rPr>
            <w:rFonts w:ascii="David" w:hAnsi="David"/>
            <w:color w:val="0000FF"/>
            <w:u w:val="single"/>
            <w:rtl/>
          </w:rPr>
          <w:t>עפ"ג 51483-01-19</w:t>
        </w:r>
      </w:hyperlink>
      <w:r w:rsidR="00AB3580">
        <w:rPr>
          <w:rFonts w:ascii="David" w:hAnsi="David"/>
          <w:color w:val="000000"/>
          <w:u w:val="single"/>
          <w:rtl/>
        </w:rPr>
        <w:t xml:space="preserve"> </w:t>
      </w:r>
      <w:r w:rsidR="00AB3580">
        <w:rPr>
          <w:rFonts w:ascii="David" w:hAnsi="David"/>
          <w:b/>
          <w:bCs/>
          <w:color w:val="000000"/>
          <w:u w:val="single"/>
          <w:rtl/>
        </w:rPr>
        <w:t>בלשייב נ' מדינת ישראל</w:t>
      </w:r>
      <w:r w:rsidR="00AB3580">
        <w:rPr>
          <w:rFonts w:ascii="David" w:hAnsi="David"/>
          <w:color w:val="000000"/>
          <w:rtl/>
        </w:rPr>
        <w:t xml:space="preserve"> </w:t>
      </w:r>
      <w:r w:rsidR="003C6250" w:rsidRPr="003C6250">
        <w:rPr>
          <w:rFonts w:ascii="Times New Roman" w:hAnsi="Times New Roman"/>
          <w:sz w:val="22"/>
          <w:rtl/>
        </w:rPr>
        <w:t xml:space="preserve">[פורסם בנבו] </w:t>
      </w:r>
      <w:r w:rsidR="00AB3580">
        <w:rPr>
          <w:rFonts w:ascii="David" w:hAnsi="David"/>
          <w:color w:val="000000"/>
          <w:rtl/>
        </w:rPr>
        <w:t xml:space="preserve">(4.4.2019) – הנאשם הורשע ב-10 עבירות של זיוף מסמך בכוונה לקבל באמצעותו דבר, 10 עבירות של החזקת ציוד לזיוף כרטיס חיוב ו-9 עבירות של הונאה בכרטיס חיוב. בהתאם לכתב האישום, בהיותו אזרח בולגריה הצטייד הנאשם, קודם להגעתו לישראל, בציוד המיועד לזיוף כרטיסי חיוב. ב-11 הזדמנויות שונות במהלך כ-5 שבועות, התקין הנאשם פלסטיק הנחזה לשפתיים של כספומט על קורא כרטיסים במכשירי כספומט שונים, וכן התקין מצלמה המתעדת את פעולות הלקוח ואת הקשת הסיסמה. לאחר העתקת נתוני הלקוחות, חיבר הנאשם את הנתונים למחשבו, צרב אותם וכתב את הקוד הסודי על גבי הכרטיס או בצמוד אליו. בהמשך לכך משך הנאשם עם הכרטיסים במספר מכשירי כספומט סך כולל של 70,000 ₪ וניסה למשוך עוד 100,000 ₪. בגין מעשים אלה הורשע הנאשם ב-10 עבירות של זיוף מסמך בכוונה לקבל באמצעותו דבר, ב-10 עבירות של החזקת ציוד לזיוף כרטיסי חיוב וב-9 עבירות של הונאה בכרטיסי חיוב. לאחר ערעור, הועמד מתחם הענישה על טווח שבין 24 ל-48 חודשים, ובשים לב להודייתו בעבירה, להיותו נעדר עבר פלילי ולחרטה שהביע, העמיד בית המשפט את העונש על 24 חודשי מאסר בצד חילוט כספים בסכום של כ-56,000 ₪. </w:t>
      </w:r>
    </w:p>
    <w:p w14:paraId="69536A60" w14:textId="77777777" w:rsidR="00AB3580" w:rsidRDefault="00AB3580" w:rsidP="00AB3580">
      <w:pPr>
        <w:pStyle w:val="ListParagraph"/>
        <w:spacing w:line="360" w:lineRule="auto"/>
        <w:ind w:left="1440"/>
        <w:jc w:val="both"/>
        <w:rPr>
          <w:rFonts w:ascii="David" w:hAnsi="David"/>
          <w:color w:val="000000"/>
        </w:rPr>
      </w:pPr>
    </w:p>
    <w:p w14:paraId="4024D2DF" w14:textId="77777777" w:rsidR="00AB3580" w:rsidRDefault="00AB3580" w:rsidP="00AB3580">
      <w:pPr>
        <w:pStyle w:val="ListParagraph"/>
        <w:spacing w:line="360" w:lineRule="auto"/>
        <w:ind w:left="1440"/>
        <w:jc w:val="both"/>
        <w:rPr>
          <w:rFonts w:ascii="David" w:hAnsi="David"/>
          <w:color w:val="000000"/>
          <w:rtl/>
        </w:rPr>
      </w:pPr>
      <w:r>
        <w:rPr>
          <w:rFonts w:ascii="David" w:hAnsi="David"/>
          <w:color w:val="000000"/>
          <w:rtl/>
        </w:rPr>
        <w:t xml:space="preserve">בהשוואה בין מקרה זה לענייננו, הרי שאף שמספר העבירות בעניין </w:t>
      </w:r>
      <w:r>
        <w:rPr>
          <w:rFonts w:ascii="David" w:hAnsi="David"/>
          <w:b/>
          <w:bCs/>
          <w:color w:val="000000"/>
          <w:rtl/>
        </w:rPr>
        <w:t>בלשייב</w:t>
      </w:r>
      <w:r>
        <w:rPr>
          <w:rFonts w:ascii="David" w:hAnsi="David"/>
          <w:color w:val="000000"/>
          <w:rtl/>
        </w:rPr>
        <w:t xml:space="preserve"> נמוך בהרבה, הרי שנוכח מנגנון העתקת פרטי כרטיסי האשראי המאופיין בתחכום במורכבות ובהכנה אינטנסיבית, וכן בשים לב לסכומי העבירה הגבוהים בהרבה, מדובר במקרה חמור מזה שבענייננו.</w:t>
      </w:r>
    </w:p>
    <w:p w14:paraId="5FBA815D" w14:textId="77777777" w:rsidR="00AB3580" w:rsidRDefault="00AB3580" w:rsidP="00AB3580">
      <w:pPr>
        <w:pStyle w:val="ListParagraph"/>
        <w:spacing w:line="360" w:lineRule="auto"/>
        <w:rPr>
          <w:rFonts w:ascii="David" w:hAnsi="David"/>
          <w:color w:val="000000"/>
          <w:rtl/>
        </w:rPr>
      </w:pPr>
    </w:p>
    <w:p w14:paraId="1101AA26" w14:textId="77777777" w:rsidR="00AB3580" w:rsidRDefault="00FC31CD" w:rsidP="00AB3580">
      <w:pPr>
        <w:pStyle w:val="ListParagraph"/>
        <w:numPr>
          <w:ilvl w:val="0"/>
          <w:numId w:val="4"/>
        </w:numPr>
        <w:spacing w:line="360" w:lineRule="auto"/>
        <w:jc w:val="both"/>
        <w:rPr>
          <w:rFonts w:ascii="David" w:hAnsi="David"/>
          <w:color w:val="000000"/>
          <w:rtl/>
        </w:rPr>
      </w:pPr>
      <w:hyperlink r:id="rId52" w:history="1">
        <w:r w:rsidRPr="00FC31CD">
          <w:rPr>
            <w:rFonts w:ascii="David" w:hAnsi="David"/>
            <w:color w:val="0000FF"/>
            <w:u w:val="single"/>
            <w:rtl/>
          </w:rPr>
          <w:t>ת"פ 52796-03-12</w:t>
        </w:r>
      </w:hyperlink>
      <w:r w:rsidR="00AB3580">
        <w:rPr>
          <w:rFonts w:ascii="David" w:hAnsi="David"/>
          <w:color w:val="000000"/>
          <w:u w:val="single"/>
          <w:rtl/>
        </w:rPr>
        <w:t xml:space="preserve"> </w:t>
      </w:r>
      <w:r w:rsidR="00AB3580">
        <w:rPr>
          <w:rFonts w:ascii="David" w:hAnsi="David"/>
          <w:b/>
          <w:bCs/>
          <w:color w:val="000000"/>
          <w:u w:val="single"/>
          <w:rtl/>
        </w:rPr>
        <w:t>מדינת ישראל נ' עשהאל</w:t>
      </w:r>
      <w:r w:rsidR="00AB3580">
        <w:rPr>
          <w:rFonts w:ascii="David" w:hAnsi="David"/>
          <w:color w:val="000000"/>
          <w:rtl/>
        </w:rPr>
        <w:t xml:space="preserve"> </w:t>
      </w:r>
      <w:r w:rsidR="003C6250" w:rsidRPr="003C6250">
        <w:rPr>
          <w:rFonts w:ascii="Times New Roman" w:hAnsi="Times New Roman"/>
          <w:sz w:val="22"/>
          <w:rtl/>
        </w:rPr>
        <w:t xml:space="preserve">[פורסם בנבו] </w:t>
      </w:r>
      <w:r w:rsidR="00AB3580">
        <w:rPr>
          <w:rFonts w:ascii="David" w:hAnsi="David"/>
          <w:color w:val="000000"/>
          <w:rtl/>
        </w:rPr>
        <w:t>(19.3.2015) – הנאשמת עבדה כקוסמטיקאית במספרה. לאורך מספר חודשים פעלה בשיטתיות, גנבה צ'קים מלקוחות שבאו למספרה והשתמשה בצ'קים הגנובים תוך זיוף חתימת המתלוננים ומסירת הצ'קים לאחרים בעבור חובות שונים שהיו לה. בחלק ניכר מהמקרים הצ'קים נפרעו, בסכום כולל של 42,000 ש"ח. בגין מעשים אלה הורשעה הנאשמת בכתב אישום שכלל 13 אישומים, ב-3 עבירות גניבה, בריבוי עבירות של זיוף בכוונה לקבל דבר, בריבוי עבירות של קבלת דבר במרמה ובריבוי עבירות של שימוש במסמך מזויף. בית המשפט מצא כי הפגיעה בערכים המוגנים היא משמעותית  וכי הנזק שעשוי היה להיגרם לו כל הצ'קים היו נפרעים עלול היה להיות גבוה בהרבה. מנגד, עמד בית המשפט על כך שהנאשמת נקלעה לחובות כלכליים קשים וביצעה את העבירות על רקע זה, כשחלק גדול מההמחאות שנגנבו וזיופו על ידה ניתנו כבטוחות לתשלום החובות. עוד עמד בית המשפט על כך שבעת ביצוע המעשים סבלה הנאשם מהפרעה דו קוטבית שהיא בגדר הפרעה נפשית משמעותית</w:t>
      </w:r>
      <w:r w:rsidR="00AB3580">
        <w:rPr>
          <w:rFonts w:ascii="David" w:hAnsi="David" w:hint="cs"/>
          <w:color w:val="000000"/>
          <w:rtl/>
        </w:rPr>
        <w:t>,</w:t>
      </w:r>
      <w:r w:rsidR="00AB3580">
        <w:rPr>
          <w:rFonts w:ascii="David" w:hAnsi="David"/>
          <w:color w:val="000000"/>
          <w:rtl/>
        </w:rPr>
        <w:t xml:space="preserve"> וכי היה בהפרעה ממנה סבלה כדי להשפיע על יכולה להימנע מעשיית המעשה, דבר העולה כדי קרבה לסייג לאחריות פלילית המשפיעה במידה ניכרת על מתחם העונש ההולם. משכך נקבע מתחם עונש שנע בין מאסר על תנאי ועד ל-9 חודשי מאסר בגין כל אחד מהאירועים. בהמשך לכך, בשים לב לעובדה שהנאשמת נעדרה עבר פלילי, לכך שנטלה אחריות והחלה לשלם פיצוי, לחלוף הזמן מביצוע העבירות וכן לחוות דעת הממונה על עבודות שירות שסבר שאין ביכולתה לבצע עבודות שכאלה בשל מצבה הנפשי, מצא בית המשפט להסתפק בצו של"צ, בצד קנס ופיצויים. </w:t>
      </w:r>
    </w:p>
    <w:p w14:paraId="07E933B9" w14:textId="77777777" w:rsidR="00AB3580" w:rsidRDefault="00AB3580" w:rsidP="00AB3580">
      <w:pPr>
        <w:pStyle w:val="ListParagraph"/>
        <w:spacing w:line="360" w:lineRule="auto"/>
        <w:ind w:left="1440"/>
        <w:jc w:val="both"/>
        <w:rPr>
          <w:rFonts w:ascii="David" w:hAnsi="David"/>
          <w:color w:val="000000"/>
          <w:u w:val="single"/>
        </w:rPr>
      </w:pPr>
    </w:p>
    <w:p w14:paraId="1871F15D" w14:textId="77777777" w:rsidR="00AB3580" w:rsidRDefault="00AB3580" w:rsidP="00AB3580">
      <w:pPr>
        <w:pStyle w:val="ListParagraph"/>
        <w:spacing w:line="360" w:lineRule="auto"/>
        <w:ind w:left="1440"/>
        <w:jc w:val="both"/>
        <w:rPr>
          <w:rFonts w:ascii="David" w:hAnsi="David"/>
          <w:color w:val="000000"/>
          <w:rtl/>
        </w:rPr>
      </w:pPr>
      <w:r>
        <w:rPr>
          <w:rFonts w:ascii="David" w:hAnsi="David"/>
          <w:color w:val="000000"/>
          <w:rtl/>
        </w:rPr>
        <w:t xml:space="preserve">בהשוואה בין שתי הפרשות, נראה כי מקרה זה קל מזה שבענייננו. אמנם, בכל הנוגע ליסוד הנזק, סכומי העבירה גבוהים מבמקרה דנן, ומתלווה להם גם יסוד של פגיעה באמון שבין נותן שירות לבין לקוחות. מנגד, בשים לב למצבה הפסיכיאטרי של הנאשמת, רמת היסוד הנפשי שלה שונה במידה ניכרת מזה של הנאשם שלפנינו, כשבהתאם לגזר הדין יכולתה של הנאשמת להימנע מביצוע העבירות נפגמה במידה משמעותית. אף המניעים שעמדו ביסוד העבירות מציבים את ענייננו ברף חומרה גבוה יותר, כמו גם עבירת השיבוש ויתר העבירות </w:t>
      </w:r>
      <w:r>
        <w:rPr>
          <w:rFonts w:ascii="David" w:hAnsi="David" w:hint="cs"/>
          <w:color w:val="000000"/>
          <w:rtl/>
        </w:rPr>
        <w:t>נ</w:t>
      </w:r>
      <w:r>
        <w:rPr>
          <w:rFonts w:ascii="David" w:hAnsi="David"/>
          <w:color w:val="000000"/>
          <w:rtl/>
        </w:rPr>
        <w:t>ושא האישום הראשון, שנתלוו לפרשה כאן.</w:t>
      </w:r>
    </w:p>
    <w:p w14:paraId="66453641" w14:textId="77777777" w:rsidR="00AB3580" w:rsidRDefault="00AB3580" w:rsidP="00AB3580">
      <w:pPr>
        <w:pStyle w:val="ListParagraph"/>
        <w:spacing w:line="360" w:lineRule="auto"/>
        <w:ind w:left="1440"/>
        <w:jc w:val="both"/>
        <w:rPr>
          <w:rFonts w:ascii="David" w:hAnsi="David"/>
          <w:color w:val="000000"/>
          <w:rtl/>
        </w:rPr>
      </w:pPr>
    </w:p>
    <w:p w14:paraId="083F41AB" w14:textId="77777777" w:rsidR="00AB3580" w:rsidRDefault="00FC31CD" w:rsidP="00AB3580">
      <w:pPr>
        <w:pStyle w:val="ListParagraph"/>
        <w:numPr>
          <w:ilvl w:val="0"/>
          <w:numId w:val="4"/>
        </w:numPr>
        <w:spacing w:line="360" w:lineRule="auto"/>
        <w:jc w:val="both"/>
        <w:rPr>
          <w:rFonts w:ascii="David" w:hAnsi="David"/>
          <w:color w:val="000000"/>
          <w:rtl/>
        </w:rPr>
      </w:pPr>
      <w:hyperlink r:id="rId53" w:history="1">
        <w:r w:rsidRPr="00FC31CD">
          <w:rPr>
            <w:rFonts w:ascii="David" w:hAnsi="David"/>
            <w:color w:val="0000FF"/>
            <w:u w:val="single"/>
            <w:rtl/>
          </w:rPr>
          <w:t>ת"פ 54198-08-18</w:t>
        </w:r>
      </w:hyperlink>
      <w:r w:rsidR="00AB3580">
        <w:rPr>
          <w:rFonts w:ascii="David" w:hAnsi="David"/>
          <w:color w:val="000000"/>
          <w:u w:val="single"/>
          <w:rtl/>
        </w:rPr>
        <w:t xml:space="preserve"> </w:t>
      </w:r>
      <w:r w:rsidR="00AB3580">
        <w:rPr>
          <w:rFonts w:ascii="David" w:hAnsi="David"/>
          <w:b/>
          <w:bCs/>
          <w:color w:val="000000"/>
          <w:u w:val="single"/>
          <w:rtl/>
        </w:rPr>
        <w:t>מדינת ישראל נ' בוחניק</w:t>
      </w:r>
      <w:r w:rsidR="00AB3580">
        <w:rPr>
          <w:rFonts w:ascii="David" w:hAnsi="David"/>
          <w:color w:val="000000"/>
          <w:rtl/>
        </w:rPr>
        <w:t xml:space="preserve"> </w:t>
      </w:r>
      <w:r w:rsidR="003C6250" w:rsidRPr="003C6250">
        <w:rPr>
          <w:rFonts w:ascii="Times New Roman" w:hAnsi="Times New Roman"/>
          <w:sz w:val="22"/>
          <w:rtl/>
        </w:rPr>
        <w:t xml:space="preserve">[פורסם בנבו] </w:t>
      </w:r>
      <w:r w:rsidR="00AB3580">
        <w:rPr>
          <w:rFonts w:ascii="David" w:hAnsi="David"/>
          <w:color w:val="000000"/>
          <w:rtl/>
        </w:rPr>
        <w:t xml:space="preserve">(29.6.2020) – הנאשם היה בעל גישה למאגר אשר הכיל בתוכו מספר כרטיסי אשראי של תושבים זרים. במספר הזדמנויות השתמש הנאשם בפרטי כרטיס חיוב של תושבים זרים שונים בכך שרכש באמצעותם מוצרים ושירותים שונים. בסך הכול, רכש הנאשם מוצרים בסכום כולל של  36,352 ₪, תוך שהוא משתמש בכרטיסי אשראי השייכים ל-6 אנשים שונים. בגין מעשים אלה הורשע הנאשם בעבירה של הונאה בכרטיסי חיוב; ובעבירה של התחזות כאדם אחר במטרה להונות. בית המשפט סבר כי הפגיעה בערכים החברתיים היא ברף הבינוני, והעמיד את מתחם העונש ההולם על טווח שבין 6 חודשים ל-18 חודשים. נוכח הודייתו, האחריות שנטל, החרטה שהביע, חלוף הזמן והתרשמות שירות המבחן כי הנאשם גילה מוטיבציה, רצינות ואחריות בתהליך השיקומי שעבר, הטיל בית המשפט על הנאשם עונש של שישה חודשי עבודות שירות בצירוף קנס. </w:t>
      </w:r>
    </w:p>
    <w:p w14:paraId="7DC6FFBB" w14:textId="77777777" w:rsidR="00AB3580" w:rsidRDefault="00AB3580" w:rsidP="00AB3580">
      <w:pPr>
        <w:pStyle w:val="ListParagraph"/>
        <w:spacing w:line="360" w:lineRule="auto"/>
        <w:ind w:left="1440"/>
        <w:jc w:val="both"/>
        <w:rPr>
          <w:rFonts w:ascii="David" w:hAnsi="David"/>
          <w:color w:val="000000"/>
          <w:rtl/>
        </w:rPr>
      </w:pPr>
    </w:p>
    <w:p w14:paraId="564D9521" w14:textId="77777777" w:rsidR="00AB3580" w:rsidRDefault="00AB3580" w:rsidP="00AB3580">
      <w:pPr>
        <w:pStyle w:val="ListParagraph"/>
        <w:spacing w:line="360" w:lineRule="auto"/>
        <w:ind w:left="1440"/>
        <w:jc w:val="both"/>
        <w:rPr>
          <w:rFonts w:ascii="David" w:hAnsi="David"/>
          <w:color w:val="000000"/>
          <w:rtl/>
        </w:rPr>
      </w:pPr>
      <w:r>
        <w:rPr>
          <w:rFonts w:ascii="David" w:hAnsi="David"/>
          <w:color w:val="000000"/>
          <w:rtl/>
        </w:rPr>
        <w:t xml:space="preserve">בהשוואה בין המקרים נראה כי המקרה שלפנינו חמור יותר. אמנם הסכום שבו נרכשו מוצרים בעניין </w:t>
      </w:r>
      <w:r>
        <w:rPr>
          <w:rFonts w:ascii="David" w:hAnsi="David"/>
          <w:b/>
          <w:bCs/>
          <w:color w:val="000000"/>
          <w:rtl/>
        </w:rPr>
        <w:t>בוחניק</w:t>
      </w:r>
      <w:r>
        <w:rPr>
          <w:rFonts w:ascii="David" w:hAnsi="David"/>
          <w:color w:val="000000"/>
          <w:rtl/>
        </w:rPr>
        <w:t xml:space="preserve"> היה גבוה יותר. מנגד, בענייננו מדובר במספר כרטיסים, מספר קורבנות, מספר עסקאות ומספר בתי העסק רב בהרבה. נוסף על כך, הנאשם כאן החזיק בכרטיסים מזויפים – דבר המצביע על רמת תחכום גבוהה יותר, על נחישות ועל תעוזה. לבסוף, הנאשם בענייננו ביצע בנוסף לעבירות בכרטיסי אשראי את עבירות השיבוש וההפרעה לשוטר, </w:t>
      </w:r>
      <w:r>
        <w:rPr>
          <w:rFonts w:ascii="David" w:hAnsi="David" w:hint="cs"/>
          <w:color w:val="000000"/>
          <w:rtl/>
        </w:rPr>
        <w:t>נ</w:t>
      </w:r>
      <w:r>
        <w:rPr>
          <w:rFonts w:ascii="David" w:hAnsi="David"/>
          <w:color w:val="000000"/>
          <w:rtl/>
        </w:rPr>
        <w:t>ושא האישום הראשון.</w:t>
      </w:r>
    </w:p>
    <w:p w14:paraId="795EF7EA" w14:textId="77777777" w:rsidR="00AB3580" w:rsidRDefault="00AB3580" w:rsidP="00AB3580">
      <w:pPr>
        <w:pStyle w:val="ListParagraph"/>
        <w:spacing w:line="360" w:lineRule="auto"/>
        <w:ind w:left="1440"/>
        <w:jc w:val="both"/>
        <w:rPr>
          <w:rFonts w:ascii="David" w:hAnsi="David"/>
          <w:color w:val="000000"/>
          <w:rtl/>
        </w:rPr>
      </w:pPr>
    </w:p>
    <w:p w14:paraId="4B59BF8C" w14:textId="77777777" w:rsidR="00AB3580" w:rsidRDefault="00FC31CD" w:rsidP="00AB3580">
      <w:pPr>
        <w:pStyle w:val="ListParagraph"/>
        <w:numPr>
          <w:ilvl w:val="0"/>
          <w:numId w:val="4"/>
        </w:numPr>
        <w:spacing w:line="360" w:lineRule="auto"/>
        <w:jc w:val="both"/>
        <w:rPr>
          <w:rFonts w:ascii="David" w:hAnsi="David"/>
          <w:color w:val="000000"/>
          <w:rtl/>
        </w:rPr>
      </w:pPr>
      <w:hyperlink r:id="rId54" w:history="1">
        <w:r w:rsidRPr="00FC31CD">
          <w:rPr>
            <w:rFonts w:ascii="David" w:hAnsi="David"/>
            <w:color w:val="0000FF"/>
            <w:u w:val="single"/>
            <w:rtl/>
          </w:rPr>
          <w:t>ת"פ (נתניה) 72771-07-19</w:t>
        </w:r>
      </w:hyperlink>
      <w:r w:rsidR="00AB3580">
        <w:rPr>
          <w:rFonts w:ascii="David" w:hAnsi="David"/>
          <w:color w:val="000000"/>
          <w:u w:val="single"/>
          <w:rtl/>
        </w:rPr>
        <w:t xml:space="preserve"> </w:t>
      </w:r>
      <w:r w:rsidR="00AB3580">
        <w:rPr>
          <w:rFonts w:ascii="David" w:hAnsi="David"/>
          <w:b/>
          <w:bCs/>
          <w:color w:val="000000"/>
          <w:u w:val="single"/>
          <w:rtl/>
        </w:rPr>
        <w:t>מדינת ישראל נ' יחיאל</w:t>
      </w:r>
      <w:r w:rsidR="00AB3580">
        <w:rPr>
          <w:rFonts w:ascii="David" w:hAnsi="David"/>
          <w:color w:val="000000"/>
          <w:u w:val="single"/>
          <w:rtl/>
        </w:rPr>
        <w:t xml:space="preserve"> </w:t>
      </w:r>
      <w:r w:rsidR="003C6250" w:rsidRPr="003C6250">
        <w:rPr>
          <w:rFonts w:ascii="Times New Roman" w:hAnsi="Times New Roman"/>
          <w:sz w:val="22"/>
          <w:rtl/>
        </w:rPr>
        <w:t xml:space="preserve">[פורסם בנבו] </w:t>
      </w:r>
      <w:r w:rsidR="00AB3580" w:rsidRPr="0018308E">
        <w:rPr>
          <w:rFonts w:ascii="David" w:hAnsi="David"/>
          <w:color w:val="000000"/>
          <w:rtl/>
        </w:rPr>
        <w:t xml:space="preserve">(11.5.2021) </w:t>
      </w:r>
      <w:r w:rsidR="00AB3580">
        <w:rPr>
          <w:rFonts w:ascii="David" w:hAnsi="David"/>
          <w:color w:val="000000"/>
          <w:rtl/>
        </w:rPr>
        <w:t xml:space="preserve">– המתלוננת מסרה לנאשמת – חברתה, את פרטי כרטיס האשראי שלה כדי שתרכוש בעבורה מוצרים בהנחה באמצעות כרטיס מועדון לקוחות שבו החזיקה. לאורך תקופה בת כשנה, ביצעה הנאשמת 33 עסקאות באמצעות כרטסי האשראי בהיקף כולל של 8,657 ₪ ללא ידיעת המתלוננת, ברובן לצרכי מחייה. בית המשפט ראה להימנע מהרשעת הנאשמת, זאת לאחר שנתן דעתו לכך שהמעשים בוצעו על רקע מצוקה כלכלית קשה שבה הייתה – דבר הנלמד גם מכך שהעסקאות היו בסכומים נמוכים ולצורך רכישת מוצרי צריכה; להיותה של המתלוננת קורבן יחיד; לנסיבות חייה הקשות של הנאשמת ולהיותן של העבירות חריג קיצוני לאורחות חייה; ולכך שנתוניה האישיים של הנאשמת "חיוביים באופן חריג ויוצא דופן", בכך שלמרות קשיים רבים שחוותה בהיותה מי שעלתה לישראל לבדה כילדה ללא קרובים וללא שפה, היא נלחמה בכל כוחותיה כדי להיחלץ מהמצוקה, ולקדם את ילדיה. </w:t>
      </w:r>
    </w:p>
    <w:p w14:paraId="4D163B4B" w14:textId="77777777" w:rsidR="00AB3580" w:rsidRDefault="00AB3580" w:rsidP="00AB3580">
      <w:pPr>
        <w:pStyle w:val="ListParagraph"/>
        <w:spacing w:line="360" w:lineRule="auto"/>
        <w:ind w:left="1440"/>
        <w:jc w:val="both"/>
        <w:rPr>
          <w:rFonts w:ascii="David" w:hAnsi="David"/>
          <w:color w:val="000000"/>
          <w:rtl/>
        </w:rPr>
      </w:pPr>
    </w:p>
    <w:p w14:paraId="68ED997D" w14:textId="77777777" w:rsidR="00AB3580" w:rsidRDefault="00AB3580" w:rsidP="00AB3580">
      <w:pPr>
        <w:pStyle w:val="ListParagraph"/>
        <w:spacing w:line="360" w:lineRule="auto"/>
        <w:ind w:left="1440"/>
        <w:jc w:val="both"/>
        <w:rPr>
          <w:rFonts w:ascii="David" w:hAnsi="David"/>
          <w:color w:val="000000"/>
          <w:rtl/>
        </w:rPr>
      </w:pPr>
      <w:r>
        <w:rPr>
          <w:rFonts w:ascii="David" w:hAnsi="David"/>
          <w:color w:val="000000"/>
          <w:rtl/>
        </w:rPr>
        <w:t xml:space="preserve">בהשוואה בין שני המקרים, נראה כי מקרה זה קל במידה ניכרת מן המקרה שלפנינו. זאת בשים לב לכך שמדובר בקורבן אחד ויחיד, להיעדר כל רכיב של תחכום, להיקפן הכספי של העבירות, למניעים השונים שביסוד ביצוע העבירות בכל אחד מן המקרים, וכן לנסיבות האישיות הייחודיות של הנאשמת באותו מקרה. </w:t>
      </w:r>
    </w:p>
    <w:p w14:paraId="7E264A2A" w14:textId="77777777" w:rsidR="00AB3580" w:rsidRDefault="00AB3580" w:rsidP="00AB3580">
      <w:pPr>
        <w:pStyle w:val="ListParagraph"/>
        <w:spacing w:line="360" w:lineRule="auto"/>
        <w:ind w:left="1440"/>
        <w:jc w:val="both"/>
        <w:rPr>
          <w:rFonts w:ascii="David" w:hAnsi="David"/>
          <w:color w:val="000000"/>
          <w:rtl/>
        </w:rPr>
      </w:pPr>
    </w:p>
    <w:p w14:paraId="1DF833D5" w14:textId="77777777" w:rsidR="00AB3580" w:rsidRDefault="00FC31CD" w:rsidP="00AB3580">
      <w:pPr>
        <w:pStyle w:val="ListParagraph"/>
        <w:numPr>
          <w:ilvl w:val="0"/>
          <w:numId w:val="4"/>
        </w:numPr>
        <w:spacing w:line="360" w:lineRule="auto"/>
        <w:jc w:val="both"/>
        <w:rPr>
          <w:rFonts w:ascii="David" w:hAnsi="David"/>
          <w:color w:val="000000"/>
          <w:rtl/>
        </w:rPr>
      </w:pPr>
      <w:hyperlink r:id="rId55" w:history="1">
        <w:r w:rsidRPr="00FC31CD">
          <w:rPr>
            <w:rFonts w:ascii="David" w:hAnsi="David"/>
            <w:color w:val="0000FF"/>
            <w:u w:val="single"/>
            <w:rtl/>
          </w:rPr>
          <w:t>ת"פ (כ"ס) 27308-08-15</w:t>
        </w:r>
      </w:hyperlink>
      <w:r>
        <w:rPr>
          <w:rFonts w:ascii="David" w:hAnsi="David"/>
          <w:color w:val="000000"/>
          <w:u w:val="single"/>
        </w:rPr>
        <w:t xml:space="preserve"> </w:t>
      </w:r>
      <w:r w:rsidR="00AB3580">
        <w:rPr>
          <w:rFonts w:ascii="David" w:hAnsi="David"/>
          <w:b/>
          <w:bCs/>
          <w:color w:val="000000"/>
          <w:u w:val="single"/>
          <w:rtl/>
        </w:rPr>
        <w:t>מדינת ישראל נ' בילנד</w:t>
      </w:r>
      <w:r>
        <w:rPr>
          <w:rFonts w:ascii="David" w:hAnsi="David"/>
          <w:color w:val="000000"/>
          <w:u w:val="single"/>
          <w:rtl/>
        </w:rPr>
        <w:t xml:space="preserve"> </w:t>
      </w:r>
      <w:r w:rsidR="003C6250" w:rsidRPr="003C6250">
        <w:rPr>
          <w:rFonts w:ascii="Times New Roman" w:hAnsi="Times New Roman"/>
          <w:sz w:val="22"/>
          <w:u w:val="single"/>
          <w:rtl/>
        </w:rPr>
        <w:t xml:space="preserve">[פורסם בנבו] </w:t>
      </w:r>
      <w:r w:rsidR="00AB3580">
        <w:rPr>
          <w:rFonts w:ascii="David" w:hAnsi="David"/>
          <w:color w:val="000000"/>
          <w:u w:val="single"/>
        </w:rPr>
        <w:t>(29.6.2016)</w:t>
      </w:r>
      <w:r w:rsidR="00AB3580">
        <w:rPr>
          <w:rFonts w:ascii="David" w:hAnsi="David"/>
          <w:color w:val="000000"/>
          <w:rtl/>
        </w:rPr>
        <w:t xml:space="preserve"> </w:t>
      </w:r>
      <w:r w:rsidR="00AB3580">
        <w:rPr>
          <w:rFonts w:ascii="David" w:hAnsi="David" w:hint="cs"/>
          <w:color w:val="000000"/>
          <w:rtl/>
        </w:rPr>
        <w:t>– הנאשם הורשע על פי הודאתו בכתב אישום האוחז 32 אישומים שעניינם החזקת ציוד לזיוף כרטיסי אשראי בצוותא, זיוף בנסיבות מחמירות (בצוותא וכיחיד) והונאה בנסיבות מחמירות (בצוותא וכיחיד). לפי כתב האישום, הנאשם קיבל מאחר מאגר נתוני כרטיסי אשראי של אזרחים, ותוך שימוש במכשיר לצריבת כרטיסי אשראי, הזין נתונים אלה בכ-10 כרטיסי אשראי שזייף. הנאשם ואחר ביצעו עסקאות בכרטיסי האשראי המזויפים בשווי</w:t>
      </w:r>
      <w:r w:rsidR="00AB3580">
        <w:rPr>
          <w:rFonts w:ascii="David" w:hAnsi="David"/>
          <w:color w:val="000000"/>
        </w:rPr>
        <w:t xml:space="preserve">13,300 </w:t>
      </w:r>
      <w:r w:rsidR="00AB3580">
        <w:rPr>
          <w:rFonts w:ascii="David" w:hAnsi="David"/>
          <w:color w:val="000000"/>
          <w:rtl/>
        </w:rPr>
        <w:t xml:space="preserve"> </w:t>
      </w:r>
      <w:r w:rsidR="00AB3580">
        <w:rPr>
          <w:rFonts w:ascii="David" w:hAnsi="David" w:hint="cs"/>
          <w:color w:val="000000"/>
          <w:rtl/>
        </w:rPr>
        <w:t>₪</w:t>
      </w:r>
      <w:r>
        <w:rPr>
          <w:rFonts w:ascii="David" w:hAnsi="David" w:hint="cs"/>
          <w:color w:val="000000"/>
          <w:rtl/>
        </w:rPr>
        <w:t xml:space="preserve"> </w:t>
      </w:r>
      <w:r w:rsidR="00AB3580">
        <w:rPr>
          <w:rFonts w:ascii="David" w:hAnsi="David" w:hint="cs"/>
          <w:color w:val="000000"/>
          <w:rtl/>
        </w:rPr>
        <w:t xml:space="preserve">כדי לממן רכישת סמים. בית המשפט עמד על חומרת המעשים ועל הנזקים הנובעים מהם, והעמיד את מתחם העונש ההולם על טווח שבין 10 עד 36 חודשי מאסר. בית המשפט נתן דעתו להודייתו של הנאשם בעבירות, אך מנגד התחשב בכך ששירות המבחן לא בא בהמלצה טיפולית. כן ניתנה הדעת לעברו הפלילי (הישן יחסית) של הנאשם ולשיקולי הרתעה. בשקלול כל האמור, הטיל בית המשפט על הנאשם </w:t>
      </w:r>
      <w:r w:rsidR="00AB3580">
        <w:rPr>
          <w:rFonts w:ascii="David" w:hAnsi="David"/>
          <w:color w:val="000000"/>
        </w:rPr>
        <w:t xml:space="preserve">24 </w:t>
      </w:r>
      <w:r w:rsidR="00AB3580">
        <w:rPr>
          <w:rFonts w:ascii="David" w:hAnsi="David"/>
          <w:color w:val="000000"/>
          <w:rtl/>
        </w:rPr>
        <w:t xml:space="preserve"> </w:t>
      </w:r>
      <w:r w:rsidR="00AB3580">
        <w:rPr>
          <w:rFonts w:ascii="David" w:hAnsi="David" w:hint="cs"/>
          <w:color w:val="000000"/>
          <w:rtl/>
        </w:rPr>
        <w:t xml:space="preserve">חודשי מאסר וקנס כספי. </w:t>
      </w:r>
    </w:p>
    <w:p w14:paraId="55E92E8C" w14:textId="77777777" w:rsidR="00AB3580" w:rsidRDefault="00AB3580" w:rsidP="00AB3580">
      <w:pPr>
        <w:pStyle w:val="ListParagraph"/>
        <w:spacing w:line="360" w:lineRule="auto"/>
        <w:ind w:left="1440"/>
        <w:jc w:val="both"/>
        <w:rPr>
          <w:rFonts w:ascii="David" w:hAnsi="David"/>
          <w:color w:val="000000"/>
          <w:rtl/>
        </w:rPr>
      </w:pPr>
    </w:p>
    <w:p w14:paraId="6DAB853A" w14:textId="77777777" w:rsidR="00AB3580" w:rsidRDefault="00AB3580" w:rsidP="00AB3580">
      <w:pPr>
        <w:pStyle w:val="ListParagraph"/>
        <w:spacing w:line="360" w:lineRule="auto"/>
        <w:ind w:left="1440"/>
        <w:jc w:val="both"/>
        <w:rPr>
          <w:rFonts w:ascii="David" w:hAnsi="David"/>
          <w:color w:val="000000"/>
          <w:rtl/>
        </w:rPr>
      </w:pPr>
      <w:r>
        <w:rPr>
          <w:rFonts w:ascii="David" w:hAnsi="David"/>
          <w:color w:val="000000"/>
          <w:rtl/>
        </w:rPr>
        <w:t>בהשוואה בין המקרים נראה כי מקרה זה חמור</w:t>
      </w:r>
      <w:r>
        <w:rPr>
          <w:rFonts w:ascii="David" w:hAnsi="David" w:hint="cs"/>
          <w:color w:val="000000"/>
          <w:rtl/>
        </w:rPr>
        <w:t xml:space="preserve"> במידת מה</w:t>
      </w:r>
      <w:r>
        <w:rPr>
          <w:rFonts w:ascii="David" w:hAnsi="David"/>
          <w:color w:val="000000"/>
          <w:rtl/>
        </w:rPr>
        <w:t xml:space="preserve"> מזה שבענייננו. מחד גיסא, סכום הכסף נמוך במידה ניכרת מזה שבמקרה דנן. מאידך גיסא, הנאשם עסק בעצמו בזיוף כרטיסי אשראי באמצעות מנגנון מתוחכם ושיטתי, פעל בצוותא עם אחר במעין "רשת עבריינית", וביצע את מעשיו לאורך פרק זמן ממושך של כשבעה חודשים.</w:t>
      </w:r>
    </w:p>
    <w:p w14:paraId="6822F023" w14:textId="77777777" w:rsidR="00AB3580" w:rsidRDefault="00AB3580" w:rsidP="00AB3580">
      <w:pPr>
        <w:pStyle w:val="ListParagraph"/>
        <w:spacing w:line="360" w:lineRule="auto"/>
        <w:ind w:left="1440"/>
        <w:jc w:val="both"/>
        <w:rPr>
          <w:rFonts w:ascii="David" w:hAnsi="David"/>
          <w:color w:val="000000"/>
          <w:rtl/>
        </w:rPr>
      </w:pPr>
    </w:p>
    <w:p w14:paraId="1F63687A" w14:textId="77777777" w:rsidR="00AB3580" w:rsidRPr="00B52455" w:rsidRDefault="00AB3580" w:rsidP="00AB3580">
      <w:pPr>
        <w:pStyle w:val="ListParagraph"/>
        <w:numPr>
          <w:ilvl w:val="0"/>
          <w:numId w:val="1"/>
        </w:numPr>
        <w:spacing w:line="360" w:lineRule="auto"/>
        <w:jc w:val="both"/>
        <w:rPr>
          <w:rFonts w:ascii="David" w:hAnsi="David"/>
          <w:color w:val="000000"/>
          <w:rtl/>
        </w:rPr>
      </w:pPr>
      <w:r w:rsidRPr="00B52455">
        <w:rPr>
          <w:rFonts w:ascii="David" w:hAnsi="David"/>
          <w:color w:val="000000"/>
          <w:rtl/>
        </w:rPr>
        <w:t>כידוע, מדיניות הענישה היא רק אחד השיקולים הנשקלים בעת קביעת מתחם העונש ההולם, ואין זהות בינה לבין המתחם</w:t>
      </w:r>
      <w:r>
        <w:rPr>
          <w:rFonts w:ascii="David" w:hAnsi="David" w:hint="cs"/>
          <w:color w:val="000000"/>
          <w:rtl/>
        </w:rPr>
        <w:t xml:space="preserve"> עצמו</w:t>
      </w:r>
      <w:r w:rsidRPr="00B52455">
        <w:rPr>
          <w:rFonts w:ascii="David" w:hAnsi="David"/>
          <w:color w:val="000000"/>
          <w:rtl/>
        </w:rPr>
        <w:t xml:space="preserve"> (ראו למשל</w:t>
      </w:r>
      <w:r w:rsidR="00FC31CD">
        <w:rPr>
          <w:rFonts w:ascii="David" w:hAnsi="David"/>
          <w:color w:val="000000"/>
          <w:rtl/>
        </w:rPr>
        <w:t xml:space="preserve"> </w:t>
      </w:r>
      <w:hyperlink r:id="rId56" w:history="1">
        <w:r w:rsidR="003C6250" w:rsidRPr="003C6250">
          <w:rPr>
            <w:rStyle w:val="Hyperlink"/>
            <w:rFonts w:hint="cs"/>
            <w:rtl/>
          </w:rPr>
          <w:t>ע</w:t>
        </w:r>
        <w:r w:rsidR="003C6250" w:rsidRPr="003C6250">
          <w:rPr>
            <w:rStyle w:val="Hyperlink"/>
            <w:rtl/>
          </w:rPr>
          <w:t>"</w:t>
        </w:r>
        <w:r w:rsidR="003C6250" w:rsidRPr="003C6250">
          <w:rPr>
            <w:rStyle w:val="Hyperlink"/>
            <w:rFonts w:hint="cs"/>
            <w:rtl/>
          </w:rPr>
          <w:t>פ</w:t>
        </w:r>
        <w:r w:rsidR="003C6250" w:rsidRPr="003C6250">
          <w:rPr>
            <w:rStyle w:val="Hyperlink"/>
            <w:rtl/>
          </w:rPr>
          <w:t xml:space="preserve"> 322/16</w:t>
        </w:r>
      </w:hyperlink>
      <w:r w:rsidR="00FC31CD">
        <w:rPr>
          <w:rFonts w:ascii="David" w:hAnsi="David"/>
          <w:color w:val="000000"/>
        </w:rPr>
        <w:t xml:space="preserve"> </w:t>
      </w:r>
      <w:r w:rsidRPr="00B52455">
        <w:rPr>
          <w:rFonts w:ascii="David" w:hAnsi="David"/>
          <w:b/>
          <w:bCs/>
          <w:color w:val="000000"/>
          <w:rtl/>
        </w:rPr>
        <w:t>פלוני נ' מדינת ישראל</w:t>
      </w:r>
      <w:r>
        <w:rPr>
          <w:rFonts w:ascii="David" w:hAnsi="David" w:hint="cs"/>
          <w:color w:val="000000"/>
          <w:rtl/>
        </w:rPr>
        <w:t>, פסקה 5</w:t>
      </w:r>
      <w:r w:rsidRPr="00B52455">
        <w:rPr>
          <w:rFonts w:ascii="David" w:hAnsi="David"/>
          <w:color w:val="000000"/>
          <w:rtl/>
        </w:rPr>
        <w:t xml:space="preserve"> </w:t>
      </w:r>
      <w:r w:rsidR="003C6250" w:rsidRPr="003C6250">
        <w:rPr>
          <w:rFonts w:ascii="Times New Roman" w:hAnsi="Times New Roman"/>
          <w:sz w:val="22"/>
          <w:rtl/>
        </w:rPr>
        <w:t xml:space="preserve">[פורסם בנבו] </w:t>
      </w:r>
      <w:r w:rsidRPr="00B52455">
        <w:rPr>
          <w:rFonts w:ascii="David" w:hAnsi="David"/>
          <w:color w:val="000000"/>
          <w:rtl/>
        </w:rPr>
        <w:t xml:space="preserve">(9.10.2016); </w:t>
      </w:r>
      <w:hyperlink r:id="rId57" w:history="1">
        <w:r w:rsidR="00FC31CD" w:rsidRPr="00FC31CD">
          <w:rPr>
            <w:rFonts w:ascii="David" w:hAnsi="David"/>
            <w:color w:val="0000FF"/>
            <w:u w:val="single"/>
            <w:rtl/>
          </w:rPr>
          <w:t>ע"פ 6544/16</w:t>
        </w:r>
      </w:hyperlink>
      <w:r w:rsidR="00FC31CD">
        <w:rPr>
          <w:rFonts w:ascii="David" w:hAnsi="David"/>
          <w:color w:val="000000"/>
        </w:rPr>
        <w:t xml:space="preserve"> </w:t>
      </w:r>
      <w:r w:rsidRPr="00B52455">
        <w:rPr>
          <w:rFonts w:ascii="David" w:hAnsi="David"/>
          <w:b/>
          <w:bCs/>
          <w:color w:val="000000"/>
          <w:rtl/>
        </w:rPr>
        <w:t>ניסנצוויג נגד מדינת ישראל</w:t>
      </w:r>
      <w:r w:rsidR="00FC31CD">
        <w:rPr>
          <w:rFonts w:ascii="David" w:hAnsi="David"/>
          <w:color w:val="000000"/>
          <w:rtl/>
        </w:rPr>
        <w:t xml:space="preserve"> </w:t>
      </w:r>
      <w:r w:rsidR="003C6250" w:rsidRPr="003C6250">
        <w:rPr>
          <w:rFonts w:ascii="Times New Roman" w:hAnsi="Times New Roman"/>
          <w:sz w:val="22"/>
          <w:rtl/>
        </w:rPr>
        <w:t xml:space="preserve">[פורסם בנבו] </w:t>
      </w:r>
      <w:r w:rsidRPr="00B52455">
        <w:rPr>
          <w:rFonts w:ascii="David" w:hAnsi="David"/>
          <w:color w:val="000000"/>
          <w:rtl/>
        </w:rPr>
        <w:t xml:space="preserve">(21.2.2017)). עם זאת, הרצון לקדם אחידות בענישה, שהיה אחד הטעמים שעמדו ברקע חקיקת תיקון 113, כמו גם שיקולי הגינות ושוויון מצדיקים כי בעת קביעת המתחם, יינתן משקל ממשי לרף הענישה המשתקף מהמקרים שנסקרו ומדוגמאות נוספות – בצד יתר השיקולים. </w:t>
      </w:r>
    </w:p>
    <w:p w14:paraId="43ABCA2A" w14:textId="77777777" w:rsidR="00AB3580" w:rsidRDefault="00AB3580" w:rsidP="00AB3580">
      <w:pPr>
        <w:spacing w:line="360" w:lineRule="auto"/>
        <w:ind w:left="360"/>
        <w:jc w:val="both"/>
        <w:rPr>
          <w:rFonts w:ascii="David" w:hAnsi="David"/>
          <w:color w:val="000000"/>
        </w:rPr>
      </w:pPr>
    </w:p>
    <w:p w14:paraId="30778FCA" w14:textId="77777777" w:rsidR="00AB3580" w:rsidRDefault="00AB3580" w:rsidP="00AB3580">
      <w:pPr>
        <w:pStyle w:val="ListParagraph"/>
        <w:numPr>
          <w:ilvl w:val="0"/>
          <w:numId w:val="3"/>
        </w:numPr>
        <w:spacing w:line="360" w:lineRule="auto"/>
        <w:ind w:left="509" w:hanging="425"/>
        <w:jc w:val="both"/>
        <w:rPr>
          <w:rFonts w:ascii="David" w:hAnsi="David"/>
          <w:color w:val="000000"/>
          <w:u w:val="single"/>
          <w:rtl/>
        </w:rPr>
      </w:pPr>
      <w:r>
        <w:rPr>
          <w:rFonts w:ascii="David" w:hAnsi="David"/>
          <w:color w:val="000000"/>
          <w:u w:val="single"/>
          <w:rtl/>
        </w:rPr>
        <w:t>קביעת המתחם – שקלול השיקולים</w:t>
      </w:r>
    </w:p>
    <w:p w14:paraId="75D40CC0" w14:textId="77777777" w:rsidR="00AB3580" w:rsidRDefault="00AB3580" w:rsidP="00AB3580">
      <w:pPr>
        <w:spacing w:line="360" w:lineRule="auto"/>
        <w:ind w:left="84"/>
        <w:jc w:val="both"/>
        <w:rPr>
          <w:rFonts w:ascii="David" w:hAnsi="David"/>
          <w:color w:val="000000"/>
          <w:u w:val="single"/>
        </w:rPr>
      </w:pPr>
    </w:p>
    <w:p w14:paraId="62FA0FD1" w14:textId="77777777" w:rsidR="00AB3580" w:rsidRDefault="00AB3580" w:rsidP="00AB3580">
      <w:pPr>
        <w:pStyle w:val="ListParagraph"/>
        <w:numPr>
          <w:ilvl w:val="0"/>
          <w:numId w:val="1"/>
        </w:numPr>
        <w:spacing w:line="360" w:lineRule="auto"/>
        <w:jc w:val="both"/>
        <w:rPr>
          <w:rFonts w:ascii="David" w:hAnsi="David"/>
          <w:color w:val="000000"/>
          <w:u w:val="single"/>
          <w:rtl/>
        </w:rPr>
      </w:pPr>
      <w:r>
        <w:rPr>
          <w:rFonts w:ascii="David" w:hAnsi="David"/>
          <w:color w:val="000000"/>
          <w:rtl/>
        </w:rPr>
        <w:t xml:space="preserve">בהתחשב באינטרסים המוגנים שעליהם עמדתי, בעוצמת הפגיעה בהם, בנסיבות הקשורות בביצוע העבירה ובמדיניות הענישה הנוהגת, מצאתי להעמיד את מתחם העונש ההולם על </w:t>
      </w:r>
      <w:r>
        <w:rPr>
          <w:rFonts w:ascii="David" w:hAnsi="David"/>
          <w:b/>
          <w:bCs/>
          <w:color w:val="000000"/>
          <w:rtl/>
        </w:rPr>
        <w:t>טווח שבין 1</w:t>
      </w:r>
      <w:r>
        <w:rPr>
          <w:rFonts w:ascii="David" w:hAnsi="David" w:hint="cs"/>
          <w:b/>
          <w:bCs/>
          <w:color w:val="000000"/>
          <w:rtl/>
        </w:rPr>
        <w:t>2</w:t>
      </w:r>
      <w:r>
        <w:rPr>
          <w:rFonts w:ascii="David" w:hAnsi="David"/>
          <w:b/>
          <w:bCs/>
          <w:color w:val="000000"/>
          <w:rtl/>
        </w:rPr>
        <w:t xml:space="preserve"> ועד 2</w:t>
      </w:r>
      <w:r>
        <w:rPr>
          <w:rFonts w:ascii="David" w:hAnsi="David" w:hint="cs"/>
          <w:b/>
          <w:bCs/>
          <w:color w:val="000000"/>
          <w:rtl/>
        </w:rPr>
        <w:t>6</w:t>
      </w:r>
      <w:r>
        <w:rPr>
          <w:rFonts w:ascii="David" w:hAnsi="David"/>
          <w:b/>
          <w:bCs/>
          <w:color w:val="000000"/>
          <w:rtl/>
        </w:rPr>
        <w:t xml:space="preserve"> חודשי מאסר</w:t>
      </w:r>
      <w:r>
        <w:rPr>
          <w:rFonts w:ascii="David" w:hAnsi="David"/>
          <w:color w:val="000000"/>
          <w:rtl/>
        </w:rPr>
        <w:t>, בצד ענישה כלכלית, שתשקף את טיב הרווחים שהופקו ואת טיב הנזק שנגרם לנפגעי העבירה.</w:t>
      </w:r>
    </w:p>
    <w:p w14:paraId="2E3DBEB0" w14:textId="77777777" w:rsidR="00AB3580" w:rsidRDefault="00AB3580" w:rsidP="00AB3580">
      <w:pPr>
        <w:pStyle w:val="ListParagraph"/>
        <w:spacing w:line="360" w:lineRule="auto"/>
        <w:jc w:val="both"/>
        <w:rPr>
          <w:rFonts w:ascii="David" w:hAnsi="David"/>
          <w:color w:val="000000"/>
        </w:rPr>
      </w:pPr>
    </w:p>
    <w:p w14:paraId="11C91FC9" w14:textId="77777777" w:rsidR="00AB3580" w:rsidRPr="005241CE" w:rsidRDefault="00AB3580" w:rsidP="00AB3580">
      <w:pPr>
        <w:pStyle w:val="listparagraph0"/>
        <w:bidi/>
        <w:spacing w:before="0" w:beforeAutospacing="0" w:after="0" w:afterAutospacing="0" w:line="330" w:lineRule="atLeast"/>
        <w:jc w:val="both"/>
        <w:rPr>
          <w:rFonts w:ascii="Calibri" w:hAnsi="Calibri" w:cs="Calibri"/>
          <w:b/>
          <w:bCs/>
          <w:color w:val="000000"/>
          <w:sz w:val="22"/>
          <w:szCs w:val="22"/>
          <w:rtl/>
        </w:rPr>
      </w:pPr>
      <w:r w:rsidRPr="005241CE">
        <w:rPr>
          <w:rFonts w:ascii="David" w:hAnsi="David" w:cs="David"/>
          <w:b/>
          <w:bCs/>
          <w:color w:val="000000"/>
          <w:rtl/>
        </w:rPr>
        <w:t>(</w:t>
      </w:r>
      <w:r w:rsidRPr="005241CE">
        <w:rPr>
          <w:rFonts w:ascii="David" w:hAnsi="David" w:cs="David"/>
          <w:b/>
          <w:bCs/>
          <w:color w:val="000000"/>
        </w:rPr>
        <w:t>III</w:t>
      </w:r>
      <w:r w:rsidRPr="005241CE">
        <w:rPr>
          <w:rFonts w:ascii="David" w:hAnsi="David" w:cs="David"/>
          <w:b/>
          <w:bCs/>
          <w:color w:val="000000"/>
          <w:rtl/>
        </w:rPr>
        <w:t>)</w:t>
      </w:r>
      <w:r w:rsidRPr="005241CE">
        <w:rPr>
          <w:rFonts w:ascii="David" w:hAnsi="David" w:cs="David"/>
          <w:b/>
          <w:bCs/>
          <w:color w:val="000000"/>
        </w:rPr>
        <w:t xml:space="preserve"> </w:t>
      </w:r>
      <w:r w:rsidRPr="005241CE">
        <w:rPr>
          <w:rFonts w:ascii="David" w:hAnsi="David" w:cs="David"/>
          <w:b/>
          <w:bCs/>
          <w:color w:val="000000"/>
          <w:rtl/>
        </w:rPr>
        <w:t xml:space="preserve">העונש שיש </w:t>
      </w:r>
      <w:r>
        <w:rPr>
          <w:rFonts w:ascii="David" w:hAnsi="David" w:cs="David"/>
          <w:b/>
          <w:bCs/>
          <w:color w:val="000000"/>
          <w:rtl/>
        </w:rPr>
        <w:t>להטיל על הנאשם בתוך</w:t>
      </w:r>
      <w:r>
        <w:rPr>
          <w:rFonts w:ascii="David" w:hAnsi="David" w:cs="David" w:hint="cs"/>
          <w:b/>
          <w:bCs/>
          <w:color w:val="000000"/>
          <w:rtl/>
        </w:rPr>
        <w:t xml:space="preserve"> מתחם הענישה</w:t>
      </w:r>
    </w:p>
    <w:p w14:paraId="6BD51E2F" w14:textId="77777777" w:rsidR="00AB3580" w:rsidRDefault="00FC31CD" w:rsidP="00AB3580">
      <w:pPr>
        <w:pStyle w:val="listparagraph0"/>
        <w:bidi/>
        <w:spacing w:before="0" w:beforeAutospacing="0" w:after="0" w:afterAutospacing="0" w:line="330" w:lineRule="atLeast"/>
        <w:ind w:left="720"/>
        <w:jc w:val="both"/>
        <w:rPr>
          <w:rFonts w:ascii="Calibri" w:hAnsi="Calibri" w:cs="Calibri"/>
          <w:color w:val="000000"/>
          <w:sz w:val="22"/>
          <w:szCs w:val="22"/>
        </w:rPr>
      </w:pPr>
      <w:r>
        <w:rPr>
          <w:rFonts w:ascii="David" w:hAnsi="David" w:cs="David"/>
          <w:color w:val="000000"/>
          <w:rtl/>
        </w:rPr>
        <w:t xml:space="preserve"> </w:t>
      </w:r>
    </w:p>
    <w:p w14:paraId="69F3EBCE" w14:textId="77777777" w:rsidR="00AB3580" w:rsidRDefault="00AB3580" w:rsidP="00AB3580">
      <w:pPr>
        <w:pStyle w:val="listparagraph0"/>
        <w:bidi/>
        <w:spacing w:before="0" w:beforeAutospacing="0" w:after="0" w:afterAutospacing="0" w:line="330" w:lineRule="atLeast"/>
        <w:ind w:left="720"/>
        <w:jc w:val="both"/>
        <w:rPr>
          <w:rFonts w:ascii="Calibri" w:hAnsi="Calibri" w:cs="Calibri"/>
          <w:color w:val="000000"/>
          <w:sz w:val="22"/>
          <w:szCs w:val="22"/>
          <w:rtl/>
        </w:rPr>
      </w:pPr>
    </w:p>
    <w:p w14:paraId="4DAA2C0E" w14:textId="77777777" w:rsidR="00AB3580" w:rsidRDefault="00AB3580" w:rsidP="00AB3580">
      <w:pPr>
        <w:pStyle w:val="ListParagraph"/>
        <w:numPr>
          <w:ilvl w:val="0"/>
          <w:numId w:val="1"/>
        </w:numPr>
        <w:spacing w:line="360" w:lineRule="auto"/>
        <w:jc w:val="both"/>
        <w:rPr>
          <w:rFonts w:cs="Calibri"/>
          <w:color w:val="000000"/>
          <w:sz w:val="22"/>
          <w:szCs w:val="22"/>
          <w:rtl/>
        </w:rPr>
      </w:pPr>
      <w:r>
        <w:rPr>
          <w:rFonts w:ascii="David" w:hAnsi="David"/>
          <w:color w:val="000000"/>
          <w:rtl/>
        </w:rPr>
        <w:t>בעת גזירת העונש בתוך המתחם יש לתת את הדעת למספר שיקולים</w:t>
      </w:r>
      <w:r>
        <w:rPr>
          <w:rFonts w:ascii="David" w:hAnsi="David" w:hint="cs"/>
          <w:color w:val="000000"/>
          <w:rtl/>
        </w:rPr>
        <w:t>:</w:t>
      </w:r>
    </w:p>
    <w:p w14:paraId="1468F659" w14:textId="77777777" w:rsidR="00AB3580" w:rsidRDefault="00AB3580" w:rsidP="00AB3580">
      <w:pPr>
        <w:pStyle w:val="ListParagraph"/>
        <w:spacing w:line="360" w:lineRule="auto"/>
        <w:jc w:val="both"/>
        <w:rPr>
          <w:rFonts w:cs="Calibri"/>
          <w:color w:val="000000"/>
          <w:sz w:val="22"/>
          <w:szCs w:val="22"/>
        </w:rPr>
      </w:pPr>
    </w:p>
    <w:p w14:paraId="19BF5EF8" w14:textId="77777777" w:rsidR="00AB3580" w:rsidRDefault="00AB3580" w:rsidP="00AB3580">
      <w:pPr>
        <w:pStyle w:val="ListParagraph"/>
        <w:numPr>
          <w:ilvl w:val="0"/>
          <w:numId w:val="5"/>
        </w:numPr>
        <w:spacing w:line="360" w:lineRule="auto"/>
        <w:ind w:left="509" w:hanging="425"/>
        <w:jc w:val="both"/>
        <w:rPr>
          <w:rFonts w:ascii="David" w:hAnsi="David"/>
          <w:color w:val="000000"/>
          <w:u w:val="single"/>
          <w:rtl/>
        </w:rPr>
      </w:pPr>
      <w:r>
        <w:rPr>
          <w:rFonts w:ascii="David" w:hAnsi="David"/>
          <w:color w:val="000000"/>
          <w:u w:val="single"/>
          <w:rtl/>
        </w:rPr>
        <w:t>הודאתו של הנאשם ונטילת אחריות</w:t>
      </w:r>
    </w:p>
    <w:p w14:paraId="5DAB1121" w14:textId="77777777" w:rsidR="00AB3580" w:rsidRDefault="00FC31CD" w:rsidP="00AB3580">
      <w:pPr>
        <w:pStyle w:val="listparagraph0"/>
        <w:bidi/>
        <w:spacing w:before="0" w:beforeAutospacing="0" w:after="0" w:afterAutospacing="0" w:line="330" w:lineRule="atLeast"/>
        <w:ind w:left="720"/>
        <w:jc w:val="both"/>
        <w:rPr>
          <w:rFonts w:ascii="Calibri" w:hAnsi="Calibri" w:cs="Calibri"/>
          <w:color w:val="000000"/>
          <w:sz w:val="22"/>
          <w:szCs w:val="22"/>
          <w:rtl/>
        </w:rPr>
      </w:pPr>
      <w:r>
        <w:rPr>
          <w:rFonts w:ascii="David" w:hAnsi="David" w:cs="David"/>
          <w:color w:val="000000"/>
          <w:rtl/>
        </w:rPr>
        <w:t xml:space="preserve"> </w:t>
      </w:r>
    </w:p>
    <w:p w14:paraId="06BD124F" w14:textId="77777777" w:rsidR="00AB3580" w:rsidRDefault="00AB3580" w:rsidP="00AB3580">
      <w:pPr>
        <w:pStyle w:val="ListParagraph"/>
        <w:numPr>
          <w:ilvl w:val="0"/>
          <w:numId w:val="1"/>
        </w:numPr>
        <w:spacing w:line="360" w:lineRule="auto"/>
        <w:jc w:val="both"/>
        <w:rPr>
          <w:rFonts w:cs="Calibri"/>
          <w:color w:val="000000"/>
          <w:sz w:val="22"/>
          <w:szCs w:val="22"/>
          <w:rtl/>
        </w:rPr>
      </w:pPr>
      <w:r>
        <w:rPr>
          <w:rFonts w:ascii="David" w:hAnsi="David"/>
          <w:color w:val="000000"/>
          <w:rtl/>
        </w:rPr>
        <w:t xml:space="preserve">הנאשם </w:t>
      </w:r>
      <w:r w:rsidRPr="0018308E">
        <w:rPr>
          <w:rFonts w:ascii="David" w:hAnsi="David"/>
          <w:b/>
          <w:bCs/>
          <w:color w:val="000000"/>
          <w:rtl/>
        </w:rPr>
        <w:t>הודה בעבירות, נטל אחריות והביע חרטה</w:t>
      </w:r>
      <w:r>
        <w:rPr>
          <w:rFonts w:ascii="David" w:hAnsi="David"/>
          <w:color w:val="000000"/>
          <w:rtl/>
        </w:rPr>
        <w:t xml:space="preserve">. להודייתו של הנאשם חשיבות, הן במישור היעילות, החיסכון בזמן שיפוטי והשגת תוצאה מהירה; הן בכך שההודיה היא ביטוי להפנמת חומרת המעשה, הבנת הפסול שבו ונכונות לשלם את המחיר. ואכן, אף בענייננו יש מקום להתחשב בהודייתו של הנאשם בכתב האישום המתוקן, שהביאה לחיסכון ניכר בזמן שיפוטי, ובדבריו במסגרת הטיעונים לעונש, </w:t>
      </w:r>
      <w:r w:rsidRPr="0032302E">
        <w:rPr>
          <w:rFonts w:ascii="David" w:hAnsi="David"/>
          <w:b/>
          <w:bCs/>
          <w:color w:val="000000"/>
          <w:rtl/>
        </w:rPr>
        <w:t>כשיקול לקול</w:t>
      </w:r>
      <w:r w:rsidRPr="0032302E">
        <w:rPr>
          <w:rFonts w:ascii="David" w:hAnsi="David" w:hint="cs"/>
          <w:b/>
          <w:bCs/>
          <w:color w:val="000000"/>
          <w:rtl/>
        </w:rPr>
        <w:t>ה</w:t>
      </w:r>
      <w:r>
        <w:rPr>
          <w:rFonts w:ascii="David" w:hAnsi="David"/>
          <w:color w:val="000000"/>
          <w:rtl/>
        </w:rPr>
        <w:t xml:space="preserve"> (ראו</w:t>
      </w:r>
      <w:r w:rsidR="00FC31CD">
        <w:rPr>
          <w:rFonts w:ascii="David" w:hAnsi="David"/>
          <w:color w:val="000000"/>
          <w:rtl/>
        </w:rPr>
        <w:t xml:space="preserve"> </w:t>
      </w:r>
      <w:hyperlink r:id="rId58" w:history="1">
        <w:r w:rsidR="00FC31CD" w:rsidRPr="00FC31CD">
          <w:rPr>
            <w:rFonts w:ascii="David" w:hAnsi="David"/>
            <w:color w:val="0000FF"/>
            <w:u w:val="single"/>
            <w:rtl/>
          </w:rPr>
          <w:t>רע"פ 3849/05</w:t>
        </w:r>
      </w:hyperlink>
      <w:r w:rsidR="00FC31CD">
        <w:rPr>
          <w:rFonts w:ascii="David" w:hAnsi="David"/>
          <w:color w:val="000000"/>
          <w:rtl/>
        </w:rPr>
        <w:t xml:space="preserve"> </w:t>
      </w:r>
      <w:r>
        <w:rPr>
          <w:rFonts w:ascii="David" w:hAnsi="David"/>
          <w:b/>
          <w:bCs/>
          <w:color w:val="000000"/>
          <w:rtl/>
        </w:rPr>
        <w:t>תורג'מן נ' מדינת ישראל</w:t>
      </w:r>
      <w:r w:rsidR="00FC31CD">
        <w:rPr>
          <w:rFonts w:ascii="David" w:hAnsi="David"/>
          <w:color w:val="000000"/>
          <w:rtl/>
        </w:rPr>
        <w:t xml:space="preserve"> </w:t>
      </w:r>
      <w:r>
        <w:rPr>
          <w:rFonts w:ascii="David" w:hAnsi="David"/>
          <w:color w:val="000000"/>
          <w:rtl/>
        </w:rPr>
        <w:t xml:space="preserve"> </w:t>
      </w:r>
      <w:r w:rsidR="003C6250" w:rsidRPr="003C6250">
        <w:rPr>
          <w:rFonts w:ascii="Times New Roman" w:hAnsi="Times New Roman"/>
          <w:sz w:val="22"/>
          <w:rtl/>
        </w:rPr>
        <w:t xml:space="preserve">[פורסם בנבו] </w:t>
      </w:r>
      <w:r>
        <w:rPr>
          <w:rFonts w:ascii="David" w:hAnsi="David"/>
          <w:color w:val="000000"/>
          <w:rtl/>
        </w:rPr>
        <w:t>(23.6.2005)).</w:t>
      </w:r>
    </w:p>
    <w:p w14:paraId="1E7402B8" w14:textId="77777777" w:rsidR="00AB3580" w:rsidRDefault="00FC31CD" w:rsidP="00AB3580">
      <w:pPr>
        <w:pStyle w:val="listparagraph0"/>
        <w:bidi/>
        <w:spacing w:before="0" w:beforeAutospacing="0" w:after="160" w:afterAutospacing="0" w:line="330" w:lineRule="atLeast"/>
        <w:ind w:left="720"/>
        <w:jc w:val="both"/>
        <w:rPr>
          <w:color w:val="000000"/>
          <w:sz w:val="27"/>
          <w:szCs w:val="27"/>
          <w:rtl/>
        </w:rPr>
      </w:pPr>
      <w:r>
        <w:rPr>
          <w:rFonts w:ascii="David" w:hAnsi="David" w:cs="David"/>
          <w:color w:val="000000"/>
        </w:rPr>
        <w:t xml:space="preserve"> </w:t>
      </w:r>
      <w:r>
        <w:rPr>
          <w:rFonts w:ascii="David" w:hAnsi="David" w:cs="David"/>
          <w:color w:val="000000"/>
          <w:sz w:val="27"/>
          <w:szCs w:val="27"/>
          <w:rtl/>
        </w:rPr>
        <w:t xml:space="preserve"> </w:t>
      </w:r>
    </w:p>
    <w:p w14:paraId="63991227" w14:textId="77777777" w:rsidR="00AB3580" w:rsidRDefault="00AB3580" w:rsidP="00AB3580">
      <w:pPr>
        <w:pStyle w:val="ListParagraph"/>
        <w:numPr>
          <w:ilvl w:val="0"/>
          <w:numId w:val="5"/>
        </w:numPr>
        <w:spacing w:line="360" w:lineRule="auto"/>
        <w:ind w:left="509" w:hanging="425"/>
        <w:jc w:val="both"/>
        <w:rPr>
          <w:rFonts w:ascii="David" w:hAnsi="David"/>
          <w:color w:val="000000"/>
          <w:u w:val="single"/>
          <w:rtl/>
        </w:rPr>
      </w:pPr>
      <w:r>
        <w:rPr>
          <w:rFonts w:ascii="David" w:hAnsi="David"/>
          <w:color w:val="000000"/>
          <w:u w:val="single"/>
          <w:rtl/>
        </w:rPr>
        <w:t>היעדר עבר פלילי</w:t>
      </w:r>
    </w:p>
    <w:p w14:paraId="025A3CAF" w14:textId="77777777" w:rsidR="00AB3580" w:rsidRPr="00AB3580" w:rsidRDefault="00FC31CD" w:rsidP="00AB3580">
      <w:pPr>
        <w:spacing w:line="360" w:lineRule="atLeast"/>
        <w:jc w:val="both"/>
        <w:rPr>
          <w:rFonts w:ascii="Calibri" w:hAnsi="Calibri"/>
          <w:color w:val="000000"/>
          <w:sz w:val="27"/>
          <w:szCs w:val="27"/>
          <w:rtl/>
        </w:rPr>
      </w:pPr>
      <w:r>
        <w:rPr>
          <w:rFonts w:ascii="David" w:hAnsi="David"/>
          <w:color w:val="000000"/>
          <w:sz w:val="27"/>
          <w:szCs w:val="27"/>
          <w:rtl/>
        </w:rPr>
        <w:t xml:space="preserve"> </w:t>
      </w:r>
    </w:p>
    <w:p w14:paraId="5AD6C93C" w14:textId="77777777" w:rsidR="00AB3580" w:rsidRDefault="00AB3580" w:rsidP="00AB3580">
      <w:pPr>
        <w:pStyle w:val="ListParagraph"/>
        <w:numPr>
          <w:ilvl w:val="0"/>
          <w:numId w:val="1"/>
        </w:numPr>
        <w:spacing w:line="360" w:lineRule="auto"/>
        <w:jc w:val="both"/>
        <w:rPr>
          <w:rFonts w:cs="Calibri"/>
          <w:color w:val="000000"/>
          <w:sz w:val="22"/>
          <w:szCs w:val="22"/>
          <w:rtl/>
        </w:rPr>
      </w:pPr>
      <w:r>
        <w:rPr>
          <w:rFonts w:ascii="David" w:hAnsi="David"/>
          <w:color w:val="000000"/>
          <w:rtl/>
        </w:rPr>
        <w:t xml:space="preserve">לנאשם בענייננו </w:t>
      </w:r>
      <w:r w:rsidRPr="0018308E">
        <w:rPr>
          <w:rFonts w:ascii="David" w:hAnsi="David"/>
          <w:b/>
          <w:bCs/>
          <w:color w:val="000000"/>
          <w:rtl/>
        </w:rPr>
        <w:t>אין עבר פלילי</w:t>
      </w:r>
      <w:r>
        <w:rPr>
          <w:rFonts w:ascii="David" w:hAnsi="David"/>
          <w:color w:val="000000"/>
          <w:rtl/>
        </w:rPr>
        <w:t xml:space="preserve">. נתון זה משמש </w:t>
      </w:r>
      <w:r w:rsidRPr="0032302E">
        <w:rPr>
          <w:rFonts w:ascii="David" w:hAnsi="David"/>
          <w:b/>
          <w:bCs/>
          <w:color w:val="000000"/>
          <w:rtl/>
        </w:rPr>
        <w:t>טעם לקולה</w:t>
      </w:r>
      <w:r>
        <w:rPr>
          <w:rFonts w:ascii="David" w:hAnsi="David"/>
          <w:color w:val="000000"/>
          <w:rtl/>
        </w:rPr>
        <w:t xml:space="preserve"> נוכח ההנחה כי במצב שכזה אפשר שהנאשם לא ישוב ויבצע עבירות בעתיד, ונוכח האפשרות כי באין עבר פלילי, אין לראות במעשיו ביטוי לדפוס התנהגות מושרש. עם זאת, הפסיקה עמדה על כך </w:t>
      </w:r>
      <w:r w:rsidRPr="0018308E">
        <w:rPr>
          <w:rFonts w:ascii="David" w:hAnsi="David"/>
          <w:b/>
          <w:bCs/>
          <w:color w:val="000000"/>
          <w:rtl/>
        </w:rPr>
        <w:t>שבמצב שבו העבירה שבה מדובר נמשכה לאורך ימים לא מעטים, ולא הייתה מעשה ספורדי ומנותק מהקשרו, נחלש המשקל המקל שיינתן להיעדרו של עבר פלילי</w:t>
      </w:r>
      <w:r w:rsidRPr="00B52455">
        <w:rPr>
          <w:rFonts w:ascii="David" w:hAnsi="David"/>
          <w:color w:val="000000"/>
          <w:rtl/>
        </w:rPr>
        <w:t>, שהרי שוב אין מדובר בגחמה של רגע אלא במהלך ממושך ומחושב (ראו</w:t>
      </w:r>
      <w:r w:rsidR="00FC31CD">
        <w:rPr>
          <w:rFonts w:ascii="David" w:hAnsi="David"/>
          <w:color w:val="000000"/>
          <w:rtl/>
        </w:rPr>
        <w:t xml:space="preserve"> </w:t>
      </w:r>
      <w:hyperlink r:id="rId59" w:history="1">
        <w:r w:rsidR="003C6250" w:rsidRPr="003C6250">
          <w:rPr>
            <w:rStyle w:val="Hyperlink"/>
            <w:rFonts w:ascii="David" w:hAnsi="David"/>
            <w:rtl/>
          </w:rPr>
          <w:t>966/19</w:t>
        </w:r>
      </w:hyperlink>
      <w:r w:rsidR="00FC31CD">
        <w:rPr>
          <w:rFonts w:ascii="David" w:hAnsi="David"/>
          <w:color w:val="000000"/>
          <w:rtl/>
        </w:rPr>
        <w:t xml:space="preserve"> </w:t>
      </w:r>
      <w:r w:rsidRPr="00B52455">
        <w:rPr>
          <w:rFonts w:ascii="David" w:hAnsi="David"/>
          <w:b/>
          <w:bCs/>
          <w:color w:val="000000"/>
          <w:rtl/>
        </w:rPr>
        <w:t>פלוני נ' מדינת ישראל</w:t>
      </w:r>
      <w:r w:rsidRPr="00B52455">
        <w:rPr>
          <w:rFonts w:ascii="David" w:hAnsi="David"/>
          <w:color w:val="000000"/>
          <w:rtl/>
        </w:rPr>
        <w:t>, פסקה 16</w:t>
      </w:r>
      <w:r w:rsidR="00FC31CD">
        <w:rPr>
          <w:rFonts w:ascii="David" w:hAnsi="David"/>
          <w:color w:val="000000"/>
          <w:rtl/>
        </w:rPr>
        <w:t xml:space="preserve"> </w:t>
      </w:r>
      <w:r w:rsidRPr="00B52455">
        <w:rPr>
          <w:rFonts w:ascii="David" w:hAnsi="David"/>
          <w:color w:val="000000"/>
          <w:rtl/>
        </w:rPr>
        <w:t xml:space="preserve"> </w:t>
      </w:r>
      <w:r w:rsidR="003C6250" w:rsidRPr="003C6250">
        <w:rPr>
          <w:rFonts w:ascii="Times New Roman" w:hAnsi="Times New Roman"/>
          <w:sz w:val="22"/>
          <w:rtl/>
        </w:rPr>
        <w:t xml:space="preserve">[פורסם בנבו] </w:t>
      </w:r>
      <w:r w:rsidRPr="00B52455">
        <w:rPr>
          <w:rFonts w:ascii="David" w:hAnsi="David"/>
          <w:color w:val="000000"/>
          <w:rtl/>
        </w:rPr>
        <w:t>(29.1.2020);</w:t>
      </w:r>
      <w:r w:rsidR="00FC31CD">
        <w:rPr>
          <w:rFonts w:ascii="David" w:hAnsi="David"/>
          <w:color w:val="000000"/>
          <w:rtl/>
        </w:rPr>
        <w:t xml:space="preserve"> </w:t>
      </w:r>
      <w:hyperlink r:id="rId60" w:history="1">
        <w:r w:rsidR="00FC31CD" w:rsidRPr="00FC31CD">
          <w:rPr>
            <w:rFonts w:ascii="David" w:hAnsi="David"/>
            <w:color w:val="0000FF"/>
            <w:u w:val="single"/>
            <w:rtl/>
          </w:rPr>
          <w:t>ע"פ 7307/18</w:t>
        </w:r>
      </w:hyperlink>
      <w:r w:rsidR="00FC31CD">
        <w:rPr>
          <w:rFonts w:ascii="David" w:hAnsi="David"/>
          <w:color w:val="000000"/>
        </w:rPr>
        <w:t xml:space="preserve"> </w:t>
      </w:r>
      <w:r w:rsidRPr="00B52455">
        <w:rPr>
          <w:rFonts w:ascii="David" w:hAnsi="David"/>
          <w:b/>
          <w:bCs/>
          <w:color w:val="000000"/>
          <w:rtl/>
        </w:rPr>
        <w:t>פלוני נ' מדינת ישראל</w:t>
      </w:r>
      <w:r w:rsidRPr="00B52455">
        <w:rPr>
          <w:rFonts w:ascii="David" w:hAnsi="David"/>
          <w:color w:val="000000"/>
          <w:rtl/>
        </w:rPr>
        <w:t>, פסקה</w:t>
      </w:r>
      <w:r>
        <w:rPr>
          <w:rFonts w:ascii="David" w:hAnsi="David"/>
          <w:color w:val="000000"/>
          <w:rtl/>
        </w:rPr>
        <w:t xml:space="preserve"> 23</w:t>
      </w:r>
      <w:r w:rsidR="00FC31CD">
        <w:rPr>
          <w:rFonts w:ascii="David" w:hAnsi="David"/>
          <w:color w:val="000000"/>
          <w:rtl/>
        </w:rPr>
        <w:t xml:space="preserve"> </w:t>
      </w:r>
      <w:r>
        <w:rPr>
          <w:rFonts w:ascii="David" w:hAnsi="David"/>
          <w:color w:val="000000"/>
          <w:rtl/>
        </w:rPr>
        <w:t xml:space="preserve"> </w:t>
      </w:r>
      <w:r w:rsidR="003C6250" w:rsidRPr="003C6250">
        <w:rPr>
          <w:rFonts w:ascii="Times New Roman" w:hAnsi="Times New Roman"/>
          <w:sz w:val="22"/>
          <w:rtl/>
        </w:rPr>
        <w:t xml:space="preserve">[פורסם בנבו] </w:t>
      </w:r>
      <w:r>
        <w:rPr>
          <w:rFonts w:ascii="David" w:hAnsi="David"/>
          <w:color w:val="000000"/>
          <w:rtl/>
        </w:rPr>
        <w:t>(11.11.2019)).</w:t>
      </w:r>
    </w:p>
    <w:p w14:paraId="7CF2DD76" w14:textId="77777777" w:rsidR="00AB3580" w:rsidRDefault="00FC31CD" w:rsidP="00AB3580">
      <w:pPr>
        <w:spacing w:line="360" w:lineRule="atLeast"/>
        <w:jc w:val="both"/>
        <w:rPr>
          <w:rFonts w:ascii="David" w:hAnsi="David"/>
          <w:color w:val="000000"/>
          <w:rtl/>
        </w:rPr>
      </w:pPr>
      <w:r>
        <w:rPr>
          <w:rFonts w:ascii="David" w:hAnsi="David"/>
          <w:color w:val="000000"/>
          <w:sz w:val="27"/>
          <w:szCs w:val="27"/>
          <w:rtl/>
        </w:rPr>
        <w:t xml:space="preserve"> </w:t>
      </w:r>
    </w:p>
    <w:p w14:paraId="0C26E078" w14:textId="77777777" w:rsidR="00AB3580" w:rsidRDefault="00AB3580" w:rsidP="00AB3580">
      <w:pPr>
        <w:pStyle w:val="ListParagraph"/>
        <w:numPr>
          <w:ilvl w:val="0"/>
          <w:numId w:val="5"/>
        </w:numPr>
        <w:spacing w:line="360" w:lineRule="auto"/>
        <w:ind w:left="509" w:hanging="425"/>
        <w:jc w:val="both"/>
        <w:rPr>
          <w:rFonts w:ascii="David" w:hAnsi="David"/>
          <w:color w:val="000000"/>
          <w:u w:val="single"/>
          <w:rtl/>
        </w:rPr>
      </w:pPr>
      <w:r>
        <w:rPr>
          <w:rFonts w:ascii="David" w:hAnsi="David"/>
          <w:color w:val="000000"/>
          <w:u w:val="single"/>
          <w:rtl/>
        </w:rPr>
        <w:t>הרתעת היחיד והרבים</w:t>
      </w:r>
    </w:p>
    <w:p w14:paraId="4A7E24F3" w14:textId="77777777" w:rsidR="00AB3580" w:rsidRDefault="00AB3580" w:rsidP="00AB3580">
      <w:pPr>
        <w:pStyle w:val="listparagraph0"/>
        <w:bidi/>
        <w:spacing w:before="0" w:beforeAutospacing="0" w:after="0" w:afterAutospacing="0" w:line="360" w:lineRule="auto"/>
        <w:jc w:val="both"/>
        <w:rPr>
          <w:rFonts w:ascii="David" w:hAnsi="David" w:cs="David"/>
          <w:color w:val="000000"/>
          <w:rtl/>
        </w:rPr>
      </w:pPr>
    </w:p>
    <w:p w14:paraId="645C5172" w14:textId="77777777" w:rsidR="00AB3580" w:rsidRPr="0018308E" w:rsidRDefault="00AB3580" w:rsidP="003C6250">
      <w:pPr>
        <w:pStyle w:val="ListParagraph"/>
        <w:numPr>
          <w:ilvl w:val="0"/>
          <w:numId w:val="1"/>
        </w:numPr>
        <w:spacing w:line="360" w:lineRule="auto"/>
        <w:jc w:val="both"/>
        <w:rPr>
          <w:rFonts w:cs="Calibri"/>
          <w:b/>
          <w:bCs/>
          <w:color w:val="000000"/>
          <w:sz w:val="22"/>
          <w:szCs w:val="22"/>
          <w:rtl/>
        </w:rPr>
      </w:pPr>
      <w:r w:rsidRPr="00B52455">
        <w:rPr>
          <w:rFonts w:ascii="David" w:hAnsi="David"/>
          <w:color w:val="000000"/>
          <w:rtl/>
        </w:rPr>
        <w:t>שיקול נוסף שיובא בחשבון בעת קביעת העונש בתוך מתחם הענישה שנקבע, עניינו בקיומו של "</w:t>
      </w:r>
      <w:r w:rsidRPr="0018308E">
        <w:rPr>
          <w:rFonts w:ascii="David" w:hAnsi="David"/>
          <w:b/>
          <w:bCs/>
          <w:color w:val="000000"/>
          <w:rtl/>
        </w:rPr>
        <w:t>סיכוי של ממש שהטלת עונש מסוים תביא" להרתעת היחיד ולהרתעת הרבים</w:t>
      </w:r>
      <w:r w:rsidRPr="00B52455">
        <w:rPr>
          <w:rFonts w:ascii="David" w:hAnsi="David"/>
          <w:color w:val="000000"/>
          <w:rtl/>
        </w:rPr>
        <w:t xml:space="preserve"> (</w:t>
      </w:r>
      <w:r w:rsidRPr="00FC31CD">
        <w:rPr>
          <w:rFonts w:ascii="David" w:hAnsi="David"/>
          <w:color w:val="000000"/>
          <w:rtl/>
        </w:rPr>
        <w:t xml:space="preserve">סעיף </w:t>
      </w:r>
      <w:hyperlink r:id="rId61" w:history="1">
        <w:r w:rsidR="00F45F91" w:rsidRPr="00F45F91">
          <w:rPr>
            <w:rStyle w:val="Hyperlink"/>
            <w:rFonts w:ascii="David" w:hAnsi="David"/>
            <w:rtl/>
          </w:rPr>
          <w:t>40ו ו-40ז</w:t>
        </w:r>
      </w:hyperlink>
      <w:r w:rsidR="00FC31CD">
        <w:rPr>
          <w:rFonts w:ascii="David" w:hAnsi="David"/>
          <w:color w:val="000000"/>
          <w:rtl/>
        </w:rPr>
        <w:t xml:space="preserve"> </w:t>
      </w:r>
      <w:r w:rsidRPr="00B52455">
        <w:rPr>
          <w:rFonts w:ascii="David" w:hAnsi="David"/>
          <w:color w:val="000000"/>
          <w:rtl/>
        </w:rPr>
        <w:t>ל</w:t>
      </w:r>
      <w:hyperlink r:id="rId62" w:history="1">
        <w:r w:rsidR="00FC31CD" w:rsidRPr="00FC31CD">
          <w:rPr>
            <w:rFonts w:ascii="David" w:hAnsi="David"/>
            <w:color w:val="0000FF"/>
            <w:u w:val="single"/>
            <w:rtl/>
          </w:rPr>
          <w:t>חוק העונשין</w:t>
        </w:r>
      </w:hyperlink>
      <w:r w:rsidRPr="00B52455">
        <w:rPr>
          <w:rFonts w:ascii="David" w:hAnsi="David"/>
          <w:color w:val="000000"/>
          <w:rtl/>
        </w:rPr>
        <w:t>). אמת הדבר, שבשנים האחרונות חל כרסום במעמדו של שיקול זה, על רקע מחקרים אקדמיים שכפרו ביכולתה של הענישה – ובאופן ספציפי של עונש המאסר, להכווין את התנהגותו של הפרט (ראו</w:t>
      </w:r>
      <w:r w:rsidR="00FC31CD">
        <w:rPr>
          <w:rFonts w:ascii="David" w:hAnsi="David"/>
          <w:color w:val="000000"/>
          <w:rtl/>
        </w:rPr>
        <w:t xml:space="preserve"> </w:t>
      </w:r>
      <w:hyperlink r:id="rId63" w:history="1">
        <w:r w:rsidR="003C6250" w:rsidRPr="003C6250">
          <w:rPr>
            <w:rStyle w:val="Hyperlink"/>
            <w:rFonts w:ascii="David" w:hAnsi="David"/>
            <w:rtl/>
          </w:rPr>
          <w:t xml:space="preserve">ברק אריאל ויעל לוי אריאל "התבוננות מחודשת במוסד ההרתעה (ובדרכים ליצירת הרתעה יעילה)" </w:t>
        </w:r>
      </w:hyperlink>
      <w:r w:rsidR="00FC31CD">
        <w:rPr>
          <w:rFonts w:ascii="David" w:hAnsi="David"/>
          <w:color w:val="000000"/>
          <w:rtl/>
        </w:rPr>
        <w:t xml:space="preserve"> </w:t>
      </w:r>
      <w:r w:rsidRPr="00B52455">
        <w:rPr>
          <w:rFonts w:ascii="David" w:hAnsi="David"/>
          <w:color w:val="000000"/>
          <w:shd w:val="clear" w:color="auto" w:fill="FFFFFF"/>
          <w:rtl/>
        </w:rPr>
        <w:t>בתוך</w:t>
      </w:r>
      <w:r w:rsidR="00FC31CD">
        <w:rPr>
          <w:rFonts w:ascii="David" w:hAnsi="David"/>
          <w:color w:val="000000"/>
          <w:shd w:val="clear" w:color="auto" w:fill="FFFFFF"/>
          <w:rtl/>
        </w:rPr>
        <w:t xml:space="preserve"> </w:t>
      </w:r>
      <w:r w:rsidRPr="00B52455">
        <w:rPr>
          <w:rFonts w:ascii="David" w:hAnsi="David"/>
          <w:b/>
          <w:bCs/>
          <w:color w:val="000000"/>
          <w:shd w:val="clear" w:color="auto" w:fill="FFFFFF"/>
          <w:rtl/>
        </w:rPr>
        <w:t>משפט חברה ותרבות: משפט צדק? ההליך הפלילי בישראל - כשלים ואתגרים</w:t>
      </w:r>
      <w:r w:rsidRPr="00B52455">
        <w:rPr>
          <w:rFonts w:ascii="David" w:hAnsi="David"/>
          <w:color w:val="000000"/>
          <w:shd w:val="clear" w:color="auto" w:fill="FFFFFF"/>
          <w:rtl/>
        </w:rPr>
        <w:t>, 83 (2017)</w:t>
      </w:r>
      <w:r w:rsidRPr="00B52455">
        <w:rPr>
          <w:rFonts w:ascii="David" w:hAnsi="David"/>
          <w:color w:val="000000"/>
          <w:rtl/>
        </w:rPr>
        <w:t>). ואולם, תפיסה זו יפה פחות למקרים שבהם מדובר בעביר</w:t>
      </w:r>
      <w:r>
        <w:rPr>
          <w:rFonts w:ascii="David" w:hAnsi="David" w:hint="cs"/>
          <w:color w:val="000000"/>
          <w:rtl/>
        </w:rPr>
        <w:t>ו</w:t>
      </w:r>
      <w:r w:rsidRPr="00B52455">
        <w:rPr>
          <w:rFonts w:ascii="David" w:hAnsi="David"/>
          <w:color w:val="000000"/>
          <w:rtl/>
        </w:rPr>
        <w:t>ת שמניעיהן הפקת רווח כלכלי, טעמיהן תועלתניים וטבען שקול ומתוכנן, זאת בשונה מעבירות אקספרסיביות, שתועלתן רגשית, טבען קפריזי ואינן תוצאה של מחשבה יתרה (ראו</w:t>
      </w:r>
      <w:r w:rsidR="00FC31CD">
        <w:rPr>
          <w:rFonts w:ascii="David" w:hAnsi="David"/>
          <w:color w:val="000000"/>
          <w:rtl/>
        </w:rPr>
        <w:t xml:space="preserve"> </w:t>
      </w:r>
      <w:r w:rsidRPr="00B52455">
        <w:rPr>
          <w:rFonts w:ascii="David" w:hAnsi="David"/>
          <w:color w:val="000000"/>
          <w:rtl/>
        </w:rPr>
        <w:t xml:space="preserve">בהתייחס לעבירות כלכליות, </w:t>
      </w:r>
      <w:hyperlink r:id="rId64" w:history="1">
        <w:r w:rsidR="00FC31CD" w:rsidRPr="00FC31CD">
          <w:rPr>
            <w:rFonts w:ascii="David" w:hAnsi="David"/>
            <w:color w:val="0000FF"/>
            <w:u w:val="single"/>
            <w:rtl/>
          </w:rPr>
          <w:t>ע"פ 7068/06</w:t>
        </w:r>
      </w:hyperlink>
      <w:r w:rsidR="00FC31CD">
        <w:rPr>
          <w:rFonts w:ascii="David" w:hAnsi="David"/>
          <w:color w:val="000000"/>
          <w:rtl/>
        </w:rPr>
        <w:t xml:space="preserve"> </w:t>
      </w:r>
      <w:r w:rsidRPr="00B52455">
        <w:rPr>
          <w:rFonts w:ascii="David" w:hAnsi="David"/>
          <w:b/>
          <w:bCs/>
          <w:color w:val="000000"/>
          <w:rtl/>
        </w:rPr>
        <w:t>מדינת ישראל נ' אריאל הנדסת חשמל רמזורים ובקרה בע"מ</w:t>
      </w:r>
      <w:r w:rsidRPr="00B52455">
        <w:rPr>
          <w:rFonts w:ascii="David" w:hAnsi="David"/>
          <w:color w:val="000000"/>
          <w:rtl/>
        </w:rPr>
        <w:t>, פסקה 14</w:t>
      </w:r>
      <w:r w:rsidR="00FC31CD">
        <w:rPr>
          <w:rFonts w:ascii="David" w:hAnsi="David"/>
          <w:color w:val="000000"/>
          <w:rtl/>
        </w:rPr>
        <w:t xml:space="preserve"> </w:t>
      </w:r>
      <w:r w:rsidR="003C6250" w:rsidRPr="003C6250">
        <w:rPr>
          <w:rFonts w:ascii="Times New Roman" w:hAnsi="Times New Roman"/>
          <w:sz w:val="22"/>
          <w:rtl/>
        </w:rPr>
        <w:t xml:space="preserve">[פורסם בנבו] </w:t>
      </w:r>
      <w:r w:rsidRPr="00B52455">
        <w:rPr>
          <w:rFonts w:ascii="David" w:hAnsi="David"/>
          <w:color w:val="000000"/>
          <w:rtl/>
        </w:rPr>
        <w:t>(31.5.2007);</w:t>
      </w:r>
      <w:r w:rsidR="00FC31CD">
        <w:rPr>
          <w:rFonts w:ascii="David" w:hAnsi="David"/>
          <w:color w:val="000000"/>
          <w:rtl/>
        </w:rPr>
        <w:t xml:space="preserve"> </w:t>
      </w:r>
      <w:hyperlink r:id="rId65" w:history="1">
        <w:r w:rsidR="00FC31CD" w:rsidRPr="00FC31CD">
          <w:rPr>
            <w:rFonts w:ascii="David" w:hAnsi="David"/>
            <w:color w:val="0000FF"/>
            <w:u w:val="single"/>
            <w:rtl/>
          </w:rPr>
          <w:t>ע"פ 1656/16</w:t>
        </w:r>
      </w:hyperlink>
      <w:r w:rsidR="00FC31CD">
        <w:rPr>
          <w:rFonts w:ascii="David" w:hAnsi="David"/>
          <w:color w:val="000000"/>
          <w:rtl/>
        </w:rPr>
        <w:t xml:space="preserve"> </w:t>
      </w:r>
      <w:r w:rsidRPr="00B52455">
        <w:rPr>
          <w:rFonts w:ascii="David" w:hAnsi="David"/>
          <w:color w:val="000000"/>
          <w:rtl/>
        </w:rPr>
        <w:t>‏</w:t>
      </w:r>
      <w:r w:rsidRPr="00B52455">
        <w:rPr>
          <w:rFonts w:ascii="David" w:hAnsi="David"/>
          <w:b/>
          <w:bCs/>
          <w:color w:val="000000"/>
          <w:rtl/>
        </w:rPr>
        <w:t>דוידוביץ' נ' מדינת ישראל</w:t>
      </w:r>
      <w:r w:rsidRPr="00B52455">
        <w:rPr>
          <w:rFonts w:ascii="David" w:hAnsi="David"/>
          <w:color w:val="000000"/>
          <w:rtl/>
        </w:rPr>
        <w:t>, פסקאות 105-98</w:t>
      </w:r>
      <w:r w:rsidR="00FC31CD">
        <w:rPr>
          <w:rFonts w:ascii="David" w:hAnsi="David"/>
          <w:color w:val="000000"/>
          <w:rtl/>
        </w:rPr>
        <w:t xml:space="preserve"> </w:t>
      </w:r>
      <w:r w:rsidRPr="00B52455">
        <w:rPr>
          <w:rFonts w:ascii="David" w:hAnsi="David"/>
          <w:color w:val="000000"/>
          <w:rtl/>
        </w:rPr>
        <w:t xml:space="preserve"> </w:t>
      </w:r>
      <w:r w:rsidR="003C6250" w:rsidRPr="003C6250">
        <w:rPr>
          <w:rFonts w:ascii="Times New Roman" w:hAnsi="Times New Roman"/>
          <w:sz w:val="22"/>
          <w:rtl/>
        </w:rPr>
        <w:t xml:space="preserve">[פורסם בנבו] </w:t>
      </w:r>
      <w:r w:rsidRPr="00B52455">
        <w:rPr>
          <w:rFonts w:ascii="David" w:hAnsi="David"/>
          <w:color w:val="000000"/>
          <w:rtl/>
        </w:rPr>
        <w:t xml:space="preserve">(20.3.2017)). </w:t>
      </w:r>
      <w:r w:rsidRPr="003D0FD2">
        <w:rPr>
          <w:rFonts w:ascii="David" w:hAnsi="David"/>
          <w:b/>
          <w:bCs/>
          <w:color w:val="000000"/>
          <w:rtl/>
        </w:rPr>
        <w:t>אופי</w:t>
      </w:r>
      <w:r w:rsidRPr="00B52455">
        <w:rPr>
          <w:rFonts w:ascii="David" w:hAnsi="David"/>
          <w:color w:val="000000"/>
          <w:rtl/>
        </w:rPr>
        <w:t xml:space="preserve"> </w:t>
      </w:r>
      <w:r w:rsidRPr="0018308E">
        <w:rPr>
          <w:rFonts w:ascii="David" w:hAnsi="David"/>
          <w:b/>
          <w:bCs/>
          <w:color w:val="000000"/>
          <w:rtl/>
        </w:rPr>
        <w:t>העבירות בענייננו, התכלית הכלכלית שבבסיסן, והתכנון הממושך שקדם להן תומכים בהנחה כי ענישה משמעותית תשפיע על התנהגות הנאשם ועל התנהגות הרבים.</w:t>
      </w:r>
    </w:p>
    <w:p w14:paraId="44AD7415" w14:textId="77777777" w:rsidR="00AB3580" w:rsidRDefault="00FC31CD" w:rsidP="00AB3580">
      <w:pPr>
        <w:pStyle w:val="listparagraph0"/>
        <w:bidi/>
        <w:spacing w:before="0" w:beforeAutospacing="0" w:after="0" w:afterAutospacing="0" w:line="330" w:lineRule="atLeast"/>
        <w:ind w:left="720"/>
        <w:jc w:val="both"/>
        <w:rPr>
          <w:rFonts w:ascii="Calibri" w:hAnsi="Calibri" w:cs="Calibri"/>
          <w:color w:val="000000"/>
          <w:sz w:val="22"/>
          <w:szCs w:val="22"/>
          <w:rtl/>
        </w:rPr>
      </w:pPr>
      <w:r>
        <w:rPr>
          <w:rFonts w:ascii="David" w:hAnsi="David" w:cs="David"/>
          <w:color w:val="000000"/>
        </w:rPr>
        <w:t xml:space="preserve"> </w:t>
      </w:r>
    </w:p>
    <w:p w14:paraId="4D4B1229" w14:textId="77777777" w:rsidR="00AB3580" w:rsidRDefault="00AB3580" w:rsidP="00AB3580">
      <w:pPr>
        <w:pStyle w:val="listparagraph0"/>
        <w:bidi/>
        <w:spacing w:before="0" w:beforeAutospacing="0" w:after="0" w:afterAutospacing="0" w:line="330" w:lineRule="atLeast"/>
        <w:ind w:left="720" w:hanging="360"/>
        <w:jc w:val="both"/>
        <w:rPr>
          <w:color w:val="000000"/>
          <w:sz w:val="27"/>
          <w:szCs w:val="27"/>
          <w:rtl/>
        </w:rPr>
      </w:pPr>
    </w:p>
    <w:p w14:paraId="54048224" w14:textId="77777777" w:rsidR="00AB3580" w:rsidRDefault="00AB3580" w:rsidP="00AB3580">
      <w:pPr>
        <w:pStyle w:val="ListParagraph"/>
        <w:numPr>
          <w:ilvl w:val="0"/>
          <w:numId w:val="5"/>
        </w:numPr>
        <w:spacing w:line="360" w:lineRule="auto"/>
        <w:ind w:left="509" w:hanging="425"/>
        <w:jc w:val="both"/>
        <w:rPr>
          <w:rFonts w:ascii="David" w:hAnsi="David"/>
          <w:color w:val="000000"/>
          <w:u w:val="single"/>
          <w:rtl/>
        </w:rPr>
      </w:pPr>
      <w:r>
        <w:rPr>
          <w:rFonts w:ascii="David" w:hAnsi="David"/>
          <w:color w:val="000000"/>
          <w:u w:val="single"/>
          <w:rtl/>
        </w:rPr>
        <w:t>שיקום ומסוכנות</w:t>
      </w:r>
    </w:p>
    <w:p w14:paraId="4C017159" w14:textId="77777777" w:rsidR="00AB3580" w:rsidRDefault="00AB3580" w:rsidP="00AB3580">
      <w:pPr>
        <w:pStyle w:val="listparagraph0"/>
        <w:bidi/>
        <w:spacing w:before="0" w:beforeAutospacing="0" w:after="0" w:afterAutospacing="0" w:line="360" w:lineRule="auto"/>
        <w:jc w:val="both"/>
        <w:rPr>
          <w:rFonts w:ascii="David" w:hAnsi="David" w:cs="David"/>
          <w:color w:val="000000"/>
          <w:u w:val="single"/>
          <w:rtl/>
        </w:rPr>
      </w:pPr>
    </w:p>
    <w:p w14:paraId="6E664E1A" w14:textId="77777777" w:rsidR="00AB3580" w:rsidRPr="0018308E" w:rsidRDefault="00AB3580" w:rsidP="00AB3580">
      <w:pPr>
        <w:pStyle w:val="ListParagraph"/>
        <w:numPr>
          <w:ilvl w:val="0"/>
          <w:numId w:val="1"/>
        </w:numPr>
        <w:spacing w:line="360" w:lineRule="auto"/>
        <w:jc w:val="both"/>
        <w:rPr>
          <w:rFonts w:ascii="David" w:hAnsi="David"/>
          <w:b/>
          <w:bCs/>
          <w:color w:val="000000"/>
          <w:rtl/>
        </w:rPr>
      </w:pPr>
      <w:r>
        <w:rPr>
          <w:rFonts w:ascii="David" w:hAnsi="David"/>
          <w:color w:val="000000"/>
          <w:rtl/>
        </w:rPr>
        <w:t xml:space="preserve">כידוע, שיקולי שיקום מן הצד האחד והגנה על הציבור מן הצד השני, עשויים להביא במקרים מתאימים לחריגה ממתחם העונש ההולם לקולה או לחומרה בהתאמה (סעיפים </w:t>
      </w:r>
      <w:hyperlink r:id="rId66" w:history="1">
        <w:r w:rsidR="00F45F91" w:rsidRPr="00F45F91">
          <w:rPr>
            <w:rStyle w:val="Hyperlink"/>
            <w:rFonts w:ascii="David" w:hAnsi="David"/>
            <w:rtl/>
          </w:rPr>
          <w:t>40ד- 40ה</w:t>
        </w:r>
      </w:hyperlink>
      <w:r>
        <w:rPr>
          <w:rFonts w:ascii="David" w:hAnsi="David"/>
          <w:color w:val="000000"/>
          <w:rtl/>
        </w:rPr>
        <w:t xml:space="preserve"> ל</w:t>
      </w:r>
      <w:hyperlink r:id="rId67" w:history="1">
        <w:r w:rsidR="00FC31CD" w:rsidRPr="00FC31CD">
          <w:rPr>
            <w:rFonts w:ascii="David" w:hAnsi="David"/>
            <w:color w:val="0000FF"/>
            <w:u w:val="single"/>
            <w:rtl/>
          </w:rPr>
          <w:t>חוק העונשין</w:t>
        </w:r>
      </w:hyperlink>
      <w:r>
        <w:rPr>
          <w:rFonts w:ascii="David" w:hAnsi="David"/>
          <w:color w:val="000000"/>
          <w:rtl/>
        </w:rPr>
        <w:t xml:space="preserve">). בצד זה, ניתן לשקול שיקולים אלה גם בעת קביעת העונש בתוככי מתחם הענישה שנקבע (ראו </w:t>
      </w:r>
      <w:hyperlink r:id="rId68" w:history="1">
        <w:r w:rsidR="00FC31CD" w:rsidRPr="00FC31CD">
          <w:rPr>
            <w:rFonts w:ascii="David" w:hAnsi="David"/>
            <w:color w:val="0000FF"/>
            <w:u w:val="single"/>
            <w:rtl/>
          </w:rPr>
          <w:t>ע"פ 1229/19</w:t>
        </w:r>
      </w:hyperlink>
      <w:r>
        <w:rPr>
          <w:rFonts w:ascii="David" w:hAnsi="David"/>
          <w:color w:val="000000"/>
          <w:rtl/>
        </w:rPr>
        <w:t xml:space="preserve"> </w:t>
      </w:r>
      <w:r>
        <w:rPr>
          <w:rFonts w:ascii="David" w:hAnsi="David"/>
          <w:b/>
          <w:bCs/>
          <w:color w:val="000000"/>
          <w:rtl/>
        </w:rPr>
        <w:t>סלומינסקי נ' מדינת ישראל</w:t>
      </w:r>
      <w:r>
        <w:rPr>
          <w:rFonts w:ascii="David" w:hAnsi="David"/>
          <w:color w:val="000000"/>
          <w:rtl/>
        </w:rPr>
        <w:t xml:space="preserve"> </w:t>
      </w:r>
      <w:r w:rsidR="003C6250" w:rsidRPr="003C6250">
        <w:rPr>
          <w:rFonts w:ascii="Times New Roman" w:hAnsi="Times New Roman"/>
          <w:sz w:val="22"/>
          <w:rtl/>
        </w:rPr>
        <w:t xml:space="preserve">[פורסם בנבו] </w:t>
      </w:r>
      <w:r>
        <w:rPr>
          <w:rFonts w:ascii="David" w:hAnsi="David"/>
          <w:color w:val="000000"/>
          <w:rtl/>
        </w:rPr>
        <w:t xml:space="preserve">(1.7.2019); </w:t>
      </w:r>
      <w:hyperlink r:id="rId69" w:history="1">
        <w:r w:rsidR="00FC31CD" w:rsidRPr="00FC31CD">
          <w:rPr>
            <w:rFonts w:ascii="David" w:hAnsi="David"/>
            <w:color w:val="0000FF"/>
            <w:u w:val="single"/>
            <w:rtl/>
          </w:rPr>
          <w:t>ע"פ 5626/14</w:t>
        </w:r>
      </w:hyperlink>
      <w:r>
        <w:rPr>
          <w:rFonts w:ascii="David" w:hAnsi="David"/>
          <w:color w:val="000000"/>
          <w:rtl/>
        </w:rPr>
        <w:t xml:space="preserve"> </w:t>
      </w:r>
      <w:r>
        <w:rPr>
          <w:rFonts w:ascii="David" w:hAnsi="David"/>
          <w:b/>
          <w:bCs/>
          <w:color w:val="000000"/>
          <w:rtl/>
        </w:rPr>
        <w:t>לנקין נ' מדינת ישראל</w:t>
      </w:r>
      <w:r>
        <w:rPr>
          <w:rFonts w:ascii="David" w:hAnsi="David"/>
          <w:color w:val="000000"/>
          <w:rtl/>
        </w:rPr>
        <w:t xml:space="preserve"> </w:t>
      </w:r>
      <w:r w:rsidR="003C6250" w:rsidRPr="003C6250">
        <w:rPr>
          <w:rFonts w:ascii="Times New Roman" w:hAnsi="Times New Roman"/>
          <w:sz w:val="22"/>
          <w:rtl/>
        </w:rPr>
        <w:t xml:space="preserve">[פורסם בנבו] </w:t>
      </w:r>
      <w:r>
        <w:rPr>
          <w:rFonts w:ascii="David" w:hAnsi="David"/>
          <w:color w:val="000000"/>
          <w:rtl/>
        </w:rPr>
        <w:t>(2.8.2015)). כאמור, בתסקיר האחרון שהוגש לבית המשפט, התרשם שירות המבחן כי  הנאשם נעדר מוטיבציה פנימית כנה להמשך התהליך הטיפולי ובשל כך, כמו גם בשל הספק ביחס למסוגלותו להתמיד בטיפול לאורך זמן, נמנע שירות המבחן מהמלצה טיפולית בעניינו. אמנם, שירות המבחן סבר כי ניתן להסתפק בעונש של עבודות שירות ביחס לנאשם, אך בד בבד קבע בתסקיר הראשון כי לא ניתן לשלול סיכון לביצוע עבירות דומות בעתיד. את חוסר המוטיבציה של הנאשם להתמיד בטיפול (לאחר שבשלבים שונים עשה כן) יש לקרוא גם בשים לב לאמור בתסקיר השני שלפיו הקשר הטיפולי במסגרת היחידה להתמכרויות יכול לסייע לו בהתמודדות עם קונפליקטים ומצבי לחץ</w:t>
      </w:r>
      <w:r>
        <w:rPr>
          <w:rFonts w:ascii="David" w:hAnsi="David" w:hint="cs"/>
          <w:color w:val="000000"/>
          <w:rtl/>
        </w:rPr>
        <w:t>,</w:t>
      </w:r>
      <w:r>
        <w:rPr>
          <w:rFonts w:ascii="David" w:hAnsi="David"/>
          <w:color w:val="000000"/>
          <w:rtl/>
        </w:rPr>
        <w:t xml:space="preserve"> וכי המשך הקשר הטיפולי תחת פיקוח שירות המבחן יוכל לשמש גורם הרתעה מספק שיש בו כדי להפחית את גורמי הסיכון לביצוע עבירות דומות בעתיד. </w:t>
      </w:r>
      <w:r w:rsidRPr="0018308E">
        <w:rPr>
          <w:rFonts w:ascii="David" w:hAnsi="David"/>
          <w:b/>
          <w:bCs/>
          <w:color w:val="000000"/>
          <w:rtl/>
        </w:rPr>
        <w:t xml:space="preserve">התמונה המשתקפת מתסקיר שירות המבחן היא, אפוא, של מי שבחלק מהזמן שיתף פעולה בהליך השיקומי ונטל בו חלק, אך גם מי שנעדר מוטיבציה להוסיף ולעשות כן, ומי ששירות המבחן אינו שולל את האפשרות כי ישוב ויבצע עבירות בעתיד. </w:t>
      </w:r>
    </w:p>
    <w:p w14:paraId="65CF356D" w14:textId="77777777" w:rsidR="00AB3580" w:rsidRDefault="00AB3580" w:rsidP="00AB3580">
      <w:pPr>
        <w:pStyle w:val="ListParagraph"/>
        <w:spacing w:line="360" w:lineRule="auto"/>
        <w:jc w:val="both"/>
        <w:rPr>
          <w:rFonts w:ascii="David" w:hAnsi="David"/>
          <w:color w:val="000000"/>
        </w:rPr>
      </w:pPr>
    </w:p>
    <w:p w14:paraId="59418BB6" w14:textId="77777777" w:rsidR="00AB3580" w:rsidRDefault="00AB3580" w:rsidP="00AB3580">
      <w:pPr>
        <w:pStyle w:val="ListParagraph"/>
        <w:numPr>
          <w:ilvl w:val="0"/>
          <w:numId w:val="1"/>
        </w:numPr>
        <w:spacing w:line="360" w:lineRule="auto"/>
        <w:jc w:val="both"/>
        <w:rPr>
          <w:rFonts w:ascii="David" w:hAnsi="David"/>
        </w:rPr>
      </w:pPr>
      <w:r>
        <w:rPr>
          <w:rFonts w:ascii="David" w:hAnsi="David"/>
          <w:color w:val="000000"/>
          <w:rtl/>
        </w:rPr>
        <w:t>כפי שנקבע לא אחת, שירות המבחן הוא כלי עזר רב חשיבות הנהנה מהערכה מקצועית, ניסיון ומיומנות, ובשל כך, יש לתת משקל ממשי לעמדתו. עם זאת, ההחלטה הסופית אם לאמץ את המלצת שירות המבחן אם לאו נתונה למותב היושב בדין</w:t>
      </w:r>
      <w:r>
        <w:rPr>
          <w:color w:val="000000"/>
          <w:rtl/>
        </w:rPr>
        <w:t xml:space="preserve">. בענייננו, לאחר שעיינתי  בתסקירי שירות המבחן, </w:t>
      </w:r>
      <w:r w:rsidRPr="0018308E">
        <w:rPr>
          <w:b/>
          <w:bCs/>
          <w:color w:val="000000"/>
          <w:rtl/>
        </w:rPr>
        <w:t>לא מצאתי כי קיימים טעמים להקל בעונשו של הנאשם משיקולים הנוגעים למאמצי שיקומו או לסיכויי שיקומו בעתיד</w:t>
      </w:r>
      <w:r>
        <w:rPr>
          <w:color w:val="000000"/>
          <w:rtl/>
        </w:rPr>
        <w:t xml:space="preserve">. בהקשר זה הבאתי בחשבון גם את העובדה שהנאשם ביטא חוסר מוטיבציה להמשיך בטיפול אף שבעת מעצרו בתיק זה החזיק בכיסו סם מסוכן מסוג קנביס. מנגד, מצאתי כי </w:t>
      </w:r>
      <w:r w:rsidRPr="0018308E">
        <w:rPr>
          <w:b/>
          <w:bCs/>
          <w:color w:val="000000"/>
          <w:rtl/>
        </w:rPr>
        <w:t>יש להביא בחשבון במידת מה את החשש שהביע שירות המבחן בתסקירו להישנות עבירות בעתיד</w:t>
      </w:r>
      <w:r>
        <w:rPr>
          <w:color w:val="000000"/>
          <w:rtl/>
        </w:rPr>
        <w:t>, חשש שלדידו עשוי היה לקבל מענה לו התמיד הנאשם בטיפול השיקומי. הגם שעמדתו הסופית של השירות הייתה כי די בעונש של עבודות שירות, מצאתי כי בשים לב ליתר שיקולי הענישה, אין מקום להסתפק בעונש שאינו כולל מאסר מאחורי סורג ובריח.</w:t>
      </w:r>
    </w:p>
    <w:p w14:paraId="42999B49" w14:textId="77777777" w:rsidR="00AB3580" w:rsidRDefault="00AB3580" w:rsidP="00AB3580">
      <w:pPr>
        <w:pStyle w:val="ListParagraph"/>
        <w:spacing w:line="360" w:lineRule="auto"/>
        <w:jc w:val="both"/>
        <w:rPr>
          <w:rFonts w:ascii="David" w:hAnsi="David"/>
        </w:rPr>
      </w:pPr>
    </w:p>
    <w:p w14:paraId="19E71504" w14:textId="77777777" w:rsidR="00AB3580" w:rsidRDefault="00AB3580" w:rsidP="00AB3580">
      <w:pPr>
        <w:pStyle w:val="ListParagraph"/>
        <w:numPr>
          <w:ilvl w:val="0"/>
          <w:numId w:val="3"/>
        </w:numPr>
        <w:spacing w:line="360" w:lineRule="auto"/>
        <w:ind w:left="509" w:hanging="425"/>
        <w:jc w:val="both"/>
        <w:rPr>
          <w:rFonts w:ascii="David" w:hAnsi="David"/>
          <w:u w:val="single"/>
        </w:rPr>
      </w:pPr>
      <w:r>
        <w:rPr>
          <w:rFonts w:ascii="David" w:hAnsi="David"/>
          <w:u w:val="single"/>
          <w:rtl/>
        </w:rPr>
        <w:t>העונש בתוך המתחם – שקלול השיקולים</w:t>
      </w:r>
    </w:p>
    <w:p w14:paraId="511DF798" w14:textId="77777777" w:rsidR="00AB3580" w:rsidRDefault="00AB3580" w:rsidP="00AB3580">
      <w:pPr>
        <w:spacing w:line="360" w:lineRule="auto"/>
        <w:ind w:left="84"/>
        <w:jc w:val="both"/>
        <w:rPr>
          <w:rFonts w:ascii="David" w:hAnsi="David"/>
          <w:u w:val="single"/>
        </w:rPr>
      </w:pPr>
    </w:p>
    <w:p w14:paraId="05B06474" w14:textId="77777777" w:rsidR="00AB3580" w:rsidRDefault="00AB3580" w:rsidP="00AB3580">
      <w:pPr>
        <w:pStyle w:val="ListParagraph"/>
        <w:numPr>
          <w:ilvl w:val="0"/>
          <w:numId w:val="1"/>
        </w:numPr>
        <w:spacing w:line="360" w:lineRule="auto"/>
        <w:jc w:val="both"/>
        <w:rPr>
          <w:rFonts w:ascii="David" w:hAnsi="David"/>
          <w:u w:val="single"/>
          <w:rtl/>
        </w:rPr>
      </w:pPr>
      <w:r>
        <w:rPr>
          <w:rFonts w:ascii="David" w:hAnsi="David"/>
          <w:color w:val="000000"/>
          <w:rtl/>
        </w:rPr>
        <w:t xml:space="preserve">בהתחשב בשיקולים שעליהם עמדתי, מצאתי כי יש למקם את עונשו של הנאשם </w:t>
      </w:r>
      <w:r w:rsidRPr="0018308E">
        <w:rPr>
          <w:rFonts w:ascii="David" w:hAnsi="David"/>
          <w:b/>
          <w:bCs/>
          <w:color w:val="000000"/>
          <w:rtl/>
        </w:rPr>
        <w:t>בחלקו התחתון של המתחם, אך לא בקצהו התחתון</w:t>
      </w:r>
      <w:r>
        <w:rPr>
          <w:rFonts w:ascii="David" w:hAnsi="David"/>
          <w:color w:val="000000"/>
          <w:rtl/>
        </w:rPr>
        <w:t xml:space="preserve">. </w:t>
      </w:r>
    </w:p>
    <w:p w14:paraId="5B0A6EA3" w14:textId="77777777" w:rsidR="00AB3580" w:rsidRDefault="00AB3580" w:rsidP="00AB3580">
      <w:pPr>
        <w:spacing w:line="360" w:lineRule="auto"/>
        <w:jc w:val="both"/>
        <w:rPr>
          <w:rFonts w:ascii="David" w:hAnsi="David"/>
          <w:u w:val="single"/>
        </w:rPr>
      </w:pPr>
    </w:p>
    <w:p w14:paraId="3A433B68" w14:textId="77777777" w:rsidR="00AB3580" w:rsidRDefault="00AB3580" w:rsidP="00AB3580">
      <w:pPr>
        <w:pStyle w:val="listparagraph0"/>
        <w:bidi/>
        <w:spacing w:before="0" w:beforeAutospacing="0" w:after="0" w:afterAutospacing="0" w:line="330" w:lineRule="atLeast"/>
        <w:jc w:val="both"/>
        <w:rPr>
          <w:rFonts w:ascii="David" w:hAnsi="David" w:cs="David"/>
          <w:b/>
          <w:bCs/>
          <w:color w:val="000000"/>
          <w:rtl/>
        </w:rPr>
      </w:pPr>
      <w:r>
        <w:rPr>
          <w:rFonts w:ascii="David" w:hAnsi="David" w:cs="David"/>
          <w:b/>
          <w:bCs/>
          <w:color w:val="000000"/>
          <w:rtl/>
        </w:rPr>
        <w:t>(</w:t>
      </w:r>
      <w:r>
        <w:rPr>
          <w:rFonts w:ascii="David" w:hAnsi="David" w:cs="David"/>
          <w:b/>
          <w:bCs/>
          <w:color w:val="000000"/>
        </w:rPr>
        <w:t>IV</w:t>
      </w:r>
      <w:r>
        <w:rPr>
          <w:rFonts w:ascii="David" w:hAnsi="David" w:cs="David"/>
          <w:b/>
          <w:bCs/>
          <w:color w:val="000000"/>
          <w:rtl/>
        </w:rPr>
        <w:t>)</w:t>
      </w:r>
      <w:r>
        <w:rPr>
          <w:rFonts w:ascii="David" w:hAnsi="David" w:cs="David"/>
          <w:b/>
          <w:bCs/>
          <w:color w:val="000000"/>
        </w:rPr>
        <w:t xml:space="preserve"> </w:t>
      </w:r>
      <w:r>
        <w:rPr>
          <w:rFonts w:ascii="David" w:hAnsi="David" w:cs="David"/>
          <w:b/>
          <w:bCs/>
          <w:color w:val="000000"/>
          <w:rtl/>
        </w:rPr>
        <w:t>ענישה כלכלית</w:t>
      </w:r>
    </w:p>
    <w:p w14:paraId="404AD69A" w14:textId="77777777" w:rsidR="00AB3580" w:rsidRDefault="00AB3580" w:rsidP="00AB3580">
      <w:pPr>
        <w:pStyle w:val="listparagraph0"/>
        <w:bidi/>
        <w:spacing w:before="0" w:beforeAutospacing="0" w:after="0" w:afterAutospacing="0" w:line="330" w:lineRule="atLeast"/>
        <w:jc w:val="both"/>
        <w:rPr>
          <w:rFonts w:ascii="David" w:hAnsi="David" w:cs="David"/>
          <w:b/>
          <w:bCs/>
          <w:color w:val="000000"/>
          <w:rtl/>
        </w:rPr>
      </w:pPr>
    </w:p>
    <w:p w14:paraId="1217B946" w14:textId="77777777" w:rsidR="00AB3580" w:rsidRDefault="00AB3580" w:rsidP="00AB3580">
      <w:pPr>
        <w:pStyle w:val="ListParagraph"/>
        <w:numPr>
          <w:ilvl w:val="0"/>
          <w:numId w:val="1"/>
        </w:numPr>
        <w:spacing w:line="330" w:lineRule="atLeast"/>
        <w:jc w:val="both"/>
        <w:rPr>
          <w:rFonts w:ascii="Arial TUR" w:hAnsi="Arial TUR" w:cs="Arial TUR"/>
          <w:color w:val="000000"/>
          <w:spacing w:val="10"/>
          <w:sz w:val="22"/>
          <w:szCs w:val="22"/>
          <w:rtl/>
        </w:rPr>
      </w:pPr>
      <w:r>
        <w:rPr>
          <w:rFonts w:ascii="David" w:hAnsi="David"/>
          <w:color w:val="000000"/>
          <w:rtl/>
        </w:rPr>
        <w:t>בתי המשפט עמדו לא אחת על כך שמן הראוי להטיל קנסות משמעותיים על מי שהורשע בעבירות בעלות אופי כלכלי. כפי שציין בית המשפט ב</w:t>
      </w:r>
      <w:hyperlink r:id="rId70" w:history="1">
        <w:r w:rsidR="00FC31CD" w:rsidRPr="00FC31CD">
          <w:rPr>
            <w:rFonts w:ascii="David" w:hAnsi="David"/>
            <w:color w:val="0000FF"/>
            <w:u w:val="single"/>
            <w:rtl/>
          </w:rPr>
          <w:t>ע"פ 7159/13</w:t>
        </w:r>
      </w:hyperlink>
      <w:r w:rsidR="00FC31CD">
        <w:rPr>
          <w:rFonts w:ascii="David" w:hAnsi="David"/>
          <w:color w:val="000000"/>
          <w:rtl/>
        </w:rPr>
        <w:t xml:space="preserve"> </w:t>
      </w:r>
      <w:r>
        <w:rPr>
          <w:rFonts w:ascii="David" w:hAnsi="David"/>
          <w:b/>
          <w:bCs/>
          <w:color w:val="000000"/>
          <w:rtl/>
        </w:rPr>
        <w:t>ברזילי נ' מדינת ישראל</w:t>
      </w:r>
      <w:r w:rsidR="00FC31CD">
        <w:rPr>
          <w:rFonts w:ascii="David" w:hAnsi="David"/>
          <w:color w:val="000000"/>
          <w:rtl/>
        </w:rPr>
        <w:t xml:space="preserve"> </w:t>
      </w:r>
      <w:r>
        <w:rPr>
          <w:rFonts w:ascii="David" w:hAnsi="David"/>
          <w:color w:val="000000"/>
          <w:rtl/>
        </w:rPr>
        <w:t xml:space="preserve"> </w:t>
      </w:r>
      <w:r w:rsidR="003C6250" w:rsidRPr="003C6250">
        <w:rPr>
          <w:rFonts w:ascii="Times New Roman" w:hAnsi="Times New Roman"/>
          <w:sz w:val="22"/>
          <w:rtl/>
        </w:rPr>
        <w:t xml:space="preserve">[פורסם בנבו] </w:t>
      </w:r>
      <w:r>
        <w:rPr>
          <w:rFonts w:ascii="David" w:hAnsi="David"/>
          <w:color w:val="000000"/>
          <w:rtl/>
        </w:rPr>
        <w:t xml:space="preserve">(16.3.2015), "מדיניות הענישה הנוהגת הנוגעת לקנס כספי [...] אמורה להגשים את התכלית של מניעת כל טובת הנאה ממעשה העבירה, ואף </w:t>
      </w:r>
      <w:r w:rsidRPr="003D0FD2">
        <w:rPr>
          <w:rFonts w:ascii="David" w:hAnsi="David"/>
          <w:b/>
          <w:bCs/>
          <w:color w:val="000000"/>
          <w:rtl/>
        </w:rPr>
        <w:t>יצירת מצב לפיו ביצוע העבירה לא יהא כדאי כיוון שהעבריין צפוי לכך שייפגע בכיסו אף מעבר לשוויה של טובת ההנאה שצמחה לו בעבירה</w:t>
      </w:r>
      <w:r>
        <w:rPr>
          <w:rFonts w:ascii="David" w:hAnsi="David"/>
          <w:color w:val="000000"/>
          <w:rtl/>
        </w:rPr>
        <w:t xml:space="preserve">" (פסקה 10).  מדיניות זו יפה גם כשהקנס מוטל לצד עונש מאסר (ראו </w:t>
      </w:r>
      <w:hyperlink r:id="rId71" w:history="1">
        <w:r w:rsidR="00FC31CD" w:rsidRPr="00FC31CD">
          <w:rPr>
            <w:rFonts w:ascii="David" w:hAnsi="David"/>
            <w:color w:val="0000FF"/>
            <w:u w:val="single"/>
            <w:rtl/>
          </w:rPr>
          <w:t>ע"פ 6474/03</w:t>
        </w:r>
      </w:hyperlink>
      <w:r>
        <w:rPr>
          <w:rFonts w:ascii="David" w:hAnsi="David"/>
          <w:color w:val="000000"/>
          <w:rtl/>
        </w:rPr>
        <w:t xml:space="preserve"> </w:t>
      </w:r>
      <w:r>
        <w:rPr>
          <w:rFonts w:ascii="David" w:hAnsi="David"/>
          <w:b/>
          <w:bCs/>
          <w:color w:val="000000"/>
          <w:rtl/>
        </w:rPr>
        <w:t>מלכה נ' מדינת ישראל</w:t>
      </w:r>
      <w:r>
        <w:rPr>
          <w:rFonts w:ascii="David" w:hAnsi="David"/>
          <w:color w:val="000000"/>
          <w:rtl/>
        </w:rPr>
        <w:t xml:space="preserve">, פ"ד נח(3) 721, 727 (2004); </w:t>
      </w:r>
      <w:hyperlink r:id="rId72" w:history="1">
        <w:r w:rsidR="00FC31CD" w:rsidRPr="00FC31CD">
          <w:rPr>
            <w:rFonts w:ascii="David" w:hAnsi="David"/>
            <w:color w:val="0000FF"/>
            <w:u w:val="single"/>
            <w:rtl/>
          </w:rPr>
          <w:t>ע"פ 8465/15</w:t>
        </w:r>
      </w:hyperlink>
      <w:r>
        <w:rPr>
          <w:rFonts w:ascii="David" w:hAnsi="David"/>
          <w:color w:val="000000"/>
          <w:rtl/>
        </w:rPr>
        <w:t xml:space="preserve"> </w:t>
      </w:r>
      <w:r>
        <w:rPr>
          <w:rFonts w:ascii="David" w:hAnsi="David"/>
          <w:b/>
          <w:bCs/>
          <w:color w:val="000000"/>
          <w:rtl/>
        </w:rPr>
        <w:t>בן זקן נ' מדינת ישראל</w:t>
      </w:r>
      <w:r>
        <w:rPr>
          <w:rFonts w:ascii="David" w:hAnsi="David"/>
          <w:color w:val="000000"/>
          <w:rtl/>
        </w:rPr>
        <w:t xml:space="preserve">, פסקה 17 </w:t>
      </w:r>
      <w:r w:rsidR="003C6250" w:rsidRPr="003C6250">
        <w:rPr>
          <w:rFonts w:ascii="Times New Roman" w:hAnsi="Times New Roman"/>
          <w:sz w:val="22"/>
          <w:rtl/>
        </w:rPr>
        <w:t xml:space="preserve">[פורסם בנבו] </w:t>
      </w:r>
      <w:r>
        <w:rPr>
          <w:rFonts w:ascii="David" w:hAnsi="David"/>
          <w:color w:val="000000"/>
          <w:rtl/>
        </w:rPr>
        <w:t>(12.9.2016)).</w:t>
      </w:r>
      <w:r>
        <w:rPr>
          <w:rFonts w:ascii="FrankRuehl" w:hAnsi="FrankRuehl" w:cs="FrankRuehl"/>
          <w:b/>
          <w:bCs/>
          <w:color w:val="000000"/>
          <w:sz w:val="28"/>
          <w:szCs w:val="28"/>
          <w:rtl/>
        </w:rPr>
        <w:t xml:space="preserve"> </w:t>
      </w:r>
    </w:p>
    <w:p w14:paraId="332B786A" w14:textId="77777777" w:rsidR="00AB3580" w:rsidRDefault="00AB3580" w:rsidP="00AB3580">
      <w:pPr>
        <w:pStyle w:val="ListParagraph"/>
        <w:spacing w:line="330" w:lineRule="atLeast"/>
        <w:jc w:val="both"/>
        <w:rPr>
          <w:rFonts w:ascii="Arial TUR" w:hAnsi="Arial TUR" w:cs="Arial TUR"/>
          <w:color w:val="000000"/>
          <w:spacing w:val="10"/>
          <w:sz w:val="22"/>
          <w:szCs w:val="22"/>
        </w:rPr>
      </w:pPr>
    </w:p>
    <w:p w14:paraId="25B74703" w14:textId="77777777" w:rsidR="00AB3580" w:rsidRDefault="00AB3580" w:rsidP="00AB3580">
      <w:pPr>
        <w:pStyle w:val="ListParagraph"/>
        <w:numPr>
          <w:ilvl w:val="0"/>
          <w:numId w:val="1"/>
        </w:numPr>
        <w:spacing w:line="330" w:lineRule="atLeast"/>
        <w:jc w:val="both"/>
        <w:rPr>
          <w:rFonts w:ascii="David" w:hAnsi="David"/>
          <w:color w:val="000000"/>
        </w:rPr>
      </w:pPr>
      <w:r>
        <w:rPr>
          <w:rFonts w:ascii="David" w:hAnsi="David"/>
          <w:color w:val="000000"/>
          <w:rtl/>
        </w:rPr>
        <w:t>בצד זה, עמדו בתי המשפט על כך ש"</w:t>
      </w:r>
      <w:r>
        <w:rPr>
          <w:rFonts w:ascii="David" w:hAnsi="David"/>
          <w:rtl/>
        </w:rPr>
        <w:t xml:space="preserve">במקום שבו יש נפגעים, </w:t>
      </w:r>
      <w:r w:rsidRPr="003D0FD2">
        <w:rPr>
          <w:rFonts w:ascii="David" w:hAnsi="David"/>
          <w:b/>
          <w:bCs/>
          <w:rtl/>
        </w:rPr>
        <w:t>יש מקום לתת בכורה לפיצוים</w:t>
      </w:r>
      <w:r>
        <w:rPr>
          <w:rFonts w:ascii="David" w:hAnsi="David"/>
          <w:rtl/>
        </w:rPr>
        <w:t>" (</w:t>
      </w:r>
      <w:hyperlink r:id="rId73" w:history="1">
        <w:r w:rsidR="00FC31CD" w:rsidRPr="00FC31CD">
          <w:rPr>
            <w:rFonts w:ascii="David" w:hAnsi="David"/>
            <w:color w:val="0000FF"/>
            <w:u w:val="single"/>
            <w:rtl/>
          </w:rPr>
          <w:t>ע"פ 4662/12</w:t>
        </w:r>
      </w:hyperlink>
      <w:r>
        <w:rPr>
          <w:rFonts w:ascii="David" w:hAnsi="David"/>
          <w:rtl/>
        </w:rPr>
        <w:t xml:space="preserve"> </w:t>
      </w:r>
      <w:r>
        <w:rPr>
          <w:rFonts w:ascii="David" w:hAnsi="David"/>
          <w:b/>
          <w:bCs/>
          <w:rtl/>
        </w:rPr>
        <w:t>גורבץ' נ' מדינת ישראל</w:t>
      </w:r>
      <w:r>
        <w:rPr>
          <w:rFonts w:ascii="David" w:hAnsi="David"/>
          <w:rtl/>
        </w:rPr>
        <w:t xml:space="preserve">, פסקה 11 </w:t>
      </w:r>
      <w:r w:rsidR="003C6250" w:rsidRPr="003C6250">
        <w:rPr>
          <w:rFonts w:ascii="Times New Roman" w:hAnsi="Times New Roman"/>
          <w:sz w:val="22"/>
          <w:rtl/>
        </w:rPr>
        <w:t xml:space="preserve">[פורסם בנבו] </w:t>
      </w:r>
      <w:r>
        <w:rPr>
          <w:rFonts w:ascii="David" w:hAnsi="David"/>
          <w:rtl/>
        </w:rPr>
        <w:t xml:space="preserve">(8.11.2012) (להלן: עניין </w:t>
      </w:r>
      <w:r>
        <w:rPr>
          <w:rFonts w:ascii="David" w:hAnsi="David"/>
          <w:b/>
          <w:bCs/>
          <w:rtl/>
        </w:rPr>
        <w:t>גורבץ'</w:t>
      </w:r>
      <w:r>
        <w:rPr>
          <w:rFonts w:ascii="David" w:hAnsi="David"/>
          <w:rtl/>
        </w:rPr>
        <w:t>). אמנם, בענייננו קיימת אי בהירות לגבי הנזק הכלכלי שנגרם לבעלי כרטיסי האשראי (שלא הוברר אם קיבלו החזר על הסכום שנמשך מכרטיסי</w:t>
      </w:r>
      <w:r>
        <w:rPr>
          <w:rFonts w:ascii="David" w:hAnsi="David" w:hint="cs"/>
          <w:rtl/>
        </w:rPr>
        <w:t>ה</w:t>
      </w:r>
      <w:r>
        <w:rPr>
          <w:rFonts w:ascii="David" w:hAnsi="David"/>
          <w:rtl/>
        </w:rPr>
        <w:t>ם) ולחברות האשראי עצמן, ואו</w:t>
      </w:r>
      <w:r>
        <w:rPr>
          <w:rFonts w:ascii="David" w:hAnsi="David"/>
          <w:color w:val="000000"/>
          <w:rtl/>
        </w:rPr>
        <w:t xml:space="preserve">לם כידוע, בשונה מההליך האזרחי, הפיצוי בהליך הפלילי </w:t>
      </w:r>
      <w:r w:rsidRPr="003D0FD2">
        <w:rPr>
          <w:rFonts w:ascii="David" w:hAnsi="David"/>
          <w:b/>
          <w:bCs/>
          <w:color w:val="000000"/>
          <w:rtl/>
        </w:rPr>
        <w:t>אינו משקף במדויק את נזקו של הנפגע</w:t>
      </w:r>
      <w:r>
        <w:rPr>
          <w:rFonts w:ascii="David" w:hAnsi="David"/>
          <w:color w:val="000000"/>
          <w:rtl/>
        </w:rPr>
        <w:t xml:space="preserve">, ובין היתר הוא כולל גם מרכיב חשוב של </w:t>
      </w:r>
      <w:r w:rsidRPr="003D0FD2">
        <w:rPr>
          <w:rFonts w:ascii="David" w:hAnsi="David"/>
          <w:b/>
          <w:bCs/>
          <w:color w:val="000000"/>
          <w:rtl/>
        </w:rPr>
        <w:t>פיצוי על נזק לא ממוני</w:t>
      </w:r>
      <w:r>
        <w:rPr>
          <w:rFonts w:ascii="David" w:hAnsi="David"/>
          <w:color w:val="000000"/>
          <w:rtl/>
        </w:rPr>
        <w:t xml:space="preserve"> (עניין </w:t>
      </w:r>
      <w:r>
        <w:rPr>
          <w:rFonts w:ascii="David" w:hAnsi="David"/>
          <w:b/>
          <w:bCs/>
          <w:color w:val="000000"/>
          <w:rtl/>
        </w:rPr>
        <w:t>גורבץ'</w:t>
      </w:r>
      <w:r>
        <w:rPr>
          <w:rFonts w:ascii="David" w:hAnsi="David"/>
          <w:color w:val="000000"/>
          <w:rtl/>
        </w:rPr>
        <w:t xml:space="preserve">, בפסקה 14)). לאי בהירות זו מצאתי לתת מענה באמצעות פסיקת פיצוי אחיד של 500 ₪ לכל אחד מהנפגעים שהנאשם עשה שימוש בכרטיס האשראי שלהם, כמפורט בטבלה שבסעיף 2 (בסה"כ 21 נפגעים, 10,500 ₪) ובפיצוי נוסף של </w:t>
      </w:r>
      <w:r>
        <w:rPr>
          <w:rFonts w:ascii="David" w:hAnsi="David" w:hint="cs"/>
          <w:color w:val="000000"/>
          <w:rtl/>
        </w:rPr>
        <w:t>6</w:t>
      </w:r>
      <w:r>
        <w:rPr>
          <w:rFonts w:ascii="David" w:hAnsi="David"/>
          <w:color w:val="000000"/>
          <w:rtl/>
        </w:rPr>
        <w:t>,000 ₪ לכל אחת מחברות האשראי כ.א.ל, ישראכרט ומקס (בסה"כ 1</w:t>
      </w:r>
      <w:r>
        <w:rPr>
          <w:rFonts w:ascii="David" w:hAnsi="David" w:hint="cs"/>
          <w:color w:val="000000"/>
          <w:rtl/>
        </w:rPr>
        <w:t>8</w:t>
      </w:r>
      <w:r>
        <w:rPr>
          <w:rFonts w:ascii="David" w:hAnsi="David"/>
          <w:color w:val="000000"/>
          <w:rtl/>
        </w:rPr>
        <w:t xml:space="preserve">,000 ₪) (על פסיקת פיצוי אחיד לנפגעי העבירה, ראו עניין </w:t>
      </w:r>
      <w:r>
        <w:rPr>
          <w:rFonts w:ascii="David" w:hAnsi="David"/>
          <w:b/>
          <w:bCs/>
          <w:color w:val="000000"/>
          <w:rtl/>
        </w:rPr>
        <w:t>גורבץ'</w:t>
      </w:r>
      <w:r>
        <w:rPr>
          <w:rFonts w:ascii="David" w:hAnsi="David"/>
          <w:color w:val="000000"/>
          <w:rtl/>
        </w:rPr>
        <w:t xml:space="preserve">, בפסקה 14). כן ראיתי להטיל על הנאשם קנס נוסף של </w:t>
      </w:r>
      <w:r>
        <w:rPr>
          <w:rFonts w:ascii="David" w:hAnsi="David" w:hint="cs"/>
          <w:color w:val="000000"/>
          <w:rtl/>
        </w:rPr>
        <w:t>6</w:t>
      </w:r>
      <w:r>
        <w:rPr>
          <w:rFonts w:ascii="David" w:hAnsi="David"/>
          <w:color w:val="000000"/>
          <w:rtl/>
        </w:rPr>
        <w:t>,</w:t>
      </w:r>
      <w:r>
        <w:rPr>
          <w:rFonts w:ascii="David" w:hAnsi="David" w:hint="cs"/>
          <w:color w:val="000000"/>
          <w:rtl/>
        </w:rPr>
        <w:t>5</w:t>
      </w:r>
      <w:r>
        <w:rPr>
          <w:rFonts w:ascii="David" w:hAnsi="David"/>
          <w:color w:val="000000"/>
          <w:rtl/>
        </w:rPr>
        <w:t xml:space="preserve">00 ₪. </w:t>
      </w:r>
      <w:r w:rsidRPr="003D0FD2">
        <w:rPr>
          <w:rFonts w:ascii="David" w:hAnsi="David" w:hint="cs"/>
          <w:b/>
          <w:bCs/>
          <w:color w:val="000000"/>
          <w:rtl/>
        </w:rPr>
        <w:t>סך התשלומים יעמדו, אפוא, על 35,000 ₪.</w:t>
      </w:r>
    </w:p>
    <w:p w14:paraId="032C0307" w14:textId="77777777" w:rsidR="00AB3580" w:rsidRPr="003D0FD2" w:rsidRDefault="00AB3580" w:rsidP="00AB3580">
      <w:pPr>
        <w:pStyle w:val="ListParagraph"/>
        <w:rPr>
          <w:rFonts w:ascii="David" w:hAnsi="David"/>
          <w:color w:val="000000"/>
          <w:rtl/>
        </w:rPr>
      </w:pPr>
    </w:p>
    <w:p w14:paraId="4A7CDB37" w14:textId="77777777" w:rsidR="00AB3580" w:rsidRDefault="00AB3580" w:rsidP="00AB3580">
      <w:pPr>
        <w:pStyle w:val="ListParagraph"/>
        <w:numPr>
          <w:ilvl w:val="0"/>
          <w:numId w:val="1"/>
        </w:numPr>
        <w:spacing w:line="330" w:lineRule="atLeast"/>
        <w:jc w:val="both"/>
        <w:rPr>
          <w:rFonts w:ascii="David" w:hAnsi="David"/>
          <w:color w:val="000000"/>
        </w:rPr>
      </w:pPr>
      <w:r>
        <w:rPr>
          <w:rFonts w:ascii="David" w:hAnsi="David"/>
          <w:color w:val="000000"/>
          <w:rtl/>
        </w:rPr>
        <w:t xml:space="preserve">במסגרת הדיון, נטען, אמנם, על-ידי הנאשם כי </w:t>
      </w:r>
      <w:r w:rsidRPr="003D0FD2">
        <w:rPr>
          <w:rFonts w:ascii="David" w:hAnsi="David"/>
          <w:b/>
          <w:bCs/>
          <w:color w:val="000000"/>
          <w:rtl/>
        </w:rPr>
        <w:t>מצבו הכלכלי אינו טוב</w:t>
      </w:r>
      <w:r>
        <w:rPr>
          <w:rFonts w:ascii="David" w:hAnsi="David"/>
          <w:color w:val="000000"/>
          <w:rtl/>
        </w:rPr>
        <w:t xml:space="preserve">, ואולם </w:t>
      </w:r>
      <w:r w:rsidRPr="003D0FD2">
        <w:rPr>
          <w:rFonts w:ascii="David" w:hAnsi="David"/>
          <w:b/>
          <w:bCs/>
          <w:color w:val="000000"/>
          <w:rtl/>
        </w:rPr>
        <w:t>טענות אלה נטענו בעלמא ולא נתמכו בדבר</w:t>
      </w:r>
      <w:r>
        <w:rPr>
          <w:rFonts w:ascii="David" w:hAnsi="David"/>
          <w:color w:val="000000"/>
          <w:rtl/>
        </w:rPr>
        <w:t xml:space="preserve">. ממילא, </w:t>
      </w:r>
      <w:r w:rsidRPr="003D0FD2">
        <w:rPr>
          <w:rFonts w:ascii="David" w:hAnsi="David"/>
          <w:b/>
          <w:bCs/>
          <w:color w:val="000000"/>
          <w:rtl/>
        </w:rPr>
        <w:t>בכל הנוגע לרכיב הפיצוי</w:t>
      </w:r>
      <w:r>
        <w:rPr>
          <w:rFonts w:ascii="David" w:hAnsi="David"/>
          <w:color w:val="000000"/>
          <w:rtl/>
        </w:rPr>
        <w:t xml:space="preserve">, נקבע בפסיקה כי </w:t>
      </w:r>
      <w:r w:rsidRPr="003D0FD2">
        <w:rPr>
          <w:rFonts w:ascii="David" w:hAnsi="David"/>
          <w:b/>
          <w:bCs/>
          <w:color w:val="000000"/>
          <w:rtl/>
        </w:rPr>
        <w:t>אין מקום להתחשב במצבו הכלכלי</w:t>
      </w:r>
      <w:r>
        <w:rPr>
          <w:rFonts w:ascii="David" w:hAnsi="David"/>
          <w:color w:val="000000"/>
          <w:rtl/>
        </w:rPr>
        <w:t xml:space="preserve"> של הנאשם (ראו למשל </w:t>
      </w:r>
      <w:hyperlink r:id="rId74" w:history="1">
        <w:r w:rsidR="00FC31CD" w:rsidRPr="00FC31CD">
          <w:rPr>
            <w:rFonts w:ascii="David" w:hAnsi="David"/>
            <w:color w:val="0000FF"/>
            <w:u w:val="single"/>
            <w:rtl/>
          </w:rPr>
          <w:t>ע"פ 5761/05</w:t>
        </w:r>
      </w:hyperlink>
      <w:r>
        <w:rPr>
          <w:rFonts w:ascii="David" w:hAnsi="David"/>
          <w:color w:val="000000"/>
          <w:rtl/>
        </w:rPr>
        <w:t xml:space="preserve">, </w:t>
      </w:r>
      <w:r>
        <w:rPr>
          <w:rFonts w:ascii="David" w:hAnsi="David"/>
          <w:b/>
          <w:bCs/>
          <w:color w:val="000000"/>
          <w:rtl/>
        </w:rPr>
        <w:t>מג'דלאוי נ' מדינת ישראל</w:t>
      </w:r>
      <w:r>
        <w:rPr>
          <w:rFonts w:ascii="David" w:hAnsi="David"/>
          <w:color w:val="000000"/>
          <w:rtl/>
        </w:rPr>
        <w:t xml:space="preserve">, פסקה ט' </w:t>
      </w:r>
      <w:r w:rsidR="003C6250" w:rsidRPr="003C6250">
        <w:rPr>
          <w:rFonts w:ascii="Times New Roman" w:hAnsi="Times New Roman"/>
          <w:sz w:val="22"/>
          <w:rtl/>
        </w:rPr>
        <w:t xml:space="preserve">[פורסם בנבו] </w:t>
      </w:r>
      <w:r>
        <w:rPr>
          <w:rFonts w:ascii="David" w:hAnsi="David"/>
          <w:color w:val="000000"/>
          <w:rtl/>
        </w:rPr>
        <w:t>(24.7.2006)).</w:t>
      </w:r>
    </w:p>
    <w:p w14:paraId="32F2A540" w14:textId="77777777" w:rsidR="00AB3580" w:rsidRDefault="00AB3580" w:rsidP="00AB3580">
      <w:pPr>
        <w:pStyle w:val="ListParagraph"/>
        <w:rPr>
          <w:rFonts w:ascii="David" w:hAnsi="David"/>
          <w:color w:val="000000"/>
        </w:rPr>
      </w:pPr>
    </w:p>
    <w:p w14:paraId="21BA51AF" w14:textId="77777777" w:rsidR="00AB3580" w:rsidRDefault="00AB3580" w:rsidP="00AB3580">
      <w:pPr>
        <w:pStyle w:val="listparagraph0"/>
        <w:bidi/>
        <w:spacing w:before="0" w:beforeAutospacing="0" w:after="0" w:afterAutospacing="0" w:line="330" w:lineRule="atLeast"/>
        <w:jc w:val="both"/>
        <w:rPr>
          <w:rFonts w:ascii="Calibri" w:hAnsi="Calibri" w:cs="Calibri"/>
          <w:color w:val="000000"/>
          <w:sz w:val="22"/>
          <w:szCs w:val="22"/>
          <w:rtl/>
        </w:rPr>
      </w:pPr>
    </w:p>
    <w:p w14:paraId="03DC5A5B" w14:textId="77777777" w:rsidR="00AB3580" w:rsidRDefault="00AB3580" w:rsidP="00AB3580">
      <w:pPr>
        <w:pStyle w:val="listparagraph0"/>
        <w:bidi/>
        <w:spacing w:before="0" w:beforeAutospacing="0" w:after="0" w:afterAutospacing="0" w:line="330" w:lineRule="atLeast"/>
        <w:jc w:val="both"/>
        <w:rPr>
          <w:rFonts w:ascii="David" w:hAnsi="David" w:cs="David"/>
          <w:b/>
          <w:bCs/>
          <w:color w:val="000000"/>
        </w:rPr>
      </w:pPr>
      <w:r>
        <w:rPr>
          <w:rFonts w:ascii="David" w:hAnsi="David" w:cs="David"/>
          <w:b/>
          <w:bCs/>
          <w:color w:val="000000"/>
          <w:rtl/>
        </w:rPr>
        <w:t>(</w:t>
      </w:r>
      <w:r>
        <w:rPr>
          <w:rFonts w:ascii="David" w:hAnsi="David" w:cs="David"/>
          <w:b/>
          <w:bCs/>
          <w:color w:val="000000"/>
        </w:rPr>
        <w:t>V</w:t>
      </w:r>
      <w:r>
        <w:rPr>
          <w:rFonts w:ascii="David" w:hAnsi="David" w:cs="David"/>
          <w:b/>
          <w:bCs/>
          <w:color w:val="000000"/>
          <w:rtl/>
        </w:rPr>
        <w:t>)</w:t>
      </w:r>
      <w:r>
        <w:rPr>
          <w:rFonts w:ascii="David" w:hAnsi="David" w:cs="David"/>
          <w:b/>
          <w:bCs/>
          <w:color w:val="000000"/>
        </w:rPr>
        <w:t xml:space="preserve"> </w:t>
      </w:r>
      <w:r>
        <w:rPr>
          <w:rFonts w:ascii="David" w:hAnsi="David" w:cs="David"/>
          <w:b/>
          <w:bCs/>
          <w:color w:val="000000"/>
          <w:rtl/>
        </w:rPr>
        <w:t>סוף דבר</w:t>
      </w:r>
    </w:p>
    <w:p w14:paraId="3782F5E1" w14:textId="77777777" w:rsidR="00AB3580" w:rsidRDefault="00AB3580" w:rsidP="00AB3580">
      <w:pPr>
        <w:pStyle w:val="listparagraph0"/>
        <w:bidi/>
        <w:spacing w:before="0" w:beforeAutospacing="0" w:after="0" w:afterAutospacing="0" w:line="330" w:lineRule="atLeast"/>
        <w:jc w:val="both"/>
        <w:rPr>
          <w:rFonts w:ascii="David" w:hAnsi="David" w:cs="David"/>
          <w:b/>
          <w:bCs/>
          <w:color w:val="000000"/>
          <w:rtl/>
        </w:rPr>
      </w:pPr>
    </w:p>
    <w:p w14:paraId="361F81A5" w14:textId="77777777" w:rsidR="00AB3580" w:rsidRDefault="00AB3580" w:rsidP="00AB3580">
      <w:pPr>
        <w:pStyle w:val="listparagraph0"/>
        <w:numPr>
          <w:ilvl w:val="0"/>
          <w:numId w:val="1"/>
        </w:numPr>
        <w:bidi/>
        <w:spacing w:before="0" w:beforeAutospacing="0" w:after="0" w:afterAutospacing="0" w:line="330" w:lineRule="atLeast"/>
        <w:jc w:val="both"/>
        <w:rPr>
          <w:rFonts w:ascii="David" w:hAnsi="David" w:cs="David"/>
          <w:color w:val="000000"/>
          <w:rtl/>
        </w:rPr>
      </w:pPr>
      <w:r>
        <w:rPr>
          <w:rFonts w:ascii="David" w:hAnsi="David" w:cs="David"/>
          <w:color w:val="000000"/>
          <w:rtl/>
        </w:rPr>
        <w:t>אני מטיל על הנאשם את העונשים הבאים:</w:t>
      </w:r>
    </w:p>
    <w:p w14:paraId="71BD66AA" w14:textId="77777777" w:rsidR="00AB3580" w:rsidRDefault="00AB3580" w:rsidP="00AB3580">
      <w:pPr>
        <w:pStyle w:val="listparagraph0"/>
        <w:bidi/>
        <w:spacing w:before="0" w:beforeAutospacing="0" w:after="0" w:afterAutospacing="0" w:line="330" w:lineRule="atLeast"/>
        <w:jc w:val="both"/>
        <w:rPr>
          <w:rFonts w:ascii="David" w:hAnsi="David" w:cs="David"/>
          <w:b/>
          <w:bCs/>
          <w:color w:val="000000"/>
          <w:rtl/>
        </w:rPr>
      </w:pPr>
    </w:p>
    <w:p w14:paraId="0A186BCA" w14:textId="77777777" w:rsidR="00AB3580" w:rsidRDefault="00AB3580" w:rsidP="00AB3580">
      <w:pPr>
        <w:pStyle w:val="listparagraph0"/>
        <w:bidi/>
        <w:spacing w:before="0" w:beforeAutospacing="0" w:after="0" w:afterAutospacing="0" w:line="330" w:lineRule="atLeast"/>
        <w:ind w:left="1080" w:hanging="360"/>
        <w:jc w:val="both"/>
        <w:rPr>
          <w:rFonts w:ascii="David" w:hAnsi="David" w:cs="David"/>
          <w:color w:val="000000"/>
          <w:rtl/>
        </w:rPr>
      </w:pPr>
      <w:r>
        <w:rPr>
          <w:rFonts w:ascii="David" w:hAnsi="David" w:cs="David"/>
          <w:color w:val="000000"/>
          <w:rtl/>
        </w:rPr>
        <w:t>א.</w:t>
      </w:r>
      <w:r w:rsidR="00FC31CD">
        <w:rPr>
          <w:rFonts w:hint="cs"/>
          <w:color w:val="000000"/>
          <w:sz w:val="14"/>
          <w:szCs w:val="14"/>
          <w:rtl/>
        </w:rPr>
        <w:t xml:space="preserve">     </w:t>
      </w:r>
      <w:r>
        <w:rPr>
          <w:rFonts w:ascii="David" w:hAnsi="David" w:cs="David" w:hint="cs"/>
          <w:color w:val="000000"/>
          <w:rtl/>
        </w:rPr>
        <w:t>13</w:t>
      </w:r>
      <w:r>
        <w:rPr>
          <w:rFonts w:ascii="David" w:hAnsi="David" w:cs="David"/>
          <w:color w:val="000000"/>
          <w:rtl/>
        </w:rPr>
        <w:t xml:space="preserve"> חודשי מאסר בפועל</w:t>
      </w:r>
      <w:r>
        <w:rPr>
          <w:rFonts w:ascii="David" w:hAnsi="David" w:cs="David" w:hint="cs"/>
          <w:color w:val="000000"/>
          <w:rtl/>
        </w:rPr>
        <w:t xml:space="preserve"> בניכוי ימי מעצרו. </w:t>
      </w:r>
    </w:p>
    <w:p w14:paraId="65EBEABD" w14:textId="77777777" w:rsidR="00AB3580" w:rsidRDefault="00AB3580" w:rsidP="00AB3580">
      <w:pPr>
        <w:pStyle w:val="listparagraph0"/>
        <w:bidi/>
        <w:spacing w:before="0" w:beforeAutospacing="0" w:after="0" w:afterAutospacing="0" w:line="330" w:lineRule="atLeast"/>
        <w:ind w:left="1080" w:hanging="360"/>
        <w:jc w:val="both"/>
        <w:rPr>
          <w:rFonts w:ascii="Calibri" w:hAnsi="Calibri" w:cs="Calibri"/>
          <w:color w:val="000000"/>
          <w:sz w:val="22"/>
          <w:szCs w:val="22"/>
          <w:rtl/>
        </w:rPr>
      </w:pPr>
      <w:r>
        <w:rPr>
          <w:rFonts w:ascii="David" w:hAnsi="David" w:cs="David"/>
          <w:color w:val="000000"/>
          <w:rtl/>
        </w:rPr>
        <w:t>ב.</w:t>
      </w:r>
      <w:r w:rsidR="00FC31CD">
        <w:rPr>
          <w:rFonts w:hint="cs"/>
          <w:color w:val="000000"/>
          <w:sz w:val="14"/>
          <w:szCs w:val="14"/>
          <w:rtl/>
        </w:rPr>
        <w:t xml:space="preserve">      </w:t>
      </w:r>
      <w:r>
        <w:rPr>
          <w:rFonts w:ascii="David" w:hAnsi="David" w:cs="David"/>
          <w:color w:val="000000"/>
          <w:rtl/>
        </w:rPr>
        <w:t>12 חודשי מאסר על תנאי למשך 3 שנים, לבל יעבור הנאשם עבירה מן העבירות שבהן הורשע.</w:t>
      </w:r>
    </w:p>
    <w:p w14:paraId="26994401" w14:textId="77777777" w:rsidR="00AB3580" w:rsidRDefault="00AB3580" w:rsidP="00AB3580">
      <w:pPr>
        <w:pStyle w:val="listparagraph0"/>
        <w:bidi/>
        <w:spacing w:before="0" w:beforeAutospacing="0" w:after="0" w:afterAutospacing="0" w:line="330" w:lineRule="atLeast"/>
        <w:ind w:left="1080" w:hanging="360"/>
        <w:jc w:val="both"/>
        <w:rPr>
          <w:rFonts w:ascii="David" w:hAnsi="David" w:cs="David"/>
          <w:color w:val="000000"/>
          <w:rtl/>
        </w:rPr>
      </w:pPr>
      <w:r>
        <w:rPr>
          <w:rFonts w:ascii="David" w:hAnsi="David" w:cs="David"/>
          <w:color w:val="000000"/>
          <w:rtl/>
        </w:rPr>
        <w:t>ג.</w:t>
      </w:r>
      <w:r w:rsidR="00FC31CD">
        <w:rPr>
          <w:rFonts w:hint="cs"/>
          <w:color w:val="000000"/>
          <w:sz w:val="14"/>
          <w:szCs w:val="14"/>
          <w:rtl/>
        </w:rPr>
        <w:t xml:space="preserve">      </w:t>
      </w:r>
      <w:r>
        <w:rPr>
          <w:rFonts w:ascii="David" w:hAnsi="David" w:cs="David"/>
          <w:color w:val="000000"/>
          <w:rtl/>
        </w:rPr>
        <w:t xml:space="preserve">פיצוי של 500 ₪ לכל אחד מ-21 בעלי כרטיסי האשראי המפורטים בסעיף 2 לגזר הדין, ובסה"כ 10,500 ₪. הפיצוי ישולם בתוך 60 ימים מהיום. </w:t>
      </w:r>
      <w:r>
        <w:rPr>
          <w:rFonts w:ascii="David" w:hAnsi="David" w:cs="David" w:hint="cs"/>
          <w:color w:val="000000"/>
          <w:rtl/>
        </w:rPr>
        <w:t xml:space="preserve">סכום הפיצוי יופקד בקופת בית המשפט. המאשימה תעביר למזכירות את פרטי נפגעי העבירה כמפורט בסעיף 2 לגזר הדין. </w:t>
      </w:r>
    </w:p>
    <w:p w14:paraId="60D2B10E" w14:textId="77777777" w:rsidR="00AB3580" w:rsidRDefault="00AB3580" w:rsidP="00AB3580">
      <w:pPr>
        <w:pStyle w:val="listparagraph0"/>
        <w:bidi/>
        <w:spacing w:before="0" w:beforeAutospacing="0" w:after="0" w:afterAutospacing="0" w:line="330" w:lineRule="atLeast"/>
        <w:ind w:left="1080" w:hanging="360"/>
        <w:jc w:val="both"/>
        <w:rPr>
          <w:rFonts w:ascii="David" w:hAnsi="David" w:cs="David"/>
          <w:color w:val="000000"/>
          <w:rtl/>
        </w:rPr>
      </w:pPr>
      <w:r>
        <w:rPr>
          <w:rFonts w:ascii="David" w:hAnsi="David" w:cs="David"/>
          <w:color w:val="000000"/>
          <w:rtl/>
        </w:rPr>
        <w:t xml:space="preserve">ד. </w:t>
      </w:r>
      <w:r>
        <w:rPr>
          <w:rFonts w:ascii="David" w:hAnsi="David" w:cs="David"/>
          <w:color w:val="000000"/>
          <w:rtl/>
        </w:rPr>
        <w:tab/>
        <w:t xml:space="preserve">פיצוי של </w:t>
      </w:r>
      <w:r>
        <w:rPr>
          <w:rFonts w:ascii="David" w:hAnsi="David" w:cs="David" w:hint="cs"/>
          <w:color w:val="000000"/>
          <w:rtl/>
        </w:rPr>
        <w:t>6</w:t>
      </w:r>
      <w:r>
        <w:rPr>
          <w:rFonts w:ascii="David" w:hAnsi="David" w:cs="David"/>
          <w:color w:val="000000"/>
          <w:rtl/>
        </w:rPr>
        <w:t>,000 ₪ לכל אחת משלוש חברות האשראי: כ.א.ל, ישראכרט ומקס, ובסה"כ 1</w:t>
      </w:r>
      <w:r>
        <w:rPr>
          <w:rFonts w:ascii="David" w:hAnsi="David" w:cs="David" w:hint="cs"/>
          <w:color w:val="000000"/>
          <w:rtl/>
        </w:rPr>
        <w:t>8</w:t>
      </w:r>
      <w:r>
        <w:rPr>
          <w:rFonts w:ascii="David" w:hAnsi="David" w:cs="David"/>
          <w:color w:val="000000"/>
          <w:rtl/>
        </w:rPr>
        <w:t>,000 ₪. הפיצוי ישולם בתוך 90 ימים מהיום.</w:t>
      </w:r>
    </w:p>
    <w:p w14:paraId="0DDF45FF" w14:textId="77777777" w:rsidR="00AB3580" w:rsidRDefault="00AB3580" w:rsidP="00AB3580">
      <w:pPr>
        <w:pStyle w:val="listparagraph0"/>
        <w:bidi/>
        <w:spacing w:before="0" w:beforeAutospacing="0" w:after="0" w:afterAutospacing="0" w:line="330" w:lineRule="atLeast"/>
        <w:ind w:left="1080" w:hanging="360"/>
        <w:jc w:val="both"/>
        <w:rPr>
          <w:rFonts w:ascii="David" w:hAnsi="David" w:cs="David"/>
          <w:color w:val="000000"/>
          <w:rtl/>
        </w:rPr>
      </w:pPr>
      <w:r>
        <w:rPr>
          <w:rFonts w:ascii="David" w:hAnsi="David" w:cs="David"/>
          <w:color w:val="000000"/>
          <w:rtl/>
        </w:rPr>
        <w:t xml:space="preserve">ה. </w:t>
      </w:r>
      <w:r>
        <w:rPr>
          <w:rFonts w:ascii="David" w:hAnsi="David" w:cs="David"/>
          <w:color w:val="000000"/>
          <w:rtl/>
        </w:rPr>
        <w:tab/>
        <w:t xml:space="preserve">קנס של </w:t>
      </w:r>
      <w:r>
        <w:rPr>
          <w:rFonts w:ascii="David" w:hAnsi="David" w:cs="David" w:hint="cs"/>
          <w:color w:val="000000"/>
          <w:rtl/>
        </w:rPr>
        <w:t>6,500</w:t>
      </w:r>
      <w:r>
        <w:rPr>
          <w:rFonts w:ascii="David" w:hAnsi="David" w:cs="David"/>
          <w:color w:val="000000"/>
          <w:rtl/>
        </w:rPr>
        <w:t xml:space="preserve"> ₪ או 30 ימי מאסר תמורתו. הקנס ישולם בתוך 120 ימים מהיום, לאחר שהנאשם ישלים את תשלום הפיצוי.</w:t>
      </w:r>
    </w:p>
    <w:p w14:paraId="498D0E4B" w14:textId="77777777" w:rsidR="00AB3580" w:rsidRDefault="00FC31CD" w:rsidP="00AB3580">
      <w:pPr>
        <w:pStyle w:val="listparagraph0"/>
        <w:bidi/>
        <w:spacing w:before="0" w:beforeAutospacing="0" w:after="0" w:afterAutospacing="0" w:line="330" w:lineRule="atLeast"/>
        <w:ind w:left="1080"/>
        <w:jc w:val="both"/>
        <w:rPr>
          <w:rFonts w:ascii="Calibri" w:hAnsi="Calibri" w:cs="Calibri"/>
          <w:color w:val="000000"/>
          <w:sz w:val="22"/>
          <w:szCs w:val="22"/>
          <w:rtl/>
        </w:rPr>
      </w:pPr>
      <w:r>
        <w:rPr>
          <w:rFonts w:ascii="David" w:hAnsi="David" w:cs="David"/>
          <w:color w:val="000000"/>
        </w:rPr>
        <w:t xml:space="preserve"> </w:t>
      </w:r>
    </w:p>
    <w:p w14:paraId="436A381A" w14:textId="77777777" w:rsidR="00AB3580" w:rsidRPr="00FC31CD" w:rsidRDefault="00FC31CD" w:rsidP="00AB3580">
      <w:pPr>
        <w:spacing w:line="360" w:lineRule="atLeast"/>
        <w:ind w:left="360"/>
        <w:jc w:val="both"/>
        <w:rPr>
          <w:rFonts w:cs="Times New Roman"/>
          <w:color w:val="FFFFFF"/>
          <w:sz w:val="2"/>
          <w:szCs w:val="2"/>
          <w:rtl/>
        </w:rPr>
      </w:pPr>
      <w:r w:rsidRPr="00FC31CD">
        <w:rPr>
          <w:rFonts w:cs="Times New Roman"/>
          <w:color w:val="FFFFFF"/>
          <w:sz w:val="2"/>
          <w:szCs w:val="2"/>
          <w:rtl/>
        </w:rPr>
        <w:t>5129371</w:t>
      </w:r>
    </w:p>
    <w:p w14:paraId="5CF703A7" w14:textId="77777777" w:rsidR="00AB3580" w:rsidRPr="00AB3580" w:rsidRDefault="00FC31CD" w:rsidP="00AB3580">
      <w:pPr>
        <w:spacing w:line="360" w:lineRule="atLeast"/>
        <w:ind w:left="360"/>
        <w:jc w:val="both"/>
        <w:rPr>
          <w:rFonts w:ascii="Calibri" w:hAnsi="Calibri" w:cs="Arial"/>
          <w:color w:val="000000"/>
          <w:sz w:val="27"/>
          <w:szCs w:val="27"/>
          <w:rtl/>
        </w:rPr>
      </w:pPr>
      <w:r w:rsidRPr="00FC31CD">
        <w:rPr>
          <w:rFonts w:ascii="David" w:hAnsi="David"/>
          <w:b/>
          <w:bCs/>
          <w:color w:val="FFFFFF"/>
          <w:sz w:val="2"/>
          <w:szCs w:val="2"/>
          <w:rtl/>
        </w:rPr>
        <w:t>54678313</w:t>
      </w:r>
      <w:r w:rsidR="00AB3580">
        <w:rPr>
          <w:rFonts w:ascii="David" w:hAnsi="David"/>
          <w:b/>
          <w:bCs/>
          <w:color w:val="000000"/>
          <w:sz w:val="27"/>
          <w:szCs w:val="27"/>
          <w:rtl/>
        </w:rPr>
        <w:t>זכות ערעור לבית המשפט המחוזי בתוך 45 ימים.</w:t>
      </w:r>
    </w:p>
    <w:p w14:paraId="0B53FF14" w14:textId="77777777" w:rsidR="00AB3580" w:rsidRDefault="00AB3580" w:rsidP="00AB3580">
      <w:pPr>
        <w:pStyle w:val="listparagraph0"/>
        <w:bidi/>
        <w:spacing w:before="0" w:beforeAutospacing="0" w:after="0" w:afterAutospacing="0" w:line="330" w:lineRule="atLeast"/>
        <w:jc w:val="both"/>
        <w:rPr>
          <w:rFonts w:ascii="David" w:hAnsi="David" w:cs="David"/>
          <w:b/>
          <w:bCs/>
          <w:color w:val="000000"/>
          <w:rtl/>
        </w:rPr>
      </w:pPr>
    </w:p>
    <w:p w14:paraId="306D5AD6" w14:textId="77777777" w:rsidR="00AB3580" w:rsidRPr="000F2247" w:rsidRDefault="00FC31CD" w:rsidP="00AB3580">
      <w:pPr>
        <w:rPr>
          <w:rFonts w:ascii="Arial" w:hAnsi="Arial"/>
          <w:b/>
          <w:bCs/>
          <w:sz w:val="26"/>
          <w:szCs w:val="26"/>
          <w:rtl/>
        </w:rPr>
      </w:pPr>
      <w:bookmarkStart w:id="10" w:name="Nitan"/>
      <w:r>
        <w:rPr>
          <w:rFonts w:ascii="Arial" w:hAnsi="Arial"/>
          <w:b/>
          <w:bCs/>
          <w:sz w:val="26"/>
          <w:szCs w:val="26"/>
          <w:rtl/>
        </w:rPr>
        <w:t xml:space="preserve">ניתן היום,  א' שבט תשפ"ג, 23 ינואר 2023, בנוכחות הצדדים. </w:t>
      </w:r>
      <w:bookmarkEnd w:id="10"/>
    </w:p>
    <w:p w14:paraId="6E42A2E6" w14:textId="77777777" w:rsidR="00AB3580" w:rsidRPr="000F2247" w:rsidRDefault="00AB3580" w:rsidP="00FC31CD">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D70459F" w14:textId="77777777" w:rsidR="00AB3580" w:rsidRPr="00F45F91" w:rsidRDefault="00F45F91" w:rsidP="00AB3580">
      <w:pPr>
        <w:jc w:val="center"/>
        <w:rPr>
          <w:rFonts w:ascii="Arial" w:hAnsi="Arial"/>
          <w:b/>
          <w:bCs/>
          <w:color w:val="FFFFFF"/>
          <w:sz w:val="2"/>
          <w:szCs w:val="2"/>
          <w:rtl/>
        </w:rPr>
      </w:pPr>
      <w:r w:rsidRPr="00F45F91">
        <w:rPr>
          <w:rFonts w:ascii="Arial" w:hAnsi="Arial"/>
          <w:b/>
          <w:bCs/>
          <w:color w:val="FFFFFF"/>
          <w:sz w:val="2"/>
          <w:szCs w:val="2"/>
          <w:rtl/>
        </w:rPr>
        <w:t>5129371</w:t>
      </w:r>
    </w:p>
    <w:p w14:paraId="272BA62D" w14:textId="77777777" w:rsidR="008A220F" w:rsidRPr="00F45F91" w:rsidRDefault="00F45F91" w:rsidP="00FC31CD">
      <w:pPr>
        <w:keepNext/>
        <w:rPr>
          <w:rFonts w:ascii="David" w:hAnsi="David"/>
          <w:color w:val="FFFFFF"/>
          <w:sz w:val="2"/>
          <w:szCs w:val="2"/>
          <w:rtl/>
        </w:rPr>
      </w:pPr>
      <w:r w:rsidRPr="00F45F91">
        <w:rPr>
          <w:rFonts w:ascii="David" w:hAnsi="David"/>
          <w:color w:val="FFFFFF"/>
          <w:sz w:val="2"/>
          <w:szCs w:val="2"/>
          <w:rtl/>
        </w:rPr>
        <w:t>54678313</w:t>
      </w:r>
    </w:p>
    <w:p w14:paraId="5092D5C7" w14:textId="77777777" w:rsidR="00FC31CD" w:rsidRDefault="00FC31CD" w:rsidP="00FC31CD">
      <w:pPr>
        <w:rPr>
          <w:rtl/>
        </w:rPr>
      </w:pPr>
    </w:p>
    <w:p w14:paraId="2C200D6F" w14:textId="77777777" w:rsidR="00FC31CD" w:rsidRDefault="00FC31CD" w:rsidP="00FC31CD">
      <w:pPr>
        <w:jc w:val="center"/>
        <w:rPr>
          <w:color w:val="0000FF"/>
          <w:u w:val="single"/>
        </w:rPr>
      </w:pPr>
      <w:hyperlink r:id="rId75" w:history="1">
        <w:r>
          <w:rPr>
            <w:color w:val="0000FF"/>
            <w:u w:val="single"/>
            <w:rtl/>
          </w:rPr>
          <w:t>בעניין עריכה ושינויים במסמכי פסיקה, חקיקה ועוד באתר נבו – הקש כאן</w:t>
        </w:r>
      </w:hyperlink>
    </w:p>
    <w:p w14:paraId="64B02281" w14:textId="77777777" w:rsidR="00F45F91" w:rsidRPr="00F45F91" w:rsidRDefault="00F45F91" w:rsidP="00F45F91">
      <w:pPr>
        <w:keepNext/>
        <w:rPr>
          <w:rFonts w:ascii="David" w:hAnsi="David"/>
          <w:color w:val="000000"/>
          <w:sz w:val="22"/>
          <w:szCs w:val="22"/>
          <w:rtl/>
        </w:rPr>
      </w:pPr>
    </w:p>
    <w:p w14:paraId="54289E22" w14:textId="77777777" w:rsidR="00F45F91" w:rsidRPr="00F45F91" w:rsidRDefault="00F45F91" w:rsidP="00F45F91">
      <w:pPr>
        <w:keepNext/>
        <w:rPr>
          <w:rFonts w:ascii="David" w:hAnsi="David"/>
          <w:color w:val="000000"/>
          <w:sz w:val="22"/>
          <w:szCs w:val="22"/>
          <w:rtl/>
        </w:rPr>
      </w:pPr>
      <w:r w:rsidRPr="00F45F91">
        <w:rPr>
          <w:rFonts w:ascii="David" w:hAnsi="David"/>
          <w:color w:val="000000"/>
          <w:sz w:val="22"/>
          <w:szCs w:val="22"/>
          <w:rtl/>
        </w:rPr>
        <w:t>יוני לבני 54678313-/</w:t>
      </w:r>
    </w:p>
    <w:p w14:paraId="35474E14" w14:textId="77777777" w:rsidR="00FC31CD" w:rsidRPr="00FC31CD" w:rsidRDefault="00F45F91" w:rsidP="00F45F91">
      <w:pPr>
        <w:rPr>
          <w:color w:val="0000FF"/>
          <w:u w:val="single"/>
        </w:rPr>
      </w:pPr>
      <w:r w:rsidRPr="00F45F91">
        <w:rPr>
          <w:color w:val="000000"/>
          <w:u w:val="single"/>
          <w:rtl/>
        </w:rPr>
        <w:t>נוסח מסמך זה כפוף לשינויי ניסוח ועריכה</w:t>
      </w:r>
    </w:p>
    <w:sectPr w:rsidR="00FC31CD" w:rsidRPr="00FC31CD" w:rsidSect="00F45F91">
      <w:headerReference w:type="even" r:id="rId76"/>
      <w:headerReference w:type="default" r:id="rId77"/>
      <w:footerReference w:type="even" r:id="rId78"/>
      <w:footerReference w:type="default" r:id="rId7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3C8A12" w14:textId="77777777" w:rsidR="00C33CCC" w:rsidRDefault="00C33CCC" w:rsidP="00985233">
      <w:r>
        <w:separator/>
      </w:r>
    </w:p>
  </w:endnote>
  <w:endnote w:type="continuationSeparator" w:id="0">
    <w:p w14:paraId="67FF3BE7" w14:textId="77777777" w:rsidR="00C33CCC" w:rsidRDefault="00C33CCC" w:rsidP="00985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algun Gothic Semilight">
    <w:panose1 w:val="020B0502040204020203"/>
    <w:charset w:val="80"/>
    <w:family w:val="swiss"/>
    <w:pitch w:val="variable"/>
    <w:sig w:usb0="B0000AAF" w:usb1="09DF7CFB" w:usb2="00000012" w:usb3="00000000" w:csb0="003E01BD"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6FFE6" w14:textId="77777777" w:rsidR="00F45F91" w:rsidRDefault="00F45F91" w:rsidP="00F45F9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3A4119D" w14:textId="77777777" w:rsidR="00335349" w:rsidRPr="00F45F91" w:rsidRDefault="00F45F91" w:rsidP="00F45F91">
    <w:pPr>
      <w:pStyle w:val="a5"/>
      <w:pBdr>
        <w:top w:val="single" w:sz="4" w:space="1" w:color="auto"/>
        <w:between w:val="single" w:sz="4" w:space="0" w:color="auto"/>
      </w:pBdr>
      <w:spacing w:after="60"/>
      <w:jc w:val="center"/>
      <w:rPr>
        <w:rFonts w:ascii="FrankRuehl" w:hAnsi="FrankRuehl" w:cs="FrankRuehl"/>
        <w:color w:val="000000"/>
      </w:rPr>
    </w:pPr>
    <w:r w:rsidRPr="00F45F9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13267" w14:textId="77777777" w:rsidR="00F45F91" w:rsidRDefault="00F45F91" w:rsidP="00F45F9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027F2">
      <w:rPr>
        <w:rFonts w:ascii="FrankRuehl" w:hAnsi="FrankRuehl" w:cs="FrankRuehl"/>
        <w:noProof/>
        <w:rtl/>
      </w:rPr>
      <w:t>1</w:t>
    </w:r>
    <w:r>
      <w:rPr>
        <w:rFonts w:ascii="FrankRuehl" w:hAnsi="FrankRuehl" w:cs="FrankRuehl"/>
        <w:rtl/>
      </w:rPr>
      <w:fldChar w:fldCharType="end"/>
    </w:r>
  </w:p>
  <w:p w14:paraId="2F17828B" w14:textId="77777777" w:rsidR="00335349" w:rsidRPr="00F45F91" w:rsidRDefault="00F45F91" w:rsidP="00F45F91">
    <w:pPr>
      <w:pStyle w:val="a5"/>
      <w:pBdr>
        <w:top w:val="single" w:sz="4" w:space="1" w:color="auto"/>
        <w:between w:val="single" w:sz="4" w:space="0" w:color="auto"/>
      </w:pBdr>
      <w:spacing w:after="60"/>
      <w:jc w:val="center"/>
      <w:rPr>
        <w:rFonts w:ascii="FrankRuehl" w:hAnsi="FrankRuehl" w:cs="FrankRuehl"/>
        <w:color w:val="000000"/>
      </w:rPr>
    </w:pPr>
    <w:r w:rsidRPr="00F45F91">
      <w:rPr>
        <w:rFonts w:ascii="FrankRuehl" w:hAnsi="FrankRuehl" w:cs="FrankRuehl"/>
        <w:color w:val="000000"/>
      </w:rPr>
      <w:pict w14:anchorId="4BE3F5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62211B" w14:textId="77777777" w:rsidR="00C33CCC" w:rsidRDefault="00C33CCC" w:rsidP="00985233">
      <w:r>
        <w:separator/>
      </w:r>
    </w:p>
  </w:footnote>
  <w:footnote w:type="continuationSeparator" w:id="0">
    <w:p w14:paraId="0BDD72F7" w14:textId="77777777" w:rsidR="00C33CCC" w:rsidRDefault="00C33CCC" w:rsidP="009852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5CA43" w14:textId="77777777" w:rsidR="00FC31CD" w:rsidRPr="00F45F91" w:rsidRDefault="00F45F91" w:rsidP="00F45F9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16982-03-21</w:t>
    </w:r>
    <w:r>
      <w:rPr>
        <w:rFonts w:ascii="David" w:hAnsi="David"/>
        <w:color w:val="000000"/>
        <w:sz w:val="22"/>
        <w:szCs w:val="22"/>
        <w:rtl/>
      </w:rPr>
      <w:tab/>
      <w:t xml:space="preserve"> מדינת ישראל נ' ניקה אטנלובי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B69C3" w14:textId="77777777" w:rsidR="00FC31CD" w:rsidRPr="00F45F91" w:rsidRDefault="00F45F91" w:rsidP="00F45F9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16982-03-21</w:t>
    </w:r>
    <w:r>
      <w:rPr>
        <w:rFonts w:ascii="David" w:hAnsi="David"/>
        <w:color w:val="000000"/>
        <w:sz w:val="22"/>
        <w:szCs w:val="22"/>
        <w:rtl/>
      </w:rPr>
      <w:tab/>
      <w:t xml:space="preserve"> מדינת ישראל נ' ניקה אטנלובי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B0FF9"/>
    <w:multiLevelType w:val="hybridMultilevel"/>
    <w:tmpl w:val="7F5ED6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F8A335F"/>
    <w:multiLevelType w:val="hybridMultilevel"/>
    <w:tmpl w:val="DCF43FD4"/>
    <w:lvl w:ilvl="0" w:tplc="22546292">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CA54BF8"/>
    <w:multiLevelType w:val="hybridMultilevel"/>
    <w:tmpl w:val="D9AC4D66"/>
    <w:lvl w:ilvl="0" w:tplc="AAD891EE">
      <w:start w:val="1"/>
      <w:numFmt w:val="decimal"/>
      <w:lvlText w:val="%1."/>
      <w:lvlJc w:val="left"/>
      <w:pPr>
        <w:ind w:left="720" w:hanging="360"/>
      </w:pPr>
      <w:rPr>
        <w:rFonts w:ascii="David" w:hAnsi="David" w:cs="David"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A78268E"/>
    <w:multiLevelType w:val="hybridMultilevel"/>
    <w:tmpl w:val="DA907FE0"/>
    <w:lvl w:ilvl="0" w:tplc="3D72A192">
      <w:start w:val="4"/>
      <w:numFmt w:val="bullet"/>
      <w:lvlText w:val=""/>
      <w:lvlJc w:val="left"/>
      <w:pPr>
        <w:ind w:left="720" w:hanging="360"/>
      </w:pPr>
      <w:rPr>
        <w:rFonts w:ascii="Symbol" w:eastAsia="Calibri"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2C27DD4"/>
    <w:multiLevelType w:val="hybridMultilevel"/>
    <w:tmpl w:val="DCF43FD4"/>
    <w:lvl w:ilvl="0" w:tplc="22546292">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372129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49736601">
    <w:abstractNumId w:val="3"/>
  </w:num>
  <w:num w:numId="3" w16cid:durableId="62122768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56692686">
    <w:abstractNumId w:val="0"/>
  </w:num>
  <w:num w:numId="5" w16cid:durableId="7451504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B3580"/>
    <w:rsid w:val="001B5A3B"/>
    <w:rsid w:val="002978A0"/>
    <w:rsid w:val="002C2EF9"/>
    <w:rsid w:val="00335349"/>
    <w:rsid w:val="003C6250"/>
    <w:rsid w:val="004F588C"/>
    <w:rsid w:val="007A1E22"/>
    <w:rsid w:val="008A220F"/>
    <w:rsid w:val="009172D8"/>
    <w:rsid w:val="00985233"/>
    <w:rsid w:val="00AB3580"/>
    <w:rsid w:val="00C33CCC"/>
    <w:rsid w:val="00D027F2"/>
    <w:rsid w:val="00D5461D"/>
    <w:rsid w:val="00F45F91"/>
    <w:rsid w:val="00FC31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90F7204"/>
  <w15:chartTrackingRefBased/>
  <w15:docId w15:val="{2C7C90A2-89D9-4CC4-B930-A18BC717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B358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B3580"/>
    <w:pPr>
      <w:tabs>
        <w:tab w:val="center" w:pos="4153"/>
        <w:tab w:val="right" w:pos="8306"/>
      </w:tabs>
    </w:pPr>
  </w:style>
  <w:style w:type="character" w:customStyle="1" w:styleId="a4">
    <w:name w:val="כותרת עליונה תו"/>
    <w:link w:val="a3"/>
    <w:rsid w:val="00AB3580"/>
    <w:rPr>
      <w:rFonts w:ascii="Times New Roman" w:eastAsia="Times New Roman" w:hAnsi="Times New Roman" w:cs="David"/>
      <w:sz w:val="24"/>
      <w:szCs w:val="24"/>
    </w:rPr>
  </w:style>
  <w:style w:type="paragraph" w:styleId="a5">
    <w:name w:val="footer"/>
    <w:basedOn w:val="a"/>
    <w:link w:val="a6"/>
    <w:rsid w:val="00AB3580"/>
    <w:pPr>
      <w:tabs>
        <w:tab w:val="center" w:pos="4153"/>
        <w:tab w:val="right" w:pos="8306"/>
      </w:tabs>
    </w:pPr>
  </w:style>
  <w:style w:type="character" w:customStyle="1" w:styleId="a6">
    <w:name w:val="כותרת תחתונה תו"/>
    <w:link w:val="a5"/>
    <w:rsid w:val="00AB3580"/>
    <w:rPr>
      <w:rFonts w:ascii="Times New Roman" w:eastAsia="Times New Roman" w:hAnsi="Times New Roman" w:cs="David"/>
      <w:sz w:val="24"/>
      <w:szCs w:val="24"/>
    </w:rPr>
  </w:style>
  <w:style w:type="table" w:styleId="a7">
    <w:name w:val="Table Grid"/>
    <w:basedOn w:val="a1"/>
    <w:rsid w:val="00AB358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B3580"/>
  </w:style>
  <w:style w:type="character" w:styleId="Hyperlink">
    <w:name w:val="Hyperlink"/>
    <w:rsid w:val="00AB3580"/>
    <w:rPr>
      <w:color w:val="0000FF"/>
      <w:u w:val="single"/>
    </w:rPr>
  </w:style>
  <w:style w:type="character" w:customStyle="1" w:styleId="ListParagraphChar">
    <w:name w:val="List Paragraph Char"/>
    <w:link w:val="ListParagraph"/>
    <w:locked/>
    <w:rsid w:val="00AB3580"/>
    <w:rPr>
      <w:rFonts w:cs="David"/>
      <w:sz w:val="24"/>
      <w:szCs w:val="24"/>
    </w:rPr>
  </w:style>
  <w:style w:type="paragraph" w:customStyle="1" w:styleId="ListParagraph">
    <w:name w:val="List Paragraph"/>
    <w:basedOn w:val="a"/>
    <w:link w:val="ListParagraphChar"/>
    <w:qFormat/>
    <w:rsid w:val="00AB3580"/>
    <w:pPr>
      <w:ind w:left="720"/>
      <w:contextualSpacing/>
    </w:pPr>
    <w:rPr>
      <w:rFonts w:ascii="Calibri" w:eastAsia="Calibri" w:hAnsi="Calibri"/>
    </w:rPr>
  </w:style>
  <w:style w:type="paragraph" w:customStyle="1" w:styleId="listparagraph0">
    <w:name w:val="listparagraph"/>
    <w:basedOn w:val="a"/>
    <w:rsid w:val="00AB3580"/>
    <w:pPr>
      <w:bidi w:val="0"/>
      <w:spacing w:before="100" w:beforeAutospacing="1" w:after="100" w:afterAutospacing="1"/>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4216/7.a." TargetMode="External"/><Relationship Id="rId42" Type="http://schemas.openxmlformats.org/officeDocument/2006/relationships/hyperlink" Target="http://www.nevo.co.il/case/17992396" TargetMode="External"/><Relationship Id="rId47" Type="http://schemas.openxmlformats.org/officeDocument/2006/relationships/hyperlink" Target="http://www.nevo.co.il/case/5726552" TargetMode="External"/><Relationship Id="rId63" Type="http://schemas.openxmlformats.org/officeDocument/2006/relationships/hyperlink" Target="http://www.nevo.co.il/safrut/book/29447" TargetMode="External"/><Relationship Id="rId68" Type="http://schemas.openxmlformats.org/officeDocument/2006/relationships/hyperlink" Target="http://www.nevo.co.il/case/25459244" TargetMode="External"/><Relationship Id="rId16" Type="http://schemas.openxmlformats.org/officeDocument/2006/relationships/hyperlink" Target="http://www.nevo.co.il/law/70301/40d" TargetMode="External"/><Relationship Id="rId11" Type="http://schemas.openxmlformats.org/officeDocument/2006/relationships/hyperlink" Target="http://www.nevo.co.il/law/70301/40.c"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6473037" TargetMode="External"/><Relationship Id="rId53" Type="http://schemas.openxmlformats.org/officeDocument/2006/relationships/hyperlink" Target="http://www.nevo.co.il/case/24945426" TargetMode="External"/><Relationship Id="rId58" Type="http://schemas.openxmlformats.org/officeDocument/2006/relationships/hyperlink" Target="http://www.nevo.co.il/case/5919787" TargetMode="External"/><Relationship Id="rId74" Type="http://schemas.openxmlformats.org/officeDocument/2006/relationships/hyperlink" Target="http://www.nevo.co.il/case/6031891" TargetMode="External"/><Relationship Id="rId79"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law/70301/40.f.;40.g" TargetMode="External"/><Relationship Id="rId19" Type="http://schemas.openxmlformats.org/officeDocument/2006/relationships/hyperlink" Target="http://www.nevo.co.il/law/70301/420" TargetMode="External"/><Relationship Id="rId14" Type="http://schemas.openxmlformats.org/officeDocument/2006/relationships/hyperlink" Target="http://www.nevo.co.il/law/70301/40.g" TargetMode="External"/><Relationship Id="rId22" Type="http://schemas.openxmlformats.org/officeDocument/2006/relationships/hyperlink" Target="http://www.nevo.co.il/law/4216/7.c" TargetMode="External"/><Relationship Id="rId27" Type="http://schemas.openxmlformats.org/officeDocument/2006/relationships/image" Target="media/image1.png"/><Relationship Id="rId30" Type="http://schemas.openxmlformats.org/officeDocument/2006/relationships/hyperlink" Target="http://www.nevo.co.il/law/4216/7.a.;7.c" TargetMode="External"/><Relationship Id="rId35" Type="http://schemas.openxmlformats.org/officeDocument/2006/relationships/hyperlink" Target="http://www.nevo.co.il/case/13093721" TargetMode="External"/><Relationship Id="rId43" Type="http://schemas.openxmlformats.org/officeDocument/2006/relationships/hyperlink" Target="http://www.nevo.co.il/case/20683594" TargetMode="External"/><Relationship Id="rId48" Type="http://schemas.openxmlformats.org/officeDocument/2006/relationships/hyperlink" Target="http://www.nevo.co.il/case/11279200" TargetMode="External"/><Relationship Id="rId56" Type="http://schemas.openxmlformats.org/officeDocument/2006/relationships/hyperlink" Target="http://www.nevo.co.il/case/21477237%20" TargetMode="External"/><Relationship Id="rId64" Type="http://schemas.openxmlformats.org/officeDocument/2006/relationships/hyperlink" Target="http://www.nevo.co.il/case/6094500" TargetMode="External"/><Relationship Id="rId69" Type="http://schemas.openxmlformats.org/officeDocument/2006/relationships/hyperlink" Target="http://www.nevo.co.il/case/17954253" TargetMode="External"/><Relationship Id="rId77" Type="http://schemas.openxmlformats.org/officeDocument/2006/relationships/header" Target="header2.xml"/><Relationship Id="rId8" Type="http://schemas.openxmlformats.org/officeDocument/2006/relationships/hyperlink" Target="http://www.nevo.co.il/law/159510" TargetMode="External"/><Relationship Id="rId51" Type="http://schemas.openxmlformats.org/officeDocument/2006/relationships/hyperlink" Target="http://www.nevo.co.il/case/25347812" TargetMode="External"/><Relationship Id="rId72" Type="http://schemas.openxmlformats.org/officeDocument/2006/relationships/hyperlink" Target="http://www.nevo.co.il/case/20787999"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40.e" TargetMode="External"/><Relationship Id="rId17" Type="http://schemas.openxmlformats.org/officeDocument/2006/relationships/hyperlink" Target="http://www.nevo.co.il/law/70301/244" TargetMode="External"/><Relationship Id="rId25" Type="http://schemas.openxmlformats.org/officeDocument/2006/relationships/hyperlink" Target="http://www.nevo.co.il/law/70301/420" TargetMode="External"/><Relationship Id="rId33" Type="http://schemas.openxmlformats.org/officeDocument/2006/relationships/hyperlink" Target="http://www.nevo.co.il/law/70301/40a;40.c" TargetMode="External"/><Relationship Id="rId38" Type="http://schemas.openxmlformats.org/officeDocument/2006/relationships/hyperlink" Target="http://www.nevo.co.il/case/7958246" TargetMode="External"/><Relationship Id="rId46" Type="http://schemas.openxmlformats.org/officeDocument/2006/relationships/hyperlink" Target="http://www.nevo.co.il/case/5904301" TargetMode="External"/><Relationship Id="rId59" Type="http://schemas.openxmlformats.org/officeDocument/2006/relationships/hyperlink" Target="http://www.nevo.co.il/case/25430225%20" TargetMode="External"/><Relationship Id="rId67" Type="http://schemas.openxmlformats.org/officeDocument/2006/relationships/hyperlink" Target="http://www.nevo.co.il/law/70301" TargetMode="External"/><Relationship Id="rId20" Type="http://schemas.openxmlformats.org/officeDocument/2006/relationships/hyperlink" Target="http://www.nevo.co.il/law/4216" TargetMode="External"/><Relationship Id="rId41" Type="http://schemas.openxmlformats.org/officeDocument/2006/relationships/hyperlink" Target="http://www.nevo.co.il/safrut/book/36018" TargetMode="External"/><Relationship Id="rId54" Type="http://schemas.openxmlformats.org/officeDocument/2006/relationships/hyperlink" Target="http://www.nevo.co.il/case/25911719" TargetMode="External"/><Relationship Id="rId62" Type="http://schemas.openxmlformats.org/officeDocument/2006/relationships/hyperlink" Target="http://www.nevo.co.il/law/70301" TargetMode="External"/><Relationship Id="rId70" Type="http://schemas.openxmlformats.org/officeDocument/2006/relationships/hyperlink" Target="http://www.nevo.co.il/case/8457254" TargetMode="External"/><Relationship Id="rId75"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a" TargetMode="External"/><Relationship Id="rId23" Type="http://schemas.openxmlformats.org/officeDocument/2006/relationships/hyperlink" Target="http://www.nevo.co.il/law/159510" TargetMode="External"/><Relationship Id="rId28" Type="http://schemas.openxmlformats.org/officeDocument/2006/relationships/hyperlink" Target="http://www.nevo.co.il/law/70301/244;275" TargetMode="External"/><Relationship Id="rId36" Type="http://schemas.openxmlformats.org/officeDocument/2006/relationships/hyperlink" Target="http://www.nevo.co.il/case/20033641" TargetMode="External"/><Relationship Id="rId49" Type="http://schemas.openxmlformats.org/officeDocument/2006/relationships/hyperlink" Target="http://www.nevo.co.il/case/20528878" TargetMode="External"/><Relationship Id="rId57" Type="http://schemas.openxmlformats.org/officeDocument/2006/relationships/hyperlink" Target="http://www.nevo.co.il/case/21479956" TargetMode="External"/><Relationship Id="rId10" Type="http://schemas.openxmlformats.org/officeDocument/2006/relationships/hyperlink" Target="http://www.nevo.co.il/law/70301" TargetMode="External"/><Relationship Id="rId31" Type="http://schemas.openxmlformats.org/officeDocument/2006/relationships/hyperlink" Target="http://www.nevo.co.il/law/4216" TargetMode="External"/><Relationship Id="rId44" Type="http://schemas.openxmlformats.org/officeDocument/2006/relationships/hyperlink" Target="http://www.nevo.co.il/case/23748920" TargetMode="External"/><Relationship Id="rId52" Type="http://schemas.openxmlformats.org/officeDocument/2006/relationships/hyperlink" Target="http://www.nevo.co.il/case/5627894" TargetMode="External"/><Relationship Id="rId60" Type="http://schemas.openxmlformats.org/officeDocument/2006/relationships/hyperlink" Target="http://www.nevo.co.il/case/25059769" TargetMode="External"/><Relationship Id="rId65" Type="http://schemas.openxmlformats.org/officeDocument/2006/relationships/hyperlink" Target="http://www.nevo.co.il/case/21003552" TargetMode="External"/><Relationship Id="rId73" Type="http://schemas.openxmlformats.org/officeDocument/2006/relationships/hyperlink" Target="http://www.nevo.co.il/case/5587830" TargetMode="External"/><Relationship Id="rId78" Type="http://schemas.openxmlformats.org/officeDocument/2006/relationships/footer" Target="footer1.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159510/40.c.1" TargetMode="External"/><Relationship Id="rId13" Type="http://schemas.openxmlformats.org/officeDocument/2006/relationships/hyperlink" Target="http://www.nevo.co.il/law/70301/40.f." TargetMode="External"/><Relationship Id="rId18" Type="http://schemas.openxmlformats.org/officeDocument/2006/relationships/hyperlink" Target="http://www.nevo.co.il/law/70301/275" TargetMode="External"/><Relationship Id="rId39" Type="http://schemas.openxmlformats.org/officeDocument/2006/relationships/hyperlink" Target="http://www.nevo.co.il/case/11303307" TargetMode="External"/><Relationship Id="rId34" Type="http://schemas.openxmlformats.org/officeDocument/2006/relationships/hyperlink" Target="http://www.nevo.co.il/law/70301" TargetMode="External"/><Relationship Id="rId50" Type="http://schemas.openxmlformats.org/officeDocument/2006/relationships/hyperlink" Target="http://www.nevo.co.il/case/21535657" TargetMode="External"/><Relationship Id="rId55" Type="http://schemas.openxmlformats.org/officeDocument/2006/relationships/hyperlink" Target="http://www.nevo.co.il/case/20508063" TargetMode="External"/><Relationship Id="rId76" Type="http://schemas.openxmlformats.org/officeDocument/2006/relationships/header" Target="header1.xml"/><Relationship Id="rId7" Type="http://schemas.openxmlformats.org/officeDocument/2006/relationships/hyperlink" Target="http://www.nevo.co.il/safrut/book/29447" TargetMode="External"/><Relationship Id="rId71" Type="http://schemas.openxmlformats.org/officeDocument/2006/relationships/hyperlink" Target="http://www.nevo.co.il/case/5784437" TargetMode="External"/><Relationship Id="rId2" Type="http://schemas.openxmlformats.org/officeDocument/2006/relationships/styles" Target="styles.xml"/><Relationship Id="rId29" Type="http://schemas.openxmlformats.org/officeDocument/2006/relationships/hyperlink" Target="http://www.nevo.co.il/law/70301" TargetMode="External"/><Relationship Id="rId24" Type="http://schemas.openxmlformats.org/officeDocument/2006/relationships/hyperlink" Target="http://www.nevo.co.il/law/159510/40.c.1"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21508469" TargetMode="External"/><Relationship Id="rId66" Type="http://schemas.openxmlformats.org/officeDocument/2006/relationships/hyperlink" Target="http://www.nevo.co.il/law/70301/40d;40.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6926</Words>
  <Characters>34631</Characters>
  <Application>Microsoft Office Word</Application>
  <DocSecurity>0</DocSecurity>
  <Lines>288</Lines>
  <Paragraphs>82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41475</CharactersWithSpaces>
  <SharedDoc>false</SharedDoc>
  <HLinks>
    <vt:vector size="414" baseType="variant">
      <vt:variant>
        <vt:i4>393283</vt:i4>
      </vt:variant>
      <vt:variant>
        <vt:i4>204</vt:i4>
      </vt:variant>
      <vt:variant>
        <vt:i4>0</vt:i4>
      </vt:variant>
      <vt:variant>
        <vt:i4>5</vt:i4>
      </vt:variant>
      <vt:variant>
        <vt:lpwstr>http://www.nevo.co.il/advertisements/nevo-100.doc</vt:lpwstr>
      </vt:variant>
      <vt:variant>
        <vt:lpwstr/>
      </vt:variant>
      <vt:variant>
        <vt:i4>3932284</vt:i4>
      </vt:variant>
      <vt:variant>
        <vt:i4>201</vt:i4>
      </vt:variant>
      <vt:variant>
        <vt:i4>0</vt:i4>
      </vt:variant>
      <vt:variant>
        <vt:i4>5</vt:i4>
      </vt:variant>
      <vt:variant>
        <vt:lpwstr>http://www.nevo.co.il/case/6031891</vt:lpwstr>
      </vt:variant>
      <vt:variant>
        <vt:lpwstr/>
      </vt:variant>
      <vt:variant>
        <vt:i4>3473525</vt:i4>
      </vt:variant>
      <vt:variant>
        <vt:i4>198</vt:i4>
      </vt:variant>
      <vt:variant>
        <vt:i4>0</vt:i4>
      </vt:variant>
      <vt:variant>
        <vt:i4>5</vt:i4>
      </vt:variant>
      <vt:variant>
        <vt:lpwstr>http://www.nevo.co.il/case/5587830</vt:lpwstr>
      </vt:variant>
      <vt:variant>
        <vt:lpwstr/>
      </vt:variant>
      <vt:variant>
        <vt:i4>3866741</vt:i4>
      </vt:variant>
      <vt:variant>
        <vt:i4>195</vt:i4>
      </vt:variant>
      <vt:variant>
        <vt:i4>0</vt:i4>
      </vt:variant>
      <vt:variant>
        <vt:i4>5</vt:i4>
      </vt:variant>
      <vt:variant>
        <vt:lpwstr>http://www.nevo.co.il/case/20787999</vt:lpwstr>
      </vt:variant>
      <vt:variant>
        <vt:lpwstr/>
      </vt:variant>
      <vt:variant>
        <vt:i4>4063348</vt:i4>
      </vt:variant>
      <vt:variant>
        <vt:i4>192</vt:i4>
      </vt:variant>
      <vt:variant>
        <vt:i4>0</vt:i4>
      </vt:variant>
      <vt:variant>
        <vt:i4>5</vt:i4>
      </vt:variant>
      <vt:variant>
        <vt:lpwstr>http://www.nevo.co.il/case/5784437</vt:lpwstr>
      </vt:variant>
      <vt:variant>
        <vt:lpwstr/>
      </vt:variant>
      <vt:variant>
        <vt:i4>3866738</vt:i4>
      </vt:variant>
      <vt:variant>
        <vt:i4>189</vt:i4>
      </vt:variant>
      <vt:variant>
        <vt:i4>0</vt:i4>
      </vt:variant>
      <vt:variant>
        <vt:i4>5</vt:i4>
      </vt:variant>
      <vt:variant>
        <vt:lpwstr>http://www.nevo.co.il/case/8457254</vt:lpwstr>
      </vt:variant>
      <vt:variant>
        <vt:lpwstr/>
      </vt:variant>
      <vt:variant>
        <vt:i4>3735668</vt:i4>
      </vt:variant>
      <vt:variant>
        <vt:i4>186</vt:i4>
      </vt:variant>
      <vt:variant>
        <vt:i4>0</vt:i4>
      </vt:variant>
      <vt:variant>
        <vt:i4>5</vt:i4>
      </vt:variant>
      <vt:variant>
        <vt:lpwstr>http://www.nevo.co.il/case/17954253</vt:lpwstr>
      </vt:variant>
      <vt:variant>
        <vt:lpwstr/>
      </vt:variant>
      <vt:variant>
        <vt:i4>3866742</vt:i4>
      </vt:variant>
      <vt:variant>
        <vt:i4>183</vt:i4>
      </vt:variant>
      <vt:variant>
        <vt:i4>0</vt:i4>
      </vt:variant>
      <vt:variant>
        <vt:i4>5</vt:i4>
      </vt:variant>
      <vt:variant>
        <vt:lpwstr>http://www.nevo.co.il/case/25459244</vt:lpwstr>
      </vt:variant>
      <vt:variant>
        <vt:lpwstr/>
      </vt:variant>
      <vt:variant>
        <vt:i4>7995492</vt:i4>
      </vt:variant>
      <vt:variant>
        <vt:i4>180</vt:i4>
      </vt:variant>
      <vt:variant>
        <vt:i4>0</vt:i4>
      </vt:variant>
      <vt:variant>
        <vt:i4>5</vt:i4>
      </vt:variant>
      <vt:variant>
        <vt:lpwstr>http://www.nevo.co.il/law/70301</vt:lpwstr>
      </vt:variant>
      <vt:variant>
        <vt:lpwstr/>
      </vt:variant>
      <vt:variant>
        <vt:i4>720927</vt:i4>
      </vt:variant>
      <vt:variant>
        <vt:i4>177</vt:i4>
      </vt:variant>
      <vt:variant>
        <vt:i4>0</vt:i4>
      </vt:variant>
      <vt:variant>
        <vt:i4>5</vt:i4>
      </vt:variant>
      <vt:variant>
        <vt:lpwstr>http://www.nevo.co.il/law/70301/40d;40.e</vt:lpwstr>
      </vt:variant>
      <vt:variant>
        <vt:lpwstr/>
      </vt:variant>
      <vt:variant>
        <vt:i4>3407984</vt:i4>
      </vt:variant>
      <vt:variant>
        <vt:i4>174</vt:i4>
      </vt:variant>
      <vt:variant>
        <vt:i4>0</vt:i4>
      </vt:variant>
      <vt:variant>
        <vt:i4>5</vt:i4>
      </vt:variant>
      <vt:variant>
        <vt:lpwstr>http://www.nevo.co.il/case/21003552</vt:lpwstr>
      </vt:variant>
      <vt:variant>
        <vt:lpwstr/>
      </vt:variant>
      <vt:variant>
        <vt:i4>3801200</vt:i4>
      </vt:variant>
      <vt:variant>
        <vt:i4>171</vt:i4>
      </vt:variant>
      <vt:variant>
        <vt:i4>0</vt:i4>
      </vt:variant>
      <vt:variant>
        <vt:i4>5</vt:i4>
      </vt:variant>
      <vt:variant>
        <vt:lpwstr>http://www.nevo.co.il/case/6094500</vt:lpwstr>
      </vt:variant>
      <vt:variant>
        <vt:lpwstr/>
      </vt:variant>
      <vt:variant>
        <vt:i4>8126518</vt:i4>
      </vt:variant>
      <vt:variant>
        <vt:i4>168</vt:i4>
      </vt:variant>
      <vt:variant>
        <vt:i4>0</vt:i4>
      </vt:variant>
      <vt:variant>
        <vt:i4>5</vt:i4>
      </vt:variant>
      <vt:variant>
        <vt:lpwstr>http://www.nevo.co.il/safrut/book/29447</vt:lpwstr>
      </vt:variant>
      <vt:variant>
        <vt:lpwstr/>
      </vt:variant>
      <vt:variant>
        <vt:i4>7995492</vt:i4>
      </vt:variant>
      <vt:variant>
        <vt:i4>165</vt:i4>
      </vt:variant>
      <vt:variant>
        <vt:i4>0</vt:i4>
      </vt:variant>
      <vt:variant>
        <vt:i4>5</vt:i4>
      </vt:variant>
      <vt:variant>
        <vt:lpwstr>http://www.nevo.co.il/law/70301</vt:lpwstr>
      </vt:variant>
      <vt:variant>
        <vt:lpwstr/>
      </vt:variant>
      <vt:variant>
        <vt:i4>7274619</vt:i4>
      </vt:variant>
      <vt:variant>
        <vt:i4>162</vt:i4>
      </vt:variant>
      <vt:variant>
        <vt:i4>0</vt:i4>
      </vt:variant>
      <vt:variant>
        <vt:i4>5</vt:i4>
      </vt:variant>
      <vt:variant>
        <vt:lpwstr>http://www.nevo.co.il/law/70301/40.f.;40.g</vt:lpwstr>
      </vt:variant>
      <vt:variant>
        <vt:lpwstr/>
      </vt:variant>
      <vt:variant>
        <vt:i4>3997811</vt:i4>
      </vt:variant>
      <vt:variant>
        <vt:i4>159</vt:i4>
      </vt:variant>
      <vt:variant>
        <vt:i4>0</vt:i4>
      </vt:variant>
      <vt:variant>
        <vt:i4>5</vt:i4>
      </vt:variant>
      <vt:variant>
        <vt:lpwstr>http://www.nevo.co.il/case/25059769</vt:lpwstr>
      </vt:variant>
      <vt:variant>
        <vt:lpwstr/>
      </vt:variant>
      <vt:variant>
        <vt:i4>3407984</vt:i4>
      </vt:variant>
      <vt:variant>
        <vt:i4>156</vt:i4>
      </vt:variant>
      <vt:variant>
        <vt:i4>0</vt:i4>
      </vt:variant>
      <vt:variant>
        <vt:i4>5</vt:i4>
      </vt:variant>
      <vt:variant>
        <vt:lpwstr>http://www.nevo.co.il/case/25430225</vt:lpwstr>
      </vt:variant>
      <vt:variant>
        <vt:lpwstr/>
      </vt:variant>
      <vt:variant>
        <vt:i4>3407996</vt:i4>
      </vt:variant>
      <vt:variant>
        <vt:i4>153</vt:i4>
      </vt:variant>
      <vt:variant>
        <vt:i4>0</vt:i4>
      </vt:variant>
      <vt:variant>
        <vt:i4>5</vt:i4>
      </vt:variant>
      <vt:variant>
        <vt:lpwstr>http://www.nevo.co.il/case/5919787</vt:lpwstr>
      </vt:variant>
      <vt:variant>
        <vt:lpwstr/>
      </vt:variant>
      <vt:variant>
        <vt:i4>3801211</vt:i4>
      </vt:variant>
      <vt:variant>
        <vt:i4>150</vt:i4>
      </vt:variant>
      <vt:variant>
        <vt:i4>0</vt:i4>
      </vt:variant>
      <vt:variant>
        <vt:i4>5</vt:i4>
      </vt:variant>
      <vt:variant>
        <vt:lpwstr>http://www.nevo.co.il/case/21479956</vt:lpwstr>
      </vt:variant>
      <vt:variant>
        <vt:lpwstr/>
      </vt:variant>
      <vt:variant>
        <vt:i4>3276912</vt:i4>
      </vt:variant>
      <vt:variant>
        <vt:i4>147</vt:i4>
      </vt:variant>
      <vt:variant>
        <vt:i4>0</vt:i4>
      </vt:variant>
      <vt:variant>
        <vt:i4>5</vt:i4>
      </vt:variant>
      <vt:variant>
        <vt:lpwstr>http://www.nevo.co.il/case/21477237</vt:lpwstr>
      </vt:variant>
      <vt:variant>
        <vt:lpwstr/>
      </vt:variant>
      <vt:variant>
        <vt:i4>3735668</vt:i4>
      </vt:variant>
      <vt:variant>
        <vt:i4>144</vt:i4>
      </vt:variant>
      <vt:variant>
        <vt:i4>0</vt:i4>
      </vt:variant>
      <vt:variant>
        <vt:i4>5</vt:i4>
      </vt:variant>
      <vt:variant>
        <vt:lpwstr>http://www.nevo.co.il/case/20508063</vt:lpwstr>
      </vt:variant>
      <vt:variant>
        <vt:lpwstr/>
      </vt:variant>
      <vt:variant>
        <vt:i4>3866743</vt:i4>
      </vt:variant>
      <vt:variant>
        <vt:i4>141</vt:i4>
      </vt:variant>
      <vt:variant>
        <vt:i4>0</vt:i4>
      </vt:variant>
      <vt:variant>
        <vt:i4>5</vt:i4>
      </vt:variant>
      <vt:variant>
        <vt:lpwstr>http://www.nevo.co.il/case/25911719</vt:lpwstr>
      </vt:variant>
      <vt:variant>
        <vt:lpwstr/>
      </vt:variant>
      <vt:variant>
        <vt:i4>3932272</vt:i4>
      </vt:variant>
      <vt:variant>
        <vt:i4>138</vt:i4>
      </vt:variant>
      <vt:variant>
        <vt:i4>0</vt:i4>
      </vt:variant>
      <vt:variant>
        <vt:i4>5</vt:i4>
      </vt:variant>
      <vt:variant>
        <vt:lpwstr>http://www.nevo.co.il/case/24945426</vt:lpwstr>
      </vt:variant>
      <vt:variant>
        <vt:lpwstr/>
      </vt:variant>
      <vt:variant>
        <vt:i4>3866748</vt:i4>
      </vt:variant>
      <vt:variant>
        <vt:i4>135</vt:i4>
      </vt:variant>
      <vt:variant>
        <vt:i4>0</vt:i4>
      </vt:variant>
      <vt:variant>
        <vt:i4>5</vt:i4>
      </vt:variant>
      <vt:variant>
        <vt:lpwstr>http://www.nevo.co.il/case/5627894</vt:lpwstr>
      </vt:variant>
      <vt:variant>
        <vt:lpwstr/>
      </vt:variant>
      <vt:variant>
        <vt:i4>3604605</vt:i4>
      </vt:variant>
      <vt:variant>
        <vt:i4>132</vt:i4>
      </vt:variant>
      <vt:variant>
        <vt:i4>0</vt:i4>
      </vt:variant>
      <vt:variant>
        <vt:i4>5</vt:i4>
      </vt:variant>
      <vt:variant>
        <vt:lpwstr>http://www.nevo.co.il/case/25347812</vt:lpwstr>
      </vt:variant>
      <vt:variant>
        <vt:lpwstr/>
      </vt:variant>
      <vt:variant>
        <vt:i4>3604592</vt:i4>
      </vt:variant>
      <vt:variant>
        <vt:i4>129</vt:i4>
      </vt:variant>
      <vt:variant>
        <vt:i4>0</vt:i4>
      </vt:variant>
      <vt:variant>
        <vt:i4>5</vt:i4>
      </vt:variant>
      <vt:variant>
        <vt:lpwstr>http://www.nevo.co.il/case/21535657</vt:lpwstr>
      </vt:variant>
      <vt:variant>
        <vt:lpwstr/>
      </vt:variant>
      <vt:variant>
        <vt:i4>3670142</vt:i4>
      </vt:variant>
      <vt:variant>
        <vt:i4>126</vt:i4>
      </vt:variant>
      <vt:variant>
        <vt:i4>0</vt:i4>
      </vt:variant>
      <vt:variant>
        <vt:i4>5</vt:i4>
      </vt:variant>
      <vt:variant>
        <vt:lpwstr>http://www.nevo.co.il/case/20528878</vt:lpwstr>
      </vt:variant>
      <vt:variant>
        <vt:lpwstr/>
      </vt:variant>
      <vt:variant>
        <vt:i4>3801200</vt:i4>
      </vt:variant>
      <vt:variant>
        <vt:i4>123</vt:i4>
      </vt:variant>
      <vt:variant>
        <vt:i4>0</vt:i4>
      </vt:variant>
      <vt:variant>
        <vt:i4>5</vt:i4>
      </vt:variant>
      <vt:variant>
        <vt:lpwstr>http://www.nevo.co.il/case/11279200</vt:lpwstr>
      </vt:variant>
      <vt:variant>
        <vt:lpwstr/>
      </vt:variant>
      <vt:variant>
        <vt:i4>3145840</vt:i4>
      </vt:variant>
      <vt:variant>
        <vt:i4>120</vt:i4>
      </vt:variant>
      <vt:variant>
        <vt:i4>0</vt:i4>
      </vt:variant>
      <vt:variant>
        <vt:i4>5</vt:i4>
      </vt:variant>
      <vt:variant>
        <vt:lpwstr>http://www.nevo.co.il/case/5726552</vt:lpwstr>
      </vt:variant>
      <vt:variant>
        <vt:lpwstr/>
      </vt:variant>
      <vt:variant>
        <vt:i4>3604601</vt:i4>
      </vt:variant>
      <vt:variant>
        <vt:i4>117</vt:i4>
      </vt:variant>
      <vt:variant>
        <vt:i4>0</vt:i4>
      </vt:variant>
      <vt:variant>
        <vt:i4>5</vt:i4>
      </vt:variant>
      <vt:variant>
        <vt:lpwstr>http://www.nevo.co.il/case/5904301</vt:lpwstr>
      </vt:variant>
      <vt:variant>
        <vt:lpwstr/>
      </vt:variant>
      <vt:variant>
        <vt:i4>3735665</vt:i4>
      </vt:variant>
      <vt:variant>
        <vt:i4>114</vt:i4>
      </vt:variant>
      <vt:variant>
        <vt:i4>0</vt:i4>
      </vt:variant>
      <vt:variant>
        <vt:i4>5</vt:i4>
      </vt:variant>
      <vt:variant>
        <vt:lpwstr>http://www.nevo.co.il/case/21508469</vt:lpwstr>
      </vt:variant>
      <vt:variant>
        <vt:lpwstr/>
      </vt:variant>
      <vt:variant>
        <vt:i4>4128890</vt:i4>
      </vt:variant>
      <vt:variant>
        <vt:i4>111</vt:i4>
      </vt:variant>
      <vt:variant>
        <vt:i4>0</vt:i4>
      </vt:variant>
      <vt:variant>
        <vt:i4>5</vt:i4>
      </vt:variant>
      <vt:variant>
        <vt:lpwstr>http://www.nevo.co.il/case/23748920</vt:lpwstr>
      </vt:variant>
      <vt:variant>
        <vt:lpwstr/>
      </vt:variant>
      <vt:variant>
        <vt:i4>4063353</vt:i4>
      </vt:variant>
      <vt:variant>
        <vt:i4>108</vt:i4>
      </vt:variant>
      <vt:variant>
        <vt:i4>0</vt:i4>
      </vt:variant>
      <vt:variant>
        <vt:i4>5</vt:i4>
      </vt:variant>
      <vt:variant>
        <vt:lpwstr>http://www.nevo.co.il/case/20683594</vt:lpwstr>
      </vt:variant>
      <vt:variant>
        <vt:lpwstr/>
      </vt:variant>
      <vt:variant>
        <vt:i4>3342457</vt:i4>
      </vt:variant>
      <vt:variant>
        <vt:i4>105</vt:i4>
      </vt:variant>
      <vt:variant>
        <vt:i4>0</vt:i4>
      </vt:variant>
      <vt:variant>
        <vt:i4>5</vt:i4>
      </vt:variant>
      <vt:variant>
        <vt:lpwstr>http://www.nevo.co.il/case/17992396</vt:lpwstr>
      </vt:variant>
      <vt:variant>
        <vt:lpwstr/>
      </vt:variant>
      <vt:variant>
        <vt:i4>7733299</vt:i4>
      </vt:variant>
      <vt:variant>
        <vt:i4>102</vt:i4>
      </vt:variant>
      <vt:variant>
        <vt:i4>0</vt:i4>
      </vt:variant>
      <vt:variant>
        <vt:i4>5</vt:i4>
      </vt:variant>
      <vt:variant>
        <vt:lpwstr>http://www.nevo.co.il/safrut/book/36018</vt:lpwstr>
      </vt:variant>
      <vt:variant>
        <vt:lpwstr/>
      </vt:variant>
      <vt:variant>
        <vt:i4>7995492</vt:i4>
      </vt:variant>
      <vt:variant>
        <vt:i4>99</vt:i4>
      </vt:variant>
      <vt:variant>
        <vt:i4>0</vt:i4>
      </vt:variant>
      <vt:variant>
        <vt:i4>5</vt:i4>
      </vt:variant>
      <vt:variant>
        <vt:lpwstr>http://www.nevo.co.il/law/70301</vt:lpwstr>
      </vt:variant>
      <vt:variant>
        <vt:lpwstr/>
      </vt:variant>
      <vt:variant>
        <vt:i4>3211382</vt:i4>
      </vt:variant>
      <vt:variant>
        <vt:i4>96</vt:i4>
      </vt:variant>
      <vt:variant>
        <vt:i4>0</vt:i4>
      </vt:variant>
      <vt:variant>
        <vt:i4>5</vt:i4>
      </vt:variant>
      <vt:variant>
        <vt:lpwstr>http://www.nevo.co.il/case/11303307</vt:lpwstr>
      </vt:variant>
      <vt:variant>
        <vt:lpwstr/>
      </vt:variant>
      <vt:variant>
        <vt:i4>3539057</vt:i4>
      </vt:variant>
      <vt:variant>
        <vt:i4>93</vt:i4>
      </vt:variant>
      <vt:variant>
        <vt:i4>0</vt:i4>
      </vt:variant>
      <vt:variant>
        <vt:i4>5</vt:i4>
      </vt:variant>
      <vt:variant>
        <vt:lpwstr>http://www.nevo.co.il/case/7958246</vt:lpwstr>
      </vt:variant>
      <vt:variant>
        <vt:lpwstr/>
      </vt:variant>
      <vt:variant>
        <vt:i4>3539056</vt:i4>
      </vt:variant>
      <vt:variant>
        <vt:i4>90</vt:i4>
      </vt:variant>
      <vt:variant>
        <vt:i4>0</vt:i4>
      </vt:variant>
      <vt:variant>
        <vt:i4>5</vt:i4>
      </vt:variant>
      <vt:variant>
        <vt:lpwstr>http://www.nevo.co.il/case/6473037</vt:lpwstr>
      </vt:variant>
      <vt:variant>
        <vt:lpwstr/>
      </vt:variant>
      <vt:variant>
        <vt:i4>3473521</vt:i4>
      </vt:variant>
      <vt:variant>
        <vt:i4>87</vt:i4>
      </vt:variant>
      <vt:variant>
        <vt:i4>0</vt:i4>
      </vt:variant>
      <vt:variant>
        <vt:i4>5</vt:i4>
      </vt:variant>
      <vt:variant>
        <vt:lpwstr>http://www.nevo.co.il/case/20033641</vt:lpwstr>
      </vt:variant>
      <vt:variant>
        <vt:lpwstr/>
      </vt:variant>
      <vt:variant>
        <vt:i4>3145849</vt:i4>
      </vt:variant>
      <vt:variant>
        <vt:i4>84</vt:i4>
      </vt:variant>
      <vt:variant>
        <vt:i4>0</vt:i4>
      </vt:variant>
      <vt:variant>
        <vt:i4>5</vt:i4>
      </vt:variant>
      <vt:variant>
        <vt:lpwstr>http://www.nevo.co.il/case/13093721</vt:lpwstr>
      </vt:variant>
      <vt:variant>
        <vt:lpwstr/>
      </vt:variant>
      <vt:variant>
        <vt:i4>7995492</vt:i4>
      </vt:variant>
      <vt:variant>
        <vt:i4>81</vt:i4>
      </vt:variant>
      <vt:variant>
        <vt:i4>0</vt:i4>
      </vt:variant>
      <vt:variant>
        <vt:i4>5</vt:i4>
      </vt:variant>
      <vt:variant>
        <vt:lpwstr>http://www.nevo.co.il/law/70301</vt:lpwstr>
      </vt:variant>
      <vt:variant>
        <vt:lpwstr/>
      </vt:variant>
      <vt:variant>
        <vt:i4>851994</vt:i4>
      </vt:variant>
      <vt:variant>
        <vt:i4>78</vt:i4>
      </vt:variant>
      <vt:variant>
        <vt:i4>0</vt:i4>
      </vt:variant>
      <vt:variant>
        <vt:i4>5</vt:i4>
      </vt:variant>
      <vt:variant>
        <vt:lpwstr>http://www.nevo.co.il/law/70301/40a;40.c</vt:lpwstr>
      </vt:variant>
      <vt:variant>
        <vt:lpwstr/>
      </vt:variant>
      <vt:variant>
        <vt:i4>7995492</vt:i4>
      </vt:variant>
      <vt:variant>
        <vt:i4>75</vt:i4>
      </vt:variant>
      <vt:variant>
        <vt:i4>0</vt:i4>
      </vt:variant>
      <vt:variant>
        <vt:i4>5</vt:i4>
      </vt:variant>
      <vt:variant>
        <vt:lpwstr>http://www.nevo.co.il/law/70301</vt:lpwstr>
      </vt:variant>
      <vt:variant>
        <vt:lpwstr/>
      </vt:variant>
      <vt:variant>
        <vt:i4>8257637</vt:i4>
      </vt:variant>
      <vt:variant>
        <vt:i4>72</vt:i4>
      </vt:variant>
      <vt:variant>
        <vt:i4>0</vt:i4>
      </vt:variant>
      <vt:variant>
        <vt:i4>5</vt:i4>
      </vt:variant>
      <vt:variant>
        <vt:lpwstr>http://www.nevo.co.il/law/4216</vt:lpwstr>
      </vt:variant>
      <vt:variant>
        <vt:lpwstr/>
      </vt:variant>
      <vt:variant>
        <vt:i4>3997821</vt:i4>
      </vt:variant>
      <vt:variant>
        <vt:i4>69</vt:i4>
      </vt:variant>
      <vt:variant>
        <vt:i4>0</vt:i4>
      </vt:variant>
      <vt:variant>
        <vt:i4>5</vt:i4>
      </vt:variant>
      <vt:variant>
        <vt:lpwstr>http://www.nevo.co.il/law/4216/7.a.;7.c</vt:lpwstr>
      </vt:variant>
      <vt:variant>
        <vt:lpwstr/>
      </vt:variant>
      <vt:variant>
        <vt:i4>7995492</vt:i4>
      </vt:variant>
      <vt:variant>
        <vt:i4>66</vt:i4>
      </vt:variant>
      <vt:variant>
        <vt:i4>0</vt:i4>
      </vt:variant>
      <vt:variant>
        <vt:i4>5</vt:i4>
      </vt:variant>
      <vt:variant>
        <vt:lpwstr>http://www.nevo.co.il/law/70301</vt:lpwstr>
      </vt:variant>
      <vt:variant>
        <vt:lpwstr/>
      </vt:variant>
      <vt:variant>
        <vt:i4>7143521</vt:i4>
      </vt:variant>
      <vt:variant>
        <vt:i4>63</vt:i4>
      </vt:variant>
      <vt:variant>
        <vt:i4>0</vt:i4>
      </vt:variant>
      <vt:variant>
        <vt:i4>5</vt:i4>
      </vt:variant>
      <vt:variant>
        <vt:lpwstr>http://www.nevo.co.il/law/70301/244;275</vt:lpwstr>
      </vt:variant>
      <vt:variant>
        <vt:lpwstr/>
      </vt:variant>
      <vt:variant>
        <vt:i4>7995492</vt:i4>
      </vt:variant>
      <vt:variant>
        <vt:i4>60</vt:i4>
      </vt:variant>
      <vt:variant>
        <vt:i4>0</vt:i4>
      </vt:variant>
      <vt:variant>
        <vt:i4>5</vt:i4>
      </vt:variant>
      <vt:variant>
        <vt:lpwstr>http://www.nevo.co.il/law/70301</vt:lpwstr>
      </vt:variant>
      <vt:variant>
        <vt:lpwstr/>
      </vt:variant>
      <vt:variant>
        <vt:i4>6750305</vt:i4>
      </vt:variant>
      <vt:variant>
        <vt:i4>57</vt:i4>
      </vt:variant>
      <vt:variant>
        <vt:i4>0</vt:i4>
      </vt:variant>
      <vt:variant>
        <vt:i4>5</vt:i4>
      </vt:variant>
      <vt:variant>
        <vt:lpwstr>http://www.nevo.co.il/law/70301/420</vt:lpwstr>
      </vt:variant>
      <vt:variant>
        <vt:lpwstr/>
      </vt:variant>
      <vt:variant>
        <vt:i4>8257573</vt:i4>
      </vt:variant>
      <vt:variant>
        <vt:i4>54</vt:i4>
      </vt:variant>
      <vt:variant>
        <vt:i4>0</vt:i4>
      </vt:variant>
      <vt:variant>
        <vt:i4>5</vt:i4>
      </vt:variant>
      <vt:variant>
        <vt:lpwstr>http://www.nevo.co.il/law/159510/40.c.1</vt:lpwstr>
      </vt:variant>
      <vt:variant>
        <vt:lpwstr/>
      </vt:variant>
      <vt:variant>
        <vt:i4>4849753</vt:i4>
      </vt:variant>
      <vt:variant>
        <vt:i4>51</vt:i4>
      </vt:variant>
      <vt:variant>
        <vt:i4>0</vt:i4>
      </vt:variant>
      <vt:variant>
        <vt:i4>5</vt:i4>
      </vt:variant>
      <vt:variant>
        <vt:lpwstr>http://www.nevo.co.il/law/159510</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8257637</vt:i4>
      </vt:variant>
      <vt:variant>
        <vt:i4>42</vt:i4>
      </vt:variant>
      <vt:variant>
        <vt:i4>0</vt:i4>
      </vt:variant>
      <vt:variant>
        <vt:i4>5</vt:i4>
      </vt:variant>
      <vt:variant>
        <vt:lpwstr>http://www.nevo.co.il/law/4216</vt:lpwstr>
      </vt:variant>
      <vt:variant>
        <vt:lpwstr/>
      </vt:variant>
      <vt:variant>
        <vt:i4>6750305</vt:i4>
      </vt:variant>
      <vt:variant>
        <vt:i4>39</vt:i4>
      </vt:variant>
      <vt:variant>
        <vt:i4>0</vt:i4>
      </vt:variant>
      <vt:variant>
        <vt:i4>5</vt:i4>
      </vt:variant>
      <vt:variant>
        <vt:lpwstr>http://www.nevo.co.il/law/70301/420</vt:lpwstr>
      </vt:variant>
      <vt:variant>
        <vt:lpwstr/>
      </vt:variant>
      <vt:variant>
        <vt:i4>6422631</vt:i4>
      </vt:variant>
      <vt:variant>
        <vt:i4>36</vt:i4>
      </vt:variant>
      <vt:variant>
        <vt:i4>0</vt:i4>
      </vt:variant>
      <vt:variant>
        <vt:i4>5</vt:i4>
      </vt:variant>
      <vt:variant>
        <vt:lpwstr>http://www.nevo.co.il/law/70301/275</vt:lpwstr>
      </vt:variant>
      <vt:variant>
        <vt:lpwstr/>
      </vt:variant>
      <vt:variant>
        <vt:i4>6357095</vt:i4>
      </vt:variant>
      <vt:variant>
        <vt:i4>33</vt:i4>
      </vt:variant>
      <vt:variant>
        <vt:i4>0</vt:i4>
      </vt:variant>
      <vt:variant>
        <vt:i4>5</vt:i4>
      </vt:variant>
      <vt:variant>
        <vt:lpwstr>http://www.nevo.co.il/law/70301/244</vt:lpwstr>
      </vt:variant>
      <vt:variant>
        <vt:lpwstr/>
      </vt:variant>
      <vt:variant>
        <vt:i4>6619233</vt:i4>
      </vt:variant>
      <vt:variant>
        <vt:i4>30</vt:i4>
      </vt:variant>
      <vt:variant>
        <vt:i4>0</vt:i4>
      </vt:variant>
      <vt:variant>
        <vt:i4>5</vt:i4>
      </vt:variant>
      <vt:variant>
        <vt:lpwstr>http://www.nevo.co.il/law/70301/40d</vt:lpwstr>
      </vt:variant>
      <vt:variant>
        <vt:lpwstr/>
      </vt:variant>
      <vt:variant>
        <vt:i4>6619233</vt:i4>
      </vt:variant>
      <vt:variant>
        <vt:i4>27</vt:i4>
      </vt:variant>
      <vt:variant>
        <vt:i4>0</vt:i4>
      </vt:variant>
      <vt:variant>
        <vt:i4>5</vt:i4>
      </vt:variant>
      <vt:variant>
        <vt:lpwstr>http://www.nevo.co.il/law/70301/40a</vt:lpwstr>
      </vt:variant>
      <vt:variant>
        <vt:lpwstr/>
      </vt:variant>
      <vt:variant>
        <vt:i4>131151</vt:i4>
      </vt:variant>
      <vt:variant>
        <vt:i4>24</vt:i4>
      </vt:variant>
      <vt:variant>
        <vt:i4>0</vt:i4>
      </vt:variant>
      <vt:variant>
        <vt:i4>5</vt:i4>
      </vt:variant>
      <vt:variant>
        <vt:lpwstr>http://www.nevo.co.il/law/70301/40.g</vt:lpwstr>
      </vt:variant>
      <vt:variant>
        <vt:lpwstr/>
      </vt:variant>
      <vt:variant>
        <vt:i4>196687</vt:i4>
      </vt:variant>
      <vt:variant>
        <vt:i4>21</vt:i4>
      </vt:variant>
      <vt:variant>
        <vt:i4>0</vt:i4>
      </vt:variant>
      <vt:variant>
        <vt:i4>5</vt:i4>
      </vt:variant>
      <vt:variant>
        <vt:lpwstr>http://www.nevo.co.il/law/70301/40.f.</vt:lpwstr>
      </vt:variant>
      <vt:variant>
        <vt:lpwstr/>
      </vt:variant>
      <vt:variant>
        <vt:i4>79</vt:i4>
      </vt:variant>
      <vt:variant>
        <vt:i4>18</vt:i4>
      </vt:variant>
      <vt:variant>
        <vt:i4>0</vt:i4>
      </vt:variant>
      <vt:variant>
        <vt:i4>5</vt:i4>
      </vt:variant>
      <vt:variant>
        <vt:lpwstr>http://www.nevo.co.il/law/70301/40.e</vt:lpwstr>
      </vt:variant>
      <vt:variant>
        <vt:lpwstr/>
      </vt:variant>
      <vt:variant>
        <vt:i4>393295</vt:i4>
      </vt:variant>
      <vt:variant>
        <vt:i4>15</vt:i4>
      </vt:variant>
      <vt:variant>
        <vt:i4>0</vt:i4>
      </vt:variant>
      <vt:variant>
        <vt:i4>5</vt:i4>
      </vt:variant>
      <vt:variant>
        <vt:lpwstr>http://www.nevo.co.il/law/70301/40.c</vt:lpwstr>
      </vt:variant>
      <vt:variant>
        <vt:lpwstr/>
      </vt:variant>
      <vt:variant>
        <vt:i4>7995492</vt:i4>
      </vt:variant>
      <vt:variant>
        <vt:i4>12</vt:i4>
      </vt:variant>
      <vt:variant>
        <vt:i4>0</vt:i4>
      </vt:variant>
      <vt:variant>
        <vt:i4>5</vt:i4>
      </vt:variant>
      <vt:variant>
        <vt:lpwstr>http://www.nevo.co.il/law/70301</vt:lpwstr>
      </vt:variant>
      <vt:variant>
        <vt:lpwstr/>
      </vt:variant>
      <vt:variant>
        <vt:i4>8257573</vt:i4>
      </vt:variant>
      <vt:variant>
        <vt:i4>9</vt:i4>
      </vt:variant>
      <vt:variant>
        <vt:i4>0</vt:i4>
      </vt:variant>
      <vt:variant>
        <vt:i4>5</vt:i4>
      </vt:variant>
      <vt:variant>
        <vt:lpwstr>http://www.nevo.co.il/law/159510/40.c.1</vt:lpwstr>
      </vt:variant>
      <vt:variant>
        <vt:lpwstr/>
      </vt:variant>
      <vt:variant>
        <vt:i4>4849753</vt:i4>
      </vt:variant>
      <vt:variant>
        <vt:i4>6</vt:i4>
      </vt:variant>
      <vt:variant>
        <vt:i4>0</vt:i4>
      </vt:variant>
      <vt:variant>
        <vt:i4>5</vt:i4>
      </vt:variant>
      <vt:variant>
        <vt:lpwstr>http://www.nevo.co.il/law/159510</vt:lpwstr>
      </vt:variant>
      <vt:variant>
        <vt:lpwstr/>
      </vt:variant>
      <vt:variant>
        <vt:i4>8126518</vt:i4>
      </vt:variant>
      <vt:variant>
        <vt:i4>3</vt:i4>
      </vt:variant>
      <vt:variant>
        <vt:i4>0</vt:i4>
      </vt:variant>
      <vt:variant>
        <vt:i4>5</vt:i4>
      </vt:variant>
      <vt:variant>
        <vt:lpwstr>http://www.nevo.co.il/safrut/book/29447</vt:lpwstr>
      </vt:variant>
      <vt:variant>
        <vt:lpwstr/>
      </vt:variant>
      <vt:variant>
        <vt:i4>7733299</vt:i4>
      </vt:variant>
      <vt:variant>
        <vt:i4>0</vt:i4>
      </vt:variant>
      <vt:variant>
        <vt:i4>0</vt:i4>
      </vt:variant>
      <vt:variant>
        <vt:i4>5</vt:i4>
      </vt:variant>
      <vt:variant>
        <vt:lpwstr>http://www.nevo.co.il/safrut/book/36018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2025-04-23T00:56:00Z</dcterms:created>
  <dcterms:modified xsi:type="dcterms:W3CDTF">2025-04-23T00:56:00Z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16982</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ניקה אטנלובי</vt:lpwstr>
  </property>
  <property fmtid="{D5CDD505-2E9C-101B-9397-08002B2CF9AE}" pid="10" name="JUDGE">
    <vt:lpwstr>יוני לבני</vt:lpwstr>
  </property>
  <property fmtid="{D5CDD505-2E9C-101B-9397-08002B2CF9AE}" pid="11" name="CITY">
    <vt:lpwstr>ראשל"צ</vt:lpwstr>
  </property>
  <property fmtid="{D5CDD505-2E9C-101B-9397-08002B2CF9AE}" pid="12" name="DATE">
    <vt:lpwstr>20230123</vt:lpwstr>
  </property>
  <property fmtid="{D5CDD505-2E9C-101B-9397-08002B2CF9AE}" pid="13" name="TYPE_N_DATE">
    <vt:lpwstr>38020230123</vt:lpwstr>
  </property>
  <property fmtid="{D5CDD505-2E9C-101B-9397-08002B2CF9AE}" pid="14" name="WORDNUMPAGES">
    <vt:lpwstr>20</vt:lpwstr>
  </property>
  <property fmtid="{D5CDD505-2E9C-101B-9397-08002B2CF9AE}" pid="15" name="TYPE_ABS_DATE">
    <vt:lpwstr>380120230123</vt:lpwstr>
  </property>
  <property fmtid="{D5CDD505-2E9C-101B-9397-08002B2CF9AE}" pid="16" name="ISABSTRACT">
    <vt:lpwstr>Y</vt:lpwstr>
  </property>
  <property fmtid="{D5CDD505-2E9C-101B-9397-08002B2CF9AE}" pid="17" name="CASESLISTTMP1">
    <vt:lpwstr>13093721;20033641;6473037;7958246;11303307;17992396;20683594;23748920;21508469;5904301;5726552;11279200;20528878;21535657;25347812;5627894;24945426;25911719;20508063;21477237;21479956;5919787;25430225;25059769;6094500;21003552;25459244;17954253;8457254</vt:lpwstr>
  </property>
  <property fmtid="{D5CDD505-2E9C-101B-9397-08002B2CF9AE}" pid="18" name="CASESLISTTMP2">
    <vt:lpwstr>5784437;20787999;5587830;6031891</vt:lpwstr>
  </property>
  <property fmtid="{D5CDD505-2E9C-101B-9397-08002B2CF9AE}" pid="19" name="BOOKLISTTMP1">
    <vt:lpwstr>36018;29447</vt:lpwstr>
  </property>
  <property fmtid="{D5CDD505-2E9C-101B-9397-08002B2CF9AE}" pid="20" name="LAWLISTTMP1">
    <vt:lpwstr>159510/040.c.1</vt:lpwstr>
  </property>
  <property fmtid="{D5CDD505-2E9C-101B-9397-08002B2CF9AE}" pid="21" name="LAWLISTTMP2">
    <vt:lpwstr>70301/420;244;275;040a;040.c;040.f;040.g;040d;040.e</vt:lpwstr>
  </property>
  <property fmtid="{D5CDD505-2E9C-101B-9397-08002B2CF9AE}" pid="22" name="LAWLISTTMP3">
    <vt:lpwstr>4216/007.a;007.c</vt:lpwstr>
  </property>
  <property fmtid="{D5CDD505-2E9C-101B-9397-08002B2CF9AE}" pid="23" name="METAKZER">
    <vt:lpwstr>עומרי</vt:lpwstr>
  </property>
  <property fmtid="{D5CDD505-2E9C-101B-9397-08002B2CF9AE}" pid="24" name="NOSE1ID">
    <vt:lpwstr>77</vt:lpwstr>
  </property>
  <property fmtid="{D5CDD505-2E9C-101B-9397-08002B2CF9AE}" pid="25" name="NOSE2ID">
    <vt:lpwstr>1446</vt:lpwstr>
  </property>
  <property fmtid="{D5CDD505-2E9C-101B-9397-08002B2CF9AE}" pid="26" name="NOSE3ID">
    <vt:lpwstr>15166</vt:lpwstr>
  </property>
  <property fmtid="{D5CDD505-2E9C-101B-9397-08002B2CF9AE}" pid="27" name="NOSE11">
    <vt:lpwstr>עונשין</vt:lpwstr>
  </property>
  <property fmtid="{D5CDD505-2E9C-101B-9397-08002B2CF9AE}" pid="28" name="NOSE21">
    <vt:lpwstr>ענישה</vt:lpwstr>
  </property>
  <property fmtid="{D5CDD505-2E9C-101B-9397-08002B2CF9AE}" pid="29" name="NOSE31">
    <vt:lpwstr>מדיניות ענישה: עבירות מרמה</vt:lpwstr>
  </property>
  <property fmtid="{D5CDD505-2E9C-101B-9397-08002B2CF9AE}" pid="30" name="NOSE12">
    <vt:lpwstr/>
  </property>
  <property fmtid="{D5CDD505-2E9C-101B-9397-08002B2CF9AE}" pid="31" name="NOSE22">
    <vt:lpwstr/>
  </property>
  <property fmtid="{D5CDD505-2E9C-101B-9397-08002B2CF9AE}" pid="32" name="NOSE3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18">
    <vt:lpwstr/>
  </property>
  <property fmtid="{D5CDD505-2E9C-101B-9397-08002B2CF9AE}" pid="49" name="NOSE28">
    <vt:lpwstr/>
  </property>
  <property fmtid="{D5CDD505-2E9C-101B-9397-08002B2CF9AE}" pid="50" name="NOSE3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110">
    <vt:lpwstr/>
  </property>
  <property fmtid="{D5CDD505-2E9C-101B-9397-08002B2CF9AE}" pid="55" name="NOSE210">
    <vt:lpwstr/>
  </property>
  <property fmtid="{D5CDD505-2E9C-101B-9397-08002B2CF9AE}" pid="56" name="NOSE310">
    <vt:lpwstr/>
  </property>
  <property fmtid="{D5CDD505-2E9C-101B-9397-08002B2CF9AE}" pid="57" name="PADIMAIL">
    <vt:lpwstr>YES</vt:lpwstr>
  </property>
  <property fmtid="{D5CDD505-2E9C-101B-9397-08002B2CF9AE}" pid="58" name="PADIDATE">
    <vt:lpwstr>20230201</vt:lpwstr>
  </property>
  <property fmtid="{D5CDD505-2E9C-101B-9397-08002B2CF9AE}" pid="59" name="LAWYER">
    <vt:lpwstr/>
  </property>
  <property fmtid="{D5CDD505-2E9C-101B-9397-08002B2CF9AE}" pid="60" name="APPELLANT1">
    <vt:lpwstr/>
  </property>
  <property fmtid="{D5CDD505-2E9C-101B-9397-08002B2CF9AE}" pid="61" name="APPELLANT2">
    <vt:lpwstr/>
  </property>
  <property fmtid="{D5CDD505-2E9C-101B-9397-08002B2CF9AE}" pid="62" name="APPELLEE1">
    <vt:lpwstr/>
  </property>
  <property fmtid="{D5CDD505-2E9C-101B-9397-08002B2CF9AE}" pid="63" name="APPELLEE2">
    <vt:lpwstr/>
  </property>
  <property fmtid="{D5CDD505-2E9C-101B-9397-08002B2CF9AE}" pid="64" name="PROCESS">
    <vt:lpwstr/>
  </property>
  <property fmtid="{D5CDD505-2E9C-101B-9397-08002B2CF9AE}" pid="65" name="PROCNUM">
    <vt:lpwstr/>
  </property>
  <property fmtid="{D5CDD505-2E9C-101B-9397-08002B2CF9AE}" pid="66" name="PROCYEAR">
    <vt:lpwstr/>
  </property>
  <property fmtid="{D5CDD505-2E9C-101B-9397-08002B2CF9AE}" pid="67" name="VOLUME">
    <vt:lpwstr/>
  </property>
  <property fmtid="{D5CDD505-2E9C-101B-9397-08002B2CF9AE}" pid="68" name="PART">
    <vt:lpwstr/>
  </property>
  <property fmtid="{D5CDD505-2E9C-101B-9397-08002B2CF9AE}" pid="69" name="PAGE">
    <vt:lpwstr/>
  </property>
  <property fmtid="{D5CDD505-2E9C-101B-9397-08002B2CF9AE}" pid="70" name="DELEMATA">
    <vt:lpwstr/>
  </property>
  <property fmtid="{D5CDD505-2E9C-101B-9397-08002B2CF9AE}" pid="71" name="LINKK1">
    <vt:lpwstr/>
  </property>
  <property fmtid="{D5CDD505-2E9C-101B-9397-08002B2CF9AE}" pid="72" name="LINKK2">
    <vt:lpwstr/>
  </property>
  <property fmtid="{D5CDD505-2E9C-101B-9397-08002B2CF9AE}" pid="73" name="LINKK3">
    <vt:lpwstr/>
  </property>
  <property fmtid="{D5CDD505-2E9C-101B-9397-08002B2CF9AE}" pid="74" name="LINKK4">
    <vt:lpwstr/>
  </property>
  <property fmtid="{D5CDD505-2E9C-101B-9397-08002B2CF9AE}" pid="75" name="LINKK5">
    <vt:lpwstr/>
  </property>
</Properties>
</file>