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8"/>
        <w:gridCol w:w="3575"/>
      </w:tblGrid>
      <w:tr w:rsidR="00541122" w:rsidRPr="00982E19" w14:paraId="7B24DC7D" w14:textId="77777777" w:rsidTr="00313B0B">
        <w:trPr>
          <w:trHeight w:hRule="exact" w:val="418"/>
          <w:jc w:val="center"/>
        </w:trPr>
        <w:tc>
          <w:tcPr>
            <w:tcW w:w="8523" w:type="dxa"/>
            <w:gridSpan w:val="2"/>
          </w:tcPr>
          <w:p w14:paraId="393D2E45" w14:textId="77777777" w:rsidR="00541122" w:rsidRPr="00982E19" w:rsidRDefault="00541122" w:rsidP="002826DA">
            <w:pPr>
              <w:pStyle w:val="a3"/>
              <w:jc w:val="center"/>
              <w:rPr>
                <w:rFonts w:ascii="Tahoma" w:hAnsi="Tahoma"/>
                <w:color w:val="000080"/>
                <w:sz w:val="32"/>
                <w:szCs w:val="32"/>
                <w:rtl/>
              </w:rPr>
            </w:pPr>
            <w:bookmarkStart w:id="0" w:name="LastJudge"/>
            <w:r w:rsidRPr="00982E19">
              <w:rPr>
                <w:rFonts w:ascii="Tahoma" w:hAnsi="Tahoma"/>
                <w:b/>
                <w:bCs/>
                <w:color w:val="000080"/>
                <w:sz w:val="32"/>
                <w:szCs w:val="32"/>
                <w:rtl/>
              </w:rPr>
              <w:t>בית משפט השלום בתל אביב -יפו</w:t>
            </w:r>
          </w:p>
        </w:tc>
      </w:tr>
      <w:tr w:rsidR="00541122" w:rsidRPr="00982E19" w14:paraId="791651D0" w14:textId="77777777" w:rsidTr="00313B0B">
        <w:trPr>
          <w:trHeight w:val="337"/>
          <w:jc w:val="center"/>
        </w:trPr>
        <w:tc>
          <w:tcPr>
            <w:tcW w:w="4948" w:type="dxa"/>
          </w:tcPr>
          <w:p w14:paraId="502B95EE" w14:textId="77777777" w:rsidR="00541122" w:rsidRPr="00982E19" w:rsidRDefault="00541122" w:rsidP="002826DA">
            <w:pPr>
              <w:rPr>
                <w:sz w:val="26"/>
                <w:szCs w:val="26"/>
                <w:rtl/>
              </w:rPr>
            </w:pPr>
            <w:r w:rsidRPr="00982E19">
              <w:rPr>
                <w:sz w:val="26"/>
                <w:szCs w:val="26"/>
                <w:rtl/>
              </w:rPr>
              <w:t>ת"פ</w:t>
            </w:r>
            <w:r w:rsidRPr="00982E19">
              <w:rPr>
                <w:rFonts w:hint="cs"/>
                <w:sz w:val="26"/>
                <w:szCs w:val="26"/>
                <w:rtl/>
              </w:rPr>
              <w:t xml:space="preserve"> </w:t>
            </w:r>
            <w:r w:rsidRPr="00982E19">
              <w:rPr>
                <w:sz w:val="26"/>
                <w:szCs w:val="26"/>
                <w:rtl/>
              </w:rPr>
              <w:t>22061-03-21</w:t>
            </w:r>
            <w:r w:rsidRPr="00982E19">
              <w:rPr>
                <w:rFonts w:hint="cs"/>
                <w:sz w:val="26"/>
                <w:szCs w:val="26"/>
                <w:rtl/>
              </w:rPr>
              <w:t xml:space="preserve"> </w:t>
            </w:r>
            <w:r w:rsidRPr="00982E19">
              <w:rPr>
                <w:sz w:val="26"/>
                <w:szCs w:val="26"/>
                <w:rtl/>
              </w:rPr>
              <w:t>מדינת ישראל נ' קריספין</w:t>
            </w:r>
          </w:p>
        </w:tc>
        <w:tc>
          <w:tcPr>
            <w:tcW w:w="3575" w:type="dxa"/>
          </w:tcPr>
          <w:p w14:paraId="3323A24E" w14:textId="77777777" w:rsidR="00541122" w:rsidRPr="00982E19" w:rsidRDefault="00541122" w:rsidP="002826DA">
            <w:pPr>
              <w:pStyle w:val="a3"/>
              <w:jc w:val="right"/>
              <w:rPr>
                <w:rFonts w:cs="FrankRuehl"/>
                <w:sz w:val="28"/>
                <w:szCs w:val="28"/>
                <w:rtl/>
              </w:rPr>
            </w:pPr>
          </w:p>
        </w:tc>
      </w:tr>
    </w:tbl>
    <w:p w14:paraId="684DA3B4" w14:textId="77777777" w:rsidR="00541122" w:rsidRPr="00982E19" w:rsidRDefault="00541122" w:rsidP="00541122">
      <w:pPr>
        <w:pStyle w:val="a3"/>
        <w:rPr>
          <w:rtl/>
        </w:rPr>
      </w:pPr>
      <w:r w:rsidRPr="00982E19">
        <w:rPr>
          <w:rFonts w:hint="cs"/>
          <w:rtl/>
        </w:rPr>
        <w:t xml:space="preserve"> </w:t>
      </w:r>
    </w:p>
    <w:p w14:paraId="058E1612" w14:textId="77777777" w:rsidR="00541122" w:rsidRPr="00982E19" w:rsidRDefault="00541122" w:rsidP="00541122">
      <w:pPr>
        <w:rPr>
          <w:rtl/>
        </w:rPr>
      </w:pPr>
    </w:p>
    <w:p w14:paraId="36F176AC" w14:textId="77777777" w:rsidR="00541122" w:rsidRPr="00982E19" w:rsidRDefault="00541122" w:rsidP="0054112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8"/>
        <w:gridCol w:w="3397"/>
      </w:tblGrid>
      <w:tr w:rsidR="00541122" w:rsidRPr="00982E19" w14:paraId="25AC06CB" w14:textId="77777777" w:rsidTr="00541122">
        <w:trPr>
          <w:trHeight w:val="295"/>
          <w:jc w:val="center"/>
        </w:trPr>
        <w:tc>
          <w:tcPr>
            <w:tcW w:w="8820" w:type="dxa"/>
            <w:gridSpan w:val="3"/>
            <w:tcBorders>
              <w:top w:val="nil"/>
              <w:left w:val="nil"/>
              <w:bottom w:val="nil"/>
              <w:right w:val="nil"/>
            </w:tcBorders>
            <w:shd w:val="clear" w:color="auto" w:fill="auto"/>
          </w:tcPr>
          <w:p w14:paraId="68627EEC" w14:textId="77777777" w:rsidR="00541122" w:rsidRPr="00982E19" w:rsidRDefault="00541122" w:rsidP="00541122">
            <w:pPr>
              <w:jc w:val="both"/>
              <w:rPr>
                <w:rFonts w:ascii="Arial" w:hAnsi="Arial"/>
                <w:b/>
                <w:bCs/>
                <w:sz w:val="26"/>
                <w:szCs w:val="26"/>
              </w:rPr>
            </w:pPr>
            <w:r w:rsidRPr="00982E19">
              <w:rPr>
                <w:rFonts w:ascii="Arial" w:hAnsi="Arial" w:hint="cs"/>
                <w:b/>
                <w:bCs/>
                <w:sz w:val="26"/>
                <w:szCs w:val="26"/>
                <w:rtl/>
              </w:rPr>
              <w:t>ל</w:t>
            </w:r>
            <w:r w:rsidRPr="00982E19">
              <w:rPr>
                <w:rFonts w:ascii="Arial" w:hAnsi="Arial"/>
                <w:b/>
                <w:bCs/>
                <w:sz w:val="26"/>
                <w:szCs w:val="26"/>
                <w:rtl/>
              </w:rPr>
              <w:t xml:space="preserve">פני </w:t>
            </w:r>
            <w:r w:rsidRPr="00982E19">
              <w:rPr>
                <w:rFonts w:ascii="Arial" w:hAnsi="Arial" w:hint="cs"/>
                <w:b/>
                <w:bCs/>
                <w:sz w:val="26"/>
                <w:szCs w:val="26"/>
                <w:rtl/>
              </w:rPr>
              <w:t>כבוד ה</w:t>
            </w:r>
            <w:r w:rsidRPr="00982E19">
              <w:rPr>
                <w:rFonts w:ascii="Arial" w:hAnsi="Arial"/>
                <w:b/>
                <w:bCs/>
                <w:sz w:val="26"/>
                <w:szCs w:val="26"/>
                <w:rtl/>
              </w:rPr>
              <w:t>שופט</w:t>
            </w:r>
            <w:r w:rsidRPr="00982E19">
              <w:rPr>
                <w:rFonts w:ascii="Arial" w:hAnsi="Arial" w:hint="cs"/>
                <w:b/>
                <w:bCs/>
                <w:sz w:val="26"/>
                <w:szCs w:val="26"/>
                <w:rtl/>
              </w:rPr>
              <w:t xml:space="preserve">  </w:t>
            </w:r>
            <w:r w:rsidRPr="00982E19">
              <w:rPr>
                <w:rFonts w:ascii="Arial" w:hAnsi="Arial"/>
                <w:b/>
                <w:bCs/>
                <w:sz w:val="26"/>
                <w:szCs w:val="26"/>
                <w:rtl/>
              </w:rPr>
              <w:t>איתן קורנהאוזר</w:t>
            </w:r>
          </w:p>
        </w:tc>
      </w:tr>
      <w:tr w:rsidR="00541122" w:rsidRPr="00982E19" w14:paraId="01DCAF76" w14:textId="77777777" w:rsidTr="00541122">
        <w:trPr>
          <w:trHeight w:val="355"/>
          <w:jc w:val="center"/>
        </w:trPr>
        <w:tc>
          <w:tcPr>
            <w:tcW w:w="885" w:type="dxa"/>
            <w:tcBorders>
              <w:top w:val="nil"/>
              <w:left w:val="nil"/>
              <w:bottom w:val="nil"/>
              <w:right w:val="nil"/>
            </w:tcBorders>
            <w:shd w:val="clear" w:color="auto" w:fill="auto"/>
          </w:tcPr>
          <w:p w14:paraId="538D522B" w14:textId="77777777" w:rsidR="00541122" w:rsidRPr="00982E19" w:rsidRDefault="00541122" w:rsidP="00541122">
            <w:pPr>
              <w:jc w:val="both"/>
              <w:rPr>
                <w:rFonts w:ascii="Arial" w:hAnsi="Arial"/>
                <w:b/>
                <w:bCs/>
                <w:sz w:val="26"/>
                <w:szCs w:val="26"/>
              </w:rPr>
            </w:pPr>
            <w:bookmarkStart w:id="1" w:name="FirstAppellant"/>
            <w:bookmarkStart w:id="2" w:name="FirstLawyer"/>
            <w:r w:rsidRPr="00982E19">
              <w:rPr>
                <w:rFonts w:ascii="Arial" w:hAnsi="Arial" w:hint="cs"/>
                <w:sz w:val="26"/>
                <w:szCs w:val="26"/>
                <w:rtl/>
              </w:rPr>
              <w:t>ה</w:t>
            </w:r>
            <w:r w:rsidRPr="00982E19">
              <w:rPr>
                <w:rFonts w:ascii="Arial" w:hAnsi="Arial"/>
                <w:sz w:val="26"/>
                <w:szCs w:val="26"/>
                <w:rtl/>
              </w:rPr>
              <w:t>מאשימה</w:t>
            </w:r>
          </w:p>
        </w:tc>
        <w:tc>
          <w:tcPr>
            <w:tcW w:w="4384" w:type="dxa"/>
            <w:tcBorders>
              <w:top w:val="nil"/>
              <w:left w:val="nil"/>
              <w:bottom w:val="nil"/>
              <w:right w:val="nil"/>
            </w:tcBorders>
            <w:shd w:val="clear" w:color="auto" w:fill="auto"/>
          </w:tcPr>
          <w:p w14:paraId="6F960CD7" w14:textId="77777777" w:rsidR="00541122" w:rsidRPr="00982E19" w:rsidRDefault="00541122" w:rsidP="002826DA">
            <w:pPr>
              <w:rPr>
                <w:sz w:val="26"/>
                <w:szCs w:val="26"/>
                <w:rtl/>
              </w:rPr>
            </w:pPr>
            <w:r w:rsidRPr="00982E19">
              <w:rPr>
                <w:rFonts w:ascii="Arial" w:hAnsi="Arial"/>
                <w:sz w:val="26"/>
                <w:szCs w:val="26"/>
                <w:rtl/>
              </w:rPr>
              <w:t>מדינת ישראל</w:t>
            </w:r>
          </w:p>
          <w:p w14:paraId="6A779069" w14:textId="77777777" w:rsidR="00541122" w:rsidRPr="00982E19" w:rsidRDefault="00541122" w:rsidP="002826DA">
            <w:pPr>
              <w:rPr>
                <w:sz w:val="26"/>
                <w:szCs w:val="26"/>
              </w:rPr>
            </w:pPr>
            <w:r w:rsidRPr="00982E19">
              <w:rPr>
                <w:rFonts w:hint="cs"/>
                <w:sz w:val="26"/>
                <w:szCs w:val="26"/>
                <w:rtl/>
              </w:rPr>
              <w:t>ע"י ב"כ עו"ד לינור מימון</w:t>
            </w:r>
          </w:p>
        </w:tc>
        <w:tc>
          <w:tcPr>
            <w:tcW w:w="3551" w:type="dxa"/>
            <w:tcBorders>
              <w:top w:val="nil"/>
              <w:left w:val="nil"/>
              <w:bottom w:val="nil"/>
              <w:right w:val="nil"/>
            </w:tcBorders>
            <w:shd w:val="clear" w:color="auto" w:fill="auto"/>
          </w:tcPr>
          <w:p w14:paraId="07EBF32D" w14:textId="77777777" w:rsidR="00541122" w:rsidRPr="00982E19" w:rsidRDefault="00541122" w:rsidP="00541122">
            <w:pPr>
              <w:jc w:val="both"/>
              <w:rPr>
                <w:rFonts w:ascii="Arial" w:hAnsi="Arial"/>
                <w:sz w:val="26"/>
                <w:szCs w:val="26"/>
              </w:rPr>
            </w:pPr>
          </w:p>
        </w:tc>
      </w:tr>
      <w:bookmarkEnd w:id="1"/>
      <w:bookmarkEnd w:id="2"/>
      <w:tr w:rsidR="00541122" w:rsidRPr="00982E19" w14:paraId="3796341A" w14:textId="77777777" w:rsidTr="00541122">
        <w:trPr>
          <w:trHeight w:val="373"/>
          <w:jc w:val="center"/>
        </w:trPr>
        <w:tc>
          <w:tcPr>
            <w:tcW w:w="885" w:type="dxa"/>
            <w:tcBorders>
              <w:top w:val="nil"/>
              <w:left w:val="nil"/>
              <w:bottom w:val="nil"/>
              <w:right w:val="nil"/>
            </w:tcBorders>
            <w:shd w:val="clear" w:color="auto" w:fill="auto"/>
          </w:tcPr>
          <w:p w14:paraId="0A43F87E" w14:textId="77777777" w:rsidR="00541122" w:rsidRPr="00982E19" w:rsidRDefault="00541122" w:rsidP="00541122">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6CA0BD35" w14:textId="77777777" w:rsidR="00541122" w:rsidRPr="00982E19" w:rsidRDefault="00541122" w:rsidP="00541122">
            <w:pPr>
              <w:jc w:val="center"/>
              <w:rPr>
                <w:rFonts w:ascii="Arial" w:hAnsi="Arial"/>
                <w:b/>
                <w:bCs/>
                <w:sz w:val="26"/>
                <w:szCs w:val="26"/>
                <w:rtl/>
              </w:rPr>
            </w:pPr>
          </w:p>
          <w:p w14:paraId="6D879D5E" w14:textId="77777777" w:rsidR="00541122" w:rsidRPr="00982E19" w:rsidRDefault="00541122" w:rsidP="00541122">
            <w:pPr>
              <w:jc w:val="center"/>
              <w:rPr>
                <w:rFonts w:ascii="Arial" w:hAnsi="Arial"/>
                <w:b/>
                <w:bCs/>
                <w:sz w:val="26"/>
                <w:szCs w:val="26"/>
                <w:rtl/>
              </w:rPr>
            </w:pPr>
            <w:r w:rsidRPr="00982E19">
              <w:rPr>
                <w:rFonts w:ascii="Arial" w:hAnsi="Arial"/>
                <w:b/>
                <w:bCs/>
                <w:sz w:val="26"/>
                <w:szCs w:val="26"/>
                <w:rtl/>
              </w:rPr>
              <w:t>נגד</w:t>
            </w:r>
          </w:p>
          <w:p w14:paraId="06AD0B46" w14:textId="77777777" w:rsidR="00541122" w:rsidRPr="00982E19" w:rsidRDefault="00541122" w:rsidP="00541122">
            <w:pPr>
              <w:jc w:val="both"/>
              <w:rPr>
                <w:rFonts w:ascii="Arial" w:hAnsi="Arial"/>
                <w:sz w:val="26"/>
                <w:szCs w:val="26"/>
              </w:rPr>
            </w:pPr>
          </w:p>
        </w:tc>
      </w:tr>
      <w:tr w:rsidR="00541122" w:rsidRPr="00982E19" w14:paraId="6CA3518B" w14:textId="77777777" w:rsidTr="00541122">
        <w:trPr>
          <w:trHeight w:val="355"/>
          <w:jc w:val="center"/>
        </w:trPr>
        <w:tc>
          <w:tcPr>
            <w:tcW w:w="885" w:type="dxa"/>
            <w:tcBorders>
              <w:top w:val="nil"/>
              <w:left w:val="nil"/>
              <w:bottom w:val="nil"/>
              <w:right w:val="nil"/>
            </w:tcBorders>
            <w:shd w:val="clear" w:color="auto" w:fill="auto"/>
          </w:tcPr>
          <w:p w14:paraId="1859A1B7" w14:textId="77777777" w:rsidR="00541122" w:rsidRPr="00982E19" w:rsidRDefault="00541122" w:rsidP="002826DA">
            <w:pPr>
              <w:rPr>
                <w:rFonts w:ascii="Arial" w:hAnsi="Arial"/>
                <w:sz w:val="26"/>
                <w:szCs w:val="26"/>
                <w:rtl/>
              </w:rPr>
            </w:pPr>
            <w:r w:rsidRPr="00982E19">
              <w:rPr>
                <w:rFonts w:ascii="Arial" w:hAnsi="Arial" w:hint="cs"/>
                <w:sz w:val="26"/>
                <w:szCs w:val="26"/>
                <w:rtl/>
              </w:rPr>
              <w:t>ה</w:t>
            </w:r>
            <w:r w:rsidRPr="00982E19">
              <w:rPr>
                <w:rFonts w:ascii="Arial" w:hAnsi="Arial"/>
                <w:sz w:val="26"/>
                <w:szCs w:val="26"/>
                <w:rtl/>
              </w:rPr>
              <w:t>נאשם</w:t>
            </w:r>
          </w:p>
        </w:tc>
        <w:tc>
          <w:tcPr>
            <w:tcW w:w="4384" w:type="dxa"/>
            <w:tcBorders>
              <w:top w:val="nil"/>
              <w:left w:val="nil"/>
              <w:bottom w:val="nil"/>
              <w:right w:val="nil"/>
            </w:tcBorders>
            <w:shd w:val="clear" w:color="auto" w:fill="auto"/>
          </w:tcPr>
          <w:p w14:paraId="419D9BE8" w14:textId="77777777" w:rsidR="00541122" w:rsidRPr="00982E19" w:rsidRDefault="00541122" w:rsidP="002826DA">
            <w:pPr>
              <w:rPr>
                <w:sz w:val="26"/>
                <w:szCs w:val="26"/>
                <w:rtl/>
              </w:rPr>
            </w:pPr>
            <w:r w:rsidRPr="00982E19">
              <w:rPr>
                <w:rFonts w:ascii="Arial" w:hAnsi="Arial"/>
                <w:sz w:val="26"/>
                <w:szCs w:val="26"/>
                <w:rtl/>
              </w:rPr>
              <w:t>מרדכי קריספין</w:t>
            </w:r>
          </w:p>
          <w:p w14:paraId="5672F67C" w14:textId="77777777" w:rsidR="00541122" w:rsidRPr="00982E19" w:rsidRDefault="00541122" w:rsidP="002826DA">
            <w:pPr>
              <w:rPr>
                <w:sz w:val="26"/>
                <w:szCs w:val="26"/>
                <w:rtl/>
              </w:rPr>
            </w:pPr>
            <w:r w:rsidRPr="00982E19">
              <w:rPr>
                <w:rFonts w:hint="cs"/>
                <w:sz w:val="26"/>
                <w:szCs w:val="26"/>
                <w:rtl/>
              </w:rPr>
              <w:t>ע"י ב"כ עו"ד אורלי פרייזלר</w:t>
            </w:r>
          </w:p>
        </w:tc>
        <w:tc>
          <w:tcPr>
            <w:tcW w:w="3551" w:type="dxa"/>
            <w:tcBorders>
              <w:top w:val="nil"/>
              <w:left w:val="nil"/>
              <w:bottom w:val="nil"/>
              <w:right w:val="nil"/>
            </w:tcBorders>
            <w:shd w:val="clear" w:color="auto" w:fill="auto"/>
          </w:tcPr>
          <w:p w14:paraId="1366DFC5" w14:textId="77777777" w:rsidR="00541122" w:rsidRPr="00982E19" w:rsidRDefault="00541122" w:rsidP="00541122">
            <w:pPr>
              <w:jc w:val="right"/>
              <w:rPr>
                <w:rFonts w:ascii="Arial" w:hAnsi="Arial"/>
                <w:sz w:val="26"/>
                <w:szCs w:val="26"/>
              </w:rPr>
            </w:pPr>
          </w:p>
        </w:tc>
      </w:tr>
    </w:tbl>
    <w:p w14:paraId="507C3E8D" w14:textId="77777777" w:rsidR="00313B0B" w:rsidRPr="00313B0B" w:rsidRDefault="00313B0B" w:rsidP="00313B0B">
      <w:pPr>
        <w:spacing w:before="120" w:after="120" w:line="240" w:lineRule="exact"/>
        <w:ind w:left="283" w:hanging="283"/>
        <w:jc w:val="both"/>
        <w:rPr>
          <w:rFonts w:ascii="FrankRuehl" w:hAnsi="FrankRuehl" w:cs="FrankRuehl"/>
          <w:rtl/>
        </w:rPr>
      </w:pPr>
    </w:p>
    <w:p w14:paraId="49788735" w14:textId="77777777" w:rsidR="0002774D" w:rsidRPr="0002774D" w:rsidRDefault="0002774D" w:rsidP="0002774D">
      <w:pPr>
        <w:spacing w:before="120" w:after="120" w:line="240" w:lineRule="exact"/>
        <w:ind w:left="283" w:hanging="283"/>
        <w:jc w:val="both"/>
        <w:rPr>
          <w:rFonts w:ascii="FrankRuehl" w:hAnsi="FrankRuehl" w:cs="FrankRuehl"/>
          <w:rtl/>
        </w:rPr>
      </w:pPr>
    </w:p>
    <w:p w14:paraId="2FE7C9E2" w14:textId="77777777" w:rsidR="00232EED" w:rsidRDefault="00232EED" w:rsidP="00232EED">
      <w:pPr>
        <w:rPr>
          <w:rtl/>
        </w:rPr>
      </w:pPr>
      <w:bookmarkStart w:id="3" w:name="LawTable"/>
      <w:bookmarkEnd w:id="3"/>
    </w:p>
    <w:p w14:paraId="6A389D78" w14:textId="77777777" w:rsidR="00232EED" w:rsidRPr="00232EED" w:rsidRDefault="00232EED" w:rsidP="00232EED">
      <w:pPr>
        <w:spacing w:before="120" w:after="120" w:line="240" w:lineRule="exact"/>
        <w:ind w:left="283" w:hanging="283"/>
        <w:jc w:val="both"/>
        <w:rPr>
          <w:rFonts w:ascii="FrankRuehl" w:hAnsi="FrankRuehl" w:cs="FrankRuehl"/>
          <w:rtl/>
        </w:rPr>
      </w:pPr>
    </w:p>
    <w:p w14:paraId="18FDF18B" w14:textId="77777777" w:rsidR="00232EED" w:rsidRPr="00232EED" w:rsidRDefault="00232EED" w:rsidP="00232EED">
      <w:pPr>
        <w:spacing w:before="120" w:after="120" w:line="240" w:lineRule="exact"/>
        <w:ind w:left="283" w:hanging="283"/>
        <w:jc w:val="both"/>
        <w:rPr>
          <w:rFonts w:ascii="FrankRuehl" w:hAnsi="FrankRuehl" w:cs="FrankRuehl"/>
          <w:rtl/>
        </w:rPr>
      </w:pPr>
    </w:p>
    <w:p w14:paraId="61281904" w14:textId="77777777" w:rsidR="00232EED" w:rsidRPr="00232EED" w:rsidRDefault="00232EED" w:rsidP="00232EED">
      <w:pPr>
        <w:spacing w:before="120" w:after="120" w:line="240" w:lineRule="exact"/>
        <w:ind w:left="283" w:hanging="283"/>
        <w:jc w:val="both"/>
        <w:rPr>
          <w:rFonts w:ascii="FrankRuehl" w:hAnsi="FrankRuehl" w:cs="FrankRuehl"/>
          <w:rtl/>
        </w:rPr>
      </w:pPr>
      <w:r w:rsidRPr="00232EED">
        <w:rPr>
          <w:rFonts w:ascii="FrankRuehl" w:hAnsi="FrankRuehl" w:cs="FrankRuehl"/>
          <w:rtl/>
        </w:rPr>
        <w:t xml:space="preserve">חקיקה שאוזכרה: </w:t>
      </w:r>
    </w:p>
    <w:p w14:paraId="5A549F25" w14:textId="77777777" w:rsidR="00232EED" w:rsidRPr="00232EED" w:rsidRDefault="00232EED" w:rsidP="00232EED">
      <w:pPr>
        <w:spacing w:before="120" w:after="120" w:line="240" w:lineRule="exact"/>
        <w:ind w:left="283" w:hanging="283"/>
        <w:jc w:val="both"/>
        <w:rPr>
          <w:rFonts w:ascii="FrankRuehl" w:hAnsi="FrankRuehl" w:cs="FrankRuehl"/>
          <w:rtl/>
        </w:rPr>
      </w:pPr>
      <w:hyperlink r:id="rId7" w:history="1">
        <w:r w:rsidRPr="00232EED">
          <w:rPr>
            <w:rFonts w:ascii="FrankRuehl" w:hAnsi="FrankRuehl" w:cs="FrankRuehl"/>
            <w:color w:val="0000FF"/>
            <w:rtl/>
          </w:rPr>
          <w:t>פקודת הסמים המסוכנים [נוסח חדש], תשל"ג-1973</w:t>
        </w:r>
      </w:hyperlink>
      <w:r w:rsidRPr="00232EED">
        <w:rPr>
          <w:rFonts w:ascii="FrankRuehl" w:hAnsi="FrankRuehl" w:cs="FrankRuehl"/>
          <w:rtl/>
        </w:rPr>
        <w:t xml:space="preserve">: סע'  </w:t>
      </w:r>
      <w:hyperlink r:id="rId8" w:history="1">
        <w:r w:rsidRPr="00232EED">
          <w:rPr>
            <w:rFonts w:ascii="FrankRuehl" w:hAnsi="FrankRuehl" w:cs="FrankRuehl"/>
            <w:color w:val="0000FF"/>
            <w:rtl/>
          </w:rPr>
          <w:t>6</w:t>
        </w:r>
      </w:hyperlink>
    </w:p>
    <w:p w14:paraId="7B6A2F78" w14:textId="77777777" w:rsidR="00232EED" w:rsidRPr="00232EED" w:rsidRDefault="00232EED" w:rsidP="00232EED">
      <w:pPr>
        <w:spacing w:before="120" w:after="120" w:line="240" w:lineRule="exact"/>
        <w:ind w:left="283" w:hanging="283"/>
        <w:jc w:val="both"/>
        <w:rPr>
          <w:rFonts w:ascii="FrankRuehl" w:hAnsi="FrankRuehl" w:cs="FrankRuehl"/>
          <w:rtl/>
        </w:rPr>
      </w:pPr>
      <w:hyperlink r:id="rId9" w:history="1">
        <w:r w:rsidRPr="00232EED">
          <w:rPr>
            <w:rFonts w:ascii="FrankRuehl" w:hAnsi="FrankRuehl" w:cs="FrankRuehl"/>
            <w:color w:val="0000FF"/>
            <w:rtl/>
          </w:rPr>
          <w:t>חוק העונשין, תשל"ז-1977</w:t>
        </w:r>
      </w:hyperlink>
      <w:r w:rsidRPr="00232EED">
        <w:rPr>
          <w:rFonts w:ascii="FrankRuehl" w:hAnsi="FrankRuehl" w:cs="FrankRuehl"/>
          <w:rtl/>
        </w:rPr>
        <w:t xml:space="preserve">: סע'  </w:t>
      </w:r>
      <w:hyperlink r:id="rId10" w:history="1">
        <w:r w:rsidRPr="00232EED">
          <w:rPr>
            <w:rFonts w:ascii="FrankRuehl" w:hAnsi="FrankRuehl" w:cs="FrankRuehl"/>
            <w:color w:val="0000FF"/>
            <w:rtl/>
          </w:rPr>
          <w:t>192</w:t>
        </w:r>
      </w:hyperlink>
    </w:p>
    <w:p w14:paraId="33AC176A" w14:textId="77777777" w:rsidR="00232EED" w:rsidRPr="00232EED" w:rsidRDefault="00232EED" w:rsidP="00232EED">
      <w:pPr>
        <w:rPr>
          <w:rtl/>
        </w:rPr>
      </w:pPr>
      <w:bookmarkStart w:id="4" w:name="LawTable_End"/>
      <w:bookmarkEnd w:id="4"/>
    </w:p>
    <w:p w14:paraId="6C0B0B0E" w14:textId="77777777" w:rsidR="00541122" w:rsidRPr="0002774D" w:rsidRDefault="00541122" w:rsidP="0002774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41122" w14:paraId="6A1F96E6" w14:textId="77777777" w:rsidTr="00541122">
        <w:trPr>
          <w:trHeight w:val="355"/>
          <w:jc w:val="center"/>
        </w:trPr>
        <w:tc>
          <w:tcPr>
            <w:tcW w:w="8820" w:type="dxa"/>
            <w:tcBorders>
              <w:top w:val="nil"/>
              <w:left w:val="nil"/>
              <w:bottom w:val="nil"/>
              <w:right w:val="nil"/>
            </w:tcBorders>
            <w:shd w:val="clear" w:color="auto" w:fill="auto"/>
          </w:tcPr>
          <w:p w14:paraId="7EB41836" w14:textId="77777777" w:rsidR="00982E19" w:rsidRPr="00982E19" w:rsidRDefault="00982E19" w:rsidP="00982E19">
            <w:pPr>
              <w:jc w:val="center"/>
              <w:rPr>
                <w:rFonts w:ascii="Arial" w:hAnsi="Arial"/>
                <w:b/>
                <w:bCs/>
                <w:sz w:val="28"/>
                <w:szCs w:val="28"/>
                <w:u w:val="single"/>
                <w:rtl/>
              </w:rPr>
            </w:pPr>
            <w:bookmarkStart w:id="5" w:name="PsakDin" w:colFirst="0" w:colLast="0"/>
            <w:bookmarkEnd w:id="0"/>
            <w:r w:rsidRPr="00982E19">
              <w:rPr>
                <w:rFonts w:ascii="Arial" w:hAnsi="Arial"/>
                <w:b/>
                <w:bCs/>
                <w:sz w:val="28"/>
                <w:szCs w:val="28"/>
                <w:u w:val="single"/>
                <w:rtl/>
              </w:rPr>
              <w:t>גזר דין</w:t>
            </w:r>
          </w:p>
          <w:p w14:paraId="5E11C0D5" w14:textId="77777777" w:rsidR="00541122" w:rsidRPr="00982E19" w:rsidRDefault="00541122" w:rsidP="00982E19">
            <w:pPr>
              <w:jc w:val="center"/>
              <w:rPr>
                <w:rFonts w:ascii="Arial" w:hAnsi="Arial"/>
                <w:bCs/>
                <w:sz w:val="28"/>
                <w:szCs w:val="28"/>
                <w:u w:val="single"/>
                <w:rtl/>
              </w:rPr>
            </w:pPr>
          </w:p>
        </w:tc>
      </w:tr>
      <w:bookmarkEnd w:id="5"/>
    </w:tbl>
    <w:p w14:paraId="58ECE87E" w14:textId="77777777" w:rsidR="00541122" w:rsidRPr="00B05847" w:rsidRDefault="00541122" w:rsidP="00541122">
      <w:pPr>
        <w:rPr>
          <w:rFonts w:ascii="Arial" w:hAnsi="Arial"/>
          <w:rtl/>
        </w:rPr>
      </w:pPr>
    </w:p>
    <w:p w14:paraId="13A01C0B" w14:textId="77777777" w:rsidR="00541122" w:rsidRPr="00541122" w:rsidRDefault="00541122" w:rsidP="00541122">
      <w:pPr>
        <w:spacing w:after="120" w:line="360" w:lineRule="auto"/>
        <w:jc w:val="both"/>
        <w:rPr>
          <w:rFonts w:ascii="David" w:eastAsia="Calibri" w:hAnsi="David"/>
          <w:b/>
          <w:bCs/>
          <w:u w:val="single"/>
        </w:rPr>
      </w:pPr>
      <w:r w:rsidRPr="00541122">
        <w:rPr>
          <w:rFonts w:ascii="David" w:eastAsia="Calibri" w:hAnsi="David" w:hint="cs"/>
          <w:b/>
          <w:bCs/>
          <w:u w:val="single"/>
          <w:rtl/>
        </w:rPr>
        <w:t>רקע ועובדות כתב האישום</w:t>
      </w:r>
    </w:p>
    <w:p w14:paraId="0060858D" w14:textId="77777777" w:rsidR="00541122" w:rsidRPr="00541122" w:rsidRDefault="00541122" w:rsidP="00541122">
      <w:pPr>
        <w:numPr>
          <w:ilvl w:val="0"/>
          <w:numId w:val="1"/>
        </w:numPr>
        <w:spacing w:after="120" w:line="360" w:lineRule="auto"/>
        <w:ind w:left="357" w:hanging="357"/>
        <w:jc w:val="both"/>
        <w:rPr>
          <w:rFonts w:ascii="David" w:eastAsia="Calibri" w:hAnsi="David"/>
        </w:rPr>
      </w:pPr>
      <w:bookmarkStart w:id="6" w:name="ABSTRACT_START"/>
      <w:bookmarkEnd w:id="6"/>
      <w:r w:rsidRPr="00541122">
        <w:rPr>
          <w:rFonts w:ascii="David" w:eastAsia="Calibri" w:hAnsi="David"/>
          <w:rtl/>
        </w:rPr>
        <w:t xml:space="preserve">הנאשם הורשע על יסוד הודאתו בעובדות כתב אישום מתוקן, בעבירה של גידול </w:t>
      </w:r>
      <w:r w:rsidRPr="00541122">
        <w:rPr>
          <w:rFonts w:ascii="David" w:eastAsia="Calibri" w:hAnsi="David" w:hint="cs"/>
          <w:rtl/>
        </w:rPr>
        <w:t>סם מסוכן -</w:t>
      </w:r>
      <w:r w:rsidRPr="00541122">
        <w:rPr>
          <w:rFonts w:ascii="David" w:eastAsia="Calibri" w:hAnsi="David"/>
          <w:rtl/>
        </w:rPr>
        <w:t xml:space="preserve"> לפי </w:t>
      </w:r>
      <w:hyperlink r:id="rId11" w:history="1">
        <w:r w:rsidR="00313B0B" w:rsidRPr="00313B0B">
          <w:rPr>
            <w:rStyle w:val="Hyperlink"/>
            <w:rFonts w:ascii="David" w:eastAsia="Calibri" w:hAnsi="David"/>
            <w:rtl/>
          </w:rPr>
          <w:t>סעיף 6</w:t>
        </w:r>
      </w:hyperlink>
      <w:r w:rsidRPr="00541122">
        <w:rPr>
          <w:rFonts w:ascii="David" w:eastAsia="Calibri" w:hAnsi="David"/>
          <w:rtl/>
        </w:rPr>
        <w:t xml:space="preserve"> ל</w:t>
      </w:r>
      <w:hyperlink r:id="rId12" w:history="1">
        <w:r w:rsidR="00982E19" w:rsidRPr="00982E19">
          <w:rPr>
            <w:rFonts w:ascii="David" w:eastAsia="Calibri" w:hAnsi="David"/>
            <w:color w:val="0000FF"/>
            <w:u w:val="single"/>
            <w:rtl/>
          </w:rPr>
          <w:t>פקודת הסמים המסוכנים</w:t>
        </w:r>
      </w:hyperlink>
      <w:r w:rsidRPr="00541122">
        <w:rPr>
          <w:rFonts w:ascii="David" w:eastAsia="Calibri" w:hAnsi="David"/>
          <w:rtl/>
        </w:rPr>
        <w:t xml:space="preserve"> [נוסח חדש], תשל"ג- 1973 (להלן: </w:t>
      </w:r>
      <w:r w:rsidRPr="00541122">
        <w:rPr>
          <w:rFonts w:ascii="David" w:eastAsia="Calibri" w:hAnsi="David"/>
          <w:b/>
          <w:bCs/>
          <w:rtl/>
        </w:rPr>
        <w:t>"פקודת הסמים המסוכנים"</w:t>
      </w:r>
      <w:r w:rsidRPr="00541122">
        <w:rPr>
          <w:rFonts w:ascii="David" w:eastAsia="Calibri" w:hAnsi="David"/>
          <w:rtl/>
        </w:rPr>
        <w:t xml:space="preserve">) ובעבירה של איומים </w:t>
      </w:r>
      <w:r w:rsidRPr="00541122">
        <w:rPr>
          <w:rFonts w:ascii="David" w:eastAsia="Calibri" w:hAnsi="David" w:hint="cs"/>
          <w:rtl/>
        </w:rPr>
        <w:t xml:space="preserve">- </w:t>
      </w:r>
      <w:r w:rsidRPr="00541122">
        <w:rPr>
          <w:rFonts w:ascii="David" w:eastAsia="Calibri" w:hAnsi="David"/>
          <w:rtl/>
        </w:rPr>
        <w:t xml:space="preserve">לפי </w:t>
      </w:r>
      <w:hyperlink r:id="rId13" w:history="1">
        <w:r w:rsidR="00313B0B" w:rsidRPr="00313B0B">
          <w:rPr>
            <w:rStyle w:val="Hyperlink"/>
            <w:rFonts w:ascii="David" w:eastAsia="Calibri" w:hAnsi="David"/>
            <w:rtl/>
          </w:rPr>
          <w:t>סעיף 192</w:t>
        </w:r>
      </w:hyperlink>
      <w:r w:rsidRPr="00541122">
        <w:rPr>
          <w:rFonts w:ascii="David" w:eastAsia="Calibri" w:hAnsi="David"/>
          <w:rtl/>
        </w:rPr>
        <w:t xml:space="preserve"> ל</w:t>
      </w:r>
      <w:hyperlink r:id="rId14" w:history="1">
        <w:r w:rsidR="00982E19" w:rsidRPr="00982E19">
          <w:rPr>
            <w:rFonts w:ascii="David" w:eastAsia="Calibri" w:hAnsi="David"/>
            <w:color w:val="0000FF"/>
            <w:u w:val="single"/>
            <w:rtl/>
          </w:rPr>
          <w:t>חוק העונשין</w:t>
        </w:r>
      </w:hyperlink>
      <w:r w:rsidRPr="00541122">
        <w:rPr>
          <w:rFonts w:ascii="David" w:eastAsia="Calibri" w:hAnsi="David"/>
          <w:rtl/>
        </w:rPr>
        <w:t xml:space="preserve">, תשל"ז – 1977 </w:t>
      </w:r>
      <w:bookmarkStart w:id="7" w:name="ABSTRACT_END"/>
      <w:bookmarkEnd w:id="7"/>
      <w:r w:rsidRPr="00541122">
        <w:rPr>
          <w:rFonts w:ascii="David" w:eastAsia="Calibri" w:hAnsi="David"/>
          <w:rtl/>
        </w:rPr>
        <w:t xml:space="preserve">(להלן: </w:t>
      </w:r>
      <w:r w:rsidRPr="00541122">
        <w:rPr>
          <w:rFonts w:ascii="David" w:eastAsia="Calibri" w:hAnsi="David"/>
          <w:b/>
          <w:bCs/>
          <w:rtl/>
        </w:rPr>
        <w:t>"חוק העונשין"</w:t>
      </w:r>
      <w:r w:rsidRPr="00541122">
        <w:rPr>
          <w:rFonts w:ascii="David" w:eastAsia="Calibri" w:hAnsi="David"/>
          <w:rtl/>
        </w:rPr>
        <w:t>).</w:t>
      </w:r>
    </w:p>
    <w:p w14:paraId="11F02481" w14:textId="77777777" w:rsidR="00541122" w:rsidRPr="00541122" w:rsidRDefault="00541122" w:rsidP="00541122">
      <w:pPr>
        <w:spacing w:after="120" w:line="360" w:lineRule="auto"/>
        <w:ind w:left="357"/>
        <w:jc w:val="both"/>
        <w:rPr>
          <w:rFonts w:ascii="David" w:eastAsia="Calibri" w:hAnsi="David"/>
        </w:rPr>
      </w:pPr>
    </w:p>
    <w:p w14:paraId="44B517C5" w14:textId="77777777" w:rsidR="00541122" w:rsidRPr="00541122" w:rsidRDefault="00541122" w:rsidP="00541122">
      <w:pPr>
        <w:pStyle w:val="aa"/>
        <w:numPr>
          <w:ilvl w:val="0"/>
          <w:numId w:val="1"/>
        </w:numPr>
        <w:spacing w:after="120" w:line="360" w:lineRule="auto"/>
        <w:jc w:val="both"/>
        <w:rPr>
          <w:rFonts w:ascii="David" w:hAnsi="David"/>
        </w:rPr>
      </w:pPr>
      <w:r w:rsidRPr="00541122">
        <w:rPr>
          <w:rFonts w:ascii="David" w:hAnsi="David"/>
          <w:rtl/>
        </w:rPr>
        <w:t>בהתאם לעובדות כתב האישום המתוקן, במהלך החודשים דצמבר 2017 ועד חודש מרץ 2018, גידל הנאשם בדירתו חמישה שתילים של סם מסוכן מסוג קנב</w:t>
      </w:r>
      <w:r w:rsidRPr="00541122">
        <w:rPr>
          <w:rFonts w:ascii="David" w:hAnsi="David" w:hint="cs"/>
          <w:rtl/>
        </w:rPr>
        <w:t>י</w:t>
      </w:r>
      <w:r w:rsidRPr="00541122">
        <w:rPr>
          <w:rFonts w:ascii="David" w:hAnsi="David"/>
          <w:rtl/>
        </w:rPr>
        <w:t>ס מהם הפיק סם מסוכן ושמן</w:t>
      </w:r>
      <w:r w:rsidRPr="00541122">
        <w:rPr>
          <w:rFonts w:ascii="David" w:hAnsi="David" w:hint="cs"/>
          <w:rtl/>
        </w:rPr>
        <w:t xml:space="preserve"> מזרעיו</w:t>
      </w:r>
      <w:r w:rsidRPr="00541122">
        <w:rPr>
          <w:rFonts w:ascii="David" w:hAnsi="David"/>
          <w:rtl/>
        </w:rPr>
        <w:t>. ביום 28.3.2018, בעת חיפוש שבוצע בביתו, נמצא כי הנאשם החזיק במקומות שונים בדירה סם מסוכן מסוג קנב</w:t>
      </w:r>
      <w:r w:rsidRPr="00541122">
        <w:rPr>
          <w:rFonts w:ascii="David" w:hAnsi="David" w:hint="cs"/>
          <w:rtl/>
        </w:rPr>
        <w:t>י</w:t>
      </w:r>
      <w:r w:rsidRPr="00541122">
        <w:rPr>
          <w:rFonts w:ascii="David" w:hAnsi="David"/>
          <w:rtl/>
        </w:rPr>
        <w:t xml:space="preserve">ס במשקל של קילו נטו וכן </w:t>
      </w:r>
      <w:r w:rsidRPr="00541122">
        <w:rPr>
          <w:rFonts w:ascii="David" w:hAnsi="David" w:hint="cs"/>
          <w:rtl/>
        </w:rPr>
        <w:t>ב</w:t>
      </w:r>
      <w:r w:rsidRPr="00541122">
        <w:rPr>
          <w:rFonts w:ascii="David" w:hAnsi="David"/>
          <w:rtl/>
        </w:rPr>
        <w:t xml:space="preserve">מזומן בסכום 1,250 ₪. בהמשך, לאחר </w:t>
      </w:r>
      <w:r w:rsidRPr="00541122">
        <w:rPr>
          <w:rFonts w:ascii="David" w:hAnsi="David" w:hint="cs"/>
          <w:rtl/>
        </w:rPr>
        <w:t>ש</w:t>
      </w:r>
      <w:r w:rsidRPr="00541122">
        <w:rPr>
          <w:rFonts w:ascii="David" w:hAnsi="David"/>
          <w:rtl/>
        </w:rPr>
        <w:t xml:space="preserve">הנאשם </w:t>
      </w:r>
      <w:r w:rsidRPr="00541122">
        <w:rPr>
          <w:rFonts w:ascii="David" w:hAnsi="David" w:hint="cs"/>
          <w:rtl/>
        </w:rPr>
        <w:t xml:space="preserve">הובל </w:t>
      </w:r>
      <w:r w:rsidRPr="00541122">
        <w:rPr>
          <w:rFonts w:ascii="David" w:hAnsi="David"/>
          <w:rtl/>
        </w:rPr>
        <w:t xml:space="preserve">לתא העצורים בתחנת בת ים, </w:t>
      </w:r>
      <w:r w:rsidRPr="00541122">
        <w:rPr>
          <w:rFonts w:ascii="David" w:hAnsi="David" w:hint="cs"/>
          <w:rtl/>
        </w:rPr>
        <w:t xml:space="preserve">הוא </w:t>
      </w:r>
      <w:r w:rsidRPr="00541122">
        <w:rPr>
          <w:rFonts w:ascii="David" w:hAnsi="David"/>
          <w:rtl/>
        </w:rPr>
        <w:t xml:space="preserve">פנה </w:t>
      </w:r>
      <w:r w:rsidRPr="00541122">
        <w:rPr>
          <w:rFonts w:ascii="David" w:hAnsi="David" w:hint="cs"/>
          <w:rtl/>
        </w:rPr>
        <w:t>א</w:t>
      </w:r>
      <w:r w:rsidRPr="00541122">
        <w:rPr>
          <w:rFonts w:ascii="David" w:hAnsi="David"/>
          <w:rtl/>
        </w:rPr>
        <w:t>ל</w:t>
      </w:r>
      <w:r w:rsidRPr="00541122">
        <w:rPr>
          <w:rFonts w:ascii="David" w:hAnsi="David" w:hint="cs"/>
          <w:rtl/>
        </w:rPr>
        <w:t xml:space="preserve"> </w:t>
      </w:r>
      <w:r w:rsidRPr="00541122">
        <w:rPr>
          <w:rFonts w:ascii="David" w:hAnsi="David"/>
          <w:rtl/>
        </w:rPr>
        <w:t>שוטרים ואמר להם: ""</w:t>
      </w:r>
      <w:r w:rsidRPr="00541122">
        <w:rPr>
          <w:rFonts w:ascii="David" w:hAnsi="David"/>
          <w:b/>
          <w:bCs/>
          <w:rtl/>
        </w:rPr>
        <w:t>גנבים אנסים, אני עוד אזיין אתכם</w:t>
      </w:r>
      <w:r w:rsidRPr="00541122">
        <w:rPr>
          <w:rFonts w:ascii="David" w:hAnsi="David"/>
          <w:rtl/>
        </w:rPr>
        <w:t>"</w:t>
      </w:r>
      <w:r w:rsidRPr="00541122">
        <w:rPr>
          <w:rFonts w:ascii="David" w:hAnsi="David" w:hint="cs"/>
          <w:rtl/>
        </w:rPr>
        <w:t>,</w:t>
      </w:r>
      <w:r w:rsidRPr="00541122">
        <w:rPr>
          <w:rFonts w:ascii="David" w:hAnsi="David"/>
          <w:rtl/>
        </w:rPr>
        <w:t xml:space="preserve"> </w:t>
      </w:r>
      <w:r w:rsidRPr="00541122">
        <w:rPr>
          <w:rFonts w:ascii="David" w:hAnsi="David" w:hint="cs"/>
          <w:rtl/>
        </w:rPr>
        <w:t>וכן</w:t>
      </w:r>
      <w:r w:rsidRPr="00541122">
        <w:rPr>
          <w:rFonts w:ascii="David" w:hAnsi="David"/>
          <w:rtl/>
        </w:rPr>
        <w:t xml:space="preserve">, בעת ששהה בתא </w:t>
      </w:r>
      <w:r w:rsidRPr="00541122">
        <w:rPr>
          <w:rFonts w:ascii="David" w:hAnsi="David" w:hint="cs"/>
          <w:rtl/>
        </w:rPr>
        <w:t>ה</w:t>
      </w:r>
      <w:r w:rsidRPr="00541122">
        <w:rPr>
          <w:rFonts w:ascii="David" w:hAnsi="David"/>
          <w:rtl/>
        </w:rPr>
        <w:t xml:space="preserve">עצורים פנה </w:t>
      </w:r>
      <w:r w:rsidRPr="00541122">
        <w:rPr>
          <w:rFonts w:ascii="David" w:hAnsi="David" w:hint="cs"/>
          <w:rtl/>
        </w:rPr>
        <w:t>א</w:t>
      </w:r>
      <w:r w:rsidRPr="00541122">
        <w:rPr>
          <w:rFonts w:ascii="David" w:hAnsi="David"/>
          <w:rtl/>
        </w:rPr>
        <w:t>ל</w:t>
      </w:r>
      <w:r w:rsidRPr="00541122">
        <w:rPr>
          <w:rFonts w:ascii="David" w:hAnsi="David" w:hint="cs"/>
          <w:rtl/>
        </w:rPr>
        <w:t xml:space="preserve"> </w:t>
      </w:r>
      <w:r w:rsidRPr="00541122">
        <w:rPr>
          <w:rFonts w:ascii="David" w:hAnsi="David"/>
          <w:rtl/>
        </w:rPr>
        <w:t>שוטרת ואמר לה: "</w:t>
      </w:r>
      <w:r w:rsidRPr="00541122">
        <w:rPr>
          <w:rFonts w:ascii="David" w:hAnsi="David"/>
          <w:b/>
          <w:bCs/>
          <w:rtl/>
        </w:rPr>
        <w:t>משחקת אותה בת זונה, בת שרמוטה, שאלוהים יקח אותך</w:t>
      </w:r>
      <w:r w:rsidRPr="00541122">
        <w:rPr>
          <w:rFonts w:ascii="David" w:hAnsi="David"/>
          <w:rtl/>
        </w:rPr>
        <w:t>".</w:t>
      </w:r>
    </w:p>
    <w:p w14:paraId="725DBD88" w14:textId="77777777" w:rsidR="00541122" w:rsidRPr="00541122" w:rsidRDefault="00541122" w:rsidP="00541122">
      <w:pPr>
        <w:pStyle w:val="aa"/>
        <w:rPr>
          <w:rFonts w:ascii="David" w:hAnsi="David"/>
          <w:rtl/>
        </w:rPr>
      </w:pPr>
    </w:p>
    <w:p w14:paraId="113CFC13" w14:textId="77777777" w:rsidR="00541122" w:rsidRPr="00541122" w:rsidRDefault="00541122" w:rsidP="00541122">
      <w:pPr>
        <w:numPr>
          <w:ilvl w:val="0"/>
          <w:numId w:val="1"/>
        </w:numPr>
        <w:spacing w:after="120" w:line="360" w:lineRule="auto"/>
        <w:jc w:val="both"/>
        <w:rPr>
          <w:rFonts w:ascii="David" w:eastAsia="Calibri" w:hAnsi="David"/>
        </w:rPr>
      </w:pPr>
      <w:r w:rsidRPr="00541122">
        <w:rPr>
          <w:rFonts w:ascii="David" w:eastAsia="Calibri" w:hAnsi="David"/>
          <w:rtl/>
        </w:rPr>
        <w:lastRenderedPageBreak/>
        <w:t xml:space="preserve">בהסכמת הצדדים, ובטרם </w:t>
      </w:r>
      <w:r w:rsidRPr="00541122">
        <w:rPr>
          <w:rFonts w:ascii="David" w:eastAsia="Calibri" w:hAnsi="David" w:hint="cs"/>
          <w:rtl/>
        </w:rPr>
        <w:t xml:space="preserve">נשמעו </w:t>
      </w:r>
      <w:r w:rsidRPr="00541122">
        <w:rPr>
          <w:rFonts w:ascii="David" w:eastAsia="Calibri" w:hAnsi="David"/>
          <w:rtl/>
        </w:rPr>
        <w:t xml:space="preserve">טיעונים לעונש, הופנה הנאשם לשרות המבחן והתקבלו בעניינו שני תסקירים. בנוסף, התקבלה חוות דעת הממונה </w:t>
      </w:r>
      <w:r w:rsidRPr="00541122">
        <w:rPr>
          <w:rFonts w:ascii="David" w:eastAsia="Calibri" w:hAnsi="David" w:hint="cs"/>
          <w:rtl/>
        </w:rPr>
        <w:t>ע</w:t>
      </w:r>
      <w:r w:rsidRPr="00541122">
        <w:rPr>
          <w:rFonts w:ascii="David" w:eastAsia="Calibri" w:hAnsi="David"/>
          <w:rtl/>
        </w:rPr>
        <w:t>ל</w:t>
      </w:r>
      <w:r w:rsidRPr="00541122">
        <w:rPr>
          <w:rFonts w:ascii="David" w:eastAsia="Calibri" w:hAnsi="David" w:hint="cs"/>
          <w:rtl/>
        </w:rPr>
        <w:t xml:space="preserve"> </w:t>
      </w:r>
      <w:r w:rsidRPr="00541122">
        <w:rPr>
          <w:rFonts w:ascii="David" w:eastAsia="Calibri" w:hAnsi="David"/>
          <w:rtl/>
        </w:rPr>
        <w:t>עבודות שירות, אשר מצאה את הנאשם מתאים לביצוע עבודות שירות תחת מגבלות מסוימות.</w:t>
      </w:r>
    </w:p>
    <w:p w14:paraId="6B9F2D81" w14:textId="77777777" w:rsidR="00541122" w:rsidRPr="00541122" w:rsidRDefault="00541122" w:rsidP="00541122">
      <w:pPr>
        <w:pStyle w:val="aa"/>
        <w:rPr>
          <w:rFonts w:ascii="David" w:hAnsi="David"/>
          <w:rtl/>
        </w:rPr>
      </w:pPr>
    </w:p>
    <w:p w14:paraId="54A1AE70" w14:textId="77777777" w:rsidR="00541122" w:rsidRPr="00541122" w:rsidRDefault="00541122" w:rsidP="00541122">
      <w:pPr>
        <w:pStyle w:val="aa"/>
        <w:numPr>
          <w:ilvl w:val="0"/>
          <w:numId w:val="1"/>
        </w:numPr>
        <w:spacing w:after="120" w:line="360" w:lineRule="auto"/>
        <w:jc w:val="both"/>
        <w:rPr>
          <w:rFonts w:ascii="David" w:hAnsi="David"/>
          <w:noProof w:val="0"/>
        </w:rPr>
      </w:pPr>
      <w:r w:rsidRPr="00541122">
        <w:rPr>
          <w:rFonts w:ascii="David" w:hAnsi="David"/>
          <w:noProof w:val="0"/>
          <w:rtl/>
        </w:rPr>
        <w:t xml:space="preserve">שרות המבחן  פירט את נסיבות חייו של הנאשם, בן 35, רווק. אמו של הנאשם נפטרה בהיותו בן 16 ואביו חלה </w:t>
      </w:r>
      <w:r w:rsidRPr="00541122">
        <w:rPr>
          <w:rFonts w:ascii="David" w:hAnsi="David" w:hint="cs"/>
          <w:noProof w:val="0"/>
          <w:rtl/>
        </w:rPr>
        <w:t xml:space="preserve">במחלה קשה, </w:t>
      </w:r>
      <w:r w:rsidRPr="00541122">
        <w:rPr>
          <w:rFonts w:ascii="David" w:hAnsi="David"/>
          <w:noProof w:val="0"/>
          <w:rtl/>
        </w:rPr>
        <w:t>בעת שהנאשם היה נער</w:t>
      </w:r>
      <w:r w:rsidRPr="00541122">
        <w:rPr>
          <w:rFonts w:ascii="David" w:hAnsi="David" w:hint="cs"/>
          <w:noProof w:val="0"/>
          <w:rtl/>
        </w:rPr>
        <w:t xml:space="preserve">, עד שנפטר לפני כשנתיים. החל מגיל צעיר, חבר הנאשם לחברה שולית והסתבך בפלילים. הנאשם קיבל אחריות על העבירה, טען כי הוא משתמש </w:t>
      </w:r>
      <w:r w:rsidRPr="00541122">
        <w:rPr>
          <w:rFonts w:ascii="David" w:hAnsi="David"/>
          <w:noProof w:val="0"/>
          <w:rtl/>
        </w:rPr>
        <w:t>בסם מסוג קנביס והחליט לגדל צמחי קנאביס ולהפיק מה</w:t>
      </w:r>
      <w:r w:rsidRPr="00541122">
        <w:rPr>
          <w:rFonts w:ascii="David" w:hAnsi="David" w:hint="cs"/>
          <w:noProof w:val="0"/>
          <w:rtl/>
        </w:rPr>
        <w:t>ם</w:t>
      </w:r>
      <w:r w:rsidRPr="00541122">
        <w:rPr>
          <w:rFonts w:ascii="David" w:hAnsi="David"/>
          <w:noProof w:val="0"/>
          <w:rtl/>
        </w:rPr>
        <w:t xml:space="preserve"> שמן כדי לסייע לאביו בהקל</w:t>
      </w:r>
      <w:r w:rsidRPr="00541122">
        <w:rPr>
          <w:rFonts w:ascii="David" w:hAnsi="David" w:hint="cs"/>
          <w:noProof w:val="0"/>
          <w:rtl/>
        </w:rPr>
        <w:t>ה על</w:t>
      </w:r>
      <w:r w:rsidRPr="00541122">
        <w:rPr>
          <w:rFonts w:ascii="David" w:hAnsi="David"/>
          <w:noProof w:val="0"/>
          <w:rtl/>
        </w:rPr>
        <w:t xml:space="preserve"> </w:t>
      </w:r>
      <w:r w:rsidRPr="00541122">
        <w:rPr>
          <w:rFonts w:ascii="David" w:hAnsi="David" w:hint="cs"/>
          <w:noProof w:val="0"/>
          <w:rtl/>
        </w:rPr>
        <w:t xml:space="preserve">כאביו </w:t>
      </w:r>
      <w:r w:rsidRPr="00541122">
        <w:rPr>
          <w:rFonts w:ascii="David" w:hAnsi="David"/>
          <w:noProof w:val="0"/>
          <w:rtl/>
        </w:rPr>
        <w:t>בעקבות התדרדרות מצבו הרפואי</w:t>
      </w:r>
      <w:r w:rsidRPr="00541122">
        <w:rPr>
          <w:rFonts w:ascii="David" w:hAnsi="David" w:hint="cs"/>
          <w:noProof w:val="0"/>
          <w:rtl/>
        </w:rPr>
        <w:t>.</w:t>
      </w:r>
      <w:r w:rsidRPr="00541122">
        <w:rPr>
          <w:rFonts w:ascii="David" w:hAnsi="David"/>
          <w:noProof w:val="0"/>
          <w:rtl/>
        </w:rPr>
        <w:t xml:space="preserve"> </w:t>
      </w:r>
      <w:r w:rsidRPr="00541122">
        <w:rPr>
          <w:rFonts w:ascii="David" w:hAnsi="David" w:hint="cs"/>
          <w:noProof w:val="0"/>
          <w:rtl/>
        </w:rPr>
        <w:t xml:space="preserve">שרות המבחן התרשם </w:t>
      </w:r>
      <w:r w:rsidRPr="00541122">
        <w:rPr>
          <w:rFonts w:ascii="David" w:hAnsi="David"/>
          <w:noProof w:val="0"/>
          <w:rtl/>
        </w:rPr>
        <w:t xml:space="preserve">כי הנאשם </w:t>
      </w:r>
      <w:r w:rsidRPr="00541122">
        <w:rPr>
          <w:rFonts w:ascii="David" w:hAnsi="David" w:hint="cs"/>
          <w:noProof w:val="0"/>
          <w:rtl/>
        </w:rPr>
        <w:t xml:space="preserve">חווה </w:t>
      </w:r>
      <w:r w:rsidRPr="00541122">
        <w:rPr>
          <w:rFonts w:ascii="David" w:hAnsi="David"/>
          <w:noProof w:val="0"/>
          <w:rtl/>
        </w:rPr>
        <w:t xml:space="preserve">קשיים משמעותיים ביכולותיו לוויסות דחפים, </w:t>
      </w:r>
      <w:r w:rsidRPr="00541122">
        <w:rPr>
          <w:rFonts w:ascii="David" w:hAnsi="David" w:hint="cs"/>
          <w:noProof w:val="0"/>
          <w:rtl/>
        </w:rPr>
        <w:t xml:space="preserve">וכן כי </w:t>
      </w:r>
      <w:r w:rsidRPr="00541122">
        <w:rPr>
          <w:rFonts w:ascii="David" w:hAnsi="David"/>
          <w:noProof w:val="0"/>
          <w:rtl/>
        </w:rPr>
        <w:t xml:space="preserve">הוא מתמודד עם </w:t>
      </w:r>
      <w:r w:rsidRPr="00541122">
        <w:rPr>
          <w:rFonts w:ascii="David" w:hAnsi="David" w:hint="cs"/>
          <w:noProof w:val="0"/>
          <w:rtl/>
        </w:rPr>
        <w:t>מצב כלכלי קשה ו</w:t>
      </w:r>
      <w:r w:rsidRPr="00541122">
        <w:rPr>
          <w:rFonts w:ascii="David" w:hAnsi="David"/>
          <w:noProof w:val="0"/>
          <w:rtl/>
        </w:rPr>
        <w:t xml:space="preserve">חובות כספיים. </w:t>
      </w:r>
      <w:r w:rsidRPr="00541122">
        <w:rPr>
          <w:rFonts w:ascii="David" w:hAnsi="David" w:hint="cs"/>
          <w:noProof w:val="0"/>
          <w:rtl/>
        </w:rPr>
        <w:t>בהמשך, לאחר דחית הדיון לשם בחינת שילוב הנאשם בהליך טיפולי, עדכן</w:t>
      </w:r>
      <w:r w:rsidRPr="00541122">
        <w:rPr>
          <w:rFonts w:ascii="David" w:hAnsi="David"/>
          <w:noProof w:val="0"/>
          <w:rtl/>
        </w:rPr>
        <w:t xml:space="preserve"> שרות המבחן כי הנאשם לא הגיע לבדיקות לגילוי שרידי סם, על אף שניתנו לו מספר הזדמנויות. שרות המבחן ציין כי בתקופת הדחייה לא נפתחו לנאשם תיקים חדשים</w:t>
      </w:r>
      <w:r w:rsidRPr="00541122">
        <w:rPr>
          <w:rFonts w:ascii="David" w:hAnsi="David" w:hint="cs"/>
          <w:noProof w:val="0"/>
          <w:rtl/>
        </w:rPr>
        <w:t xml:space="preserve">, אולם הביע הערכה  </w:t>
      </w:r>
      <w:r w:rsidRPr="00541122">
        <w:rPr>
          <w:rFonts w:ascii="David" w:hAnsi="David"/>
          <w:noProof w:val="0"/>
          <w:rtl/>
        </w:rPr>
        <w:t xml:space="preserve">כי </w:t>
      </w:r>
      <w:r w:rsidRPr="00541122">
        <w:rPr>
          <w:rFonts w:ascii="David" w:hAnsi="David" w:hint="cs"/>
          <w:noProof w:val="0"/>
          <w:rtl/>
        </w:rPr>
        <w:t>הנאשם מתקשה לשמור על ניקיון מסמים. בנוסף, צוינה התרשמות כי על אף ש</w:t>
      </w:r>
      <w:r w:rsidRPr="00541122">
        <w:rPr>
          <w:rFonts w:ascii="David" w:hAnsi="David"/>
          <w:noProof w:val="0"/>
          <w:rtl/>
        </w:rPr>
        <w:t>הנאשם זקוק להתערבות טיפולית אינטנסיבית בתחום ההתמכרויות</w:t>
      </w:r>
      <w:r w:rsidRPr="00541122">
        <w:rPr>
          <w:rFonts w:ascii="David" w:hAnsi="David" w:hint="cs"/>
          <w:noProof w:val="0"/>
          <w:rtl/>
        </w:rPr>
        <w:t>,</w:t>
      </w:r>
      <w:r w:rsidRPr="00541122">
        <w:rPr>
          <w:rFonts w:ascii="David" w:hAnsi="David"/>
          <w:noProof w:val="0"/>
          <w:rtl/>
        </w:rPr>
        <w:t xml:space="preserve"> </w:t>
      </w:r>
      <w:r w:rsidRPr="00541122">
        <w:rPr>
          <w:rFonts w:ascii="David" w:hAnsi="David" w:hint="cs"/>
          <w:noProof w:val="0"/>
          <w:rtl/>
        </w:rPr>
        <w:t xml:space="preserve">הוא </w:t>
      </w:r>
      <w:r w:rsidRPr="00541122">
        <w:rPr>
          <w:rFonts w:ascii="David" w:hAnsi="David"/>
          <w:noProof w:val="0"/>
          <w:rtl/>
        </w:rPr>
        <w:t>אינו מבטא מוטיבציה לכך ויכולת התגייסות. בסיכומו של דבר, נמנע שרות המבחן ממתן המלצה טיפולית שיקומית בעניינו.</w:t>
      </w:r>
    </w:p>
    <w:p w14:paraId="59ADF333" w14:textId="77777777" w:rsidR="00541122" w:rsidRPr="00541122" w:rsidRDefault="00541122" w:rsidP="00541122">
      <w:pPr>
        <w:pStyle w:val="aa"/>
        <w:spacing w:after="120" w:line="360" w:lineRule="auto"/>
        <w:ind w:left="360"/>
        <w:jc w:val="both"/>
        <w:rPr>
          <w:rFonts w:ascii="David" w:hAnsi="David"/>
          <w:noProof w:val="0"/>
        </w:rPr>
      </w:pPr>
    </w:p>
    <w:p w14:paraId="0157D6AE" w14:textId="77777777" w:rsidR="00541122" w:rsidRPr="00541122" w:rsidRDefault="00541122" w:rsidP="00541122">
      <w:pPr>
        <w:spacing w:after="120" w:line="360" w:lineRule="auto"/>
        <w:jc w:val="both"/>
        <w:rPr>
          <w:rFonts w:ascii="David" w:eastAsia="Calibri" w:hAnsi="David"/>
          <w:b/>
          <w:bCs/>
          <w:u w:val="single"/>
          <w:rtl/>
        </w:rPr>
      </w:pPr>
      <w:r w:rsidRPr="00541122">
        <w:rPr>
          <w:rFonts w:ascii="David" w:eastAsia="Calibri" w:hAnsi="David"/>
          <w:b/>
          <w:bCs/>
          <w:u w:val="single"/>
          <w:rtl/>
        </w:rPr>
        <w:t>תמצית טיעוני הצדדים</w:t>
      </w:r>
    </w:p>
    <w:p w14:paraId="21D37AF3" w14:textId="77777777" w:rsidR="00541122" w:rsidRPr="00541122" w:rsidRDefault="00541122" w:rsidP="00541122">
      <w:pPr>
        <w:numPr>
          <w:ilvl w:val="0"/>
          <w:numId w:val="1"/>
        </w:numPr>
        <w:spacing w:after="120" w:line="360" w:lineRule="auto"/>
        <w:jc w:val="both"/>
        <w:rPr>
          <w:rFonts w:ascii="David" w:eastAsia="Calibri" w:hAnsi="David"/>
        </w:rPr>
      </w:pPr>
      <w:r w:rsidRPr="00541122">
        <w:rPr>
          <w:rFonts w:ascii="David" w:eastAsia="Calibri" w:hAnsi="David"/>
          <w:rtl/>
        </w:rPr>
        <w:t>ב"כ המאשימה הפנתה לנסיבות ביצוע העבירות</w:t>
      </w:r>
      <w:r w:rsidRPr="00541122">
        <w:rPr>
          <w:rFonts w:ascii="David" w:eastAsia="Calibri" w:hAnsi="David" w:hint="cs"/>
          <w:rtl/>
        </w:rPr>
        <w:t>,</w:t>
      </w:r>
      <w:r w:rsidRPr="00541122">
        <w:rPr>
          <w:rFonts w:ascii="David" w:eastAsia="Calibri" w:hAnsi="David"/>
          <w:rtl/>
        </w:rPr>
        <w:t xml:space="preserve"> לערכים המוגנים </w:t>
      </w:r>
      <w:r w:rsidRPr="00541122">
        <w:rPr>
          <w:rFonts w:ascii="David" w:eastAsia="Calibri" w:hAnsi="David" w:hint="cs"/>
          <w:rtl/>
        </w:rPr>
        <w:t xml:space="preserve">שנפגעו </w:t>
      </w:r>
      <w:r w:rsidRPr="00541122">
        <w:rPr>
          <w:rFonts w:ascii="David" w:eastAsia="Calibri" w:hAnsi="David"/>
          <w:rtl/>
        </w:rPr>
        <w:t>ועתרה ל</w:t>
      </w:r>
      <w:r w:rsidRPr="00541122">
        <w:rPr>
          <w:rFonts w:ascii="David" w:eastAsia="Calibri" w:hAnsi="David" w:hint="cs"/>
          <w:rtl/>
        </w:rPr>
        <w:t xml:space="preserve">קביעת </w:t>
      </w:r>
      <w:r w:rsidRPr="00541122">
        <w:rPr>
          <w:rFonts w:ascii="David" w:eastAsia="Calibri" w:hAnsi="David"/>
          <w:rtl/>
        </w:rPr>
        <w:t>מתחם ענישה הנע בין מספר חודשי מאסר ועד לשנת מאסר. אשר לנסיבותיו האישיות של הנאשם, הפנתה לעברו הפלילי</w:t>
      </w:r>
      <w:r w:rsidRPr="00541122">
        <w:rPr>
          <w:rFonts w:ascii="David" w:eastAsia="Calibri" w:hAnsi="David" w:hint="cs"/>
          <w:rtl/>
        </w:rPr>
        <w:t xml:space="preserve"> בגין עבירות </w:t>
      </w:r>
      <w:r w:rsidRPr="00541122">
        <w:rPr>
          <w:rFonts w:ascii="David" w:eastAsia="Calibri" w:hAnsi="David"/>
          <w:rtl/>
        </w:rPr>
        <w:t>רכוש ואלימות משנת 2010 ול</w:t>
      </w:r>
      <w:r w:rsidRPr="00541122">
        <w:rPr>
          <w:rFonts w:ascii="David" w:eastAsia="Calibri" w:hAnsi="David" w:hint="cs"/>
          <w:rtl/>
        </w:rPr>
        <w:t>מפורט ב</w:t>
      </w:r>
      <w:r w:rsidRPr="00541122">
        <w:rPr>
          <w:rFonts w:ascii="David" w:eastAsia="Calibri" w:hAnsi="David"/>
          <w:rtl/>
        </w:rPr>
        <w:t>תסקיר שרות המבחן</w:t>
      </w:r>
      <w:r w:rsidRPr="00541122">
        <w:rPr>
          <w:rFonts w:ascii="David" w:eastAsia="Calibri" w:hAnsi="David" w:hint="cs"/>
          <w:rtl/>
        </w:rPr>
        <w:t>.</w:t>
      </w:r>
      <w:r w:rsidRPr="00541122">
        <w:rPr>
          <w:rFonts w:ascii="David" w:eastAsia="Calibri" w:hAnsi="David"/>
          <w:rtl/>
        </w:rPr>
        <w:t xml:space="preserve"> לפיכך, עתר</w:t>
      </w:r>
      <w:r w:rsidRPr="00541122">
        <w:rPr>
          <w:rFonts w:ascii="David" w:eastAsia="Calibri" w:hAnsi="David" w:hint="cs"/>
          <w:rtl/>
        </w:rPr>
        <w:t>ה</w:t>
      </w:r>
      <w:r w:rsidRPr="00541122">
        <w:rPr>
          <w:rFonts w:ascii="David" w:eastAsia="Calibri" w:hAnsi="David"/>
          <w:rtl/>
        </w:rPr>
        <w:t xml:space="preserve"> ב"כ המאשימה לעונש של 6 חודשי מאסר אשר ירוצו בעבודות שירות,</w:t>
      </w:r>
      <w:r w:rsidRPr="00541122">
        <w:rPr>
          <w:rFonts w:ascii="David" w:eastAsia="Calibri" w:hAnsi="David" w:hint="cs"/>
          <w:rtl/>
        </w:rPr>
        <w:t xml:space="preserve"> וכן ל</w:t>
      </w:r>
      <w:r w:rsidRPr="00541122">
        <w:rPr>
          <w:rFonts w:ascii="David" w:eastAsia="Calibri" w:hAnsi="David"/>
          <w:rtl/>
        </w:rPr>
        <w:t>מאסר צופה פני עתיד, קנס</w:t>
      </w:r>
      <w:r w:rsidRPr="00541122">
        <w:rPr>
          <w:rFonts w:ascii="David" w:eastAsia="Calibri" w:hAnsi="David" w:hint="cs"/>
          <w:rtl/>
        </w:rPr>
        <w:t>,</w:t>
      </w:r>
      <w:r w:rsidRPr="00541122">
        <w:rPr>
          <w:rFonts w:ascii="David" w:eastAsia="Calibri" w:hAnsi="David"/>
          <w:rtl/>
        </w:rPr>
        <w:t xml:space="preserve"> פסילת רישיון על תנאי</w:t>
      </w:r>
      <w:r w:rsidRPr="00541122">
        <w:rPr>
          <w:rFonts w:ascii="David" w:eastAsia="Calibri" w:hAnsi="David" w:hint="cs"/>
          <w:rtl/>
        </w:rPr>
        <w:t xml:space="preserve"> וחילוט הרכוש שנתפס</w:t>
      </w:r>
      <w:r w:rsidRPr="00541122">
        <w:rPr>
          <w:rFonts w:ascii="David" w:eastAsia="Calibri" w:hAnsi="David"/>
          <w:rtl/>
        </w:rPr>
        <w:t>. ב"כ המאשימה צירפה פסיקה לביסוס טיעוניה.</w:t>
      </w:r>
    </w:p>
    <w:p w14:paraId="4920766C" w14:textId="77777777" w:rsidR="00541122" w:rsidRPr="00541122" w:rsidRDefault="00541122" w:rsidP="00541122">
      <w:pPr>
        <w:spacing w:after="120" w:line="360" w:lineRule="auto"/>
        <w:ind w:left="360"/>
        <w:jc w:val="both"/>
        <w:rPr>
          <w:rFonts w:ascii="David" w:eastAsia="Calibri" w:hAnsi="David"/>
          <w:rtl/>
        </w:rPr>
      </w:pPr>
    </w:p>
    <w:p w14:paraId="7D6BF0C6" w14:textId="77777777" w:rsidR="00541122" w:rsidRPr="00541122" w:rsidRDefault="00541122" w:rsidP="00541122">
      <w:pPr>
        <w:numPr>
          <w:ilvl w:val="0"/>
          <w:numId w:val="1"/>
        </w:numPr>
        <w:spacing w:after="120" w:line="360" w:lineRule="auto"/>
        <w:jc w:val="both"/>
        <w:rPr>
          <w:rFonts w:ascii="David" w:eastAsia="Calibri" w:hAnsi="David"/>
        </w:rPr>
      </w:pPr>
      <w:r w:rsidRPr="00541122">
        <w:rPr>
          <w:rFonts w:ascii="David" w:eastAsia="Calibri" w:hAnsi="David"/>
          <w:rtl/>
        </w:rPr>
        <w:t xml:space="preserve">ב"כ הנאשם </w:t>
      </w:r>
      <w:r w:rsidRPr="00541122">
        <w:rPr>
          <w:rFonts w:ascii="David" w:eastAsia="Calibri" w:hAnsi="David" w:hint="cs"/>
          <w:rtl/>
        </w:rPr>
        <w:t xml:space="preserve">טענה כי הנאשם גידל את הסמים על מנת לסייע להקל על כאבי אביו אשר סבל מסרטן, ואף השתמש בעצמו באופן ספורדי בסם. לגבי </w:t>
      </w:r>
      <w:r w:rsidRPr="00541122">
        <w:rPr>
          <w:rFonts w:ascii="David" w:eastAsia="Calibri" w:hAnsi="David"/>
          <w:rtl/>
        </w:rPr>
        <w:t xml:space="preserve">עברו הפלילי של הנאשם, </w:t>
      </w:r>
      <w:r w:rsidRPr="00541122">
        <w:rPr>
          <w:rFonts w:ascii="David" w:eastAsia="Calibri" w:hAnsi="David" w:hint="cs"/>
          <w:rtl/>
        </w:rPr>
        <w:t>טענה כי מדובר בהרשעה ישנה ו</w:t>
      </w:r>
      <w:r w:rsidRPr="00541122">
        <w:rPr>
          <w:rFonts w:ascii="David" w:eastAsia="Calibri" w:hAnsi="David"/>
          <w:rtl/>
        </w:rPr>
        <w:t xml:space="preserve">במשך 16 </w:t>
      </w:r>
      <w:r w:rsidRPr="00541122">
        <w:rPr>
          <w:rFonts w:ascii="David" w:eastAsia="Calibri" w:hAnsi="David" w:hint="cs"/>
          <w:rtl/>
        </w:rPr>
        <w:t xml:space="preserve">שנים הנאשם </w:t>
      </w:r>
      <w:r w:rsidRPr="00541122">
        <w:rPr>
          <w:rFonts w:ascii="David" w:eastAsia="Calibri" w:hAnsi="David"/>
          <w:rtl/>
        </w:rPr>
        <w:t xml:space="preserve">אינו מעורב בפלילים מלבד תיק זה. </w:t>
      </w:r>
      <w:r w:rsidRPr="00541122">
        <w:rPr>
          <w:rFonts w:ascii="David" w:eastAsia="Calibri" w:hAnsi="David" w:hint="cs"/>
          <w:rtl/>
        </w:rPr>
        <w:t xml:space="preserve">במשך השנים מאז, רכש הנאשם השכלה בתחומי עיסוק שונים. ב"כ הנאשם פירטה את נסיבותיו האישיות, כאשר </w:t>
      </w:r>
      <w:r w:rsidRPr="00541122">
        <w:rPr>
          <w:rFonts w:ascii="David" w:eastAsia="Calibri" w:hAnsi="David"/>
          <w:rtl/>
        </w:rPr>
        <w:t xml:space="preserve">הנאשם </w:t>
      </w:r>
      <w:r w:rsidRPr="00541122">
        <w:rPr>
          <w:rFonts w:ascii="David" w:eastAsia="Calibri" w:hAnsi="David" w:hint="cs"/>
          <w:rtl/>
        </w:rPr>
        <w:t xml:space="preserve">הוא </w:t>
      </w:r>
      <w:r w:rsidRPr="00541122">
        <w:rPr>
          <w:rFonts w:ascii="David" w:eastAsia="Calibri" w:hAnsi="David"/>
          <w:rtl/>
        </w:rPr>
        <w:t xml:space="preserve">האפוטרופוס והמטפל היחיד של אחיו החולה </w:t>
      </w:r>
      <w:r w:rsidRPr="00541122">
        <w:rPr>
          <w:rFonts w:ascii="David" w:eastAsia="Calibri" w:hAnsi="David" w:hint="cs"/>
          <w:rtl/>
        </w:rPr>
        <w:t xml:space="preserve">בסכיזופרניה, </w:t>
      </w:r>
      <w:r w:rsidRPr="00541122">
        <w:rPr>
          <w:rFonts w:ascii="David" w:eastAsia="Calibri" w:hAnsi="David"/>
          <w:rtl/>
        </w:rPr>
        <w:t xml:space="preserve">שניהם מתגוררים בדיור מוגן ועומדים </w:t>
      </w:r>
      <w:r w:rsidRPr="00541122">
        <w:rPr>
          <w:rFonts w:ascii="David" w:eastAsia="Calibri" w:hAnsi="David" w:hint="cs"/>
          <w:rtl/>
        </w:rPr>
        <w:t xml:space="preserve">כעת </w:t>
      </w:r>
      <w:r w:rsidRPr="00541122">
        <w:rPr>
          <w:rFonts w:ascii="David" w:eastAsia="Calibri" w:hAnsi="David"/>
          <w:rtl/>
        </w:rPr>
        <w:t xml:space="preserve">בפני פינוי. </w:t>
      </w:r>
      <w:r w:rsidRPr="00541122">
        <w:rPr>
          <w:rFonts w:ascii="David" w:eastAsia="Calibri" w:hAnsi="David" w:hint="cs"/>
          <w:rtl/>
        </w:rPr>
        <w:t xml:space="preserve">עוד </w:t>
      </w:r>
      <w:r w:rsidRPr="00541122">
        <w:rPr>
          <w:rFonts w:ascii="David" w:eastAsia="Calibri" w:hAnsi="David"/>
          <w:rtl/>
        </w:rPr>
        <w:t xml:space="preserve">הדגישה כי הנאשם נטל אחריות והודה כבר בחקירתו במשטרה בעבירת גידול </w:t>
      </w:r>
      <w:r w:rsidRPr="00541122">
        <w:rPr>
          <w:rFonts w:ascii="David" w:eastAsia="Calibri" w:hAnsi="David" w:hint="cs"/>
          <w:rtl/>
        </w:rPr>
        <w:t xml:space="preserve">הסם </w:t>
      </w:r>
      <w:r w:rsidRPr="00541122">
        <w:rPr>
          <w:rFonts w:ascii="David" w:eastAsia="Calibri" w:hAnsi="David"/>
          <w:rtl/>
        </w:rPr>
        <w:t xml:space="preserve">ולגבי עבירת האיומים </w:t>
      </w:r>
      <w:r w:rsidRPr="00541122">
        <w:rPr>
          <w:rFonts w:ascii="David" w:eastAsia="Calibri" w:hAnsi="David" w:hint="cs"/>
          <w:rtl/>
        </w:rPr>
        <w:t xml:space="preserve">טענה כי </w:t>
      </w:r>
      <w:r w:rsidRPr="00541122">
        <w:rPr>
          <w:rFonts w:ascii="David" w:eastAsia="Calibri" w:hAnsi="David"/>
          <w:rtl/>
        </w:rPr>
        <w:t>מדובר בהתנהגות שנבעה מתסכול ומ</w:t>
      </w:r>
      <w:r w:rsidRPr="00541122">
        <w:rPr>
          <w:rFonts w:ascii="David" w:eastAsia="Calibri" w:hAnsi="David" w:hint="cs"/>
          <w:rtl/>
        </w:rPr>
        <w:t>ה</w:t>
      </w:r>
      <w:r w:rsidRPr="00541122">
        <w:rPr>
          <w:rFonts w:ascii="David" w:eastAsia="Calibri" w:hAnsi="David"/>
          <w:rtl/>
        </w:rPr>
        <w:t xml:space="preserve">סיטואציה </w:t>
      </w:r>
      <w:r w:rsidRPr="00541122">
        <w:rPr>
          <w:rFonts w:ascii="David" w:eastAsia="Calibri" w:hAnsi="David" w:hint="cs"/>
          <w:rtl/>
        </w:rPr>
        <w:t>ה</w:t>
      </w:r>
      <w:r w:rsidRPr="00541122">
        <w:rPr>
          <w:rFonts w:ascii="David" w:eastAsia="Calibri" w:hAnsi="David"/>
          <w:rtl/>
        </w:rPr>
        <w:t xml:space="preserve">אישית </w:t>
      </w:r>
      <w:r w:rsidRPr="00541122">
        <w:rPr>
          <w:rFonts w:ascii="David" w:eastAsia="Calibri" w:hAnsi="David" w:hint="cs"/>
          <w:rtl/>
        </w:rPr>
        <w:t>ה</w:t>
      </w:r>
      <w:r w:rsidRPr="00541122">
        <w:rPr>
          <w:rFonts w:ascii="David" w:eastAsia="Calibri" w:hAnsi="David"/>
          <w:rtl/>
        </w:rPr>
        <w:t xml:space="preserve">קשה אליה נקלע. ב"כ הנאשם </w:t>
      </w:r>
      <w:r w:rsidRPr="00541122">
        <w:rPr>
          <w:rFonts w:ascii="David" w:eastAsia="Calibri" w:hAnsi="David" w:hint="cs"/>
          <w:rtl/>
        </w:rPr>
        <w:t xml:space="preserve">ביקשה </w:t>
      </w:r>
      <w:r w:rsidRPr="00541122">
        <w:rPr>
          <w:rFonts w:ascii="David" w:eastAsia="Calibri" w:hAnsi="David"/>
          <w:rtl/>
        </w:rPr>
        <w:t>לשקלל את מכלול הנסיבות,</w:t>
      </w:r>
      <w:r w:rsidRPr="00541122">
        <w:rPr>
          <w:rFonts w:ascii="David" w:eastAsia="Calibri" w:hAnsi="David" w:hint="cs"/>
          <w:rtl/>
        </w:rPr>
        <w:t xml:space="preserve"> ולתת משקל משמעותי לכך ש</w:t>
      </w:r>
      <w:r w:rsidRPr="00541122">
        <w:rPr>
          <w:rFonts w:ascii="David" w:eastAsia="Calibri" w:hAnsi="David"/>
          <w:rtl/>
        </w:rPr>
        <w:t xml:space="preserve">ריצוי עבודות שירות יהיה קשה מדיי עבור הנאשם </w:t>
      </w:r>
      <w:r w:rsidRPr="00541122">
        <w:rPr>
          <w:rFonts w:ascii="David" w:eastAsia="Calibri" w:hAnsi="David" w:hint="cs"/>
          <w:rtl/>
        </w:rPr>
        <w:t xml:space="preserve">בנסיבותיו. </w:t>
      </w:r>
      <w:r w:rsidRPr="00541122">
        <w:rPr>
          <w:rFonts w:ascii="David" w:eastAsia="Calibri" w:hAnsi="David"/>
          <w:rtl/>
        </w:rPr>
        <w:t>לפיכך</w:t>
      </w:r>
      <w:r w:rsidRPr="00541122">
        <w:rPr>
          <w:rFonts w:ascii="David" w:eastAsia="Calibri" w:hAnsi="David" w:hint="cs"/>
          <w:rtl/>
        </w:rPr>
        <w:t>,</w:t>
      </w:r>
      <w:r w:rsidRPr="00541122">
        <w:rPr>
          <w:rFonts w:ascii="David" w:eastAsia="Calibri" w:hAnsi="David"/>
          <w:rtl/>
        </w:rPr>
        <w:t xml:space="preserve"> עתרה להטלת עונש צופה פני עתיד וקנס מידתי. ב"כ נאשם צירפה תעודת פטירה של אביו של הנאשם</w:t>
      </w:r>
      <w:r w:rsidRPr="00541122">
        <w:rPr>
          <w:rFonts w:ascii="David" w:eastAsia="Calibri" w:hAnsi="David" w:hint="cs"/>
          <w:rtl/>
        </w:rPr>
        <w:t>,</w:t>
      </w:r>
      <w:r w:rsidRPr="00541122">
        <w:rPr>
          <w:rFonts w:ascii="David" w:eastAsia="Calibri" w:hAnsi="David"/>
          <w:rtl/>
        </w:rPr>
        <w:t xml:space="preserve"> מסמכים המעידים על מצבו הרפואי של </w:t>
      </w:r>
      <w:r w:rsidRPr="00541122">
        <w:rPr>
          <w:rFonts w:ascii="David" w:eastAsia="Calibri" w:hAnsi="David" w:hint="cs"/>
          <w:rtl/>
        </w:rPr>
        <w:lastRenderedPageBreak/>
        <w:t xml:space="preserve">האב </w:t>
      </w:r>
      <w:r w:rsidRPr="00541122">
        <w:rPr>
          <w:rFonts w:ascii="David" w:eastAsia="Calibri" w:hAnsi="David"/>
          <w:rtl/>
        </w:rPr>
        <w:t>בתקופה הרלוונטית</w:t>
      </w:r>
      <w:r w:rsidRPr="00541122">
        <w:rPr>
          <w:rFonts w:ascii="David" w:eastAsia="Calibri" w:hAnsi="David" w:hint="cs"/>
          <w:rtl/>
        </w:rPr>
        <w:t>,</w:t>
      </w:r>
      <w:r w:rsidRPr="00541122">
        <w:rPr>
          <w:rFonts w:ascii="David" w:eastAsia="Calibri" w:hAnsi="David"/>
          <w:rtl/>
        </w:rPr>
        <w:t xml:space="preserve"> וכן </w:t>
      </w:r>
      <w:r w:rsidRPr="00541122">
        <w:rPr>
          <w:rFonts w:ascii="David" w:eastAsia="Calibri" w:hAnsi="David" w:hint="cs"/>
          <w:rtl/>
        </w:rPr>
        <w:t xml:space="preserve">פסק דין לפיו על </w:t>
      </w:r>
      <w:r w:rsidRPr="00541122">
        <w:rPr>
          <w:rFonts w:ascii="David" w:eastAsia="Calibri" w:hAnsi="David"/>
          <w:rtl/>
        </w:rPr>
        <w:t xml:space="preserve">אחיו של הנאשם </w:t>
      </w:r>
      <w:r w:rsidRPr="00541122">
        <w:rPr>
          <w:rFonts w:ascii="David" w:eastAsia="Calibri" w:hAnsi="David" w:hint="cs"/>
          <w:rtl/>
        </w:rPr>
        <w:t xml:space="preserve">לפנות את </w:t>
      </w:r>
      <w:r w:rsidRPr="00541122">
        <w:rPr>
          <w:rFonts w:ascii="David" w:eastAsia="Calibri" w:hAnsi="David"/>
          <w:rtl/>
        </w:rPr>
        <w:t>הדירה בה הוא מתגורר באילת.</w:t>
      </w:r>
    </w:p>
    <w:p w14:paraId="3100D4DD" w14:textId="77777777" w:rsidR="00541122" w:rsidRPr="00541122" w:rsidRDefault="00541122" w:rsidP="00541122">
      <w:pPr>
        <w:pStyle w:val="aa"/>
        <w:rPr>
          <w:rFonts w:ascii="David" w:hAnsi="David"/>
          <w:rtl/>
        </w:rPr>
      </w:pPr>
    </w:p>
    <w:p w14:paraId="07F302B9" w14:textId="77777777" w:rsidR="00541122" w:rsidRPr="00541122" w:rsidRDefault="00541122" w:rsidP="00541122">
      <w:pPr>
        <w:numPr>
          <w:ilvl w:val="0"/>
          <w:numId w:val="1"/>
        </w:numPr>
        <w:spacing w:after="120" w:line="360" w:lineRule="auto"/>
        <w:jc w:val="both"/>
        <w:rPr>
          <w:rFonts w:ascii="David" w:eastAsia="Calibri" w:hAnsi="David"/>
        </w:rPr>
      </w:pPr>
      <w:r w:rsidRPr="00541122">
        <w:rPr>
          <w:rFonts w:ascii="David" w:eastAsia="Calibri" w:hAnsi="David"/>
          <w:rtl/>
        </w:rPr>
        <w:t xml:space="preserve">הנאשם בעצמו, טען כי הפיק את השמן כדי להקל על </w:t>
      </w:r>
      <w:r w:rsidRPr="00541122">
        <w:rPr>
          <w:rFonts w:ascii="David" w:eastAsia="Calibri" w:hAnsi="David" w:hint="cs"/>
          <w:rtl/>
        </w:rPr>
        <w:t xml:space="preserve">כאביו של </w:t>
      </w:r>
      <w:r w:rsidRPr="00541122">
        <w:rPr>
          <w:rFonts w:ascii="David" w:eastAsia="Calibri" w:hAnsi="David"/>
          <w:rtl/>
        </w:rPr>
        <w:t xml:space="preserve">אביו ואף השתמש בעצמו </w:t>
      </w:r>
      <w:r w:rsidRPr="00541122">
        <w:rPr>
          <w:rFonts w:ascii="David" w:eastAsia="Calibri" w:hAnsi="David" w:hint="cs"/>
          <w:rtl/>
        </w:rPr>
        <w:t xml:space="preserve">בסם. לטענתו </w:t>
      </w:r>
      <w:r w:rsidRPr="00541122">
        <w:rPr>
          <w:rFonts w:ascii="David" w:eastAsia="Calibri" w:hAnsi="David"/>
          <w:rtl/>
        </w:rPr>
        <w:t>הוא נורמטיבי</w:t>
      </w:r>
      <w:r w:rsidRPr="00541122">
        <w:rPr>
          <w:rFonts w:ascii="David" w:eastAsia="Calibri" w:hAnsi="David" w:hint="cs"/>
          <w:rtl/>
        </w:rPr>
        <w:t>,</w:t>
      </w:r>
      <w:r w:rsidRPr="00541122">
        <w:rPr>
          <w:rFonts w:ascii="David" w:eastAsia="Calibri" w:hAnsi="David"/>
          <w:rtl/>
        </w:rPr>
        <w:t xml:space="preserve"> שואף לתיקון עצמי</w:t>
      </w:r>
      <w:r w:rsidRPr="00541122">
        <w:rPr>
          <w:rFonts w:ascii="David" w:eastAsia="Calibri" w:hAnsi="David" w:hint="cs"/>
          <w:rtl/>
        </w:rPr>
        <w:t xml:space="preserve"> ו</w:t>
      </w:r>
      <w:r w:rsidRPr="00541122">
        <w:rPr>
          <w:rFonts w:ascii="David" w:eastAsia="Calibri" w:hAnsi="David"/>
          <w:rtl/>
        </w:rPr>
        <w:t>כיום עובד כנהג חלוקה</w:t>
      </w:r>
      <w:r w:rsidRPr="00541122">
        <w:rPr>
          <w:rFonts w:ascii="David" w:eastAsia="Calibri" w:hAnsi="David" w:hint="cs"/>
          <w:rtl/>
        </w:rPr>
        <w:t xml:space="preserve">. לסיום, ביקש </w:t>
      </w:r>
      <w:r w:rsidRPr="00541122">
        <w:rPr>
          <w:rFonts w:ascii="David" w:eastAsia="Calibri" w:hAnsi="David"/>
          <w:rtl/>
        </w:rPr>
        <w:t>את התחשבות בית המשפט.</w:t>
      </w:r>
    </w:p>
    <w:p w14:paraId="10BC1DEB" w14:textId="77777777" w:rsidR="00541122" w:rsidRPr="00541122" w:rsidRDefault="00541122" w:rsidP="00541122">
      <w:pPr>
        <w:spacing w:after="120" w:line="360" w:lineRule="auto"/>
        <w:ind w:left="360"/>
        <w:jc w:val="both"/>
        <w:rPr>
          <w:rFonts w:ascii="David" w:eastAsia="Calibri" w:hAnsi="David"/>
          <w:rtl/>
        </w:rPr>
      </w:pPr>
      <w:r w:rsidRPr="00541122">
        <w:rPr>
          <w:rFonts w:ascii="David" w:eastAsia="Calibri" w:hAnsi="David"/>
          <w:rtl/>
        </w:rPr>
        <w:t xml:space="preserve"> </w:t>
      </w:r>
    </w:p>
    <w:p w14:paraId="1BD48861" w14:textId="77777777" w:rsidR="00541122" w:rsidRPr="00541122" w:rsidRDefault="00541122" w:rsidP="00541122">
      <w:pPr>
        <w:spacing w:after="120" w:line="360" w:lineRule="auto"/>
        <w:jc w:val="both"/>
        <w:rPr>
          <w:rFonts w:ascii="David" w:eastAsia="Calibri" w:hAnsi="David"/>
          <w:b/>
          <w:bCs/>
          <w:u w:val="single"/>
          <w:rtl/>
        </w:rPr>
      </w:pPr>
      <w:r w:rsidRPr="00541122">
        <w:rPr>
          <w:rFonts w:ascii="David" w:eastAsia="Calibri" w:hAnsi="David"/>
          <w:b/>
          <w:bCs/>
          <w:u w:val="single"/>
          <w:rtl/>
        </w:rPr>
        <w:t>דיון והכרעה</w:t>
      </w:r>
    </w:p>
    <w:p w14:paraId="4380BA12" w14:textId="77777777" w:rsidR="00541122" w:rsidRPr="00541122" w:rsidRDefault="00541122" w:rsidP="00541122">
      <w:pPr>
        <w:spacing w:after="120" w:line="360" w:lineRule="auto"/>
        <w:jc w:val="both"/>
        <w:rPr>
          <w:rFonts w:ascii="David" w:eastAsia="Calibri" w:hAnsi="David"/>
          <w:u w:val="single"/>
          <w:rtl/>
        </w:rPr>
      </w:pPr>
      <w:r w:rsidRPr="00541122">
        <w:rPr>
          <w:rFonts w:ascii="David" w:eastAsia="Calibri" w:hAnsi="David"/>
          <w:u w:val="single"/>
          <w:rtl/>
        </w:rPr>
        <w:t>מתחם העונש ההולם</w:t>
      </w:r>
    </w:p>
    <w:p w14:paraId="3C6F0D4C" w14:textId="77777777" w:rsidR="00541122" w:rsidRPr="007A595B" w:rsidRDefault="00541122" w:rsidP="00541122">
      <w:pPr>
        <w:pStyle w:val="aa"/>
        <w:numPr>
          <w:ilvl w:val="0"/>
          <w:numId w:val="1"/>
        </w:numPr>
        <w:spacing w:after="120" w:line="360" w:lineRule="auto"/>
        <w:jc w:val="both"/>
        <w:rPr>
          <w:rFonts w:ascii="David" w:hAnsi="David"/>
          <w:color w:val="000000"/>
          <w:spacing w:val="10"/>
        </w:rPr>
      </w:pPr>
      <w:r>
        <w:rPr>
          <w:rtl/>
        </w:rPr>
        <w:t>פגיעתן של עבירות הסמים היא רבת</w:t>
      </w:r>
      <w:r>
        <w:rPr>
          <w:rFonts w:hint="cs"/>
          <w:rtl/>
        </w:rPr>
        <w:t xml:space="preserve"> רבדים:</w:t>
      </w:r>
      <w:r>
        <w:rPr>
          <w:rtl/>
        </w:rPr>
        <w:t xml:space="preserve"> החל מצרכן הסם העלול להתמכר לו, דרך משפחתו הנפגעת מהשינוי בדפוסי התנהגותו</w:t>
      </w:r>
      <w:r>
        <w:rPr>
          <w:rFonts w:hint="cs"/>
          <w:rtl/>
        </w:rPr>
        <w:t>,</w:t>
      </w:r>
      <w:r>
        <w:rPr>
          <w:rtl/>
        </w:rPr>
        <w:t xml:space="preserve"> ועד לציבור הרחב הנפגע לא פעם מביצוע עבירות לשם מימון צריכת הסם. </w:t>
      </w:r>
      <w:r w:rsidRPr="007A595B">
        <w:rPr>
          <w:rFonts w:ascii="David" w:hAnsi="David"/>
          <w:rtl/>
        </w:rPr>
        <w:t>בית המשפט העליון שב ו</w:t>
      </w:r>
      <w:r w:rsidRPr="007A595B">
        <w:rPr>
          <w:rFonts w:ascii="David" w:hAnsi="David" w:hint="cs"/>
          <w:rtl/>
        </w:rPr>
        <w:t>ציין את הצורך להילחם בשרשרת הפצת הסם על ידי ענישה מרתיעה</w:t>
      </w:r>
      <w:r w:rsidRPr="00541122">
        <w:rPr>
          <w:rFonts w:ascii="David" w:hAnsi="David" w:hint="cs"/>
          <w:noProof w:val="0"/>
          <w:color w:val="000000"/>
          <w:rtl/>
        </w:rPr>
        <w:t xml:space="preserve">. </w:t>
      </w:r>
      <w:r>
        <w:rPr>
          <w:rtl/>
        </w:rPr>
        <w:t xml:space="preserve">באופן דומה, אף המחוקק </w:t>
      </w:r>
      <w:r>
        <w:rPr>
          <w:rFonts w:hint="cs"/>
          <w:rtl/>
        </w:rPr>
        <w:t>התייחס לח</w:t>
      </w:r>
      <w:r>
        <w:rPr>
          <w:rtl/>
        </w:rPr>
        <w:t xml:space="preserve">ומרת עבירת גידול הסם וקבע בצידה עונש מירבי של 20 שנות מאסר. יחד עם זאת, </w:t>
      </w:r>
      <w:r>
        <w:rPr>
          <w:rFonts w:hint="cs"/>
          <w:rtl/>
        </w:rPr>
        <w:t xml:space="preserve">יש לבחון </w:t>
      </w:r>
      <w:r>
        <w:rPr>
          <w:rtl/>
        </w:rPr>
        <w:t xml:space="preserve">את מידת הפגיעה בערכים המוגנים בהתאם לנסיבותיו של כל מקרה ומקרה, במיוחד כאשר מדובר בעבירה לה מנעד רחב ביותר של נסיבות. </w:t>
      </w:r>
    </w:p>
    <w:p w14:paraId="0B5DDE66" w14:textId="77777777" w:rsidR="00541122" w:rsidRPr="007A595B" w:rsidRDefault="00541122" w:rsidP="00541122">
      <w:pPr>
        <w:pStyle w:val="aa"/>
        <w:spacing w:line="360" w:lineRule="auto"/>
        <w:ind w:left="360"/>
        <w:jc w:val="both"/>
      </w:pPr>
      <w:r>
        <w:rPr>
          <w:rFonts w:hint="cs"/>
          <w:rtl/>
        </w:rPr>
        <w:t xml:space="preserve">בנסיבות המקרה הנדון מדובר בגידול של חמישה שתילי סם מסוג קנביס במשך מספר חודשים, והחזקה בכמות של קילו סם מסוג קנביס. בנוסף, אין מדובר ב"מעבדה" מתוחכמת בה אמצעים שונים. </w:t>
      </w:r>
    </w:p>
    <w:p w14:paraId="2B29B4F7" w14:textId="77777777" w:rsidR="00541122" w:rsidRDefault="00541122" w:rsidP="00541122">
      <w:pPr>
        <w:pStyle w:val="aa"/>
        <w:spacing w:line="360" w:lineRule="auto"/>
        <w:ind w:left="360"/>
        <w:jc w:val="both"/>
        <w:rPr>
          <w:rtl/>
        </w:rPr>
      </w:pPr>
      <w:r>
        <w:rPr>
          <w:rtl/>
        </w:rPr>
        <w:t>ניתן ללמוד על הענישה הנוהגת בגין עבירות גידול סם בסדרי גודל דומים, כ</w:t>
      </w:r>
      <w:r>
        <w:rPr>
          <w:rFonts w:hint="cs"/>
          <w:rtl/>
        </w:rPr>
        <w:t xml:space="preserve">ככזו </w:t>
      </w:r>
      <w:r>
        <w:rPr>
          <w:rtl/>
        </w:rPr>
        <w:t xml:space="preserve">הנעה בין תקופה קצרה של מאסר בעבודות שרות </w:t>
      </w:r>
      <w:r>
        <w:rPr>
          <w:rFonts w:hint="cs"/>
          <w:rtl/>
        </w:rPr>
        <w:t xml:space="preserve">ועד למאסר בפועל </w:t>
      </w:r>
      <w:r w:rsidRPr="007A595B">
        <w:rPr>
          <w:rtl/>
        </w:rPr>
        <w:t>(</w:t>
      </w:r>
      <w:r>
        <w:rPr>
          <w:rFonts w:hint="cs"/>
          <w:rtl/>
        </w:rPr>
        <w:t xml:space="preserve">ראו את הפסיקה שהגישה המאשימה וכן את הפסיקה הבאה: </w:t>
      </w:r>
      <w:hyperlink r:id="rId15" w:history="1">
        <w:r w:rsidR="00982E19" w:rsidRPr="00982E19">
          <w:rPr>
            <w:rFonts w:hint="cs"/>
            <w:color w:val="0000FF"/>
            <w:u w:val="single"/>
            <w:rtl/>
          </w:rPr>
          <w:t>רע</w:t>
        </w:r>
        <w:r w:rsidR="00982E19" w:rsidRPr="00982E19">
          <w:rPr>
            <w:color w:val="0000FF"/>
            <w:u w:val="single"/>
            <w:rtl/>
          </w:rPr>
          <w:t>"</w:t>
        </w:r>
        <w:r w:rsidR="00982E19" w:rsidRPr="00982E19">
          <w:rPr>
            <w:rFonts w:hint="cs"/>
            <w:color w:val="0000FF"/>
            <w:u w:val="single"/>
            <w:rtl/>
          </w:rPr>
          <w:t>פ</w:t>
        </w:r>
        <w:r w:rsidR="00982E19" w:rsidRPr="00982E19">
          <w:rPr>
            <w:color w:val="0000FF"/>
            <w:u w:val="single"/>
            <w:rtl/>
          </w:rPr>
          <w:t xml:space="preserve"> 2277/21</w:t>
        </w:r>
      </w:hyperlink>
      <w:r w:rsidRPr="007A595B">
        <w:rPr>
          <w:rtl/>
        </w:rPr>
        <w:t xml:space="preserve"> </w:t>
      </w:r>
      <w:r w:rsidRPr="007A595B">
        <w:rPr>
          <w:rFonts w:hint="cs"/>
          <w:b/>
          <w:bCs/>
          <w:rtl/>
        </w:rPr>
        <w:t>אברהם יוחננוב נ' מדינת ישראל</w:t>
      </w:r>
      <w:r w:rsidRPr="007A595B">
        <w:rPr>
          <w:rFonts w:hint="cs"/>
          <w:rtl/>
        </w:rPr>
        <w:t xml:space="preserve"> (8.4.2021); </w:t>
      </w:r>
      <w:hyperlink r:id="rId16" w:history="1">
        <w:r w:rsidR="00982E19" w:rsidRPr="00982E19">
          <w:rPr>
            <w:rFonts w:hint="cs"/>
            <w:color w:val="0000FF"/>
            <w:u w:val="single"/>
            <w:rtl/>
          </w:rPr>
          <w:t>רע</w:t>
        </w:r>
        <w:r w:rsidR="00982E19" w:rsidRPr="00982E19">
          <w:rPr>
            <w:color w:val="0000FF"/>
            <w:u w:val="single"/>
            <w:rtl/>
          </w:rPr>
          <w:t>"</w:t>
        </w:r>
        <w:r w:rsidR="00982E19" w:rsidRPr="00982E19">
          <w:rPr>
            <w:rFonts w:hint="cs"/>
            <w:color w:val="0000FF"/>
            <w:u w:val="single"/>
            <w:rtl/>
          </w:rPr>
          <w:t>פ</w:t>
        </w:r>
        <w:r w:rsidR="00982E19" w:rsidRPr="00982E19">
          <w:rPr>
            <w:color w:val="0000FF"/>
            <w:u w:val="single"/>
            <w:rtl/>
          </w:rPr>
          <w:t xml:space="preserve"> 5018/18</w:t>
        </w:r>
      </w:hyperlink>
      <w:r w:rsidRPr="007A595B">
        <w:rPr>
          <w:rtl/>
        </w:rPr>
        <w:t xml:space="preserve"> </w:t>
      </w:r>
      <w:r w:rsidRPr="007A595B">
        <w:rPr>
          <w:rFonts w:hint="cs"/>
          <w:b/>
          <w:bCs/>
          <w:rtl/>
        </w:rPr>
        <w:t>עומר בוזגלו נ' מדינת ישראל</w:t>
      </w:r>
      <w:r w:rsidRPr="007A595B">
        <w:rPr>
          <w:rFonts w:hint="cs"/>
          <w:rtl/>
        </w:rPr>
        <w:t xml:space="preserve"> (21.10.2018)</w:t>
      </w:r>
      <w:r>
        <w:rPr>
          <w:rFonts w:hint="cs"/>
          <w:rtl/>
        </w:rPr>
        <w:t>;</w:t>
      </w:r>
      <w:r w:rsidRPr="007A595B">
        <w:rPr>
          <w:rFonts w:hint="cs"/>
          <w:rtl/>
        </w:rPr>
        <w:t xml:space="preserve"> </w:t>
      </w:r>
      <w:hyperlink r:id="rId17" w:history="1">
        <w:r w:rsidR="00982E19" w:rsidRPr="00982E19">
          <w:rPr>
            <w:rFonts w:hint="cs"/>
            <w:color w:val="0000FF"/>
            <w:u w:val="single"/>
            <w:rtl/>
          </w:rPr>
          <w:t>רע</w:t>
        </w:r>
        <w:r w:rsidR="00982E19" w:rsidRPr="00982E19">
          <w:rPr>
            <w:color w:val="0000FF"/>
            <w:u w:val="single"/>
            <w:rtl/>
          </w:rPr>
          <w:t>"</w:t>
        </w:r>
        <w:r w:rsidR="00982E19" w:rsidRPr="00982E19">
          <w:rPr>
            <w:rFonts w:hint="cs"/>
            <w:color w:val="0000FF"/>
            <w:u w:val="single"/>
            <w:rtl/>
          </w:rPr>
          <w:t>פ</w:t>
        </w:r>
        <w:r w:rsidR="00982E19" w:rsidRPr="00982E19">
          <w:rPr>
            <w:color w:val="0000FF"/>
            <w:u w:val="single"/>
            <w:rtl/>
          </w:rPr>
          <w:t xml:space="preserve"> 8146/17</w:t>
        </w:r>
      </w:hyperlink>
      <w:r w:rsidRPr="007A595B">
        <w:rPr>
          <w:rFonts w:hint="cs"/>
          <w:rtl/>
        </w:rPr>
        <w:t xml:space="preserve"> </w:t>
      </w:r>
      <w:r w:rsidRPr="007A595B">
        <w:rPr>
          <w:rFonts w:hint="cs"/>
          <w:b/>
          <w:bCs/>
          <w:rtl/>
        </w:rPr>
        <w:t xml:space="preserve">אביגל אבישלום נ' מדינת ישראל </w:t>
      </w:r>
      <w:r w:rsidRPr="007A595B">
        <w:rPr>
          <w:rFonts w:hint="cs"/>
          <w:rtl/>
        </w:rPr>
        <w:t>(14.11.2017)</w:t>
      </w:r>
      <w:r>
        <w:rPr>
          <w:rFonts w:hint="cs"/>
          <w:rtl/>
        </w:rPr>
        <w:t>;</w:t>
      </w:r>
      <w:r w:rsidRPr="007A595B">
        <w:rPr>
          <w:rFonts w:hint="cs"/>
          <w:rtl/>
        </w:rPr>
        <w:t xml:space="preserve"> </w:t>
      </w:r>
      <w:hyperlink r:id="rId18" w:history="1">
        <w:r w:rsidR="00982E19" w:rsidRPr="00982E19">
          <w:rPr>
            <w:rFonts w:hint="cs"/>
            <w:color w:val="0000FF"/>
            <w:u w:val="single"/>
            <w:rtl/>
          </w:rPr>
          <w:t>רע</w:t>
        </w:r>
        <w:r w:rsidR="00982E19" w:rsidRPr="00982E19">
          <w:rPr>
            <w:color w:val="0000FF"/>
            <w:u w:val="single"/>
            <w:rtl/>
          </w:rPr>
          <w:t>"</w:t>
        </w:r>
        <w:r w:rsidR="00982E19" w:rsidRPr="00982E19">
          <w:rPr>
            <w:rFonts w:hint="cs"/>
            <w:color w:val="0000FF"/>
            <w:u w:val="single"/>
            <w:rtl/>
          </w:rPr>
          <w:t>פ</w:t>
        </w:r>
        <w:r w:rsidR="00982E19" w:rsidRPr="00982E19">
          <w:rPr>
            <w:color w:val="0000FF"/>
            <w:u w:val="single"/>
            <w:rtl/>
          </w:rPr>
          <w:t xml:space="preserve"> 1787/15</w:t>
        </w:r>
      </w:hyperlink>
      <w:r w:rsidRPr="007A595B">
        <w:rPr>
          <w:rtl/>
        </w:rPr>
        <w:t xml:space="preserve"> </w:t>
      </w:r>
      <w:r w:rsidRPr="007A595B">
        <w:rPr>
          <w:rFonts w:hint="cs"/>
          <w:b/>
          <w:bCs/>
          <w:rtl/>
        </w:rPr>
        <w:t>אדי עמר נ' מדינת ישראל</w:t>
      </w:r>
      <w:r w:rsidRPr="007A595B">
        <w:rPr>
          <w:rFonts w:hint="cs"/>
          <w:rtl/>
        </w:rPr>
        <w:t xml:space="preserve"> (24.3.2015)).</w:t>
      </w:r>
    </w:p>
    <w:p w14:paraId="7A102D43" w14:textId="77777777" w:rsidR="00541122" w:rsidRDefault="00541122" w:rsidP="00541122">
      <w:pPr>
        <w:pStyle w:val="aa"/>
        <w:spacing w:line="360" w:lineRule="auto"/>
        <w:ind w:left="360"/>
        <w:jc w:val="both"/>
        <w:rPr>
          <w:rtl/>
        </w:rPr>
      </w:pPr>
    </w:p>
    <w:p w14:paraId="59A552C2" w14:textId="77777777" w:rsidR="00541122" w:rsidRDefault="00541122" w:rsidP="00541122">
      <w:pPr>
        <w:pStyle w:val="aa"/>
        <w:spacing w:line="360" w:lineRule="auto"/>
        <w:ind w:left="360"/>
        <w:jc w:val="both"/>
        <w:rPr>
          <w:rtl/>
        </w:rPr>
      </w:pPr>
      <w:r>
        <w:rPr>
          <w:rFonts w:ascii="David" w:hAnsi="David"/>
          <w:rtl/>
        </w:rPr>
        <w:t xml:space="preserve">יש להדגיש כי אין זהות בין מתחם העונש ההולם, המגלם הכרעה ערכית המבוססת על שיקולים שונים, ובין מדיניות הענישה הנוהגת המהווה אך את אחד משיקולים אלה ( ראו: </w:t>
      </w:r>
      <w:hyperlink r:id="rId19" w:history="1">
        <w:r w:rsidR="00982E19" w:rsidRPr="00982E19">
          <w:rPr>
            <w:rFonts w:ascii="David" w:hAnsi="David"/>
            <w:color w:val="0000FF"/>
            <w:u w:val="single"/>
            <w:rtl/>
          </w:rPr>
          <w:t>ע"פ 6390/20</w:t>
        </w:r>
      </w:hyperlink>
      <w:r>
        <w:rPr>
          <w:rFonts w:ascii="David" w:hAnsi="David"/>
          <w:rtl/>
        </w:rPr>
        <w:t xml:space="preserve"> </w:t>
      </w:r>
      <w:r>
        <w:rPr>
          <w:rFonts w:ascii="David" w:hAnsi="David"/>
          <w:b/>
          <w:bCs/>
          <w:rtl/>
        </w:rPr>
        <w:t>מדינת ישראל נ' פלוני</w:t>
      </w:r>
      <w:r>
        <w:rPr>
          <w:rFonts w:ascii="David" w:hAnsi="David"/>
          <w:rtl/>
        </w:rPr>
        <w:t xml:space="preserve"> (10.2.2021) וע"פ </w:t>
      </w:r>
      <w:hyperlink r:id="rId20" w:history="1">
        <w:r w:rsidR="0002774D" w:rsidRPr="0002774D">
          <w:rPr>
            <w:rFonts w:ascii="David" w:hAnsi="David"/>
            <w:color w:val="0000FF"/>
            <w:u w:val="single"/>
            <w:rtl/>
          </w:rPr>
          <w:t xml:space="preserve">322/16 </w:t>
        </w:r>
      </w:hyperlink>
      <w:r>
        <w:rPr>
          <w:rFonts w:ascii="David" w:hAnsi="David"/>
          <w:rtl/>
        </w:rPr>
        <w:t xml:space="preserve"> </w:t>
      </w:r>
      <w:r>
        <w:rPr>
          <w:rFonts w:ascii="David" w:hAnsi="David"/>
          <w:b/>
          <w:bCs/>
          <w:rtl/>
        </w:rPr>
        <w:t>פלוני נ' מדינת ישראל</w:t>
      </w:r>
      <w:r>
        <w:rPr>
          <w:rFonts w:ascii="David" w:hAnsi="David"/>
          <w:rtl/>
        </w:rPr>
        <w:t>, פסקה 5 (9.10.2016)).</w:t>
      </w:r>
    </w:p>
    <w:p w14:paraId="3664BA36" w14:textId="77777777" w:rsidR="00541122" w:rsidRDefault="00541122" w:rsidP="00541122">
      <w:pPr>
        <w:pStyle w:val="aa"/>
        <w:spacing w:line="360" w:lineRule="auto"/>
        <w:ind w:left="360"/>
        <w:jc w:val="both"/>
        <w:rPr>
          <w:rtl/>
        </w:rPr>
      </w:pPr>
    </w:p>
    <w:p w14:paraId="51488C5F" w14:textId="77777777" w:rsidR="00541122" w:rsidRDefault="00541122" w:rsidP="00541122">
      <w:pPr>
        <w:pStyle w:val="aa"/>
        <w:spacing w:line="360" w:lineRule="auto"/>
        <w:ind w:left="360"/>
        <w:jc w:val="both"/>
        <w:rPr>
          <w:rtl/>
        </w:rPr>
      </w:pPr>
      <w:r>
        <w:rPr>
          <w:rtl/>
        </w:rPr>
        <w:t xml:space="preserve">באשר לעבירת האיומים, המאיים על זולתו ומשמיע כלפיו דברי איום והפחדה, פוגע בזכות כל אדם לבטחון אישי ולשלוות הנפש. </w:t>
      </w:r>
      <w:r>
        <w:rPr>
          <w:rFonts w:hint="cs"/>
          <w:rtl/>
        </w:rPr>
        <w:t xml:space="preserve">גם לגבי עבירה זו, מדובר בעבירה לה מנעד נסיבות רחב ולכן יש לבחון את מידת הפגיעה </w:t>
      </w:r>
      <w:r>
        <w:rPr>
          <w:rtl/>
        </w:rPr>
        <w:t>בערכים המוגנים בהתאם לנסיבותיו המשתנות של כל מקרה ומקרה תוך מתן משקל משמעותי לנסיבות (ראו התייחסות ב</w:t>
      </w:r>
      <w:hyperlink r:id="rId21" w:history="1">
        <w:r w:rsidR="00982E19" w:rsidRPr="00982E19">
          <w:rPr>
            <w:rFonts w:hint="cs"/>
            <w:color w:val="0000FF"/>
            <w:u w:val="single"/>
            <w:rtl/>
          </w:rPr>
          <w:t>ע</w:t>
        </w:r>
        <w:r w:rsidR="00982E19" w:rsidRPr="00982E19">
          <w:rPr>
            <w:color w:val="0000FF"/>
            <w:u w:val="single"/>
            <w:rtl/>
          </w:rPr>
          <w:t>"</w:t>
        </w:r>
        <w:r w:rsidR="00982E19" w:rsidRPr="00982E19">
          <w:rPr>
            <w:rFonts w:hint="cs"/>
            <w:color w:val="0000FF"/>
            <w:u w:val="single"/>
            <w:rtl/>
          </w:rPr>
          <w:t>פ</w:t>
        </w:r>
        <w:r w:rsidR="00982E19" w:rsidRPr="00982E19">
          <w:rPr>
            <w:color w:val="0000FF"/>
            <w:u w:val="single"/>
            <w:rtl/>
          </w:rPr>
          <w:t xml:space="preserve"> 1127/13</w:t>
        </w:r>
      </w:hyperlink>
      <w:r>
        <w:rPr>
          <w:rtl/>
        </w:rPr>
        <w:t xml:space="preserve"> </w:t>
      </w:r>
      <w:r>
        <w:rPr>
          <w:b/>
          <w:bCs/>
          <w:rtl/>
        </w:rPr>
        <w:t>עמאואל גברזגיי נ' מדינת ישראל</w:t>
      </w:r>
      <w:r>
        <w:rPr>
          <w:rtl/>
        </w:rPr>
        <w:t>, פסקה 25 (15.1.2014))</w:t>
      </w:r>
      <w:r>
        <w:rPr>
          <w:rFonts w:hint="cs"/>
          <w:rtl/>
        </w:rPr>
        <w:t>.</w:t>
      </w:r>
      <w:r w:rsidRPr="0007504F">
        <w:rPr>
          <w:rtl/>
        </w:rPr>
        <w:t xml:space="preserve"> </w:t>
      </w:r>
      <w:r>
        <w:rPr>
          <w:rtl/>
        </w:rPr>
        <w:t xml:space="preserve">בנסיבות המקרה שלפניי, איים הנאשם על שוטרים בעת שהיה בסיטואציה אישית </w:t>
      </w:r>
      <w:r>
        <w:rPr>
          <w:rFonts w:hint="cs"/>
          <w:rtl/>
        </w:rPr>
        <w:t xml:space="preserve">מלחיצה לאחר מעצרו, זאת מבלי להקל ראש בפגיעה בשוטרים בשל מילוי תפקידם. </w:t>
      </w:r>
      <w:r>
        <w:rPr>
          <w:rtl/>
        </w:rPr>
        <w:t xml:space="preserve">הפסיקה הנוהגת </w:t>
      </w:r>
      <w:r>
        <w:rPr>
          <w:rFonts w:hint="cs"/>
          <w:rtl/>
        </w:rPr>
        <w:t xml:space="preserve">בגין עבירת איומים </w:t>
      </w:r>
      <w:r>
        <w:rPr>
          <w:rtl/>
        </w:rPr>
        <w:t xml:space="preserve">מלמדת על רף ענישה המתחיל במאסר </w:t>
      </w:r>
      <w:r>
        <w:rPr>
          <w:rFonts w:hint="cs"/>
          <w:rtl/>
        </w:rPr>
        <w:t xml:space="preserve">מותנה </w:t>
      </w:r>
      <w:r>
        <w:rPr>
          <w:rtl/>
        </w:rPr>
        <w:t>ו</w:t>
      </w:r>
      <w:r>
        <w:rPr>
          <w:rFonts w:hint="cs"/>
          <w:rtl/>
        </w:rPr>
        <w:t xml:space="preserve">עד למאסר בפועל למשך מספר חודשים. </w:t>
      </w:r>
    </w:p>
    <w:p w14:paraId="673E01C9" w14:textId="77777777" w:rsidR="00541122" w:rsidRDefault="00541122" w:rsidP="00541122">
      <w:pPr>
        <w:pStyle w:val="aa"/>
        <w:spacing w:line="360" w:lineRule="auto"/>
        <w:ind w:left="360"/>
        <w:jc w:val="both"/>
      </w:pPr>
    </w:p>
    <w:p w14:paraId="50D75DBA" w14:textId="77777777" w:rsidR="00541122" w:rsidRDefault="00541122" w:rsidP="00541122">
      <w:pPr>
        <w:pStyle w:val="aa"/>
        <w:spacing w:line="360" w:lineRule="auto"/>
        <w:ind w:left="360"/>
        <w:jc w:val="both"/>
        <w:rPr>
          <w:rtl/>
        </w:rPr>
      </w:pPr>
      <w:r>
        <w:rPr>
          <w:rtl/>
        </w:rPr>
        <w:t xml:space="preserve">לאחר ששקלתי את מידת הפגיעה בערכים המוגנים, את נסיבות ביצוע העבירות, וכן בהתחשב בפסיקה הנוהגת, אני קובע כי מתחם הענישה נע החל מתקופה קצרה של מאסר אשר יכול וירוצה בעבודות שרות, ועד למאסר למשך </w:t>
      </w:r>
      <w:r>
        <w:rPr>
          <w:rFonts w:hint="cs"/>
          <w:rtl/>
        </w:rPr>
        <w:t>10 חודשים</w:t>
      </w:r>
      <w:r>
        <w:rPr>
          <w:rtl/>
        </w:rPr>
        <w:t xml:space="preserve">, לצד ענישה נלווית. </w:t>
      </w:r>
    </w:p>
    <w:p w14:paraId="71337D03" w14:textId="77777777" w:rsidR="00541122" w:rsidRPr="00541122" w:rsidRDefault="00541122" w:rsidP="00541122">
      <w:pPr>
        <w:spacing w:after="120" w:line="360" w:lineRule="auto"/>
        <w:ind w:left="1077" w:hanging="720"/>
        <w:jc w:val="both"/>
        <w:rPr>
          <w:rFonts w:ascii="David" w:eastAsia="Calibri" w:hAnsi="David"/>
          <w:b/>
          <w:bCs/>
          <w:rtl/>
        </w:rPr>
      </w:pPr>
    </w:p>
    <w:p w14:paraId="5F4FD120" w14:textId="77777777" w:rsidR="00541122" w:rsidRPr="00541122" w:rsidRDefault="00541122" w:rsidP="00541122">
      <w:pPr>
        <w:spacing w:after="120" w:line="360" w:lineRule="auto"/>
        <w:jc w:val="both"/>
        <w:rPr>
          <w:rFonts w:ascii="David" w:eastAsia="Calibri" w:hAnsi="David"/>
          <w:u w:val="single"/>
          <w:rtl/>
        </w:rPr>
      </w:pPr>
      <w:r w:rsidRPr="00541122">
        <w:rPr>
          <w:rFonts w:ascii="David" w:eastAsia="Calibri" w:hAnsi="David"/>
          <w:u w:val="single"/>
          <w:rtl/>
        </w:rPr>
        <w:t>קביעת העונש המתאים</w:t>
      </w:r>
    </w:p>
    <w:p w14:paraId="1416AE57" w14:textId="77777777" w:rsidR="00541122" w:rsidRPr="00541122" w:rsidRDefault="00541122" w:rsidP="00541122">
      <w:pPr>
        <w:pStyle w:val="aa"/>
        <w:numPr>
          <w:ilvl w:val="0"/>
          <w:numId w:val="1"/>
        </w:numPr>
        <w:spacing w:after="120" w:line="360" w:lineRule="auto"/>
        <w:jc w:val="both"/>
        <w:rPr>
          <w:rFonts w:ascii="David" w:hAnsi="David"/>
          <w:noProof w:val="0"/>
          <w:rtl/>
        </w:rPr>
      </w:pPr>
      <w:r w:rsidRPr="00541122">
        <w:rPr>
          <w:rFonts w:ascii="David" w:hAnsi="David"/>
          <w:noProof w:val="0"/>
          <w:color w:val="000000"/>
          <w:rtl/>
        </w:rPr>
        <w:t>הנאשם</w:t>
      </w:r>
      <w:r w:rsidRPr="00541122">
        <w:rPr>
          <w:rFonts w:ascii="David" w:hAnsi="David"/>
          <w:noProof w:val="0"/>
          <w:rtl/>
        </w:rPr>
        <w:t xml:space="preserve">, בן </w:t>
      </w:r>
      <w:r w:rsidRPr="00541122">
        <w:rPr>
          <w:rFonts w:ascii="David" w:hAnsi="David" w:hint="cs"/>
          <w:noProof w:val="0"/>
          <w:rtl/>
        </w:rPr>
        <w:t>36</w:t>
      </w:r>
      <w:r w:rsidRPr="00541122">
        <w:rPr>
          <w:rFonts w:ascii="David" w:hAnsi="David"/>
          <w:noProof w:val="0"/>
          <w:rtl/>
        </w:rPr>
        <w:t xml:space="preserve">, רווק, הנדסאי בניין במקצועו </w:t>
      </w:r>
      <w:r w:rsidRPr="00541122">
        <w:rPr>
          <w:rFonts w:ascii="David" w:hAnsi="David" w:hint="cs"/>
          <w:noProof w:val="0"/>
          <w:rtl/>
        </w:rPr>
        <w:t>ה</w:t>
      </w:r>
      <w:r w:rsidRPr="00541122">
        <w:rPr>
          <w:rFonts w:ascii="David" w:hAnsi="David"/>
          <w:noProof w:val="0"/>
          <w:rtl/>
        </w:rPr>
        <w:t xml:space="preserve">עובד כנהג חלוקה. על פי תסקיר </w:t>
      </w:r>
      <w:r w:rsidRPr="00541122">
        <w:rPr>
          <w:rFonts w:ascii="David" w:hAnsi="David" w:hint="cs"/>
          <w:noProof w:val="0"/>
          <w:rtl/>
        </w:rPr>
        <w:t>שרות המבחן</w:t>
      </w:r>
      <w:r w:rsidRPr="00541122">
        <w:rPr>
          <w:rFonts w:ascii="David" w:hAnsi="David"/>
          <w:noProof w:val="0"/>
          <w:rtl/>
        </w:rPr>
        <w:t xml:space="preserve">, הנאשם </w:t>
      </w:r>
      <w:r w:rsidRPr="00541122">
        <w:rPr>
          <w:rFonts w:ascii="David" w:hAnsi="David" w:hint="cs"/>
          <w:noProof w:val="0"/>
          <w:rtl/>
        </w:rPr>
        <w:t xml:space="preserve">זקוק להתערבות טיפולית אינטנסיבית בתחום ההתמכרות ואינו משולב בהליך טיפולי. למול קושי משמעותי זה, יש לשקול לזכות הנאשם נתונים רבים: </w:t>
      </w:r>
      <w:r w:rsidRPr="00541122">
        <w:rPr>
          <w:rFonts w:ascii="David" w:hAnsi="David"/>
          <w:noProof w:val="0"/>
          <w:rtl/>
        </w:rPr>
        <w:t xml:space="preserve">לנאשם הרשעות קודמות, </w:t>
      </w:r>
      <w:r w:rsidRPr="00541122">
        <w:rPr>
          <w:rFonts w:ascii="David" w:hAnsi="David" w:hint="cs"/>
          <w:noProof w:val="0"/>
          <w:rtl/>
        </w:rPr>
        <w:t>שלא מתחום הסמים</w:t>
      </w:r>
      <w:r w:rsidRPr="00541122">
        <w:rPr>
          <w:rFonts w:ascii="David" w:hAnsi="David"/>
          <w:noProof w:val="0"/>
          <w:rtl/>
        </w:rPr>
        <w:t xml:space="preserve">, </w:t>
      </w:r>
      <w:r w:rsidRPr="00541122">
        <w:rPr>
          <w:rFonts w:ascii="David" w:hAnsi="David" w:hint="cs"/>
          <w:noProof w:val="0"/>
          <w:rtl/>
        </w:rPr>
        <w:t xml:space="preserve">אולם מדובר בעבירות שבוצעו לפני לא פחות מ-16 שנים, ולפיכך לא ראיתי מקום לייחס להן משקל; </w:t>
      </w:r>
      <w:r w:rsidRPr="00541122">
        <w:rPr>
          <w:rFonts w:ascii="David" w:hAnsi="David"/>
          <w:noProof w:val="0"/>
          <w:rtl/>
        </w:rPr>
        <w:t xml:space="preserve">מאז </w:t>
      </w:r>
      <w:r w:rsidRPr="00541122">
        <w:rPr>
          <w:rFonts w:ascii="David" w:hAnsi="David" w:hint="cs"/>
          <w:noProof w:val="0"/>
          <w:rtl/>
        </w:rPr>
        <w:t>הרשעתו האחרונה, העבירות בהן הורשע הנאשם בתיק הנדון הן הרשעתו היחידה בפלילים ותיק החקירה היחיד הפתוח כנגדו; הנאשם קיבל אחריות על מעשיו, הודה ו</w:t>
      </w:r>
      <w:r w:rsidRPr="00541122">
        <w:rPr>
          <w:rFonts w:ascii="David" w:hAnsi="David"/>
          <w:noProof w:val="0"/>
          <w:rtl/>
        </w:rPr>
        <w:t xml:space="preserve">חסך </w:t>
      </w:r>
      <w:r w:rsidRPr="00541122">
        <w:rPr>
          <w:rFonts w:ascii="David" w:hAnsi="David" w:hint="cs"/>
          <w:noProof w:val="0"/>
          <w:rtl/>
        </w:rPr>
        <w:t>ב</w:t>
      </w:r>
      <w:r w:rsidRPr="00541122">
        <w:rPr>
          <w:rFonts w:ascii="David" w:hAnsi="David"/>
          <w:noProof w:val="0"/>
          <w:rtl/>
        </w:rPr>
        <w:t>זמן שיפוטי</w:t>
      </w:r>
      <w:r w:rsidRPr="00541122">
        <w:rPr>
          <w:rFonts w:ascii="David" w:hAnsi="David" w:hint="cs"/>
          <w:noProof w:val="0"/>
          <w:rtl/>
        </w:rPr>
        <w:t xml:space="preserve">; מאז ביצוע העבירות חלפו למעלה מחמש שנים; </w:t>
      </w:r>
      <w:r w:rsidRPr="00541122">
        <w:rPr>
          <w:rFonts w:ascii="David" w:hAnsi="David"/>
          <w:noProof w:val="0"/>
          <w:color w:val="000000"/>
          <w:rtl/>
        </w:rPr>
        <w:t xml:space="preserve">מצאתי </w:t>
      </w:r>
      <w:r w:rsidRPr="00541122">
        <w:rPr>
          <w:rFonts w:ascii="David" w:hAnsi="David" w:hint="cs"/>
          <w:noProof w:val="0"/>
          <w:color w:val="000000"/>
          <w:rtl/>
        </w:rPr>
        <w:t>לתת משקל משמעותי ל</w:t>
      </w:r>
      <w:r w:rsidRPr="00541122">
        <w:rPr>
          <w:rFonts w:ascii="David" w:hAnsi="David"/>
          <w:noProof w:val="0"/>
          <w:color w:val="000000"/>
          <w:rtl/>
        </w:rPr>
        <w:t xml:space="preserve">נסיבות חייו הקשות של הנאשם, ולכך </w:t>
      </w:r>
      <w:r w:rsidRPr="00541122">
        <w:rPr>
          <w:rFonts w:ascii="David" w:hAnsi="David"/>
          <w:noProof w:val="0"/>
          <w:rtl/>
        </w:rPr>
        <w:t>ש</w:t>
      </w:r>
      <w:r w:rsidRPr="00541122">
        <w:rPr>
          <w:rFonts w:ascii="David" w:hAnsi="David" w:hint="cs"/>
          <w:noProof w:val="0"/>
          <w:rtl/>
        </w:rPr>
        <w:t xml:space="preserve">הוא </w:t>
      </w:r>
      <w:r w:rsidRPr="00541122">
        <w:rPr>
          <w:rFonts w:ascii="David" w:hAnsi="David"/>
          <w:noProof w:val="0"/>
          <w:rtl/>
        </w:rPr>
        <w:t>משמש כ</w:t>
      </w:r>
      <w:r w:rsidRPr="00541122">
        <w:rPr>
          <w:rFonts w:ascii="David" w:hAnsi="David" w:hint="cs"/>
          <w:noProof w:val="0"/>
          <w:rtl/>
        </w:rPr>
        <w:t>יום כ</w:t>
      </w:r>
      <w:r w:rsidRPr="00541122">
        <w:rPr>
          <w:rFonts w:ascii="David" w:hAnsi="David"/>
          <w:noProof w:val="0"/>
          <w:rtl/>
        </w:rPr>
        <w:t xml:space="preserve">אפוטרופוס ומטפל יחיד באחיו החולה, </w:t>
      </w:r>
      <w:r w:rsidRPr="00541122">
        <w:rPr>
          <w:rFonts w:ascii="David" w:hAnsi="David" w:hint="cs"/>
          <w:noProof w:val="0"/>
          <w:rtl/>
        </w:rPr>
        <w:t xml:space="preserve">כאשר השניים עומדים לאבד את מקום מגוריהם. מכלול נתונים אלה מאזן את הקושי העולה מהערכת שרות המבחן. </w:t>
      </w:r>
    </w:p>
    <w:p w14:paraId="452B00CB" w14:textId="77777777" w:rsidR="00541122" w:rsidRPr="00541122" w:rsidRDefault="00541122" w:rsidP="00541122">
      <w:pPr>
        <w:pStyle w:val="aa"/>
        <w:spacing w:after="120" w:line="360" w:lineRule="auto"/>
        <w:ind w:left="360"/>
        <w:jc w:val="both"/>
        <w:rPr>
          <w:rFonts w:ascii="David" w:hAnsi="David"/>
          <w:noProof w:val="0"/>
          <w:color w:val="000000"/>
          <w:rtl/>
        </w:rPr>
      </w:pPr>
      <w:r w:rsidRPr="00541122">
        <w:rPr>
          <w:rFonts w:ascii="David" w:hAnsi="David"/>
          <w:noProof w:val="0"/>
          <w:color w:val="000000"/>
          <w:rtl/>
        </w:rPr>
        <w:t>בנסיבות כוללת אלה, אני מוצא למקם את עניינו של הנאשם בתחתית מתחם הענישה.</w:t>
      </w:r>
    </w:p>
    <w:p w14:paraId="1DCA46A3" w14:textId="77777777" w:rsidR="00541122" w:rsidRPr="00541122" w:rsidRDefault="00541122" w:rsidP="00541122">
      <w:pPr>
        <w:pStyle w:val="aa"/>
        <w:spacing w:after="120" w:line="360" w:lineRule="auto"/>
        <w:ind w:left="360"/>
        <w:jc w:val="both"/>
        <w:rPr>
          <w:rFonts w:ascii="David" w:hAnsi="David"/>
          <w:noProof w:val="0"/>
        </w:rPr>
      </w:pPr>
    </w:p>
    <w:p w14:paraId="74049B5A" w14:textId="77777777" w:rsidR="00541122" w:rsidRDefault="00541122" w:rsidP="00541122">
      <w:pPr>
        <w:pStyle w:val="aa"/>
        <w:spacing w:line="360" w:lineRule="auto"/>
        <w:ind w:left="360"/>
        <w:jc w:val="both"/>
        <w:rPr>
          <w:rFonts w:ascii="David" w:hAnsi="David"/>
        </w:rPr>
      </w:pPr>
      <w:r>
        <w:rPr>
          <w:rFonts w:ascii="David" w:hAnsi="David" w:hint="cs"/>
          <w:rtl/>
        </w:rPr>
        <w:t>לפיכך</w:t>
      </w:r>
      <w:r>
        <w:rPr>
          <w:rFonts w:ascii="David" w:hAnsi="David"/>
          <w:rtl/>
        </w:rPr>
        <w:t>, החלטתי להטיל על הנאשם את העונשים הבאים:</w:t>
      </w:r>
    </w:p>
    <w:p w14:paraId="6FC8B81D" w14:textId="77777777" w:rsidR="00541122" w:rsidRDefault="00541122" w:rsidP="00541122">
      <w:pPr>
        <w:pStyle w:val="aa"/>
        <w:numPr>
          <w:ilvl w:val="0"/>
          <w:numId w:val="2"/>
        </w:numPr>
        <w:spacing w:line="360" w:lineRule="auto"/>
        <w:jc w:val="both"/>
        <w:rPr>
          <w:rFonts w:ascii="David" w:hAnsi="David"/>
        </w:rPr>
      </w:pPr>
      <w:r>
        <w:rPr>
          <w:rFonts w:ascii="David" w:hAnsi="David"/>
          <w:rtl/>
        </w:rPr>
        <w:t xml:space="preserve">מאסר למשך </w:t>
      </w:r>
      <w:r>
        <w:rPr>
          <w:rFonts w:ascii="David" w:hAnsi="David" w:hint="cs"/>
          <w:rtl/>
        </w:rPr>
        <w:t xml:space="preserve">חודשיים </w:t>
      </w:r>
      <w:r>
        <w:rPr>
          <w:rFonts w:ascii="David" w:hAnsi="David"/>
          <w:rtl/>
        </w:rPr>
        <w:t>אשר ירוצה בעבודות שירות, זאת בהתאם לחוות דעת הממונה. בית המשפט הבהיר לנאשם את משמעות אי עמידתו בביצוע עבודות השירות.</w:t>
      </w:r>
    </w:p>
    <w:p w14:paraId="024C2A73" w14:textId="77777777" w:rsidR="00541122" w:rsidRPr="004F3895" w:rsidRDefault="00541122" w:rsidP="00541122">
      <w:pPr>
        <w:pStyle w:val="aa"/>
        <w:numPr>
          <w:ilvl w:val="0"/>
          <w:numId w:val="2"/>
        </w:numPr>
        <w:spacing w:line="360" w:lineRule="auto"/>
        <w:jc w:val="both"/>
        <w:rPr>
          <w:rFonts w:ascii="David" w:hAnsi="David"/>
          <w:rtl/>
        </w:rPr>
      </w:pPr>
      <w:r>
        <w:rPr>
          <w:rFonts w:ascii="David" w:hAnsi="David"/>
          <w:rtl/>
        </w:rPr>
        <w:t xml:space="preserve">מאסר למשך שלושה חודשים, אותו לא ירצה אלא אם יעבור תוך שלוש שנים מהיום עבירה מסוג עוון על </w:t>
      </w:r>
      <w:hyperlink r:id="rId22" w:history="1">
        <w:r w:rsidR="00982E19" w:rsidRPr="00982E19">
          <w:rPr>
            <w:rFonts w:ascii="David" w:hAnsi="David"/>
            <w:color w:val="0000FF"/>
            <w:u w:val="single"/>
            <w:rtl/>
          </w:rPr>
          <w:t>פקודת הסמים המסוכנים</w:t>
        </w:r>
      </w:hyperlink>
      <w:r>
        <w:rPr>
          <w:rFonts w:ascii="David" w:hAnsi="David" w:hint="cs"/>
          <w:rtl/>
        </w:rPr>
        <w:t xml:space="preserve"> או עבירת איומים</w:t>
      </w:r>
      <w:r w:rsidRPr="004F3895">
        <w:rPr>
          <w:rFonts w:ascii="David" w:hAnsi="David"/>
          <w:rtl/>
        </w:rPr>
        <w:t>.</w:t>
      </w:r>
    </w:p>
    <w:p w14:paraId="3F051F45" w14:textId="77777777" w:rsidR="00541122" w:rsidRDefault="00541122" w:rsidP="00541122">
      <w:pPr>
        <w:pStyle w:val="aa"/>
        <w:numPr>
          <w:ilvl w:val="0"/>
          <w:numId w:val="2"/>
        </w:numPr>
        <w:spacing w:line="360" w:lineRule="auto"/>
        <w:jc w:val="both"/>
        <w:rPr>
          <w:rFonts w:ascii="David" w:hAnsi="David"/>
        </w:rPr>
      </w:pPr>
      <w:r>
        <w:rPr>
          <w:rFonts w:ascii="David" w:hAnsi="David"/>
          <w:rtl/>
        </w:rPr>
        <w:t xml:space="preserve">מאסר למשך שישה חודשים, אותו לא ירצה אלא אם יעבור תוך שלוש שנים מהיום עבירה מסוג פשע על </w:t>
      </w:r>
      <w:hyperlink r:id="rId23" w:history="1">
        <w:r w:rsidR="00982E19" w:rsidRPr="00982E19">
          <w:rPr>
            <w:rFonts w:ascii="David" w:hAnsi="David"/>
            <w:color w:val="0000FF"/>
            <w:u w:val="single"/>
            <w:rtl/>
          </w:rPr>
          <w:t>פקודת הסמים המסוכנים</w:t>
        </w:r>
      </w:hyperlink>
      <w:r>
        <w:rPr>
          <w:rFonts w:ascii="David" w:hAnsi="David"/>
          <w:rtl/>
        </w:rPr>
        <w:t>.</w:t>
      </w:r>
    </w:p>
    <w:p w14:paraId="428D7B53" w14:textId="77777777" w:rsidR="00541122" w:rsidRDefault="00541122" w:rsidP="00541122">
      <w:pPr>
        <w:pStyle w:val="aa"/>
        <w:numPr>
          <w:ilvl w:val="0"/>
          <w:numId w:val="2"/>
        </w:numPr>
        <w:spacing w:line="360" w:lineRule="auto"/>
        <w:jc w:val="both"/>
        <w:rPr>
          <w:rFonts w:ascii="David" w:hAnsi="David"/>
        </w:rPr>
      </w:pPr>
      <w:r>
        <w:rPr>
          <w:rFonts w:ascii="David" w:hAnsi="David"/>
          <w:rtl/>
        </w:rPr>
        <w:t>בנסיבות המקרה ובנסיבותיו של הנאשם, לא ראיתי לנכון להטיל קנס כספי.</w:t>
      </w:r>
    </w:p>
    <w:p w14:paraId="48C10727" w14:textId="77777777" w:rsidR="00541122" w:rsidRDefault="00541122" w:rsidP="00541122">
      <w:pPr>
        <w:pStyle w:val="aa"/>
        <w:numPr>
          <w:ilvl w:val="0"/>
          <w:numId w:val="2"/>
        </w:numPr>
        <w:spacing w:line="360" w:lineRule="auto"/>
        <w:jc w:val="both"/>
        <w:rPr>
          <w:rFonts w:ascii="David" w:hAnsi="David"/>
        </w:rPr>
      </w:pPr>
      <w:r>
        <w:rPr>
          <w:rFonts w:ascii="David" w:hAnsi="David"/>
          <w:rtl/>
        </w:rPr>
        <w:t xml:space="preserve">אני פוסל את הנאשם מלהחזיק ברישיון נהיגה למשך 6 חודשים וזאת על תנאי שלא יעבור עבירה כלשהי על </w:t>
      </w:r>
      <w:hyperlink r:id="rId24" w:history="1">
        <w:r w:rsidR="00982E19" w:rsidRPr="00982E19">
          <w:rPr>
            <w:rFonts w:ascii="David" w:hAnsi="David"/>
            <w:color w:val="0000FF"/>
            <w:u w:val="single"/>
            <w:rtl/>
          </w:rPr>
          <w:t>פקודת הסמים המסוכנים</w:t>
        </w:r>
      </w:hyperlink>
      <w:r w:rsidRPr="004F3895">
        <w:rPr>
          <w:rFonts w:ascii="David" w:hAnsi="David"/>
          <w:rtl/>
        </w:rPr>
        <w:t xml:space="preserve"> </w:t>
      </w:r>
      <w:r>
        <w:rPr>
          <w:rFonts w:ascii="David" w:hAnsi="David"/>
          <w:rtl/>
        </w:rPr>
        <w:t xml:space="preserve">במשך שלוש שנים. </w:t>
      </w:r>
    </w:p>
    <w:p w14:paraId="303C4181" w14:textId="77777777" w:rsidR="00541122" w:rsidRDefault="00541122" w:rsidP="00541122">
      <w:pPr>
        <w:pStyle w:val="aa"/>
        <w:numPr>
          <w:ilvl w:val="0"/>
          <w:numId w:val="2"/>
        </w:numPr>
        <w:spacing w:line="360" w:lineRule="auto"/>
        <w:jc w:val="both"/>
        <w:rPr>
          <w:rFonts w:ascii="David" w:hAnsi="David"/>
          <w:b/>
          <w:bCs/>
        </w:rPr>
      </w:pPr>
      <w:r w:rsidRPr="00561DD6">
        <w:rPr>
          <w:rFonts w:ascii="David" w:hAnsi="David"/>
          <w:rtl/>
        </w:rPr>
        <w:t xml:space="preserve">ניתן צו להשמדת הסמים והכלים השונים אשר שימשו לשם הגידול. </w:t>
      </w:r>
      <w:r w:rsidRPr="00561DD6">
        <w:rPr>
          <w:rFonts w:ascii="David" w:hAnsi="David" w:hint="cs"/>
          <w:rtl/>
        </w:rPr>
        <w:t xml:space="preserve">ניתן צו לחילוט סך של 1,250 ₪ אשר נתפס מידי הנאשם, כמפורט בהודעת המאשימה בכתב האישום. </w:t>
      </w:r>
    </w:p>
    <w:p w14:paraId="12A9BFA4" w14:textId="77777777" w:rsidR="00541122" w:rsidRDefault="00541122" w:rsidP="00541122">
      <w:pPr>
        <w:pStyle w:val="aa"/>
        <w:spacing w:line="360" w:lineRule="auto"/>
        <w:ind w:left="1080"/>
        <w:jc w:val="both"/>
        <w:rPr>
          <w:rFonts w:ascii="David" w:hAnsi="David"/>
          <w:b/>
          <w:bCs/>
          <w:rtl/>
        </w:rPr>
      </w:pPr>
    </w:p>
    <w:p w14:paraId="1529BEE3" w14:textId="77777777" w:rsidR="00541122" w:rsidRPr="00561DD6" w:rsidRDefault="00541122" w:rsidP="00541122">
      <w:pPr>
        <w:spacing w:line="360" w:lineRule="auto"/>
        <w:ind w:firstLine="720"/>
        <w:jc w:val="both"/>
        <w:rPr>
          <w:rFonts w:ascii="David" w:hAnsi="David"/>
          <w:b/>
          <w:bCs/>
          <w:rtl/>
        </w:rPr>
      </w:pPr>
      <w:r w:rsidRPr="00561DD6">
        <w:rPr>
          <w:rFonts w:ascii="David" w:hAnsi="David" w:hint="cs"/>
          <w:b/>
          <w:bCs/>
          <w:rtl/>
        </w:rPr>
        <w:t xml:space="preserve">המזכירות תעביר העתק גזר הדין לממונה על עבודות השרות. </w:t>
      </w:r>
    </w:p>
    <w:p w14:paraId="7D8CC8CD" w14:textId="77777777" w:rsidR="00541122" w:rsidRDefault="00541122" w:rsidP="00541122">
      <w:pPr>
        <w:pStyle w:val="aa"/>
        <w:spacing w:line="360" w:lineRule="auto"/>
        <w:jc w:val="both"/>
        <w:rPr>
          <w:rFonts w:ascii="David" w:hAnsi="David"/>
          <w:b/>
          <w:bCs/>
          <w:rtl/>
        </w:rPr>
      </w:pPr>
    </w:p>
    <w:p w14:paraId="1D006579" w14:textId="77777777" w:rsidR="00541122" w:rsidRDefault="00541122" w:rsidP="00541122">
      <w:pPr>
        <w:pStyle w:val="aa"/>
        <w:spacing w:line="360" w:lineRule="auto"/>
        <w:jc w:val="both"/>
        <w:rPr>
          <w:rFonts w:ascii="David" w:hAnsi="David"/>
          <w:b/>
          <w:bCs/>
          <w:u w:val="single"/>
          <w:rtl/>
        </w:rPr>
      </w:pPr>
      <w:r>
        <w:rPr>
          <w:rFonts w:ascii="David" w:hAnsi="David"/>
          <w:b/>
          <w:bCs/>
          <w:rtl/>
        </w:rPr>
        <w:t xml:space="preserve">זכות ערעור </w:t>
      </w:r>
      <w:r>
        <w:rPr>
          <w:rFonts w:ascii="David" w:hAnsi="David" w:hint="cs"/>
          <w:b/>
          <w:bCs/>
          <w:rtl/>
        </w:rPr>
        <w:t xml:space="preserve">לבית המשפט המחוזי תוך 45 יום מהיום. </w:t>
      </w:r>
    </w:p>
    <w:p w14:paraId="33419652" w14:textId="77777777" w:rsidR="00541122" w:rsidRPr="00B05847" w:rsidRDefault="00541122" w:rsidP="00541122">
      <w:pPr>
        <w:spacing w:line="360" w:lineRule="auto"/>
        <w:rPr>
          <w:rFonts w:ascii="Arial" w:hAnsi="Arial"/>
          <w:rtl/>
        </w:rPr>
      </w:pPr>
    </w:p>
    <w:p w14:paraId="76308693" w14:textId="77777777" w:rsidR="00541122" w:rsidRPr="00982E19" w:rsidRDefault="00982E19" w:rsidP="00541122">
      <w:pPr>
        <w:rPr>
          <w:color w:val="FFFFFF"/>
          <w:sz w:val="2"/>
          <w:szCs w:val="2"/>
          <w:rtl/>
        </w:rPr>
      </w:pPr>
      <w:r w:rsidRPr="00982E19">
        <w:rPr>
          <w:color w:val="FFFFFF"/>
          <w:sz w:val="2"/>
          <w:szCs w:val="2"/>
          <w:rtl/>
        </w:rPr>
        <w:t>5129371</w:t>
      </w:r>
    </w:p>
    <w:p w14:paraId="3EA7BDD9" w14:textId="77777777" w:rsidR="00541122" w:rsidRPr="00250B83" w:rsidRDefault="00982E19" w:rsidP="00541122">
      <w:pPr>
        <w:rPr>
          <w:rtl/>
        </w:rPr>
      </w:pPr>
      <w:bookmarkStart w:id="8" w:name="Nitan"/>
      <w:r w:rsidRPr="00982E19">
        <w:rPr>
          <w:rFonts w:ascii="Arial" w:hAnsi="Arial"/>
          <w:color w:val="FFFFFF"/>
          <w:sz w:val="2"/>
          <w:szCs w:val="2"/>
          <w:rtl/>
        </w:rPr>
        <w:t>54678313</w:t>
      </w:r>
      <w:r>
        <w:rPr>
          <w:rFonts w:ascii="Arial" w:hAnsi="Arial"/>
          <w:rtl/>
        </w:rPr>
        <w:t xml:space="preserve">ניתן היום,  א' אב תשפ"ג, 19 יולי 2023, במעמד הצדדים. </w:t>
      </w:r>
      <w:bookmarkEnd w:id="8"/>
    </w:p>
    <w:p w14:paraId="442AFED4" w14:textId="77777777" w:rsidR="00541122" w:rsidRPr="00250B83" w:rsidRDefault="00541122" w:rsidP="00982E19">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407EF26B" w14:textId="77777777" w:rsidR="00541122" w:rsidRPr="00250B83" w:rsidRDefault="00541122" w:rsidP="00541122">
      <w:pPr>
        <w:jc w:val="center"/>
        <w:rPr>
          <w:rFonts w:ascii="Arial" w:hAnsi="Arial"/>
          <w:rtl/>
        </w:rPr>
      </w:pPr>
    </w:p>
    <w:p w14:paraId="6126BFD2" w14:textId="77777777" w:rsidR="00541122" w:rsidRPr="00250B83" w:rsidRDefault="00541122" w:rsidP="00541122">
      <w:pPr>
        <w:rPr>
          <w:rtl/>
        </w:rPr>
      </w:pPr>
    </w:p>
    <w:p w14:paraId="2699CA09" w14:textId="77777777" w:rsidR="00541122" w:rsidRDefault="00541122" w:rsidP="00541122">
      <w:pPr>
        <w:pStyle w:val="a3"/>
        <w:jc w:val="center"/>
        <w:rPr>
          <w:rtl/>
        </w:rPr>
      </w:pPr>
    </w:p>
    <w:p w14:paraId="74E88093" w14:textId="77777777" w:rsidR="0038109A" w:rsidRPr="00982E19" w:rsidRDefault="0038109A" w:rsidP="00982E19">
      <w:pPr>
        <w:keepNext/>
        <w:rPr>
          <w:rFonts w:ascii="David" w:hAnsi="David"/>
          <w:color w:val="000000"/>
          <w:sz w:val="22"/>
          <w:szCs w:val="22"/>
          <w:rtl/>
        </w:rPr>
      </w:pPr>
    </w:p>
    <w:p w14:paraId="16998848" w14:textId="77777777" w:rsidR="00982E19" w:rsidRPr="00982E19" w:rsidRDefault="00982E19" w:rsidP="00982E19">
      <w:pPr>
        <w:keepNext/>
        <w:rPr>
          <w:rFonts w:ascii="David" w:hAnsi="David"/>
          <w:color w:val="000000"/>
          <w:sz w:val="22"/>
          <w:szCs w:val="22"/>
          <w:rtl/>
        </w:rPr>
      </w:pPr>
      <w:r w:rsidRPr="00982E19">
        <w:rPr>
          <w:rFonts w:ascii="David" w:hAnsi="David"/>
          <w:color w:val="000000"/>
          <w:sz w:val="22"/>
          <w:szCs w:val="22"/>
          <w:rtl/>
        </w:rPr>
        <w:t>איתן קורנהאוזר 54678313</w:t>
      </w:r>
    </w:p>
    <w:p w14:paraId="1B0DF5D2" w14:textId="77777777" w:rsidR="00982E19" w:rsidRDefault="00982E19" w:rsidP="00982E19">
      <w:r w:rsidRPr="00982E19">
        <w:rPr>
          <w:color w:val="000000"/>
          <w:rtl/>
        </w:rPr>
        <w:t>נוסח מסמך זה כפוף לשינויי ניסוח ועריכה</w:t>
      </w:r>
    </w:p>
    <w:p w14:paraId="019C2D98" w14:textId="77777777" w:rsidR="00982E19" w:rsidRDefault="00982E19" w:rsidP="00982E19">
      <w:pPr>
        <w:rPr>
          <w:rtl/>
        </w:rPr>
      </w:pPr>
    </w:p>
    <w:p w14:paraId="5F8DCB73" w14:textId="77777777" w:rsidR="00982E19" w:rsidRDefault="00982E19" w:rsidP="00982E19">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DC2F390" w14:textId="77777777" w:rsidR="00982E19" w:rsidRPr="00982E19" w:rsidRDefault="00982E19" w:rsidP="00982E19">
      <w:pPr>
        <w:jc w:val="center"/>
        <w:rPr>
          <w:color w:val="0000FF"/>
          <w:u w:val="single"/>
        </w:rPr>
      </w:pPr>
    </w:p>
    <w:sectPr w:rsidR="00982E19" w:rsidRPr="00982E19" w:rsidSect="00982E19">
      <w:headerReference w:type="even" r:id="rId26"/>
      <w:headerReference w:type="default" r:id="rId27"/>
      <w:footerReference w:type="even" r:id="rId28"/>
      <w:footerReference w:type="default" r:id="rId2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4FC15" w14:textId="77777777" w:rsidR="006D3911" w:rsidRDefault="006D3911" w:rsidP="005F470D">
      <w:r>
        <w:separator/>
      </w:r>
    </w:p>
  </w:endnote>
  <w:endnote w:type="continuationSeparator" w:id="0">
    <w:p w14:paraId="69F1620C" w14:textId="77777777" w:rsidR="006D3911" w:rsidRDefault="006D3911" w:rsidP="005F4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B05D2" w14:textId="77777777" w:rsidR="00982E19" w:rsidRDefault="00982E19" w:rsidP="00982E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4B38DB" w14:textId="77777777" w:rsidR="002826DA" w:rsidRPr="00982E19" w:rsidRDefault="00982E19" w:rsidP="00982E1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852F3" w14:textId="77777777" w:rsidR="00982E19" w:rsidRDefault="00982E19" w:rsidP="00982E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636B">
      <w:rPr>
        <w:rFonts w:ascii="FrankRuehl" w:hAnsi="FrankRuehl" w:cs="FrankRuehl"/>
        <w:noProof/>
        <w:rtl/>
      </w:rPr>
      <w:t>1</w:t>
    </w:r>
    <w:r>
      <w:rPr>
        <w:rFonts w:ascii="FrankRuehl" w:hAnsi="FrankRuehl" w:cs="FrankRuehl"/>
        <w:rtl/>
      </w:rPr>
      <w:fldChar w:fldCharType="end"/>
    </w:r>
  </w:p>
  <w:p w14:paraId="2302F7F1" w14:textId="77777777" w:rsidR="002826DA" w:rsidRPr="00982E19" w:rsidRDefault="00982E19" w:rsidP="00982E1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2C13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8C3FC" w14:textId="77777777" w:rsidR="006D3911" w:rsidRDefault="006D3911" w:rsidP="005F470D">
      <w:r>
        <w:separator/>
      </w:r>
    </w:p>
  </w:footnote>
  <w:footnote w:type="continuationSeparator" w:id="0">
    <w:p w14:paraId="6CC6D842" w14:textId="77777777" w:rsidR="006D3911" w:rsidRDefault="006D3911" w:rsidP="005F4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054D6" w14:textId="77777777" w:rsidR="00982E19" w:rsidRPr="00982E19" w:rsidRDefault="00982E19" w:rsidP="00982E1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22061-03-21</w:t>
    </w:r>
    <w:r>
      <w:rPr>
        <w:rFonts w:ascii="David" w:hAnsi="David"/>
        <w:color w:val="000000"/>
        <w:sz w:val="22"/>
        <w:szCs w:val="22"/>
        <w:rtl/>
      </w:rPr>
      <w:tab/>
      <w:t xml:space="preserve"> מדינת ישראל נ' מרדכי קריספין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F28E9" w14:textId="77777777" w:rsidR="00982E19" w:rsidRPr="00982E19" w:rsidRDefault="00982E19" w:rsidP="00982E1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22061-03-21</w:t>
    </w:r>
    <w:r>
      <w:rPr>
        <w:rFonts w:ascii="David" w:hAnsi="David"/>
        <w:color w:val="000000"/>
        <w:sz w:val="22"/>
        <w:szCs w:val="22"/>
        <w:rtl/>
      </w:rPr>
      <w:tab/>
      <w:t xml:space="preserve"> מדינת ישראל נ' מרדכי קריספין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174D1"/>
    <w:multiLevelType w:val="hybridMultilevel"/>
    <w:tmpl w:val="BB50A236"/>
    <w:lvl w:ilvl="0" w:tplc="9FB8E9EC">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2D843E2"/>
    <w:multiLevelType w:val="hybridMultilevel"/>
    <w:tmpl w:val="5A862A64"/>
    <w:lvl w:ilvl="0" w:tplc="A01859D4">
      <w:start w:val="1"/>
      <w:numFmt w:val="decimal"/>
      <w:lvlText w:val="%1."/>
      <w:lvlJc w:val="left"/>
      <w:pPr>
        <w:ind w:left="360" w:hanging="360"/>
      </w:pPr>
      <w:rPr>
        <w:b w:val="0"/>
        <w:bCs w:val="0"/>
      </w:rPr>
    </w:lvl>
    <w:lvl w:ilvl="1" w:tplc="04090013">
      <w:start w:val="1"/>
      <w:numFmt w:val="hebrew1"/>
      <w:lvlText w:val="%2."/>
      <w:lvlJc w:val="center"/>
      <w:pPr>
        <w:ind w:left="786" w:hanging="360"/>
      </w:pPr>
    </w:lvl>
    <w:lvl w:ilvl="2" w:tplc="0409001B">
      <w:start w:val="1"/>
      <w:numFmt w:val="lowerRoman"/>
      <w:lvlText w:val="%3."/>
      <w:lvlJc w:val="right"/>
      <w:pPr>
        <w:ind w:left="889"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5898904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6676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1122"/>
    <w:rsid w:val="0002774D"/>
    <w:rsid w:val="000B08FE"/>
    <w:rsid w:val="000D51A9"/>
    <w:rsid w:val="00232EED"/>
    <w:rsid w:val="002826DA"/>
    <w:rsid w:val="00313B0B"/>
    <w:rsid w:val="003324BF"/>
    <w:rsid w:val="0038109A"/>
    <w:rsid w:val="00541122"/>
    <w:rsid w:val="005F470D"/>
    <w:rsid w:val="006957B6"/>
    <w:rsid w:val="006D3911"/>
    <w:rsid w:val="008F5EB7"/>
    <w:rsid w:val="00982E19"/>
    <w:rsid w:val="009A4E4C"/>
    <w:rsid w:val="009C636B"/>
    <w:rsid w:val="00D242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B4B27A"/>
  <w15:chartTrackingRefBased/>
  <w15:docId w15:val="{BED4601D-113E-4C5F-83DB-AAB4EC28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112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41122"/>
    <w:pPr>
      <w:tabs>
        <w:tab w:val="center" w:pos="4153"/>
        <w:tab w:val="right" w:pos="8306"/>
      </w:tabs>
    </w:pPr>
  </w:style>
  <w:style w:type="character" w:customStyle="1" w:styleId="a4">
    <w:name w:val="כותרת עליונה תו"/>
    <w:link w:val="a3"/>
    <w:rsid w:val="00541122"/>
    <w:rPr>
      <w:rFonts w:ascii="Times New Roman" w:eastAsia="Times New Roman" w:hAnsi="Times New Roman" w:cs="David"/>
      <w:sz w:val="24"/>
      <w:szCs w:val="24"/>
    </w:rPr>
  </w:style>
  <w:style w:type="paragraph" w:styleId="a5">
    <w:name w:val="footer"/>
    <w:basedOn w:val="a"/>
    <w:link w:val="a6"/>
    <w:rsid w:val="00541122"/>
    <w:pPr>
      <w:tabs>
        <w:tab w:val="center" w:pos="4153"/>
        <w:tab w:val="right" w:pos="8306"/>
      </w:tabs>
    </w:pPr>
  </w:style>
  <w:style w:type="character" w:customStyle="1" w:styleId="a6">
    <w:name w:val="כותרת תחתונה תו"/>
    <w:link w:val="a5"/>
    <w:rsid w:val="00541122"/>
    <w:rPr>
      <w:rFonts w:ascii="Times New Roman" w:eastAsia="Times New Roman" w:hAnsi="Times New Roman" w:cs="David"/>
      <w:sz w:val="24"/>
      <w:szCs w:val="24"/>
    </w:rPr>
  </w:style>
  <w:style w:type="table" w:styleId="a7">
    <w:name w:val="Table Grid"/>
    <w:basedOn w:val="a1"/>
    <w:rsid w:val="005411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41122"/>
  </w:style>
  <w:style w:type="character" w:customStyle="1" w:styleId="a9">
    <w:name w:val="פיסקת רשימה תו"/>
    <w:link w:val="aa"/>
    <w:locked/>
    <w:rsid w:val="00541122"/>
    <w:rPr>
      <w:rFonts w:cs="David"/>
      <w:noProof/>
      <w:sz w:val="24"/>
      <w:szCs w:val="24"/>
    </w:rPr>
  </w:style>
  <w:style w:type="paragraph" w:styleId="aa">
    <w:name w:val="List Paragraph"/>
    <w:basedOn w:val="a"/>
    <w:link w:val="a9"/>
    <w:qFormat/>
    <w:rsid w:val="00541122"/>
    <w:pPr>
      <w:ind w:left="720"/>
      <w:contextualSpacing/>
    </w:pPr>
    <w:rPr>
      <w:rFonts w:ascii="Calibri" w:eastAsia="Calibri" w:hAnsi="Calibri"/>
      <w:noProof/>
    </w:rPr>
  </w:style>
  <w:style w:type="character" w:styleId="Hyperlink">
    <w:name w:val="Hyperlink"/>
    <w:rsid w:val="005411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70301/192" TargetMode="External"/><Relationship Id="rId18" Type="http://schemas.openxmlformats.org/officeDocument/2006/relationships/hyperlink" Target="http://www.nevo.co.il/case/20111708"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60185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3226226"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4345651" TargetMode="External"/><Relationship Id="rId20" Type="http://schemas.openxmlformats.org/officeDocument/2006/relationships/hyperlink" Target="http://www.nevo.co.il/case/21477237"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27517511"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70301/192" TargetMode="External"/><Relationship Id="rId19" Type="http://schemas.openxmlformats.org/officeDocument/2006/relationships/hyperlink" Target="http://www.nevo.co.il/case/2700039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1480</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8867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3407997</vt:i4>
      </vt:variant>
      <vt:variant>
        <vt:i4>42</vt:i4>
      </vt:variant>
      <vt:variant>
        <vt:i4>0</vt:i4>
      </vt:variant>
      <vt:variant>
        <vt:i4>5</vt:i4>
      </vt:variant>
      <vt:variant>
        <vt:lpwstr>http://www.nevo.co.il/case/6018516</vt:lpwstr>
      </vt:variant>
      <vt:variant>
        <vt:lpwstr/>
      </vt:variant>
      <vt:variant>
        <vt:i4>3276912</vt:i4>
      </vt:variant>
      <vt:variant>
        <vt:i4>39</vt:i4>
      </vt:variant>
      <vt:variant>
        <vt:i4>0</vt:i4>
      </vt:variant>
      <vt:variant>
        <vt:i4>5</vt:i4>
      </vt:variant>
      <vt:variant>
        <vt:lpwstr>http://www.nevo.co.il/case/21477237</vt:lpwstr>
      </vt:variant>
      <vt:variant>
        <vt:lpwstr/>
      </vt:variant>
      <vt:variant>
        <vt:i4>3866736</vt:i4>
      </vt:variant>
      <vt:variant>
        <vt:i4>36</vt:i4>
      </vt:variant>
      <vt:variant>
        <vt:i4>0</vt:i4>
      </vt:variant>
      <vt:variant>
        <vt:i4>5</vt:i4>
      </vt:variant>
      <vt:variant>
        <vt:lpwstr>http://www.nevo.co.il/case/27000398</vt:lpwstr>
      </vt:variant>
      <vt:variant>
        <vt:lpwstr/>
      </vt:variant>
      <vt:variant>
        <vt:i4>3276914</vt:i4>
      </vt:variant>
      <vt:variant>
        <vt:i4>33</vt:i4>
      </vt:variant>
      <vt:variant>
        <vt:i4>0</vt:i4>
      </vt:variant>
      <vt:variant>
        <vt:i4>5</vt:i4>
      </vt:variant>
      <vt:variant>
        <vt:lpwstr>http://www.nevo.co.il/case/20111708</vt:lpwstr>
      </vt:variant>
      <vt:variant>
        <vt:lpwstr/>
      </vt:variant>
      <vt:variant>
        <vt:i4>3407991</vt:i4>
      </vt:variant>
      <vt:variant>
        <vt:i4>30</vt:i4>
      </vt:variant>
      <vt:variant>
        <vt:i4>0</vt:i4>
      </vt:variant>
      <vt:variant>
        <vt:i4>5</vt:i4>
      </vt:variant>
      <vt:variant>
        <vt:lpwstr>http://www.nevo.co.il/case/23226226</vt:lpwstr>
      </vt:variant>
      <vt:variant>
        <vt:lpwstr/>
      </vt:variant>
      <vt:variant>
        <vt:i4>3211378</vt:i4>
      </vt:variant>
      <vt:variant>
        <vt:i4>27</vt:i4>
      </vt:variant>
      <vt:variant>
        <vt:i4>0</vt:i4>
      </vt:variant>
      <vt:variant>
        <vt:i4>5</vt:i4>
      </vt:variant>
      <vt:variant>
        <vt:lpwstr>http://www.nevo.co.il/case/24345651</vt:lpwstr>
      </vt:variant>
      <vt:variant>
        <vt:lpwstr/>
      </vt:variant>
      <vt:variant>
        <vt:i4>3211383</vt:i4>
      </vt:variant>
      <vt:variant>
        <vt:i4>24</vt:i4>
      </vt:variant>
      <vt:variant>
        <vt:i4>0</vt:i4>
      </vt:variant>
      <vt:variant>
        <vt:i4>5</vt:i4>
      </vt:variant>
      <vt:variant>
        <vt:lpwstr>http://www.nevo.co.il/case/27517511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2025-04-23T00:57:00Z</dcterms:created>
  <dcterms:modified xsi:type="dcterms:W3CDTF">2025-04-23T00:57:00Z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22061</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מרדכי קריספין</vt:lpwstr>
  </property>
  <property fmtid="{D5CDD505-2E9C-101B-9397-08002B2CF9AE}" pid="10" name="LAWYER">
    <vt:lpwstr>לינור מימון;אורלי פרייזלר</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5</vt:lpwstr>
  </property>
  <property fmtid="{D5CDD505-2E9C-101B-9397-08002B2CF9AE}" pid="16" name="TYPE_ABS_DATE">
    <vt:lpwstr>380020230719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27517511;24345651;23226226;20111708;27000398;21477237;6018516</vt:lpwstr>
  </property>
  <property fmtid="{D5CDD505-2E9C-101B-9397-08002B2CF9AE}" pid="36" name="LAWLISTTMP1">
    <vt:lpwstr>4216/006</vt:lpwstr>
  </property>
  <property fmtid="{D5CDD505-2E9C-101B-9397-08002B2CF9AE}" pid="37" name="LAWLISTTMP2">
    <vt:lpwstr>70301/192</vt:lpwstr>
  </property>
</Properties>
</file>