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C076F8" w:rsidRPr="00D43A59" w14:paraId="43E1641D" w14:textId="77777777" w:rsidTr="00C273CD">
        <w:trPr>
          <w:trHeight w:hRule="exact" w:val="418"/>
          <w:jc w:val="center"/>
        </w:trPr>
        <w:tc>
          <w:tcPr>
            <w:tcW w:w="8721" w:type="dxa"/>
            <w:gridSpan w:val="2"/>
          </w:tcPr>
          <w:p w14:paraId="033C85B0" w14:textId="77777777" w:rsidR="00C076F8" w:rsidRPr="00D43A59" w:rsidRDefault="00C076F8" w:rsidP="001B46E0">
            <w:pPr>
              <w:pStyle w:val="a3"/>
              <w:jc w:val="center"/>
              <w:rPr>
                <w:rFonts w:ascii="Tahoma" w:hAnsi="Tahoma" w:cs="Tahoma"/>
                <w:color w:val="000080"/>
                <w:rtl/>
              </w:rPr>
            </w:pPr>
            <w:bookmarkStart w:id="0" w:name="LastJudge"/>
            <w:r w:rsidRPr="00D43A59">
              <w:rPr>
                <w:rFonts w:ascii="Tahoma" w:hAnsi="Tahoma" w:cs="Tahoma"/>
                <w:b/>
                <w:bCs/>
                <w:color w:val="000080"/>
                <w:rtl/>
              </w:rPr>
              <w:t>בית משפט השלום בבאר שבע</w:t>
            </w:r>
          </w:p>
        </w:tc>
      </w:tr>
      <w:tr w:rsidR="00C076F8" w:rsidRPr="00D43A59" w14:paraId="10EB8E33" w14:textId="77777777" w:rsidTr="00C273CD">
        <w:trPr>
          <w:trHeight w:val="337"/>
          <w:jc w:val="center"/>
        </w:trPr>
        <w:tc>
          <w:tcPr>
            <w:tcW w:w="5054" w:type="dxa"/>
          </w:tcPr>
          <w:p w14:paraId="38CA88B3" w14:textId="77777777" w:rsidR="00C076F8" w:rsidRPr="00D43A59" w:rsidRDefault="00C076F8" w:rsidP="001B46E0">
            <w:pPr>
              <w:rPr>
                <w:rFonts w:cs="FrankRuehl"/>
                <w:sz w:val="28"/>
                <w:szCs w:val="28"/>
                <w:rtl/>
              </w:rPr>
            </w:pPr>
            <w:r w:rsidRPr="00D43A59">
              <w:rPr>
                <w:rFonts w:cs="FrankRuehl"/>
                <w:sz w:val="28"/>
                <w:szCs w:val="28"/>
                <w:rtl/>
              </w:rPr>
              <w:t>ת"פ</w:t>
            </w:r>
            <w:r w:rsidRPr="00D43A59">
              <w:rPr>
                <w:rFonts w:cs="FrankRuehl" w:hint="cs"/>
                <w:sz w:val="28"/>
                <w:szCs w:val="28"/>
                <w:rtl/>
              </w:rPr>
              <w:t xml:space="preserve"> </w:t>
            </w:r>
            <w:r w:rsidRPr="00D43A59">
              <w:rPr>
                <w:rFonts w:cs="FrankRuehl"/>
                <w:sz w:val="28"/>
                <w:szCs w:val="28"/>
                <w:rtl/>
              </w:rPr>
              <w:t>32041-03-21</w:t>
            </w:r>
            <w:r w:rsidRPr="00D43A59">
              <w:rPr>
                <w:rFonts w:cs="FrankRuehl" w:hint="cs"/>
                <w:sz w:val="28"/>
                <w:szCs w:val="28"/>
                <w:rtl/>
              </w:rPr>
              <w:t xml:space="preserve"> </w:t>
            </w:r>
            <w:r w:rsidRPr="00D43A59">
              <w:rPr>
                <w:rFonts w:cs="FrankRuehl"/>
                <w:sz w:val="28"/>
                <w:szCs w:val="28"/>
                <w:rtl/>
              </w:rPr>
              <w:t>מדינת ישראל נ' לוגסי</w:t>
            </w:r>
          </w:p>
          <w:p w14:paraId="4CEB158A" w14:textId="77777777" w:rsidR="00C076F8" w:rsidRPr="00D43A59" w:rsidRDefault="00C076F8" w:rsidP="001B46E0">
            <w:pPr>
              <w:pStyle w:val="a3"/>
              <w:rPr>
                <w:rFonts w:cs="FrankRuehl"/>
                <w:sz w:val="28"/>
                <w:szCs w:val="28"/>
                <w:rtl/>
              </w:rPr>
            </w:pPr>
          </w:p>
        </w:tc>
        <w:tc>
          <w:tcPr>
            <w:tcW w:w="3667" w:type="dxa"/>
          </w:tcPr>
          <w:p w14:paraId="71A63927" w14:textId="77777777" w:rsidR="00C076F8" w:rsidRPr="00D43A59" w:rsidRDefault="00C076F8" w:rsidP="001B46E0">
            <w:pPr>
              <w:pStyle w:val="a3"/>
              <w:jc w:val="right"/>
              <w:rPr>
                <w:rFonts w:cs="FrankRuehl"/>
                <w:sz w:val="28"/>
                <w:szCs w:val="28"/>
                <w:rtl/>
              </w:rPr>
            </w:pPr>
          </w:p>
        </w:tc>
      </w:tr>
    </w:tbl>
    <w:p w14:paraId="37BAE5E9" w14:textId="77777777" w:rsidR="00C076F8" w:rsidRPr="00D43A59" w:rsidRDefault="00C076F8" w:rsidP="00C076F8">
      <w:pPr>
        <w:pStyle w:val="a3"/>
        <w:rPr>
          <w:rtl/>
        </w:rPr>
      </w:pPr>
      <w:r w:rsidRPr="00D43A59">
        <w:rPr>
          <w:rFonts w:hint="cs"/>
          <w:rtl/>
        </w:rPr>
        <w:t xml:space="preserve"> </w:t>
      </w:r>
    </w:p>
    <w:p w14:paraId="1812FC01" w14:textId="77777777" w:rsidR="00C076F8" w:rsidRPr="00D43A59" w:rsidRDefault="00C076F8" w:rsidP="00C076F8">
      <w:pPr>
        <w:rPr>
          <w:rtl/>
        </w:rPr>
      </w:pPr>
    </w:p>
    <w:p w14:paraId="2B5A7C78" w14:textId="77777777" w:rsidR="00C076F8" w:rsidRPr="00D43A59" w:rsidRDefault="00C076F8" w:rsidP="00C076F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C076F8" w:rsidRPr="00D43A59" w14:paraId="1A9B0ECC" w14:textId="77777777" w:rsidTr="00C076F8">
        <w:trPr>
          <w:trHeight w:val="295"/>
          <w:jc w:val="center"/>
        </w:trPr>
        <w:tc>
          <w:tcPr>
            <w:tcW w:w="923" w:type="dxa"/>
            <w:tcBorders>
              <w:top w:val="nil"/>
              <w:left w:val="nil"/>
              <w:bottom w:val="nil"/>
              <w:right w:val="nil"/>
            </w:tcBorders>
            <w:shd w:val="clear" w:color="auto" w:fill="auto"/>
          </w:tcPr>
          <w:p w14:paraId="4965D3B8" w14:textId="77777777" w:rsidR="00C076F8" w:rsidRPr="00D43A59" w:rsidRDefault="00C076F8" w:rsidP="00C076F8">
            <w:pPr>
              <w:jc w:val="both"/>
              <w:rPr>
                <w:rFonts w:ascii="David" w:hAnsi="David"/>
                <w:sz w:val="26"/>
                <w:szCs w:val="26"/>
              </w:rPr>
            </w:pPr>
            <w:r w:rsidRPr="00D43A59">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627828A9" w14:textId="77777777" w:rsidR="00C076F8" w:rsidRPr="00D43A59" w:rsidRDefault="00C076F8" w:rsidP="001B46E0">
            <w:pPr>
              <w:rPr>
                <w:rFonts w:ascii="David" w:hAnsi="David"/>
                <w:b/>
                <w:bCs/>
                <w:sz w:val="26"/>
                <w:szCs w:val="26"/>
                <w:rtl/>
              </w:rPr>
            </w:pPr>
            <w:r w:rsidRPr="00D43A59">
              <w:rPr>
                <w:rFonts w:ascii="David" w:hAnsi="David"/>
                <w:b/>
                <w:bCs/>
                <w:sz w:val="26"/>
                <w:szCs w:val="26"/>
                <w:rtl/>
              </w:rPr>
              <w:t>כבוד השופט  אבישי כהן</w:t>
            </w:r>
          </w:p>
          <w:p w14:paraId="36BCCE09" w14:textId="77777777" w:rsidR="00C076F8" w:rsidRPr="00D43A59" w:rsidRDefault="00C076F8" w:rsidP="001B46E0">
            <w:pPr>
              <w:rPr>
                <w:rFonts w:ascii="David" w:hAnsi="David"/>
                <w:sz w:val="26"/>
                <w:szCs w:val="26"/>
                <w:rtl/>
              </w:rPr>
            </w:pPr>
          </w:p>
          <w:p w14:paraId="043905AA" w14:textId="77777777" w:rsidR="00C076F8" w:rsidRPr="00D43A59" w:rsidRDefault="00C076F8" w:rsidP="00C076F8">
            <w:pPr>
              <w:jc w:val="both"/>
              <w:rPr>
                <w:rFonts w:ascii="David" w:hAnsi="David"/>
                <w:sz w:val="26"/>
                <w:szCs w:val="26"/>
              </w:rPr>
            </w:pPr>
          </w:p>
        </w:tc>
      </w:tr>
      <w:tr w:rsidR="00C076F8" w:rsidRPr="00D43A59" w14:paraId="599C7E50" w14:textId="77777777" w:rsidTr="00C076F8">
        <w:trPr>
          <w:trHeight w:val="355"/>
          <w:jc w:val="center"/>
        </w:trPr>
        <w:tc>
          <w:tcPr>
            <w:tcW w:w="923" w:type="dxa"/>
            <w:tcBorders>
              <w:top w:val="nil"/>
              <w:left w:val="nil"/>
              <w:bottom w:val="nil"/>
              <w:right w:val="nil"/>
            </w:tcBorders>
            <w:shd w:val="clear" w:color="auto" w:fill="auto"/>
          </w:tcPr>
          <w:p w14:paraId="499358E3" w14:textId="77777777" w:rsidR="00C076F8" w:rsidRPr="00D43A59" w:rsidRDefault="00C076F8" w:rsidP="00C076F8">
            <w:pPr>
              <w:jc w:val="both"/>
              <w:rPr>
                <w:rFonts w:ascii="David" w:hAnsi="David"/>
                <w:sz w:val="26"/>
                <w:szCs w:val="26"/>
              </w:rPr>
            </w:pPr>
            <w:bookmarkStart w:id="1" w:name="FirstAppellant"/>
            <w:bookmarkStart w:id="2" w:name="FirstLawyer"/>
            <w:r w:rsidRPr="00D43A59">
              <w:rPr>
                <w:rFonts w:ascii="David" w:hAnsi="David"/>
                <w:sz w:val="26"/>
                <w:szCs w:val="26"/>
                <w:rtl/>
              </w:rPr>
              <w:t>בעניין:</w:t>
            </w:r>
          </w:p>
        </w:tc>
        <w:tc>
          <w:tcPr>
            <w:tcW w:w="3219" w:type="dxa"/>
            <w:tcBorders>
              <w:top w:val="nil"/>
              <w:left w:val="nil"/>
              <w:bottom w:val="nil"/>
              <w:right w:val="nil"/>
            </w:tcBorders>
            <w:shd w:val="clear" w:color="auto" w:fill="auto"/>
          </w:tcPr>
          <w:p w14:paraId="34C5DFD2" w14:textId="77777777" w:rsidR="00C076F8" w:rsidRPr="00D43A59" w:rsidRDefault="00C076F8" w:rsidP="00C076F8">
            <w:pPr>
              <w:suppressLineNumbers/>
            </w:pPr>
            <w:r w:rsidRPr="00D43A59">
              <w:rPr>
                <w:rFonts w:ascii="Arial" w:hAnsi="Arial" w:hint="cs"/>
                <w:b/>
                <w:bCs/>
                <w:sz w:val="26"/>
                <w:szCs w:val="26"/>
                <w:rtl/>
              </w:rPr>
              <w:t>ה</w:t>
            </w:r>
            <w:r w:rsidRPr="00D43A59">
              <w:rPr>
                <w:rFonts w:ascii="Arial" w:hAnsi="Arial"/>
                <w:b/>
                <w:bCs/>
                <w:sz w:val="26"/>
                <w:szCs w:val="26"/>
                <w:rtl/>
              </w:rPr>
              <w:t>מאשימה</w:t>
            </w:r>
          </w:p>
          <w:p w14:paraId="26284F96" w14:textId="77777777" w:rsidR="00C076F8" w:rsidRPr="00D43A59" w:rsidRDefault="00C076F8" w:rsidP="001B46E0">
            <w:pPr>
              <w:rPr>
                <w:rFonts w:ascii="David" w:hAnsi="David"/>
                <w:sz w:val="26"/>
                <w:szCs w:val="26"/>
              </w:rPr>
            </w:pPr>
          </w:p>
        </w:tc>
        <w:tc>
          <w:tcPr>
            <w:tcW w:w="4678" w:type="dxa"/>
            <w:tcBorders>
              <w:top w:val="nil"/>
              <w:left w:val="nil"/>
              <w:bottom w:val="nil"/>
              <w:right w:val="nil"/>
            </w:tcBorders>
            <w:shd w:val="clear" w:color="auto" w:fill="auto"/>
            <w:vAlign w:val="center"/>
          </w:tcPr>
          <w:p w14:paraId="7381EE3A" w14:textId="77777777" w:rsidR="00C076F8" w:rsidRPr="00D43A59" w:rsidRDefault="00C076F8" w:rsidP="00C076F8">
            <w:pPr>
              <w:suppressLineNumbers/>
            </w:pPr>
            <w:r w:rsidRPr="00D43A59">
              <w:rPr>
                <w:rFonts w:ascii="Arial" w:hAnsi="Arial"/>
                <w:b/>
                <w:bCs/>
                <w:sz w:val="26"/>
                <w:szCs w:val="26"/>
                <w:rtl/>
              </w:rPr>
              <w:t>מדינת ישראל</w:t>
            </w:r>
          </w:p>
          <w:p w14:paraId="5A9D24E0" w14:textId="77777777" w:rsidR="00C076F8" w:rsidRPr="00D43A59" w:rsidRDefault="00C076F8" w:rsidP="001B46E0">
            <w:pPr>
              <w:rPr>
                <w:rFonts w:ascii="David" w:hAnsi="David"/>
                <w:sz w:val="26"/>
                <w:szCs w:val="26"/>
              </w:rPr>
            </w:pPr>
            <w:r w:rsidRPr="00D43A59">
              <w:rPr>
                <w:rFonts w:ascii="David" w:hAnsi="David" w:hint="cs"/>
                <w:sz w:val="26"/>
                <w:szCs w:val="26"/>
                <w:rtl/>
              </w:rPr>
              <w:t xml:space="preserve">ע"י ב"כ עו"ד קטיה מזור </w:t>
            </w:r>
          </w:p>
        </w:tc>
      </w:tr>
      <w:bookmarkEnd w:id="1"/>
      <w:bookmarkEnd w:id="2"/>
      <w:tr w:rsidR="00C076F8" w:rsidRPr="00D43A59" w14:paraId="4A40FC0C" w14:textId="77777777" w:rsidTr="00C076F8">
        <w:trPr>
          <w:trHeight w:val="355"/>
          <w:jc w:val="center"/>
        </w:trPr>
        <w:tc>
          <w:tcPr>
            <w:tcW w:w="923" w:type="dxa"/>
            <w:tcBorders>
              <w:top w:val="nil"/>
              <w:left w:val="nil"/>
              <w:bottom w:val="nil"/>
              <w:right w:val="nil"/>
            </w:tcBorders>
            <w:shd w:val="clear" w:color="auto" w:fill="auto"/>
          </w:tcPr>
          <w:p w14:paraId="63A6B434" w14:textId="77777777" w:rsidR="00C076F8" w:rsidRPr="00D43A59" w:rsidRDefault="00C076F8" w:rsidP="00C076F8">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0D5C135F" w14:textId="77777777" w:rsidR="00C076F8" w:rsidRPr="00D43A59" w:rsidRDefault="00C076F8" w:rsidP="00C076F8">
            <w:pPr>
              <w:jc w:val="center"/>
              <w:rPr>
                <w:rFonts w:ascii="David" w:hAnsi="David"/>
                <w:b/>
                <w:bCs/>
                <w:sz w:val="26"/>
                <w:szCs w:val="26"/>
                <w:rtl/>
              </w:rPr>
            </w:pPr>
          </w:p>
          <w:p w14:paraId="205FED3E" w14:textId="77777777" w:rsidR="00C076F8" w:rsidRPr="00D43A59" w:rsidRDefault="00C076F8" w:rsidP="00C076F8">
            <w:pPr>
              <w:jc w:val="center"/>
              <w:rPr>
                <w:rFonts w:ascii="David" w:hAnsi="David"/>
                <w:b/>
                <w:bCs/>
                <w:sz w:val="26"/>
                <w:szCs w:val="26"/>
                <w:rtl/>
              </w:rPr>
            </w:pPr>
            <w:r w:rsidRPr="00D43A59">
              <w:rPr>
                <w:rFonts w:ascii="David" w:hAnsi="David"/>
                <w:b/>
                <w:bCs/>
                <w:sz w:val="26"/>
                <w:szCs w:val="26"/>
                <w:rtl/>
              </w:rPr>
              <w:t>נגד</w:t>
            </w:r>
          </w:p>
          <w:p w14:paraId="1B1D332D" w14:textId="77777777" w:rsidR="00C076F8" w:rsidRPr="00D43A59" w:rsidRDefault="00C076F8" w:rsidP="00C076F8">
            <w:pPr>
              <w:jc w:val="both"/>
              <w:rPr>
                <w:rFonts w:ascii="David" w:hAnsi="David"/>
                <w:sz w:val="26"/>
                <w:szCs w:val="26"/>
              </w:rPr>
            </w:pPr>
          </w:p>
        </w:tc>
      </w:tr>
      <w:tr w:rsidR="00C076F8" w:rsidRPr="00D43A59" w14:paraId="2DD48153" w14:textId="77777777" w:rsidTr="00C076F8">
        <w:trPr>
          <w:trHeight w:val="355"/>
          <w:jc w:val="center"/>
        </w:trPr>
        <w:tc>
          <w:tcPr>
            <w:tcW w:w="923" w:type="dxa"/>
            <w:tcBorders>
              <w:top w:val="nil"/>
              <w:left w:val="nil"/>
              <w:bottom w:val="nil"/>
              <w:right w:val="nil"/>
            </w:tcBorders>
            <w:shd w:val="clear" w:color="auto" w:fill="auto"/>
          </w:tcPr>
          <w:p w14:paraId="3A1222C4" w14:textId="77777777" w:rsidR="00C076F8" w:rsidRPr="00D43A59" w:rsidRDefault="00C076F8" w:rsidP="001B46E0">
            <w:pPr>
              <w:rPr>
                <w:rFonts w:ascii="David" w:hAnsi="David"/>
                <w:sz w:val="26"/>
                <w:szCs w:val="26"/>
                <w:rtl/>
              </w:rPr>
            </w:pPr>
          </w:p>
        </w:tc>
        <w:tc>
          <w:tcPr>
            <w:tcW w:w="3219" w:type="dxa"/>
            <w:tcBorders>
              <w:top w:val="nil"/>
              <w:left w:val="nil"/>
              <w:bottom w:val="nil"/>
              <w:right w:val="nil"/>
            </w:tcBorders>
            <w:shd w:val="clear" w:color="auto" w:fill="auto"/>
          </w:tcPr>
          <w:p w14:paraId="64CC7AD7" w14:textId="77777777" w:rsidR="00C076F8" w:rsidRPr="00D43A59" w:rsidRDefault="00C076F8" w:rsidP="001B46E0">
            <w:pPr>
              <w:rPr>
                <w:rFonts w:ascii="Arial" w:hAnsi="Arial"/>
                <w:b/>
                <w:bCs/>
                <w:sz w:val="26"/>
                <w:szCs w:val="26"/>
                <w:rtl/>
              </w:rPr>
            </w:pPr>
            <w:r w:rsidRPr="00D43A59">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13916871" w14:textId="77777777" w:rsidR="00C076F8" w:rsidRPr="00D43A59" w:rsidRDefault="00C076F8" w:rsidP="00C076F8">
            <w:pPr>
              <w:suppressLineNumbers/>
            </w:pPr>
            <w:r w:rsidRPr="00D43A59">
              <w:rPr>
                <w:rFonts w:ascii="Arial" w:hAnsi="Arial"/>
                <w:b/>
                <w:bCs/>
                <w:sz w:val="26"/>
                <w:szCs w:val="26"/>
                <w:rtl/>
              </w:rPr>
              <w:t>שי לוגסי</w:t>
            </w:r>
          </w:p>
          <w:p w14:paraId="4C6084D3" w14:textId="77777777" w:rsidR="00C076F8" w:rsidRPr="00D43A59" w:rsidRDefault="00C076F8" w:rsidP="001B46E0">
            <w:pPr>
              <w:rPr>
                <w:rFonts w:ascii="David" w:hAnsi="David"/>
                <w:sz w:val="26"/>
                <w:szCs w:val="26"/>
              </w:rPr>
            </w:pPr>
            <w:r w:rsidRPr="00D43A59">
              <w:rPr>
                <w:rFonts w:ascii="David" w:hAnsi="David" w:hint="cs"/>
                <w:sz w:val="26"/>
                <w:szCs w:val="26"/>
                <w:rtl/>
              </w:rPr>
              <w:t xml:space="preserve">ע"י ב"כ עו"ד אונגר </w:t>
            </w:r>
          </w:p>
        </w:tc>
      </w:tr>
    </w:tbl>
    <w:p w14:paraId="4C720B7E" w14:textId="77777777" w:rsidR="00D43A59" w:rsidRPr="00D43A59" w:rsidRDefault="00D43A59" w:rsidP="00D43A59">
      <w:pPr>
        <w:rPr>
          <w:sz w:val="26"/>
          <w:szCs w:val="26"/>
          <w:rtl/>
        </w:rPr>
      </w:pPr>
    </w:p>
    <w:p w14:paraId="4E2FBF68" w14:textId="77777777" w:rsidR="00C273CD" w:rsidRPr="00C273CD" w:rsidRDefault="00C273CD" w:rsidP="00C273CD">
      <w:pPr>
        <w:spacing w:before="120" w:after="120" w:line="240" w:lineRule="exact"/>
        <w:ind w:left="283" w:hanging="283"/>
        <w:jc w:val="both"/>
        <w:rPr>
          <w:rFonts w:ascii="FrankRuehl" w:hAnsi="FrankRuehl" w:cs="FrankRuehl"/>
          <w:rtl/>
        </w:rPr>
      </w:pPr>
    </w:p>
    <w:p w14:paraId="18CEE26F" w14:textId="77777777" w:rsidR="004374D3" w:rsidRPr="004374D3" w:rsidRDefault="004374D3" w:rsidP="004374D3">
      <w:pPr>
        <w:spacing w:before="120" w:after="120" w:line="240" w:lineRule="exact"/>
        <w:ind w:left="283" w:hanging="283"/>
        <w:jc w:val="both"/>
        <w:rPr>
          <w:rFonts w:ascii="FrankRuehl" w:hAnsi="FrankRuehl" w:cs="FrankRuehl"/>
          <w:rtl/>
        </w:rPr>
      </w:pPr>
    </w:p>
    <w:p w14:paraId="53D17425" w14:textId="77777777" w:rsidR="00467078" w:rsidRDefault="00467078" w:rsidP="00467078">
      <w:pPr>
        <w:rPr>
          <w:sz w:val="26"/>
          <w:szCs w:val="26"/>
          <w:rtl/>
        </w:rPr>
      </w:pPr>
      <w:bookmarkStart w:id="3" w:name="LawTable"/>
      <w:bookmarkEnd w:id="3"/>
    </w:p>
    <w:p w14:paraId="256195A5" w14:textId="77777777" w:rsidR="00467078" w:rsidRPr="00467078" w:rsidRDefault="00467078" w:rsidP="00467078">
      <w:pPr>
        <w:spacing w:before="120" w:after="120" w:line="240" w:lineRule="exact"/>
        <w:ind w:left="283" w:hanging="283"/>
        <w:jc w:val="both"/>
        <w:rPr>
          <w:rFonts w:ascii="FrankRuehl" w:hAnsi="FrankRuehl" w:cs="FrankRuehl"/>
          <w:rtl/>
        </w:rPr>
      </w:pPr>
    </w:p>
    <w:p w14:paraId="2BB6AB7E" w14:textId="77777777" w:rsidR="00467078" w:rsidRPr="00467078" w:rsidRDefault="00467078" w:rsidP="00467078">
      <w:pPr>
        <w:spacing w:before="120" w:after="120" w:line="240" w:lineRule="exact"/>
        <w:ind w:left="283" w:hanging="283"/>
        <w:jc w:val="both"/>
        <w:rPr>
          <w:rFonts w:ascii="FrankRuehl" w:hAnsi="FrankRuehl" w:cs="FrankRuehl"/>
          <w:rtl/>
        </w:rPr>
      </w:pPr>
    </w:p>
    <w:p w14:paraId="19DDBE5E" w14:textId="77777777" w:rsidR="00467078" w:rsidRPr="00467078" w:rsidRDefault="00467078" w:rsidP="00467078">
      <w:pPr>
        <w:spacing w:before="120" w:after="120" w:line="240" w:lineRule="exact"/>
        <w:ind w:left="283" w:hanging="283"/>
        <w:jc w:val="both"/>
        <w:rPr>
          <w:rFonts w:ascii="FrankRuehl" w:hAnsi="FrankRuehl" w:cs="FrankRuehl"/>
          <w:rtl/>
        </w:rPr>
      </w:pPr>
      <w:r w:rsidRPr="00467078">
        <w:rPr>
          <w:rFonts w:ascii="FrankRuehl" w:hAnsi="FrankRuehl" w:cs="FrankRuehl"/>
          <w:rtl/>
        </w:rPr>
        <w:t xml:space="preserve">חקיקה שאוזכרה: </w:t>
      </w:r>
    </w:p>
    <w:p w14:paraId="6ADCDB76" w14:textId="77777777" w:rsidR="00467078" w:rsidRPr="00467078" w:rsidRDefault="00467078" w:rsidP="00467078">
      <w:pPr>
        <w:spacing w:before="120" w:after="120" w:line="240" w:lineRule="exact"/>
        <w:ind w:left="283" w:hanging="283"/>
        <w:jc w:val="both"/>
        <w:rPr>
          <w:rFonts w:ascii="FrankRuehl" w:hAnsi="FrankRuehl" w:cs="FrankRuehl"/>
          <w:rtl/>
        </w:rPr>
      </w:pPr>
      <w:hyperlink r:id="rId7" w:history="1">
        <w:r w:rsidRPr="00467078">
          <w:rPr>
            <w:rFonts w:ascii="FrankRuehl" w:hAnsi="FrankRuehl" w:cs="FrankRuehl"/>
            <w:color w:val="0000FF"/>
            <w:rtl/>
          </w:rPr>
          <w:t>פקודת הסמים המסוכנים [נוסח חדש], תשל"ג-1973</w:t>
        </w:r>
      </w:hyperlink>
      <w:r w:rsidRPr="00467078">
        <w:rPr>
          <w:rFonts w:ascii="FrankRuehl" w:hAnsi="FrankRuehl" w:cs="FrankRuehl"/>
          <w:rtl/>
        </w:rPr>
        <w:t xml:space="preserve">: סע'  </w:t>
      </w:r>
      <w:hyperlink r:id="rId8" w:history="1">
        <w:r w:rsidRPr="00467078">
          <w:rPr>
            <w:rFonts w:ascii="FrankRuehl" w:hAnsi="FrankRuehl" w:cs="FrankRuehl"/>
            <w:color w:val="0000FF"/>
            <w:rtl/>
          </w:rPr>
          <w:t>13</w:t>
        </w:r>
      </w:hyperlink>
      <w:r w:rsidRPr="00467078">
        <w:rPr>
          <w:rFonts w:ascii="FrankRuehl" w:hAnsi="FrankRuehl" w:cs="FrankRuehl"/>
          <w:rtl/>
        </w:rPr>
        <w:t xml:space="preserve">, </w:t>
      </w:r>
      <w:hyperlink r:id="rId9" w:history="1">
        <w:r w:rsidRPr="00467078">
          <w:rPr>
            <w:rFonts w:ascii="FrankRuehl" w:hAnsi="FrankRuehl" w:cs="FrankRuehl"/>
            <w:color w:val="0000FF"/>
            <w:rtl/>
          </w:rPr>
          <w:t>14</w:t>
        </w:r>
      </w:hyperlink>
      <w:r w:rsidRPr="00467078">
        <w:rPr>
          <w:rFonts w:ascii="FrankRuehl" w:hAnsi="FrankRuehl" w:cs="FrankRuehl"/>
          <w:rtl/>
        </w:rPr>
        <w:t xml:space="preserve">, </w:t>
      </w:r>
      <w:hyperlink r:id="rId10" w:history="1">
        <w:r w:rsidRPr="00467078">
          <w:rPr>
            <w:rFonts w:ascii="FrankRuehl" w:hAnsi="FrankRuehl" w:cs="FrankRuehl"/>
            <w:color w:val="0000FF"/>
            <w:rtl/>
          </w:rPr>
          <w:t>19א'</w:t>
        </w:r>
      </w:hyperlink>
    </w:p>
    <w:p w14:paraId="35DC2A5D" w14:textId="77777777" w:rsidR="00467078" w:rsidRPr="00467078" w:rsidRDefault="00467078" w:rsidP="00467078">
      <w:pPr>
        <w:spacing w:before="120" w:after="120" w:line="240" w:lineRule="exact"/>
        <w:ind w:left="283" w:hanging="283"/>
        <w:jc w:val="both"/>
        <w:rPr>
          <w:rFonts w:ascii="FrankRuehl" w:hAnsi="FrankRuehl" w:cs="FrankRuehl"/>
          <w:rtl/>
        </w:rPr>
      </w:pPr>
      <w:hyperlink r:id="rId11" w:history="1">
        <w:r w:rsidRPr="00467078">
          <w:rPr>
            <w:rFonts w:ascii="FrankRuehl" w:hAnsi="FrankRuehl" w:cs="FrankRuehl"/>
            <w:color w:val="0000FF"/>
            <w:rtl/>
          </w:rPr>
          <w:t>חוק העונשין, תשל"ז-1977</w:t>
        </w:r>
      </w:hyperlink>
      <w:r w:rsidRPr="00467078">
        <w:rPr>
          <w:rFonts w:ascii="FrankRuehl" w:hAnsi="FrankRuehl" w:cs="FrankRuehl"/>
          <w:rtl/>
        </w:rPr>
        <w:t xml:space="preserve">: סע'  </w:t>
      </w:r>
      <w:hyperlink r:id="rId12" w:history="1">
        <w:r w:rsidRPr="00467078">
          <w:rPr>
            <w:rFonts w:ascii="FrankRuehl" w:hAnsi="FrankRuehl" w:cs="FrankRuehl"/>
            <w:color w:val="0000FF"/>
            <w:rtl/>
          </w:rPr>
          <w:t>40 ט</w:t>
        </w:r>
      </w:hyperlink>
      <w:r w:rsidRPr="00467078">
        <w:rPr>
          <w:rFonts w:ascii="FrankRuehl" w:hAnsi="FrankRuehl" w:cs="FrankRuehl"/>
          <w:rtl/>
        </w:rPr>
        <w:t xml:space="preserve">, </w:t>
      </w:r>
      <w:hyperlink r:id="rId13" w:history="1">
        <w:r w:rsidRPr="00467078">
          <w:rPr>
            <w:rFonts w:ascii="FrankRuehl" w:hAnsi="FrankRuehl" w:cs="FrankRuehl"/>
            <w:color w:val="0000FF"/>
            <w:rtl/>
          </w:rPr>
          <w:t>40 יא</w:t>
        </w:r>
      </w:hyperlink>
      <w:r w:rsidRPr="00467078">
        <w:rPr>
          <w:rFonts w:ascii="FrankRuehl" w:hAnsi="FrankRuehl" w:cs="FrankRuehl"/>
          <w:rtl/>
        </w:rPr>
        <w:t xml:space="preserve">, </w:t>
      </w:r>
      <w:hyperlink r:id="rId14" w:history="1">
        <w:r w:rsidRPr="00467078">
          <w:rPr>
            <w:rFonts w:ascii="FrankRuehl" w:hAnsi="FrankRuehl" w:cs="FrankRuehl"/>
            <w:color w:val="0000FF"/>
            <w:rtl/>
          </w:rPr>
          <w:t>40 יג'</w:t>
        </w:r>
      </w:hyperlink>
    </w:p>
    <w:p w14:paraId="5A520C39" w14:textId="77777777" w:rsidR="00467078" w:rsidRPr="00467078" w:rsidRDefault="00467078" w:rsidP="00467078">
      <w:pPr>
        <w:rPr>
          <w:sz w:val="26"/>
          <w:szCs w:val="26"/>
          <w:rtl/>
        </w:rPr>
      </w:pPr>
      <w:bookmarkStart w:id="4" w:name="LawTable_End"/>
      <w:bookmarkEnd w:id="4"/>
    </w:p>
    <w:p w14:paraId="18ABC9C4" w14:textId="77777777" w:rsidR="00C076F8" w:rsidRPr="004374D3" w:rsidRDefault="00C076F8" w:rsidP="004374D3">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076F8" w14:paraId="5903E746" w14:textId="77777777" w:rsidTr="00C076F8">
        <w:trPr>
          <w:trHeight w:val="355"/>
          <w:jc w:val="center"/>
        </w:trPr>
        <w:tc>
          <w:tcPr>
            <w:tcW w:w="8820" w:type="dxa"/>
            <w:tcBorders>
              <w:top w:val="nil"/>
              <w:left w:val="nil"/>
              <w:bottom w:val="nil"/>
              <w:right w:val="nil"/>
            </w:tcBorders>
            <w:shd w:val="clear" w:color="auto" w:fill="auto"/>
          </w:tcPr>
          <w:p w14:paraId="11681CA1" w14:textId="77777777" w:rsidR="00D43A59" w:rsidRPr="00D43A59" w:rsidRDefault="00D43A59" w:rsidP="00D43A59">
            <w:pPr>
              <w:jc w:val="center"/>
              <w:rPr>
                <w:rFonts w:ascii="David" w:hAnsi="David"/>
                <w:b/>
                <w:bCs/>
                <w:sz w:val="32"/>
                <w:szCs w:val="32"/>
                <w:u w:val="single"/>
                <w:rtl/>
              </w:rPr>
            </w:pPr>
            <w:bookmarkStart w:id="5" w:name="PsakDin" w:colFirst="0" w:colLast="0"/>
            <w:bookmarkEnd w:id="0"/>
            <w:r w:rsidRPr="00D43A59">
              <w:rPr>
                <w:rFonts w:ascii="David" w:hAnsi="David"/>
                <w:b/>
                <w:bCs/>
                <w:sz w:val="32"/>
                <w:szCs w:val="32"/>
                <w:u w:val="single"/>
                <w:rtl/>
              </w:rPr>
              <w:t>גזר דין</w:t>
            </w:r>
          </w:p>
          <w:p w14:paraId="621EF758" w14:textId="77777777" w:rsidR="00C076F8" w:rsidRPr="00D43A59" w:rsidRDefault="00C076F8" w:rsidP="00D43A59">
            <w:pPr>
              <w:jc w:val="center"/>
              <w:rPr>
                <w:rFonts w:ascii="David" w:hAnsi="David"/>
                <w:bCs/>
                <w:sz w:val="32"/>
                <w:szCs w:val="32"/>
                <w:u w:val="single"/>
                <w:rtl/>
              </w:rPr>
            </w:pPr>
          </w:p>
        </w:tc>
      </w:tr>
      <w:bookmarkEnd w:id="5"/>
    </w:tbl>
    <w:p w14:paraId="05CC4F63" w14:textId="77777777" w:rsidR="00C076F8" w:rsidRPr="000F2247" w:rsidRDefault="00C076F8" w:rsidP="00C076F8">
      <w:pPr>
        <w:rPr>
          <w:rFonts w:ascii="Arial" w:hAnsi="Arial"/>
          <w:b/>
          <w:bCs/>
          <w:sz w:val="26"/>
          <w:szCs w:val="26"/>
          <w:rtl/>
        </w:rPr>
      </w:pPr>
    </w:p>
    <w:p w14:paraId="0A0E2C1C" w14:textId="77777777" w:rsidR="00C076F8" w:rsidRDefault="00C076F8" w:rsidP="00C076F8"/>
    <w:p w14:paraId="5CBEE8EA" w14:textId="77777777" w:rsidR="00C076F8" w:rsidRDefault="00C076F8" w:rsidP="00C076F8">
      <w:pPr>
        <w:jc w:val="both"/>
        <w:rPr>
          <w:b/>
          <w:bCs/>
          <w:sz w:val="28"/>
          <w:szCs w:val="28"/>
          <w:u w:val="single"/>
          <w:rtl/>
        </w:rPr>
      </w:pPr>
      <w:r>
        <w:rPr>
          <w:b/>
          <w:bCs/>
          <w:sz w:val="28"/>
          <w:szCs w:val="28"/>
          <w:u w:val="single"/>
          <w:rtl/>
        </w:rPr>
        <w:t>רקע</w:t>
      </w:r>
    </w:p>
    <w:p w14:paraId="22FA426F" w14:textId="77777777" w:rsidR="00C076F8" w:rsidRDefault="00C076F8" w:rsidP="00C076F8">
      <w:pPr>
        <w:pStyle w:val="aa"/>
        <w:numPr>
          <w:ilvl w:val="0"/>
          <w:numId w:val="1"/>
        </w:numPr>
        <w:spacing w:line="360" w:lineRule="auto"/>
        <w:jc w:val="both"/>
        <w:rPr>
          <w:rFonts w:cs="David"/>
          <w:sz w:val="24"/>
          <w:szCs w:val="24"/>
          <w:rtl/>
        </w:rPr>
      </w:pPr>
      <w:r>
        <w:rPr>
          <w:rFonts w:cs="David"/>
          <w:sz w:val="24"/>
          <w:szCs w:val="24"/>
          <w:rtl/>
        </w:rPr>
        <w:t xml:space="preserve">הנאשם הורשע בהתאם להודאתו בעובדות כתב האישום המתוקן, בעבירות כדלקמן: </w:t>
      </w:r>
    </w:p>
    <w:p w14:paraId="75D3659A" w14:textId="77777777" w:rsidR="00C076F8" w:rsidRDefault="00C076F8" w:rsidP="00C076F8">
      <w:pPr>
        <w:pStyle w:val="aa"/>
        <w:spacing w:line="360" w:lineRule="auto"/>
        <w:jc w:val="both"/>
        <w:rPr>
          <w:rFonts w:cs="David"/>
          <w:sz w:val="24"/>
          <w:szCs w:val="24"/>
        </w:rPr>
      </w:pPr>
      <w:r>
        <w:rPr>
          <w:rFonts w:cs="David"/>
          <w:b/>
          <w:bCs/>
          <w:sz w:val="24"/>
          <w:szCs w:val="24"/>
          <w:rtl/>
        </w:rPr>
        <w:t xml:space="preserve">עבירה אחת של תיווך בעסקי סמים מסוכנים עבירה לפי </w:t>
      </w:r>
      <w:hyperlink r:id="rId15" w:history="1">
        <w:r w:rsidR="00C273CD" w:rsidRPr="00C273CD">
          <w:rPr>
            <w:rStyle w:val="Hyperlink"/>
            <w:rFonts w:cs="David" w:hint="cs"/>
            <w:b/>
            <w:bCs/>
            <w:sz w:val="24"/>
            <w:szCs w:val="24"/>
            <w:rtl/>
          </w:rPr>
          <w:t>סעיף</w:t>
        </w:r>
        <w:r w:rsidR="00C273CD" w:rsidRPr="00C273CD">
          <w:rPr>
            <w:rStyle w:val="Hyperlink"/>
            <w:rFonts w:cs="David"/>
            <w:b/>
            <w:bCs/>
            <w:sz w:val="24"/>
            <w:szCs w:val="24"/>
            <w:rtl/>
          </w:rPr>
          <w:t xml:space="preserve"> 14</w:t>
        </w:r>
      </w:hyperlink>
      <w:r>
        <w:rPr>
          <w:rFonts w:cs="David"/>
          <w:b/>
          <w:bCs/>
          <w:sz w:val="24"/>
          <w:szCs w:val="24"/>
          <w:rtl/>
        </w:rPr>
        <w:t xml:space="preserve"> </w:t>
      </w:r>
      <w:r>
        <w:rPr>
          <w:rFonts w:cs="David"/>
          <w:sz w:val="24"/>
          <w:szCs w:val="24"/>
          <w:rtl/>
        </w:rPr>
        <w:t>ל</w:t>
      </w:r>
      <w:hyperlink r:id="rId16" w:history="1">
        <w:r w:rsidR="00D43A59" w:rsidRPr="00D43A59">
          <w:rPr>
            <w:rFonts w:cs="David" w:hint="cs"/>
            <w:color w:val="0000FF"/>
            <w:sz w:val="24"/>
            <w:szCs w:val="24"/>
            <w:u w:val="single"/>
            <w:rtl/>
          </w:rPr>
          <w:t>פקודת</w:t>
        </w:r>
        <w:r w:rsidR="00D43A59" w:rsidRPr="00D43A59">
          <w:rPr>
            <w:rFonts w:cs="David"/>
            <w:color w:val="0000FF"/>
            <w:sz w:val="24"/>
            <w:szCs w:val="24"/>
            <w:u w:val="single"/>
            <w:rtl/>
          </w:rPr>
          <w:t xml:space="preserve"> </w:t>
        </w:r>
        <w:r w:rsidR="00D43A59" w:rsidRPr="00D43A59">
          <w:rPr>
            <w:rFonts w:cs="David" w:hint="cs"/>
            <w:color w:val="0000FF"/>
            <w:sz w:val="24"/>
            <w:szCs w:val="24"/>
            <w:u w:val="single"/>
            <w:rtl/>
          </w:rPr>
          <w:t>הסמים</w:t>
        </w:r>
        <w:r w:rsidR="00D43A59" w:rsidRPr="00D43A59">
          <w:rPr>
            <w:rFonts w:cs="David"/>
            <w:color w:val="0000FF"/>
            <w:sz w:val="24"/>
            <w:szCs w:val="24"/>
            <w:u w:val="single"/>
            <w:rtl/>
          </w:rPr>
          <w:t xml:space="preserve"> </w:t>
        </w:r>
        <w:r w:rsidR="00D43A59" w:rsidRPr="00D43A59">
          <w:rPr>
            <w:rFonts w:cs="David" w:hint="cs"/>
            <w:color w:val="0000FF"/>
            <w:sz w:val="24"/>
            <w:szCs w:val="24"/>
            <w:u w:val="single"/>
            <w:rtl/>
          </w:rPr>
          <w:t>המסוכנים</w:t>
        </w:r>
      </w:hyperlink>
      <w:r>
        <w:rPr>
          <w:rFonts w:cs="David"/>
          <w:sz w:val="24"/>
          <w:szCs w:val="24"/>
          <w:rtl/>
        </w:rPr>
        <w:t xml:space="preserve"> [נוסח חדש], תשל"ג- 1973  (להלן :"פקודת הסמים"). </w:t>
      </w:r>
    </w:p>
    <w:p w14:paraId="49EDB783" w14:textId="77777777" w:rsidR="00C076F8" w:rsidRDefault="00C076F8" w:rsidP="00C076F8">
      <w:pPr>
        <w:pStyle w:val="aa"/>
        <w:spacing w:line="360" w:lineRule="auto"/>
        <w:jc w:val="both"/>
        <w:rPr>
          <w:rFonts w:cs="David"/>
          <w:sz w:val="24"/>
          <w:szCs w:val="24"/>
          <w:rtl/>
        </w:rPr>
      </w:pPr>
      <w:r>
        <w:rPr>
          <w:rFonts w:cs="David"/>
          <w:b/>
          <w:bCs/>
          <w:sz w:val="24"/>
          <w:szCs w:val="24"/>
          <w:rtl/>
        </w:rPr>
        <w:t xml:space="preserve">עבירה אחת של סחר בסם מסוכן, </w:t>
      </w:r>
      <w:r>
        <w:rPr>
          <w:rFonts w:cs="David"/>
          <w:sz w:val="24"/>
          <w:szCs w:val="24"/>
          <w:rtl/>
        </w:rPr>
        <w:t xml:space="preserve">לפי </w:t>
      </w:r>
      <w:hyperlink r:id="rId17" w:history="1">
        <w:r w:rsidR="00C273CD" w:rsidRPr="00C273CD">
          <w:rPr>
            <w:rStyle w:val="Hyperlink"/>
            <w:rFonts w:cs="David" w:hint="cs"/>
            <w:sz w:val="24"/>
            <w:szCs w:val="24"/>
            <w:rtl/>
          </w:rPr>
          <w:t>סעיף</w:t>
        </w:r>
        <w:r w:rsidR="00C273CD" w:rsidRPr="00C273CD">
          <w:rPr>
            <w:rStyle w:val="Hyperlink"/>
            <w:rFonts w:cs="David"/>
            <w:sz w:val="24"/>
            <w:szCs w:val="24"/>
            <w:rtl/>
          </w:rPr>
          <w:t xml:space="preserve"> 13</w:t>
        </w:r>
      </w:hyperlink>
      <w:r>
        <w:rPr>
          <w:rFonts w:cs="David"/>
          <w:sz w:val="24"/>
          <w:szCs w:val="24"/>
          <w:rtl/>
        </w:rPr>
        <w:t xml:space="preserve"> ו- </w:t>
      </w:r>
      <w:hyperlink r:id="rId18" w:history="1">
        <w:r w:rsidR="00C273CD" w:rsidRPr="00C273CD">
          <w:rPr>
            <w:rStyle w:val="Hyperlink"/>
            <w:rFonts w:cs="David"/>
            <w:sz w:val="24"/>
            <w:szCs w:val="24"/>
            <w:rtl/>
          </w:rPr>
          <w:t>19</w:t>
        </w:r>
        <w:r w:rsidR="00C273CD" w:rsidRPr="00C273CD">
          <w:rPr>
            <w:rStyle w:val="Hyperlink"/>
            <w:rFonts w:cs="David" w:hint="cs"/>
            <w:sz w:val="24"/>
            <w:szCs w:val="24"/>
            <w:rtl/>
          </w:rPr>
          <w:t>א</w:t>
        </w:r>
        <w:r w:rsidR="00C273CD" w:rsidRPr="00C273CD">
          <w:rPr>
            <w:rStyle w:val="Hyperlink"/>
            <w:rFonts w:cs="David"/>
            <w:sz w:val="24"/>
            <w:szCs w:val="24"/>
            <w:rtl/>
          </w:rPr>
          <w:t>'</w:t>
        </w:r>
      </w:hyperlink>
      <w:r>
        <w:rPr>
          <w:rFonts w:cs="David"/>
          <w:sz w:val="24"/>
          <w:szCs w:val="24"/>
          <w:rtl/>
        </w:rPr>
        <w:t xml:space="preserve"> לפקודת הסמים. </w:t>
      </w:r>
    </w:p>
    <w:p w14:paraId="3FA5EC17" w14:textId="77777777" w:rsidR="00C076F8" w:rsidRDefault="00C076F8" w:rsidP="00C076F8">
      <w:pPr>
        <w:pStyle w:val="aa"/>
        <w:spacing w:line="360" w:lineRule="auto"/>
        <w:jc w:val="both"/>
        <w:rPr>
          <w:rFonts w:cs="David"/>
          <w:sz w:val="24"/>
          <w:szCs w:val="24"/>
          <w:rtl/>
        </w:rPr>
      </w:pPr>
    </w:p>
    <w:p w14:paraId="5B5EFD7A" w14:textId="77777777" w:rsidR="00C076F8" w:rsidRDefault="00C076F8" w:rsidP="00C076F8">
      <w:pPr>
        <w:pStyle w:val="aa"/>
        <w:numPr>
          <w:ilvl w:val="0"/>
          <w:numId w:val="1"/>
        </w:numPr>
        <w:spacing w:line="360" w:lineRule="auto"/>
        <w:jc w:val="both"/>
        <w:rPr>
          <w:rFonts w:cs="David"/>
          <w:sz w:val="24"/>
          <w:szCs w:val="24"/>
          <w:rtl/>
        </w:rPr>
      </w:pPr>
      <w:r>
        <w:rPr>
          <w:rFonts w:cs="David"/>
          <w:sz w:val="24"/>
          <w:szCs w:val="24"/>
          <w:rtl/>
        </w:rPr>
        <w:t xml:space="preserve">על פי המתואר בעבודות כתב האישום המתוקן, במועדים הרלוונטיים לכתב האישום פעל סוכן משטרתי סמוי בפעילות כנגד סוחרי סמים בעיר באר שבע. </w:t>
      </w:r>
    </w:p>
    <w:p w14:paraId="662F2A54" w14:textId="77777777" w:rsidR="00C076F8" w:rsidRDefault="00C076F8" w:rsidP="00C076F8">
      <w:pPr>
        <w:pStyle w:val="aa"/>
        <w:spacing w:line="360" w:lineRule="auto"/>
        <w:jc w:val="both"/>
        <w:rPr>
          <w:rFonts w:cs="David"/>
          <w:sz w:val="24"/>
          <w:szCs w:val="24"/>
        </w:rPr>
      </w:pPr>
    </w:p>
    <w:p w14:paraId="3A77BFC4" w14:textId="77777777" w:rsidR="00C076F8" w:rsidRDefault="00C076F8" w:rsidP="00C076F8">
      <w:pPr>
        <w:pStyle w:val="aa"/>
        <w:spacing w:line="360" w:lineRule="auto"/>
        <w:jc w:val="both"/>
        <w:rPr>
          <w:rFonts w:cs="David"/>
          <w:sz w:val="24"/>
          <w:szCs w:val="24"/>
        </w:rPr>
      </w:pPr>
      <w:r>
        <w:rPr>
          <w:rFonts w:cs="David"/>
          <w:b/>
          <w:bCs/>
          <w:sz w:val="24"/>
          <w:szCs w:val="24"/>
          <w:rtl/>
        </w:rPr>
        <w:lastRenderedPageBreak/>
        <w:t>על פי עובדות האישום הראשון</w:t>
      </w:r>
      <w:r>
        <w:rPr>
          <w:rFonts w:cs="David"/>
          <w:sz w:val="24"/>
          <w:szCs w:val="24"/>
          <w:rtl/>
        </w:rPr>
        <w:t xml:space="preserve">, בתאריך 25.02.21 בסמוך לשעה 15:15, התקשר הסוכן לנאשם אך לא היה מענה, בשעה 15:24 התקשר הנאשם לסוכן והשניים קבעו להיפגש בהמשך היום. בסמוך לשעה 16:17, התקשר הסוכן לנאשם וביקש להיפגש, השניים קבעו להיפגש בסמוך לביתו של הנאשם ברחוב קדושי בגדד,. בשעה 16:24 הגיע הסוכן למקום, </w:t>
      </w:r>
    </w:p>
    <w:p w14:paraId="1F04A795" w14:textId="77777777" w:rsidR="00C076F8" w:rsidRDefault="00C076F8" w:rsidP="00C076F8">
      <w:pPr>
        <w:pStyle w:val="aa"/>
        <w:spacing w:line="360" w:lineRule="auto"/>
        <w:jc w:val="both"/>
        <w:rPr>
          <w:rFonts w:cs="David"/>
          <w:sz w:val="24"/>
          <w:szCs w:val="24"/>
          <w:rtl/>
        </w:rPr>
      </w:pPr>
      <w:r>
        <w:rPr>
          <w:rFonts w:cs="David"/>
          <w:sz w:val="24"/>
          <w:szCs w:val="24"/>
          <w:rtl/>
        </w:rPr>
        <w:t xml:space="preserve">פגש בנאשם וביקש לרכוש סם מסוכן קוקאין בתגובה ענה הנאשם לסוכן שאין לו סם כרגע ונתן לסוכן מספר טלפון של אחר "וואלה אין לי אחי אבל קח מספר הוא יביא לך תגיד לו שי שלח אותך", הסוכן התקשר לאחר וביקש לרכוש הסם, השניים קבעו להיפגש ברחוב אברהם, והאחר העביר לסוכן </w:t>
      </w:r>
      <w:r>
        <w:rPr>
          <w:rFonts w:cs="David"/>
          <w:b/>
          <w:bCs/>
          <w:sz w:val="24"/>
          <w:szCs w:val="24"/>
          <w:rtl/>
        </w:rPr>
        <w:t xml:space="preserve">סם מסוג קוקאין במשקל 0.7493 גר' </w:t>
      </w:r>
      <w:r>
        <w:rPr>
          <w:rFonts w:cs="David"/>
          <w:sz w:val="24"/>
          <w:szCs w:val="24"/>
          <w:rtl/>
        </w:rPr>
        <w:t xml:space="preserve"> תמורת 400 ₪. </w:t>
      </w:r>
    </w:p>
    <w:p w14:paraId="109DCFC1" w14:textId="77777777" w:rsidR="00C076F8" w:rsidRDefault="00C076F8" w:rsidP="00C076F8">
      <w:pPr>
        <w:pStyle w:val="aa"/>
        <w:spacing w:line="360" w:lineRule="auto"/>
        <w:jc w:val="both"/>
        <w:rPr>
          <w:rFonts w:cs="David"/>
          <w:sz w:val="24"/>
          <w:szCs w:val="24"/>
          <w:rtl/>
        </w:rPr>
      </w:pPr>
    </w:p>
    <w:p w14:paraId="1137E3AD" w14:textId="77777777" w:rsidR="00C076F8" w:rsidRDefault="00C076F8" w:rsidP="00C076F8">
      <w:pPr>
        <w:pStyle w:val="aa"/>
        <w:spacing w:line="360" w:lineRule="auto"/>
        <w:jc w:val="both"/>
        <w:rPr>
          <w:rFonts w:cs="David"/>
          <w:sz w:val="24"/>
          <w:szCs w:val="24"/>
          <w:rtl/>
        </w:rPr>
      </w:pPr>
      <w:r>
        <w:rPr>
          <w:rFonts w:cs="David"/>
          <w:b/>
          <w:bCs/>
          <w:sz w:val="24"/>
          <w:szCs w:val="24"/>
          <w:rtl/>
        </w:rPr>
        <w:t>על פי עובדות האישום השני</w:t>
      </w:r>
      <w:r>
        <w:rPr>
          <w:rFonts w:cs="David"/>
          <w:sz w:val="24"/>
          <w:szCs w:val="24"/>
          <w:rtl/>
        </w:rPr>
        <w:t xml:space="preserve">, בתאריך 05.03.21 בשעה 22:34 התקשר הסוכן לנאשם  וביקש לרכוש סם מסוג קוקאין "אני צריך ב- 400" הנאשם ענה בתגובה לסוכן שיתקשר אליו באמצעות "ווטסאפ" וכך עשה הסוכן, במהלך השיחה תיאמו להיפגש ברחוב מצדה. בשעה 22:40 הגיע הסוכן למקום המפגש והתקשר לנאשם אשר ביקש ממנו שיחייג אליו שוב בשיחת וידיאו ב"ווטסאפ" ויראה לו היכן נמצא לאחר שהסוכן עשה את שביקש, יצא הנאשם מסמטה בסמוך למקום וביקש מהסוכן שיגיע אליו "אני במעצר בית אחי בוא אליי". באותו המעמד העביר הנאשם לסוכן שקית ניילון ובה </w:t>
      </w:r>
      <w:r>
        <w:rPr>
          <w:rFonts w:cs="David"/>
          <w:b/>
          <w:bCs/>
          <w:sz w:val="24"/>
          <w:szCs w:val="24"/>
          <w:rtl/>
        </w:rPr>
        <w:t xml:space="preserve">סם מסוג קוקאין במשקל 0.5644 גרם </w:t>
      </w:r>
      <w:r>
        <w:rPr>
          <w:rFonts w:cs="David"/>
          <w:sz w:val="24"/>
          <w:szCs w:val="24"/>
          <w:rtl/>
        </w:rPr>
        <w:t xml:space="preserve">תמורת 400 ₪. </w:t>
      </w:r>
    </w:p>
    <w:p w14:paraId="28261F0B" w14:textId="77777777" w:rsidR="00C076F8" w:rsidRDefault="00C076F8" w:rsidP="00C076F8">
      <w:pPr>
        <w:pStyle w:val="aa"/>
        <w:spacing w:line="360" w:lineRule="auto"/>
        <w:jc w:val="both"/>
        <w:rPr>
          <w:rFonts w:cs="David"/>
          <w:sz w:val="24"/>
          <w:szCs w:val="24"/>
          <w:rtl/>
        </w:rPr>
      </w:pPr>
    </w:p>
    <w:p w14:paraId="5981AF81" w14:textId="77777777" w:rsidR="00C076F8" w:rsidRDefault="00C076F8" w:rsidP="00C076F8">
      <w:pPr>
        <w:pStyle w:val="aa"/>
        <w:numPr>
          <w:ilvl w:val="0"/>
          <w:numId w:val="1"/>
        </w:numPr>
        <w:spacing w:line="360" w:lineRule="auto"/>
        <w:jc w:val="both"/>
        <w:rPr>
          <w:rFonts w:cs="David"/>
          <w:sz w:val="24"/>
          <w:szCs w:val="24"/>
          <w:rtl/>
        </w:rPr>
      </w:pPr>
      <w:r>
        <w:rPr>
          <w:rFonts w:cs="David"/>
          <w:sz w:val="24"/>
          <w:szCs w:val="24"/>
          <w:rtl/>
        </w:rPr>
        <w:t xml:space="preserve">בתאריך 13.09.21  הגיעו הצדדים להסדר דיוני, לפיו  כתב האישום תוקן, הנאשם  הודה והורשע בכתב אישום מתוקן. ההסדר לא כלל  הסכמה לעונש, הגנה עתרה להפנות הנאשם לקבלת תסקיר משירות מבחן בעוד  המאשימה הצהירה שעמדתה למאסר בפועל. </w:t>
      </w:r>
    </w:p>
    <w:p w14:paraId="5F36BEC7" w14:textId="77777777" w:rsidR="00C076F8" w:rsidRDefault="00C076F8" w:rsidP="00C076F8">
      <w:pPr>
        <w:spacing w:line="360" w:lineRule="auto"/>
        <w:jc w:val="both"/>
        <w:rPr>
          <w:b/>
          <w:bCs/>
          <w:u w:val="single"/>
          <w:rtl/>
        </w:rPr>
      </w:pPr>
      <w:r>
        <w:rPr>
          <w:b/>
          <w:bCs/>
          <w:u w:val="single"/>
          <w:rtl/>
        </w:rPr>
        <w:t>תסקיר שירות המבחן</w:t>
      </w:r>
    </w:p>
    <w:p w14:paraId="5241CD1B" w14:textId="77777777" w:rsidR="00C076F8" w:rsidRDefault="00C076F8" w:rsidP="00C076F8">
      <w:pPr>
        <w:pStyle w:val="aa"/>
        <w:numPr>
          <w:ilvl w:val="0"/>
          <w:numId w:val="1"/>
        </w:numPr>
        <w:spacing w:line="360" w:lineRule="auto"/>
        <w:jc w:val="both"/>
        <w:rPr>
          <w:rFonts w:cs="David"/>
          <w:sz w:val="24"/>
          <w:szCs w:val="24"/>
          <w:rtl/>
        </w:rPr>
      </w:pPr>
      <w:r>
        <w:rPr>
          <w:rFonts w:cs="David"/>
          <w:sz w:val="24"/>
          <w:szCs w:val="24"/>
          <w:rtl/>
        </w:rPr>
        <w:t xml:space="preserve">הנאשם רווק צעיר בן 24, מצוי בתנאים מגבילים במסגרת תיק זה. טרם מעצרו לא עבד במשך כ 3 חודשים בשל משבר הקורונה. הנאשם גדל במשפחה נורמטיבית תומכת. הנאשם סיים 11 שנות לימוד, ציין כי חווה קשיים בתחום הלימודי בשל הפרעות קשב וריכוז כמו כן חווה קשיים בתחום החברתי שהביאו לחרמות, בתיכון התחבר עם חברה שולית. הנאשם סיים שירות צבאי מלא, בתחילה שירות בחטיבת הנח"ל  כלוחם לאחר כ 4 חודשים הועבר לשרת כחייל כללי בחטיבה, צוין כי במהלך שירותו הצבאי נשפט על היעדרות משירות, ריצה עונשי מאסר בפועל. לאחר השירות הצבאי החל לעבוד כמתקין תריסים  במשך כשנה ולאחר מכן עבד במסגרות עד פרוץ משבר הקורונה. </w:t>
      </w:r>
    </w:p>
    <w:p w14:paraId="41666577" w14:textId="77777777" w:rsidR="00C076F8" w:rsidRDefault="00C076F8" w:rsidP="00C076F8">
      <w:pPr>
        <w:spacing w:line="360" w:lineRule="auto"/>
        <w:ind w:left="720"/>
        <w:jc w:val="both"/>
        <w:rPr>
          <w:rtl/>
        </w:rPr>
      </w:pPr>
      <w:r>
        <w:rPr>
          <w:rtl/>
        </w:rPr>
        <w:t xml:space="preserve">בתחילה שלל הנאשם שימוש בחומרים משני תודעה אולם במהלך הטיפול במסגרת צו פיקוח מעצרים, בבדיקות שתן שמסר נמצאו שרידי סם והנאשם הודה בשימוש בסמים,  בשל כך הנאשם הופנה לטיפול  ביחידה להתמכרויות בבאר שבע. </w:t>
      </w:r>
    </w:p>
    <w:p w14:paraId="104F6C36" w14:textId="77777777" w:rsidR="00C076F8" w:rsidRDefault="00C076F8" w:rsidP="00C076F8">
      <w:pPr>
        <w:spacing w:line="360" w:lineRule="auto"/>
        <w:ind w:left="720"/>
        <w:jc w:val="both"/>
        <w:rPr>
          <w:rtl/>
        </w:rPr>
      </w:pPr>
      <w:r>
        <w:rPr>
          <w:rtl/>
        </w:rPr>
        <w:lastRenderedPageBreak/>
        <w:t xml:space="preserve">בהתייחס לעבירות נשוא כתב האישום, הודה הנאשם במיוחס לו, מסר שלאחר שחרורו היה ללא מסגרת תעסוקתית ובילה רבות עם חברים, במהלך תקופה זו צרך סמים והוציא סכומי כסף גדולים. לטענת הנאשם פנה בקבלת הלוואות מחברים ומשוק אפור על מנת שיוכל להמשיך סגנון חייו, על רקע זאת חש לחץ נפשי וכלכלי וכתוצאה מחוסר מעש והחובות שצבר החליט לסחור בסמים ביחד עם חבריו, לטענתו התפתה לכך הואיל ומדובר בהפקת רווח כלכלי קל ומהיר. הנאשם הבין שטעה בבחירתו וכי נהג באופן פסול. שירות המבחן התרשם כי תחושות החרטה נובעות בעיקר בשל המחירים שמשלם כעת ושישלם בעתיד ולא מתוך הכרה בחומרת מעשיו והשפעתם על הסביבה. </w:t>
      </w:r>
    </w:p>
    <w:p w14:paraId="51F70F42" w14:textId="77777777" w:rsidR="00C076F8" w:rsidRDefault="00C076F8" w:rsidP="00C076F8">
      <w:pPr>
        <w:spacing w:line="360" w:lineRule="auto"/>
        <w:ind w:left="720"/>
        <w:jc w:val="both"/>
        <w:rPr>
          <w:rtl/>
        </w:rPr>
      </w:pPr>
      <w:r>
        <w:rPr>
          <w:rtl/>
        </w:rPr>
        <w:t xml:space="preserve">שירות המבחן ציין שהנאשם התקשה לשמור על ניקיון מסמים, הוצעה לו מסגרת טיפולית אשפוזית "הדרך", הנאשם הביע נכונות לשילוב בהליך וכן נפתחה פנייה לגורמים הרלוונטיים בעניין, הנאשם נדרש להעביר חומרים רפואיים לצורך השלמת הליך הפנייה אך טרם העבירם, למרות מספר רב של פניות מצד שירות המבחן בעניין. שירות המבחן גם ציין כי במהלך הפגישות עימו ציין הנאשם שאינו זקוק לטיפול בתחום הסמים. בפגישות עם שירות המבחן הנאשם שב וחזר על כך שהפסיק השימוש בסמים, בעוד בדיקות שתן שמסר העידו אחרת. </w:t>
      </w:r>
    </w:p>
    <w:p w14:paraId="0E11474C" w14:textId="77777777" w:rsidR="00C076F8" w:rsidRDefault="00C076F8" w:rsidP="00C076F8">
      <w:pPr>
        <w:spacing w:line="360" w:lineRule="auto"/>
        <w:ind w:left="720"/>
        <w:jc w:val="both"/>
        <w:rPr>
          <w:rtl/>
        </w:rPr>
      </w:pPr>
      <w:r>
        <w:rPr>
          <w:rtl/>
        </w:rPr>
        <w:t>שירות המבחן התרשם שהנאשם זקוק למסגרת טיפולית בתחום ההתנהגותי ובתחום הסמים, אך לאור חוסר יציבות בשיתוף הפעולה, בתחום הסמים ובתחומים אחרים כגון קבוצה טיפולית ונוכח בדיקות שתן שהעידו על שימוש בסמים חרף הצהרתו שאינו משתמש, לא בא בהמלצה טיפולית בעניינו. בנוסף ציין שירות המבחן שנוכח חומרת העבירה והסיכון להישנות עבירות דומות בעתיד, יש צורך בענישה הרתעתית שתחדד חומרת המעשים.</w:t>
      </w:r>
    </w:p>
    <w:p w14:paraId="47E8ECCD" w14:textId="77777777" w:rsidR="00C076F8" w:rsidRDefault="00C076F8" w:rsidP="00C076F8">
      <w:pPr>
        <w:spacing w:line="360" w:lineRule="auto"/>
        <w:jc w:val="both"/>
        <w:rPr>
          <w:b/>
          <w:bCs/>
          <w:u w:val="single"/>
          <w:rtl/>
        </w:rPr>
      </w:pPr>
      <w:r>
        <w:rPr>
          <w:b/>
          <w:bCs/>
          <w:u w:val="single"/>
          <w:rtl/>
        </w:rPr>
        <w:t xml:space="preserve">טענות הצדדים </w:t>
      </w:r>
    </w:p>
    <w:p w14:paraId="4DD1452B" w14:textId="77777777" w:rsidR="00C076F8" w:rsidRDefault="00C076F8" w:rsidP="00C076F8">
      <w:pPr>
        <w:pStyle w:val="aa"/>
        <w:numPr>
          <w:ilvl w:val="0"/>
          <w:numId w:val="1"/>
        </w:numPr>
        <w:spacing w:line="360" w:lineRule="auto"/>
        <w:jc w:val="both"/>
        <w:rPr>
          <w:rFonts w:cs="David"/>
          <w:sz w:val="24"/>
          <w:szCs w:val="24"/>
          <w:rtl/>
        </w:rPr>
      </w:pPr>
      <w:r>
        <w:rPr>
          <w:rFonts w:cs="David"/>
          <w:sz w:val="24"/>
          <w:szCs w:val="24"/>
          <w:rtl/>
        </w:rPr>
        <w:t>המאשימה הפנתה לעובדות כתב האישום המתוקן, סוג הסם – קוקאין, הנמנה על החמורים מבין סוגי הסמים וכן מועדי ביצוע העבירות שהינן בסמיכות זמנים. אופן ביצוע העבירות מלמד על זמינות הסם ומכאן שהנאשם מעורה בעולם הסמים. המאשימה טענה ל-2 מתחמי ענישה וביחס לכל אישום עתרה למתחם עונש של מאסר בפועל בן 8 עד 18 חודשי מאסר בפועל וכן ענישה נילווית. הפנתה לפסיקה תומכת לעניין מתחם הענישה.</w:t>
      </w:r>
    </w:p>
    <w:p w14:paraId="70577482" w14:textId="77777777" w:rsidR="00C076F8" w:rsidRDefault="00C076F8" w:rsidP="00C076F8">
      <w:pPr>
        <w:pStyle w:val="aa"/>
        <w:spacing w:line="360" w:lineRule="auto"/>
        <w:jc w:val="both"/>
        <w:rPr>
          <w:rFonts w:cs="David"/>
          <w:sz w:val="24"/>
          <w:szCs w:val="24"/>
        </w:rPr>
      </w:pPr>
      <w:r>
        <w:rPr>
          <w:rFonts w:cs="David"/>
          <w:sz w:val="24"/>
          <w:szCs w:val="24"/>
          <w:rtl/>
        </w:rPr>
        <w:t xml:space="preserve">לעניין מיקום הנאשם במתחם, הפנתה לגילו הצעיר והעדר עבר פלילי רלוונטי, עם זאת הפנתה למפורט בתסקיר שירות המבחן, העובדה כי הנאשם המשיך להשתמש בסמים כאשר הוא מצוי בהליך טיפולי ולפיכך סבורה כי יש למקם את עונשו ברף הבינוני עליון של המתחם וזאת בצירוף מאסר על תנאי ארוך ומרתיע, קנס כספי והתחייבות. </w:t>
      </w:r>
    </w:p>
    <w:p w14:paraId="661DA306" w14:textId="77777777" w:rsidR="00C076F8" w:rsidRDefault="00C076F8" w:rsidP="00C076F8">
      <w:pPr>
        <w:pStyle w:val="aa"/>
        <w:numPr>
          <w:ilvl w:val="0"/>
          <w:numId w:val="1"/>
        </w:numPr>
        <w:spacing w:line="360" w:lineRule="auto"/>
        <w:jc w:val="both"/>
        <w:rPr>
          <w:rFonts w:cs="David"/>
          <w:sz w:val="24"/>
          <w:szCs w:val="24"/>
        </w:rPr>
      </w:pPr>
      <w:r>
        <w:rPr>
          <w:rFonts w:cs="David"/>
          <w:sz w:val="24"/>
          <w:szCs w:val="24"/>
          <w:rtl/>
        </w:rPr>
        <w:t>ב"כ הנאשם טען כי יש לקבוע מתחם עונש אחד. הפנה לנסיבות ביצוע העבירות ולאבחנה שיש לעשות בין שני האישומים כאשר באישום הראשון מיוחסת לנאשם עבירת תיווך בלבד ולנאשם כלל לא היו סמים ולפיכך הפנה את הסוכן לאחר, מה שמלמד דווקא על העדר זמינות הסם אצל הנאשם. הדגיש את קבלת האחריות, החיסכון בזמן שיפוטי וזמנם של העדים, נטען כי מדובר ביוזמה של סוכן הפונה לנאשם לצורך רכישת הסמים, אמנם, העובדות אינן עולות כדי טענה של "סוכן מדיח" אולם יש לתת לכך המשקל בענישה. עוד נטען, כי על אף אי שיתוף הפעולה עם שירות המבחן, אין זה מהווה גורם להחמרת הענישה בשל כך. הפנה לנסיבותיו של הנאשם והפגיעה בו, מדובר בצעיר נעדר עבר פלילי רלבנטי, שהה כחודש וחצי במעצר מאחורי סורג ובריח, שוחרר למעצר בית מלא לתקופה של 3.5 חודשים ולאחר מכן מעצר בית לילי בפיקוח אדם. הפנה לפסיקה לגבי מתחם הענישה וסבור כי המתחם נע החל ממאסר מותנה וקנס משמעותי ועד ל-9 חודשי מאסר שיכול וירוצה בעבודת שירות. בנסיבותיו של הנאשם יש למקם את עונשו בתחתית המתחם.</w:t>
      </w:r>
    </w:p>
    <w:p w14:paraId="1A040A81" w14:textId="77777777" w:rsidR="00C076F8" w:rsidRDefault="00C076F8" w:rsidP="00C076F8">
      <w:pPr>
        <w:pStyle w:val="aa"/>
        <w:spacing w:line="360" w:lineRule="auto"/>
        <w:jc w:val="both"/>
        <w:rPr>
          <w:rFonts w:cs="David"/>
          <w:sz w:val="24"/>
          <w:szCs w:val="24"/>
        </w:rPr>
      </w:pPr>
    </w:p>
    <w:p w14:paraId="2813AADE" w14:textId="77777777" w:rsidR="00C076F8" w:rsidRDefault="00C076F8" w:rsidP="00C076F8">
      <w:pPr>
        <w:pStyle w:val="aa"/>
        <w:spacing w:line="360" w:lineRule="auto"/>
        <w:jc w:val="both"/>
        <w:rPr>
          <w:rFonts w:cs="David"/>
          <w:sz w:val="24"/>
          <w:szCs w:val="24"/>
          <w:rtl/>
        </w:rPr>
      </w:pPr>
      <w:r>
        <w:rPr>
          <w:rFonts w:cs="David"/>
          <w:sz w:val="24"/>
          <w:szCs w:val="24"/>
          <w:rtl/>
        </w:rPr>
        <w:t>הנאשם הביע צער וחרטה על העבירות שביצע, לדבריו נכנס לסחרור וטעה, לא הבין נכונה את חומרת מעשיו ורק לאחרונה הפנים זאת, מבקש התחשבות בית המשפט, ציין כי בקרוב עתיד להינשא.</w:t>
      </w:r>
    </w:p>
    <w:p w14:paraId="158EBC60" w14:textId="77777777" w:rsidR="00C076F8" w:rsidRDefault="00C076F8" w:rsidP="00C076F8">
      <w:pPr>
        <w:spacing w:line="360" w:lineRule="auto"/>
        <w:ind w:left="360"/>
        <w:jc w:val="both"/>
        <w:rPr>
          <w:b/>
          <w:bCs/>
          <w:u w:val="single"/>
        </w:rPr>
      </w:pPr>
      <w:r>
        <w:rPr>
          <w:b/>
          <w:bCs/>
          <w:u w:val="single"/>
          <w:rtl/>
        </w:rPr>
        <w:t xml:space="preserve">דיון והכרעה </w:t>
      </w:r>
    </w:p>
    <w:p w14:paraId="1FDD6B6B" w14:textId="77777777" w:rsidR="00C076F8" w:rsidRDefault="00C076F8" w:rsidP="00C076F8">
      <w:pPr>
        <w:pStyle w:val="aa"/>
        <w:numPr>
          <w:ilvl w:val="0"/>
          <w:numId w:val="1"/>
        </w:numPr>
        <w:spacing w:line="360" w:lineRule="auto"/>
        <w:jc w:val="both"/>
        <w:rPr>
          <w:rFonts w:cs="David"/>
          <w:sz w:val="24"/>
          <w:szCs w:val="24"/>
        </w:rPr>
      </w:pPr>
      <w:r>
        <w:rPr>
          <w:rFonts w:cs="David"/>
          <w:sz w:val="24"/>
          <w:szCs w:val="24"/>
          <w:rtl/>
        </w:rPr>
        <w:t xml:space="preserve">כתב האישום במקרה דנן מתאר שני אירועים, כאשר כל אישום מהווה אירוע, ומכאן שיש לקבוע מתחם ענישה הולם לכל אירוע. אולם הואיל והאירועים דומים זה לזה במהותם ובחומרתם ניתן לקבוע שמתקיים קשר הדוק בין העבירות וראוי לקבוע מתחם עונש אחד, המביא בחשבון שמדובר במספר עבירות (ראה </w:t>
      </w:r>
      <w:hyperlink r:id="rId19" w:history="1">
        <w:r w:rsidR="00D43A59" w:rsidRPr="00D43A59">
          <w:rPr>
            <w:rFonts w:cs="David" w:hint="cs"/>
            <w:color w:val="0000FF"/>
            <w:sz w:val="24"/>
            <w:szCs w:val="24"/>
            <w:u w:val="single"/>
            <w:rtl/>
          </w:rPr>
          <w:t>ע</w:t>
        </w:r>
        <w:r w:rsidR="00D43A59" w:rsidRPr="00D43A59">
          <w:rPr>
            <w:rFonts w:cs="David"/>
            <w:color w:val="0000FF"/>
            <w:sz w:val="24"/>
            <w:szCs w:val="24"/>
            <w:u w:val="single"/>
            <w:rtl/>
          </w:rPr>
          <w:t>"</w:t>
        </w:r>
        <w:r w:rsidR="00D43A59" w:rsidRPr="00D43A59">
          <w:rPr>
            <w:rFonts w:cs="David" w:hint="cs"/>
            <w:color w:val="0000FF"/>
            <w:sz w:val="24"/>
            <w:szCs w:val="24"/>
            <w:u w:val="single"/>
            <w:rtl/>
          </w:rPr>
          <w:t>פ</w:t>
        </w:r>
        <w:r w:rsidR="00D43A59" w:rsidRPr="00D43A59">
          <w:rPr>
            <w:rFonts w:cs="David"/>
            <w:color w:val="0000FF"/>
            <w:sz w:val="24"/>
            <w:szCs w:val="24"/>
            <w:u w:val="single"/>
            <w:rtl/>
          </w:rPr>
          <w:t xml:space="preserve"> 4910/13</w:t>
        </w:r>
      </w:hyperlink>
      <w:r w:rsidR="00D43A59">
        <w:rPr>
          <w:rFonts w:cs="David"/>
          <w:sz w:val="24"/>
          <w:szCs w:val="24"/>
        </w:rPr>
        <w:t xml:space="preserve"> </w:t>
      </w:r>
      <w:r>
        <w:rPr>
          <w:rFonts w:cs="David"/>
          <w:b/>
          <w:bCs/>
          <w:sz w:val="24"/>
          <w:szCs w:val="24"/>
          <w:rtl/>
        </w:rPr>
        <w:t>ג'אבר נ' מדינת ישראל,</w:t>
      </w:r>
      <w:r>
        <w:rPr>
          <w:rFonts w:cs="David"/>
          <w:sz w:val="24"/>
          <w:szCs w:val="24"/>
          <w:rtl/>
        </w:rPr>
        <w:t xml:space="preserve"> 29.10.14; </w:t>
      </w:r>
      <w:hyperlink r:id="rId20" w:history="1">
        <w:r w:rsidR="00D43A59" w:rsidRPr="00D43A59">
          <w:rPr>
            <w:rFonts w:cs="David" w:hint="cs"/>
            <w:color w:val="0000FF"/>
            <w:sz w:val="24"/>
            <w:szCs w:val="24"/>
            <w:u w:val="single"/>
            <w:rtl/>
          </w:rPr>
          <w:t>רע</w:t>
        </w:r>
        <w:r w:rsidR="00D43A59" w:rsidRPr="00D43A59">
          <w:rPr>
            <w:rFonts w:cs="David"/>
            <w:color w:val="0000FF"/>
            <w:sz w:val="24"/>
            <w:szCs w:val="24"/>
            <w:u w:val="single"/>
            <w:rtl/>
          </w:rPr>
          <w:t>"</w:t>
        </w:r>
        <w:r w:rsidR="00D43A59" w:rsidRPr="00D43A59">
          <w:rPr>
            <w:rFonts w:cs="David" w:hint="cs"/>
            <w:color w:val="0000FF"/>
            <w:sz w:val="24"/>
            <w:szCs w:val="24"/>
            <w:u w:val="single"/>
            <w:rtl/>
          </w:rPr>
          <w:t>פ</w:t>
        </w:r>
        <w:r w:rsidR="00D43A59" w:rsidRPr="00D43A59">
          <w:rPr>
            <w:rFonts w:cs="David"/>
            <w:color w:val="0000FF"/>
            <w:sz w:val="24"/>
            <w:szCs w:val="24"/>
            <w:u w:val="single"/>
            <w:rtl/>
          </w:rPr>
          <w:t xml:space="preserve"> 4760/14</w:t>
        </w:r>
      </w:hyperlink>
      <w:r w:rsidR="00D43A59">
        <w:rPr>
          <w:rFonts w:cs="David"/>
          <w:sz w:val="24"/>
          <w:szCs w:val="24"/>
        </w:rPr>
        <w:t xml:space="preserve"> </w:t>
      </w:r>
      <w:r>
        <w:rPr>
          <w:rFonts w:cs="David"/>
          <w:b/>
          <w:bCs/>
          <w:sz w:val="24"/>
          <w:szCs w:val="24"/>
          <w:rtl/>
        </w:rPr>
        <w:t>קיסלמן ואח' נ' מדינת ישראל</w:t>
      </w:r>
      <w:r>
        <w:rPr>
          <w:rFonts w:cs="David"/>
          <w:sz w:val="24"/>
          <w:szCs w:val="24"/>
          <w:rtl/>
        </w:rPr>
        <w:t xml:space="preserve"> 07.05.15; </w:t>
      </w:r>
      <w:hyperlink r:id="rId21" w:history="1">
        <w:r w:rsidR="00D43A59" w:rsidRPr="00D43A59">
          <w:rPr>
            <w:rFonts w:cs="David" w:hint="cs"/>
            <w:color w:val="0000FF"/>
            <w:sz w:val="24"/>
            <w:szCs w:val="24"/>
            <w:u w:val="single"/>
            <w:rtl/>
          </w:rPr>
          <w:t>דנ</w:t>
        </w:r>
        <w:r w:rsidR="00D43A59" w:rsidRPr="00D43A59">
          <w:rPr>
            <w:rFonts w:cs="David"/>
            <w:color w:val="0000FF"/>
            <w:sz w:val="24"/>
            <w:szCs w:val="24"/>
            <w:u w:val="single"/>
            <w:rtl/>
          </w:rPr>
          <w:t>"</w:t>
        </w:r>
        <w:r w:rsidR="00D43A59" w:rsidRPr="00D43A59">
          <w:rPr>
            <w:rFonts w:cs="David" w:hint="cs"/>
            <w:color w:val="0000FF"/>
            <w:sz w:val="24"/>
            <w:szCs w:val="24"/>
            <w:u w:val="single"/>
            <w:rtl/>
          </w:rPr>
          <w:t>פ</w:t>
        </w:r>
        <w:r w:rsidR="00D43A59" w:rsidRPr="00D43A59">
          <w:rPr>
            <w:rFonts w:cs="David"/>
            <w:color w:val="0000FF"/>
            <w:sz w:val="24"/>
            <w:szCs w:val="24"/>
            <w:u w:val="single"/>
            <w:rtl/>
          </w:rPr>
          <w:t xml:space="preserve"> 2999/16</w:t>
        </w:r>
      </w:hyperlink>
      <w:r w:rsidR="00D43A59">
        <w:rPr>
          <w:rFonts w:cs="David"/>
          <w:sz w:val="24"/>
          <w:szCs w:val="24"/>
        </w:rPr>
        <w:t xml:space="preserve"> </w:t>
      </w:r>
      <w:r>
        <w:rPr>
          <w:rFonts w:cs="David"/>
          <w:b/>
          <w:bCs/>
          <w:sz w:val="24"/>
          <w:szCs w:val="24"/>
          <w:rtl/>
        </w:rPr>
        <w:t>מזרחי נ' מדינת ישראל</w:t>
      </w:r>
      <w:r>
        <w:rPr>
          <w:rFonts w:cs="David"/>
          <w:sz w:val="24"/>
          <w:szCs w:val="24"/>
          <w:rtl/>
        </w:rPr>
        <w:t xml:space="preserve"> 22.05.16). </w:t>
      </w:r>
    </w:p>
    <w:p w14:paraId="0C6EB8B9" w14:textId="77777777" w:rsidR="00C076F8" w:rsidRDefault="00C076F8" w:rsidP="00C076F8">
      <w:pPr>
        <w:spacing w:line="360" w:lineRule="auto"/>
        <w:ind w:left="360"/>
        <w:jc w:val="both"/>
        <w:rPr>
          <w:b/>
          <w:bCs/>
          <w:u w:val="single"/>
        </w:rPr>
      </w:pPr>
      <w:r>
        <w:rPr>
          <w:b/>
          <w:bCs/>
          <w:u w:val="single"/>
          <w:rtl/>
        </w:rPr>
        <w:t>קביעת מתחם העונש ההולם</w:t>
      </w:r>
    </w:p>
    <w:p w14:paraId="0EB14450" w14:textId="77777777" w:rsidR="00C076F8" w:rsidRDefault="00C076F8" w:rsidP="00C076F8">
      <w:pPr>
        <w:pStyle w:val="aa"/>
        <w:numPr>
          <w:ilvl w:val="0"/>
          <w:numId w:val="1"/>
        </w:numPr>
        <w:spacing w:line="360" w:lineRule="auto"/>
        <w:jc w:val="both"/>
        <w:rPr>
          <w:rFonts w:cs="David"/>
          <w:sz w:val="24"/>
          <w:szCs w:val="24"/>
        </w:rPr>
      </w:pPr>
      <w:r>
        <w:rPr>
          <w:rFonts w:cs="David"/>
          <w:sz w:val="24"/>
          <w:szCs w:val="24"/>
          <w:rtl/>
        </w:rPr>
        <w:t xml:space="preserve">קביעת מתחם העונש ההולם למעשה העבירה נעשית בהתאם לעקרון ההלימה. לשם קביעת מתחם העונש ההולם יש להתחשב בערך החברתי שנפגע, במידת הפגיעה בו, במדיניות הענישה הנוהגת ובנסיבות הקשורות בביצוע העבירה. </w:t>
      </w:r>
    </w:p>
    <w:p w14:paraId="41965FE5" w14:textId="77777777" w:rsidR="00C076F8" w:rsidRDefault="00C076F8" w:rsidP="00C076F8">
      <w:pPr>
        <w:pStyle w:val="aa"/>
        <w:numPr>
          <w:ilvl w:val="0"/>
          <w:numId w:val="1"/>
        </w:numPr>
        <w:spacing w:line="360" w:lineRule="auto"/>
        <w:jc w:val="both"/>
        <w:rPr>
          <w:rFonts w:cs="David"/>
          <w:sz w:val="24"/>
          <w:szCs w:val="24"/>
        </w:rPr>
      </w:pPr>
      <w:r>
        <w:rPr>
          <w:rFonts w:cs="David"/>
          <w:b/>
          <w:bCs/>
          <w:sz w:val="24"/>
          <w:szCs w:val="24"/>
          <w:rtl/>
        </w:rPr>
        <w:t xml:space="preserve">הערכים החברתיים שנפגעו; </w:t>
      </w:r>
      <w:r>
        <w:rPr>
          <w:rFonts w:cs="David"/>
          <w:sz w:val="24"/>
          <w:szCs w:val="24"/>
          <w:rtl/>
        </w:rPr>
        <w:t>עבירות סמים בכללותן, ובראשן עבירת הסחר בסמים, פוגעות בערכים החברתיים של הגנה על שלום הציבור, ביטחונו ובריאותו מפני הפגיעה ההרסנית הכרוכה בשימוש בסמים. בנוסף לכך, יש צורך לפעול למניעת אותם נזקים כלכליים וחברתיים עקיפים הנגרמים עקב הפצת סמים והשימוש בהם, כאשר פעמים רבות משתמשי הסם נופלים כנטל על החברה, ולעיתים נגררים, לביצוע עבירות נלוות אשר מבוצעות לצורך מימון צריכת הסמים.</w:t>
      </w:r>
    </w:p>
    <w:p w14:paraId="40E99BD3" w14:textId="77777777" w:rsidR="00C076F8" w:rsidRDefault="00C076F8" w:rsidP="00C076F8">
      <w:pPr>
        <w:pStyle w:val="aa"/>
        <w:spacing w:line="360" w:lineRule="auto"/>
        <w:jc w:val="both"/>
        <w:rPr>
          <w:rFonts w:cs="David"/>
          <w:sz w:val="24"/>
          <w:szCs w:val="24"/>
        </w:rPr>
      </w:pPr>
      <w:r>
        <w:rPr>
          <w:rFonts w:cs="David"/>
          <w:sz w:val="24"/>
          <w:szCs w:val="24"/>
          <w:rtl/>
        </w:rPr>
        <w:t xml:space="preserve">בתי המשפט שבו וחזרו על ההכרח להיאבק בנגע הסמים ועל הצורך להעביר מסר מרתיע מפני ביצוע עבירות אלה, בין היתר על ידי הטלת עונשים מחמירים על מי שנותן ידו להפיכת הסמים לזמינים ונגישים. עבירות הסמים הן בגדר רעה חולה שפשה בחברתנו ומחובתו של בית המשפט לתרום חלקו למיגור נגע זה באמצעות הטלת עונשים מחמירים ומרתיעים (ראה </w:t>
      </w:r>
      <w:hyperlink r:id="rId22" w:history="1">
        <w:r w:rsidR="00D43A59" w:rsidRPr="00D43A59">
          <w:rPr>
            <w:rFonts w:cs="David" w:hint="cs"/>
            <w:color w:val="0000FF"/>
            <w:sz w:val="24"/>
            <w:szCs w:val="24"/>
            <w:u w:val="single"/>
            <w:rtl/>
          </w:rPr>
          <w:t>ע</w:t>
        </w:r>
        <w:r w:rsidR="00D43A59" w:rsidRPr="00D43A59">
          <w:rPr>
            <w:rFonts w:cs="David"/>
            <w:color w:val="0000FF"/>
            <w:sz w:val="24"/>
            <w:szCs w:val="24"/>
            <w:u w:val="single"/>
            <w:rtl/>
          </w:rPr>
          <w:t>"</w:t>
        </w:r>
        <w:r w:rsidR="00D43A59" w:rsidRPr="00D43A59">
          <w:rPr>
            <w:rFonts w:cs="David" w:hint="cs"/>
            <w:color w:val="0000FF"/>
            <w:sz w:val="24"/>
            <w:szCs w:val="24"/>
            <w:u w:val="single"/>
            <w:rtl/>
          </w:rPr>
          <w:t>פ</w:t>
        </w:r>
        <w:r w:rsidR="00D43A59" w:rsidRPr="00D43A59">
          <w:rPr>
            <w:rFonts w:cs="David"/>
            <w:color w:val="0000FF"/>
            <w:sz w:val="24"/>
            <w:szCs w:val="24"/>
            <w:u w:val="single"/>
            <w:rtl/>
          </w:rPr>
          <w:t xml:space="preserve"> 972/11</w:t>
        </w:r>
      </w:hyperlink>
      <w:r>
        <w:rPr>
          <w:rFonts w:cs="David"/>
          <w:sz w:val="24"/>
          <w:szCs w:val="24"/>
          <w:rtl/>
        </w:rPr>
        <w:t xml:space="preserve"> </w:t>
      </w:r>
      <w:r>
        <w:rPr>
          <w:rFonts w:cs="David"/>
          <w:b/>
          <w:bCs/>
          <w:sz w:val="24"/>
          <w:szCs w:val="24"/>
          <w:rtl/>
        </w:rPr>
        <w:t>מדינת ישראל נ' יניב יונה</w:t>
      </w:r>
      <w:r>
        <w:rPr>
          <w:rFonts w:cs="David"/>
          <w:sz w:val="24"/>
          <w:szCs w:val="24"/>
          <w:rtl/>
        </w:rPr>
        <w:t xml:space="preserve">  (04.07.12) (להלן: </w:t>
      </w:r>
      <w:r>
        <w:rPr>
          <w:rFonts w:cs="David"/>
          <w:b/>
          <w:bCs/>
          <w:sz w:val="24"/>
          <w:szCs w:val="24"/>
          <w:rtl/>
        </w:rPr>
        <w:t>ע"פ יונה</w:t>
      </w:r>
      <w:r>
        <w:rPr>
          <w:rFonts w:cs="David"/>
          <w:sz w:val="24"/>
          <w:szCs w:val="24"/>
          <w:rtl/>
        </w:rPr>
        <w:t xml:space="preserve">); </w:t>
      </w:r>
      <w:hyperlink r:id="rId23" w:history="1">
        <w:r w:rsidR="00D43A59" w:rsidRPr="00D43A59">
          <w:rPr>
            <w:rFonts w:cs="David" w:hint="cs"/>
            <w:color w:val="0000FF"/>
            <w:sz w:val="24"/>
            <w:szCs w:val="24"/>
            <w:u w:val="single"/>
            <w:rtl/>
          </w:rPr>
          <w:t>רע</w:t>
        </w:r>
        <w:r w:rsidR="00D43A59" w:rsidRPr="00D43A59">
          <w:rPr>
            <w:rFonts w:cs="David"/>
            <w:color w:val="0000FF"/>
            <w:sz w:val="24"/>
            <w:szCs w:val="24"/>
            <w:u w:val="single"/>
            <w:rtl/>
          </w:rPr>
          <w:t>"</w:t>
        </w:r>
        <w:r w:rsidR="00D43A59" w:rsidRPr="00D43A59">
          <w:rPr>
            <w:rFonts w:cs="David" w:hint="cs"/>
            <w:color w:val="0000FF"/>
            <w:sz w:val="24"/>
            <w:szCs w:val="24"/>
            <w:u w:val="single"/>
            <w:rtl/>
          </w:rPr>
          <w:t>פ</w:t>
        </w:r>
        <w:r w:rsidR="00D43A59" w:rsidRPr="00D43A59">
          <w:rPr>
            <w:rFonts w:cs="David"/>
            <w:color w:val="0000FF"/>
            <w:sz w:val="24"/>
            <w:szCs w:val="24"/>
            <w:u w:val="single"/>
            <w:rtl/>
          </w:rPr>
          <w:t xml:space="preserve"> 4512/15</w:t>
        </w:r>
      </w:hyperlink>
      <w:r>
        <w:rPr>
          <w:rFonts w:cs="David"/>
          <w:sz w:val="24"/>
          <w:szCs w:val="24"/>
          <w:rtl/>
        </w:rPr>
        <w:t xml:space="preserve"> </w:t>
      </w:r>
      <w:r>
        <w:rPr>
          <w:rFonts w:cs="David"/>
          <w:b/>
          <w:bCs/>
          <w:sz w:val="24"/>
          <w:szCs w:val="24"/>
          <w:rtl/>
        </w:rPr>
        <w:t xml:space="preserve">אברהם הרוש נ' מדינת ישראל </w:t>
      </w:r>
      <w:r>
        <w:rPr>
          <w:rFonts w:cs="David"/>
          <w:sz w:val="24"/>
          <w:szCs w:val="24"/>
          <w:rtl/>
        </w:rPr>
        <w:t>(06.07.15);</w:t>
      </w:r>
      <w:r>
        <w:rPr>
          <w:rtl/>
        </w:rPr>
        <w:t xml:space="preserve"> </w:t>
      </w:r>
      <w:r>
        <w:rPr>
          <w:rFonts w:cs="David"/>
          <w:sz w:val="24"/>
          <w:szCs w:val="24"/>
          <w:rtl/>
        </w:rPr>
        <w:t>סולברג ב</w:t>
      </w:r>
      <w:hyperlink r:id="rId24" w:history="1">
        <w:r w:rsidR="00D43A59" w:rsidRPr="00D43A59">
          <w:rPr>
            <w:rFonts w:cs="David" w:hint="cs"/>
            <w:color w:val="0000FF"/>
            <w:sz w:val="24"/>
            <w:szCs w:val="24"/>
            <w:u w:val="single"/>
            <w:rtl/>
          </w:rPr>
          <w:t>ע</w:t>
        </w:r>
        <w:r w:rsidR="00D43A59" w:rsidRPr="00D43A59">
          <w:rPr>
            <w:rFonts w:cs="David"/>
            <w:color w:val="0000FF"/>
            <w:sz w:val="24"/>
            <w:szCs w:val="24"/>
            <w:u w:val="single"/>
            <w:rtl/>
          </w:rPr>
          <w:t>"</w:t>
        </w:r>
        <w:r w:rsidR="00D43A59" w:rsidRPr="00D43A59">
          <w:rPr>
            <w:rFonts w:cs="David" w:hint="cs"/>
            <w:color w:val="0000FF"/>
            <w:sz w:val="24"/>
            <w:szCs w:val="24"/>
            <w:u w:val="single"/>
            <w:rtl/>
          </w:rPr>
          <w:t>פ</w:t>
        </w:r>
        <w:r w:rsidR="00D43A59" w:rsidRPr="00D43A59">
          <w:rPr>
            <w:rFonts w:cs="David"/>
            <w:color w:val="0000FF"/>
            <w:sz w:val="24"/>
            <w:szCs w:val="24"/>
            <w:u w:val="single"/>
            <w:rtl/>
          </w:rPr>
          <w:t xml:space="preserve"> 7952/15</w:t>
        </w:r>
      </w:hyperlink>
      <w:r>
        <w:rPr>
          <w:rFonts w:cs="David"/>
          <w:sz w:val="24"/>
          <w:szCs w:val="24"/>
          <w:rtl/>
        </w:rPr>
        <w:t xml:space="preserve"> </w:t>
      </w:r>
      <w:r>
        <w:rPr>
          <w:rFonts w:cs="David"/>
          <w:b/>
          <w:bCs/>
          <w:sz w:val="24"/>
          <w:szCs w:val="24"/>
          <w:rtl/>
        </w:rPr>
        <w:t>מדינת ישראל נ' אילון ישראל שץ</w:t>
      </w:r>
      <w:r>
        <w:rPr>
          <w:rFonts w:cs="David"/>
          <w:sz w:val="24"/>
          <w:szCs w:val="24"/>
          <w:rtl/>
        </w:rPr>
        <w:t xml:space="preserve"> (15.02.16)). </w:t>
      </w:r>
    </w:p>
    <w:p w14:paraId="5D0BBA01" w14:textId="77777777" w:rsidR="00C076F8" w:rsidRDefault="00C076F8" w:rsidP="00C076F8">
      <w:pPr>
        <w:pStyle w:val="aa"/>
        <w:numPr>
          <w:ilvl w:val="0"/>
          <w:numId w:val="1"/>
        </w:numPr>
        <w:spacing w:line="360" w:lineRule="auto"/>
        <w:jc w:val="both"/>
        <w:rPr>
          <w:rFonts w:cs="David"/>
          <w:sz w:val="24"/>
          <w:szCs w:val="24"/>
          <w:rtl/>
        </w:rPr>
      </w:pPr>
      <w:r>
        <w:rPr>
          <w:rFonts w:cs="David"/>
          <w:sz w:val="24"/>
          <w:szCs w:val="24"/>
          <w:rtl/>
        </w:rPr>
        <w:t>במקרה דנן,</w:t>
      </w:r>
      <w:r>
        <w:rPr>
          <w:rFonts w:cs="David"/>
          <w:b/>
          <w:bCs/>
          <w:sz w:val="24"/>
          <w:szCs w:val="24"/>
          <w:rtl/>
        </w:rPr>
        <w:t xml:space="preserve"> מידת הפגיעה בערכים המוגנים הינה גבוהה, </w:t>
      </w:r>
      <w:r>
        <w:rPr>
          <w:rFonts w:cs="David"/>
          <w:sz w:val="24"/>
          <w:szCs w:val="24"/>
          <w:rtl/>
        </w:rPr>
        <w:t xml:space="preserve"> עבירות של סחר ותיווך בסם הינן על פי הגדרתן ברף הגבוה של עבירות הסמים. במקרה דנא מדובר בסם מסוכן מסוג קוקאין, הנמנה על הסמים הקשים מבין הסמים המסוכנים, שנזקיו הפוטנציאליים חמורים ורחבי היקף. חומרת המעשים מתעצמת נוכח העבודה כי המדובר בשני אירועים שונים. אומנם מדובר בכמויות סם קטנות  אך כאמור מדובר בסם המוגדר  קשה, </w:t>
      </w:r>
      <w:r>
        <w:rPr>
          <w:rtl/>
        </w:rPr>
        <w:t xml:space="preserve"> </w:t>
      </w:r>
    </w:p>
    <w:p w14:paraId="25EB95BA" w14:textId="77777777" w:rsidR="00C076F8" w:rsidRDefault="00C076F8" w:rsidP="00C076F8">
      <w:pPr>
        <w:pStyle w:val="aa"/>
        <w:spacing w:line="360" w:lineRule="auto"/>
        <w:jc w:val="both"/>
        <w:rPr>
          <w:rFonts w:cs="David"/>
          <w:sz w:val="24"/>
          <w:szCs w:val="24"/>
        </w:rPr>
      </w:pPr>
      <w:r>
        <w:rPr>
          <w:rFonts w:cs="David"/>
          <w:sz w:val="24"/>
          <w:szCs w:val="24"/>
          <w:rtl/>
        </w:rPr>
        <w:t>לעניין ההשפעות ההרסניות של סם הקוקאין, ראה הנאמר ב</w:t>
      </w:r>
      <w:r>
        <w:rPr>
          <w:rFonts w:cs="David"/>
          <w:b/>
          <w:bCs/>
          <w:sz w:val="24"/>
          <w:szCs w:val="24"/>
          <w:rtl/>
        </w:rPr>
        <w:t xml:space="preserve">ע"פ יונה, </w:t>
      </w:r>
      <w:r>
        <w:rPr>
          <w:rFonts w:cs="David"/>
          <w:sz w:val="24"/>
          <w:szCs w:val="24"/>
          <w:rtl/>
        </w:rPr>
        <w:t>המוזכר לעיל.</w:t>
      </w:r>
      <w:r>
        <w:rPr>
          <w:rFonts w:cs="David"/>
          <w:b/>
          <w:bCs/>
          <w:sz w:val="24"/>
          <w:szCs w:val="24"/>
          <w:rtl/>
        </w:rPr>
        <w:t xml:space="preserve"> </w:t>
      </w:r>
      <w:r>
        <w:rPr>
          <w:rFonts w:cs="David"/>
          <w:sz w:val="24"/>
          <w:szCs w:val="24"/>
          <w:rtl/>
        </w:rPr>
        <w:t xml:space="preserve"> </w:t>
      </w:r>
    </w:p>
    <w:p w14:paraId="59DBC07C" w14:textId="77777777" w:rsidR="00C076F8" w:rsidRDefault="00C076F8" w:rsidP="00C076F8">
      <w:pPr>
        <w:pStyle w:val="aa"/>
        <w:spacing w:line="360" w:lineRule="auto"/>
        <w:jc w:val="both"/>
        <w:rPr>
          <w:rFonts w:cs="David"/>
          <w:sz w:val="24"/>
          <w:szCs w:val="24"/>
          <w:rtl/>
        </w:rPr>
      </w:pPr>
      <w:r>
        <w:rPr>
          <w:rFonts w:cs="David"/>
          <w:sz w:val="24"/>
          <w:szCs w:val="24"/>
          <w:rtl/>
        </w:rPr>
        <w:t xml:space="preserve">  </w:t>
      </w:r>
    </w:p>
    <w:p w14:paraId="5E742C90" w14:textId="77777777" w:rsidR="00C076F8" w:rsidRDefault="00C076F8" w:rsidP="00C076F8">
      <w:pPr>
        <w:pStyle w:val="aa"/>
        <w:numPr>
          <w:ilvl w:val="0"/>
          <w:numId w:val="1"/>
        </w:numPr>
        <w:spacing w:line="360" w:lineRule="auto"/>
        <w:jc w:val="both"/>
        <w:rPr>
          <w:rFonts w:cs="David"/>
          <w:sz w:val="24"/>
          <w:szCs w:val="24"/>
        </w:rPr>
      </w:pPr>
      <w:r>
        <w:rPr>
          <w:rFonts w:cs="David"/>
          <w:sz w:val="24"/>
          <w:szCs w:val="24"/>
          <w:rtl/>
        </w:rPr>
        <w:t xml:space="preserve"> </w:t>
      </w:r>
      <w:r>
        <w:rPr>
          <w:rFonts w:cs="David" w:hint="cs"/>
          <w:sz w:val="24"/>
          <w:szCs w:val="24"/>
          <w:rtl/>
        </w:rPr>
        <w:t xml:space="preserve">בחינת </w:t>
      </w:r>
      <w:r>
        <w:rPr>
          <w:rFonts w:cs="David" w:hint="cs"/>
          <w:b/>
          <w:bCs/>
          <w:sz w:val="24"/>
          <w:szCs w:val="24"/>
          <w:rtl/>
        </w:rPr>
        <w:t>מדיניות הענישה הנוהגת</w:t>
      </w:r>
      <w:r>
        <w:rPr>
          <w:rFonts w:cs="David" w:hint="cs"/>
          <w:sz w:val="24"/>
          <w:szCs w:val="24"/>
          <w:rtl/>
        </w:rPr>
        <w:t xml:space="preserve"> מעלה כי במקרים דומים הוטלו על נאשמים עונשי מאסר משמעותיים כמפורט להלן:  </w:t>
      </w:r>
    </w:p>
    <w:p w14:paraId="29DE7026" w14:textId="77777777" w:rsidR="00C076F8" w:rsidRDefault="00D43A59" w:rsidP="00C076F8">
      <w:pPr>
        <w:pStyle w:val="aa"/>
        <w:numPr>
          <w:ilvl w:val="0"/>
          <w:numId w:val="2"/>
        </w:numPr>
        <w:spacing w:line="360" w:lineRule="auto"/>
        <w:jc w:val="both"/>
        <w:rPr>
          <w:rFonts w:cs="David"/>
          <w:sz w:val="24"/>
          <w:szCs w:val="24"/>
        </w:rPr>
      </w:pPr>
      <w:hyperlink r:id="rId25" w:history="1">
        <w:r w:rsidRPr="00D43A59">
          <w:rPr>
            <w:rFonts w:cs="David" w:hint="cs"/>
            <w:b/>
            <w:bCs/>
            <w:color w:val="0000FF"/>
            <w:sz w:val="24"/>
            <w:szCs w:val="24"/>
            <w:u w:val="single"/>
            <w:rtl/>
          </w:rPr>
          <w:t>רע</w:t>
        </w:r>
        <w:r w:rsidRPr="00D43A59">
          <w:rPr>
            <w:rFonts w:cs="David"/>
            <w:b/>
            <w:bCs/>
            <w:color w:val="0000FF"/>
            <w:sz w:val="24"/>
            <w:szCs w:val="24"/>
            <w:u w:val="single"/>
            <w:rtl/>
          </w:rPr>
          <w:t>"</w:t>
        </w:r>
        <w:r w:rsidRPr="00D43A59">
          <w:rPr>
            <w:rFonts w:cs="David" w:hint="cs"/>
            <w:b/>
            <w:bCs/>
            <w:color w:val="0000FF"/>
            <w:sz w:val="24"/>
            <w:szCs w:val="24"/>
            <w:u w:val="single"/>
            <w:rtl/>
          </w:rPr>
          <w:t>פ</w:t>
        </w:r>
        <w:r w:rsidRPr="00D43A59">
          <w:rPr>
            <w:rFonts w:cs="David"/>
            <w:b/>
            <w:bCs/>
            <w:color w:val="0000FF"/>
            <w:sz w:val="24"/>
            <w:szCs w:val="24"/>
            <w:u w:val="single"/>
            <w:rtl/>
          </w:rPr>
          <w:t xml:space="preserve"> 7275/11</w:t>
        </w:r>
      </w:hyperlink>
      <w:r w:rsidR="00C076F8">
        <w:rPr>
          <w:rFonts w:cs="David"/>
          <w:b/>
          <w:bCs/>
          <w:sz w:val="24"/>
          <w:szCs w:val="24"/>
          <w:rtl/>
        </w:rPr>
        <w:t xml:space="preserve"> נאסר נ' מדינת ישראל</w:t>
      </w:r>
      <w:r w:rsidR="00C076F8">
        <w:rPr>
          <w:rFonts w:cs="David"/>
          <w:sz w:val="24"/>
          <w:szCs w:val="24"/>
          <w:rtl/>
        </w:rPr>
        <w:t xml:space="preserve"> (11.10.11) דחה בית-המשפט העליון, בקשת רשות ערעור של נאשם שהורשע בעבירות של סחר בסמים מול סוכן משטרתי במספר מקרים, ונדון ל- 5 חודשי מאסר בפועל. הנאשם ללא עבר פלילי, נעתר לבקש הסוכן לרכוש ממנו סמים שוב ושוב. </w:t>
      </w:r>
    </w:p>
    <w:p w14:paraId="5581217E" w14:textId="77777777" w:rsidR="00C076F8" w:rsidRDefault="00D43A59" w:rsidP="00C076F8">
      <w:pPr>
        <w:pStyle w:val="aa"/>
        <w:numPr>
          <w:ilvl w:val="0"/>
          <w:numId w:val="2"/>
        </w:numPr>
        <w:spacing w:line="360" w:lineRule="auto"/>
        <w:jc w:val="both"/>
        <w:rPr>
          <w:rFonts w:cs="David"/>
          <w:sz w:val="24"/>
          <w:szCs w:val="24"/>
        </w:rPr>
      </w:pPr>
      <w:hyperlink r:id="rId26" w:history="1">
        <w:r w:rsidRPr="00D43A59">
          <w:rPr>
            <w:rFonts w:cs="David" w:hint="cs"/>
            <w:b/>
            <w:bCs/>
            <w:color w:val="0000FF"/>
            <w:sz w:val="24"/>
            <w:szCs w:val="24"/>
            <w:u w:val="single"/>
            <w:rtl/>
          </w:rPr>
          <w:t>רע</w:t>
        </w:r>
        <w:r w:rsidRPr="00D43A59">
          <w:rPr>
            <w:rFonts w:cs="David"/>
            <w:b/>
            <w:bCs/>
            <w:color w:val="0000FF"/>
            <w:sz w:val="24"/>
            <w:szCs w:val="24"/>
            <w:u w:val="single"/>
            <w:rtl/>
          </w:rPr>
          <w:t>"</w:t>
        </w:r>
        <w:r w:rsidRPr="00D43A59">
          <w:rPr>
            <w:rFonts w:cs="David" w:hint="cs"/>
            <w:b/>
            <w:bCs/>
            <w:color w:val="0000FF"/>
            <w:sz w:val="24"/>
            <w:szCs w:val="24"/>
            <w:u w:val="single"/>
            <w:rtl/>
          </w:rPr>
          <w:t>פ</w:t>
        </w:r>
        <w:r w:rsidRPr="00D43A59">
          <w:rPr>
            <w:rFonts w:cs="David"/>
            <w:b/>
            <w:bCs/>
            <w:color w:val="0000FF"/>
            <w:sz w:val="24"/>
            <w:szCs w:val="24"/>
            <w:u w:val="single"/>
            <w:rtl/>
          </w:rPr>
          <w:t xml:space="preserve"> 126/15</w:t>
        </w:r>
      </w:hyperlink>
      <w:r w:rsidR="00C076F8">
        <w:rPr>
          <w:rFonts w:cs="David"/>
          <w:b/>
          <w:bCs/>
          <w:sz w:val="24"/>
          <w:szCs w:val="24"/>
          <w:rtl/>
        </w:rPr>
        <w:t xml:space="preserve"> חביף נגד מדינת ישראל</w:t>
      </w:r>
      <w:r w:rsidR="00C076F8">
        <w:rPr>
          <w:rFonts w:cs="David"/>
          <w:sz w:val="24"/>
          <w:szCs w:val="24"/>
          <w:rtl/>
        </w:rPr>
        <w:t xml:space="preserve"> (13.1.15), הנאשם הורשע במכירת סם מסוג קוקאין בשלוש הזדמנויות: במשקל 0.3901 גרם, במשקל 0.8179 גרם, במשקל 2.5056 גרם. בית המשפט קבע מתחם ענישה הנע בין 8-18 חודשי מאסר בפועל והשית על הנאשם 16 חודשי מאסר בפועל, 4 חודשי מאסר על תנאי בעבירות סמים מסוג עוון,  8 חודשי מאסר על תנאי בעבירות סמים מסוג פשע, קנס בסך של 2,000 ₪, התחייבות ופסילה על תנאי מלהחזיק ברישיון. ערעורו למחוזי נדחה ובקשה למתן רשות לערער לעליון נדחתה. </w:t>
      </w:r>
    </w:p>
    <w:p w14:paraId="55EEC7BF" w14:textId="77777777" w:rsidR="00C076F8" w:rsidRDefault="00D43A59" w:rsidP="00C076F8">
      <w:pPr>
        <w:pStyle w:val="aa"/>
        <w:numPr>
          <w:ilvl w:val="0"/>
          <w:numId w:val="2"/>
        </w:numPr>
        <w:spacing w:line="360" w:lineRule="auto"/>
        <w:jc w:val="both"/>
        <w:rPr>
          <w:rFonts w:cs="David"/>
          <w:sz w:val="24"/>
          <w:szCs w:val="24"/>
        </w:rPr>
      </w:pPr>
      <w:hyperlink r:id="rId27" w:history="1">
        <w:r w:rsidRPr="00D43A59">
          <w:rPr>
            <w:rFonts w:cs="David" w:hint="cs"/>
            <w:b/>
            <w:bCs/>
            <w:color w:val="0000FF"/>
            <w:sz w:val="24"/>
            <w:szCs w:val="24"/>
            <w:u w:val="single"/>
            <w:rtl/>
          </w:rPr>
          <w:t>רע</w:t>
        </w:r>
        <w:r w:rsidRPr="00D43A59">
          <w:rPr>
            <w:rFonts w:cs="David"/>
            <w:b/>
            <w:bCs/>
            <w:color w:val="0000FF"/>
            <w:sz w:val="24"/>
            <w:szCs w:val="24"/>
            <w:u w:val="single"/>
            <w:rtl/>
          </w:rPr>
          <w:t>"</w:t>
        </w:r>
        <w:r w:rsidRPr="00D43A59">
          <w:rPr>
            <w:rFonts w:cs="David" w:hint="cs"/>
            <w:b/>
            <w:bCs/>
            <w:color w:val="0000FF"/>
            <w:sz w:val="24"/>
            <w:szCs w:val="24"/>
            <w:u w:val="single"/>
            <w:rtl/>
          </w:rPr>
          <w:t>פ</w:t>
        </w:r>
        <w:r w:rsidRPr="00D43A59">
          <w:rPr>
            <w:rFonts w:cs="David"/>
            <w:b/>
            <w:bCs/>
            <w:color w:val="0000FF"/>
            <w:sz w:val="24"/>
            <w:szCs w:val="24"/>
            <w:u w:val="single"/>
            <w:rtl/>
          </w:rPr>
          <w:t xml:space="preserve"> 6871/19</w:t>
        </w:r>
      </w:hyperlink>
      <w:r w:rsidR="00C076F8">
        <w:rPr>
          <w:rFonts w:cs="David"/>
          <w:b/>
          <w:bCs/>
          <w:sz w:val="24"/>
          <w:szCs w:val="24"/>
          <w:rtl/>
        </w:rPr>
        <w:t xml:space="preserve"> אבו טאיע</w:t>
      </w:r>
      <w:r w:rsidR="00C076F8">
        <w:rPr>
          <w:rFonts w:cs="David"/>
          <w:sz w:val="24"/>
          <w:szCs w:val="24"/>
          <w:rtl/>
        </w:rPr>
        <w:t xml:space="preserve"> (18.11.19), הנאשם הורשע בסחר בסם מסוג קוקאין, מכירה לסוכן בשתי הזדמנויות שונות, המדובר בסם במשקל 20 גרם בכל הזדמנות. בית משפט השלום קבע מתחם ענישה בגין אירוע בודד של סחר בקוקאין במשקל שבין 9 גר' ל 40 גר', מאסר בפועל 12 עד 40 חודשים. בית משפט השלום השית על הנאשם 24 חודשי מאסר בפועל, 6 חודשי מאסר על תנאי, 3 חודשי מאסר על תנאי, קנס בסך 15,000 ₪ וחילוט כסף מזומן.  ערעורו לבית המשפט המחוזי נדחה וכן בקשה למתן רשות ערעור לעליון, נדחתה גם כן. </w:t>
      </w:r>
    </w:p>
    <w:p w14:paraId="4471D695" w14:textId="77777777" w:rsidR="00C076F8" w:rsidRDefault="00D43A59" w:rsidP="00C076F8">
      <w:pPr>
        <w:pStyle w:val="aa"/>
        <w:numPr>
          <w:ilvl w:val="0"/>
          <w:numId w:val="2"/>
        </w:numPr>
        <w:spacing w:line="360" w:lineRule="auto"/>
        <w:jc w:val="both"/>
        <w:rPr>
          <w:rFonts w:cs="David"/>
          <w:sz w:val="24"/>
          <w:szCs w:val="24"/>
          <w:u w:val="single"/>
        </w:rPr>
      </w:pPr>
      <w:hyperlink r:id="rId28" w:history="1">
        <w:r w:rsidRPr="00D43A59">
          <w:rPr>
            <w:rFonts w:cs="David" w:hint="cs"/>
            <w:b/>
            <w:bCs/>
            <w:color w:val="0000FF"/>
            <w:sz w:val="24"/>
            <w:szCs w:val="24"/>
            <w:u w:val="single"/>
            <w:rtl/>
          </w:rPr>
          <w:t>עפ</w:t>
        </w:r>
        <w:r w:rsidRPr="00D43A59">
          <w:rPr>
            <w:rFonts w:cs="David"/>
            <w:b/>
            <w:bCs/>
            <w:color w:val="0000FF"/>
            <w:sz w:val="24"/>
            <w:szCs w:val="24"/>
            <w:u w:val="single"/>
            <w:rtl/>
          </w:rPr>
          <w:t>"</w:t>
        </w:r>
        <w:r w:rsidRPr="00D43A59">
          <w:rPr>
            <w:rFonts w:cs="David" w:hint="cs"/>
            <w:b/>
            <w:bCs/>
            <w:color w:val="0000FF"/>
            <w:sz w:val="24"/>
            <w:szCs w:val="24"/>
            <w:u w:val="single"/>
            <w:rtl/>
          </w:rPr>
          <w:t>ג</w:t>
        </w:r>
        <w:r w:rsidRPr="00D43A59">
          <w:rPr>
            <w:rFonts w:cs="David"/>
            <w:b/>
            <w:bCs/>
            <w:color w:val="0000FF"/>
            <w:sz w:val="24"/>
            <w:szCs w:val="24"/>
            <w:u w:val="single"/>
            <w:rtl/>
          </w:rPr>
          <w:t xml:space="preserve"> (</w:t>
        </w:r>
        <w:r w:rsidRPr="00D43A59">
          <w:rPr>
            <w:rFonts w:cs="David" w:hint="cs"/>
            <w:b/>
            <w:bCs/>
            <w:color w:val="0000FF"/>
            <w:sz w:val="24"/>
            <w:szCs w:val="24"/>
            <w:u w:val="single"/>
            <w:rtl/>
          </w:rPr>
          <w:t>י</w:t>
        </w:r>
        <w:r w:rsidRPr="00D43A59">
          <w:rPr>
            <w:rFonts w:cs="David"/>
            <w:b/>
            <w:bCs/>
            <w:color w:val="0000FF"/>
            <w:sz w:val="24"/>
            <w:szCs w:val="24"/>
            <w:u w:val="single"/>
            <w:rtl/>
          </w:rPr>
          <w:t>"</w:t>
        </w:r>
        <w:r w:rsidRPr="00D43A59">
          <w:rPr>
            <w:rFonts w:cs="David" w:hint="cs"/>
            <w:b/>
            <w:bCs/>
            <w:color w:val="0000FF"/>
            <w:sz w:val="24"/>
            <w:szCs w:val="24"/>
            <w:u w:val="single"/>
            <w:rtl/>
          </w:rPr>
          <w:t>ם</w:t>
        </w:r>
        <w:r w:rsidRPr="00D43A59">
          <w:rPr>
            <w:rFonts w:cs="David"/>
            <w:b/>
            <w:bCs/>
            <w:color w:val="0000FF"/>
            <w:sz w:val="24"/>
            <w:szCs w:val="24"/>
            <w:u w:val="single"/>
            <w:rtl/>
          </w:rPr>
          <w:t>) 1434-12-18</w:t>
        </w:r>
      </w:hyperlink>
      <w:r w:rsidR="00C076F8">
        <w:rPr>
          <w:rFonts w:cs="David"/>
          <w:b/>
          <w:bCs/>
          <w:sz w:val="24"/>
          <w:szCs w:val="24"/>
          <w:rtl/>
        </w:rPr>
        <w:t xml:space="preserve"> מדינת ישראל נ'  נתנאל נסים, ( </w:t>
      </w:r>
      <w:r w:rsidR="00C076F8">
        <w:rPr>
          <w:rFonts w:cs="David"/>
          <w:sz w:val="24"/>
          <w:szCs w:val="24"/>
          <w:rtl/>
        </w:rPr>
        <w:t>13.03.19), הנאשם הורשע בסחר בסם מסוכן מסוג קוקאין, מכירה לסוכן משטרתי בשלוש הזדמנויות: במשקל 2.47 גר, במשקל 2.35 גר ובמשקל 2.37 גר. בית משפט השלום קבע כי מתחם העונש ההולם נע בין 5 חודשי מאסר בפועל שיכול וירוצו בעבודות שירות לבין 12 חודשי מאסר בפועל, ערעור המדינה התקבל ובית המשפט המחוזי קבע כי מתחם העונש שנקבע אינו תואם מדיניות הענישה הנוהגת וכי בעבירות סחר בסמים קשים סוג קוקאין מתחם העונש ההולם מתחיל במאסר בפועל ולא בעבודות שירות, ונקבע מתחם שחל במספר חודשי מאסר בפועל, שלא ירוצו בעבודות שירות ועד 24 חודשי מאסר בפועל. בית המשפט המחוזי השית על הנאשם, בעל עבר פלילי שאינו מכביד, 8 חודשי מאסר בפועל.</w:t>
      </w:r>
      <w:r w:rsidR="00C076F8">
        <w:rPr>
          <w:rFonts w:cs="David"/>
          <w:sz w:val="24"/>
          <w:szCs w:val="24"/>
          <w:u w:val="single"/>
          <w:rtl/>
        </w:rPr>
        <w:t xml:space="preserve"> </w:t>
      </w:r>
    </w:p>
    <w:p w14:paraId="5E41F70E" w14:textId="77777777" w:rsidR="00C076F8" w:rsidRDefault="00D43A59" w:rsidP="00C076F8">
      <w:pPr>
        <w:pStyle w:val="aa"/>
        <w:numPr>
          <w:ilvl w:val="0"/>
          <w:numId w:val="2"/>
        </w:numPr>
        <w:spacing w:line="360" w:lineRule="auto"/>
        <w:jc w:val="both"/>
        <w:rPr>
          <w:rFonts w:cs="David"/>
          <w:b/>
          <w:bCs/>
          <w:sz w:val="24"/>
          <w:szCs w:val="24"/>
        </w:rPr>
      </w:pPr>
      <w:hyperlink r:id="rId29" w:history="1">
        <w:r w:rsidRPr="00D43A59">
          <w:rPr>
            <w:rFonts w:cs="David" w:hint="cs"/>
            <w:b/>
            <w:bCs/>
            <w:color w:val="0000FF"/>
            <w:sz w:val="24"/>
            <w:szCs w:val="24"/>
            <w:u w:val="single"/>
            <w:rtl/>
          </w:rPr>
          <w:t>עפ</w:t>
        </w:r>
        <w:r w:rsidRPr="00D43A59">
          <w:rPr>
            <w:rFonts w:cs="David"/>
            <w:b/>
            <w:bCs/>
            <w:color w:val="0000FF"/>
            <w:sz w:val="24"/>
            <w:szCs w:val="24"/>
            <w:u w:val="single"/>
            <w:rtl/>
          </w:rPr>
          <w:t>"</w:t>
        </w:r>
        <w:r w:rsidRPr="00D43A59">
          <w:rPr>
            <w:rFonts w:cs="David" w:hint="cs"/>
            <w:b/>
            <w:bCs/>
            <w:color w:val="0000FF"/>
            <w:sz w:val="24"/>
            <w:szCs w:val="24"/>
            <w:u w:val="single"/>
            <w:rtl/>
          </w:rPr>
          <w:t>ג</w:t>
        </w:r>
        <w:r w:rsidRPr="00D43A59">
          <w:rPr>
            <w:rFonts w:cs="David"/>
            <w:b/>
            <w:bCs/>
            <w:color w:val="0000FF"/>
            <w:sz w:val="24"/>
            <w:szCs w:val="24"/>
            <w:u w:val="single"/>
            <w:rtl/>
          </w:rPr>
          <w:t xml:space="preserve"> (</w:t>
        </w:r>
        <w:r w:rsidRPr="00D43A59">
          <w:rPr>
            <w:rFonts w:cs="David" w:hint="cs"/>
            <w:b/>
            <w:bCs/>
            <w:color w:val="0000FF"/>
            <w:sz w:val="24"/>
            <w:szCs w:val="24"/>
            <w:u w:val="single"/>
            <w:rtl/>
          </w:rPr>
          <w:t>י</w:t>
        </w:r>
        <w:r w:rsidRPr="00D43A59">
          <w:rPr>
            <w:rFonts w:cs="David"/>
            <w:b/>
            <w:bCs/>
            <w:color w:val="0000FF"/>
            <w:sz w:val="24"/>
            <w:szCs w:val="24"/>
            <w:u w:val="single"/>
            <w:rtl/>
          </w:rPr>
          <w:t>"</w:t>
        </w:r>
        <w:r w:rsidRPr="00D43A59">
          <w:rPr>
            <w:rFonts w:cs="David" w:hint="cs"/>
            <w:b/>
            <w:bCs/>
            <w:color w:val="0000FF"/>
            <w:sz w:val="24"/>
            <w:szCs w:val="24"/>
            <w:u w:val="single"/>
            <w:rtl/>
          </w:rPr>
          <w:t>ם</w:t>
        </w:r>
        <w:r w:rsidRPr="00D43A59">
          <w:rPr>
            <w:rFonts w:cs="David"/>
            <w:b/>
            <w:bCs/>
            <w:color w:val="0000FF"/>
            <w:sz w:val="24"/>
            <w:szCs w:val="24"/>
            <w:u w:val="single"/>
            <w:rtl/>
          </w:rPr>
          <w:t>) 35505-10-19</w:t>
        </w:r>
      </w:hyperlink>
      <w:r w:rsidR="00C076F8">
        <w:rPr>
          <w:rFonts w:cs="David"/>
          <w:b/>
          <w:bCs/>
          <w:sz w:val="24"/>
          <w:szCs w:val="24"/>
          <w:rtl/>
        </w:rPr>
        <w:t xml:space="preserve"> מדינת ישראל נ' כטיב (31.05.20) – </w:t>
      </w:r>
      <w:r w:rsidR="00C076F8">
        <w:rPr>
          <w:rFonts w:cs="David"/>
          <w:sz w:val="24"/>
          <w:szCs w:val="24"/>
          <w:rtl/>
        </w:rPr>
        <w:t>הנאשם הורשע ב5 עבירות של סחר בסם מסוכן מסוג קוקאין במשקלים שונים שבין 1.355-1.49 גר' מכירה לסוכן משטרתי, בעסקה אחת היו מעורבים שני קטינים, עסקה אחת כלל גם מכירת סם מסוג חשיש במשקל 97.47 גר', ולכן הורשע הנאשם גם בעבירה של הדחת קטין לסם. בית משפט השלום קבע שני מתחמי ענישה: לגבי עבירות הסחר קבע מתחם ענישה הנע בין  5 חודשי מאסר ל-12 חודשים</w:t>
      </w:r>
      <w:r w:rsidR="00C076F8">
        <w:rPr>
          <w:rFonts w:cs="David"/>
          <w:sz w:val="24"/>
          <w:szCs w:val="24"/>
          <w:u w:val="single"/>
          <w:rtl/>
        </w:rPr>
        <w:t xml:space="preserve"> </w:t>
      </w:r>
      <w:r w:rsidR="00C076F8">
        <w:rPr>
          <w:rFonts w:cs="David"/>
          <w:sz w:val="24"/>
          <w:szCs w:val="24"/>
          <w:rtl/>
        </w:rPr>
        <w:t>ולגבי עבירת הסחר והדחת קטין לסם נקבע מתחם ענישה הנע בין חודשי מאסר בודדים עד</w:t>
      </w:r>
      <w:r>
        <w:rPr>
          <w:rFonts w:cs="David"/>
          <w:sz w:val="24"/>
          <w:szCs w:val="24"/>
          <w:rtl/>
        </w:rPr>
        <w:t xml:space="preserve"> </w:t>
      </w:r>
      <w:r w:rsidR="00C076F8">
        <w:rPr>
          <w:rFonts w:cs="David"/>
          <w:sz w:val="24"/>
          <w:szCs w:val="24"/>
          <w:rtl/>
        </w:rPr>
        <w:t xml:space="preserve"> 15 חודשים מאסר בפועל, בית משפט השלום השית על הנאשם 6 חודשי מאסר בפועל וענישה נלווית, ערעור המדינה התקבל ובית המשפט המחוזי החמיר עונשו של הנאשם והשית עליו 8 חודשי מאסר בפועל בצירוף ענישה נלווית. </w:t>
      </w:r>
    </w:p>
    <w:p w14:paraId="23AFC7A1" w14:textId="77777777" w:rsidR="00C076F8" w:rsidRDefault="00C076F8" w:rsidP="00C076F8">
      <w:pPr>
        <w:pStyle w:val="aa"/>
        <w:numPr>
          <w:ilvl w:val="0"/>
          <w:numId w:val="1"/>
        </w:numPr>
        <w:spacing w:line="360" w:lineRule="auto"/>
        <w:jc w:val="both"/>
        <w:rPr>
          <w:rFonts w:cs="David"/>
          <w:sz w:val="24"/>
          <w:szCs w:val="24"/>
        </w:rPr>
      </w:pPr>
      <w:r>
        <w:rPr>
          <w:rFonts w:cs="David"/>
          <w:b/>
          <w:bCs/>
          <w:sz w:val="24"/>
          <w:szCs w:val="24"/>
          <w:rtl/>
        </w:rPr>
        <w:t>מסגרת הנסיבות הקשורות בביצוע העבירה (</w:t>
      </w:r>
      <w:hyperlink r:id="rId30" w:history="1">
        <w:r w:rsidR="00C273CD" w:rsidRPr="00C273CD">
          <w:rPr>
            <w:rStyle w:val="Hyperlink"/>
            <w:rFonts w:cs="David" w:hint="cs"/>
            <w:sz w:val="24"/>
            <w:szCs w:val="24"/>
            <w:rtl/>
          </w:rPr>
          <w:t>סעיף</w:t>
        </w:r>
        <w:r w:rsidR="00C273CD" w:rsidRPr="00C273CD">
          <w:rPr>
            <w:rStyle w:val="Hyperlink"/>
            <w:rFonts w:cs="David"/>
            <w:sz w:val="24"/>
            <w:szCs w:val="24"/>
            <w:rtl/>
          </w:rPr>
          <w:t xml:space="preserve"> 40 </w:t>
        </w:r>
        <w:r w:rsidR="00C273CD" w:rsidRPr="00C273CD">
          <w:rPr>
            <w:rStyle w:val="Hyperlink"/>
            <w:rFonts w:cs="David" w:hint="cs"/>
            <w:sz w:val="24"/>
            <w:szCs w:val="24"/>
            <w:rtl/>
          </w:rPr>
          <w:t>ט</w:t>
        </w:r>
      </w:hyperlink>
      <w:r>
        <w:rPr>
          <w:rFonts w:cs="David"/>
          <w:sz w:val="24"/>
          <w:szCs w:val="24"/>
          <w:rtl/>
        </w:rPr>
        <w:t>' ל</w:t>
      </w:r>
      <w:hyperlink r:id="rId31" w:history="1">
        <w:r w:rsidR="00D43A59" w:rsidRPr="00D43A59">
          <w:rPr>
            <w:rFonts w:cs="David" w:hint="cs"/>
            <w:color w:val="0000FF"/>
            <w:sz w:val="24"/>
            <w:szCs w:val="24"/>
            <w:u w:val="single"/>
            <w:rtl/>
          </w:rPr>
          <w:t>חוק</w:t>
        </w:r>
        <w:r w:rsidR="00D43A59" w:rsidRPr="00D43A59">
          <w:rPr>
            <w:rFonts w:cs="David"/>
            <w:color w:val="0000FF"/>
            <w:sz w:val="24"/>
            <w:szCs w:val="24"/>
            <w:u w:val="single"/>
            <w:rtl/>
          </w:rPr>
          <w:t xml:space="preserve"> </w:t>
        </w:r>
        <w:r w:rsidR="00D43A59" w:rsidRPr="00D43A59">
          <w:rPr>
            <w:rFonts w:cs="David" w:hint="cs"/>
            <w:color w:val="0000FF"/>
            <w:sz w:val="24"/>
            <w:szCs w:val="24"/>
            <w:u w:val="single"/>
            <w:rtl/>
          </w:rPr>
          <w:t>העונשין</w:t>
        </w:r>
      </w:hyperlink>
      <w:r>
        <w:rPr>
          <w:rFonts w:cs="David"/>
          <w:sz w:val="24"/>
          <w:szCs w:val="24"/>
          <w:rtl/>
        </w:rPr>
        <w:t>), יש לתת את הדעת לשיקולים הבאים:</w:t>
      </w:r>
    </w:p>
    <w:p w14:paraId="298A226A" w14:textId="77777777" w:rsidR="00C076F8" w:rsidRDefault="00C076F8" w:rsidP="00C076F8">
      <w:pPr>
        <w:pStyle w:val="aa"/>
        <w:numPr>
          <w:ilvl w:val="0"/>
          <w:numId w:val="3"/>
        </w:numPr>
        <w:spacing w:line="360" w:lineRule="auto"/>
        <w:jc w:val="both"/>
        <w:rPr>
          <w:rFonts w:cs="David"/>
          <w:sz w:val="24"/>
          <w:szCs w:val="24"/>
        </w:rPr>
      </w:pPr>
      <w:r>
        <w:rPr>
          <w:rFonts w:cs="David"/>
          <w:b/>
          <w:bCs/>
          <w:sz w:val="24"/>
          <w:szCs w:val="24"/>
          <w:rtl/>
        </w:rPr>
        <w:t>התכנון שקדם לביצוע העבירה;</w:t>
      </w:r>
      <w:r>
        <w:rPr>
          <w:rFonts w:cs="David"/>
          <w:sz w:val="24"/>
          <w:szCs w:val="24"/>
          <w:rtl/>
        </w:rPr>
        <w:t xml:space="preserve"> לא מדובר בעבירות שבוצעו עקב תכנון מוקדם מצד הנאשם, אלא בשני אירועים שתחילתם בכך שהסוכן פונה לנאשם לצורך השגת סמים, הסוכן מציין סוג הסם והסכום.</w:t>
      </w:r>
    </w:p>
    <w:p w14:paraId="3356F574" w14:textId="77777777" w:rsidR="00C076F8" w:rsidRDefault="00C076F8" w:rsidP="00C076F8">
      <w:pPr>
        <w:pStyle w:val="aa"/>
        <w:numPr>
          <w:ilvl w:val="0"/>
          <w:numId w:val="3"/>
        </w:numPr>
        <w:spacing w:line="360" w:lineRule="auto"/>
        <w:jc w:val="both"/>
        <w:rPr>
          <w:rFonts w:cs="David"/>
          <w:sz w:val="24"/>
          <w:szCs w:val="24"/>
        </w:rPr>
      </w:pPr>
      <w:r>
        <w:rPr>
          <w:rFonts w:cs="David"/>
          <w:b/>
          <w:bCs/>
          <w:sz w:val="24"/>
          <w:szCs w:val="24"/>
          <w:rtl/>
        </w:rPr>
        <w:t>חלקו היחסי של הנאשם בביצוע העבירה ומידת ההשפעה של אחר על הנאשם בביצוע העבירה</w:t>
      </w:r>
      <w:r>
        <w:rPr>
          <w:rFonts w:cs="David"/>
          <w:sz w:val="24"/>
          <w:szCs w:val="24"/>
          <w:rtl/>
        </w:rPr>
        <w:t>; עיון בכתב האישום מעלה כי במקרים המפורטים בכתב האישום המתוקן הסוכן הוא זה שיזם הקשר עם הנאשם והוא זה אשר העלה עניין הסמים בעוד הנאשם נענה לבקשות הסוכן ופעם אחת הסכים לסייע לסוכן בהשגת הסמים ובפעם השנייה העביר בעצמו את הסמים לסוכן. אומנם, מעשי הסוכן אינם עולים כדי הדחה או שידול ואינם מצדיקים את ביטול כתב אישום, ואף לא נטען זאת על ידי ההגנה, ואולם יש לתת לכך משקל מסוים לקולא במסגרת שיקולי הענישה (</w:t>
      </w:r>
      <w:hyperlink r:id="rId32" w:history="1">
        <w:r w:rsidR="00D43A59" w:rsidRPr="00D43A59">
          <w:rPr>
            <w:rFonts w:cs="David" w:hint="cs"/>
            <w:color w:val="0000FF"/>
            <w:sz w:val="24"/>
            <w:szCs w:val="24"/>
            <w:u w:val="single"/>
            <w:rtl/>
          </w:rPr>
          <w:t>ע</w:t>
        </w:r>
        <w:r w:rsidR="00D43A59" w:rsidRPr="00D43A59">
          <w:rPr>
            <w:rFonts w:cs="David"/>
            <w:color w:val="0000FF"/>
            <w:sz w:val="24"/>
            <w:szCs w:val="24"/>
            <w:u w:val="single"/>
            <w:rtl/>
          </w:rPr>
          <w:t>"</w:t>
        </w:r>
        <w:r w:rsidR="00D43A59" w:rsidRPr="00D43A59">
          <w:rPr>
            <w:rFonts w:cs="David" w:hint="cs"/>
            <w:color w:val="0000FF"/>
            <w:sz w:val="24"/>
            <w:szCs w:val="24"/>
            <w:u w:val="single"/>
            <w:rtl/>
          </w:rPr>
          <w:t>פ</w:t>
        </w:r>
        <w:r w:rsidR="00D43A59" w:rsidRPr="00D43A59">
          <w:rPr>
            <w:rFonts w:cs="David"/>
            <w:color w:val="0000FF"/>
            <w:sz w:val="24"/>
            <w:szCs w:val="24"/>
            <w:u w:val="single"/>
            <w:rtl/>
          </w:rPr>
          <w:t xml:space="preserve"> 1224/07</w:t>
        </w:r>
      </w:hyperlink>
      <w:r>
        <w:rPr>
          <w:rFonts w:cs="David"/>
          <w:sz w:val="24"/>
          <w:szCs w:val="24"/>
          <w:rtl/>
        </w:rPr>
        <w:t xml:space="preserve"> </w:t>
      </w:r>
      <w:r>
        <w:rPr>
          <w:rFonts w:cs="David"/>
          <w:b/>
          <w:bCs/>
          <w:sz w:val="24"/>
          <w:szCs w:val="24"/>
          <w:rtl/>
        </w:rPr>
        <w:t>בלדב נ' מדינת ישראל</w:t>
      </w:r>
      <w:r>
        <w:rPr>
          <w:rFonts w:cs="David"/>
          <w:sz w:val="24"/>
          <w:szCs w:val="24"/>
          <w:rtl/>
        </w:rPr>
        <w:t xml:space="preserve"> (10.2.10); </w:t>
      </w:r>
      <w:hyperlink r:id="rId33" w:history="1">
        <w:r w:rsidR="00D43A59" w:rsidRPr="00D43A59">
          <w:rPr>
            <w:rFonts w:cs="David" w:hint="cs"/>
            <w:color w:val="0000FF"/>
            <w:sz w:val="24"/>
            <w:szCs w:val="24"/>
            <w:u w:val="single"/>
            <w:rtl/>
          </w:rPr>
          <w:t>ע</w:t>
        </w:r>
        <w:r w:rsidR="00D43A59" w:rsidRPr="00D43A59">
          <w:rPr>
            <w:rFonts w:cs="David"/>
            <w:color w:val="0000FF"/>
            <w:sz w:val="24"/>
            <w:szCs w:val="24"/>
            <w:u w:val="single"/>
            <w:rtl/>
          </w:rPr>
          <w:t>"</w:t>
        </w:r>
        <w:r w:rsidR="00D43A59" w:rsidRPr="00D43A59">
          <w:rPr>
            <w:rFonts w:cs="David" w:hint="cs"/>
            <w:color w:val="0000FF"/>
            <w:sz w:val="24"/>
            <w:szCs w:val="24"/>
            <w:u w:val="single"/>
            <w:rtl/>
          </w:rPr>
          <w:t>פ</w:t>
        </w:r>
        <w:r w:rsidR="00D43A59" w:rsidRPr="00D43A59">
          <w:rPr>
            <w:rFonts w:cs="David"/>
            <w:color w:val="0000FF"/>
            <w:sz w:val="24"/>
            <w:szCs w:val="24"/>
            <w:u w:val="single"/>
            <w:rtl/>
          </w:rPr>
          <w:t xml:space="preserve"> 307-17</w:t>
        </w:r>
      </w:hyperlink>
      <w:r w:rsidR="00D43A59">
        <w:rPr>
          <w:rFonts w:cs="David"/>
          <w:sz w:val="24"/>
          <w:szCs w:val="24"/>
          <w:rtl/>
        </w:rPr>
        <w:t xml:space="preserve"> </w:t>
      </w:r>
      <w:r>
        <w:rPr>
          <w:rFonts w:cs="David"/>
          <w:b/>
          <w:bCs/>
          <w:sz w:val="24"/>
          <w:szCs w:val="24"/>
          <w:rtl/>
        </w:rPr>
        <w:t>יחזקאל גבריאל זוננישוילי</w:t>
      </w:r>
      <w:r w:rsidR="00D43A59">
        <w:rPr>
          <w:rFonts w:cs="David"/>
          <w:sz w:val="24"/>
          <w:szCs w:val="24"/>
          <w:rtl/>
        </w:rPr>
        <w:t xml:space="preserve"> </w:t>
      </w:r>
      <w:r>
        <w:rPr>
          <w:rFonts w:cs="David"/>
          <w:sz w:val="24"/>
          <w:szCs w:val="24"/>
          <w:rtl/>
        </w:rPr>
        <w:t>נ</w:t>
      </w:r>
      <w:r>
        <w:rPr>
          <w:rFonts w:cs="David"/>
          <w:sz w:val="24"/>
          <w:szCs w:val="24"/>
        </w:rPr>
        <w:t>'</w:t>
      </w:r>
      <w:r w:rsidR="00D43A59">
        <w:rPr>
          <w:rFonts w:cs="David"/>
          <w:sz w:val="24"/>
          <w:szCs w:val="24"/>
        </w:rPr>
        <w:t xml:space="preserve"> </w:t>
      </w:r>
      <w:r>
        <w:rPr>
          <w:rFonts w:cs="David"/>
          <w:b/>
          <w:bCs/>
          <w:sz w:val="24"/>
          <w:szCs w:val="24"/>
          <w:rtl/>
        </w:rPr>
        <w:t>מדינת ישראל</w:t>
      </w:r>
      <w:r>
        <w:rPr>
          <w:rFonts w:cs="David"/>
          <w:sz w:val="24"/>
          <w:szCs w:val="24"/>
          <w:rtl/>
        </w:rPr>
        <w:t xml:space="preserve">, 21.3.17). </w:t>
      </w:r>
    </w:p>
    <w:p w14:paraId="2A133EC8" w14:textId="77777777" w:rsidR="00C076F8" w:rsidRDefault="00C076F8" w:rsidP="00C076F8">
      <w:pPr>
        <w:pStyle w:val="aa"/>
        <w:numPr>
          <w:ilvl w:val="0"/>
          <w:numId w:val="3"/>
        </w:numPr>
        <w:spacing w:line="360" w:lineRule="auto"/>
        <w:jc w:val="both"/>
        <w:rPr>
          <w:rFonts w:cs="David"/>
          <w:sz w:val="24"/>
          <w:szCs w:val="24"/>
        </w:rPr>
      </w:pPr>
      <w:r>
        <w:rPr>
          <w:rFonts w:cs="David"/>
          <w:b/>
          <w:bCs/>
          <w:sz w:val="24"/>
          <w:szCs w:val="24"/>
          <w:rtl/>
        </w:rPr>
        <w:t>הסיבות שהביאו את הנאשם לבצע את העבירה</w:t>
      </w:r>
      <w:r>
        <w:rPr>
          <w:rFonts w:cs="David"/>
          <w:sz w:val="24"/>
          <w:szCs w:val="24"/>
          <w:rtl/>
        </w:rPr>
        <w:t xml:space="preserve">; נראה כי הנאשם סחר בסמים למטרת השגת רווח כלכלי קל. </w:t>
      </w:r>
    </w:p>
    <w:p w14:paraId="3F5C37C1" w14:textId="77777777" w:rsidR="00C076F8" w:rsidRDefault="00C076F8" w:rsidP="00C076F8">
      <w:pPr>
        <w:pStyle w:val="aa"/>
        <w:numPr>
          <w:ilvl w:val="0"/>
          <w:numId w:val="1"/>
        </w:numPr>
        <w:spacing w:line="360" w:lineRule="auto"/>
        <w:jc w:val="both"/>
        <w:rPr>
          <w:rFonts w:cs="David"/>
          <w:sz w:val="24"/>
          <w:szCs w:val="24"/>
          <w:rtl/>
        </w:rPr>
      </w:pPr>
      <w:r>
        <w:rPr>
          <w:rFonts w:cs="David"/>
          <w:sz w:val="24"/>
          <w:szCs w:val="24"/>
          <w:rtl/>
        </w:rPr>
        <w:t xml:space="preserve">עיון בפסיקה אליה הפנה ב"כ הנאשם מעלה כי אין מדובר בנסיבות דומות לעניינו של הנאשם. </w:t>
      </w:r>
      <w:hyperlink r:id="rId34" w:history="1">
        <w:r w:rsidR="00D43A59" w:rsidRPr="00D43A59">
          <w:rPr>
            <w:rFonts w:cs="David" w:hint="cs"/>
            <w:color w:val="0000FF"/>
            <w:sz w:val="24"/>
            <w:szCs w:val="24"/>
            <w:u w:val="single"/>
            <w:rtl/>
          </w:rPr>
          <w:t>ת</w:t>
        </w:r>
        <w:r w:rsidR="00D43A59" w:rsidRPr="00D43A59">
          <w:rPr>
            <w:rFonts w:cs="David"/>
            <w:color w:val="0000FF"/>
            <w:sz w:val="24"/>
            <w:szCs w:val="24"/>
            <w:u w:val="single"/>
            <w:rtl/>
          </w:rPr>
          <w:t>"</w:t>
        </w:r>
        <w:r w:rsidR="00D43A59" w:rsidRPr="00D43A59">
          <w:rPr>
            <w:rFonts w:cs="David" w:hint="cs"/>
            <w:color w:val="0000FF"/>
            <w:sz w:val="24"/>
            <w:szCs w:val="24"/>
            <w:u w:val="single"/>
            <w:rtl/>
          </w:rPr>
          <w:t>פ</w:t>
        </w:r>
        <w:r w:rsidR="00D43A59" w:rsidRPr="00D43A59">
          <w:rPr>
            <w:rFonts w:cs="David"/>
            <w:color w:val="0000FF"/>
            <w:sz w:val="24"/>
            <w:szCs w:val="24"/>
            <w:u w:val="single"/>
            <w:rtl/>
          </w:rPr>
          <w:t xml:space="preserve"> 30039-04-20</w:t>
        </w:r>
      </w:hyperlink>
      <w:r>
        <w:rPr>
          <w:rFonts w:cs="David"/>
          <w:sz w:val="24"/>
          <w:szCs w:val="24"/>
          <w:rtl/>
        </w:rPr>
        <w:t xml:space="preserve"> מחוזי לוד מדובר בנאשם שערך שינוי ממשי בחייו וניתנה המלצת שירות המבחן בעניינו, מה שאינו נכון ביחס לנאשם. תיק </w:t>
      </w:r>
      <w:hyperlink r:id="rId35" w:history="1">
        <w:r w:rsidR="00D43A59" w:rsidRPr="00D43A59">
          <w:rPr>
            <w:rFonts w:cs="David" w:hint="cs"/>
            <w:color w:val="0000FF"/>
            <w:sz w:val="24"/>
            <w:szCs w:val="24"/>
            <w:u w:val="single"/>
            <w:rtl/>
          </w:rPr>
          <w:t>ת</w:t>
        </w:r>
        <w:r w:rsidR="00D43A59" w:rsidRPr="00D43A59">
          <w:rPr>
            <w:rFonts w:cs="David"/>
            <w:color w:val="0000FF"/>
            <w:sz w:val="24"/>
            <w:szCs w:val="24"/>
            <w:u w:val="single"/>
            <w:rtl/>
          </w:rPr>
          <w:t>"</w:t>
        </w:r>
        <w:r w:rsidR="00D43A59" w:rsidRPr="00D43A59">
          <w:rPr>
            <w:rFonts w:cs="David" w:hint="cs"/>
            <w:color w:val="0000FF"/>
            <w:sz w:val="24"/>
            <w:szCs w:val="24"/>
            <w:u w:val="single"/>
            <w:rtl/>
          </w:rPr>
          <w:t>פ</w:t>
        </w:r>
        <w:r w:rsidR="00D43A59" w:rsidRPr="00D43A59">
          <w:rPr>
            <w:rFonts w:cs="David"/>
            <w:color w:val="0000FF"/>
            <w:sz w:val="24"/>
            <w:szCs w:val="24"/>
            <w:u w:val="single"/>
            <w:rtl/>
          </w:rPr>
          <w:t xml:space="preserve"> 32487-08-20</w:t>
        </w:r>
      </w:hyperlink>
      <w:r>
        <w:rPr>
          <w:rFonts w:cs="David"/>
          <w:sz w:val="24"/>
          <w:szCs w:val="24"/>
          <w:rtl/>
        </w:rPr>
        <w:t xml:space="preserve"> שלום חיפה, הודגש כי העונש הוטל במסגרת עיקרון אחידות הענישה. </w:t>
      </w:r>
      <w:hyperlink r:id="rId36" w:history="1">
        <w:r w:rsidR="00D43A59" w:rsidRPr="00D43A59">
          <w:rPr>
            <w:rFonts w:cs="David" w:hint="cs"/>
            <w:color w:val="0000FF"/>
            <w:sz w:val="24"/>
            <w:szCs w:val="24"/>
            <w:u w:val="single"/>
            <w:rtl/>
          </w:rPr>
          <w:t>ת</w:t>
        </w:r>
        <w:r w:rsidR="00D43A59" w:rsidRPr="00D43A59">
          <w:rPr>
            <w:rFonts w:cs="David"/>
            <w:color w:val="0000FF"/>
            <w:sz w:val="24"/>
            <w:szCs w:val="24"/>
            <w:u w:val="single"/>
            <w:rtl/>
          </w:rPr>
          <w:t>"</w:t>
        </w:r>
        <w:r w:rsidR="00D43A59" w:rsidRPr="00D43A59">
          <w:rPr>
            <w:rFonts w:cs="David" w:hint="cs"/>
            <w:color w:val="0000FF"/>
            <w:sz w:val="24"/>
            <w:szCs w:val="24"/>
            <w:u w:val="single"/>
            <w:rtl/>
          </w:rPr>
          <w:t>פ</w:t>
        </w:r>
        <w:r w:rsidR="00D43A59" w:rsidRPr="00D43A59">
          <w:rPr>
            <w:rFonts w:cs="David"/>
            <w:color w:val="0000FF"/>
            <w:sz w:val="24"/>
            <w:szCs w:val="24"/>
            <w:u w:val="single"/>
            <w:rtl/>
          </w:rPr>
          <w:t xml:space="preserve"> 17215-10-21</w:t>
        </w:r>
      </w:hyperlink>
      <w:r>
        <w:rPr>
          <w:rFonts w:cs="David"/>
          <w:sz w:val="24"/>
          <w:szCs w:val="24"/>
          <w:rtl/>
        </w:rPr>
        <w:t xml:space="preserve"> שלום באר שבע מדובר בסם מסוג קנבוס, עסקה אחת ומשקל נמוך ואין מכאן ללמד על מתחם העונש ביחס לעבירת סחר בקוקאין. תיק </w:t>
      </w:r>
      <w:hyperlink r:id="rId37" w:history="1">
        <w:r w:rsidR="00D43A59" w:rsidRPr="00D43A59">
          <w:rPr>
            <w:rFonts w:cs="David" w:hint="cs"/>
            <w:color w:val="0000FF"/>
            <w:sz w:val="24"/>
            <w:szCs w:val="24"/>
            <w:u w:val="single"/>
            <w:rtl/>
          </w:rPr>
          <w:t>ת</w:t>
        </w:r>
        <w:r w:rsidR="00D43A59" w:rsidRPr="00D43A59">
          <w:rPr>
            <w:rFonts w:cs="David"/>
            <w:color w:val="0000FF"/>
            <w:sz w:val="24"/>
            <w:szCs w:val="24"/>
            <w:u w:val="single"/>
            <w:rtl/>
          </w:rPr>
          <w:t>"</w:t>
        </w:r>
        <w:r w:rsidR="00D43A59" w:rsidRPr="00D43A59">
          <w:rPr>
            <w:rFonts w:cs="David" w:hint="cs"/>
            <w:color w:val="0000FF"/>
            <w:sz w:val="24"/>
            <w:szCs w:val="24"/>
            <w:u w:val="single"/>
            <w:rtl/>
          </w:rPr>
          <w:t>פ</w:t>
        </w:r>
        <w:r w:rsidR="00D43A59" w:rsidRPr="00D43A59">
          <w:rPr>
            <w:rFonts w:cs="David"/>
            <w:color w:val="0000FF"/>
            <w:sz w:val="24"/>
            <w:szCs w:val="24"/>
            <w:u w:val="single"/>
            <w:rtl/>
          </w:rPr>
          <w:t xml:space="preserve"> 18320-05-19</w:t>
        </w:r>
      </w:hyperlink>
      <w:r>
        <w:rPr>
          <w:rFonts w:cs="David"/>
          <w:sz w:val="24"/>
          <w:szCs w:val="24"/>
          <w:rtl/>
        </w:rPr>
        <w:t xml:space="preserve"> שלום ירושלים מדובר בנסיבות ייחודיות של נאשם הסובל מתסמונת פוסט טראומתית לאחר מבצע צוק איתן ואף אושר לו קנביס רפואי אולם ביצע את העבירה טרם חידוש הרישיון. בענייננו, הנאשם בן למשפחה נורמטיבית ולמרות הבסיס החיובי, ביצע את עבירות הסחר כדי לממן אורח חיים ראוותני ולשלם חובות להלוואות שלקח בשוק האפור.  בתיק </w:t>
      </w:r>
      <w:hyperlink r:id="rId38" w:history="1">
        <w:r w:rsidR="00D43A59" w:rsidRPr="00D43A59">
          <w:rPr>
            <w:rFonts w:cs="David" w:hint="cs"/>
            <w:color w:val="0000FF"/>
            <w:sz w:val="24"/>
            <w:szCs w:val="24"/>
            <w:u w:val="single"/>
            <w:rtl/>
          </w:rPr>
          <w:t>עפ</w:t>
        </w:r>
        <w:r w:rsidR="00D43A59" w:rsidRPr="00D43A59">
          <w:rPr>
            <w:rFonts w:cs="David"/>
            <w:color w:val="0000FF"/>
            <w:sz w:val="24"/>
            <w:szCs w:val="24"/>
            <w:u w:val="single"/>
            <w:rtl/>
          </w:rPr>
          <w:t>"</w:t>
        </w:r>
        <w:r w:rsidR="00D43A59" w:rsidRPr="00D43A59">
          <w:rPr>
            <w:rFonts w:cs="David" w:hint="cs"/>
            <w:color w:val="0000FF"/>
            <w:sz w:val="24"/>
            <w:szCs w:val="24"/>
            <w:u w:val="single"/>
            <w:rtl/>
          </w:rPr>
          <w:t>ג</w:t>
        </w:r>
        <w:r w:rsidR="00D43A59" w:rsidRPr="00D43A59">
          <w:rPr>
            <w:rFonts w:cs="David"/>
            <w:color w:val="0000FF"/>
            <w:sz w:val="24"/>
            <w:szCs w:val="24"/>
            <w:u w:val="single"/>
            <w:rtl/>
          </w:rPr>
          <w:t xml:space="preserve"> 31347-08-14</w:t>
        </w:r>
      </w:hyperlink>
      <w:r>
        <w:rPr>
          <w:rFonts w:cs="David"/>
          <w:sz w:val="24"/>
          <w:szCs w:val="24"/>
          <w:rtl/>
        </w:rPr>
        <w:t xml:space="preserve"> קבע בית המשפט המחוזי כי היה מקום לערעור המדינה ולא היה ראוי להסתפק בעונש של עבודת שירות ורק בשל העובדה כי הנאשם החל כבר בריצוי עבודת השירות, חזרה בה המאשימה מהערעור.</w:t>
      </w:r>
    </w:p>
    <w:p w14:paraId="4FD3AA53" w14:textId="77777777" w:rsidR="00C076F8" w:rsidRDefault="00C076F8" w:rsidP="00C076F8">
      <w:pPr>
        <w:pStyle w:val="aa"/>
        <w:spacing w:line="360" w:lineRule="auto"/>
        <w:jc w:val="both"/>
        <w:rPr>
          <w:rFonts w:cs="David"/>
          <w:b/>
          <w:bCs/>
          <w:sz w:val="24"/>
          <w:szCs w:val="24"/>
        </w:rPr>
      </w:pPr>
      <w:r>
        <w:rPr>
          <w:rFonts w:cs="David"/>
          <w:b/>
          <w:bCs/>
          <w:sz w:val="24"/>
          <w:szCs w:val="24"/>
          <w:rtl/>
        </w:rPr>
        <w:t>לאור כל האמור ובהתאם לתיקון 113 ל</w:t>
      </w:r>
      <w:hyperlink r:id="rId39" w:history="1">
        <w:r w:rsidR="00D43A59" w:rsidRPr="00D43A59">
          <w:rPr>
            <w:rFonts w:cs="David" w:hint="cs"/>
            <w:b/>
            <w:bCs/>
            <w:color w:val="0000FF"/>
            <w:sz w:val="24"/>
            <w:szCs w:val="24"/>
            <w:u w:val="single"/>
            <w:rtl/>
          </w:rPr>
          <w:t>חוק</w:t>
        </w:r>
        <w:r w:rsidR="00D43A59" w:rsidRPr="00D43A59">
          <w:rPr>
            <w:rFonts w:cs="David"/>
            <w:b/>
            <w:bCs/>
            <w:color w:val="0000FF"/>
            <w:sz w:val="24"/>
            <w:szCs w:val="24"/>
            <w:u w:val="single"/>
            <w:rtl/>
          </w:rPr>
          <w:t xml:space="preserve"> </w:t>
        </w:r>
        <w:r w:rsidR="00D43A59" w:rsidRPr="00D43A59">
          <w:rPr>
            <w:rFonts w:cs="David" w:hint="cs"/>
            <w:b/>
            <w:bCs/>
            <w:color w:val="0000FF"/>
            <w:sz w:val="24"/>
            <w:szCs w:val="24"/>
            <w:u w:val="single"/>
            <w:rtl/>
          </w:rPr>
          <w:t>העונשין</w:t>
        </w:r>
      </w:hyperlink>
      <w:r>
        <w:rPr>
          <w:rFonts w:cs="David"/>
          <w:b/>
          <w:bCs/>
          <w:sz w:val="24"/>
          <w:szCs w:val="24"/>
          <w:rtl/>
        </w:rPr>
        <w:t xml:space="preserve"> (</w:t>
      </w:r>
      <w:hyperlink r:id="rId40" w:history="1">
        <w:r w:rsidR="00C273CD" w:rsidRPr="00C273CD">
          <w:rPr>
            <w:rStyle w:val="Hyperlink"/>
            <w:rFonts w:cs="David" w:hint="cs"/>
            <w:b/>
            <w:bCs/>
            <w:sz w:val="24"/>
            <w:szCs w:val="24"/>
            <w:rtl/>
          </w:rPr>
          <w:t>סעיף</w:t>
        </w:r>
        <w:r w:rsidR="00C273CD" w:rsidRPr="00C273CD">
          <w:rPr>
            <w:rStyle w:val="Hyperlink"/>
            <w:rFonts w:cs="David"/>
            <w:b/>
            <w:bCs/>
            <w:sz w:val="24"/>
            <w:szCs w:val="24"/>
            <w:rtl/>
          </w:rPr>
          <w:t xml:space="preserve"> 40 </w:t>
        </w:r>
        <w:r w:rsidR="00C273CD" w:rsidRPr="00C273CD">
          <w:rPr>
            <w:rStyle w:val="Hyperlink"/>
            <w:rFonts w:cs="David" w:hint="cs"/>
            <w:b/>
            <w:bCs/>
            <w:sz w:val="24"/>
            <w:szCs w:val="24"/>
            <w:rtl/>
          </w:rPr>
          <w:t>יג</w:t>
        </w:r>
        <w:r w:rsidR="00C273CD" w:rsidRPr="00C273CD">
          <w:rPr>
            <w:rStyle w:val="Hyperlink"/>
            <w:rFonts w:cs="David"/>
            <w:b/>
            <w:bCs/>
            <w:sz w:val="24"/>
            <w:szCs w:val="24"/>
            <w:rtl/>
          </w:rPr>
          <w:t>'</w:t>
        </w:r>
      </w:hyperlink>
      <w:r>
        <w:rPr>
          <w:rFonts w:cs="David"/>
          <w:b/>
          <w:bCs/>
          <w:sz w:val="24"/>
          <w:szCs w:val="24"/>
          <w:rtl/>
        </w:rPr>
        <w:t xml:space="preserve">), סבורני כי מתחם העונש ההולם הינו החל מ -5 ועד 18 חודשי מאסר בפועל. </w:t>
      </w:r>
    </w:p>
    <w:p w14:paraId="063A095F" w14:textId="77777777" w:rsidR="00C076F8" w:rsidRDefault="00C076F8" w:rsidP="00C076F8">
      <w:pPr>
        <w:pStyle w:val="aa"/>
        <w:numPr>
          <w:ilvl w:val="0"/>
          <w:numId w:val="1"/>
        </w:numPr>
        <w:spacing w:line="360" w:lineRule="auto"/>
        <w:jc w:val="both"/>
        <w:rPr>
          <w:rFonts w:cs="David"/>
          <w:sz w:val="24"/>
          <w:szCs w:val="24"/>
          <w:rtl/>
        </w:rPr>
      </w:pPr>
      <w:r>
        <w:rPr>
          <w:rFonts w:cs="David"/>
          <w:sz w:val="24"/>
          <w:szCs w:val="24"/>
          <w:rtl/>
        </w:rPr>
        <w:t xml:space="preserve">במקרה דנן, לא קיימים שיקולים אשר מצדיקים סטייה מהמתחם, לחומרה או לקולא. </w:t>
      </w:r>
    </w:p>
    <w:p w14:paraId="7B864578" w14:textId="77777777" w:rsidR="00C076F8" w:rsidRDefault="00C076F8" w:rsidP="00C076F8">
      <w:pPr>
        <w:spacing w:line="360" w:lineRule="auto"/>
        <w:jc w:val="both"/>
        <w:rPr>
          <w:b/>
          <w:bCs/>
          <w:u w:val="single"/>
          <w:rtl/>
        </w:rPr>
      </w:pPr>
    </w:p>
    <w:p w14:paraId="69240321" w14:textId="77777777" w:rsidR="00C076F8" w:rsidRDefault="00C076F8" w:rsidP="00C076F8">
      <w:pPr>
        <w:spacing w:line="360" w:lineRule="auto"/>
        <w:jc w:val="both"/>
        <w:rPr>
          <w:b/>
          <w:bCs/>
          <w:u w:val="single"/>
          <w:rtl/>
        </w:rPr>
      </w:pPr>
      <w:r>
        <w:rPr>
          <w:b/>
          <w:bCs/>
          <w:u w:val="single"/>
          <w:rtl/>
        </w:rPr>
        <w:t>גזירת העונש המתאים לנאשם</w:t>
      </w:r>
    </w:p>
    <w:p w14:paraId="2598F09E" w14:textId="77777777" w:rsidR="00C076F8" w:rsidRDefault="00C076F8" w:rsidP="00C076F8">
      <w:pPr>
        <w:pStyle w:val="aa"/>
        <w:numPr>
          <w:ilvl w:val="0"/>
          <w:numId w:val="1"/>
        </w:numPr>
        <w:spacing w:line="360" w:lineRule="auto"/>
        <w:jc w:val="both"/>
        <w:rPr>
          <w:rFonts w:cs="David"/>
          <w:sz w:val="24"/>
          <w:szCs w:val="24"/>
          <w:rtl/>
        </w:rPr>
      </w:pPr>
      <w:r>
        <w:rPr>
          <w:rFonts w:cs="David"/>
          <w:sz w:val="24"/>
          <w:szCs w:val="24"/>
          <w:rtl/>
        </w:rPr>
        <w:t>בגזירת העונש המתאים לנאשם, בגדרי מתחם העונש ההולם, יש להתחשב בנסיבות שאינן קשורות בביצוע העבירה (</w:t>
      </w:r>
      <w:hyperlink r:id="rId41" w:history="1">
        <w:r w:rsidR="00C273CD" w:rsidRPr="00C273CD">
          <w:rPr>
            <w:rStyle w:val="Hyperlink"/>
            <w:rFonts w:cs="David" w:hint="cs"/>
            <w:sz w:val="24"/>
            <w:szCs w:val="24"/>
            <w:rtl/>
          </w:rPr>
          <w:t>סעיף</w:t>
        </w:r>
        <w:r w:rsidR="00C273CD" w:rsidRPr="00C273CD">
          <w:rPr>
            <w:rStyle w:val="Hyperlink"/>
            <w:rFonts w:cs="David"/>
            <w:sz w:val="24"/>
            <w:szCs w:val="24"/>
            <w:rtl/>
          </w:rPr>
          <w:t xml:space="preserve"> 40 </w:t>
        </w:r>
        <w:r w:rsidR="00C273CD" w:rsidRPr="00C273CD">
          <w:rPr>
            <w:rStyle w:val="Hyperlink"/>
            <w:rFonts w:cs="David" w:hint="cs"/>
            <w:sz w:val="24"/>
            <w:szCs w:val="24"/>
            <w:rtl/>
          </w:rPr>
          <w:t>יא</w:t>
        </w:r>
      </w:hyperlink>
      <w:r>
        <w:rPr>
          <w:rFonts w:cs="David"/>
          <w:sz w:val="24"/>
          <w:szCs w:val="24"/>
          <w:rtl/>
        </w:rPr>
        <w:t>' ל</w:t>
      </w:r>
      <w:hyperlink r:id="rId42" w:history="1">
        <w:r w:rsidR="00D43A59" w:rsidRPr="00D43A59">
          <w:rPr>
            <w:rFonts w:cs="David" w:hint="cs"/>
            <w:color w:val="0000FF"/>
            <w:sz w:val="24"/>
            <w:szCs w:val="24"/>
            <w:u w:val="single"/>
            <w:rtl/>
          </w:rPr>
          <w:t>חוק</w:t>
        </w:r>
        <w:r w:rsidR="00D43A59" w:rsidRPr="00D43A59">
          <w:rPr>
            <w:rFonts w:cs="David"/>
            <w:color w:val="0000FF"/>
            <w:sz w:val="24"/>
            <w:szCs w:val="24"/>
            <w:u w:val="single"/>
            <w:rtl/>
          </w:rPr>
          <w:t xml:space="preserve"> </w:t>
        </w:r>
        <w:r w:rsidR="00D43A59" w:rsidRPr="00D43A59">
          <w:rPr>
            <w:rFonts w:cs="David" w:hint="cs"/>
            <w:color w:val="0000FF"/>
            <w:sz w:val="24"/>
            <w:szCs w:val="24"/>
            <w:u w:val="single"/>
            <w:rtl/>
          </w:rPr>
          <w:t>העונשין</w:t>
        </w:r>
      </w:hyperlink>
      <w:r>
        <w:rPr>
          <w:rFonts w:cs="David"/>
          <w:sz w:val="24"/>
          <w:szCs w:val="24"/>
          <w:rtl/>
        </w:rPr>
        <w:t>). במסגרת זו מן הראוי לתת את הדעת לנסיבות הבאות:</w:t>
      </w:r>
    </w:p>
    <w:p w14:paraId="775398E3" w14:textId="77777777" w:rsidR="00C076F8" w:rsidRDefault="00C076F8" w:rsidP="00C076F8">
      <w:pPr>
        <w:pStyle w:val="aa"/>
        <w:numPr>
          <w:ilvl w:val="0"/>
          <w:numId w:val="4"/>
        </w:numPr>
        <w:spacing w:line="360" w:lineRule="auto"/>
        <w:jc w:val="both"/>
        <w:rPr>
          <w:rFonts w:cs="David"/>
          <w:sz w:val="24"/>
          <w:szCs w:val="24"/>
        </w:rPr>
      </w:pPr>
      <w:r>
        <w:rPr>
          <w:rFonts w:cs="David"/>
          <w:b/>
          <w:bCs/>
          <w:sz w:val="24"/>
          <w:szCs w:val="24"/>
          <w:rtl/>
        </w:rPr>
        <w:t>נטילת האחריות של הנאשם על מעשיו, וחזרתו למוטב או מאמציו לחזור למוטב</w:t>
      </w:r>
      <w:r>
        <w:rPr>
          <w:rFonts w:cs="David"/>
          <w:sz w:val="24"/>
          <w:szCs w:val="24"/>
          <w:rtl/>
        </w:rPr>
        <w:t xml:space="preserve">; הנאשם הודה בתיק וקיבל אחריות למעשיו, אולם שירות המבחן ציין כי תחושת החרטה נובעת מהמחיר המשפטי שמשלם ושצפוי לשלם ופחות בהכרה בחומרת המעשים. הנאשם הביע רצון לשנות דרכיו אולם נראה כי מדובר בהבעת רצון מן הפה ולחוץ, הנאשם לא השכיל לנצל ההזדמנות השיקומית טיפולית שניתנה עבורו ורק שעה שעומד בפני גזירת עונשו ציין כי הפנים והבין את חומרת מעשיו.  </w:t>
      </w:r>
    </w:p>
    <w:p w14:paraId="5D1D4535" w14:textId="77777777" w:rsidR="00C076F8" w:rsidRDefault="00C076F8" w:rsidP="00C076F8">
      <w:pPr>
        <w:pStyle w:val="aa"/>
        <w:numPr>
          <w:ilvl w:val="0"/>
          <w:numId w:val="4"/>
        </w:numPr>
        <w:spacing w:line="360" w:lineRule="auto"/>
        <w:jc w:val="both"/>
        <w:rPr>
          <w:rFonts w:cs="David"/>
          <w:sz w:val="24"/>
          <w:szCs w:val="24"/>
        </w:rPr>
      </w:pPr>
      <w:r>
        <w:rPr>
          <w:rFonts w:cs="David"/>
          <w:b/>
          <w:bCs/>
          <w:sz w:val="24"/>
          <w:szCs w:val="24"/>
          <w:rtl/>
        </w:rPr>
        <w:t>עברו הפלילי של הנאשם או העדרו</w:t>
      </w:r>
      <w:r>
        <w:rPr>
          <w:rFonts w:cs="David"/>
          <w:sz w:val="24"/>
          <w:szCs w:val="24"/>
          <w:rtl/>
        </w:rPr>
        <w:t xml:space="preserve">. לחובת הנאשם הרשעות קודמות בגין היעדר משירות צבאי הנאשם נדון לעונשי מאסר בפועל, יודגש כי אין לחובתו הרשעות קודמות בעבירות סמים.  </w:t>
      </w:r>
    </w:p>
    <w:p w14:paraId="46F4EF20" w14:textId="77777777" w:rsidR="00C076F8" w:rsidRDefault="00C076F8" w:rsidP="00C076F8">
      <w:pPr>
        <w:pStyle w:val="aa"/>
        <w:spacing w:line="360" w:lineRule="auto"/>
        <w:ind w:left="1080"/>
        <w:jc w:val="both"/>
        <w:rPr>
          <w:rFonts w:cs="David"/>
          <w:sz w:val="24"/>
          <w:szCs w:val="24"/>
          <w:highlight w:val="yellow"/>
        </w:rPr>
      </w:pPr>
      <w:r>
        <w:rPr>
          <w:rFonts w:cs="David"/>
          <w:sz w:val="24"/>
          <w:szCs w:val="24"/>
          <w:rtl/>
        </w:rPr>
        <w:t xml:space="preserve">עוד יש ליתן את הדעת לשיקול הרתעת הרבים בגדרו של המתחם בשים לב לשכיחותה של העבירה, נפיצותה וחומרתה. </w:t>
      </w:r>
    </w:p>
    <w:p w14:paraId="3D86758B" w14:textId="77777777" w:rsidR="00C076F8" w:rsidRDefault="00C076F8" w:rsidP="00C076F8">
      <w:pPr>
        <w:pStyle w:val="aa"/>
        <w:numPr>
          <w:ilvl w:val="0"/>
          <w:numId w:val="1"/>
        </w:numPr>
        <w:spacing w:line="360" w:lineRule="auto"/>
        <w:jc w:val="both"/>
        <w:rPr>
          <w:rFonts w:cs="David"/>
          <w:sz w:val="24"/>
          <w:szCs w:val="24"/>
          <w:rtl/>
        </w:rPr>
      </w:pPr>
      <w:r>
        <w:rPr>
          <w:rFonts w:cs="David"/>
          <w:sz w:val="24"/>
          <w:szCs w:val="24"/>
          <w:rtl/>
        </w:rPr>
        <w:t>באיזון בין השיקולים השונים, סבורני כי יש לגזור על הנאשם עונש אחד כולל בגין כל האירועים, וזאת לאור העובדה שמדובר באירועים דומים. מן הראוי להטיל על הנאשם עונש מאסר בפועל לצד עונשים נלווים. לא מצאתי להחמיר את עונשו של הנאשם שלא השכיל לשתף פעולה בהליך טיפולי ויש למקם עונשו ברף התחתון של המתחם נוכח גילו והעדר עבר פלילי רלוונטי, עם זאת, בהעדר המלצה שיקומית ומבלי להיכנס לפרשנויות שונות לטיב ההמלצה של שירות המבחן כי יש לגזור עליו "ענישה הרתעתית", הרי בשים לב לפסיקה שהוצגה לעיל, אין להסתפק בעונש של עבודת שירות בלבד ויהיה בכך כדי להביא מסר מוטעה ביחס להרתעת היחיד והרבים.</w:t>
      </w:r>
    </w:p>
    <w:p w14:paraId="6A5823F2" w14:textId="77777777" w:rsidR="00C076F8" w:rsidRDefault="00C076F8" w:rsidP="00C076F8">
      <w:pPr>
        <w:pStyle w:val="aa"/>
        <w:numPr>
          <w:ilvl w:val="0"/>
          <w:numId w:val="1"/>
        </w:numPr>
        <w:spacing w:line="360" w:lineRule="auto"/>
        <w:jc w:val="both"/>
        <w:rPr>
          <w:rFonts w:cs="David"/>
          <w:sz w:val="24"/>
          <w:szCs w:val="24"/>
        </w:rPr>
      </w:pPr>
      <w:r>
        <w:rPr>
          <w:rFonts w:cs="David"/>
          <w:b/>
          <w:bCs/>
          <w:sz w:val="24"/>
          <w:szCs w:val="24"/>
          <w:rtl/>
        </w:rPr>
        <w:t>קנס כספי</w:t>
      </w:r>
      <w:r>
        <w:rPr>
          <w:rFonts w:cs="David"/>
          <w:sz w:val="24"/>
          <w:szCs w:val="24"/>
          <w:rtl/>
        </w:rPr>
        <w:t xml:space="preserve">, - הנאשם סחר בסמים וקיבל בגינם תמורה כספית, וזאת אף אם המטרה הכלכלית לא הייתה מטרתו המרכזית של הנאשם בביצוע הסחר. כאשר עסקינן בעבירות בעלות אופי כלכלי, מן הראוי אף להטיל ענישה בעלות פן כלכלי, תוך התחשבות במצבו הכלכלי של הנאשם. </w:t>
      </w:r>
    </w:p>
    <w:p w14:paraId="5267DB92" w14:textId="77777777" w:rsidR="00C076F8" w:rsidRDefault="00C076F8" w:rsidP="00C076F8">
      <w:pPr>
        <w:spacing w:line="360" w:lineRule="auto"/>
        <w:jc w:val="both"/>
        <w:rPr>
          <w:b/>
          <w:bCs/>
          <w:u w:val="single"/>
          <w:rtl/>
        </w:rPr>
      </w:pPr>
      <w:r>
        <w:rPr>
          <w:b/>
          <w:bCs/>
          <w:u w:val="single"/>
          <w:rtl/>
        </w:rPr>
        <w:t>סוף דבר</w:t>
      </w:r>
    </w:p>
    <w:p w14:paraId="755F5603" w14:textId="77777777" w:rsidR="00C076F8" w:rsidRDefault="00C076F8" w:rsidP="00C076F8">
      <w:pPr>
        <w:pStyle w:val="aa"/>
        <w:numPr>
          <w:ilvl w:val="0"/>
          <w:numId w:val="1"/>
        </w:numPr>
        <w:spacing w:line="360" w:lineRule="auto"/>
        <w:jc w:val="both"/>
        <w:rPr>
          <w:rFonts w:cs="David"/>
          <w:sz w:val="24"/>
          <w:szCs w:val="24"/>
          <w:rtl/>
        </w:rPr>
      </w:pPr>
      <w:r>
        <w:rPr>
          <w:rFonts w:cs="David"/>
          <w:sz w:val="24"/>
          <w:szCs w:val="24"/>
          <w:rtl/>
        </w:rPr>
        <w:t>אשר על-כן, הנני גוזר על הנאשם את העונשים הבאים:</w:t>
      </w:r>
    </w:p>
    <w:p w14:paraId="6573B975" w14:textId="77777777" w:rsidR="00C076F8" w:rsidRDefault="00C076F8" w:rsidP="00C076F8">
      <w:pPr>
        <w:pStyle w:val="aa"/>
        <w:numPr>
          <w:ilvl w:val="0"/>
          <w:numId w:val="5"/>
        </w:numPr>
        <w:spacing w:line="360" w:lineRule="auto"/>
        <w:jc w:val="both"/>
        <w:rPr>
          <w:rFonts w:cs="David"/>
          <w:sz w:val="24"/>
          <w:szCs w:val="24"/>
          <w:rtl/>
        </w:rPr>
      </w:pPr>
      <w:r>
        <w:rPr>
          <w:rFonts w:cs="David"/>
          <w:sz w:val="24"/>
          <w:szCs w:val="24"/>
          <w:rtl/>
        </w:rPr>
        <w:t>7 חודשי מאסר בפועל, בניכוי ימי מעצרו במסגרת תיק זה. הנאשם יתייצב לריצוי עונש המאסר בבית סוהר דקל ביום 24.4.2022 עד השעה 08:30 . מומלץ לנאשם להסדיר כניסתו למאסר מול היחידה למיון מוקדם בשב"ס.</w:t>
      </w:r>
    </w:p>
    <w:p w14:paraId="239EADD3" w14:textId="77777777" w:rsidR="00C076F8" w:rsidRDefault="00C076F8" w:rsidP="00C076F8">
      <w:pPr>
        <w:pStyle w:val="aa"/>
        <w:numPr>
          <w:ilvl w:val="0"/>
          <w:numId w:val="5"/>
        </w:numPr>
        <w:spacing w:line="360" w:lineRule="auto"/>
        <w:jc w:val="both"/>
        <w:rPr>
          <w:rFonts w:cs="David"/>
          <w:sz w:val="24"/>
          <w:szCs w:val="24"/>
        </w:rPr>
      </w:pPr>
      <w:r>
        <w:rPr>
          <w:rFonts w:cs="David"/>
          <w:sz w:val="24"/>
          <w:szCs w:val="24"/>
          <w:rtl/>
        </w:rPr>
        <w:t xml:space="preserve">6 חודשי מאסר על תנאי, לבל יעבור הנאשם במשך שלוש שנים מיום שחרורו מן המאסר כל עבירה לפי פקודת הסמים מסוג פשע. </w:t>
      </w:r>
    </w:p>
    <w:p w14:paraId="197F35D8" w14:textId="77777777" w:rsidR="00C076F8" w:rsidRDefault="00C076F8" w:rsidP="00C076F8">
      <w:pPr>
        <w:pStyle w:val="aa"/>
        <w:numPr>
          <w:ilvl w:val="0"/>
          <w:numId w:val="5"/>
        </w:numPr>
        <w:spacing w:line="360" w:lineRule="auto"/>
        <w:jc w:val="both"/>
        <w:rPr>
          <w:rFonts w:cs="David"/>
          <w:sz w:val="24"/>
          <w:szCs w:val="24"/>
        </w:rPr>
      </w:pPr>
      <w:r>
        <w:rPr>
          <w:rFonts w:cs="David"/>
          <w:sz w:val="24"/>
          <w:szCs w:val="24"/>
          <w:rtl/>
        </w:rPr>
        <w:t>3 חודשי מאסר על תנאי, לכל יעבור הנאשם במשך שלוש שנים מיום שחרורו מן המאסר כל עבירה לפי פקודת הסמים מסוג עוון.</w:t>
      </w:r>
    </w:p>
    <w:p w14:paraId="4041702B" w14:textId="77777777" w:rsidR="00C076F8" w:rsidRDefault="00C076F8" w:rsidP="00C076F8">
      <w:pPr>
        <w:pStyle w:val="aa"/>
        <w:numPr>
          <w:ilvl w:val="0"/>
          <w:numId w:val="5"/>
        </w:numPr>
        <w:spacing w:line="360" w:lineRule="auto"/>
        <w:jc w:val="both"/>
        <w:rPr>
          <w:rFonts w:cs="David"/>
          <w:sz w:val="24"/>
          <w:szCs w:val="24"/>
        </w:rPr>
      </w:pPr>
      <w:r>
        <w:rPr>
          <w:rFonts w:cs="David"/>
          <w:sz w:val="24"/>
          <w:szCs w:val="24"/>
          <w:rtl/>
        </w:rPr>
        <w:t xml:space="preserve">קנס כספי בסך של 3,000 ₪ או 30 ימי מאסר תמורתו. הקנס ישולם ב-10 תשלומים חודשיים שווים ורצופים, שהראשון שבהם ביום 01.09.22. לא ישולם תשלום כלשהו במועדו, תעמוד היתרה לפירעון מיידי. </w:t>
      </w:r>
    </w:p>
    <w:p w14:paraId="2978ED27" w14:textId="77777777" w:rsidR="00C076F8" w:rsidRDefault="00C076F8" w:rsidP="00C076F8">
      <w:pPr>
        <w:pStyle w:val="aa"/>
        <w:numPr>
          <w:ilvl w:val="0"/>
          <w:numId w:val="5"/>
        </w:numPr>
        <w:spacing w:line="360" w:lineRule="auto"/>
        <w:jc w:val="both"/>
        <w:rPr>
          <w:rFonts w:cs="David"/>
          <w:sz w:val="24"/>
          <w:szCs w:val="24"/>
        </w:rPr>
      </w:pPr>
      <w:r>
        <w:rPr>
          <w:rFonts w:cs="David"/>
          <w:sz w:val="24"/>
          <w:szCs w:val="24"/>
          <w:rtl/>
        </w:rPr>
        <w:t>מורה על השמדת הסמים .</w:t>
      </w:r>
    </w:p>
    <w:p w14:paraId="1F2EA83E" w14:textId="77777777" w:rsidR="00C076F8" w:rsidRDefault="00C076F8" w:rsidP="00C076F8">
      <w:pPr>
        <w:spacing w:line="360" w:lineRule="auto"/>
        <w:jc w:val="both"/>
        <w:rPr>
          <w:rtl/>
        </w:rPr>
      </w:pPr>
    </w:p>
    <w:p w14:paraId="5BF91967" w14:textId="77777777" w:rsidR="00C076F8" w:rsidRDefault="00D43A59" w:rsidP="00C076F8">
      <w:pPr>
        <w:spacing w:line="360" w:lineRule="auto"/>
        <w:jc w:val="both"/>
        <w:rPr>
          <w:rtl/>
        </w:rPr>
      </w:pPr>
      <w:r w:rsidRPr="00D43A59">
        <w:rPr>
          <w:color w:val="FFFFFF"/>
          <w:sz w:val="2"/>
          <w:szCs w:val="2"/>
          <w:rtl/>
        </w:rPr>
        <w:t>5129371</w:t>
      </w:r>
      <w:r w:rsidR="00C076F8">
        <w:rPr>
          <w:rtl/>
        </w:rPr>
        <w:tab/>
        <w:t>זכות ערעור לבית-המשפט המחוזי תוך 45 ימים.</w:t>
      </w:r>
    </w:p>
    <w:p w14:paraId="7E507E2C" w14:textId="77777777" w:rsidR="00C076F8" w:rsidRPr="00D43A59" w:rsidRDefault="00D43A59" w:rsidP="00C076F8">
      <w:pPr>
        <w:rPr>
          <w:rFonts w:ascii="Arial" w:hAnsi="Arial"/>
          <w:b/>
          <w:bCs/>
          <w:color w:val="FFFFFF"/>
          <w:sz w:val="2"/>
          <w:szCs w:val="2"/>
          <w:rtl/>
        </w:rPr>
      </w:pPr>
      <w:r w:rsidRPr="00D43A59">
        <w:rPr>
          <w:rFonts w:ascii="Arial" w:hAnsi="Arial"/>
          <w:b/>
          <w:bCs/>
          <w:color w:val="FFFFFF"/>
          <w:sz w:val="2"/>
          <w:szCs w:val="2"/>
          <w:rtl/>
        </w:rPr>
        <w:t>54678313</w:t>
      </w:r>
    </w:p>
    <w:p w14:paraId="7105648E" w14:textId="77777777" w:rsidR="00C076F8" w:rsidRPr="000F2247" w:rsidRDefault="00C076F8" w:rsidP="00C076F8">
      <w:pPr>
        <w:rPr>
          <w:rFonts w:ascii="Arial" w:hAnsi="Arial"/>
          <w:b/>
          <w:bCs/>
          <w:sz w:val="26"/>
          <w:szCs w:val="26"/>
          <w:rtl/>
        </w:rPr>
      </w:pPr>
    </w:p>
    <w:p w14:paraId="76EF7E1D" w14:textId="77777777" w:rsidR="00C076F8" w:rsidRPr="000F2247" w:rsidRDefault="00D43A59" w:rsidP="00C076F8">
      <w:pPr>
        <w:rPr>
          <w:rFonts w:ascii="Arial" w:hAnsi="Arial"/>
          <w:b/>
          <w:bCs/>
          <w:sz w:val="26"/>
          <w:szCs w:val="26"/>
          <w:rtl/>
        </w:rPr>
      </w:pPr>
      <w:bookmarkStart w:id="6" w:name="Nitan"/>
      <w:r>
        <w:rPr>
          <w:rFonts w:ascii="Arial" w:hAnsi="Arial"/>
          <w:b/>
          <w:bCs/>
          <w:sz w:val="26"/>
          <w:szCs w:val="26"/>
          <w:rtl/>
        </w:rPr>
        <w:t xml:space="preserve">ניתן היום,  י"א אדר ב' תשפ"ב, 14 מרץ 2022, בנוכחות הצדדים. </w:t>
      </w:r>
      <w:bookmarkEnd w:id="6"/>
    </w:p>
    <w:p w14:paraId="5CC61957" w14:textId="77777777" w:rsidR="00C076F8" w:rsidRPr="000F2247" w:rsidRDefault="00C076F8" w:rsidP="00D43A59">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6C713B8" w14:textId="77777777" w:rsidR="00C076F8" w:rsidRPr="000F2247" w:rsidRDefault="00C076F8" w:rsidP="00C076F8">
      <w:pPr>
        <w:jc w:val="center"/>
        <w:rPr>
          <w:rFonts w:ascii="Arial" w:hAnsi="Arial"/>
          <w:b/>
          <w:bCs/>
          <w:sz w:val="26"/>
          <w:szCs w:val="26"/>
          <w:rtl/>
        </w:rPr>
      </w:pPr>
    </w:p>
    <w:p w14:paraId="0E4C5004" w14:textId="77777777" w:rsidR="00CD0C4D" w:rsidRPr="00D43A59" w:rsidRDefault="00CD0C4D" w:rsidP="00D43A59">
      <w:pPr>
        <w:keepNext/>
        <w:rPr>
          <w:rFonts w:ascii="David" w:hAnsi="David"/>
          <w:color w:val="000000"/>
          <w:sz w:val="22"/>
          <w:szCs w:val="22"/>
          <w:rtl/>
        </w:rPr>
      </w:pPr>
    </w:p>
    <w:p w14:paraId="20A65896" w14:textId="77777777" w:rsidR="00D43A59" w:rsidRPr="00D43A59" w:rsidRDefault="00D43A59" w:rsidP="00D43A59">
      <w:pPr>
        <w:keepNext/>
        <w:rPr>
          <w:rFonts w:ascii="David" w:hAnsi="David"/>
          <w:color w:val="000000"/>
          <w:sz w:val="22"/>
          <w:szCs w:val="22"/>
          <w:rtl/>
        </w:rPr>
      </w:pPr>
      <w:r w:rsidRPr="00D43A59">
        <w:rPr>
          <w:rFonts w:ascii="David" w:hAnsi="David"/>
          <w:color w:val="000000"/>
          <w:sz w:val="22"/>
          <w:szCs w:val="22"/>
          <w:rtl/>
        </w:rPr>
        <w:t>אבישי כהן 54678313</w:t>
      </w:r>
    </w:p>
    <w:p w14:paraId="28A12FA3" w14:textId="77777777" w:rsidR="00D43A59" w:rsidRDefault="00D43A59" w:rsidP="00D43A59">
      <w:r w:rsidRPr="00D43A59">
        <w:rPr>
          <w:color w:val="000000"/>
          <w:rtl/>
        </w:rPr>
        <w:t>נוסח מסמך זה כפוף לשינויי ניסוח ועריכה</w:t>
      </w:r>
    </w:p>
    <w:p w14:paraId="4AAD3C15" w14:textId="77777777" w:rsidR="00D43A59" w:rsidRDefault="00D43A59" w:rsidP="00D43A59">
      <w:pPr>
        <w:rPr>
          <w:rtl/>
        </w:rPr>
      </w:pPr>
    </w:p>
    <w:p w14:paraId="72E6D07C" w14:textId="77777777" w:rsidR="00D43A59" w:rsidRDefault="00D43A59" w:rsidP="00D43A59">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1BD9239A" w14:textId="77777777" w:rsidR="00D43A59" w:rsidRPr="00D43A59" w:rsidRDefault="00D43A59" w:rsidP="00D43A59">
      <w:pPr>
        <w:jc w:val="center"/>
        <w:rPr>
          <w:color w:val="0000FF"/>
          <w:u w:val="single"/>
        </w:rPr>
      </w:pPr>
    </w:p>
    <w:sectPr w:rsidR="00D43A59" w:rsidRPr="00D43A59" w:rsidSect="00D43A59">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296B14" w14:textId="77777777" w:rsidR="00A535DE" w:rsidRDefault="00A535DE" w:rsidP="00740584">
      <w:r>
        <w:separator/>
      </w:r>
    </w:p>
  </w:endnote>
  <w:endnote w:type="continuationSeparator" w:id="0">
    <w:p w14:paraId="7DA668CE" w14:textId="77777777" w:rsidR="00A535DE" w:rsidRDefault="00A535DE" w:rsidP="00740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03B665" w14:textId="77777777" w:rsidR="00D43A59" w:rsidRDefault="00D43A59" w:rsidP="00D43A5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2793BA5" w14:textId="77777777" w:rsidR="001B46E0" w:rsidRPr="00D43A59" w:rsidRDefault="00D43A59" w:rsidP="00D43A5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8B9D53" w14:textId="77777777" w:rsidR="00D43A59" w:rsidRDefault="00D43A59" w:rsidP="00D43A5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C07A6">
      <w:rPr>
        <w:rFonts w:ascii="FrankRuehl" w:hAnsi="FrankRuehl" w:cs="FrankRuehl"/>
        <w:noProof/>
        <w:rtl/>
      </w:rPr>
      <w:t>1</w:t>
    </w:r>
    <w:r>
      <w:rPr>
        <w:rFonts w:ascii="FrankRuehl" w:hAnsi="FrankRuehl" w:cs="FrankRuehl"/>
        <w:rtl/>
      </w:rPr>
      <w:fldChar w:fldCharType="end"/>
    </w:r>
  </w:p>
  <w:p w14:paraId="1F1F79E2" w14:textId="77777777" w:rsidR="001B46E0" w:rsidRPr="00D43A59" w:rsidRDefault="00D43A59" w:rsidP="00D43A5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63DB7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88D267" w14:textId="77777777" w:rsidR="00A535DE" w:rsidRDefault="00A535DE" w:rsidP="00740584">
      <w:r>
        <w:separator/>
      </w:r>
    </w:p>
  </w:footnote>
  <w:footnote w:type="continuationSeparator" w:id="0">
    <w:p w14:paraId="74124608" w14:textId="77777777" w:rsidR="00A535DE" w:rsidRDefault="00A535DE" w:rsidP="007405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6EA014" w14:textId="77777777" w:rsidR="00D43A59" w:rsidRPr="00D43A59" w:rsidRDefault="00D43A59" w:rsidP="00D43A5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32041-03-21</w:t>
    </w:r>
    <w:r>
      <w:rPr>
        <w:rFonts w:ascii="David" w:hAnsi="David"/>
        <w:color w:val="000000"/>
        <w:sz w:val="22"/>
        <w:szCs w:val="22"/>
        <w:rtl/>
      </w:rPr>
      <w:tab/>
      <w:t xml:space="preserve"> מדינת ישראל נ' שי לוגסי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C2098" w14:textId="77777777" w:rsidR="00D43A59" w:rsidRPr="00D43A59" w:rsidRDefault="00D43A59" w:rsidP="00D43A5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32041-03-21</w:t>
    </w:r>
    <w:r>
      <w:rPr>
        <w:rFonts w:ascii="David" w:hAnsi="David"/>
        <w:color w:val="000000"/>
        <w:sz w:val="22"/>
        <w:szCs w:val="22"/>
        <w:rtl/>
      </w:rPr>
      <w:tab/>
      <w:t xml:space="preserve"> מדינת ישראל נ' שי לוגסי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A7438C"/>
    <w:multiLevelType w:val="hybridMultilevel"/>
    <w:tmpl w:val="3E9E89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3787CD7"/>
    <w:multiLevelType w:val="hybridMultilevel"/>
    <w:tmpl w:val="FD960CB8"/>
    <w:lvl w:ilvl="0" w:tplc="343C34D0">
      <w:start w:val="1"/>
      <w:numFmt w:val="hebrew1"/>
      <w:lvlText w:val="%1."/>
      <w:lvlJc w:val="left"/>
      <w:pPr>
        <w:ind w:left="720" w:hanging="360"/>
      </w:pPr>
      <w:rPr>
        <w:rFonts w:ascii="Calibri" w:eastAsia="Calibri" w:hAnsi="Calibri" w:cs="David"/>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49C255D"/>
    <w:multiLevelType w:val="hybridMultilevel"/>
    <w:tmpl w:val="906E5888"/>
    <w:lvl w:ilvl="0" w:tplc="8B221518">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65D735AF"/>
    <w:multiLevelType w:val="hybridMultilevel"/>
    <w:tmpl w:val="3BD2439C"/>
    <w:lvl w:ilvl="0" w:tplc="859401AA">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73AA09A2"/>
    <w:multiLevelType w:val="hybridMultilevel"/>
    <w:tmpl w:val="B5504920"/>
    <w:lvl w:ilvl="0" w:tplc="6D48CF20">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4280866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867582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140254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994786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735753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076F8"/>
    <w:rsid w:val="000D39FC"/>
    <w:rsid w:val="001B46E0"/>
    <w:rsid w:val="001B5A3B"/>
    <w:rsid w:val="002C07A6"/>
    <w:rsid w:val="002F2D03"/>
    <w:rsid w:val="00371FA6"/>
    <w:rsid w:val="004374D3"/>
    <w:rsid w:val="00467078"/>
    <w:rsid w:val="00726041"/>
    <w:rsid w:val="00740584"/>
    <w:rsid w:val="00A535DE"/>
    <w:rsid w:val="00C076F8"/>
    <w:rsid w:val="00C273CD"/>
    <w:rsid w:val="00CD0C4D"/>
    <w:rsid w:val="00D43A59"/>
    <w:rsid w:val="00E20E44"/>
    <w:rsid w:val="00E808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985A555"/>
  <w15:chartTrackingRefBased/>
  <w15:docId w15:val="{94BD7A84-A2BD-4213-806B-8532A62DA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076F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076F8"/>
    <w:pPr>
      <w:tabs>
        <w:tab w:val="center" w:pos="4153"/>
        <w:tab w:val="right" w:pos="8306"/>
      </w:tabs>
    </w:pPr>
  </w:style>
  <w:style w:type="character" w:customStyle="1" w:styleId="a4">
    <w:name w:val="כותרת עליונה תו"/>
    <w:link w:val="a3"/>
    <w:rsid w:val="00C076F8"/>
    <w:rPr>
      <w:rFonts w:ascii="Times New Roman" w:eastAsia="Times New Roman" w:hAnsi="Times New Roman" w:cs="David"/>
      <w:sz w:val="24"/>
      <w:szCs w:val="24"/>
    </w:rPr>
  </w:style>
  <w:style w:type="paragraph" w:styleId="a5">
    <w:name w:val="footer"/>
    <w:basedOn w:val="a"/>
    <w:link w:val="a6"/>
    <w:rsid w:val="00C076F8"/>
    <w:pPr>
      <w:tabs>
        <w:tab w:val="center" w:pos="4153"/>
        <w:tab w:val="right" w:pos="8306"/>
      </w:tabs>
    </w:pPr>
  </w:style>
  <w:style w:type="character" w:customStyle="1" w:styleId="a6">
    <w:name w:val="כותרת תחתונה תו"/>
    <w:link w:val="a5"/>
    <w:rsid w:val="00C076F8"/>
    <w:rPr>
      <w:rFonts w:ascii="Times New Roman" w:eastAsia="Times New Roman" w:hAnsi="Times New Roman" w:cs="David"/>
      <w:sz w:val="24"/>
      <w:szCs w:val="24"/>
    </w:rPr>
  </w:style>
  <w:style w:type="table" w:styleId="a7">
    <w:name w:val="Table Grid"/>
    <w:basedOn w:val="a1"/>
    <w:rsid w:val="00C076F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076F8"/>
  </w:style>
  <w:style w:type="character" w:customStyle="1" w:styleId="a9">
    <w:name w:val="פיסקת רשימה תו"/>
    <w:link w:val="aa"/>
    <w:locked/>
    <w:rsid w:val="00C076F8"/>
  </w:style>
  <w:style w:type="paragraph" w:styleId="aa">
    <w:name w:val="List Paragraph"/>
    <w:basedOn w:val="a"/>
    <w:link w:val="a9"/>
    <w:qFormat/>
    <w:rsid w:val="00C076F8"/>
    <w:pPr>
      <w:spacing w:after="160" w:line="256" w:lineRule="auto"/>
      <w:ind w:left="720"/>
      <w:contextualSpacing/>
    </w:pPr>
    <w:rPr>
      <w:rFonts w:ascii="Calibri" w:eastAsia="Calibri" w:hAnsi="Calibri" w:cs="Arial"/>
      <w:sz w:val="22"/>
      <w:szCs w:val="22"/>
    </w:rPr>
  </w:style>
  <w:style w:type="character" w:styleId="Hyperlink">
    <w:name w:val="Hyperlink"/>
    <w:rsid w:val="00D43A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4216/19a" TargetMode="External"/><Relationship Id="rId26" Type="http://schemas.openxmlformats.org/officeDocument/2006/relationships/hyperlink" Target="http://www.nevo.co.il/case/18793360" TargetMode="External"/><Relationship Id="rId39" Type="http://schemas.openxmlformats.org/officeDocument/2006/relationships/hyperlink" Target="http://www.nevo.co.il/law/70301" TargetMode="External"/><Relationship Id="rId21" Type="http://schemas.openxmlformats.org/officeDocument/2006/relationships/hyperlink" Target="http://www.nevo.co.il/case/21473042" TargetMode="External"/><Relationship Id="rId34" Type="http://schemas.openxmlformats.org/officeDocument/2006/relationships/hyperlink" Target="http://www.nevo.co.il/case/26619911" TargetMode="External"/><Relationship Id="rId42" Type="http://schemas.openxmlformats.org/officeDocument/2006/relationships/hyperlink" Target="http://www.nevo.co.il/law/70301" TargetMode="External"/><Relationship Id="rId47"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26120082"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20683594" TargetMode="External"/><Relationship Id="rId32" Type="http://schemas.openxmlformats.org/officeDocument/2006/relationships/hyperlink" Target="http://www.nevo.co.il/case/5704648" TargetMode="External"/><Relationship Id="rId37" Type="http://schemas.openxmlformats.org/officeDocument/2006/relationships/hyperlink" Target="http://www.nevo.co.il/case/25676342" TargetMode="External"/><Relationship Id="rId40" Type="http://schemas.openxmlformats.org/officeDocument/2006/relationships/hyperlink" Target="http://www.nevo.co.il/law/70301/40jc"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14" TargetMode="External"/><Relationship Id="rId23" Type="http://schemas.openxmlformats.org/officeDocument/2006/relationships/hyperlink" Target="http://www.nevo.co.il/case/20402486" TargetMode="External"/><Relationship Id="rId28" Type="http://schemas.openxmlformats.org/officeDocument/2006/relationships/hyperlink" Target="http://www.nevo.co.il/case/25193405" TargetMode="External"/><Relationship Id="rId36" Type="http://schemas.openxmlformats.org/officeDocument/2006/relationships/hyperlink" Target="http://www.nevo.co.il/case/27949424" TargetMode="External"/><Relationship Id="rId49" Type="http://schemas.openxmlformats.org/officeDocument/2006/relationships/theme" Target="theme/theme1.xml"/><Relationship Id="rId10" Type="http://schemas.openxmlformats.org/officeDocument/2006/relationships/hyperlink" Target="http://www.nevo.co.il/law/4216/19a" TargetMode="External"/><Relationship Id="rId19" Type="http://schemas.openxmlformats.org/officeDocument/2006/relationships/hyperlink" Target="http://www.nevo.co.il/case/13093721" TargetMode="External"/><Relationship Id="rId31" Type="http://schemas.openxmlformats.org/officeDocument/2006/relationships/hyperlink" Target="http://www.nevo.co.il/law/70301"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14" TargetMode="External"/><Relationship Id="rId14" Type="http://schemas.openxmlformats.org/officeDocument/2006/relationships/hyperlink" Target="http://www.nevo.co.il/law/70301/40jc" TargetMode="External"/><Relationship Id="rId22" Type="http://schemas.openxmlformats.org/officeDocument/2006/relationships/hyperlink" Target="http://www.nevo.co.il/case/5738608" TargetMode="External"/><Relationship Id="rId27" Type="http://schemas.openxmlformats.org/officeDocument/2006/relationships/hyperlink" Target="http://www.nevo.co.il/case/26122083" TargetMode="External"/><Relationship Id="rId30" Type="http://schemas.openxmlformats.org/officeDocument/2006/relationships/hyperlink" Target="http://www.nevo.co.il/law/70301/40i" TargetMode="External"/><Relationship Id="rId35" Type="http://schemas.openxmlformats.org/officeDocument/2006/relationships/hyperlink" Target="http://www.nevo.co.il/case/26926258"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law/70301/40i" TargetMode="External"/><Relationship Id="rId17" Type="http://schemas.openxmlformats.org/officeDocument/2006/relationships/hyperlink" Target="http://www.nevo.co.il/law/4216/13" TargetMode="External"/><Relationship Id="rId25" Type="http://schemas.openxmlformats.org/officeDocument/2006/relationships/hyperlink" Target="http://www.nevo.co.il/case/5600751" TargetMode="External"/><Relationship Id="rId33" Type="http://schemas.openxmlformats.org/officeDocument/2006/relationships/hyperlink" Target="http://www.nevo.co.il/case/22116530" TargetMode="External"/><Relationship Id="rId38" Type="http://schemas.openxmlformats.org/officeDocument/2006/relationships/hyperlink" Target="http://www.nevo.co.il/case/17978777" TargetMode="External"/><Relationship Id="rId46" Type="http://schemas.openxmlformats.org/officeDocument/2006/relationships/footer" Target="footer1.xml"/><Relationship Id="rId20" Type="http://schemas.openxmlformats.org/officeDocument/2006/relationships/hyperlink" Target="http://www.nevo.co.il/case/17023776" TargetMode="External"/><Relationship Id="rId41" Type="http://schemas.openxmlformats.org/officeDocument/2006/relationships/hyperlink" Target="http://www.nevo.co.il/law/70301/40ja"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2859</Words>
  <Characters>14300</Characters>
  <Application>Microsoft Office Word</Application>
  <DocSecurity>0</DocSecurity>
  <Lines>119</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17125</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7995492</vt:i4>
      </vt:variant>
      <vt:variant>
        <vt:i4>105</vt:i4>
      </vt:variant>
      <vt:variant>
        <vt:i4>0</vt:i4>
      </vt:variant>
      <vt:variant>
        <vt:i4>5</vt:i4>
      </vt:variant>
      <vt:variant>
        <vt:lpwstr>http://www.nevo.co.il/law/70301</vt:lpwstr>
      </vt:variant>
      <vt:variant>
        <vt:lpwstr/>
      </vt:variant>
      <vt:variant>
        <vt:i4>262155</vt:i4>
      </vt:variant>
      <vt:variant>
        <vt:i4>102</vt:i4>
      </vt:variant>
      <vt:variant>
        <vt:i4>0</vt:i4>
      </vt:variant>
      <vt:variant>
        <vt:i4>5</vt:i4>
      </vt:variant>
      <vt:variant>
        <vt:lpwstr>http://www.nevo.co.il/law/70301/40ja</vt:lpwstr>
      </vt:variant>
      <vt:variant>
        <vt:lpwstr/>
      </vt:variant>
      <vt:variant>
        <vt:i4>393227</vt:i4>
      </vt:variant>
      <vt:variant>
        <vt:i4>99</vt:i4>
      </vt:variant>
      <vt:variant>
        <vt:i4>0</vt:i4>
      </vt:variant>
      <vt:variant>
        <vt:i4>5</vt:i4>
      </vt:variant>
      <vt:variant>
        <vt:lpwstr>http://www.nevo.co.il/law/70301/40jc</vt:lpwstr>
      </vt:variant>
      <vt:variant>
        <vt:lpwstr/>
      </vt:variant>
      <vt:variant>
        <vt:i4>7995492</vt:i4>
      </vt:variant>
      <vt:variant>
        <vt:i4>96</vt:i4>
      </vt:variant>
      <vt:variant>
        <vt:i4>0</vt:i4>
      </vt:variant>
      <vt:variant>
        <vt:i4>5</vt:i4>
      </vt:variant>
      <vt:variant>
        <vt:lpwstr>http://www.nevo.co.il/law/70301</vt:lpwstr>
      </vt:variant>
      <vt:variant>
        <vt:lpwstr/>
      </vt:variant>
      <vt:variant>
        <vt:i4>3604595</vt:i4>
      </vt:variant>
      <vt:variant>
        <vt:i4>93</vt:i4>
      </vt:variant>
      <vt:variant>
        <vt:i4>0</vt:i4>
      </vt:variant>
      <vt:variant>
        <vt:i4>5</vt:i4>
      </vt:variant>
      <vt:variant>
        <vt:lpwstr>http://www.nevo.co.il/case/17978777</vt:lpwstr>
      </vt:variant>
      <vt:variant>
        <vt:lpwstr/>
      </vt:variant>
      <vt:variant>
        <vt:i4>3539061</vt:i4>
      </vt:variant>
      <vt:variant>
        <vt:i4>90</vt:i4>
      </vt:variant>
      <vt:variant>
        <vt:i4>0</vt:i4>
      </vt:variant>
      <vt:variant>
        <vt:i4>5</vt:i4>
      </vt:variant>
      <vt:variant>
        <vt:lpwstr>http://www.nevo.co.il/case/25676342</vt:lpwstr>
      </vt:variant>
      <vt:variant>
        <vt:lpwstr/>
      </vt:variant>
      <vt:variant>
        <vt:i4>3145843</vt:i4>
      </vt:variant>
      <vt:variant>
        <vt:i4>87</vt:i4>
      </vt:variant>
      <vt:variant>
        <vt:i4>0</vt:i4>
      </vt:variant>
      <vt:variant>
        <vt:i4>5</vt:i4>
      </vt:variant>
      <vt:variant>
        <vt:lpwstr>http://www.nevo.co.il/case/27949424</vt:lpwstr>
      </vt:variant>
      <vt:variant>
        <vt:lpwstr/>
      </vt:variant>
      <vt:variant>
        <vt:i4>3670130</vt:i4>
      </vt:variant>
      <vt:variant>
        <vt:i4>84</vt:i4>
      </vt:variant>
      <vt:variant>
        <vt:i4>0</vt:i4>
      </vt:variant>
      <vt:variant>
        <vt:i4>5</vt:i4>
      </vt:variant>
      <vt:variant>
        <vt:lpwstr>http://www.nevo.co.il/case/26926258</vt:lpwstr>
      </vt:variant>
      <vt:variant>
        <vt:lpwstr/>
      </vt:variant>
      <vt:variant>
        <vt:i4>3932282</vt:i4>
      </vt:variant>
      <vt:variant>
        <vt:i4>81</vt:i4>
      </vt:variant>
      <vt:variant>
        <vt:i4>0</vt:i4>
      </vt:variant>
      <vt:variant>
        <vt:i4>5</vt:i4>
      </vt:variant>
      <vt:variant>
        <vt:lpwstr>http://www.nevo.co.il/case/26619911</vt:lpwstr>
      </vt:variant>
      <vt:variant>
        <vt:lpwstr/>
      </vt:variant>
      <vt:variant>
        <vt:i4>3539058</vt:i4>
      </vt:variant>
      <vt:variant>
        <vt:i4>78</vt:i4>
      </vt:variant>
      <vt:variant>
        <vt:i4>0</vt:i4>
      </vt:variant>
      <vt:variant>
        <vt:i4>5</vt:i4>
      </vt:variant>
      <vt:variant>
        <vt:lpwstr>http://www.nevo.co.il/case/22116530</vt:lpwstr>
      </vt:variant>
      <vt:variant>
        <vt:lpwstr/>
      </vt:variant>
      <vt:variant>
        <vt:i4>3866739</vt:i4>
      </vt:variant>
      <vt:variant>
        <vt:i4>75</vt:i4>
      </vt:variant>
      <vt:variant>
        <vt:i4>0</vt:i4>
      </vt:variant>
      <vt:variant>
        <vt:i4>5</vt:i4>
      </vt:variant>
      <vt:variant>
        <vt:lpwstr>http://www.nevo.co.il/case/5704648</vt:lpwstr>
      </vt:variant>
      <vt:variant>
        <vt:lpwstr/>
      </vt:variant>
      <vt:variant>
        <vt:i4>7995492</vt:i4>
      </vt:variant>
      <vt:variant>
        <vt:i4>72</vt:i4>
      </vt:variant>
      <vt:variant>
        <vt:i4>0</vt:i4>
      </vt:variant>
      <vt:variant>
        <vt:i4>5</vt:i4>
      </vt:variant>
      <vt:variant>
        <vt:lpwstr>http://www.nevo.co.il/law/70301</vt:lpwstr>
      </vt:variant>
      <vt:variant>
        <vt:lpwstr/>
      </vt:variant>
      <vt:variant>
        <vt:i4>6619233</vt:i4>
      </vt:variant>
      <vt:variant>
        <vt:i4>69</vt:i4>
      </vt:variant>
      <vt:variant>
        <vt:i4>0</vt:i4>
      </vt:variant>
      <vt:variant>
        <vt:i4>5</vt:i4>
      </vt:variant>
      <vt:variant>
        <vt:lpwstr>http://www.nevo.co.il/law/70301/40i</vt:lpwstr>
      </vt:variant>
      <vt:variant>
        <vt:lpwstr/>
      </vt:variant>
      <vt:variant>
        <vt:i4>3866736</vt:i4>
      </vt:variant>
      <vt:variant>
        <vt:i4>66</vt:i4>
      </vt:variant>
      <vt:variant>
        <vt:i4>0</vt:i4>
      </vt:variant>
      <vt:variant>
        <vt:i4>5</vt:i4>
      </vt:variant>
      <vt:variant>
        <vt:lpwstr>http://www.nevo.co.il/case/26120082</vt:lpwstr>
      </vt:variant>
      <vt:variant>
        <vt:lpwstr/>
      </vt:variant>
      <vt:variant>
        <vt:i4>3145852</vt:i4>
      </vt:variant>
      <vt:variant>
        <vt:i4>63</vt:i4>
      </vt:variant>
      <vt:variant>
        <vt:i4>0</vt:i4>
      </vt:variant>
      <vt:variant>
        <vt:i4>5</vt:i4>
      </vt:variant>
      <vt:variant>
        <vt:lpwstr>http://www.nevo.co.il/case/25193405</vt:lpwstr>
      </vt:variant>
      <vt:variant>
        <vt:lpwstr/>
      </vt:variant>
      <vt:variant>
        <vt:i4>3735664</vt:i4>
      </vt:variant>
      <vt:variant>
        <vt:i4>60</vt:i4>
      </vt:variant>
      <vt:variant>
        <vt:i4>0</vt:i4>
      </vt:variant>
      <vt:variant>
        <vt:i4>5</vt:i4>
      </vt:variant>
      <vt:variant>
        <vt:lpwstr>http://www.nevo.co.il/case/26122083</vt:lpwstr>
      </vt:variant>
      <vt:variant>
        <vt:lpwstr/>
      </vt:variant>
      <vt:variant>
        <vt:i4>3342454</vt:i4>
      </vt:variant>
      <vt:variant>
        <vt:i4>57</vt:i4>
      </vt:variant>
      <vt:variant>
        <vt:i4>0</vt:i4>
      </vt:variant>
      <vt:variant>
        <vt:i4>5</vt:i4>
      </vt:variant>
      <vt:variant>
        <vt:lpwstr>http://www.nevo.co.il/case/18793360</vt:lpwstr>
      </vt:variant>
      <vt:variant>
        <vt:lpwstr/>
      </vt:variant>
      <vt:variant>
        <vt:i4>3342455</vt:i4>
      </vt:variant>
      <vt:variant>
        <vt:i4>54</vt:i4>
      </vt:variant>
      <vt:variant>
        <vt:i4>0</vt:i4>
      </vt:variant>
      <vt:variant>
        <vt:i4>5</vt:i4>
      </vt:variant>
      <vt:variant>
        <vt:lpwstr>http://www.nevo.co.il/case/5600751</vt:lpwstr>
      </vt:variant>
      <vt:variant>
        <vt:lpwstr/>
      </vt:variant>
      <vt:variant>
        <vt:i4>4063353</vt:i4>
      </vt:variant>
      <vt:variant>
        <vt:i4>51</vt:i4>
      </vt:variant>
      <vt:variant>
        <vt:i4>0</vt:i4>
      </vt:variant>
      <vt:variant>
        <vt:i4>5</vt:i4>
      </vt:variant>
      <vt:variant>
        <vt:lpwstr>http://www.nevo.co.il/case/20683594</vt:lpwstr>
      </vt:variant>
      <vt:variant>
        <vt:lpwstr/>
      </vt:variant>
      <vt:variant>
        <vt:i4>3932272</vt:i4>
      </vt:variant>
      <vt:variant>
        <vt:i4>48</vt:i4>
      </vt:variant>
      <vt:variant>
        <vt:i4>0</vt:i4>
      </vt:variant>
      <vt:variant>
        <vt:i4>5</vt:i4>
      </vt:variant>
      <vt:variant>
        <vt:lpwstr>http://www.nevo.co.il/case/20402486</vt:lpwstr>
      </vt:variant>
      <vt:variant>
        <vt:lpwstr/>
      </vt:variant>
      <vt:variant>
        <vt:i4>3670139</vt:i4>
      </vt:variant>
      <vt:variant>
        <vt:i4>45</vt:i4>
      </vt:variant>
      <vt:variant>
        <vt:i4>0</vt:i4>
      </vt:variant>
      <vt:variant>
        <vt:i4>5</vt:i4>
      </vt:variant>
      <vt:variant>
        <vt:lpwstr>http://www.nevo.co.il/case/5738608</vt:lpwstr>
      </vt:variant>
      <vt:variant>
        <vt:lpwstr/>
      </vt:variant>
      <vt:variant>
        <vt:i4>3211378</vt:i4>
      </vt:variant>
      <vt:variant>
        <vt:i4>42</vt:i4>
      </vt:variant>
      <vt:variant>
        <vt:i4>0</vt:i4>
      </vt:variant>
      <vt:variant>
        <vt:i4>5</vt:i4>
      </vt:variant>
      <vt:variant>
        <vt:lpwstr>http://www.nevo.co.il/case/21473042</vt:lpwstr>
      </vt:variant>
      <vt:variant>
        <vt:lpwstr/>
      </vt:variant>
      <vt:variant>
        <vt:i4>3473526</vt:i4>
      </vt:variant>
      <vt:variant>
        <vt:i4>39</vt:i4>
      </vt:variant>
      <vt:variant>
        <vt:i4>0</vt:i4>
      </vt:variant>
      <vt:variant>
        <vt:i4>5</vt:i4>
      </vt:variant>
      <vt:variant>
        <vt:lpwstr>http://www.nevo.co.il/case/17023776</vt:lpwstr>
      </vt:variant>
      <vt:variant>
        <vt:lpwstr/>
      </vt:variant>
      <vt:variant>
        <vt:i4>3145849</vt:i4>
      </vt:variant>
      <vt:variant>
        <vt:i4>36</vt:i4>
      </vt:variant>
      <vt:variant>
        <vt:i4>0</vt:i4>
      </vt:variant>
      <vt:variant>
        <vt:i4>5</vt:i4>
      </vt:variant>
      <vt:variant>
        <vt:lpwstr>http://www.nevo.co.il/case/13093721</vt:lpwstr>
      </vt:variant>
      <vt:variant>
        <vt:lpwstr/>
      </vt:variant>
      <vt:variant>
        <vt:i4>3014771</vt:i4>
      </vt:variant>
      <vt:variant>
        <vt:i4>33</vt:i4>
      </vt:variant>
      <vt:variant>
        <vt:i4>0</vt:i4>
      </vt:variant>
      <vt:variant>
        <vt:i4>5</vt:i4>
      </vt:variant>
      <vt:variant>
        <vt:lpwstr>http://www.nevo.co.il/law/4216/19a</vt:lpwstr>
      </vt:variant>
      <vt:variant>
        <vt:lpwstr/>
      </vt:variant>
      <vt:variant>
        <vt:i4>5177418</vt:i4>
      </vt:variant>
      <vt:variant>
        <vt:i4>30</vt:i4>
      </vt:variant>
      <vt:variant>
        <vt:i4>0</vt:i4>
      </vt:variant>
      <vt:variant>
        <vt:i4>5</vt:i4>
      </vt:variant>
      <vt:variant>
        <vt:lpwstr>http://www.nevo.co.il/law/4216/13</vt:lpwstr>
      </vt:variant>
      <vt:variant>
        <vt:lpwstr/>
      </vt:variant>
      <vt:variant>
        <vt:i4>8257637</vt:i4>
      </vt:variant>
      <vt:variant>
        <vt:i4>27</vt:i4>
      </vt:variant>
      <vt:variant>
        <vt:i4>0</vt:i4>
      </vt:variant>
      <vt:variant>
        <vt:i4>5</vt:i4>
      </vt:variant>
      <vt:variant>
        <vt:lpwstr>http://www.nevo.co.il/law/4216</vt:lpwstr>
      </vt:variant>
      <vt:variant>
        <vt:lpwstr/>
      </vt:variant>
      <vt:variant>
        <vt:i4>5177418</vt:i4>
      </vt:variant>
      <vt:variant>
        <vt:i4>24</vt:i4>
      </vt:variant>
      <vt:variant>
        <vt:i4>0</vt:i4>
      </vt:variant>
      <vt:variant>
        <vt:i4>5</vt:i4>
      </vt:variant>
      <vt:variant>
        <vt:lpwstr>http://www.nevo.co.il/law/4216/14</vt:lpwstr>
      </vt:variant>
      <vt:variant>
        <vt:lpwstr/>
      </vt:variant>
      <vt:variant>
        <vt:i4>393227</vt:i4>
      </vt:variant>
      <vt:variant>
        <vt:i4>21</vt:i4>
      </vt:variant>
      <vt:variant>
        <vt:i4>0</vt:i4>
      </vt:variant>
      <vt:variant>
        <vt:i4>5</vt:i4>
      </vt:variant>
      <vt:variant>
        <vt:lpwstr>http://www.nevo.co.il/law/70301/40jc</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7995492</vt:i4>
      </vt:variant>
      <vt:variant>
        <vt:i4>12</vt:i4>
      </vt:variant>
      <vt:variant>
        <vt:i4>0</vt:i4>
      </vt:variant>
      <vt:variant>
        <vt:i4>5</vt:i4>
      </vt:variant>
      <vt:variant>
        <vt:lpwstr>http://www.nevo.co.il/law/70301</vt:lpwstr>
      </vt:variant>
      <vt:variant>
        <vt:lpwstr/>
      </vt:variant>
      <vt:variant>
        <vt:i4>3014771</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http://www.nevo.co.il/law/4216/14</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2025-04-23T00:57:00Z</dcterms:created>
  <dcterms:modified xsi:type="dcterms:W3CDTF">2025-04-23T00:57:00Z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32041</vt:lpwstr>
  </property>
  <property fmtid="{D5CDD505-2E9C-101B-9397-08002B2CF9AE}" pid="6" name="NEWPARTB">
    <vt:lpwstr>03</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שי לוגסי</vt:lpwstr>
  </property>
  <property fmtid="{D5CDD505-2E9C-101B-9397-08002B2CF9AE}" pid="10" name="LAWYER">
    <vt:lpwstr>קטיה מזור;אונגר</vt:lpwstr>
  </property>
  <property fmtid="{D5CDD505-2E9C-101B-9397-08002B2CF9AE}" pid="11" name="JUDGE">
    <vt:lpwstr>אבישי כהן</vt:lpwstr>
  </property>
  <property fmtid="{D5CDD505-2E9C-101B-9397-08002B2CF9AE}" pid="12" name="CITY">
    <vt:lpwstr>ב"ש</vt:lpwstr>
  </property>
  <property fmtid="{D5CDD505-2E9C-101B-9397-08002B2CF9AE}" pid="13" name="DATE">
    <vt:lpwstr>20220314</vt:lpwstr>
  </property>
  <property fmtid="{D5CDD505-2E9C-101B-9397-08002B2CF9AE}" pid="14" name="TYPE_N_DATE">
    <vt:lpwstr>38020220314</vt:lpwstr>
  </property>
  <property fmtid="{D5CDD505-2E9C-101B-9397-08002B2CF9AE}" pid="15" name="WORDNUMPAGES">
    <vt:lpwstr>8</vt:lpwstr>
  </property>
  <property fmtid="{D5CDD505-2E9C-101B-9397-08002B2CF9AE}" pid="16" name="TYPE_ABS_DATE">
    <vt:lpwstr>380020220314</vt:lpwstr>
  </property>
  <property fmtid="{D5CDD505-2E9C-101B-9397-08002B2CF9AE}" pid="17" name="CASESLISTTMP1">
    <vt:lpwstr>13093721;17023776;21473042;5738608;20402486;20683594;5600751;18793360;26122083;25193405;26120082;5704648;22116530;26619911;26926258;27949424;25676342;17978777</vt:lpwstr>
  </property>
  <property fmtid="{D5CDD505-2E9C-101B-9397-08002B2CF9AE}" pid="18" name="LAWLISTTMP1">
    <vt:lpwstr>4216/014;013;019a</vt:lpwstr>
  </property>
  <property fmtid="{D5CDD505-2E9C-101B-9397-08002B2CF9AE}" pid="19" name="LAWLISTTMP2">
    <vt:lpwstr>70301/040i;40jc;40ja</vt:lpwstr>
  </property>
</Properties>
</file>