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D3006" w:rsidRPr="00A847E2" w14:paraId="465881AF" w14:textId="77777777" w:rsidTr="002F505B">
        <w:trPr>
          <w:trHeight w:hRule="exact" w:val="418"/>
          <w:jc w:val="center"/>
        </w:trPr>
        <w:tc>
          <w:tcPr>
            <w:tcW w:w="8721" w:type="dxa"/>
            <w:gridSpan w:val="2"/>
          </w:tcPr>
          <w:p w14:paraId="738EBF94" w14:textId="77777777" w:rsidR="00ED3006" w:rsidRPr="00A847E2" w:rsidRDefault="00ED3006" w:rsidP="0093612A">
            <w:pPr>
              <w:pStyle w:val="a3"/>
              <w:jc w:val="center"/>
              <w:rPr>
                <w:rFonts w:ascii="Tahoma" w:hAnsi="Tahoma" w:cs="Tahoma"/>
                <w:color w:val="000080"/>
                <w:rtl/>
              </w:rPr>
            </w:pPr>
            <w:r w:rsidRPr="00A847E2">
              <w:rPr>
                <w:rFonts w:ascii="Tahoma" w:hAnsi="Tahoma" w:cs="Tahoma"/>
                <w:b/>
                <w:bCs/>
                <w:color w:val="000080"/>
                <w:rtl/>
              </w:rPr>
              <w:t>בית משפט השלום בבאר שבע</w:t>
            </w:r>
          </w:p>
        </w:tc>
      </w:tr>
      <w:tr w:rsidR="00ED3006" w:rsidRPr="00A847E2" w14:paraId="47172218" w14:textId="77777777" w:rsidTr="002F505B">
        <w:trPr>
          <w:trHeight w:val="337"/>
          <w:jc w:val="center"/>
        </w:trPr>
        <w:tc>
          <w:tcPr>
            <w:tcW w:w="5059" w:type="dxa"/>
          </w:tcPr>
          <w:p w14:paraId="4C73E639" w14:textId="77777777" w:rsidR="00ED3006" w:rsidRPr="00A847E2" w:rsidRDefault="00ED3006" w:rsidP="0093612A">
            <w:pPr>
              <w:rPr>
                <w:rFonts w:ascii="David" w:hAnsi="David"/>
                <w:b/>
                <w:bCs/>
                <w:sz w:val="26"/>
                <w:szCs w:val="26"/>
                <w:rtl/>
              </w:rPr>
            </w:pPr>
            <w:r w:rsidRPr="00A847E2">
              <w:rPr>
                <w:rFonts w:ascii="David" w:hAnsi="David"/>
                <w:b/>
                <w:bCs/>
                <w:sz w:val="26"/>
                <w:szCs w:val="26"/>
                <w:rtl/>
              </w:rPr>
              <w:t xml:space="preserve">ת"פ </w:t>
            </w:r>
            <w:hyperlink r:id="rId7" w:history="1">
              <w:r w:rsidR="00FD3B8D" w:rsidRPr="00FD3B8D">
                <w:rPr>
                  <w:rFonts w:ascii="David" w:hAnsi="David"/>
                  <w:b/>
                  <w:bCs/>
                  <w:color w:val="0000FF"/>
                  <w:sz w:val="26"/>
                  <w:szCs w:val="26"/>
                  <w:u w:val="single"/>
                  <w:rtl/>
                </w:rPr>
                <w:t xml:space="preserve">43263-03-21 </w:t>
              </w:r>
            </w:hyperlink>
            <w:r w:rsidRPr="00A847E2">
              <w:rPr>
                <w:rFonts w:ascii="David" w:hAnsi="David"/>
                <w:b/>
                <w:bCs/>
                <w:sz w:val="26"/>
                <w:szCs w:val="26"/>
                <w:rtl/>
              </w:rPr>
              <w:t xml:space="preserve"> מדינת ישראל נ' לנקרי(עציר)</w:t>
            </w:r>
          </w:p>
          <w:p w14:paraId="1553F5C5" w14:textId="77777777" w:rsidR="00ED3006" w:rsidRPr="00A847E2" w:rsidRDefault="00ED3006" w:rsidP="0093612A">
            <w:pPr>
              <w:pStyle w:val="a3"/>
              <w:rPr>
                <w:rFonts w:cs="FrankRuehl"/>
                <w:sz w:val="28"/>
                <w:szCs w:val="28"/>
                <w:rtl/>
              </w:rPr>
            </w:pPr>
          </w:p>
        </w:tc>
        <w:tc>
          <w:tcPr>
            <w:tcW w:w="3662" w:type="dxa"/>
          </w:tcPr>
          <w:p w14:paraId="510850F8" w14:textId="77777777" w:rsidR="00ED3006" w:rsidRPr="00A847E2" w:rsidRDefault="00ED3006" w:rsidP="0093612A">
            <w:pPr>
              <w:pStyle w:val="a3"/>
              <w:jc w:val="right"/>
              <w:rPr>
                <w:rFonts w:cs="FrankRuehl"/>
                <w:sz w:val="28"/>
                <w:szCs w:val="28"/>
                <w:rtl/>
              </w:rPr>
            </w:pPr>
          </w:p>
        </w:tc>
      </w:tr>
    </w:tbl>
    <w:p w14:paraId="5D83D10D" w14:textId="77777777" w:rsidR="00ED3006" w:rsidRPr="00A847E2" w:rsidRDefault="00ED3006" w:rsidP="00ED3006">
      <w:pPr>
        <w:pStyle w:val="a3"/>
        <w:rPr>
          <w:rtl/>
        </w:rPr>
      </w:pPr>
      <w:r w:rsidRPr="00A847E2">
        <w:rPr>
          <w:rFonts w:hint="cs"/>
          <w:rtl/>
        </w:rPr>
        <w:t xml:space="preserve"> </w:t>
      </w:r>
    </w:p>
    <w:p w14:paraId="24F7D3DD" w14:textId="77777777" w:rsidR="00ED3006" w:rsidRPr="00A847E2" w:rsidRDefault="00ED3006" w:rsidP="00ED3006">
      <w:pPr>
        <w:rPr>
          <w:rtl/>
        </w:rPr>
      </w:pPr>
    </w:p>
    <w:p w14:paraId="52878D97" w14:textId="77777777" w:rsidR="00ED3006" w:rsidRPr="00A847E2" w:rsidRDefault="00ED3006" w:rsidP="00ED300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D3006" w:rsidRPr="00A847E2" w14:paraId="780C9D85" w14:textId="77777777" w:rsidTr="00ED3006">
        <w:trPr>
          <w:trHeight w:val="295"/>
          <w:jc w:val="center"/>
        </w:trPr>
        <w:tc>
          <w:tcPr>
            <w:tcW w:w="923" w:type="dxa"/>
            <w:tcBorders>
              <w:top w:val="nil"/>
              <w:left w:val="nil"/>
              <w:bottom w:val="nil"/>
              <w:right w:val="nil"/>
            </w:tcBorders>
            <w:shd w:val="clear" w:color="auto" w:fill="auto"/>
          </w:tcPr>
          <w:p w14:paraId="354FBE8F" w14:textId="77777777" w:rsidR="00ED3006" w:rsidRPr="00A847E2" w:rsidRDefault="00ED3006" w:rsidP="00ED3006">
            <w:pPr>
              <w:jc w:val="both"/>
              <w:rPr>
                <w:rFonts w:ascii="David" w:hAnsi="David"/>
                <w:b/>
                <w:bCs/>
                <w:sz w:val="26"/>
                <w:szCs w:val="26"/>
              </w:rPr>
            </w:pPr>
            <w:r w:rsidRPr="00A847E2">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4F4E5295" w14:textId="77777777" w:rsidR="00ED3006" w:rsidRPr="00A847E2" w:rsidRDefault="00ED3006" w:rsidP="0093612A">
            <w:pPr>
              <w:rPr>
                <w:rFonts w:ascii="David" w:hAnsi="David"/>
                <w:b/>
                <w:bCs/>
                <w:sz w:val="26"/>
                <w:szCs w:val="26"/>
                <w:rtl/>
              </w:rPr>
            </w:pPr>
            <w:r w:rsidRPr="00A847E2">
              <w:rPr>
                <w:rFonts w:ascii="David" w:hAnsi="David"/>
                <w:b/>
                <w:bCs/>
                <w:sz w:val="26"/>
                <w:szCs w:val="26"/>
                <w:rtl/>
              </w:rPr>
              <w:t>כבוד השופטת, סגנית הנשיא  ענת חולתא</w:t>
            </w:r>
          </w:p>
          <w:p w14:paraId="0AC307C8" w14:textId="77777777" w:rsidR="00ED3006" w:rsidRPr="00A847E2" w:rsidRDefault="00ED3006" w:rsidP="0093612A">
            <w:pPr>
              <w:rPr>
                <w:rFonts w:ascii="David" w:hAnsi="David"/>
                <w:b/>
                <w:bCs/>
                <w:sz w:val="26"/>
                <w:szCs w:val="26"/>
                <w:rtl/>
              </w:rPr>
            </w:pPr>
          </w:p>
          <w:p w14:paraId="770E3B7A" w14:textId="77777777" w:rsidR="00ED3006" w:rsidRPr="00A847E2" w:rsidRDefault="00ED3006" w:rsidP="00ED3006">
            <w:pPr>
              <w:jc w:val="both"/>
              <w:rPr>
                <w:rFonts w:ascii="David" w:hAnsi="David"/>
                <w:b/>
                <w:bCs/>
                <w:sz w:val="26"/>
                <w:szCs w:val="26"/>
              </w:rPr>
            </w:pPr>
          </w:p>
        </w:tc>
      </w:tr>
      <w:tr w:rsidR="00ED3006" w:rsidRPr="00A847E2" w14:paraId="768F89F1" w14:textId="77777777" w:rsidTr="00ED3006">
        <w:trPr>
          <w:trHeight w:val="355"/>
          <w:jc w:val="center"/>
        </w:trPr>
        <w:tc>
          <w:tcPr>
            <w:tcW w:w="923" w:type="dxa"/>
            <w:tcBorders>
              <w:top w:val="nil"/>
              <w:left w:val="nil"/>
              <w:bottom w:val="nil"/>
              <w:right w:val="nil"/>
            </w:tcBorders>
            <w:shd w:val="clear" w:color="auto" w:fill="auto"/>
          </w:tcPr>
          <w:p w14:paraId="1703EE3B" w14:textId="77777777" w:rsidR="00ED3006" w:rsidRPr="00A847E2" w:rsidRDefault="00ED3006" w:rsidP="00ED3006">
            <w:pPr>
              <w:jc w:val="both"/>
              <w:rPr>
                <w:rFonts w:ascii="David" w:hAnsi="David"/>
                <w:b/>
                <w:bCs/>
                <w:sz w:val="26"/>
                <w:szCs w:val="26"/>
              </w:rPr>
            </w:pPr>
            <w:bookmarkStart w:id="0" w:name="FirstAppellant"/>
            <w:bookmarkStart w:id="1" w:name="LastJudge"/>
            <w:bookmarkEnd w:id="1"/>
            <w:r w:rsidRPr="00A847E2">
              <w:rPr>
                <w:rFonts w:ascii="David" w:hAnsi="David"/>
                <w:b/>
                <w:bCs/>
                <w:sz w:val="26"/>
                <w:szCs w:val="26"/>
                <w:rtl/>
              </w:rPr>
              <w:t>בעניין:</w:t>
            </w:r>
          </w:p>
        </w:tc>
        <w:tc>
          <w:tcPr>
            <w:tcW w:w="4126" w:type="dxa"/>
            <w:tcBorders>
              <w:top w:val="nil"/>
              <w:left w:val="nil"/>
              <w:bottom w:val="nil"/>
              <w:right w:val="nil"/>
            </w:tcBorders>
            <w:shd w:val="clear" w:color="auto" w:fill="auto"/>
          </w:tcPr>
          <w:p w14:paraId="0CD70B1A" w14:textId="77777777" w:rsidR="00ED3006" w:rsidRPr="00A847E2" w:rsidRDefault="00ED3006" w:rsidP="0093612A">
            <w:pPr>
              <w:rPr>
                <w:rFonts w:ascii="David" w:hAnsi="David"/>
                <w:b/>
                <w:bCs/>
                <w:sz w:val="26"/>
                <w:szCs w:val="26"/>
              </w:rPr>
            </w:pPr>
            <w:r w:rsidRPr="00A847E2">
              <w:rPr>
                <w:rFonts w:ascii="David" w:hAnsi="David"/>
                <w:b/>
                <w:bCs/>
                <w:sz w:val="26"/>
                <w:szCs w:val="26"/>
                <w:rtl/>
              </w:rPr>
              <w:t>מדינת ישראל</w:t>
            </w:r>
            <w:r w:rsidRPr="00A847E2">
              <w:rPr>
                <w:rFonts w:ascii="David" w:hAnsi="David" w:hint="cs"/>
                <w:b/>
                <w:bCs/>
                <w:sz w:val="26"/>
                <w:szCs w:val="26"/>
                <w:rtl/>
              </w:rPr>
              <w:t>-תביעות נגב</w:t>
            </w:r>
          </w:p>
        </w:tc>
        <w:tc>
          <w:tcPr>
            <w:tcW w:w="3771" w:type="dxa"/>
            <w:tcBorders>
              <w:top w:val="nil"/>
              <w:left w:val="nil"/>
              <w:bottom w:val="nil"/>
              <w:right w:val="nil"/>
            </w:tcBorders>
            <w:shd w:val="clear" w:color="auto" w:fill="auto"/>
          </w:tcPr>
          <w:p w14:paraId="30D1AABB" w14:textId="77777777" w:rsidR="00ED3006" w:rsidRPr="00A847E2" w:rsidRDefault="00ED3006" w:rsidP="00ED3006">
            <w:pPr>
              <w:jc w:val="both"/>
              <w:rPr>
                <w:rFonts w:ascii="David" w:hAnsi="David"/>
                <w:b/>
                <w:bCs/>
                <w:sz w:val="26"/>
                <w:szCs w:val="26"/>
              </w:rPr>
            </w:pPr>
          </w:p>
        </w:tc>
      </w:tr>
      <w:tr w:rsidR="00ED3006" w:rsidRPr="00A847E2" w14:paraId="25A563E1" w14:textId="77777777" w:rsidTr="00ED3006">
        <w:trPr>
          <w:trHeight w:val="355"/>
          <w:jc w:val="center"/>
        </w:trPr>
        <w:tc>
          <w:tcPr>
            <w:tcW w:w="923" w:type="dxa"/>
            <w:tcBorders>
              <w:top w:val="nil"/>
              <w:left w:val="nil"/>
              <w:bottom w:val="nil"/>
              <w:right w:val="nil"/>
            </w:tcBorders>
            <w:shd w:val="clear" w:color="auto" w:fill="auto"/>
          </w:tcPr>
          <w:p w14:paraId="7BABE3B9" w14:textId="77777777" w:rsidR="00ED3006" w:rsidRPr="00A847E2" w:rsidRDefault="00ED3006" w:rsidP="00ED3006">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0C4C361B" w14:textId="77777777" w:rsidR="00ED3006" w:rsidRPr="00A847E2" w:rsidRDefault="00ED3006" w:rsidP="00ED3006">
            <w:pPr>
              <w:jc w:val="both"/>
              <w:rPr>
                <w:rFonts w:ascii="David" w:hAnsi="David"/>
                <w:b/>
                <w:bCs/>
                <w:sz w:val="26"/>
                <w:szCs w:val="26"/>
                <w:rtl/>
              </w:rPr>
            </w:pPr>
            <w:r w:rsidRPr="00A847E2">
              <w:rPr>
                <w:rFonts w:ascii="David" w:hAnsi="David" w:hint="cs"/>
                <w:b/>
                <w:bCs/>
                <w:sz w:val="26"/>
                <w:szCs w:val="26"/>
                <w:rtl/>
              </w:rPr>
              <w:t>ע"י ב"כ עו"ד לי גורמן</w:t>
            </w:r>
          </w:p>
        </w:tc>
        <w:tc>
          <w:tcPr>
            <w:tcW w:w="3771" w:type="dxa"/>
            <w:tcBorders>
              <w:top w:val="nil"/>
              <w:left w:val="nil"/>
              <w:bottom w:val="nil"/>
              <w:right w:val="nil"/>
            </w:tcBorders>
            <w:shd w:val="clear" w:color="auto" w:fill="auto"/>
          </w:tcPr>
          <w:p w14:paraId="62C47410" w14:textId="77777777" w:rsidR="00ED3006" w:rsidRPr="00A847E2" w:rsidRDefault="00ED3006" w:rsidP="00ED3006">
            <w:pPr>
              <w:jc w:val="right"/>
              <w:rPr>
                <w:rFonts w:ascii="David" w:hAnsi="David"/>
                <w:b/>
                <w:bCs/>
                <w:sz w:val="26"/>
                <w:szCs w:val="26"/>
                <w:rtl/>
              </w:rPr>
            </w:pPr>
            <w:r w:rsidRPr="00A847E2">
              <w:rPr>
                <w:rFonts w:ascii="David" w:hAnsi="David"/>
                <w:b/>
                <w:bCs/>
                <w:sz w:val="26"/>
                <w:szCs w:val="26"/>
                <w:rtl/>
              </w:rPr>
              <w:t>המאשימה</w:t>
            </w:r>
          </w:p>
        </w:tc>
      </w:tr>
      <w:bookmarkEnd w:id="2"/>
      <w:tr w:rsidR="00ED3006" w:rsidRPr="00A847E2" w14:paraId="285CA355" w14:textId="77777777" w:rsidTr="00ED3006">
        <w:trPr>
          <w:trHeight w:val="355"/>
          <w:jc w:val="center"/>
        </w:trPr>
        <w:tc>
          <w:tcPr>
            <w:tcW w:w="923" w:type="dxa"/>
            <w:tcBorders>
              <w:top w:val="nil"/>
              <w:left w:val="nil"/>
              <w:bottom w:val="nil"/>
              <w:right w:val="nil"/>
            </w:tcBorders>
            <w:shd w:val="clear" w:color="auto" w:fill="auto"/>
          </w:tcPr>
          <w:p w14:paraId="54F56EF3" w14:textId="77777777" w:rsidR="00ED3006" w:rsidRPr="00A847E2" w:rsidRDefault="00ED3006" w:rsidP="00ED3006">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6AE53AA" w14:textId="77777777" w:rsidR="00ED3006" w:rsidRPr="00A847E2" w:rsidRDefault="00ED3006" w:rsidP="00ED3006">
            <w:pPr>
              <w:jc w:val="center"/>
              <w:rPr>
                <w:rFonts w:ascii="David" w:hAnsi="David"/>
                <w:b/>
                <w:bCs/>
                <w:sz w:val="26"/>
                <w:szCs w:val="26"/>
                <w:rtl/>
              </w:rPr>
            </w:pPr>
          </w:p>
          <w:p w14:paraId="48CC9678" w14:textId="77777777" w:rsidR="00ED3006" w:rsidRPr="00A847E2" w:rsidRDefault="00ED3006" w:rsidP="00ED3006">
            <w:pPr>
              <w:jc w:val="center"/>
              <w:rPr>
                <w:rFonts w:ascii="David" w:hAnsi="David"/>
                <w:b/>
                <w:bCs/>
                <w:sz w:val="26"/>
                <w:szCs w:val="26"/>
                <w:rtl/>
              </w:rPr>
            </w:pPr>
            <w:r w:rsidRPr="00A847E2">
              <w:rPr>
                <w:rFonts w:ascii="David" w:hAnsi="David"/>
                <w:b/>
                <w:bCs/>
                <w:sz w:val="26"/>
                <w:szCs w:val="26"/>
                <w:rtl/>
              </w:rPr>
              <w:t>נגד</w:t>
            </w:r>
          </w:p>
          <w:p w14:paraId="6BB56124" w14:textId="77777777" w:rsidR="00ED3006" w:rsidRPr="00A847E2" w:rsidRDefault="00ED3006" w:rsidP="00ED3006">
            <w:pPr>
              <w:jc w:val="both"/>
              <w:rPr>
                <w:rFonts w:ascii="David" w:hAnsi="David"/>
                <w:b/>
                <w:bCs/>
                <w:sz w:val="26"/>
                <w:szCs w:val="26"/>
              </w:rPr>
            </w:pPr>
          </w:p>
        </w:tc>
      </w:tr>
      <w:tr w:rsidR="00ED3006" w:rsidRPr="00A847E2" w14:paraId="6657DAEC" w14:textId="77777777" w:rsidTr="00ED3006">
        <w:trPr>
          <w:trHeight w:val="355"/>
          <w:jc w:val="center"/>
        </w:trPr>
        <w:tc>
          <w:tcPr>
            <w:tcW w:w="923" w:type="dxa"/>
            <w:tcBorders>
              <w:top w:val="nil"/>
              <w:left w:val="nil"/>
              <w:bottom w:val="nil"/>
              <w:right w:val="nil"/>
            </w:tcBorders>
            <w:shd w:val="clear" w:color="auto" w:fill="auto"/>
          </w:tcPr>
          <w:p w14:paraId="04F2B419" w14:textId="77777777" w:rsidR="00ED3006" w:rsidRPr="00A847E2" w:rsidRDefault="00ED3006" w:rsidP="0093612A">
            <w:pPr>
              <w:rPr>
                <w:rFonts w:ascii="David" w:hAnsi="David"/>
                <w:b/>
                <w:bCs/>
                <w:sz w:val="26"/>
                <w:szCs w:val="26"/>
                <w:rtl/>
              </w:rPr>
            </w:pPr>
          </w:p>
        </w:tc>
        <w:tc>
          <w:tcPr>
            <w:tcW w:w="4126" w:type="dxa"/>
            <w:tcBorders>
              <w:top w:val="nil"/>
              <w:left w:val="nil"/>
              <w:bottom w:val="nil"/>
              <w:right w:val="nil"/>
            </w:tcBorders>
            <w:shd w:val="clear" w:color="auto" w:fill="auto"/>
          </w:tcPr>
          <w:p w14:paraId="6DF3C9BE" w14:textId="77777777" w:rsidR="00ED3006" w:rsidRPr="00A847E2" w:rsidRDefault="00ED3006" w:rsidP="0093612A">
            <w:pPr>
              <w:rPr>
                <w:rFonts w:ascii="David" w:hAnsi="David"/>
                <w:b/>
                <w:bCs/>
                <w:sz w:val="26"/>
                <w:szCs w:val="26"/>
                <w:rtl/>
              </w:rPr>
            </w:pPr>
            <w:r w:rsidRPr="00A847E2">
              <w:rPr>
                <w:rFonts w:ascii="David" w:hAnsi="David"/>
                <w:b/>
                <w:bCs/>
                <w:sz w:val="26"/>
                <w:szCs w:val="26"/>
                <w:rtl/>
              </w:rPr>
              <w:t>מרדכי יעקב לנקרי (עציר)</w:t>
            </w:r>
            <w:r w:rsidRPr="00A847E2">
              <w:rPr>
                <w:rFonts w:ascii="David" w:hAnsi="David" w:hint="cs"/>
                <w:b/>
                <w:bCs/>
                <w:sz w:val="26"/>
                <w:szCs w:val="26"/>
                <w:rtl/>
              </w:rPr>
              <w:t>-בעצמו</w:t>
            </w:r>
          </w:p>
        </w:tc>
        <w:tc>
          <w:tcPr>
            <w:tcW w:w="3771" w:type="dxa"/>
            <w:tcBorders>
              <w:top w:val="nil"/>
              <w:left w:val="nil"/>
              <w:bottom w:val="nil"/>
              <w:right w:val="nil"/>
            </w:tcBorders>
            <w:shd w:val="clear" w:color="auto" w:fill="auto"/>
          </w:tcPr>
          <w:p w14:paraId="3C8F73BC" w14:textId="77777777" w:rsidR="00ED3006" w:rsidRPr="00A847E2" w:rsidRDefault="00ED3006" w:rsidP="00ED3006">
            <w:pPr>
              <w:jc w:val="right"/>
              <w:rPr>
                <w:rFonts w:ascii="David" w:hAnsi="David"/>
                <w:b/>
                <w:bCs/>
                <w:sz w:val="26"/>
                <w:szCs w:val="26"/>
              </w:rPr>
            </w:pPr>
          </w:p>
        </w:tc>
      </w:tr>
      <w:tr w:rsidR="00ED3006" w:rsidRPr="00A847E2" w14:paraId="4306A92B" w14:textId="77777777" w:rsidTr="00ED3006">
        <w:trPr>
          <w:trHeight w:val="355"/>
          <w:jc w:val="center"/>
        </w:trPr>
        <w:tc>
          <w:tcPr>
            <w:tcW w:w="923" w:type="dxa"/>
            <w:tcBorders>
              <w:top w:val="nil"/>
              <w:left w:val="nil"/>
              <w:bottom w:val="nil"/>
              <w:right w:val="nil"/>
            </w:tcBorders>
            <w:shd w:val="clear" w:color="auto" w:fill="auto"/>
          </w:tcPr>
          <w:p w14:paraId="53767197" w14:textId="77777777" w:rsidR="00ED3006" w:rsidRPr="00A847E2" w:rsidRDefault="00ED3006" w:rsidP="00ED3006">
            <w:pPr>
              <w:jc w:val="both"/>
              <w:rPr>
                <w:rFonts w:ascii="David" w:hAnsi="David"/>
                <w:b/>
                <w:bCs/>
                <w:sz w:val="26"/>
                <w:szCs w:val="26"/>
                <w:rtl/>
              </w:rPr>
            </w:pPr>
          </w:p>
        </w:tc>
        <w:tc>
          <w:tcPr>
            <w:tcW w:w="4126" w:type="dxa"/>
            <w:tcBorders>
              <w:top w:val="nil"/>
              <w:left w:val="nil"/>
              <w:bottom w:val="nil"/>
              <w:right w:val="nil"/>
            </w:tcBorders>
            <w:shd w:val="clear" w:color="auto" w:fill="auto"/>
          </w:tcPr>
          <w:p w14:paraId="01F0903E" w14:textId="77777777" w:rsidR="00ED3006" w:rsidRPr="00A847E2" w:rsidRDefault="00ED3006" w:rsidP="00ED3006">
            <w:pPr>
              <w:jc w:val="both"/>
              <w:rPr>
                <w:rFonts w:ascii="David" w:hAnsi="David"/>
                <w:b/>
                <w:bCs/>
                <w:sz w:val="26"/>
                <w:szCs w:val="26"/>
                <w:rtl/>
              </w:rPr>
            </w:pPr>
            <w:r w:rsidRPr="00A847E2">
              <w:rPr>
                <w:rFonts w:ascii="David" w:hAnsi="David" w:hint="cs"/>
                <w:b/>
                <w:bCs/>
                <w:sz w:val="26"/>
                <w:szCs w:val="26"/>
                <w:rtl/>
              </w:rPr>
              <w:t>ע"י ב"כ עו"ד אברהים אלקורעאן</w:t>
            </w:r>
          </w:p>
        </w:tc>
        <w:tc>
          <w:tcPr>
            <w:tcW w:w="3771" w:type="dxa"/>
            <w:tcBorders>
              <w:top w:val="nil"/>
              <w:left w:val="nil"/>
              <w:bottom w:val="nil"/>
              <w:right w:val="nil"/>
            </w:tcBorders>
            <w:shd w:val="clear" w:color="auto" w:fill="auto"/>
          </w:tcPr>
          <w:p w14:paraId="04DA3A99" w14:textId="77777777" w:rsidR="00ED3006" w:rsidRPr="00A847E2" w:rsidRDefault="00ED3006" w:rsidP="00ED3006">
            <w:pPr>
              <w:jc w:val="right"/>
              <w:rPr>
                <w:rFonts w:ascii="David" w:hAnsi="David"/>
                <w:b/>
                <w:bCs/>
                <w:sz w:val="26"/>
                <w:szCs w:val="26"/>
              </w:rPr>
            </w:pPr>
            <w:r w:rsidRPr="00A847E2">
              <w:rPr>
                <w:rFonts w:ascii="David" w:hAnsi="David"/>
                <w:b/>
                <w:bCs/>
                <w:sz w:val="26"/>
                <w:szCs w:val="26"/>
                <w:rtl/>
              </w:rPr>
              <w:t>הנאשם</w:t>
            </w:r>
          </w:p>
        </w:tc>
      </w:tr>
    </w:tbl>
    <w:p w14:paraId="7194C02F" w14:textId="77777777" w:rsidR="002F505B" w:rsidRDefault="002F505B" w:rsidP="00ED3006">
      <w:pPr>
        <w:rPr>
          <w:sz w:val="26"/>
          <w:szCs w:val="26"/>
          <w:rtl/>
        </w:rPr>
      </w:pPr>
    </w:p>
    <w:p w14:paraId="729DB95E" w14:textId="77777777" w:rsidR="002F505B" w:rsidRDefault="002F505B" w:rsidP="002F505B">
      <w:pPr>
        <w:spacing w:after="120" w:line="240" w:lineRule="exact"/>
        <w:ind w:left="283" w:hanging="283"/>
        <w:jc w:val="both"/>
        <w:rPr>
          <w:rFonts w:ascii="FrankRuehl" w:hAnsi="FrankRuehl" w:cs="FrankRuehl" w:hint="cs"/>
          <w:rtl/>
        </w:rPr>
      </w:pPr>
    </w:p>
    <w:p w14:paraId="27DD3360" w14:textId="77777777" w:rsidR="002F505B" w:rsidRDefault="002F505B" w:rsidP="002F505B">
      <w:pPr>
        <w:spacing w:after="120" w:line="240" w:lineRule="exact"/>
        <w:ind w:left="283" w:hanging="283"/>
        <w:jc w:val="both"/>
        <w:rPr>
          <w:rFonts w:ascii="FrankRuehl" w:hAnsi="FrankRuehl" w:cs="FrankRuehl" w:hint="cs"/>
          <w:rtl/>
        </w:rPr>
      </w:pPr>
    </w:p>
    <w:p w14:paraId="6C08B6D3" w14:textId="77777777" w:rsidR="002F505B" w:rsidRPr="002F505B" w:rsidRDefault="002F505B" w:rsidP="002F505B">
      <w:pPr>
        <w:spacing w:after="120" w:line="240" w:lineRule="exact"/>
        <w:ind w:left="283" w:hanging="283"/>
        <w:jc w:val="both"/>
        <w:rPr>
          <w:rFonts w:ascii="FrankRuehl" w:hAnsi="FrankRuehl" w:cs="FrankRuehl" w:hint="cs"/>
          <w:rtl/>
        </w:rPr>
      </w:pPr>
    </w:p>
    <w:p w14:paraId="255AAB66" w14:textId="77777777" w:rsidR="00FD3B8D" w:rsidRPr="00FD3B8D" w:rsidRDefault="00FD3B8D" w:rsidP="00FD3B8D">
      <w:pPr>
        <w:spacing w:before="120" w:after="120" w:line="240" w:lineRule="exact"/>
        <w:ind w:left="283" w:hanging="283"/>
        <w:jc w:val="both"/>
        <w:rPr>
          <w:rFonts w:ascii="FrankRuehl" w:hAnsi="FrankRuehl" w:cs="FrankRuehl"/>
          <w:rtl/>
        </w:rPr>
      </w:pPr>
    </w:p>
    <w:p w14:paraId="226E2D84" w14:textId="77777777" w:rsidR="00415895" w:rsidRDefault="00415895" w:rsidP="00415895">
      <w:pPr>
        <w:rPr>
          <w:sz w:val="26"/>
          <w:szCs w:val="26"/>
          <w:rtl/>
        </w:rPr>
      </w:pPr>
      <w:bookmarkStart w:id="3" w:name="LawTable"/>
      <w:bookmarkEnd w:id="3"/>
    </w:p>
    <w:p w14:paraId="77D4E309" w14:textId="77777777" w:rsidR="00415895" w:rsidRPr="00415895" w:rsidRDefault="00415895" w:rsidP="00415895">
      <w:pPr>
        <w:spacing w:before="120" w:after="120" w:line="240" w:lineRule="exact"/>
        <w:ind w:left="283" w:hanging="283"/>
        <w:jc w:val="both"/>
        <w:rPr>
          <w:rFonts w:ascii="FrankRuehl" w:hAnsi="FrankRuehl" w:cs="FrankRuehl"/>
          <w:rtl/>
        </w:rPr>
      </w:pPr>
    </w:p>
    <w:p w14:paraId="3D16D86A" w14:textId="77777777" w:rsidR="00415895" w:rsidRPr="00415895" w:rsidRDefault="00415895" w:rsidP="00415895">
      <w:pPr>
        <w:spacing w:before="120" w:after="120" w:line="240" w:lineRule="exact"/>
        <w:ind w:left="283" w:hanging="283"/>
        <w:jc w:val="both"/>
        <w:rPr>
          <w:rFonts w:ascii="FrankRuehl" w:hAnsi="FrankRuehl" w:cs="FrankRuehl"/>
          <w:rtl/>
        </w:rPr>
      </w:pPr>
    </w:p>
    <w:p w14:paraId="307935FF" w14:textId="77777777" w:rsidR="00415895" w:rsidRPr="00415895" w:rsidRDefault="00415895" w:rsidP="00415895">
      <w:pPr>
        <w:spacing w:before="120" w:after="120" w:line="240" w:lineRule="exact"/>
        <w:ind w:left="283" w:hanging="283"/>
        <w:jc w:val="both"/>
        <w:rPr>
          <w:rFonts w:ascii="FrankRuehl" w:hAnsi="FrankRuehl" w:cs="FrankRuehl"/>
          <w:rtl/>
        </w:rPr>
      </w:pPr>
      <w:r w:rsidRPr="00415895">
        <w:rPr>
          <w:rFonts w:ascii="FrankRuehl" w:hAnsi="FrankRuehl" w:cs="FrankRuehl"/>
          <w:rtl/>
        </w:rPr>
        <w:t xml:space="preserve">חקיקה שאוזכרה: </w:t>
      </w:r>
    </w:p>
    <w:p w14:paraId="35194929" w14:textId="77777777" w:rsidR="00415895" w:rsidRPr="00415895" w:rsidRDefault="00415895" w:rsidP="00415895">
      <w:pPr>
        <w:spacing w:before="120" w:after="120" w:line="240" w:lineRule="exact"/>
        <w:ind w:left="283" w:hanging="283"/>
        <w:jc w:val="both"/>
        <w:rPr>
          <w:rFonts w:ascii="FrankRuehl" w:hAnsi="FrankRuehl" w:cs="FrankRuehl"/>
          <w:rtl/>
        </w:rPr>
      </w:pPr>
      <w:hyperlink r:id="rId8" w:history="1">
        <w:r w:rsidRPr="00415895">
          <w:rPr>
            <w:rFonts w:ascii="FrankRuehl" w:hAnsi="FrankRuehl" w:cs="FrankRuehl"/>
            <w:color w:val="0000FF"/>
            <w:rtl/>
          </w:rPr>
          <w:t>פקודת הסמים המסוכנים [נוסח חדש], תשל"ג-1973</w:t>
        </w:r>
      </w:hyperlink>
      <w:r w:rsidRPr="00415895">
        <w:rPr>
          <w:rFonts w:ascii="FrankRuehl" w:hAnsi="FrankRuehl" w:cs="FrankRuehl"/>
          <w:rtl/>
        </w:rPr>
        <w:t xml:space="preserve">: סע'  </w:t>
      </w:r>
      <w:hyperlink r:id="rId9" w:history="1">
        <w:r w:rsidRPr="00415895">
          <w:rPr>
            <w:rFonts w:ascii="FrankRuehl" w:hAnsi="FrankRuehl" w:cs="FrankRuehl"/>
            <w:color w:val="0000FF"/>
            <w:rtl/>
          </w:rPr>
          <w:t>7 (א)</w:t>
        </w:r>
      </w:hyperlink>
      <w:r w:rsidRPr="00415895">
        <w:rPr>
          <w:rFonts w:ascii="FrankRuehl" w:hAnsi="FrankRuehl" w:cs="FrankRuehl"/>
          <w:rtl/>
        </w:rPr>
        <w:t xml:space="preserve">, </w:t>
      </w:r>
      <w:hyperlink r:id="rId10" w:history="1">
        <w:r w:rsidRPr="00415895">
          <w:rPr>
            <w:rFonts w:ascii="FrankRuehl" w:hAnsi="FrankRuehl" w:cs="FrankRuehl"/>
            <w:color w:val="0000FF"/>
            <w:rtl/>
          </w:rPr>
          <w:t>7 (ג)</w:t>
        </w:r>
      </w:hyperlink>
      <w:r w:rsidRPr="00415895">
        <w:rPr>
          <w:rFonts w:ascii="FrankRuehl" w:hAnsi="FrankRuehl" w:cs="FrankRuehl"/>
          <w:rtl/>
        </w:rPr>
        <w:t xml:space="preserve">, </w:t>
      </w:r>
      <w:hyperlink r:id="rId11" w:history="1">
        <w:r w:rsidRPr="00415895">
          <w:rPr>
            <w:rFonts w:ascii="FrankRuehl" w:hAnsi="FrankRuehl" w:cs="FrankRuehl"/>
            <w:color w:val="0000FF"/>
            <w:rtl/>
          </w:rPr>
          <w:t>13</w:t>
        </w:r>
      </w:hyperlink>
      <w:r w:rsidRPr="00415895">
        <w:rPr>
          <w:rFonts w:ascii="FrankRuehl" w:hAnsi="FrankRuehl" w:cs="FrankRuehl"/>
          <w:rtl/>
        </w:rPr>
        <w:t xml:space="preserve">, </w:t>
      </w:r>
      <w:hyperlink r:id="rId12" w:history="1">
        <w:r w:rsidRPr="00415895">
          <w:rPr>
            <w:rFonts w:ascii="FrankRuehl" w:hAnsi="FrankRuehl" w:cs="FrankRuehl"/>
            <w:color w:val="0000FF"/>
            <w:rtl/>
          </w:rPr>
          <w:t>19.א</w:t>
        </w:r>
      </w:hyperlink>
    </w:p>
    <w:p w14:paraId="26187559" w14:textId="77777777" w:rsidR="00415895" w:rsidRPr="00415895" w:rsidRDefault="00415895" w:rsidP="00415895">
      <w:pPr>
        <w:rPr>
          <w:sz w:val="26"/>
          <w:szCs w:val="26"/>
          <w:rtl/>
        </w:rPr>
      </w:pPr>
      <w:bookmarkStart w:id="4" w:name="LawTable_End"/>
      <w:bookmarkEnd w:id="4"/>
    </w:p>
    <w:p w14:paraId="135AADCD" w14:textId="77777777" w:rsidR="00ED3006" w:rsidRPr="00FD3B8D" w:rsidRDefault="00ED3006" w:rsidP="00FD3B8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D3006" w14:paraId="1436F857" w14:textId="77777777" w:rsidTr="00ED3006">
        <w:trPr>
          <w:trHeight w:val="355"/>
          <w:jc w:val="center"/>
        </w:trPr>
        <w:tc>
          <w:tcPr>
            <w:tcW w:w="8820" w:type="dxa"/>
            <w:tcBorders>
              <w:top w:val="nil"/>
              <w:left w:val="nil"/>
              <w:bottom w:val="nil"/>
              <w:right w:val="nil"/>
            </w:tcBorders>
            <w:shd w:val="clear" w:color="auto" w:fill="auto"/>
          </w:tcPr>
          <w:p w14:paraId="18CA5C7B" w14:textId="77777777" w:rsidR="00A847E2" w:rsidRPr="00A847E2" w:rsidRDefault="00A847E2" w:rsidP="00A847E2">
            <w:pPr>
              <w:jc w:val="center"/>
              <w:rPr>
                <w:rFonts w:ascii="David" w:hAnsi="David"/>
                <w:b/>
                <w:bCs/>
                <w:sz w:val="32"/>
                <w:szCs w:val="32"/>
                <w:u w:val="single"/>
                <w:rtl/>
              </w:rPr>
            </w:pPr>
            <w:bookmarkStart w:id="5" w:name="PsakDin" w:colFirst="0" w:colLast="0"/>
            <w:r w:rsidRPr="00A847E2">
              <w:rPr>
                <w:rFonts w:ascii="David" w:hAnsi="David"/>
                <w:b/>
                <w:bCs/>
                <w:sz w:val="32"/>
                <w:szCs w:val="32"/>
                <w:u w:val="single"/>
                <w:rtl/>
              </w:rPr>
              <w:t>גזר דין</w:t>
            </w:r>
          </w:p>
          <w:p w14:paraId="264A8758" w14:textId="77777777" w:rsidR="00ED3006" w:rsidRPr="00A847E2" w:rsidRDefault="00ED3006" w:rsidP="00A847E2">
            <w:pPr>
              <w:jc w:val="center"/>
              <w:rPr>
                <w:rFonts w:ascii="David" w:hAnsi="David"/>
                <w:bCs/>
                <w:sz w:val="32"/>
                <w:szCs w:val="32"/>
                <w:u w:val="single"/>
                <w:rtl/>
              </w:rPr>
            </w:pPr>
          </w:p>
        </w:tc>
      </w:tr>
      <w:bookmarkEnd w:id="5"/>
    </w:tbl>
    <w:p w14:paraId="1BE1CC04" w14:textId="77777777" w:rsidR="00ED3006" w:rsidRPr="002B7D23" w:rsidRDefault="00ED3006" w:rsidP="00ED3006">
      <w:pPr>
        <w:rPr>
          <w:rFonts w:ascii="David" w:hAnsi="David"/>
          <w:sz w:val="26"/>
          <w:szCs w:val="26"/>
          <w:rtl/>
        </w:rPr>
      </w:pPr>
    </w:p>
    <w:p w14:paraId="405C87F3" w14:textId="77777777" w:rsidR="00ED3006" w:rsidRPr="002B7D23" w:rsidRDefault="00ED3006" w:rsidP="00ED3006">
      <w:pPr>
        <w:rPr>
          <w:rFonts w:ascii="David" w:hAnsi="David"/>
          <w:sz w:val="26"/>
          <w:szCs w:val="26"/>
          <w:rtl/>
        </w:rPr>
      </w:pPr>
    </w:p>
    <w:p w14:paraId="38D84E98" w14:textId="77777777" w:rsidR="00ED3006" w:rsidRPr="00E208B7" w:rsidRDefault="00ED3006" w:rsidP="00ED3006">
      <w:pPr>
        <w:spacing w:after="80" w:line="360" w:lineRule="auto"/>
        <w:jc w:val="both"/>
        <w:rPr>
          <w:b/>
          <w:bCs/>
          <w:u w:val="single"/>
          <w:rtl/>
          <w:lang w:eastAsia="he-IL"/>
        </w:rPr>
      </w:pPr>
      <w:r w:rsidRPr="00E208B7">
        <w:rPr>
          <w:b/>
          <w:bCs/>
          <w:u w:val="single"/>
          <w:rtl/>
          <w:lang w:eastAsia="he-IL"/>
        </w:rPr>
        <w:t>רקע</w:t>
      </w:r>
    </w:p>
    <w:p w14:paraId="5D4BE479" w14:textId="77777777" w:rsidR="00ED3006" w:rsidRPr="00E208B7" w:rsidRDefault="00ED3006" w:rsidP="00ED3006">
      <w:pPr>
        <w:numPr>
          <w:ilvl w:val="0"/>
          <w:numId w:val="1"/>
        </w:numPr>
        <w:snapToGrid w:val="0"/>
        <w:spacing w:after="80" w:line="360" w:lineRule="auto"/>
        <w:contextualSpacing/>
        <w:jc w:val="both"/>
        <w:rPr>
          <w:lang w:eastAsia="he-IL"/>
        </w:rPr>
      </w:pPr>
      <w:bookmarkStart w:id="6" w:name="ABSTRACT_START"/>
      <w:bookmarkEnd w:id="6"/>
      <w:r w:rsidRPr="00E208B7">
        <w:rPr>
          <w:rtl/>
          <w:lang w:eastAsia="he-IL"/>
        </w:rPr>
        <w:t>ביום 2.6.21 הורשע הנאשם על פי הודאתו בעובדות כתב האישום המתוקן בעבירות הבאות:</w:t>
      </w:r>
    </w:p>
    <w:p w14:paraId="4388EC32" w14:textId="77777777" w:rsidR="00ED3006" w:rsidRPr="00E208B7" w:rsidRDefault="00ED3006" w:rsidP="00ED3006">
      <w:pPr>
        <w:snapToGrid w:val="0"/>
        <w:spacing w:after="80" w:line="360" w:lineRule="auto"/>
        <w:ind w:left="360"/>
        <w:contextualSpacing/>
        <w:jc w:val="both"/>
        <w:rPr>
          <w:rFonts w:ascii="Arial" w:hAnsi="Arial"/>
          <w:sz w:val="20"/>
          <w:rtl/>
          <w:lang w:eastAsia="he-IL"/>
        </w:rPr>
      </w:pPr>
    </w:p>
    <w:p w14:paraId="76DA05C4" w14:textId="77777777" w:rsidR="00ED3006" w:rsidRPr="00E208B7" w:rsidRDefault="00ED3006" w:rsidP="00ED3006">
      <w:pPr>
        <w:snapToGrid w:val="0"/>
        <w:spacing w:after="80" w:line="360" w:lineRule="auto"/>
        <w:ind w:left="360"/>
        <w:contextualSpacing/>
        <w:jc w:val="both"/>
        <w:rPr>
          <w:rFonts w:ascii="Arial" w:hAnsi="Arial"/>
          <w:sz w:val="20"/>
          <w:rtl/>
          <w:lang w:eastAsia="he-IL"/>
        </w:rPr>
      </w:pPr>
      <w:r w:rsidRPr="00E208B7">
        <w:rPr>
          <w:rFonts w:ascii="Arial" w:hAnsi="Arial"/>
          <w:sz w:val="20"/>
          <w:rtl/>
          <w:lang w:eastAsia="he-IL"/>
        </w:rPr>
        <w:t xml:space="preserve">החזקת סמים לצריכה עצמית לפי סעיף </w:t>
      </w:r>
      <w:hyperlink r:id="rId13" w:history="1">
        <w:r w:rsidR="002F505B" w:rsidRPr="002F505B">
          <w:rPr>
            <w:rStyle w:val="Hyperlink"/>
            <w:rFonts w:ascii="Arial" w:hAnsi="Arial"/>
            <w:sz w:val="20"/>
            <w:rtl/>
            <w:lang w:eastAsia="he-IL"/>
          </w:rPr>
          <w:t>7 (א)</w:t>
        </w:r>
      </w:hyperlink>
      <w:r w:rsidRPr="00E208B7">
        <w:rPr>
          <w:rFonts w:ascii="Arial" w:hAnsi="Arial"/>
          <w:sz w:val="20"/>
          <w:rtl/>
          <w:lang w:eastAsia="he-IL"/>
        </w:rPr>
        <w:t xml:space="preserve"> + </w:t>
      </w:r>
      <w:hyperlink r:id="rId14" w:history="1">
        <w:r w:rsidR="002F505B" w:rsidRPr="002F505B">
          <w:rPr>
            <w:rStyle w:val="Hyperlink"/>
            <w:rFonts w:ascii="Arial" w:hAnsi="Arial"/>
            <w:sz w:val="20"/>
            <w:rtl/>
            <w:lang w:eastAsia="he-IL"/>
          </w:rPr>
          <w:t>7 (ג)</w:t>
        </w:r>
      </w:hyperlink>
      <w:r w:rsidRPr="00E208B7">
        <w:rPr>
          <w:rFonts w:ascii="Arial" w:hAnsi="Arial"/>
          <w:sz w:val="20"/>
          <w:rtl/>
          <w:lang w:eastAsia="he-IL"/>
        </w:rPr>
        <w:t xml:space="preserve"> סיפא לפקודת הסמים;</w:t>
      </w:r>
    </w:p>
    <w:p w14:paraId="251C149C" w14:textId="77777777" w:rsidR="00ED3006" w:rsidRPr="00E208B7" w:rsidRDefault="00ED3006" w:rsidP="00ED3006">
      <w:pPr>
        <w:snapToGrid w:val="0"/>
        <w:spacing w:after="80" w:line="360" w:lineRule="auto"/>
        <w:ind w:left="360"/>
        <w:contextualSpacing/>
        <w:jc w:val="both"/>
        <w:rPr>
          <w:rFonts w:ascii="Arial" w:hAnsi="Arial"/>
          <w:sz w:val="20"/>
          <w:lang w:eastAsia="he-IL"/>
        </w:rPr>
      </w:pPr>
      <w:r w:rsidRPr="00E208B7">
        <w:rPr>
          <w:rFonts w:ascii="Arial" w:hAnsi="Arial"/>
          <w:sz w:val="20"/>
          <w:rtl/>
          <w:lang w:eastAsia="he-IL"/>
        </w:rPr>
        <w:t xml:space="preserve">שתי עבירות של החזקת סמים שלא לצריכה עצמית לפי סעיף </w:t>
      </w:r>
      <w:hyperlink r:id="rId15" w:history="1">
        <w:r w:rsidR="002F505B" w:rsidRPr="002F505B">
          <w:rPr>
            <w:rStyle w:val="Hyperlink"/>
            <w:rFonts w:ascii="Arial" w:hAnsi="Arial"/>
            <w:sz w:val="20"/>
            <w:rtl/>
            <w:lang w:eastAsia="he-IL"/>
          </w:rPr>
          <w:t>7(א) + (ג)</w:t>
        </w:r>
      </w:hyperlink>
      <w:r w:rsidRPr="00E208B7">
        <w:rPr>
          <w:rFonts w:ascii="Arial" w:hAnsi="Arial"/>
          <w:sz w:val="20"/>
          <w:rtl/>
          <w:lang w:eastAsia="he-IL"/>
        </w:rPr>
        <w:t xml:space="preserve"> רישא לפקודת הסמים; עשר עבירות של סחר בסמים מסוכנים לפי סעיף </w:t>
      </w:r>
      <w:hyperlink r:id="rId16" w:history="1">
        <w:r w:rsidR="002F505B" w:rsidRPr="002F505B">
          <w:rPr>
            <w:rStyle w:val="Hyperlink"/>
            <w:rFonts w:ascii="Arial" w:hAnsi="Arial"/>
            <w:sz w:val="20"/>
            <w:rtl/>
            <w:lang w:eastAsia="he-IL"/>
          </w:rPr>
          <w:t>13 + 19 א</w:t>
        </w:r>
      </w:hyperlink>
      <w:r w:rsidRPr="00E208B7">
        <w:rPr>
          <w:rFonts w:ascii="Arial" w:hAnsi="Arial"/>
          <w:sz w:val="20"/>
          <w:rtl/>
          <w:lang w:eastAsia="he-IL"/>
        </w:rPr>
        <w:t xml:space="preserve"> לפקודת הסמים.</w:t>
      </w:r>
    </w:p>
    <w:p w14:paraId="414F676F" w14:textId="77777777" w:rsidR="00ED3006" w:rsidRPr="00E208B7" w:rsidRDefault="00ED3006" w:rsidP="00ED3006">
      <w:pPr>
        <w:snapToGrid w:val="0"/>
        <w:spacing w:after="80" w:line="360" w:lineRule="auto"/>
        <w:ind w:left="360"/>
        <w:contextualSpacing/>
        <w:jc w:val="both"/>
        <w:rPr>
          <w:rtl/>
          <w:lang w:eastAsia="he-IL"/>
        </w:rPr>
      </w:pPr>
      <w:bookmarkStart w:id="7" w:name="ABSTRACT_END"/>
      <w:bookmarkEnd w:id="7"/>
    </w:p>
    <w:p w14:paraId="1E3FE119" w14:textId="77777777" w:rsidR="00ED3006" w:rsidRPr="00E208B7" w:rsidRDefault="00ED3006" w:rsidP="00ED3006">
      <w:pPr>
        <w:numPr>
          <w:ilvl w:val="0"/>
          <w:numId w:val="1"/>
        </w:numPr>
        <w:snapToGrid w:val="0"/>
        <w:spacing w:after="80" w:line="360" w:lineRule="auto"/>
        <w:contextualSpacing/>
        <w:jc w:val="both"/>
        <w:rPr>
          <w:lang w:eastAsia="he-IL"/>
        </w:rPr>
      </w:pPr>
      <w:r w:rsidRPr="00E208B7">
        <w:rPr>
          <w:rtl/>
          <w:lang w:eastAsia="he-IL"/>
        </w:rPr>
        <w:lastRenderedPageBreak/>
        <w:t xml:space="preserve">על פי </w:t>
      </w:r>
      <w:r w:rsidRPr="00E208B7">
        <w:rPr>
          <w:b/>
          <w:bCs/>
          <w:rtl/>
          <w:lang w:eastAsia="he-IL"/>
        </w:rPr>
        <w:t xml:space="preserve">האישום הראשון </w:t>
      </w:r>
      <w:r w:rsidRPr="00E208B7">
        <w:rPr>
          <w:rtl/>
          <w:lang w:eastAsia="he-IL"/>
        </w:rPr>
        <w:t>ביום 18.2.1 החזיק הנאשם בביתו חשיש במשקל 29.75 ברוטו, לצריכה עצמית.</w:t>
      </w:r>
    </w:p>
    <w:p w14:paraId="13AB3268"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 xml:space="preserve">על פי </w:t>
      </w:r>
      <w:r w:rsidRPr="00E208B7">
        <w:rPr>
          <w:b/>
          <w:bCs/>
          <w:rtl/>
          <w:lang w:eastAsia="he-IL"/>
        </w:rPr>
        <w:t>האישום השני</w:t>
      </w:r>
      <w:r w:rsidRPr="00E208B7">
        <w:rPr>
          <w:rtl/>
          <w:lang w:eastAsia="he-IL"/>
        </w:rPr>
        <w:t xml:space="preserve"> ביום 21.11.20 מכר הנאשם לקונה יוסף חשיש במשקל לא ידוע, בתמורה ל 250 ₪, בכך שהשאיר לקונה יוסף את הסם בארון החשמל בביתו והקונה יוסף השאיר את הכסף.</w:t>
      </w:r>
    </w:p>
    <w:p w14:paraId="29B98DB5"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 xml:space="preserve">על פי </w:t>
      </w:r>
      <w:r w:rsidRPr="00E208B7">
        <w:rPr>
          <w:b/>
          <w:bCs/>
          <w:rtl/>
          <w:lang w:eastAsia="he-IL"/>
        </w:rPr>
        <w:t xml:space="preserve">האישום השלישי </w:t>
      </w:r>
      <w:r w:rsidRPr="00E208B7">
        <w:rPr>
          <w:rtl/>
          <w:lang w:eastAsia="he-IL"/>
        </w:rPr>
        <w:t>ביום 11.1.20 מכר הנאשם בביתו לקונה לירז חשיש במשקל של כ-5 גרם, בתמורה ל- 250 ₪.</w:t>
      </w:r>
    </w:p>
    <w:p w14:paraId="4E7E2EFF"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 xml:space="preserve">על פי </w:t>
      </w:r>
      <w:r w:rsidRPr="00E208B7">
        <w:rPr>
          <w:b/>
          <w:bCs/>
          <w:rtl/>
          <w:lang w:eastAsia="he-IL"/>
        </w:rPr>
        <w:t xml:space="preserve">האישום הרביעי </w:t>
      </w:r>
      <w:r w:rsidRPr="00E208B7">
        <w:rPr>
          <w:rtl/>
          <w:lang w:eastAsia="he-IL"/>
        </w:rPr>
        <w:t xml:space="preserve">ביום 23.4.20 מכר הנאשם בביתו לקונה טלי 3 "אצבעות" חשיש בתמורה ל-600 ₪. </w:t>
      </w:r>
    </w:p>
    <w:p w14:paraId="59DDC919"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 xml:space="preserve">ביום 30.4.20 מכר הנאשם לקונה טלי בביתו 2 "אצבעות" חשיש בתמורה ל-400 ₪. </w:t>
      </w:r>
    </w:p>
    <w:p w14:paraId="2C78A378"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 xml:space="preserve">ביום 12.5.20 מכר הנאשם לקונה טלי בביתו "אצבע" חשיש בתמורה ל-300 ₪. </w:t>
      </w:r>
    </w:p>
    <w:p w14:paraId="2B23EED6"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 xml:space="preserve">ביום 18.5.20 מכר הנאשם לקונה טלי בביתו "אצבע" חשיש בתמורה ל- 300 ₪. </w:t>
      </w:r>
    </w:p>
    <w:p w14:paraId="1C8E6315"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ביום 22.5.20 החזיק הנאשם בביתו "אצבע" חשיש שלא לצריכתו העצמית.</w:t>
      </w:r>
    </w:p>
    <w:p w14:paraId="1D7BE037"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ביום 2.6.20 החזיק הנאשם בביתו "אצבע" חשיש שלא לצריכתו העצמית.</w:t>
      </w:r>
    </w:p>
    <w:p w14:paraId="345571AD"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ביום 12.6.20 מכר הנאשם לקונה טלי בביתו "אצבע" חשיש בתמורה ל-300 ₪.</w:t>
      </w:r>
    </w:p>
    <w:p w14:paraId="4CF6CF91"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ביום 26.6.20 מכר הנאשם לקונה טלי בביתו "אצבע" חשיש בתמורה ל-300 ₪.</w:t>
      </w:r>
    </w:p>
    <w:p w14:paraId="3385BFB9" w14:textId="77777777" w:rsidR="00ED3006" w:rsidRPr="00E208B7" w:rsidRDefault="00ED3006" w:rsidP="00ED3006">
      <w:pPr>
        <w:snapToGrid w:val="0"/>
        <w:spacing w:after="80" w:line="360" w:lineRule="auto"/>
        <w:ind w:left="360"/>
        <w:contextualSpacing/>
        <w:jc w:val="both"/>
        <w:rPr>
          <w:rtl/>
          <w:lang w:eastAsia="he-IL"/>
        </w:rPr>
      </w:pPr>
    </w:p>
    <w:p w14:paraId="2D18F214"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 xml:space="preserve">על פי </w:t>
      </w:r>
      <w:r w:rsidRPr="00E208B7">
        <w:rPr>
          <w:b/>
          <w:bCs/>
          <w:rtl/>
          <w:lang w:eastAsia="he-IL"/>
        </w:rPr>
        <w:t xml:space="preserve">האישום החמישי </w:t>
      </w:r>
      <w:r w:rsidRPr="00E208B7">
        <w:rPr>
          <w:rtl/>
          <w:lang w:eastAsia="he-IL"/>
        </w:rPr>
        <w:t>ביום 8.1.20 מכר הנאשם לקונה סלבה בביתו גראס במשקל לא ידוע בתמורה ל-400 ₪ וכן 400 ₪ נוספים שקוזזו מחוב קודם של הנאשם לסלבה.</w:t>
      </w:r>
    </w:p>
    <w:p w14:paraId="310BA2E3" w14:textId="77777777" w:rsidR="00ED3006" w:rsidRPr="00E208B7" w:rsidRDefault="00ED3006" w:rsidP="00ED3006">
      <w:pPr>
        <w:snapToGrid w:val="0"/>
        <w:spacing w:after="80" w:line="360" w:lineRule="auto"/>
        <w:ind w:left="360"/>
        <w:contextualSpacing/>
        <w:jc w:val="both"/>
        <w:rPr>
          <w:rtl/>
          <w:lang w:eastAsia="he-IL"/>
        </w:rPr>
      </w:pPr>
    </w:p>
    <w:p w14:paraId="2674AC18" w14:textId="77777777" w:rsidR="00ED3006" w:rsidRPr="00E208B7" w:rsidRDefault="00ED3006" w:rsidP="00ED3006">
      <w:pPr>
        <w:snapToGrid w:val="0"/>
        <w:spacing w:after="80" w:line="360" w:lineRule="auto"/>
        <w:ind w:left="360"/>
        <w:contextualSpacing/>
        <w:jc w:val="both"/>
        <w:rPr>
          <w:lang w:eastAsia="he-IL"/>
        </w:rPr>
      </w:pPr>
      <w:r w:rsidRPr="00E208B7">
        <w:rPr>
          <w:rtl/>
          <w:lang w:eastAsia="he-IL"/>
        </w:rPr>
        <w:t xml:space="preserve">על פי </w:t>
      </w:r>
      <w:r w:rsidRPr="00E208B7">
        <w:rPr>
          <w:b/>
          <w:bCs/>
          <w:rtl/>
          <w:lang w:eastAsia="he-IL"/>
        </w:rPr>
        <w:t xml:space="preserve">האישום השישי </w:t>
      </w:r>
      <w:r w:rsidRPr="00E208B7">
        <w:rPr>
          <w:rtl/>
          <w:lang w:eastAsia="he-IL"/>
        </w:rPr>
        <w:t>ביום 18.12.20 מכר הנאשם לקונה דני גראס בכמות לא ידועה, בתמורה ל-800 ₪. הנאשם השאיר לקונה דני את הסם בארון החשמל בביתו, והקונה העביר לנאשם את התמורה בהעברה בנקאית לחשבונו של הנאשם.</w:t>
      </w:r>
    </w:p>
    <w:p w14:paraId="64FACF16" w14:textId="77777777" w:rsidR="00ED3006" w:rsidRPr="00E208B7" w:rsidRDefault="00ED3006" w:rsidP="00ED3006">
      <w:pPr>
        <w:spacing w:after="80" w:line="360" w:lineRule="auto"/>
        <w:jc w:val="both"/>
        <w:rPr>
          <w:b/>
          <w:bCs/>
          <w:u w:val="single"/>
          <w:rtl/>
          <w:lang w:eastAsia="he-IL"/>
        </w:rPr>
      </w:pPr>
    </w:p>
    <w:p w14:paraId="04E76BF1" w14:textId="77777777" w:rsidR="00ED3006" w:rsidRPr="00E208B7" w:rsidRDefault="00ED3006" w:rsidP="00ED3006">
      <w:pPr>
        <w:spacing w:after="80" w:line="360" w:lineRule="auto"/>
        <w:jc w:val="both"/>
        <w:rPr>
          <w:b/>
          <w:bCs/>
          <w:u w:val="single"/>
          <w:lang w:eastAsia="he-IL"/>
        </w:rPr>
      </w:pPr>
      <w:r w:rsidRPr="00E208B7">
        <w:rPr>
          <w:b/>
          <w:bCs/>
          <w:u w:val="single"/>
          <w:rtl/>
          <w:lang w:eastAsia="he-IL"/>
        </w:rPr>
        <w:t>טענות הצדדים לעונש</w:t>
      </w:r>
    </w:p>
    <w:p w14:paraId="3D24B413" w14:textId="77777777" w:rsidR="00ED3006" w:rsidRPr="00E208B7" w:rsidRDefault="00ED3006" w:rsidP="00ED3006">
      <w:pPr>
        <w:numPr>
          <w:ilvl w:val="0"/>
          <w:numId w:val="1"/>
        </w:numPr>
        <w:snapToGrid w:val="0"/>
        <w:spacing w:after="80" w:line="360" w:lineRule="auto"/>
        <w:contextualSpacing/>
        <w:jc w:val="both"/>
        <w:rPr>
          <w:lang w:eastAsia="he-IL"/>
        </w:rPr>
      </w:pPr>
      <w:r w:rsidRPr="00E208B7">
        <w:rPr>
          <w:rtl/>
          <w:lang w:eastAsia="he-IL"/>
        </w:rPr>
        <w:t>ביום 15.6.21 נשמע בפניי הטיעון לעונש.</w:t>
      </w:r>
    </w:p>
    <w:p w14:paraId="441D073B" w14:textId="77777777" w:rsidR="00ED3006" w:rsidRPr="00E208B7" w:rsidRDefault="00ED3006" w:rsidP="00ED3006">
      <w:pPr>
        <w:snapToGrid w:val="0"/>
        <w:spacing w:after="80" w:line="360" w:lineRule="auto"/>
        <w:ind w:left="360"/>
        <w:contextualSpacing/>
        <w:jc w:val="both"/>
        <w:rPr>
          <w:b/>
          <w:bCs/>
          <w:rtl/>
          <w:lang w:eastAsia="he-IL"/>
        </w:rPr>
      </w:pPr>
      <w:r w:rsidRPr="00E208B7">
        <w:rPr>
          <w:b/>
          <w:bCs/>
          <w:rtl/>
          <w:lang w:eastAsia="he-IL"/>
        </w:rPr>
        <w:t xml:space="preserve">המאשימה </w:t>
      </w:r>
      <w:r w:rsidRPr="00E208B7">
        <w:rPr>
          <w:rtl/>
          <w:lang w:eastAsia="he-IL"/>
        </w:rPr>
        <w:t xml:space="preserve">הגישה גיליון הרשעות קודמות של הנאשם </w:t>
      </w:r>
      <w:r w:rsidRPr="00E208B7">
        <w:rPr>
          <w:b/>
          <w:bCs/>
          <w:rtl/>
          <w:lang w:eastAsia="he-IL"/>
        </w:rPr>
        <w:t xml:space="preserve">[ת/1]. </w:t>
      </w:r>
    </w:p>
    <w:p w14:paraId="28AB4378"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נטען, כי הנאשם מתנהל כסוחר סמים. על פי כתב האישום הנאשם מכר במשך כשנה סמים לחמישה קונים שונים. ניכר כי לנאשם נגישות לסמים, היכרות עם הנאשמים ומדובר ב"מפעל". העבירות בוצעו באופן "פשוט" ולא באמצעים טכנולוגיים.</w:t>
      </w:r>
    </w:p>
    <w:p w14:paraId="4D480EB0"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נטען, כי אף שמדובר במספר קונים, המאשימה תבקש לראות את כתב האישום כולו כמקשה אחת.</w:t>
      </w:r>
    </w:p>
    <w:p w14:paraId="60684356"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 xml:space="preserve">המאשימה עמדה על הערכים המוגנים אשר נפגעים כתוצאה מעבירות הסמים, ועל הפגיעה בכלל רבדי החברה כתוצאה מהפצת סמים. המאשימה הדגישה, כי אף שלעיתים סמים אלה מכונים "קלים" ונטען שבכוונת המחוקק להסדיר את השימוש בהם, הרי שאין הכוונה לסחר </w:t>
      </w:r>
      <w:r w:rsidRPr="00E208B7">
        <w:rPr>
          <w:rtl/>
          <w:lang w:eastAsia="he-IL"/>
        </w:rPr>
        <w:lastRenderedPageBreak/>
        <w:t>מסוג זה, המייצר פשיעה היקפית, ללא בקרה. לכן יש להתמקד במקרה זה בשיקולי גמול והרתעה.</w:t>
      </w:r>
    </w:p>
    <w:p w14:paraId="1AEC2C6F"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נטען, כי הנאשם היה פעיל בביצוע העבירות, התקשורת עם הקונים נעשתה בכל שעות היום, הוא סיפק את הסם ומכר אותו מביתו, למטרת רווח והתנהלותו מעידה על היעדר מורא מהרשויות.</w:t>
      </w:r>
    </w:p>
    <w:p w14:paraId="71717144"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המאשימה עותרת למתחם ענישה כולל של 40-60 חודשי מאסר בפועל והגישה אסמכתאות לתמיכה בעמדתה העונשית.</w:t>
      </w:r>
    </w:p>
    <w:p w14:paraId="281340D4" w14:textId="77777777" w:rsidR="00ED3006" w:rsidRPr="00E208B7" w:rsidRDefault="00ED3006" w:rsidP="00ED3006">
      <w:pPr>
        <w:tabs>
          <w:tab w:val="left" w:pos="3486"/>
        </w:tabs>
        <w:snapToGrid w:val="0"/>
        <w:spacing w:after="80" w:line="360" w:lineRule="auto"/>
        <w:ind w:left="360"/>
        <w:contextualSpacing/>
        <w:jc w:val="both"/>
        <w:rPr>
          <w:rtl/>
          <w:lang w:eastAsia="he-IL"/>
        </w:rPr>
      </w:pPr>
    </w:p>
    <w:p w14:paraId="05AADA10" w14:textId="77777777" w:rsidR="00ED3006" w:rsidRPr="00E208B7" w:rsidRDefault="00ED3006" w:rsidP="00ED3006">
      <w:pPr>
        <w:tabs>
          <w:tab w:val="left" w:pos="3486"/>
        </w:tabs>
        <w:snapToGrid w:val="0"/>
        <w:spacing w:after="80" w:line="360" w:lineRule="auto"/>
        <w:ind w:left="360"/>
        <w:contextualSpacing/>
        <w:jc w:val="both"/>
        <w:rPr>
          <w:lang w:eastAsia="he-IL"/>
        </w:rPr>
      </w:pPr>
      <w:r w:rsidRPr="00E208B7">
        <w:rPr>
          <w:rtl/>
          <w:lang w:eastAsia="he-IL"/>
        </w:rPr>
        <w:t>בתוך המתחם, המאשימה ביקשה לתת משקל לזכות הנאשם להודאתו בכתב האישום המתוקן, לחיסכון בזמן השיפוטי ובצורך להעיד בבית המשפט את הקונים. לחובת הנאשם, המאשימה הפנתה לעברו הפלילי של הנאשם הכולל הרשעות רבות, ובעיקר עבירות סמים.</w:t>
      </w:r>
    </w:p>
    <w:p w14:paraId="067C5183" w14:textId="77777777" w:rsidR="00ED3006" w:rsidRPr="00E208B7" w:rsidRDefault="00ED3006" w:rsidP="00ED3006">
      <w:pPr>
        <w:tabs>
          <w:tab w:val="left" w:pos="3486"/>
        </w:tabs>
        <w:snapToGrid w:val="0"/>
        <w:spacing w:after="80" w:line="360" w:lineRule="auto"/>
        <w:ind w:left="360"/>
        <w:contextualSpacing/>
        <w:jc w:val="both"/>
        <w:rPr>
          <w:rtl/>
          <w:lang w:eastAsia="he-IL"/>
        </w:rPr>
      </w:pPr>
      <w:r w:rsidRPr="00E208B7">
        <w:rPr>
          <w:rtl/>
          <w:lang w:eastAsia="he-IL"/>
        </w:rPr>
        <w:t>המאשימה הדגישה, כי הנאשם לא ביקש להפנותו לשירות המבחן ולא מתקיימים בעניינו שיקולי שיקום כלשהם.</w:t>
      </w:r>
    </w:p>
    <w:p w14:paraId="6A4FBCD1" w14:textId="77777777" w:rsidR="00ED3006" w:rsidRPr="00E208B7" w:rsidRDefault="00ED3006" w:rsidP="00ED3006">
      <w:pPr>
        <w:tabs>
          <w:tab w:val="left" w:pos="3486"/>
        </w:tabs>
        <w:snapToGrid w:val="0"/>
        <w:spacing w:after="80" w:line="360" w:lineRule="auto"/>
        <w:ind w:left="360"/>
        <w:contextualSpacing/>
        <w:jc w:val="both"/>
        <w:rPr>
          <w:rtl/>
          <w:lang w:eastAsia="he-IL"/>
        </w:rPr>
      </w:pPr>
      <w:r w:rsidRPr="00E208B7">
        <w:rPr>
          <w:rtl/>
          <w:lang w:eastAsia="he-IL"/>
        </w:rPr>
        <w:t>המאשימה עתרה להטיל על הנאשם עונש ברף הבינוני-נמוך של המתחם, וכן מאסר על נתאי, קנס, פסילת רישיון בפועל ועל תנאי.</w:t>
      </w:r>
    </w:p>
    <w:p w14:paraId="100BA0E7" w14:textId="77777777" w:rsidR="00ED3006" w:rsidRPr="00E208B7" w:rsidRDefault="00ED3006" w:rsidP="00ED3006">
      <w:pPr>
        <w:numPr>
          <w:ilvl w:val="0"/>
          <w:numId w:val="1"/>
        </w:numPr>
        <w:snapToGrid w:val="0"/>
        <w:spacing w:after="80" w:line="360" w:lineRule="auto"/>
        <w:contextualSpacing/>
        <w:jc w:val="both"/>
        <w:rPr>
          <w:lang w:eastAsia="he-IL"/>
        </w:rPr>
      </w:pPr>
      <w:r w:rsidRPr="00E208B7">
        <w:rPr>
          <w:b/>
          <w:bCs/>
          <w:rtl/>
          <w:lang w:eastAsia="he-IL"/>
        </w:rPr>
        <w:t xml:space="preserve">ב"כ הנאשם </w:t>
      </w:r>
      <w:r w:rsidRPr="00E208B7">
        <w:rPr>
          <w:rtl/>
          <w:lang w:eastAsia="he-IL"/>
        </w:rPr>
        <w:t>הפנה לכך, שבאף אחד מהאישומים הסם לא נתפס. מדובר בכמויות לא גדולות. מרבית העבירות נעברו בשנת 2020 בתקופת מגיפת הקורונה, כאשר ניכר שקיימת היכרות קרובה בין הנאשם לקונים. כל הקונים הם צרכני סמים ומדובר ב"אחווה של שימוש בסמים" ולדבר חשיבות לעניין מידת הפגיעה בערכים המוגנים.</w:t>
      </w:r>
    </w:p>
    <w:p w14:paraId="292884E0"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נטען כי מתחם העונש ההולם במקרה זה נע בין מספר חודשי מאסר לשנת מאסר. ב"כ הנאשם הגיש אסמכתאות לתמיכה בעמדתו.</w:t>
      </w:r>
    </w:p>
    <w:p w14:paraId="127E5FBE"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 xml:space="preserve">נטען, כי הנאשם הודה בהזדמנות הראשונה, נטל אחריות על מעשיו ומבקש רחמים. </w:t>
      </w:r>
    </w:p>
    <w:p w14:paraId="152BB1C0"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נטען, כי מדובר בנאשם בן 62, גרוש ואב לחמישה ילדים. בנו עתיד להינשא בקרוב והנאשם מוטרד מהפגיעה במשפחתו בעקבות גזר הדין.</w:t>
      </w:r>
    </w:p>
    <w:p w14:paraId="484ECF4B"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לאור זאת נטען, כי יש להטיל על הנאשם מספר חודשי מאסר בלבד ולטעת בנאשם תקווה לחזור למוטב.</w:t>
      </w:r>
    </w:p>
    <w:p w14:paraId="12734119" w14:textId="77777777" w:rsidR="00ED3006" w:rsidRPr="00E208B7" w:rsidRDefault="00ED3006" w:rsidP="00ED3006">
      <w:pPr>
        <w:numPr>
          <w:ilvl w:val="0"/>
          <w:numId w:val="1"/>
        </w:numPr>
        <w:snapToGrid w:val="0"/>
        <w:spacing w:after="80" w:line="360" w:lineRule="auto"/>
        <w:contextualSpacing/>
        <w:jc w:val="both"/>
        <w:rPr>
          <w:rtl/>
          <w:lang w:eastAsia="he-IL"/>
        </w:rPr>
      </w:pPr>
      <w:r w:rsidRPr="00E208B7">
        <w:rPr>
          <w:b/>
          <w:bCs/>
          <w:rtl/>
          <w:lang w:eastAsia="he-IL"/>
        </w:rPr>
        <w:t xml:space="preserve">הנאשם </w:t>
      </w:r>
      <w:r w:rsidRPr="00E208B7">
        <w:rPr>
          <w:rtl/>
          <w:lang w:eastAsia="he-IL"/>
        </w:rPr>
        <w:t>עצמו בדבריו האחרונים בבית המשפט התנצל על מעשיו והבטיח לא לחזור על הדברים. הנאשם טען כי הוא אדם עובד, ובעקבות ה"קורונה" "קרה מה שקרה". הנאשם טען, כי מאז מאסרו האחרון נמנע משימוש בסמים וכתוצאה מהמגיפה נקלע לחובות ונענה לפניות של הקונים לקנות עבורם סמים, באופן מזדמן והוא לא סוחר יומיומי. הנאשם ביקש להתחשב בו בשל חתונתו הקרובה של בנו בחודש אוקטובר והבטיח לא לחזור על מעשיו.</w:t>
      </w:r>
    </w:p>
    <w:p w14:paraId="6A950F2E" w14:textId="77777777" w:rsidR="00ED3006" w:rsidRPr="00E208B7" w:rsidRDefault="00ED3006" w:rsidP="00ED3006">
      <w:pPr>
        <w:snapToGrid w:val="0"/>
        <w:spacing w:after="80" w:line="360" w:lineRule="auto"/>
        <w:ind w:left="360"/>
        <w:contextualSpacing/>
        <w:jc w:val="both"/>
        <w:rPr>
          <w:rtl/>
          <w:lang w:eastAsia="he-IL"/>
        </w:rPr>
      </w:pPr>
    </w:p>
    <w:p w14:paraId="73745344" w14:textId="77777777" w:rsidR="00ED3006" w:rsidRPr="00ED3006" w:rsidRDefault="00ED3006" w:rsidP="00ED3006">
      <w:pPr>
        <w:spacing w:after="80" w:line="360" w:lineRule="auto"/>
        <w:jc w:val="both"/>
        <w:rPr>
          <w:rFonts w:ascii="Calibri" w:hAnsi="Calibri"/>
          <w:bCs/>
          <w:u w:val="single"/>
          <w:rtl/>
        </w:rPr>
      </w:pPr>
      <w:r w:rsidRPr="00ED3006">
        <w:rPr>
          <w:rFonts w:ascii="Calibri" w:hAnsi="Calibri" w:hint="eastAsia"/>
          <w:bCs/>
          <w:u w:val="single"/>
          <w:rtl/>
        </w:rPr>
        <w:t>דיון</w:t>
      </w:r>
      <w:r w:rsidRPr="00ED3006">
        <w:rPr>
          <w:rFonts w:ascii="Calibri" w:hAnsi="Calibri"/>
          <w:bCs/>
          <w:u w:val="single"/>
          <w:rtl/>
        </w:rPr>
        <w:t xml:space="preserve"> </w:t>
      </w:r>
      <w:r w:rsidRPr="00ED3006">
        <w:rPr>
          <w:rFonts w:ascii="Calibri" w:hAnsi="Calibri" w:hint="eastAsia"/>
          <w:bCs/>
          <w:u w:val="single"/>
          <w:rtl/>
        </w:rPr>
        <w:t>והכרעה</w:t>
      </w:r>
    </w:p>
    <w:p w14:paraId="50AB45B2" w14:textId="77777777" w:rsidR="00ED3006" w:rsidRPr="00E208B7" w:rsidRDefault="00ED3006" w:rsidP="00ED3006">
      <w:pPr>
        <w:numPr>
          <w:ilvl w:val="0"/>
          <w:numId w:val="1"/>
        </w:numPr>
        <w:snapToGrid w:val="0"/>
        <w:spacing w:before="60" w:after="80" w:line="360" w:lineRule="auto"/>
        <w:contextualSpacing/>
        <w:jc w:val="both"/>
        <w:rPr>
          <w:lang w:eastAsia="he-IL"/>
        </w:rPr>
      </w:pPr>
      <w:r w:rsidRPr="00E208B7">
        <w:rPr>
          <w:rtl/>
          <w:lang w:eastAsia="he-IL"/>
        </w:rPr>
        <w:t>כתב האישום המתוקן בעניינו של הנאשם מונה מספר אישומים, בעבירות סמים החל מהחזקת סם לצריכה עצמית, החזקת סם שלא לצריכה עצמית ועשר עבירות סחר, בכמויות קטנות, לחמישה קונים שונים על פני תקופה של שנה.</w:t>
      </w:r>
    </w:p>
    <w:p w14:paraId="559DB061" w14:textId="77777777" w:rsidR="00ED3006" w:rsidRPr="00E208B7" w:rsidRDefault="00ED3006" w:rsidP="00ED3006">
      <w:pPr>
        <w:numPr>
          <w:ilvl w:val="0"/>
          <w:numId w:val="1"/>
        </w:numPr>
        <w:snapToGrid w:val="0"/>
        <w:spacing w:before="60" w:after="80" w:line="360" w:lineRule="auto"/>
        <w:contextualSpacing/>
        <w:jc w:val="both"/>
        <w:rPr>
          <w:lang w:eastAsia="he-IL"/>
        </w:rPr>
      </w:pPr>
      <w:r w:rsidRPr="00E208B7">
        <w:rPr>
          <w:rtl/>
          <w:lang w:eastAsia="he-IL"/>
        </w:rPr>
        <w:t>שני הצדדים טענו בפניי למתחם עונש כולל אחד בגין כלל המעשים בהם הורשע הנאשם.</w:t>
      </w:r>
    </w:p>
    <w:p w14:paraId="1D84569A" w14:textId="77777777" w:rsidR="00ED3006" w:rsidRPr="00E208B7" w:rsidRDefault="00ED3006" w:rsidP="00ED3006">
      <w:pPr>
        <w:snapToGrid w:val="0"/>
        <w:spacing w:after="80" w:line="360" w:lineRule="auto"/>
        <w:ind w:left="360"/>
        <w:contextualSpacing/>
        <w:jc w:val="both"/>
        <w:rPr>
          <w:rtl/>
          <w:lang w:eastAsia="he-IL"/>
        </w:rPr>
      </w:pPr>
    </w:p>
    <w:p w14:paraId="78FB11DB" w14:textId="77777777" w:rsidR="00ED3006" w:rsidRPr="00ED3006" w:rsidRDefault="00ED3006" w:rsidP="00ED3006">
      <w:pPr>
        <w:spacing w:after="80" w:line="360" w:lineRule="auto"/>
        <w:jc w:val="both"/>
        <w:rPr>
          <w:rFonts w:ascii="Calibri" w:hAnsi="Calibri"/>
          <w:u w:val="single"/>
        </w:rPr>
      </w:pPr>
      <w:r w:rsidRPr="00ED3006">
        <w:rPr>
          <w:rFonts w:ascii="Calibri" w:hAnsi="Calibri" w:hint="eastAsia"/>
          <w:u w:val="single"/>
          <w:rtl/>
        </w:rPr>
        <w:t>קביעת</w:t>
      </w:r>
      <w:r w:rsidRPr="00ED3006">
        <w:rPr>
          <w:rFonts w:ascii="Calibri" w:hAnsi="Calibri"/>
          <w:u w:val="single"/>
          <w:rtl/>
        </w:rPr>
        <w:t xml:space="preserve"> </w:t>
      </w:r>
      <w:r w:rsidRPr="00ED3006">
        <w:rPr>
          <w:rFonts w:ascii="Calibri" w:hAnsi="Calibri" w:hint="eastAsia"/>
          <w:u w:val="single"/>
          <w:rtl/>
        </w:rPr>
        <w:t>מתחם</w:t>
      </w:r>
      <w:r w:rsidRPr="00ED3006">
        <w:rPr>
          <w:rFonts w:ascii="Calibri" w:hAnsi="Calibri"/>
          <w:u w:val="single"/>
          <w:rtl/>
        </w:rPr>
        <w:t xml:space="preserve"> </w:t>
      </w:r>
      <w:r w:rsidRPr="00ED3006">
        <w:rPr>
          <w:rFonts w:ascii="Calibri" w:hAnsi="Calibri" w:hint="eastAsia"/>
          <w:u w:val="single"/>
          <w:rtl/>
        </w:rPr>
        <w:t>העונש</w:t>
      </w:r>
      <w:r w:rsidRPr="00ED3006">
        <w:rPr>
          <w:rFonts w:ascii="Calibri" w:hAnsi="Calibri"/>
          <w:u w:val="single"/>
          <w:rtl/>
        </w:rPr>
        <w:t xml:space="preserve"> </w:t>
      </w:r>
      <w:r w:rsidRPr="00ED3006">
        <w:rPr>
          <w:rFonts w:ascii="Calibri" w:hAnsi="Calibri" w:hint="eastAsia"/>
          <w:u w:val="single"/>
          <w:rtl/>
        </w:rPr>
        <w:t>ההולם</w:t>
      </w:r>
      <w:r w:rsidRPr="00ED3006">
        <w:rPr>
          <w:rFonts w:ascii="Calibri" w:hAnsi="Calibri"/>
          <w:u w:val="single"/>
          <w:rtl/>
        </w:rPr>
        <w:t>:</w:t>
      </w:r>
    </w:p>
    <w:p w14:paraId="52E8FC70" w14:textId="77777777" w:rsidR="00ED3006" w:rsidRPr="00E208B7" w:rsidRDefault="00ED3006" w:rsidP="00ED3006">
      <w:pPr>
        <w:numPr>
          <w:ilvl w:val="0"/>
          <w:numId w:val="1"/>
        </w:numPr>
        <w:snapToGrid w:val="0"/>
        <w:spacing w:after="80" w:line="360" w:lineRule="auto"/>
        <w:contextualSpacing/>
        <w:jc w:val="both"/>
        <w:rPr>
          <w:lang w:eastAsia="he-IL"/>
        </w:rPr>
      </w:pPr>
      <w:r w:rsidRPr="00E208B7">
        <w:rPr>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4F293485" w14:textId="77777777" w:rsidR="00ED3006" w:rsidRPr="00E208B7" w:rsidRDefault="00ED3006" w:rsidP="00ED3006">
      <w:pPr>
        <w:snapToGrid w:val="0"/>
        <w:spacing w:after="80" w:line="360" w:lineRule="auto"/>
        <w:ind w:left="360"/>
        <w:contextualSpacing/>
        <w:jc w:val="both"/>
        <w:rPr>
          <w:rtl/>
          <w:lang w:eastAsia="he-IL"/>
        </w:rPr>
      </w:pPr>
    </w:p>
    <w:p w14:paraId="7AD0B85E" w14:textId="77777777" w:rsidR="00ED3006" w:rsidRPr="00E208B7" w:rsidRDefault="00ED3006" w:rsidP="00ED3006">
      <w:pPr>
        <w:numPr>
          <w:ilvl w:val="0"/>
          <w:numId w:val="1"/>
        </w:numPr>
        <w:snapToGrid w:val="0"/>
        <w:spacing w:after="200" w:line="360" w:lineRule="auto"/>
        <w:contextualSpacing/>
        <w:jc w:val="both"/>
        <w:rPr>
          <w:rFonts w:ascii="David" w:hAnsi="David"/>
          <w:lang w:eastAsia="he-IL"/>
        </w:rPr>
      </w:pPr>
      <w:r w:rsidRPr="00E208B7">
        <w:rPr>
          <w:rFonts w:ascii="David" w:hAnsi="David"/>
          <w:rtl/>
          <w:lang w:eastAsia="he-IL"/>
        </w:rPr>
        <w:t xml:space="preserve">הערכים המוגנים בעבירות סמים הם הגנה על בריאות הציבור ועל שלומו הפיזי והנפשי מפני הנזקים הישירים והעקיפים הנגרמים עקב השימוש בסמים. בעבירות החזקת הסמים לצרכי הפצה, וסחר בסמים, טמון פוטנציאל לנזק רחב לציבור, לא רק למעורבים הישירים בביצוע העבירות אלא לחברה כולה - צרכן הסמים, משפחתו, והנפגעים העקיפים מהפעילות העבריינית שנלווית פעמים רבות לעבירות הסמים. אף ידוע הקשר שבין שימוש בסמים ובין קשת רחבה של עבירות נלוות ל"תעשיית" ההפצה וכן לשימוש בסמים. </w:t>
      </w:r>
    </w:p>
    <w:p w14:paraId="343DD720" w14:textId="77777777" w:rsidR="00ED3006" w:rsidRPr="00E208B7" w:rsidRDefault="00ED3006" w:rsidP="00ED3006">
      <w:pPr>
        <w:spacing w:after="200" w:line="360" w:lineRule="auto"/>
        <w:ind w:firstLine="360"/>
        <w:jc w:val="both"/>
        <w:rPr>
          <w:rFonts w:ascii="FrankRuehl" w:hAnsi="FrankRuehl"/>
          <w:rtl/>
        </w:rPr>
      </w:pPr>
      <w:r w:rsidRPr="00E208B7">
        <w:rPr>
          <w:rFonts w:ascii="David" w:hAnsi="David"/>
          <w:rtl/>
        </w:rPr>
        <w:t xml:space="preserve">ראו, למשל, </w:t>
      </w:r>
      <w:hyperlink r:id="rId17" w:history="1">
        <w:r w:rsidR="00A847E2" w:rsidRPr="00A847E2">
          <w:rPr>
            <w:rFonts w:ascii="David" w:hAnsi="David"/>
            <w:color w:val="0000FF"/>
            <w:u w:val="single"/>
            <w:rtl/>
          </w:rPr>
          <w:t>ע"פ 972/11</w:t>
        </w:r>
      </w:hyperlink>
      <w:r w:rsidRPr="00E208B7">
        <w:rPr>
          <w:rFonts w:ascii="David" w:hAnsi="David"/>
          <w:rtl/>
        </w:rPr>
        <w:t xml:space="preserve"> </w:t>
      </w:r>
      <w:r w:rsidRPr="00E208B7">
        <w:rPr>
          <w:rFonts w:ascii="David" w:hAnsi="David"/>
          <w:b/>
          <w:bCs/>
          <w:rtl/>
        </w:rPr>
        <w:t xml:space="preserve">מדינת ישראל נגד יניב יונה </w:t>
      </w:r>
      <w:r w:rsidRPr="00E208B7">
        <w:rPr>
          <w:rFonts w:ascii="David" w:hAnsi="David"/>
          <w:rtl/>
        </w:rPr>
        <w:t>[פורסם במאגרים] (4.7.12):</w:t>
      </w:r>
    </w:p>
    <w:p w14:paraId="4372AC89" w14:textId="77777777" w:rsidR="00ED3006" w:rsidRPr="00E208B7" w:rsidRDefault="00ED3006" w:rsidP="00ED3006">
      <w:pPr>
        <w:ind w:left="1440" w:right="851"/>
        <w:jc w:val="both"/>
        <w:rPr>
          <w:rFonts w:ascii="FrankRuehl" w:hAnsi="FrankRuehl"/>
          <w:b/>
          <w:bCs/>
          <w:rtl/>
        </w:rPr>
      </w:pPr>
      <w:r w:rsidRPr="00E208B7">
        <w:rPr>
          <w:rFonts w:ascii="FrankRuehl" w:hAnsi="FrankRuehl"/>
          <w:b/>
          <w:bCs/>
          <w:rtl/>
        </w:rPr>
        <w:t>"</w:t>
      </w:r>
      <w:r w:rsidRPr="00E208B7">
        <w:rPr>
          <w:rFonts w:ascii="FrankRuehl" w:hAnsi="FrankRuehl" w:hint="eastAsia"/>
          <w:b/>
          <w:bCs/>
          <w:rtl/>
        </w:rPr>
        <w:t>את</w:t>
      </w:r>
      <w:r w:rsidRPr="00E208B7">
        <w:rPr>
          <w:rFonts w:ascii="FrankRuehl" w:hAnsi="FrankRuehl"/>
          <w:b/>
          <w:bCs/>
          <w:rtl/>
        </w:rPr>
        <w:t xml:space="preserve"> </w:t>
      </w:r>
      <w:r w:rsidRPr="00E208B7">
        <w:rPr>
          <w:rFonts w:ascii="FrankRuehl" w:hAnsi="FrankRuehl" w:hint="eastAsia"/>
          <w:b/>
          <w:bCs/>
          <w:rtl/>
        </w:rPr>
        <w:t>נגע</w:t>
      </w:r>
      <w:r w:rsidRPr="00E208B7">
        <w:rPr>
          <w:rFonts w:ascii="FrankRuehl" w:hAnsi="FrankRuehl"/>
          <w:b/>
          <w:bCs/>
          <w:rtl/>
        </w:rPr>
        <w:t xml:space="preserve"> </w:t>
      </w:r>
      <w:r w:rsidRPr="00E208B7">
        <w:rPr>
          <w:rFonts w:ascii="FrankRuehl" w:hAnsi="FrankRuehl" w:hint="eastAsia"/>
          <w:b/>
          <w:bCs/>
          <w:rtl/>
        </w:rPr>
        <w:t>הסמים</w:t>
      </w:r>
      <w:r w:rsidRPr="00E208B7">
        <w:rPr>
          <w:rFonts w:ascii="FrankRuehl" w:hAnsi="FrankRuehl"/>
          <w:b/>
          <w:bCs/>
          <w:rtl/>
        </w:rPr>
        <w:t xml:space="preserve"> </w:t>
      </w:r>
      <w:r w:rsidRPr="00E208B7">
        <w:rPr>
          <w:rFonts w:ascii="FrankRuehl" w:hAnsi="FrankRuehl" w:hint="eastAsia"/>
          <w:b/>
          <w:bCs/>
          <w:rtl/>
        </w:rPr>
        <w:t>יש</w:t>
      </w:r>
      <w:r w:rsidRPr="00E208B7">
        <w:rPr>
          <w:rFonts w:ascii="FrankRuehl" w:hAnsi="FrankRuehl"/>
          <w:b/>
          <w:bCs/>
          <w:rtl/>
        </w:rPr>
        <w:t xml:space="preserve"> </w:t>
      </w:r>
      <w:r w:rsidRPr="00E208B7">
        <w:rPr>
          <w:rFonts w:ascii="FrankRuehl" w:hAnsi="FrankRuehl" w:hint="eastAsia"/>
          <w:b/>
          <w:bCs/>
          <w:rtl/>
        </w:rPr>
        <w:t>לעקור</w:t>
      </w:r>
      <w:r w:rsidRPr="00E208B7">
        <w:rPr>
          <w:rFonts w:ascii="FrankRuehl" w:hAnsi="FrankRuehl"/>
          <w:b/>
          <w:bCs/>
          <w:rtl/>
        </w:rPr>
        <w:t xml:space="preserve"> </w:t>
      </w:r>
      <w:r w:rsidRPr="00E208B7">
        <w:rPr>
          <w:rFonts w:ascii="FrankRuehl" w:hAnsi="FrankRuehl" w:hint="eastAsia"/>
          <w:b/>
          <w:bCs/>
          <w:rtl/>
        </w:rPr>
        <w:t>מן</w:t>
      </w:r>
      <w:r w:rsidRPr="00E208B7">
        <w:rPr>
          <w:rFonts w:ascii="FrankRuehl" w:hAnsi="FrankRuehl"/>
          <w:b/>
          <w:bCs/>
          <w:rtl/>
        </w:rPr>
        <w:t xml:space="preserve"> </w:t>
      </w:r>
      <w:r w:rsidRPr="00E208B7">
        <w:rPr>
          <w:rFonts w:ascii="FrankRuehl" w:hAnsi="FrankRuehl" w:hint="eastAsia"/>
          <w:b/>
          <w:bCs/>
          <w:rtl/>
        </w:rPr>
        <w:t>השורש</w:t>
      </w:r>
      <w:r w:rsidRPr="00E208B7">
        <w:rPr>
          <w:rFonts w:ascii="FrankRuehl" w:hAnsi="FrankRuehl"/>
          <w:b/>
          <w:bCs/>
          <w:rtl/>
        </w:rPr>
        <w:t xml:space="preserve">. </w:t>
      </w:r>
      <w:r w:rsidRPr="00E208B7">
        <w:rPr>
          <w:rFonts w:ascii="FrankRuehl" w:hAnsi="FrankRuehl" w:hint="eastAsia"/>
          <w:b/>
          <w:bCs/>
          <w:rtl/>
        </w:rPr>
        <w:t>ייצור</w:t>
      </w:r>
      <w:r w:rsidRPr="00E208B7">
        <w:rPr>
          <w:rFonts w:ascii="FrankRuehl" w:hAnsi="FrankRuehl"/>
          <w:b/>
          <w:bCs/>
          <w:rtl/>
        </w:rPr>
        <w:t xml:space="preserve">, </w:t>
      </w:r>
      <w:r w:rsidRPr="00E208B7">
        <w:rPr>
          <w:rFonts w:ascii="FrankRuehl" w:hAnsi="FrankRuehl" w:hint="eastAsia"/>
          <w:b/>
          <w:bCs/>
          <w:rtl/>
        </w:rPr>
        <w:t>הפצה</w:t>
      </w:r>
      <w:r w:rsidRPr="00E208B7">
        <w:rPr>
          <w:rFonts w:ascii="FrankRuehl" w:hAnsi="FrankRuehl"/>
          <w:b/>
          <w:bCs/>
          <w:rtl/>
        </w:rPr>
        <w:t xml:space="preserve">, </w:t>
      </w:r>
      <w:r w:rsidRPr="00E208B7">
        <w:rPr>
          <w:rFonts w:ascii="FrankRuehl" w:hAnsi="FrankRuehl" w:hint="eastAsia"/>
          <w:b/>
          <w:bCs/>
          <w:rtl/>
        </w:rPr>
        <w:t>סחר</w:t>
      </w:r>
      <w:r w:rsidRPr="00E208B7">
        <w:rPr>
          <w:rFonts w:ascii="FrankRuehl" w:hAnsi="FrankRuehl"/>
          <w:b/>
          <w:bCs/>
          <w:rtl/>
        </w:rPr>
        <w:t xml:space="preserve"> </w:t>
      </w:r>
      <w:r w:rsidRPr="00E208B7">
        <w:rPr>
          <w:rFonts w:ascii="FrankRuehl" w:hAnsi="FrankRuehl" w:hint="eastAsia"/>
          <w:b/>
          <w:bCs/>
          <w:rtl/>
        </w:rPr>
        <w:t>וכמובן</w:t>
      </w:r>
      <w:r w:rsidRPr="00E208B7">
        <w:rPr>
          <w:rFonts w:ascii="FrankRuehl" w:hAnsi="FrankRuehl"/>
          <w:b/>
          <w:bCs/>
          <w:rtl/>
        </w:rPr>
        <w:t xml:space="preserve"> </w:t>
      </w:r>
      <w:r w:rsidRPr="00E208B7">
        <w:rPr>
          <w:rFonts w:ascii="FrankRuehl" w:hAnsi="FrankRuehl" w:hint="eastAsia"/>
          <w:b/>
          <w:bCs/>
          <w:rtl/>
        </w:rPr>
        <w:t>גם</w:t>
      </w:r>
      <w:r w:rsidRPr="00E208B7">
        <w:rPr>
          <w:rFonts w:ascii="FrankRuehl" w:hAnsi="FrankRuehl"/>
          <w:b/>
          <w:bCs/>
          <w:rtl/>
        </w:rPr>
        <w:t xml:space="preserve"> </w:t>
      </w:r>
      <w:r w:rsidRPr="00E208B7">
        <w:rPr>
          <w:rFonts w:ascii="FrankRuehl" w:hAnsi="FrankRuehl" w:hint="eastAsia"/>
          <w:b/>
          <w:bCs/>
          <w:rtl/>
        </w:rPr>
        <w:t>שימוש</w:t>
      </w:r>
      <w:r w:rsidRPr="00E208B7">
        <w:rPr>
          <w:rFonts w:ascii="FrankRuehl" w:hAnsi="FrankRuehl"/>
          <w:b/>
          <w:bCs/>
          <w:rtl/>
        </w:rPr>
        <w:t xml:space="preserve"> </w:t>
      </w:r>
      <w:r w:rsidRPr="00E208B7">
        <w:rPr>
          <w:rFonts w:ascii="FrankRuehl" w:hAnsi="FrankRuehl" w:hint="eastAsia"/>
          <w:b/>
          <w:bCs/>
          <w:rtl/>
        </w:rPr>
        <w:t>בסמים</w:t>
      </w:r>
      <w:r w:rsidRPr="00E208B7">
        <w:rPr>
          <w:rFonts w:ascii="FrankRuehl" w:hAnsi="FrankRuehl"/>
          <w:b/>
          <w:bCs/>
          <w:rtl/>
        </w:rPr>
        <w:t xml:space="preserve"> - </w:t>
      </w:r>
      <w:r w:rsidRPr="00E208B7">
        <w:rPr>
          <w:rFonts w:ascii="FrankRuehl" w:hAnsi="FrankRuehl" w:hint="eastAsia"/>
          <w:b/>
          <w:bCs/>
          <w:rtl/>
        </w:rPr>
        <w:t>כל</w:t>
      </w:r>
      <w:r w:rsidRPr="00E208B7">
        <w:rPr>
          <w:rFonts w:ascii="FrankRuehl" w:hAnsi="FrankRuehl"/>
          <w:b/>
          <w:bCs/>
          <w:rtl/>
        </w:rPr>
        <w:t xml:space="preserve"> </w:t>
      </w:r>
      <w:r w:rsidRPr="00E208B7">
        <w:rPr>
          <w:rFonts w:ascii="FrankRuehl" w:hAnsi="FrankRuehl" w:hint="eastAsia"/>
          <w:b/>
          <w:bCs/>
          <w:rtl/>
        </w:rPr>
        <w:t>אלו</w:t>
      </w:r>
      <w:r w:rsidRPr="00E208B7">
        <w:rPr>
          <w:rFonts w:ascii="FrankRuehl" w:hAnsi="FrankRuehl"/>
          <w:b/>
          <w:bCs/>
          <w:rtl/>
        </w:rPr>
        <w:t xml:space="preserve"> </w:t>
      </w:r>
      <w:r w:rsidRPr="00E208B7">
        <w:rPr>
          <w:rFonts w:ascii="FrankRuehl" w:hAnsi="FrankRuehl" w:hint="eastAsia"/>
          <w:b/>
          <w:bCs/>
          <w:rtl/>
        </w:rPr>
        <w:t>מסבים</w:t>
      </w:r>
      <w:r w:rsidRPr="00E208B7">
        <w:rPr>
          <w:rFonts w:ascii="FrankRuehl" w:hAnsi="FrankRuehl"/>
          <w:b/>
          <w:bCs/>
          <w:rtl/>
        </w:rPr>
        <w:t xml:space="preserve"> </w:t>
      </w:r>
      <w:r w:rsidRPr="00E208B7">
        <w:rPr>
          <w:rFonts w:ascii="FrankRuehl" w:hAnsi="FrankRuehl" w:hint="eastAsia"/>
          <w:b/>
          <w:bCs/>
          <w:rtl/>
        </w:rPr>
        <w:t>נזק</w:t>
      </w:r>
      <w:r w:rsidRPr="00E208B7">
        <w:rPr>
          <w:rFonts w:ascii="FrankRuehl" w:hAnsi="FrankRuehl"/>
          <w:b/>
          <w:bCs/>
          <w:rtl/>
        </w:rPr>
        <w:t xml:space="preserve"> </w:t>
      </w:r>
      <w:r w:rsidRPr="00E208B7">
        <w:rPr>
          <w:rFonts w:ascii="FrankRuehl" w:hAnsi="FrankRuehl" w:hint="eastAsia"/>
          <w:b/>
          <w:bCs/>
          <w:rtl/>
        </w:rPr>
        <w:t>עצום</w:t>
      </w:r>
      <w:r w:rsidRPr="00E208B7">
        <w:rPr>
          <w:rFonts w:ascii="FrankRuehl" w:hAnsi="FrankRuehl"/>
          <w:b/>
          <w:bCs/>
          <w:rtl/>
        </w:rPr>
        <w:t xml:space="preserve">. </w:t>
      </w:r>
      <w:r w:rsidRPr="00E208B7">
        <w:rPr>
          <w:rFonts w:ascii="FrankRuehl" w:hAnsi="FrankRuehl" w:hint="eastAsia"/>
          <w:b/>
          <w:bCs/>
          <w:rtl/>
        </w:rPr>
        <w:t>הנזק</w:t>
      </w:r>
      <w:r w:rsidRPr="00E208B7">
        <w:rPr>
          <w:rFonts w:ascii="FrankRuehl" w:hAnsi="FrankRuehl"/>
          <w:b/>
          <w:bCs/>
          <w:rtl/>
        </w:rPr>
        <w:t xml:space="preserve"> </w:t>
      </w:r>
      <w:r w:rsidRPr="00E208B7">
        <w:rPr>
          <w:rFonts w:ascii="FrankRuehl" w:hAnsi="FrankRuehl" w:hint="eastAsia"/>
          <w:b/>
          <w:bCs/>
          <w:rtl/>
        </w:rPr>
        <w:t>נגרם</w:t>
      </w:r>
      <w:r w:rsidRPr="00E208B7">
        <w:rPr>
          <w:rFonts w:ascii="FrankRuehl" w:hAnsi="FrankRuehl"/>
          <w:b/>
          <w:bCs/>
          <w:rtl/>
        </w:rPr>
        <w:t xml:space="preserve"> </w:t>
      </w:r>
      <w:r w:rsidRPr="00E208B7">
        <w:rPr>
          <w:rFonts w:ascii="FrankRuehl" w:hAnsi="FrankRuehl" w:hint="eastAsia"/>
          <w:b/>
          <w:bCs/>
          <w:rtl/>
        </w:rPr>
        <w:t>לא</w:t>
      </w:r>
      <w:r w:rsidRPr="00E208B7">
        <w:rPr>
          <w:rFonts w:ascii="FrankRuehl" w:hAnsi="FrankRuehl"/>
          <w:b/>
          <w:bCs/>
          <w:rtl/>
        </w:rPr>
        <w:t xml:space="preserve"> </w:t>
      </w:r>
      <w:r w:rsidRPr="00E208B7">
        <w:rPr>
          <w:rFonts w:ascii="FrankRuehl" w:hAnsi="FrankRuehl" w:hint="eastAsia"/>
          <w:b/>
          <w:bCs/>
          <w:rtl/>
        </w:rPr>
        <w:t>רק</w:t>
      </w:r>
      <w:r w:rsidRPr="00E208B7">
        <w:rPr>
          <w:rFonts w:ascii="FrankRuehl" w:hAnsi="FrankRuehl"/>
          <w:b/>
          <w:bCs/>
          <w:rtl/>
        </w:rPr>
        <w:t xml:space="preserve"> </w:t>
      </w:r>
      <w:r w:rsidRPr="00E208B7">
        <w:rPr>
          <w:rFonts w:ascii="FrankRuehl" w:hAnsi="FrankRuehl" w:hint="eastAsia"/>
          <w:b/>
          <w:bCs/>
          <w:rtl/>
        </w:rPr>
        <w:t>למעגל</w:t>
      </w:r>
      <w:r w:rsidRPr="00E208B7">
        <w:rPr>
          <w:rFonts w:ascii="FrankRuehl" w:hAnsi="FrankRuehl"/>
          <w:b/>
          <w:bCs/>
          <w:rtl/>
        </w:rPr>
        <w:t xml:space="preserve"> </w:t>
      </w:r>
      <w:r w:rsidRPr="00E208B7">
        <w:rPr>
          <w:rFonts w:ascii="FrankRuehl" w:hAnsi="FrankRuehl" w:hint="eastAsia"/>
          <w:b/>
          <w:bCs/>
          <w:rtl/>
        </w:rPr>
        <w:t>הסגור</w:t>
      </w:r>
      <w:r w:rsidRPr="00E208B7">
        <w:rPr>
          <w:rFonts w:ascii="FrankRuehl" w:hAnsi="FrankRuehl"/>
          <w:b/>
          <w:bCs/>
          <w:rtl/>
        </w:rPr>
        <w:t xml:space="preserve"> </w:t>
      </w:r>
      <w:r w:rsidRPr="00E208B7">
        <w:rPr>
          <w:rFonts w:ascii="FrankRuehl" w:hAnsi="FrankRuehl" w:hint="eastAsia"/>
          <w:b/>
          <w:bCs/>
          <w:rtl/>
        </w:rPr>
        <w:t>של</w:t>
      </w:r>
      <w:r w:rsidRPr="00E208B7">
        <w:rPr>
          <w:rFonts w:ascii="FrankRuehl" w:hAnsi="FrankRuehl"/>
          <w:b/>
          <w:bCs/>
          <w:rtl/>
        </w:rPr>
        <w:t xml:space="preserve"> </w:t>
      </w:r>
      <w:r w:rsidRPr="00E208B7">
        <w:rPr>
          <w:rFonts w:ascii="FrankRuehl" w:hAnsi="FrankRuehl" w:hint="eastAsia"/>
          <w:b/>
          <w:bCs/>
          <w:rtl/>
        </w:rPr>
        <w:t>המעורבים</w:t>
      </w:r>
      <w:r w:rsidRPr="00E208B7">
        <w:rPr>
          <w:rFonts w:ascii="FrankRuehl" w:hAnsi="FrankRuehl"/>
          <w:b/>
          <w:bCs/>
          <w:rtl/>
        </w:rPr>
        <w:t xml:space="preserve"> </w:t>
      </w:r>
      <w:r w:rsidRPr="00E208B7">
        <w:rPr>
          <w:rFonts w:ascii="FrankRuehl" w:hAnsi="FrankRuehl" w:hint="eastAsia"/>
          <w:b/>
          <w:bCs/>
          <w:rtl/>
        </w:rPr>
        <w:t>הישירים</w:t>
      </w:r>
      <w:r w:rsidRPr="00E208B7">
        <w:rPr>
          <w:rFonts w:ascii="FrankRuehl" w:hAnsi="FrankRuehl"/>
          <w:b/>
          <w:bCs/>
          <w:rtl/>
        </w:rPr>
        <w:t xml:space="preserve"> </w:t>
      </w:r>
      <w:r w:rsidRPr="00E208B7">
        <w:rPr>
          <w:rFonts w:ascii="FrankRuehl" w:hAnsi="FrankRuehl" w:hint="eastAsia"/>
          <w:b/>
          <w:bCs/>
          <w:rtl/>
        </w:rPr>
        <w:t>בביצוע</w:t>
      </w:r>
      <w:r w:rsidRPr="00E208B7">
        <w:rPr>
          <w:rFonts w:ascii="FrankRuehl" w:hAnsi="FrankRuehl"/>
          <w:b/>
          <w:bCs/>
          <w:rtl/>
        </w:rPr>
        <w:t xml:space="preserve"> </w:t>
      </w:r>
      <w:r w:rsidRPr="00E208B7">
        <w:rPr>
          <w:rFonts w:ascii="FrankRuehl" w:hAnsi="FrankRuehl" w:hint="eastAsia"/>
          <w:b/>
          <w:bCs/>
          <w:rtl/>
        </w:rPr>
        <w:t>העבירות</w:t>
      </w:r>
      <w:r w:rsidRPr="00E208B7">
        <w:rPr>
          <w:rFonts w:ascii="FrankRuehl" w:hAnsi="FrankRuehl"/>
          <w:b/>
          <w:bCs/>
          <w:rtl/>
        </w:rPr>
        <w:t xml:space="preserve">, </w:t>
      </w:r>
      <w:r w:rsidRPr="00E208B7">
        <w:rPr>
          <w:rFonts w:ascii="FrankRuehl" w:hAnsi="FrankRuehl" w:hint="eastAsia"/>
          <w:b/>
          <w:bCs/>
          <w:rtl/>
        </w:rPr>
        <w:t>אלא</w:t>
      </w:r>
      <w:r w:rsidRPr="00E208B7">
        <w:rPr>
          <w:rFonts w:ascii="FrankRuehl" w:hAnsi="FrankRuehl"/>
          <w:b/>
          <w:bCs/>
          <w:rtl/>
        </w:rPr>
        <w:t xml:space="preserve"> </w:t>
      </w:r>
      <w:r w:rsidRPr="00E208B7">
        <w:rPr>
          <w:rFonts w:ascii="FrankRuehl" w:hAnsi="FrankRuehl" w:hint="eastAsia"/>
          <w:b/>
          <w:bCs/>
          <w:rtl/>
        </w:rPr>
        <w:t>גם</w:t>
      </w:r>
      <w:r w:rsidRPr="00E208B7">
        <w:rPr>
          <w:rFonts w:ascii="FrankRuehl" w:hAnsi="FrankRuehl"/>
          <w:b/>
          <w:bCs/>
          <w:rtl/>
        </w:rPr>
        <w:t xml:space="preserve"> </w:t>
      </w:r>
      <w:r w:rsidRPr="00E208B7">
        <w:rPr>
          <w:rFonts w:ascii="FrankRuehl" w:hAnsi="FrankRuehl" w:hint="eastAsia"/>
          <w:b/>
          <w:bCs/>
          <w:rtl/>
        </w:rPr>
        <w:t>לחברה</w:t>
      </w:r>
      <w:r w:rsidRPr="00E208B7">
        <w:rPr>
          <w:rFonts w:ascii="FrankRuehl" w:hAnsi="FrankRuehl"/>
          <w:b/>
          <w:bCs/>
          <w:rtl/>
        </w:rPr>
        <w:t xml:space="preserve"> </w:t>
      </w:r>
      <w:r w:rsidRPr="00E208B7">
        <w:rPr>
          <w:rFonts w:ascii="FrankRuehl" w:hAnsi="FrankRuehl" w:hint="eastAsia"/>
          <w:b/>
          <w:bCs/>
          <w:rtl/>
        </w:rPr>
        <w:t>בכללותה</w:t>
      </w:r>
      <w:r w:rsidRPr="00E208B7">
        <w:rPr>
          <w:rFonts w:ascii="FrankRuehl" w:hAnsi="FrankRuehl"/>
          <w:b/>
          <w:bCs/>
          <w:rtl/>
        </w:rPr>
        <w:t xml:space="preserve">.." </w:t>
      </w:r>
    </w:p>
    <w:p w14:paraId="2151C94E" w14:textId="77777777" w:rsidR="00ED3006" w:rsidRPr="00E208B7" w:rsidRDefault="00ED3006" w:rsidP="00ED3006">
      <w:pPr>
        <w:spacing w:after="200" w:line="360" w:lineRule="auto"/>
        <w:jc w:val="both"/>
        <w:rPr>
          <w:rFonts w:ascii="David" w:hAnsi="David"/>
          <w:rtl/>
        </w:rPr>
      </w:pPr>
    </w:p>
    <w:p w14:paraId="59A47E64" w14:textId="77777777" w:rsidR="00ED3006" w:rsidRPr="00E208B7" w:rsidRDefault="00ED3006" w:rsidP="00ED3006">
      <w:pPr>
        <w:spacing w:after="200" w:line="360" w:lineRule="auto"/>
        <w:ind w:firstLine="368"/>
        <w:jc w:val="both"/>
        <w:rPr>
          <w:rFonts w:ascii="David" w:hAnsi="David"/>
          <w:rtl/>
        </w:rPr>
      </w:pPr>
      <w:r w:rsidRPr="00E208B7">
        <w:rPr>
          <w:rFonts w:ascii="David" w:hAnsi="David"/>
          <w:rtl/>
        </w:rPr>
        <w:t xml:space="preserve">ראו גם </w:t>
      </w:r>
      <w:hyperlink r:id="rId18" w:history="1">
        <w:r w:rsidR="00A847E2" w:rsidRPr="00A847E2">
          <w:rPr>
            <w:rFonts w:ascii="David" w:hAnsi="David"/>
            <w:color w:val="0000FF"/>
            <w:u w:val="single"/>
            <w:rtl/>
          </w:rPr>
          <w:t>רע"פ 2557/12</w:t>
        </w:r>
      </w:hyperlink>
      <w:r w:rsidRPr="00E208B7">
        <w:rPr>
          <w:rFonts w:ascii="David" w:hAnsi="David"/>
          <w:rtl/>
        </w:rPr>
        <w:t xml:space="preserve"> </w:t>
      </w:r>
      <w:r w:rsidRPr="00E208B7">
        <w:rPr>
          <w:rFonts w:ascii="David" w:hAnsi="David"/>
          <w:b/>
          <w:bCs/>
          <w:rtl/>
        </w:rPr>
        <w:t>תמם פרדי נגד מדינת ישראל</w:t>
      </w:r>
      <w:r w:rsidRPr="00E208B7">
        <w:rPr>
          <w:rFonts w:ascii="David" w:hAnsi="David"/>
          <w:rtl/>
        </w:rPr>
        <w:t xml:space="preserve"> [פורסם במאגרים] (5.4.12): </w:t>
      </w:r>
    </w:p>
    <w:p w14:paraId="16919FFE" w14:textId="77777777" w:rsidR="00ED3006" w:rsidRPr="00E208B7" w:rsidRDefault="00ED3006" w:rsidP="00ED3006">
      <w:pPr>
        <w:ind w:left="1440" w:right="851"/>
        <w:jc w:val="both"/>
        <w:rPr>
          <w:rFonts w:ascii="FrankRuehl" w:hAnsi="FrankRuehl"/>
          <w:b/>
          <w:bCs/>
          <w:rtl/>
        </w:rPr>
      </w:pPr>
      <w:r w:rsidRPr="00E208B7">
        <w:rPr>
          <w:rFonts w:ascii="FrankRuehl" w:hAnsi="FrankRuehl"/>
          <w:b/>
          <w:bCs/>
          <w:rtl/>
        </w:rPr>
        <w:t>"</w:t>
      </w:r>
      <w:r w:rsidRPr="00E208B7">
        <w:rPr>
          <w:rFonts w:ascii="FrankRuehl" w:hAnsi="FrankRuehl" w:hint="eastAsia"/>
          <w:b/>
          <w:bCs/>
          <w:rtl/>
        </w:rPr>
        <w:t>עמדנו</w:t>
      </w:r>
      <w:r w:rsidRPr="00E208B7">
        <w:rPr>
          <w:rFonts w:ascii="FrankRuehl" w:hAnsi="FrankRuehl"/>
          <w:b/>
          <w:bCs/>
          <w:rtl/>
        </w:rPr>
        <w:t xml:space="preserve"> </w:t>
      </w:r>
      <w:r w:rsidRPr="00E208B7">
        <w:rPr>
          <w:rFonts w:ascii="FrankRuehl" w:hAnsi="FrankRuehl" w:hint="eastAsia"/>
          <w:b/>
          <w:bCs/>
          <w:rtl/>
        </w:rPr>
        <w:t>לא</w:t>
      </w:r>
      <w:r w:rsidRPr="00E208B7">
        <w:rPr>
          <w:rFonts w:ascii="FrankRuehl" w:hAnsi="FrankRuehl"/>
          <w:b/>
          <w:bCs/>
          <w:rtl/>
        </w:rPr>
        <w:t xml:space="preserve"> </w:t>
      </w:r>
      <w:r w:rsidRPr="00E208B7">
        <w:rPr>
          <w:rFonts w:ascii="FrankRuehl" w:hAnsi="FrankRuehl" w:hint="eastAsia"/>
          <w:b/>
          <w:bCs/>
          <w:rtl/>
        </w:rPr>
        <w:t>אחת</w:t>
      </w:r>
      <w:r w:rsidRPr="00E208B7">
        <w:rPr>
          <w:rFonts w:ascii="FrankRuehl" w:hAnsi="FrankRuehl"/>
          <w:b/>
          <w:bCs/>
          <w:rtl/>
        </w:rPr>
        <w:t xml:space="preserve"> </w:t>
      </w:r>
      <w:r w:rsidRPr="00E208B7">
        <w:rPr>
          <w:rFonts w:ascii="FrankRuehl" w:hAnsi="FrankRuehl" w:hint="eastAsia"/>
          <w:b/>
          <w:bCs/>
          <w:rtl/>
        </w:rPr>
        <w:t>על</w:t>
      </w:r>
      <w:r w:rsidRPr="00E208B7">
        <w:rPr>
          <w:rFonts w:ascii="FrankRuehl" w:hAnsi="FrankRuehl"/>
          <w:b/>
          <w:bCs/>
          <w:rtl/>
        </w:rPr>
        <w:t xml:space="preserve"> </w:t>
      </w:r>
      <w:r w:rsidRPr="00E208B7">
        <w:rPr>
          <w:rFonts w:ascii="FrankRuehl" w:hAnsi="FrankRuehl" w:hint="eastAsia"/>
          <w:b/>
          <w:bCs/>
          <w:rtl/>
        </w:rPr>
        <w:t>חומרתן</w:t>
      </w:r>
      <w:r w:rsidRPr="00E208B7">
        <w:rPr>
          <w:rFonts w:ascii="FrankRuehl" w:hAnsi="FrankRuehl"/>
          <w:b/>
          <w:bCs/>
          <w:rtl/>
        </w:rPr>
        <w:t xml:space="preserve"> </w:t>
      </w:r>
      <w:r w:rsidRPr="00E208B7">
        <w:rPr>
          <w:rFonts w:ascii="FrankRuehl" w:hAnsi="FrankRuehl" w:hint="eastAsia"/>
          <w:b/>
          <w:bCs/>
          <w:rtl/>
        </w:rPr>
        <w:t>של</w:t>
      </w:r>
      <w:r w:rsidRPr="00E208B7">
        <w:rPr>
          <w:rFonts w:ascii="FrankRuehl" w:hAnsi="FrankRuehl"/>
          <w:b/>
          <w:bCs/>
          <w:rtl/>
        </w:rPr>
        <w:t xml:space="preserve"> </w:t>
      </w:r>
      <w:r w:rsidRPr="00E208B7">
        <w:rPr>
          <w:rFonts w:ascii="FrankRuehl" w:hAnsi="FrankRuehl" w:hint="eastAsia"/>
          <w:b/>
          <w:bCs/>
          <w:rtl/>
        </w:rPr>
        <w:t>עבירות</w:t>
      </w:r>
      <w:r w:rsidRPr="00E208B7">
        <w:rPr>
          <w:rFonts w:ascii="FrankRuehl" w:hAnsi="FrankRuehl"/>
          <w:b/>
          <w:bCs/>
          <w:rtl/>
        </w:rPr>
        <w:t xml:space="preserve"> </w:t>
      </w:r>
      <w:r w:rsidRPr="00E208B7">
        <w:rPr>
          <w:rFonts w:ascii="FrankRuehl" w:hAnsi="FrankRuehl" w:hint="eastAsia"/>
          <w:b/>
          <w:bCs/>
          <w:rtl/>
        </w:rPr>
        <w:t>הפצת</w:t>
      </w:r>
      <w:r w:rsidRPr="00E208B7">
        <w:rPr>
          <w:rFonts w:ascii="FrankRuehl" w:hAnsi="FrankRuehl"/>
          <w:b/>
          <w:bCs/>
          <w:rtl/>
        </w:rPr>
        <w:t xml:space="preserve"> </w:t>
      </w:r>
      <w:r w:rsidRPr="00E208B7">
        <w:rPr>
          <w:rFonts w:ascii="FrankRuehl" w:hAnsi="FrankRuehl" w:hint="eastAsia"/>
          <w:b/>
          <w:bCs/>
          <w:rtl/>
        </w:rPr>
        <w:t>סמים</w:t>
      </w:r>
      <w:r w:rsidRPr="00E208B7">
        <w:rPr>
          <w:rFonts w:ascii="FrankRuehl" w:hAnsi="FrankRuehl"/>
          <w:b/>
          <w:bCs/>
          <w:rtl/>
        </w:rPr>
        <w:t xml:space="preserve"> </w:t>
      </w:r>
      <w:r w:rsidRPr="00E208B7">
        <w:rPr>
          <w:rFonts w:ascii="FrankRuehl" w:hAnsi="FrankRuehl" w:hint="eastAsia"/>
          <w:b/>
          <w:bCs/>
          <w:rtl/>
        </w:rPr>
        <w:t>והחשיבות</w:t>
      </w:r>
      <w:r w:rsidRPr="00E208B7">
        <w:rPr>
          <w:rFonts w:ascii="FrankRuehl" w:hAnsi="FrankRuehl"/>
          <w:b/>
          <w:bCs/>
          <w:rtl/>
        </w:rPr>
        <w:t xml:space="preserve"> </w:t>
      </w:r>
      <w:r w:rsidRPr="00E208B7">
        <w:rPr>
          <w:rFonts w:ascii="FrankRuehl" w:hAnsi="FrankRuehl" w:hint="eastAsia"/>
          <w:b/>
          <w:bCs/>
          <w:rtl/>
        </w:rPr>
        <w:t>בהרתעה</w:t>
      </w:r>
      <w:r w:rsidRPr="00E208B7">
        <w:rPr>
          <w:rFonts w:ascii="FrankRuehl" w:hAnsi="FrankRuehl"/>
          <w:b/>
          <w:bCs/>
          <w:rtl/>
        </w:rPr>
        <w:t xml:space="preserve"> </w:t>
      </w:r>
      <w:r w:rsidRPr="00E208B7">
        <w:rPr>
          <w:rFonts w:ascii="FrankRuehl" w:hAnsi="FrankRuehl" w:hint="eastAsia"/>
          <w:b/>
          <w:bCs/>
          <w:rtl/>
        </w:rPr>
        <w:t>אפקטיבית</w:t>
      </w:r>
      <w:r w:rsidRPr="00E208B7">
        <w:rPr>
          <w:rFonts w:ascii="FrankRuehl" w:hAnsi="FrankRuehl"/>
          <w:b/>
          <w:bCs/>
          <w:rtl/>
        </w:rPr>
        <w:t xml:space="preserve">: </w:t>
      </w:r>
    </w:p>
    <w:p w14:paraId="6BB388B2" w14:textId="77777777" w:rsidR="00ED3006" w:rsidRPr="00E208B7" w:rsidRDefault="00ED3006" w:rsidP="00ED3006">
      <w:pPr>
        <w:ind w:left="1440" w:right="851"/>
        <w:jc w:val="both"/>
        <w:rPr>
          <w:rFonts w:ascii="FrankRuehl" w:hAnsi="FrankRuehl"/>
          <w:b/>
          <w:bCs/>
          <w:rtl/>
        </w:rPr>
      </w:pPr>
      <w:r w:rsidRPr="00E208B7">
        <w:rPr>
          <w:rFonts w:ascii="FrankRuehl" w:hAnsi="FrankRuehl"/>
          <w:b/>
          <w:bCs/>
          <w:rtl/>
        </w:rPr>
        <w:t>"</w:t>
      </w:r>
      <w:r w:rsidRPr="00E208B7">
        <w:rPr>
          <w:rFonts w:ascii="FrankRuehl" w:hAnsi="FrankRuehl" w:hint="eastAsia"/>
          <w:b/>
          <w:bCs/>
          <w:rtl/>
        </w:rPr>
        <w:t>חשיבות</w:t>
      </w:r>
      <w:r w:rsidRPr="00E208B7">
        <w:rPr>
          <w:rFonts w:ascii="FrankRuehl" w:hAnsi="FrankRuehl"/>
          <w:b/>
          <w:bCs/>
          <w:rtl/>
        </w:rPr>
        <w:t xml:space="preserve"> </w:t>
      </w:r>
      <w:r w:rsidRPr="00E208B7">
        <w:rPr>
          <w:rFonts w:ascii="FrankRuehl" w:hAnsi="FrankRuehl" w:hint="eastAsia"/>
          <w:b/>
          <w:bCs/>
          <w:rtl/>
        </w:rPr>
        <w:t>המלחמה</w:t>
      </w:r>
      <w:r w:rsidRPr="00E208B7">
        <w:rPr>
          <w:rFonts w:ascii="FrankRuehl" w:hAnsi="FrankRuehl"/>
          <w:b/>
          <w:bCs/>
          <w:rtl/>
        </w:rPr>
        <w:t xml:space="preserve"> </w:t>
      </w:r>
      <w:r w:rsidRPr="00E208B7">
        <w:rPr>
          <w:rFonts w:ascii="FrankRuehl" w:hAnsi="FrankRuehl" w:hint="eastAsia"/>
          <w:b/>
          <w:bCs/>
          <w:rtl/>
        </w:rPr>
        <w:t>בנגע</w:t>
      </w:r>
      <w:r w:rsidRPr="00E208B7">
        <w:rPr>
          <w:rFonts w:ascii="FrankRuehl" w:hAnsi="FrankRuehl"/>
          <w:b/>
          <w:bCs/>
          <w:rtl/>
        </w:rPr>
        <w:t xml:space="preserve"> </w:t>
      </w:r>
      <w:r w:rsidRPr="00E208B7">
        <w:rPr>
          <w:rFonts w:ascii="FrankRuehl" w:hAnsi="FrankRuehl" w:hint="eastAsia"/>
          <w:b/>
          <w:bCs/>
          <w:rtl/>
        </w:rPr>
        <w:t>הסמים</w:t>
      </w:r>
      <w:r w:rsidRPr="00E208B7">
        <w:rPr>
          <w:rFonts w:ascii="FrankRuehl" w:hAnsi="FrankRuehl"/>
          <w:b/>
          <w:bCs/>
          <w:rtl/>
        </w:rPr>
        <w:t xml:space="preserve"> </w:t>
      </w:r>
      <w:r w:rsidRPr="00E208B7">
        <w:rPr>
          <w:rFonts w:ascii="FrankRuehl" w:hAnsi="FrankRuehl" w:hint="eastAsia"/>
          <w:b/>
          <w:bCs/>
          <w:rtl/>
        </w:rPr>
        <w:t>ידועה</w:t>
      </w:r>
      <w:r w:rsidRPr="00E208B7">
        <w:rPr>
          <w:rFonts w:ascii="FrankRuehl" w:hAnsi="FrankRuehl"/>
          <w:b/>
          <w:bCs/>
          <w:rtl/>
        </w:rPr>
        <w:t xml:space="preserve"> </w:t>
      </w:r>
      <w:r w:rsidRPr="00E208B7">
        <w:rPr>
          <w:rFonts w:ascii="FrankRuehl" w:hAnsi="FrankRuehl" w:hint="eastAsia"/>
          <w:b/>
          <w:bCs/>
          <w:rtl/>
        </w:rPr>
        <w:t>לכל</w:t>
      </w:r>
      <w:r w:rsidRPr="00E208B7">
        <w:rPr>
          <w:rFonts w:ascii="FrankRuehl" w:hAnsi="FrankRuehl"/>
          <w:b/>
          <w:bCs/>
          <w:rtl/>
        </w:rPr>
        <w:t xml:space="preserve">, </w:t>
      </w:r>
      <w:r w:rsidRPr="00E208B7">
        <w:rPr>
          <w:rFonts w:ascii="FrankRuehl" w:hAnsi="FrankRuehl" w:hint="eastAsia"/>
          <w:b/>
          <w:bCs/>
          <w:rtl/>
        </w:rPr>
        <w:t>והעוסקים</w:t>
      </w:r>
      <w:r w:rsidRPr="00E208B7">
        <w:rPr>
          <w:rFonts w:ascii="FrankRuehl" w:hAnsi="FrankRuehl"/>
          <w:b/>
          <w:bCs/>
          <w:rtl/>
        </w:rPr>
        <w:t xml:space="preserve"> </w:t>
      </w:r>
      <w:r w:rsidRPr="00E208B7">
        <w:rPr>
          <w:rFonts w:ascii="FrankRuehl" w:hAnsi="FrankRuehl" w:hint="eastAsia"/>
          <w:b/>
          <w:bCs/>
          <w:rtl/>
        </w:rPr>
        <w:t>בסחר</w:t>
      </w:r>
      <w:r w:rsidRPr="00E208B7">
        <w:rPr>
          <w:rFonts w:ascii="FrankRuehl" w:hAnsi="FrankRuehl"/>
          <w:b/>
          <w:bCs/>
          <w:rtl/>
        </w:rPr>
        <w:t xml:space="preserve"> </w:t>
      </w:r>
      <w:r w:rsidRPr="00E208B7">
        <w:rPr>
          <w:rFonts w:ascii="FrankRuehl" w:hAnsi="FrankRuehl" w:hint="eastAsia"/>
          <w:b/>
          <w:bCs/>
          <w:rtl/>
        </w:rPr>
        <w:t>ובתיווך</w:t>
      </w:r>
      <w:r w:rsidRPr="00E208B7">
        <w:rPr>
          <w:rFonts w:ascii="FrankRuehl" w:hAnsi="FrankRuehl"/>
          <w:b/>
          <w:bCs/>
          <w:rtl/>
        </w:rPr>
        <w:t xml:space="preserve"> </w:t>
      </w:r>
      <w:r w:rsidRPr="00E208B7">
        <w:rPr>
          <w:rFonts w:ascii="FrankRuehl" w:hAnsi="FrankRuehl" w:hint="eastAsia"/>
          <w:b/>
          <w:bCs/>
          <w:rtl/>
        </w:rPr>
        <w:t>בסם</w:t>
      </w:r>
      <w:r w:rsidRPr="00E208B7">
        <w:rPr>
          <w:rFonts w:ascii="FrankRuehl" w:hAnsi="FrankRuehl"/>
          <w:b/>
          <w:bCs/>
          <w:rtl/>
        </w:rPr>
        <w:t xml:space="preserve"> </w:t>
      </w:r>
      <w:r w:rsidRPr="00E208B7">
        <w:rPr>
          <w:rFonts w:ascii="FrankRuehl" w:hAnsi="FrankRuehl" w:hint="eastAsia"/>
          <w:b/>
          <w:bCs/>
          <w:rtl/>
        </w:rPr>
        <w:t>יידעו</w:t>
      </w:r>
      <w:r w:rsidRPr="00E208B7">
        <w:rPr>
          <w:rFonts w:ascii="FrankRuehl" w:hAnsi="FrankRuehl"/>
          <w:b/>
          <w:bCs/>
          <w:rtl/>
        </w:rPr>
        <w:t xml:space="preserve"> </w:t>
      </w:r>
      <w:r w:rsidRPr="00E208B7">
        <w:rPr>
          <w:rFonts w:ascii="FrankRuehl" w:hAnsi="FrankRuehl" w:hint="eastAsia"/>
          <w:b/>
          <w:bCs/>
          <w:rtl/>
        </w:rPr>
        <w:t>כי</w:t>
      </w:r>
      <w:r w:rsidRPr="00E208B7">
        <w:rPr>
          <w:rFonts w:ascii="FrankRuehl" w:hAnsi="FrankRuehl"/>
          <w:b/>
          <w:bCs/>
          <w:rtl/>
        </w:rPr>
        <w:t xml:space="preserve"> '</w:t>
      </w:r>
      <w:r w:rsidRPr="00E208B7">
        <w:rPr>
          <w:rFonts w:ascii="FrankRuehl" w:hAnsi="FrankRuehl" w:hint="eastAsia"/>
          <w:b/>
          <w:bCs/>
          <w:rtl/>
        </w:rPr>
        <w:t>מלחמת</w:t>
      </w:r>
      <w:r w:rsidRPr="00E208B7">
        <w:rPr>
          <w:rFonts w:ascii="FrankRuehl" w:hAnsi="FrankRuehl"/>
          <w:b/>
          <w:bCs/>
          <w:rtl/>
        </w:rPr>
        <w:t xml:space="preserve"> </w:t>
      </w:r>
      <w:r w:rsidRPr="00E208B7">
        <w:rPr>
          <w:rFonts w:ascii="FrankRuehl" w:hAnsi="FrankRuehl" w:hint="eastAsia"/>
          <w:b/>
          <w:bCs/>
          <w:rtl/>
        </w:rPr>
        <w:t>החורמה</w:t>
      </w:r>
      <w:r w:rsidRPr="00E208B7">
        <w:rPr>
          <w:rFonts w:ascii="FrankRuehl" w:hAnsi="FrankRuehl"/>
          <w:b/>
          <w:bCs/>
          <w:rtl/>
        </w:rPr>
        <w:t xml:space="preserve"> </w:t>
      </w:r>
      <w:r w:rsidRPr="00E208B7">
        <w:rPr>
          <w:rFonts w:ascii="FrankRuehl" w:hAnsi="FrankRuehl" w:hint="eastAsia"/>
          <w:b/>
          <w:bCs/>
          <w:rtl/>
        </w:rPr>
        <w:t>בעברייני</w:t>
      </w:r>
      <w:r w:rsidRPr="00E208B7">
        <w:rPr>
          <w:rFonts w:ascii="FrankRuehl" w:hAnsi="FrankRuehl"/>
          <w:b/>
          <w:bCs/>
          <w:rtl/>
        </w:rPr>
        <w:t xml:space="preserve"> </w:t>
      </w:r>
      <w:r w:rsidRPr="00E208B7">
        <w:rPr>
          <w:rFonts w:ascii="FrankRuehl" w:hAnsi="FrankRuehl" w:hint="eastAsia"/>
          <w:b/>
          <w:bCs/>
          <w:rtl/>
        </w:rPr>
        <w:t>סמים</w:t>
      </w:r>
      <w:r w:rsidRPr="00E208B7">
        <w:rPr>
          <w:rFonts w:ascii="FrankRuehl" w:hAnsi="FrankRuehl"/>
          <w:b/>
          <w:bCs/>
          <w:rtl/>
        </w:rPr>
        <w:t xml:space="preserve"> </w:t>
      </w:r>
      <w:r w:rsidRPr="00E208B7">
        <w:rPr>
          <w:rFonts w:ascii="FrankRuehl" w:hAnsi="FrankRuehl" w:hint="eastAsia"/>
          <w:b/>
          <w:bCs/>
          <w:rtl/>
        </w:rPr>
        <w:t>נמשכת</w:t>
      </w:r>
      <w:r w:rsidRPr="00E208B7">
        <w:rPr>
          <w:rFonts w:ascii="FrankRuehl" w:hAnsi="FrankRuehl"/>
          <w:b/>
          <w:bCs/>
          <w:rtl/>
        </w:rPr>
        <w:t xml:space="preserve"> </w:t>
      </w:r>
      <w:r w:rsidRPr="00E208B7">
        <w:rPr>
          <w:rFonts w:ascii="FrankRuehl" w:hAnsi="FrankRuehl" w:hint="eastAsia"/>
          <w:b/>
          <w:bCs/>
          <w:rtl/>
        </w:rPr>
        <w:t>והולכת</w:t>
      </w:r>
      <w:r w:rsidRPr="00E208B7">
        <w:rPr>
          <w:rFonts w:ascii="FrankRuehl" w:hAnsi="FrankRuehl"/>
          <w:b/>
          <w:bCs/>
          <w:rtl/>
        </w:rPr>
        <w:t xml:space="preserve">. </w:t>
      </w:r>
      <w:r w:rsidRPr="00E208B7">
        <w:rPr>
          <w:rFonts w:ascii="FrankRuehl" w:hAnsi="FrankRuehl" w:hint="eastAsia"/>
          <w:b/>
          <w:bCs/>
          <w:rtl/>
        </w:rPr>
        <w:t>מלחמה</w:t>
      </w:r>
      <w:r w:rsidRPr="00E208B7">
        <w:rPr>
          <w:rFonts w:ascii="FrankRuehl" w:hAnsi="FrankRuehl"/>
          <w:b/>
          <w:bCs/>
          <w:rtl/>
        </w:rPr>
        <w:t xml:space="preserve"> </w:t>
      </w:r>
      <w:r w:rsidRPr="00E208B7">
        <w:rPr>
          <w:rFonts w:ascii="FrankRuehl" w:hAnsi="FrankRuehl" w:hint="eastAsia"/>
          <w:b/>
          <w:bCs/>
          <w:rtl/>
        </w:rPr>
        <w:t>קשה</w:t>
      </w:r>
      <w:r w:rsidRPr="00E208B7">
        <w:rPr>
          <w:rFonts w:ascii="FrankRuehl" w:hAnsi="FrankRuehl"/>
          <w:b/>
          <w:bCs/>
          <w:rtl/>
        </w:rPr>
        <w:t xml:space="preserve"> </w:t>
      </w:r>
      <w:r w:rsidRPr="00E208B7">
        <w:rPr>
          <w:rFonts w:ascii="FrankRuehl" w:hAnsi="FrankRuehl" w:hint="eastAsia"/>
          <w:b/>
          <w:bCs/>
          <w:rtl/>
        </w:rPr>
        <w:t>היא</w:t>
      </w:r>
      <w:r w:rsidRPr="00E208B7">
        <w:rPr>
          <w:rFonts w:ascii="FrankRuehl" w:hAnsi="FrankRuehl"/>
          <w:b/>
          <w:bCs/>
          <w:rtl/>
        </w:rPr>
        <w:t xml:space="preserve">, </w:t>
      </w:r>
      <w:r w:rsidRPr="00E208B7">
        <w:rPr>
          <w:rFonts w:ascii="FrankRuehl" w:hAnsi="FrankRuehl" w:hint="eastAsia"/>
          <w:b/>
          <w:bCs/>
          <w:rtl/>
        </w:rPr>
        <w:t>מלחמה</w:t>
      </w:r>
      <w:r w:rsidRPr="00E208B7">
        <w:rPr>
          <w:rFonts w:ascii="FrankRuehl" w:hAnsi="FrankRuehl"/>
          <w:b/>
          <w:bCs/>
          <w:rtl/>
        </w:rPr>
        <w:t xml:space="preserve"> </w:t>
      </w:r>
      <w:r w:rsidRPr="00E208B7">
        <w:rPr>
          <w:rFonts w:ascii="FrankRuehl" w:hAnsi="FrankRuehl" w:hint="eastAsia"/>
          <w:b/>
          <w:bCs/>
          <w:rtl/>
        </w:rPr>
        <w:t>ארוכה</w:t>
      </w:r>
      <w:r w:rsidRPr="00E208B7">
        <w:rPr>
          <w:rFonts w:ascii="FrankRuehl" w:hAnsi="FrankRuehl"/>
          <w:b/>
          <w:bCs/>
          <w:rtl/>
        </w:rPr>
        <w:t xml:space="preserve">, </w:t>
      </w:r>
      <w:r w:rsidRPr="00E208B7">
        <w:rPr>
          <w:rFonts w:ascii="FrankRuehl" w:hAnsi="FrankRuehl" w:hint="eastAsia"/>
          <w:b/>
          <w:bCs/>
          <w:rtl/>
        </w:rPr>
        <w:t>והיא</w:t>
      </w:r>
      <w:r w:rsidRPr="00E208B7">
        <w:rPr>
          <w:rFonts w:ascii="FrankRuehl" w:hAnsi="FrankRuehl"/>
          <w:b/>
          <w:bCs/>
          <w:rtl/>
        </w:rPr>
        <w:t xml:space="preserve"> </w:t>
      </w:r>
      <w:r w:rsidRPr="00E208B7">
        <w:rPr>
          <w:rFonts w:ascii="FrankRuehl" w:hAnsi="FrankRuehl" w:hint="eastAsia"/>
          <w:b/>
          <w:bCs/>
          <w:rtl/>
        </w:rPr>
        <w:t>כמלחמת</w:t>
      </w:r>
      <w:r w:rsidRPr="00E208B7">
        <w:rPr>
          <w:rFonts w:ascii="FrankRuehl" w:hAnsi="FrankRuehl"/>
          <w:b/>
          <w:bCs/>
          <w:rtl/>
        </w:rPr>
        <w:t xml:space="preserve"> </w:t>
      </w:r>
      <w:r w:rsidRPr="00E208B7">
        <w:rPr>
          <w:rFonts w:ascii="FrankRuehl" w:hAnsi="FrankRuehl" w:hint="eastAsia"/>
          <w:b/>
          <w:bCs/>
          <w:rtl/>
        </w:rPr>
        <w:t>ישראל</w:t>
      </w:r>
      <w:r w:rsidRPr="00E208B7">
        <w:rPr>
          <w:rFonts w:ascii="FrankRuehl" w:hAnsi="FrankRuehl"/>
          <w:b/>
          <w:bCs/>
          <w:rtl/>
        </w:rPr>
        <w:t xml:space="preserve"> </w:t>
      </w:r>
      <w:r w:rsidRPr="00E208B7">
        <w:rPr>
          <w:rFonts w:ascii="FrankRuehl" w:hAnsi="FrankRuehl" w:hint="eastAsia"/>
          <w:b/>
          <w:bCs/>
          <w:rtl/>
        </w:rPr>
        <w:t>בעמלק</w:t>
      </w:r>
      <w:r w:rsidRPr="00E208B7">
        <w:rPr>
          <w:rFonts w:ascii="FrankRuehl" w:hAnsi="FrankRuehl"/>
          <w:b/>
          <w:bCs/>
          <w:rtl/>
        </w:rPr>
        <w:t>' (</w:t>
      </w:r>
      <w:hyperlink r:id="rId19" w:history="1">
        <w:r w:rsidR="00A847E2" w:rsidRPr="00A847E2">
          <w:rPr>
            <w:rFonts w:ascii="FrankRuehl" w:hAnsi="FrankRuehl"/>
            <w:b/>
            <w:bCs/>
            <w:color w:val="0000FF"/>
            <w:u w:val="single"/>
            <w:rtl/>
          </w:rPr>
          <w:t>ע"פ 4998/95</w:t>
        </w:r>
      </w:hyperlink>
      <w:r w:rsidRPr="00E208B7">
        <w:rPr>
          <w:rFonts w:ascii="FrankRuehl" w:hAnsi="FrankRuehl"/>
          <w:b/>
          <w:bCs/>
          <w:rtl/>
        </w:rPr>
        <w:t xml:space="preserve"> </w:t>
      </w:r>
      <w:r w:rsidRPr="00E208B7">
        <w:rPr>
          <w:rFonts w:ascii="FrankRuehl" w:hAnsi="FrankRuehl" w:hint="eastAsia"/>
          <w:b/>
          <w:bCs/>
          <w:rtl/>
        </w:rPr>
        <w:t>מדינת</w:t>
      </w:r>
      <w:r w:rsidRPr="00E208B7">
        <w:rPr>
          <w:rFonts w:ascii="FrankRuehl" w:hAnsi="FrankRuehl"/>
          <w:b/>
          <w:bCs/>
          <w:rtl/>
        </w:rPr>
        <w:t xml:space="preserve"> </w:t>
      </w:r>
      <w:r w:rsidRPr="00E208B7">
        <w:rPr>
          <w:rFonts w:ascii="FrankRuehl" w:hAnsi="FrankRuehl" w:hint="eastAsia"/>
          <w:b/>
          <w:bCs/>
          <w:rtl/>
        </w:rPr>
        <w:t>ישראל</w:t>
      </w:r>
      <w:r w:rsidRPr="00E208B7">
        <w:rPr>
          <w:rFonts w:ascii="FrankRuehl" w:hAnsi="FrankRuehl"/>
          <w:b/>
          <w:bCs/>
          <w:rtl/>
        </w:rPr>
        <w:t xml:space="preserve"> </w:t>
      </w:r>
      <w:r w:rsidRPr="00E208B7">
        <w:rPr>
          <w:rFonts w:ascii="FrankRuehl" w:hAnsi="FrankRuehl" w:hint="eastAsia"/>
          <w:b/>
          <w:bCs/>
          <w:rtl/>
        </w:rPr>
        <w:t>נ</w:t>
      </w:r>
      <w:r w:rsidRPr="00E208B7">
        <w:rPr>
          <w:rFonts w:ascii="FrankRuehl" w:hAnsi="FrankRuehl"/>
          <w:b/>
          <w:bCs/>
          <w:rtl/>
        </w:rPr>
        <w:t xml:space="preserve">' </w:t>
      </w:r>
      <w:r w:rsidRPr="00E208B7">
        <w:rPr>
          <w:rFonts w:ascii="FrankRuehl" w:hAnsi="FrankRuehl" w:hint="eastAsia"/>
          <w:b/>
          <w:bCs/>
          <w:rtl/>
        </w:rPr>
        <w:t>אוקטביו</w:t>
      </w:r>
      <w:r w:rsidRPr="00E208B7">
        <w:rPr>
          <w:rFonts w:ascii="FrankRuehl" w:hAnsi="FrankRuehl"/>
          <w:b/>
          <w:bCs/>
          <w:rtl/>
        </w:rPr>
        <w:t xml:space="preserve">, </w:t>
      </w:r>
      <w:r w:rsidRPr="00E208B7">
        <w:rPr>
          <w:rFonts w:ascii="FrankRuehl" w:hAnsi="FrankRuehl" w:hint="eastAsia"/>
          <w:b/>
          <w:bCs/>
          <w:rtl/>
        </w:rPr>
        <w:t>פ</w:t>
      </w:r>
      <w:r w:rsidRPr="00E208B7">
        <w:rPr>
          <w:rFonts w:ascii="FrankRuehl" w:hAnsi="FrankRuehl"/>
          <w:b/>
          <w:bCs/>
          <w:rtl/>
        </w:rPr>
        <w:t>"</w:t>
      </w:r>
      <w:r w:rsidRPr="00E208B7">
        <w:rPr>
          <w:rFonts w:ascii="FrankRuehl" w:hAnsi="FrankRuehl" w:hint="eastAsia"/>
          <w:b/>
          <w:bCs/>
          <w:rtl/>
        </w:rPr>
        <w:t>ד</w:t>
      </w:r>
      <w:r w:rsidRPr="00E208B7">
        <w:rPr>
          <w:rFonts w:ascii="FrankRuehl" w:hAnsi="FrankRuehl"/>
          <w:b/>
          <w:bCs/>
          <w:rtl/>
        </w:rPr>
        <w:t xml:space="preserve"> </w:t>
      </w:r>
      <w:r w:rsidRPr="00E208B7">
        <w:rPr>
          <w:rFonts w:ascii="FrankRuehl" w:hAnsi="FrankRuehl" w:hint="eastAsia"/>
          <w:b/>
          <w:bCs/>
          <w:rtl/>
        </w:rPr>
        <w:t>נא</w:t>
      </w:r>
      <w:r w:rsidRPr="00E208B7">
        <w:rPr>
          <w:rFonts w:ascii="FrankRuehl" w:hAnsi="FrankRuehl"/>
          <w:b/>
          <w:bCs/>
          <w:rtl/>
        </w:rPr>
        <w:t xml:space="preserve">(3) 769, 787 </w:t>
      </w:r>
      <w:r w:rsidRPr="00E208B7">
        <w:rPr>
          <w:rFonts w:ascii="FrankRuehl" w:hAnsi="FrankRuehl" w:hint="eastAsia"/>
          <w:b/>
          <w:bCs/>
          <w:rtl/>
        </w:rPr>
        <w:t>השופט</w:t>
      </w:r>
      <w:r w:rsidRPr="00E208B7">
        <w:rPr>
          <w:rFonts w:ascii="FrankRuehl" w:hAnsi="FrankRuehl"/>
          <w:b/>
          <w:bCs/>
          <w:rtl/>
        </w:rPr>
        <w:t xml:space="preserve"> </w:t>
      </w:r>
      <w:r w:rsidRPr="00E208B7">
        <w:rPr>
          <w:rFonts w:ascii="FrankRuehl" w:hAnsi="FrankRuehl" w:hint="eastAsia"/>
          <w:b/>
          <w:bCs/>
          <w:rtl/>
        </w:rPr>
        <w:t>כתארו</w:t>
      </w:r>
      <w:r w:rsidRPr="00E208B7">
        <w:rPr>
          <w:rFonts w:ascii="FrankRuehl" w:hAnsi="FrankRuehl"/>
          <w:b/>
          <w:bCs/>
          <w:rtl/>
        </w:rPr>
        <w:t xml:space="preserve"> </w:t>
      </w:r>
      <w:r w:rsidRPr="00E208B7">
        <w:rPr>
          <w:rFonts w:ascii="FrankRuehl" w:hAnsi="FrankRuehl" w:hint="eastAsia"/>
          <w:b/>
          <w:bCs/>
          <w:rtl/>
        </w:rPr>
        <w:t>אז</w:t>
      </w:r>
      <w:r w:rsidRPr="00E208B7">
        <w:rPr>
          <w:rFonts w:ascii="FrankRuehl" w:hAnsi="FrankRuehl"/>
          <w:b/>
          <w:bCs/>
          <w:rtl/>
        </w:rPr>
        <w:t xml:space="preserve"> - </w:t>
      </w:r>
      <w:r w:rsidRPr="00E208B7">
        <w:rPr>
          <w:rFonts w:ascii="FrankRuehl" w:hAnsi="FrankRuehl" w:hint="eastAsia"/>
          <w:b/>
          <w:bCs/>
          <w:rtl/>
        </w:rPr>
        <w:t>מ</w:t>
      </w:r>
      <w:r w:rsidRPr="00E208B7">
        <w:rPr>
          <w:rFonts w:ascii="FrankRuehl" w:hAnsi="FrankRuehl"/>
          <w:b/>
          <w:bCs/>
          <w:rtl/>
        </w:rPr>
        <w:t xml:space="preserve">' </w:t>
      </w:r>
      <w:r w:rsidRPr="00E208B7">
        <w:rPr>
          <w:rFonts w:ascii="FrankRuehl" w:hAnsi="FrankRuehl" w:hint="eastAsia"/>
          <w:b/>
          <w:bCs/>
          <w:rtl/>
        </w:rPr>
        <w:t>חשין</w:t>
      </w:r>
      <w:r w:rsidRPr="00E208B7">
        <w:rPr>
          <w:rFonts w:ascii="FrankRuehl" w:hAnsi="FrankRuehl"/>
          <w:b/>
          <w:bCs/>
          <w:rtl/>
        </w:rPr>
        <w:t>)" (</w:t>
      </w:r>
      <w:hyperlink r:id="rId20" w:history="1">
        <w:r w:rsidR="00A847E2" w:rsidRPr="00A847E2">
          <w:rPr>
            <w:rFonts w:ascii="FrankRuehl" w:hAnsi="FrankRuehl"/>
            <w:b/>
            <w:bCs/>
            <w:color w:val="0000FF"/>
            <w:u w:val="single"/>
            <w:rtl/>
          </w:rPr>
          <w:t>רע"פ 1720/11</w:t>
        </w:r>
      </w:hyperlink>
      <w:r w:rsidRPr="00E208B7">
        <w:rPr>
          <w:rFonts w:ascii="FrankRuehl" w:hAnsi="FrankRuehl"/>
          <w:b/>
          <w:bCs/>
          <w:rtl/>
        </w:rPr>
        <w:t xml:space="preserve">  </w:t>
      </w:r>
      <w:r w:rsidRPr="00E208B7">
        <w:rPr>
          <w:rFonts w:ascii="FrankRuehl" w:hAnsi="FrankRuehl" w:hint="eastAsia"/>
          <w:b/>
          <w:bCs/>
          <w:rtl/>
        </w:rPr>
        <w:t>גליק</w:t>
      </w:r>
      <w:r w:rsidRPr="00E208B7">
        <w:rPr>
          <w:rFonts w:ascii="FrankRuehl" w:hAnsi="FrankRuehl"/>
          <w:b/>
          <w:bCs/>
          <w:rtl/>
        </w:rPr>
        <w:t xml:space="preserve"> </w:t>
      </w:r>
      <w:r w:rsidRPr="00E208B7">
        <w:rPr>
          <w:rFonts w:ascii="FrankRuehl" w:hAnsi="FrankRuehl" w:hint="eastAsia"/>
          <w:b/>
          <w:bCs/>
          <w:rtl/>
        </w:rPr>
        <w:t>נ</w:t>
      </w:r>
      <w:r w:rsidRPr="00E208B7">
        <w:rPr>
          <w:rFonts w:ascii="FrankRuehl" w:hAnsi="FrankRuehl"/>
          <w:b/>
          <w:bCs/>
          <w:rtl/>
        </w:rPr>
        <w:t xml:space="preserve">' </w:t>
      </w:r>
      <w:r w:rsidRPr="00E208B7">
        <w:rPr>
          <w:rFonts w:ascii="FrankRuehl" w:hAnsi="FrankRuehl" w:hint="eastAsia"/>
          <w:b/>
          <w:bCs/>
          <w:rtl/>
        </w:rPr>
        <w:t>מדינת</w:t>
      </w:r>
      <w:r w:rsidRPr="00E208B7">
        <w:rPr>
          <w:rFonts w:ascii="FrankRuehl" w:hAnsi="FrankRuehl"/>
          <w:b/>
          <w:bCs/>
          <w:rtl/>
        </w:rPr>
        <w:t xml:space="preserve"> </w:t>
      </w:r>
      <w:r w:rsidRPr="00E208B7">
        <w:rPr>
          <w:rFonts w:ascii="FrankRuehl" w:hAnsi="FrankRuehl" w:hint="eastAsia"/>
          <w:b/>
          <w:bCs/>
          <w:rtl/>
        </w:rPr>
        <w:t>ישראל</w:t>
      </w:r>
      <w:r w:rsidRPr="00E208B7">
        <w:rPr>
          <w:rFonts w:ascii="FrankRuehl" w:hAnsi="FrankRuehl"/>
          <w:b/>
          <w:bCs/>
          <w:rtl/>
        </w:rPr>
        <w:t xml:space="preserve"> (</w:t>
      </w:r>
      <w:r w:rsidRPr="00E208B7">
        <w:rPr>
          <w:rFonts w:ascii="FrankRuehl" w:hAnsi="FrankRuehl" w:hint="eastAsia"/>
          <w:b/>
          <w:bCs/>
          <w:rtl/>
        </w:rPr>
        <w:t>לא</w:t>
      </w:r>
      <w:r w:rsidRPr="00E208B7">
        <w:rPr>
          <w:rFonts w:ascii="FrankRuehl" w:hAnsi="FrankRuehl"/>
          <w:b/>
          <w:bCs/>
          <w:rtl/>
        </w:rPr>
        <w:t xml:space="preserve"> </w:t>
      </w:r>
      <w:r w:rsidRPr="00E208B7">
        <w:rPr>
          <w:rFonts w:ascii="FrankRuehl" w:hAnsi="FrankRuehl" w:hint="eastAsia"/>
          <w:b/>
          <w:bCs/>
          <w:rtl/>
        </w:rPr>
        <w:t>פורסם</w:t>
      </w:r>
      <w:r w:rsidRPr="00E208B7">
        <w:rPr>
          <w:rFonts w:ascii="FrankRuehl" w:hAnsi="FrankRuehl"/>
          <w:b/>
          <w:bCs/>
          <w:rtl/>
        </w:rPr>
        <w:t>) [</w:t>
      </w:r>
      <w:r w:rsidRPr="00E208B7">
        <w:rPr>
          <w:rFonts w:ascii="FrankRuehl" w:hAnsi="FrankRuehl" w:hint="eastAsia"/>
          <w:b/>
          <w:bCs/>
          <w:rtl/>
        </w:rPr>
        <w:t>פורסם</w:t>
      </w:r>
      <w:r w:rsidRPr="00E208B7">
        <w:rPr>
          <w:rFonts w:ascii="FrankRuehl" w:hAnsi="FrankRuehl"/>
          <w:b/>
          <w:bCs/>
          <w:rtl/>
        </w:rPr>
        <w:t xml:space="preserve"> </w:t>
      </w:r>
      <w:r w:rsidRPr="00E208B7">
        <w:rPr>
          <w:rFonts w:ascii="FrankRuehl" w:hAnsi="FrankRuehl" w:hint="eastAsia"/>
          <w:b/>
          <w:bCs/>
          <w:rtl/>
        </w:rPr>
        <w:t>במאגרים</w:t>
      </w:r>
      <w:r w:rsidRPr="00E208B7">
        <w:rPr>
          <w:rFonts w:ascii="FrankRuehl" w:hAnsi="FrankRuehl"/>
          <w:b/>
          <w:bCs/>
          <w:rtl/>
        </w:rPr>
        <w:t xml:space="preserve">] </w:t>
      </w:r>
      <w:r w:rsidRPr="00E208B7">
        <w:rPr>
          <w:rFonts w:ascii="FrankRuehl" w:hAnsi="FrankRuehl" w:hint="eastAsia"/>
          <w:b/>
          <w:bCs/>
          <w:rtl/>
        </w:rPr>
        <w:t>פסקה</w:t>
      </w:r>
      <w:r w:rsidRPr="00E208B7">
        <w:rPr>
          <w:rFonts w:ascii="FrankRuehl" w:hAnsi="FrankRuehl"/>
          <w:b/>
          <w:bCs/>
          <w:rtl/>
        </w:rPr>
        <w:t xml:space="preserve"> </w:t>
      </w:r>
      <w:r w:rsidRPr="00E208B7">
        <w:rPr>
          <w:rFonts w:ascii="FrankRuehl" w:hAnsi="FrankRuehl" w:hint="eastAsia"/>
          <w:b/>
          <w:bCs/>
          <w:rtl/>
        </w:rPr>
        <w:t>ז</w:t>
      </w:r>
      <w:r w:rsidRPr="00E208B7">
        <w:rPr>
          <w:rFonts w:ascii="FrankRuehl" w:hAnsi="FrankRuehl"/>
          <w:b/>
          <w:bCs/>
          <w:rtl/>
        </w:rPr>
        <w:t>')."</w:t>
      </w:r>
    </w:p>
    <w:p w14:paraId="6190020F" w14:textId="77777777" w:rsidR="00ED3006" w:rsidRPr="00E208B7" w:rsidRDefault="00ED3006" w:rsidP="00ED3006">
      <w:pPr>
        <w:spacing w:after="200" w:line="360" w:lineRule="auto"/>
        <w:jc w:val="both"/>
        <w:rPr>
          <w:rFonts w:ascii="David" w:hAnsi="David" w:cs="Arial"/>
          <w:szCs w:val="22"/>
        </w:rPr>
      </w:pPr>
    </w:p>
    <w:p w14:paraId="6CABDAC7" w14:textId="77777777" w:rsidR="00ED3006" w:rsidRPr="00E208B7" w:rsidRDefault="00ED3006" w:rsidP="00ED3006">
      <w:pPr>
        <w:numPr>
          <w:ilvl w:val="0"/>
          <w:numId w:val="1"/>
        </w:numPr>
        <w:snapToGrid w:val="0"/>
        <w:spacing w:after="200" w:line="360" w:lineRule="auto"/>
        <w:contextualSpacing/>
        <w:jc w:val="both"/>
        <w:rPr>
          <w:rFonts w:ascii="David" w:hAnsi="David"/>
          <w:b/>
          <w:bCs/>
          <w:lang w:eastAsia="he-IL"/>
        </w:rPr>
      </w:pPr>
      <w:r w:rsidRPr="00E208B7">
        <w:rPr>
          <w:rFonts w:ascii="David" w:hAnsi="David"/>
          <w:rtl/>
          <w:lang w:eastAsia="he-IL"/>
        </w:rPr>
        <w:t xml:space="preserve">עובדות כתב האישום מלמדות על עיסוק נמשך לאורך זמן במכירת סמים, על זמינות גבוהה של הסם לנאשם שערוך למכירה כבר ביום יצירת הקשר, זמין לקונים שונים בשעות שונות ומן התכתובות בין הנאשם לקונים עולה כי מדובר במי שמכיר את קוניו. זאת, בשונה מאותם מקרים בהם נעשית ההפצה והמכירה של הסם באמצעים טכנולוגיים, לקונים אנונימיים ומזדמנים, דוגמת המכירה ב"טלגראס" שלה נודעת חומרה מיוחדת (השוו: </w:t>
      </w:r>
      <w:hyperlink r:id="rId21" w:history="1">
        <w:r w:rsidR="00A847E2" w:rsidRPr="00A847E2">
          <w:rPr>
            <w:rFonts w:ascii="David" w:hAnsi="David"/>
            <w:color w:val="0000FF"/>
            <w:u w:val="single"/>
            <w:rtl/>
            <w:lang w:eastAsia="he-IL"/>
          </w:rPr>
          <w:t>ע"פ 2596/18</w:t>
        </w:r>
      </w:hyperlink>
      <w:r w:rsidRPr="00E208B7">
        <w:rPr>
          <w:rFonts w:ascii="David" w:hAnsi="David"/>
          <w:rtl/>
          <w:lang w:eastAsia="he-IL"/>
        </w:rPr>
        <w:t xml:space="preserve"> </w:t>
      </w:r>
      <w:r w:rsidRPr="00E208B7">
        <w:rPr>
          <w:rFonts w:ascii="David" w:hAnsi="David"/>
          <w:b/>
          <w:bCs/>
          <w:rtl/>
          <w:lang w:eastAsia="he-IL"/>
        </w:rPr>
        <w:t xml:space="preserve">זנזורי נ' מדינת </w:t>
      </w:r>
      <w:r w:rsidRPr="00E208B7">
        <w:rPr>
          <w:rFonts w:ascii="FrankRuehl" w:hAnsi="FrankRuehl" w:hint="eastAsia"/>
          <w:b/>
          <w:bCs/>
          <w:rtl/>
          <w:lang w:eastAsia="he-IL"/>
        </w:rPr>
        <w:t>ישראל</w:t>
      </w:r>
      <w:r w:rsidRPr="00E208B7">
        <w:rPr>
          <w:rFonts w:ascii="FrankRuehl" w:hAnsi="FrankRuehl"/>
          <w:rtl/>
          <w:lang w:eastAsia="he-IL"/>
        </w:rPr>
        <w:t xml:space="preserve">  (12.8.2018))</w:t>
      </w:r>
      <w:r w:rsidRPr="00E208B7">
        <w:rPr>
          <w:rFonts w:ascii="David" w:hAnsi="David"/>
          <w:rtl/>
          <w:lang w:eastAsia="he-IL"/>
        </w:rPr>
        <w:t>.</w:t>
      </w:r>
      <w:r w:rsidRPr="00E208B7">
        <w:rPr>
          <w:rFonts w:ascii="David" w:hAnsi="David"/>
          <w:b/>
          <w:bCs/>
          <w:rtl/>
          <w:lang w:eastAsia="he-IL"/>
        </w:rPr>
        <w:t xml:space="preserve"> </w:t>
      </w:r>
      <w:r w:rsidRPr="00E208B7">
        <w:rPr>
          <w:rFonts w:ascii="David" w:hAnsi="David"/>
          <w:rtl/>
          <w:lang w:eastAsia="he-IL"/>
        </w:rPr>
        <w:t>הנאשם פעל במקרה זה לבדו מול הקונים ולא מדובר במי שניהל, או היה חלק, מהתארגנות עבריינית או מפעילות בחבורה.</w:t>
      </w:r>
    </w:p>
    <w:p w14:paraId="17F502A0" w14:textId="77777777" w:rsidR="00ED3006" w:rsidRPr="00E208B7" w:rsidRDefault="00ED3006" w:rsidP="00ED3006">
      <w:pPr>
        <w:snapToGrid w:val="0"/>
        <w:spacing w:after="200" w:line="360" w:lineRule="auto"/>
        <w:ind w:left="360"/>
        <w:contextualSpacing/>
        <w:jc w:val="both"/>
        <w:rPr>
          <w:rFonts w:ascii="David" w:hAnsi="David"/>
          <w:lang w:eastAsia="he-IL"/>
        </w:rPr>
      </w:pPr>
      <w:r w:rsidRPr="00E208B7">
        <w:rPr>
          <w:rFonts w:ascii="David" w:hAnsi="David"/>
          <w:rtl/>
          <w:lang w:eastAsia="he-IL"/>
        </w:rPr>
        <w:t xml:space="preserve"> </w:t>
      </w:r>
    </w:p>
    <w:p w14:paraId="2D727131" w14:textId="77777777" w:rsidR="00ED3006" w:rsidRPr="00E208B7" w:rsidRDefault="00ED3006" w:rsidP="00ED3006">
      <w:pPr>
        <w:spacing w:after="200" w:line="360" w:lineRule="auto"/>
        <w:jc w:val="both"/>
        <w:rPr>
          <w:rFonts w:ascii="David" w:hAnsi="David"/>
          <w:sz w:val="28"/>
          <w:rtl/>
        </w:rPr>
      </w:pPr>
      <w:r w:rsidRPr="00E208B7">
        <w:rPr>
          <w:rFonts w:ascii="David" w:hAnsi="David"/>
          <w:b/>
          <w:bCs/>
          <w:sz w:val="28"/>
          <w:u w:val="single"/>
          <w:rtl/>
        </w:rPr>
        <w:t>מדיניות הענישה הנוהגת:</w:t>
      </w:r>
    </w:p>
    <w:p w14:paraId="1A6D4011" w14:textId="77777777" w:rsidR="00ED3006" w:rsidRPr="00E208B7" w:rsidRDefault="00ED3006" w:rsidP="00ED3006">
      <w:pPr>
        <w:numPr>
          <w:ilvl w:val="0"/>
          <w:numId w:val="1"/>
        </w:numPr>
        <w:snapToGrid w:val="0"/>
        <w:spacing w:after="200" w:line="360" w:lineRule="auto"/>
        <w:contextualSpacing/>
        <w:jc w:val="both"/>
        <w:rPr>
          <w:rFonts w:ascii="David" w:hAnsi="David"/>
          <w:lang w:eastAsia="he-IL"/>
        </w:rPr>
      </w:pPr>
      <w:r w:rsidRPr="00E208B7">
        <w:rPr>
          <w:rFonts w:ascii="David" w:hAnsi="David"/>
          <w:rtl/>
          <w:lang w:eastAsia="he-IL"/>
        </w:rPr>
        <w:t xml:space="preserve">עיינתי באסמכתאות אליהן הפנתה המאשימה, מהן גזרה את עתירתה לקביעת מתחם הענישה. אסמכתאות אלה עוסקות במקרים של סחר בסמים באמצעות "טלגראס", ובמסגרת התארגנות עבריינית קבוצתית. מדובר במקרים חמורים מהמקרה שבפניי ועל כן יש לגזור מהם מתחם ענישה מקל יותר לענייננו. </w:t>
      </w:r>
    </w:p>
    <w:p w14:paraId="6C3F88CA" w14:textId="77777777" w:rsidR="00ED3006" w:rsidRPr="00E208B7" w:rsidRDefault="00ED3006" w:rsidP="00ED3006">
      <w:pPr>
        <w:snapToGrid w:val="0"/>
        <w:spacing w:after="200" w:line="360" w:lineRule="auto"/>
        <w:ind w:left="360"/>
        <w:contextualSpacing/>
        <w:jc w:val="both"/>
        <w:rPr>
          <w:rFonts w:ascii="David" w:hAnsi="David"/>
          <w:rtl/>
          <w:lang w:eastAsia="he-IL"/>
        </w:rPr>
      </w:pPr>
      <w:r w:rsidRPr="00E208B7">
        <w:rPr>
          <w:rFonts w:ascii="David" w:hAnsi="David"/>
          <w:rtl/>
          <w:lang w:eastAsia="he-IL"/>
        </w:rPr>
        <w:t>כך, ב</w:t>
      </w:r>
      <w:hyperlink r:id="rId22" w:history="1">
        <w:r w:rsidR="00A847E2" w:rsidRPr="00A847E2">
          <w:rPr>
            <w:rFonts w:ascii="David" w:hAnsi="David"/>
            <w:color w:val="0000FF"/>
            <w:u w:val="single"/>
            <w:rtl/>
            <w:lang w:eastAsia="he-IL"/>
          </w:rPr>
          <w:t>ת"פ 49876-03-19</w:t>
        </w:r>
      </w:hyperlink>
      <w:r w:rsidRPr="00E208B7">
        <w:rPr>
          <w:rFonts w:ascii="David" w:hAnsi="David"/>
          <w:rtl/>
          <w:lang w:eastAsia="he-IL"/>
        </w:rPr>
        <w:t xml:space="preserve"> </w:t>
      </w:r>
      <w:r w:rsidRPr="00E208B7">
        <w:rPr>
          <w:rFonts w:ascii="David" w:hAnsi="David"/>
          <w:b/>
          <w:bCs/>
          <w:rtl/>
          <w:lang w:eastAsia="he-IL"/>
        </w:rPr>
        <w:t xml:space="preserve">שבצוב </w:t>
      </w:r>
      <w:r w:rsidRPr="00E208B7">
        <w:rPr>
          <w:rFonts w:ascii="David" w:hAnsi="David"/>
          <w:rtl/>
          <w:lang w:eastAsia="he-IL"/>
        </w:rPr>
        <w:t xml:space="preserve">(27.1.20) נקבע, כי מתחם העונש ההולם בין עבירת סחר בודדת באמצעות הטלגראס הוא 6-18 חודשי מאסר ובמקרה של מי שעמד בראש התארגנות עבריינית והורשע בשבע עבירות סחר בכמויות קטנות ובהחזקת סם בכמות נוספת של כ-100 גרם מתחם העונש ההולם הוא 18-30 חודשי מאסר בפועל. יצויין, כי באותו מקרה טענה המאשימה עצמה למתחם של 18-40 חודשי מאסר ולא ברור במה שונה לחומרא המקרה שבפניי מאותו מקרה שתואר. </w:t>
      </w:r>
    </w:p>
    <w:p w14:paraId="5C6FAB90" w14:textId="77777777" w:rsidR="00ED3006" w:rsidRPr="00E208B7" w:rsidRDefault="00ED3006" w:rsidP="00ED3006">
      <w:pPr>
        <w:snapToGrid w:val="0"/>
        <w:spacing w:after="200" w:line="360" w:lineRule="auto"/>
        <w:ind w:left="360"/>
        <w:contextualSpacing/>
        <w:jc w:val="both"/>
        <w:rPr>
          <w:rFonts w:ascii="David" w:hAnsi="David"/>
          <w:rtl/>
          <w:lang w:eastAsia="he-IL"/>
        </w:rPr>
      </w:pPr>
      <w:r w:rsidRPr="00E208B7">
        <w:rPr>
          <w:rFonts w:ascii="David" w:hAnsi="David"/>
          <w:rtl/>
          <w:lang w:eastAsia="he-IL"/>
        </w:rPr>
        <w:t>ב</w:t>
      </w:r>
      <w:hyperlink r:id="rId23" w:history="1">
        <w:r w:rsidR="00A847E2" w:rsidRPr="00A847E2">
          <w:rPr>
            <w:rFonts w:ascii="David" w:hAnsi="David"/>
            <w:color w:val="0000FF"/>
            <w:u w:val="single"/>
            <w:rtl/>
            <w:lang w:eastAsia="he-IL"/>
          </w:rPr>
          <w:t>ת"פ 6007-09-17</w:t>
        </w:r>
      </w:hyperlink>
      <w:r w:rsidRPr="00E208B7">
        <w:rPr>
          <w:rFonts w:ascii="David" w:hAnsi="David"/>
          <w:rtl/>
          <w:lang w:eastAsia="he-IL"/>
        </w:rPr>
        <w:t xml:space="preserve"> </w:t>
      </w:r>
      <w:r w:rsidRPr="00E208B7">
        <w:rPr>
          <w:rFonts w:ascii="David" w:hAnsi="David"/>
          <w:b/>
          <w:bCs/>
          <w:rtl/>
          <w:lang w:eastAsia="he-IL"/>
        </w:rPr>
        <w:t xml:space="preserve">נגורני ואח' </w:t>
      </w:r>
      <w:r w:rsidRPr="00E208B7">
        <w:rPr>
          <w:rFonts w:ascii="David" w:hAnsi="David"/>
          <w:rtl/>
          <w:lang w:eastAsia="he-IL"/>
        </w:rPr>
        <w:t>(15.1.19) הורשע נאשם 1 שמונה עבירות סחר בסמים וכן בהחזקת סם ונאשם 2 הורשע בסך הכל ב-11 עבירות סחר בסמים וכן בעבירת אלימות בתיק נוסף שצורף.  המדובר בעבירות שבוצעו ב"טלגראס" במסגרת התארגנות עבריינית מסועפת ביותר ועתירת המאשימה שם היתה למתחם עונש כבמקרה שבפניי. כאמור, המקרה שבפניי חמור פחות בנסיבותיו. בית המשפט קבע מתחם של 32-60 חודשי מאסר.</w:t>
      </w:r>
    </w:p>
    <w:p w14:paraId="431588A8" w14:textId="77777777" w:rsidR="00ED3006" w:rsidRPr="00E208B7" w:rsidRDefault="00ED3006" w:rsidP="00ED3006">
      <w:pPr>
        <w:snapToGrid w:val="0"/>
        <w:spacing w:after="200" w:line="360" w:lineRule="auto"/>
        <w:ind w:left="360"/>
        <w:contextualSpacing/>
        <w:jc w:val="both"/>
        <w:rPr>
          <w:rFonts w:ascii="David" w:hAnsi="David"/>
          <w:lang w:eastAsia="he-IL"/>
        </w:rPr>
      </w:pPr>
      <w:r w:rsidRPr="00E208B7">
        <w:rPr>
          <w:rFonts w:ascii="David" w:hAnsi="David"/>
          <w:rtl/>
          <w:lang w:eastAsia="he-IL"/>
        </w:rPr>
        <w:t>ב</w:t>
      </w:r>
      <w:hyperlink r:id="rId24" w:history="1">
        <w:r w:rsidR="00A847E2" w:rsidRPr="00A847E2">
          <w:rPr>
            <w:rFonts w:ascii="David" w:hAnsi="David"/>
            <w:color w:val="0000FF"/>
            <w:u w:val="single"/>
            <w:rtl/>
            <w:lang w:eastAsia="he-IL"/>
          </w:rPr>
          <w:t>ת"פ 37412-03-19</w:t>
        </w:r>
      </w:hyperlink>
      <w:r w:rsidRPr="00E208B7">
        <w:rPr>
          <w:rFonts w:ascii="David" w:hAnsi="David"/>
          <w:rtl/>
          <w:lang w:eastAsia="he-IL"/>
        </w:rPr>
        <w:t xml:space="preserve"> </w:t>
      </w:r>
      <w:r w:rsidRPr="00E208B7">
        <w:rPr>
          <w:rFonts w:ascii="David" w:hAnsi="David"/>
          <w:b/>
          <w:bCs/>
          <w:rtl/>
          <w:lang w:eastAsia="he-IL"/>
        </w:rPr>
        <w:t xml:space="preserve">לרין ואח' </w:t>
      </w:r>
      <w:r w:rsidRPr="00E208B7">
        <w:rPr>
          <w:rFonts w:ascii="David" w:hAnsi="David"/>
          <w:rtl/>
          <w:lang w:eastAsia="he-IL"/>
        </w:rPr>
        <w:t>(25.12.19) [אושר ב</w:t>
      </w:r>
      <w:hyperlink r:id="rId25" w:history="1">
        <w:r w:rsidR="00A847E2" w:rsidRPr="00A847E2">
          <w:rPr>
            <w:rFonts w:ascii="David" w:hAnsi="David"/>
            <w:color w:val="0000FF"/>
            <w:u w:val="single"/>
            <w:rtl/>
            <w:lang w:eastAsia="he-IL"/>
          </w:rPr>
          <w:t>עפ"ג 5711-02-20</w:t>
        </w:r>
      </w:hyperlink>
      <w:r w:rsidRPr="00E208B7">
        <w:rPr>
          <w:rFonts w:ascii="David" w:hAnsi="David"/>
          <w:rtl/>
          <w:lang w:eastAsia="he-IL"/>
        </w:rPr>
        <w:t xml:space="preserve">] נקבע מתחם של 24-48 חודשי מאסר בגין 9 עבירות סחר, החזקת כלים, סיוע לסחר והחזקה שלא לצריכה עצמית. המדובר בעבירות שבוצעו במסגרת התארגנות עבריינית בחבורה לביצוע עבירות סמים באמצעות ה"טלגראס", כאשר הנאשם שימש כחוליה האחרונה בשרשרת הפצת הסם. </w:t>
      </w:r>
    </w:p>
    <w:p w14:paraId="2C286A9A" w14:textId="77777777" w:rsidR="00ED3006" w:rsidRPr="00E208B7" w:rsidRDefault="00ED3006" w:rsidP="00ED3006">
      <w:pPr>
        <w:numPr>
          <w:ilvl w:val="0"/>
          <w:numId w:val="1"/>
        </w:numPr>
        <w:snapToGrid w:val="0"/>
        <w:spacing w:after="200" w:line="360" w:lineRule="auto"/>
        <w:contextualSpacing/>
        <w:jc w:val="both"/>
        <w:rPr>
          <w:rFonts w:ascii="David" w:hAnsi="David"/>
          <w:lang w:eastAsia="he-IL"/>
        </w:rPr>
      </w:pPr>
      <w:r w:rsidRPr="00E208B7">
        <w:rPr>
          <w:rFonts w:ascii="David" w:hAnsi="David"/>
          <w:rtl/>
          <w:lang w:eastAsia="he-IL"/>
        </w:rPr>
        <w:t>עיינתי גם באסמכתאות אליהן הפנה ב"כ הנאשם. להלן תמצית הדוגמאות הרלוונטיות מתוכן:</w:t>
      </w:r>
    </w:p>
    <w:p w14:paraId="258E5A0F" w14:textId="77777777" w:rsidR="00ED3006" w:rsidRPr="00E208B7" w:rsidRDefault="00ED3006" w:rsidP="00ED3006">
      <w:pPr>
        <w:snapToGrid w:val="0"/>
        <w:spacing w:after="200" w:line="360" w:lineRule="auto"/>
        <w:ind w:left="360"/>
        <w:contextualSpacing/>
        <w:jc w:val="both"/>
        <w:rPr>
          <w:rFonts w:ascii="David" w:hAnsi="David"/>
          <w:rtl/>
          <w:lang w:eastAsia="he-IL"/>
        </w:rPr>
      </w:pPr>
      <w:r w:rsidRPr="00E208B7">
        <w:rPr>
          <w:rFonts w:ascii="David" w:hAnsi="David"/>
          <w:rtl/>
          <w:lang w:eastAsia="he-IL"/>
        </w:rPr>
        <w:t>ב</w:t>
      </w:r>
      <w:hyperlink r:id="rId26" w:history="1">
        <w:r w:rsidR="00A847E2" w:rsidRPr="00A847E2">
          <w:rPr>
            <w:rFonts w:ascii="David" w:hAnsi="David"/>
            <w:color w:val="0000FF"/>
            <w:u w:val="single"/>
            <w:rtl/>
            <w:lang w:eastAsia="he-IL"/>
          </w:rPr>
          <w:t>ת"פ 26856-05-16</w:t>
        </w:r>
      </w:hyperlink>
      <w:r w:rsidRPr="00E208B7">
        <w:rPr>
          <w:rFonts w:ascii="David" w:hAnsi="David"/>
          <w:rtl/>
          <w:lang w:eastAsia="he-IL"/>
        </w:rPr>
        <w:t xml:space="preserve"> </w:t>
      </w:r>
      <w:r w:rsidRPr="00E208B7">
        <w:rPr>
          <w:rFonts w:ascii="David" w:hAnsi="David"/>
          <w:b/>
          <w:bCs/>
          <w:rtl/>
          <w:lang w:eastAsia="he-IL"/>
        </w:rPr>
        <w:t xml:space="preserve">ברוכין </w:t>
      </w:r>
      <w:r w:rsidRPr="00E208B7">
        <w:rPr>
          <w:rFonts w:ascii="David" w:hAnsi="David"/>
          <w:rtl/>
          <w:lang w:eastAsia="he-IL"/>
        </w:rPr>
        <w:t>(8.1.18) הורשע הנאשם ב-73 מקרי סחר בסמים, מסוגים שונים, ל-28 לקוחות שונים. נקבע מתחם עונש של 18-40 חודשי מאסר בפועל.</w:t>
      </w:r>
    </w:p>
    <w:p w14:paraId="6121A932" w14:textId="77777777" w:rsidR="00ED3006" w:rsidRPr="00E208B7" w:rsidRDefault="00ED3006" w:rsidP="00ED3006">
      <w:pPr>
        <w:snapToGrid w:val="0"/>
        <w:spacing w:after="200" w:line="360" w:lineRule="auto"/>
        <w:ind w:left="360"/>
        <w:contextualSpacing/>
        <w:jc w:val="both"/>
        <w:rPr>
          <w:rFonts w:ascii="David" w:hAnsi="David"/>
          <w:rtl/>
          <w:lang w:eastAsia="he-IL"/>
        </w:rPr>
      </w:pPr>
      <w:r w:rsidRPr="00E208B7">
        <w:rPr>
          <w:rFonts w:ascii="David" w:hAnsi="David"/>
          <w:rtl/>
          <w:lang w:eastAsia="he-IL"/>
        </w:rPr>
        <w:t>ב</w:t>
      </w:r>
      <w:hyperlink r:id="rId27" w:history="1">
        <w:r w:rsidR="00A847E2" w:rsidRPr="00A847E2">
          <w:rPr>
            <w:rFonts w:ascii="David" w:hAnsi="David"/>
            <w:color w:val="0000FF"/>
            <w:u w:val="single"/>
            <w:rtl/>
            <w:lang w:eastAsia="he-IL"/>
          </w:rPr>
          <w:t>ת"פ 40089-10-13</w:t>
        </w:r>
      </w:hyperlink>
      <w:r w:rsidRPr="00E208B7">
        <w:rPr>
          <w:rFonts w:ascii="David" w:hAnsi="David"/>
          <w:rtl/>
          <w:lang w:eastAsia="he-IL"/>
        </w:rPr>
        <w:t xml:space="preserve"> </w:t>
      </w:r>
      <w:r w:rsidRPr="00E208B7">
        <w:rPr>
          <w:rFonts w:ascii="David" w:hAnsi="David"/>
          <w:b/>
          <w:bCs/>
          <w:rtl/>
          <w:lang w:eastAsia="he-IL"/>
        </w:rPr>
        <w:t xml:space="preserve">ביטון </w:t>
      </w:r>
      <w:r w:rsidRPr="00E208B7">
        <w:rPr>
          <w:rFonts w:ascii="David" w:hAnsi="David"/>
          <w:rtl/>
          <w:lang w:eastAsia="he-IL"/>
        </w:rPr>
        <w:t xml:space="preserve">(19.7.15) הורשע הנאשם ב-20 מקרי סחר בקנבוס בכמויות קטנות לשישה קונים שונים. נקבע, כי מתחם העונש ההולם למכירה </w:t>
      </w:r>
      <w:r w:rsidRPr="00E208B7">
        <w:rPr>
          <w:rFonts w:ascii="David" w:hAnsi="David"/>
          <w:b/>
          <w:bCs/>
          <w:rtl/>
          <w:lang w:eastAsia="he-IL"/>
        </w:rPr>
        <w:t xml:space="preserve">בודדת </w:t>
      </w:r>
      <w:r w:rsidRPr="00E208B7">
        <w:rPr>
          <w:rFonts w:ascii="David" w:hAnsi="David"/>
          <w:rtl/>
          <w:lang w:eastAsia="he-IL"/>
        </w:rPr>
        <w:t>הוא מאסר על תנאי ועד שונה חודשי מאסר בפועל. על הנאשם הוטלו 12 חודשי מאסר, לאחר שנלקחו בחשבון הודאתו, מאמצי שיקום ממושכים ומשמעותיים (הגם שלא הושלמו), נסיבות אישיות חריגות מוכחות, נזק מוכח לבני משפחתו כתוצאה מהעונש והיעדר עבר פלילי.</w:t>
      </w:r>
    </w:p>
    <w:p w14:paraId="6364C265" w14:textId="77777777" w:rsidR="00ED3006" w:rsidRPr="00E208B7" w:rsidRDefault="00ED3006" w:rsidP="00ED3006">
      <w:pPr>
        <w:snapToGrid w:val="0"/>
        <w:spacing w:after="200" w:line="360" w:lineRule="auto"/>
        <w:ind w:left="360"/>
        <w:contextualSpacing/>
        <w:jc w:val="both"/>
        <w:rPr>
          <w:rFonts w:ascii="David" w:hAnsi="David"/>
          <w:lang w:eastAsia="he-IL"/>
        </w:rPr>
      </w:pPr>
      <w:r w:rsidRPr="00E208B7">
        <w:rPr>
          <w:rFonts w:ascii="David" w:hAnsi="David"/>
          <w:rtl/>
          <w:lang w:eastAsia="he-IL"/>
        </w:rPr>
        <w:t>ב</w:t>
      </w:r>
      <w:hyperlink r:id="rId28" w:history="1">
        <w:r w:rsidR="00A847E2" w:rsidRPr="00A847E2">
          <w:rPr>
            <w:rFonts w:ascii="David" w:hAnsi="David"/>
            <w:color w:val="0000FF"/>
            <w:u w:val="single"/>
            <w:rtl/>
            <w:lang w:eastAsia="he-IL"/>
          </w:rPr>
          <w:t>ת"פ 37694-03-15</w:t>
        </w:r>
      </w:hyperlink>
      <w:r w:rsidRPr="00E208B7">
        <w:rPr>
          <w:rFonts w:ascii="David" w:hAnsi="David"/>
          <w:rtl/>
          <w:lang w:eastAsia="he-IL"/>
        </w:rPr>
        <w:t xml:space="preserve"> </w:t>
      </w:r>
      <w:r w:rsidRPr="00E208B7">
        <w:rPr>
          <w:rFonts w:ascii="David" w:hAnsi="David"/>
          <w:b/>
          <w:bCs/>
          <w:rtl/>
          <w:lang w:eastAsia="he-IL"/>
        </w:rPr>
        <w:t xml:space="preserve">פלוני </w:t>
      </w:r>
      <w:r w:rsidRPr="00E208B7">
        <w:rPr>
          <w:rFonts w:ascii="David" w:hAnsi="David"/>
          <w:rtl/>
          <w:lang w:eastAsia="he-IL"/>
        </w:rPr>
        <w:t>(14.10.18) הורשע הנאשם בכ-40 עבירות סחר בקנבוס, בכמויות קטנות, במסגרת התארגנות עם אחר. לאור התחשבות לקולא בשיקולי אחידות הענישה בשים לב לעונשו של האחר, נקבע מתחם עונש של 16-36 חודשי מאסר בפועל.</w:t>
      </w:r>
    </w:p>
    <w:p w14:paraId="2B8297BA" w14:textId="77777777" w:rsidR="00ED3006" w:rsidRPr="00E208B7" w:rsidRDefault="00ED3006" w:rsidP="00ED3006">
      <w:pPr>
        <w:numPr>
          <w:ilvl w:val="0"/>
          <w:numId w:val="1"/>
        </w:numPr>
        <w:snapToGrid w:val="0"/>
        <w:spacing w:after="200" w:line="360" w:lineRule="auto"/>
        <w:contextualSpacing/>
        <w:jc w:val="both"/>
        <w:rPr>
          <w:rFonts w:ascii="David" w:hAnsi="David"/>
          <w:lang w:eastAsia="he-IL"/>
        </w:rPr>
      </w:pPr>
      <w:r w:rsidRPr="00E208B7">
        <w:rPr>
          <w:rFonts w:ascii="David" w:hAnsi="David"/>
          <w:rtl/>
          <w:lang w:eastAsia="he-IL"/>
        </w:rPr>
        <w:t>ראו גם:</w:t>
      </w:r>
    </w:p>
    <w:p w14:paraId="4C0377C9" w14:textId="77777777" w:rsidR="00ED3006" w:rsidRPr="00E208B7" w:rsidRDefault="00A847E2" w:rsidP="00ED3006">
      <w:pPr>
        <w:snapToGrid w:val="0"/>
        <w:spacing w:after="200" w:line="360" w:lineRule="auto"/>
        <w:ind w:left="360"/>
        <w:contextualSpacing/>
        <w:jc w:val="both"/>
        <w:rPr>
          <w:rFonts w:ascii="David" w:hAnsi="David"/>
          <w:rtl/>
          <w:lang w:eastAsia="he-IL"/>
        </w:rPr>
      </w:pPr>
      <w:hyperlink r:id="rId29" w:history="1">
        <w:r w:rsidRPr="00A847E2">
          <w:rPr>
            <w:rFonts w:ascii="David" w:hAnsi="David"/>
            <w:color w:val="0000FF"/>
            <w:u w:val="single"/>
            <w:rtl/>
            <w:lang w:eastAsia="he-IL"/>
          </w:rPr>
          <w:t>רע"פ 6087/16</w:t>
        </w:r>
      </w:hyperlink>
      <w:r w:rsidR="00ED3006" w:rsidRPr="00E208B7">
        <w:rPr>
          <w:rFonts w:ascii="David" w:hAnsi="David"/>
          <w:rtl/>
          <w:lang w:eastAsia="he-IL"/>
        </w:rPr>
        <w:t xml:space="preserve"> </w:t>
      </w:r>
      <w:r w:rsidR="00ED3006" w:rsidRPr="00E208B7">
        <w:rPr>
          <w:rFonts w:ascii="David" w:hAnsi="David"/>
          <w:b/>
          <w:bCs/>
          <w:rtl/>
          <w:lang w:eastAsia="he-IL"/>
        </w:rPr>
        <w:t xml:space="preserve">אבו דיאב </w:t>
      </w:r>
      <w:r w:rsidR="00ED3006" w:rsidRPr="00E208B7">
        <w:rPr>
          <w:rFonts w:ascii="David" w:hAnsi="David"/>
          <w:rtl/>
          <w:lang w:eastAsia="he-IL"/>
        </w:rPr>
        <w:t>(11.8.16) שם אושר מתחם של 18-40 חודשי מאסר למי שהורשע בשלוש עבירות סחר לסוכן, בכמות של 100 גרם בכל עסקה.</w:t>
      </w:r>
    </w:p>
    <w:p w14:paraId="3C174338" w14:textId="77777777" w:rsidR="00ED3006" w:rsidRPr="00E208B7" w:rsidRDefault="00A847E2" w:rsidP="00ED3006">
      <w:pPr>
        <w:snapToGrid w:val="0"/>
        <w:spacing w:after="200" w:line="360" w:lineRule="auto"/>
        <w:ind w:left="360"/>
        <w:contextualSpacing/>
        <w:jc w:val="both"/>
        <w:rPr>
          <w:rFonts w:ascii="David" w:hAnsi="David"/>
          <w:rtl/>
          <w:lang w:eastAsia="he-IL"/>
        </w:rPr>
      </w:pPr>
      <w:hyperlink r:id="rId30" w:history="1">
        <w:r w:rsidRPr="00A847E2">
          <w:rPr>
            <w:rFonts w:ascii="David" w:hAnsi="David"/>
            <w:color w:val="0000FF"/>
            <w:u w:val="single"/>
            <w:rtl/>
            <w:lang w:eastAsia="he-IL"/>
          </w:rPr>
          <w:t>רע"פ 5712/16</w:t>
        </w:r>
      </w:hyperlink>
      <w:r w:rsidR="00ED3006" w:rsidRPr="00E208B7">
        <w:rPr>
          <w:rFonts w:ascii="David" w:hAnsi="David"/>
          <w:rtl/>
          <w:lang w:eastAsia="he-IL"/>
        </w:rPr>
        <w:t xml:space="preserve"> </w:t>
      </w:r>
      <w:r w:rsidR="00ED3006" w:rsidRPr="00E208B7">
        <w:rPr>
          <w:rFonts w:ascii="David" w:hAnsi="David"/>
          <w:b/>
          <w:bCs/>
          <w:rtl/>
          <w:lang w:eastAsia="he-IL"/>
        </w:rPr>
        <w:t xml:space="preserve">אייזנבאך </w:t>
      </w:r>
      <w:r w:rsidR="00ED3006" w:rsidRPr="00E208B7">
        <w:rPr>
          <w:rFonts w:ascii="David" w:hAnsi="David"/>
          <w:rtl/>
          <w:lang w:eastAsia="he-IL"/>
        </w:rPr>
        <w:t xml:space="preserve">(17.8.16) שם אושר מתחם של 8-24 חודשי מאסר בפועל בגין ארבע עבירות סחר בחשיש בהיקף כולל של 1,000 ₪. </w:t>
      </w:r>
    </w:p>
    <w:p w14:paraId="637A9614" w14:textId="77777777" w:rsidR="00ED3006" w:rsidRPr="00E208B7" w:rsidRDefault="00A847E2" w:rsidP="00ED3006">
      <w:pPr>
        <w:spacing w:before="60" w:after="80" w:line="360" w:lineRule="auto"/>
        <w:ind w:left="368" w:right="567"/>
        <w:jc w:val="both"/>
        <w:rPr>
          <w:rFonts w:ascii="David" w:hAnsi="David"/>
          <w:rtl/>
          <w:lang w:eastAsia="he-IL"/>
        </w:rPr>
      </w:pPr>
      <w:hyperlink r:id="rId31" w:history="1">
        <w:r w:rsidRPr="00A847E2">
          <w:rPr>
            <w:rFonts w:ascii="David" w:hAnsi="David"/>
            <w:color w:val="0000FF"/>
            <w:u w:val="single"/>
            <w:rtl/>
            <w:lang w:eastAsia="he-IL"/>
          </w:rPr>
          <w:t>רע"פ 6401/18</w:t>
        </w:r>
      </w:hyperlink>
      <w:r w:rsidR="00ED3006" w:rsidRPr="00E208B7">
        <w:rPr>
          <w:rFonts w:ascii="David" w:hAnsi="David"/>
          <w:rtl/>
          <w:lang w:eastAsia="he-IL"/>
        </w:rPr>
        <w:t xml:space="preserve"> </w:t>
      </w:r>
      <w:r w:rsidR="00ED3006" w:rsidRPr="00E208B7">
        <w:rPr>
          <w:rFonts w:ascii="David" w:hAnsi="David"/>
          <w:b/>
          <w:bCs/>
          <w:rtl/>
          <w:lang w:eastAsia="he-IL"/>
        </w:rPr>
        <w:t>ספיר</w:t>
      </w:r>
      <w:r w:rsidR="00ED3006" w:rsidRPr="00E208B7">
        <w:rPr>
          <w:rFonts w:ascii="David" w:hAnsi="David"/>
          <w:rtl/>
          <w:lang w:eastAsia="he-IL"/>
        </w:rPr>
        <w:t xml:space="preserve"> (17.9.2018)  שם אושר מתחם של 16-36 חודשים בגין חמש עבירות סחר בקנבוס בהיקפים של עד 10 גרם לכל עסקה, תוך שימוש במערכת מסרונים. </w:t>
      </w:r>
    </w:p>
    <w:p w14:paraId="70DC7C31" w14:textId="77777777" w:rsidR="00ED3006" w:rsidRPr="00E208B7" w:rsidRDefault="00A847E2" w:rsidP="00ED3006">
      <w:pPr>
        <w:snapToGrid w:val="0"/>
        <w:spacing w:before="60" w:after="80" w:line="360" w:lineRule="auto"/>
        <w:ind w:left="368" w:right="567"/>
        <w:contextualSpacing/>
        <w:jc w:val="both"/>
        <w:rPr>
          <w:rFonts w:ascii="David" w:hAnsi="David"/>
          <w:rtl/>
          <w:lang w:eastAsia="he-IL"/>
        </w:rPr>
      </w:pPr>
      <w:hyperlink r:id="rId32" w:history="1">
        <w:r w:rsidRPr="00A847E2">
          <w:rPr>
            <w:rFonts w:ascii="David" w:hAnsi="David"/>
            <w:color w:val="0000FF"/>
            <w:u w:val="single"/>
            <w:rtl/>
            <w:lang w:eastAsia="he-IL"/>
          </w:rPr>
          <w:t>רע"פ 5698/17</w:t>
        </w:r>
      </w:hyperlink>
      <w:r w:rsidR="00ED3006" w:rsidRPr="00E208B7">
        <w:rPr>
          <w:rFonts w:ascii="David" w:hAnsi="David"/>
          <w:rtl/>
          <w:lang w:eastAsia="he-IL"/>
        </w:rPr>
        <w:t xml:space="preserve"> </w:t>
      </w:r>
      <w:r w:rsidR="00ED3006" w:rsidRPr="00E208B7">
        <w:rPr>
          <w:rFonts w:ascii="David" w:hAnsi="David"/>
          <w:b/>
          <w:bCs/>
          <w:rtl/>
          <w:lang w:eastAsia="he-IL"/>
        </w:rPr>
        <w:t>ליפצר</w:t>
      </w:r>
      <w:r w:rsidR="00ED3006" w:rsidRPr="00E208B7">
        <w:rPr>
          <w:rFonts w:ascii="David" w:hAnsi="David"/>
          <w:rtl/>
          <w:lang w:eastAsia="he-IL"/>
        </w:rPr>
        <w:t xml:space="preserve"> (4.9.2017) שם אושר מתחם של 6-12 חודשים לעסקה בודדת בכמות קטנה של מריחואנה. על הנאשם שהורשע במספר עסקאות הוטל עונש כולל של 30 חודשי מאסר בפועל.</w:t>
      </w:r>
    </w:p>
    <w:p w14:paraId="55955877" w14:textId="77777777" w:rsidR="00ED3006" w:rsidRPr="00E208B7" w:rsidRDefault="00A847E2" w:rsidP="00ED3006">
      <w:pPr>
        <w:snapToGrid w:val="0"/>
        <w:spacing w:before="60" w:after="80" w:line="360" w:lineRule="auto"/>
        <w:ind w:left="368" w:right="567"/>
        <w:contextualSpacing/>
        <w:jc w:val="both"/>
        <w:rPr>
          <w:rFonts w:ascii="David" w:hAnsi="David"/>
          <w:rtl/>
          <w:lang w:eastAsia="he-IL"/>
        </w:rPr>
      </w:pPr>
      <w:hyperlink r:id="rId33" w:history="1">
        <w:r w:rsidRPr="00A847E2">
          <w:rPr>
            <w:rFonts w:ascii="David" w:hAnsi="David"/>
            <w:color w:val="0000FF"/>
            <w:u w:val="single"/>
            <w:rtl/>
            <w:lang w:eastAsia="he-IL"/>
          </w:rPr>
          <w:t>רע"פ 4687/15</w:t>
        </w:r>
      </w:hyperlink>
      <w:r w:rsidR="00ED3006" w:rsidRPr="00E208B7">
        <w:rPr>
          <w:rFonts w:ascii="David" w:hAnsi="David"/>
          <w:rtl/>
          <w:lang w:eastAsia="he-IL"/>
        </w:rPr>
        <w:t xml:space="preserve"> </w:t>
      </w:r>
      <w:r w:rsidR="00ED3006" w:rsidRPr="00E208B7">
        <w:rPr>
          <w:rFonts w:ascii="David" w:hAnsi="David"/>
          <w:b/>
          <w:bCs/>
          <w:rtl/>
          <w:lang w:eastAsia="he-IL"/>
        </w:rPr>
        <w:t xml:space="preserve">פלג </w:t>
      </w:r>
      <w:r w:rsidR="00ED3006" w:rsidRPr="00E208B7">
        <w:rPr>
          <w:rFonts w:ascii="David" w:hAnsi="David"/>
          <w:rtl/>
          <w:lang w:eastAsia="he-IL"/>
        </w:rPr>
        <w:t>(13.8.2015) אושר מתחם של מספר חודשי מאסר ועד 15 חודשי מאסר לעסקה בודדת של סחר בקנבוס. על הנאשם שהורשע במספר עיסקאות הוטל עונש כולל של 24 חודשי מאסר בפועל.</w:t>
      </w:r>
    </w:p>
    <w:p w14:paraId="5D6FA006" w14:textId="77777777" w:rsidR="00ED3006" w:rsidRPr="00E208B7" w:rsidRDefault="00ED3006" w:rsidP="00ED3006">
      <w:pPr>
        <w:snapToGrid w:val="0"/>
        <w:spacing w:after="80"/>
        <w:ind w:left="720"/>
        <w:contextualSpacing/>
        <w:rPr>
          <w:rFonts w:ascii="David" w:hAnsi="David"/>
          <w:b/>
          <w:bCs/>
          <w:highlight w:val="yellow"/>
          <w:rtl/>
          <w:lang w:eastAsia="he-IL"/>
        </w:rPr>
      </w:pPr>
    </w:p>
    <w:p w14:paraId="1E5AFB5F" w14:textId="77777777" w:rsidR="00ED3006" w:rsidRPr="00E208B7" w:rsidRDefault="00ED3006" w:rsidP="00ED3006">
      <w:pPr>
        <w:spacing w:after="80" w:line="360" w:lineRule="auto"/>
        <w:ind w:left="368"/>
        <w:contextualSpacing/>
        <w:jc w:val="both"/>
        <w:rPr>
          <w:rFonts w:ascii="David" w:hAnsi="David"/>
          <w:rtl/>
        </w:rPr>
      </w:pPr>
      <w:r w:rsidRPr="00E208B7">
        <w:rPr>
          <w:rFonts w:ascii="David" w:hAnsi="David"/>
          <w:rtl/>
        </w:rPr>
        <w:t>מן האמור לעיל עולה, כי כאשר מדובר בעבירות סחר בסמים (מסוג קנבוס או חשיש או מריחואנה) בכמויות קטנות בכל פעם, אך באופן שיטתי ולא מקרה מזדמן בודד, העונש הכולל המוטל איננו מהווה הכפלה של המתחם המקובל למקרה בודד. ההבדלים בין המתחמים השונים נעוצים במספר גורמים ובהם, החלק היחסי במארג העברייני, שיטת ההפצה והמכירה, מידת הנגישות והזמינות לסמים, היקף המכירה ומשך הזמן.</w:t>
      </w:r>
    </w:p>
    <w:p w14:paraId="236A2249" w14:textId="77777777" w:rsidR="00ED3006" w:rsidRPr="00E208B7" w:rsidRDefault="00ED3006" w:rsidP="00ED3006">
      <w:pPr>
        <w:spacing w:after="80" w:line="360" w:lineRule="auto"/>
        <w:contextualSpacing/>
        <w:jc w:val="both"/>
        <w:rPr>
          <w:rFonts w:ascii="David" w:hAnsi="David"/>
          <w:b/>
          <w:bCs/>
          <w:rtl/>
        </w:rPr>
      </w:pPr>
    </w:p>
    <w:p w14:paraId="39B21BE4" w14:textId="77777777" w:rsidR="00ED3006" w:rsidRPr="00E208B7" w:rsidRDefault="00ED3006" w:rsidP="00ED3006">
      <w:pPr>
        <w:spacing w:after="80" w:line="360" w:lineRule="auto"/>
        <w:ind w:firstLine="368"/>
        <w:contextualSpacing/>
        <w:jc w:val="both"/>
        <w:rPr>
          <w:rFonts w:ascii="David" w:hAnsi="David"/>
          <w:b/>
          <w:bCs/>
          <w:rtl/>
        </w:rPr>
      </w:pPr>
      <w:r w:rsidRPr="00E208B7">
        <w:rPr>
          <w:rFonts w:ascii="David" w:hAnsi="David"/>
          <w:b/>
          <w:bCs/>
          <w:rtl/>
        </w:rPr>
        <w:t>מכל האמור לעיל עולה, כי במקרה זה מתחם העונש ההולם הוא 12-36 חודשי מאסר בפועל.</w:t>
      </w:r>
    </w:p>
    <w:p w14:paraId="00E4DDB6" w14:textId="77777777" w:rsidR="00ED3006" w:rsidRPr="00ED3006" w:rsidRDefault="00ED3006" w:rsidP="00ED3006">
      <w:pPr>
        <w:spacing w:after="80" w:line="360" w:lineRule="auto"/>
        <w:jc w:val="both"/>
        <w:rPr>
          <w:rFonts w:ascii="Calibri" w:hAnsi="Calibri"/>
          <w:sz w:val="28"/>
          <w:rtl/>
        </w:rPr>
      </w:pPr>
    </w:p>
    <w:p w14:paraId="671A4776" w14:textId="77777777" w:rsidR="00ED3006" w:rsidRPr="00E208B7" w:rsidRDefault="00ED3006" w:rsidP="00ED3006">
      <w:pPr>
        <w:numPr>
          <w:ilvl w:val="0"/>
          <w:numId w:val="1"/>
        </w:numPr>
        <w:snapToGrid w:val="0"/>
        <w:spacing w:after="80" w:line="360" w:lineRule="auto"/>
        <w:contextualSpacing/>
        <w:jc w:val="both"/>
        <w:rPr>
          <w:sz w:val="28"/>
          <w:rtl/>
          <w:lang w:eastAsia="he-IL"/>
        </w:rPr>
      </w:pPr>
      <w:r w:rsidRPr="00E208B7">
        <w:rPr>
          <w:sz w:val="28"/>
          <w:rtl/>
          <w:lang w:eastAsia="he-IL"/>
        </w:rPr>
        <w:t>אשר ל</w:t>
      </w:r>
      <w:r w:rsidRPr="00E208B7">
        <w:rPr>
          <w:b/>
          <w:bCs/>
          <w:sz w:val="28"/>
          <w:rtl/>
          <w:lang w:eastAsia="he-IL"/>
        </w:rPr>
        <w:t xml:space="preserve">מתחם הקנס </w:t>
      </w:r>
      <w:r w:rsidRPr="00E208B7">
        <w:rPr>
          <w:sz w:val="28"/>
          <w:rtl/>
          <w:lang w:eastAsia="he-IL"/>
        </w:rPr>
        <w:t>ההולם, משלא הוצגו אסמכתאות המאפשרות קביעת ממצא בנוגע למצב כלכלי חריג של הנאשם, ומאחר שמדובר בעבירות שבוצעו למטרת רווח כספי, ובשים לב להיקף המכירות יש לקבוע את מתחם הקנס ההולם בין 5,000 ₪ ל- 15,000 ₪.</w:t>
      </w:r>
    </w:p>
    <w:p w14:paraId="76346A7C" w14:textId="77777777" w:rsidR="00ED3006" w:rsidRPr="00ED3006" w:rsidRDefault="00ED3006" w:rsidP="00ED3006">
      <w:pPr>
        <w:spacing w:after="80" w:line="360" w:lineRule="auto"/>
        <w:jc w:val="both"/>
        <w:rPr>
          <w:rFonts w:ascii="Calibri" w:hAnsi="Calibri"/>
          <w:sz w:val="28"/>
          <w:rtl/>
        </w:rPr>
      </w:pPr>
    </w:p>
    <w:p w14:paraId="53E5FC93" w14:textId="77777777" w:rsidR="00ED3006" w:rsidRPr="00ED3006" w:rsidRDefault="00ED3006" w:rsidP="00ED3006">
      <w:pPr>
        <w:spacing w:after="80" w:line="360" w:lineRule="auto"/>
        <w:jc w:val="both"/>
        <w:rPr>
          <w:rFonts w:ascii="Calibri" w:hAnsi="Calibri"/>
          <w:b/>
          <w:bCs/>
          <w:u w:val="single"/>
          <w:rtl/>
        </w:rPr>
      </w:pPr>
      <w:r w:rsidRPr="00ED3006">
        <w:rPr>
          <w:rFonts w:ascii="Calibri" w:hAnsi="Calibri" w:hint="eastAsia"/>
          <w:b/>
          <w:bCs/>
          <w:u w:val="single"/>
          <w:rtl/>
        </w:rPr>
        <w:t>קביעת</w:t>
      </w:r>
      <w:r w:rsidRPr="00ED3006">
        <w:rPr>
          <w:rFonts w:ascii="Calibri" w:hAnsi="Calibri"/>
          <w:b/>
          <w:bCs/>
          <w:u w:val="single"/>
          <w:rtl/>
        </w:rPr>
        <w:t xml:space="preserve"> </w:t>
      </w:r>
      <w:r w:rsidRPr="00ED3006">
        <w:rPr>
          <w:rFonts w:ascii="Calibri" w:hAnsi="Calibri" w:hint="eastAsia"/>
          <w:b/>
          <w:bCs/>
          <w:u w:val="single"/>
          <w:rtl/>
        </w:rPr>
        <w:t>העונש</w:t>
      </w:r>
      <w:r w:rsidRPr="00ED3006">
        <w:rPr>
          <w:rFonts w:ascii="Calibri" w:hAnsi="Calibri"/>
          <w:b/>
          <w:bCs/>
          <w:u w:val="single"/>
          <w:rtl/>
        </w:rPr>
        <w:t xml:space="preserve"> </w:t>
      </w:r>
      <w:r w:rsidRPr="00ED3006">
        <w:rPr>
          <w:rFonts w:ascii="Calibri" w:hAnsi="Calibri" w:hint="eastAsia"/>
          <w:b/>
          <w:bCs/>
          <w:u w:val="single"/>
          <w:rtl/>
        </w:rPr>
        <w:t>המתאים</w:t>
      </w:r>
      <w:r w:rsidRPr="00ED3006">
        <w:rPr>
          <w:rFonts w:ascii="Calibri" w:hAnsi="Calibri"/>
          <w:b/>
          <w:bCs/>
          <w:u w:val="single"/>
          <w:rtl/>
        </w:rPr>
        <w:t xml:space="preserve"> </w:t>
      </w:r>
      <w:r w:rsidRPr="00ED3006">
        <w:rPr>
          <w:rFonts w:ascii="Calibri" w:hAnsi="Calibri" w:hint="eastAsia"/>
          <w:b/>
          <w:bCs/>
          <w:u w:val="single"/>
          <w:rtl/>
        </w:rPr>
        <w:t>בגדרי</w:t>
      </w:r>
      <w:r w:rsidRPr="00ED3006">
        <w:rPr>
          <w:rFonts w:ascii="Calibri" w:hAnsi="Calibri"/>
          <w:b/>
          <w:bCs/>
          <w:u w:val="single"/>
          <w:rtl/>
        </w:rPr>
        <w:t xml:space="preserve"> </w:t>
      </w:r>
      <w:r w:rsidRPr="00ED3006">
        <w:rPr>
          <w:rFonts w:ascii="Calibri" w:hAnsi="Calibri" w:hint="eastAsia"/>
          <w:b/>
          <w:bCs/>
          <w:u w:val="single"/>
          <w:rtl/>
        </w:rPr>
        <w:t>המתחם</w:t>
      </w:r>
    </w:p>
    <w:p w14:paraId="3917720A" w14:textId="77777777" w:rsidR="00ED3006" w:rsidRPr="00E208B7" w:rsidRDefault="00ED3006" w:rsidP="00ED3006">
      <w:pPr>
        <w:numPr>
          <w:ilvl w:val="0"/>
          <w:numId w:val="1"/>
        </w:numPr>
        <w:snapToGrid w:val="0"/>
        <w:spacing w:after="80" w:line="360" w:lineRule="auto"/>
        <w:contextualSpacing/>
        <w:jc w:val="both"/>
        <w:rPr>
          <w:lang w:eastAsia="he-IL"/>
        </w:rPr>
      </w:pPr>
      <w:r w:rsidRPr="00E208B7">
        <w:rPr>
          <w:rtl/>
          <w:lang w:eastAsia="he-IL"/>
        </w:rPr>
        <w:t xml:space="preserve">בגזירת העונש המתאים לנאשם, בגדרי מתחם העונש ההולם, יתחשב בית המשפט בשיקולים כלליים ובשיקולים פרטניים, שאינם קשורים בנסיבות ביצוע העבירה. </w:t>
      </w:r>
    </w:p>
    <w:p w14:paraId="537EACEB" w14:textId="77777777" w:rsidR="00ED3006" w:rsidRPr="00E208B7" w:rsidRDefault="00ED3006" w:rsidP="00ED3006">
      <w:pPr>
        <w:snapToGrid w:val="0"/>
        <w:spacing w:after="80" w:line="360" w:lineRule="auto"/>
        <w:ind w:left="360"/>
        <w:contextualSpacing/>
        <w:jc w:val="both"/>
        <w:rPr>
          <w:rtl/>
          <w:lang w:eastAsia="he-IL"/>
        </w:rPr>
      </w:pPr>
    </w:p>
    <w:p w14:paraId="3DBC918E"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לזכות הנאשם הבאתי בחשבון את נטילת האחריות והבעת החרטה וכן את החיסכון בזמן השיפוטי ובמשאבי הציבור בהודאתו בעובדות כתב האישום המתוקן. כן הבאתי בחשבון את גילו, שאינו צעיר. לקחתי בחשבון גם נסיבות אישיות נטענות, אך זאת באופן מוגבל ומשלא בוססו או הוכחו כלל באסמכתאות.</w:t>
      </w:r>
      <w:r>
        <w:rPr>
          <w:rFonts w:hint="cs"/>
          <w:rtl/>
          <w:lang w:eastAsia="he-IL"/>
        </w:rPr>
        <w:t xml:space="preserve"> בכל זאת זקפתי את הדברים לזכות הנאשם.</w:t>
      </w:r>
    </w:p>
    <w:p w14:paraId="0628DACB"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לחובת הנאשם לקחתי בחשבון את עברו הפלילי של הנאשם, הכולל 23 הרשעות קודמות בעבירות רכוש, אלימות וסמים. הנאשם ריצה מספר תקופות מאסר בעברו.</w:t>
      </w:r>
    </w:p>
    <w:p w14:paraId="685E47EE"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הנאשם לא ביקש כי יינתן תסקיר בעניינו ולא ביקש להשתלב בהליך טיפולי. לפיכך, לא ניתן לשקול לזכותו בהליך זה שיקולי שיקום, גם לא בתוך המתחם.</w:t>
      </w:r>
    </w:p>
    <w:p w14:paraId="03FA596B" w14:textId="77777777" w:rsidR="00ED3006" w:rsidRPr="00E208B7" w:rsidRDefault="00ED3006" w:rsidP="00ED3006">
      <w:pPr>
        <w:snapToGrid w:val="0"/>
        <w:spacing w:after="80" w:line="360" w:lineRule="auto"/>
        <w:ind w:left="360"/>
        <w:contextualSpacing/>
        <w:jc w:val="both"/>
        <w:rPr>
          <w:rtl/>
          <w:lang w:eastAsia="he-IL"/>
        </w:rPr>
      </w:pPr>
      <w:r w:rsidRPr="00E208B7">
        <w:rPr>
          <w:rtl/>
          <w:lang w:eastAsia="he-IL"/>
        </w:rPr>
        <w:t>בהתחשב בכל אלה, יש להטיל על הנאשם עונש בחלקו העליון של השלישי התחתון של המתחם.</w:t>
      </w:r>
    </w:p>
    <w:p w14:paraId="36451D30" w14:textId="77777777" w:rsidR="00ED3006" w:rsidRPr="00E208B7" w:rsidRDefault="00ED3006" w:rsidP="00ED3006">
      <w:pPr>
        <w:snapToGrid w:val="0"/>
        <w:spacing w:after="80" w:line="360" w:lineRule="auto"/>
        <w:ind w:left="360"/>
        <w:contextualSpacing/>
        <w:jc w:val="both"/>
        <w:rPr>
          <w:rtl/>
          <w:lang w:eastAsia="he-IL"/>
        </w:rPr>
      </w:pPr>
    </w:p>
    <w:p w14:paraId="147D8093" w14:textId="77777777" w:rsidR="00ED3006" w:rsidRPr="00E208B7" w:rsidRDefault="00ED3006" w:rsidP="00ED3006">
      <w:pPr>
        <w:spacing w:after="80" w:line="360" w:lineRule="auto"/>
        <w:jc w:val="both"/>
        <w:rPr>
          <w:rFonts w:ascii="David" w:hAnsi="David"/>
          <w:b/>
          <w:bCs/>
          <w:u w:val="single"/>
          <w:rtl/>
        </w:rPr>
      </w:pPr>
      <w:r w:rsidRPr="00E208B7">
        <w:rPr>
          <w:rFonts w:ascii="David" w:hAnsi="David"/>
          <w:b/>
          <w:bCs/>
          <w:u w:val="single"/>
          <w:rtl/>
        </w:rPr>
        <w:t>סוף דבר:</w:t>
      </w:r>
    </w:p>
    <w:p w14:paraId="2DBA3B7B" w14:textId="77777777" w:rsidR="00ED3006" w:rsidRPr="00E208B7" w:rsidRDefault="00ED3006" w:rsidP="00ED3006">
      <w:pPr>
        <w:numPr>
          <w:ilvl w:val="0"/>
          <w:numId w:val="1"/>
        </w:numPr>
        <w:snapToGrid w:val="0"/>
        <w:spacing w:after="80" w:line="360" w:lineRule="auto"/>
        <w:contextualSpacing/>
        <w:jc w:val="both"/>
        <w:rPr>
          <w:lang w:eastAsia="he-IL"/>
        </w:rPr>
      </w:pPr>
      <w:r w:rsidRPr="00E208B7">
        <w:rPr>
          <w:rtl/>
          <w:lang w:eastAsia="he-IL"/>
        </w:rPr>
        <w:t>לאחר ששקלתי את מכלול השיקולים כמפורט לעיל אני מטילה על הנאשם את העונשים הבאים:</w:t>
      </w:r>
    </w:p>
    <w:p w14:paraId="5C889A60" w14:textId="77777777" w:rsidR="00ED3006" w:rsidRPr="00E208B7" w:rsidRDefault="00ED3006" w:rsidP="00ED3006">
      <w:pPr>
        <w:numPr>
          <w:ilvl w:val="0"/>
          <w:numId w:val="2"/>
        </w:numPr>
        <w:spacing w:after="80" w:line="360" w:lineRule="auto"/>
        <w:contextualSpacing/>
        <w:jc w:val="both"/>
        <w:rPr>
          <w:rFonts w:ascii="Arial" w:hAnsi="Arial"/>
        </w:rPr>
      </w:pPr>
      <w:r w:rsidRPr="00E208B7">
        <w:rPr>
          <w:rFonts w:ascii="Arial" w:hAnsi="Arial"/>
          <w:rtl/>
        </w:rPr>
        <w:t>18 חודשי מאסר בפועל, בניכוי ימי מעצרו בתיק זה</w:t>
      </w:r>
      <w:r>
        <w:rPr>
          <w:rFonts w:ascii="Arial" w:hAnsi="Arial" w:hint="cs"/>
          <w:rtl/>
        </w:rPr>
        <w:t xml:space="preserve"> בהתאם לרישומי שב"ס</w:t>
      </w:r>
      <w:r w:rsidRPr="00E208B7">
        <w:rPr>
          <w:rFonts w:ascii="Arial" w:hAnsi="Arial"/>
          <w:rtl/>
        </w:rPr>
        <w:t>.</w:t>
      </w:r>
    </w:p>
    <w:p w14:paraId="7F9733A8" w14:textId="77777777" w:rsidR="00ED3006" w:rsidRPr="00E208B7" w:rsidRDefault="00ED3006" w:rsidP="00ED3006">
      <w:pPr>
        <w:numPr>
          <w:ilvl w:val="0"/>
          <w:numId w:val="2"/>
        </w:numPr>
        <w:spacing w:after="80" w:line="360" w:lineRule="auto"/>
        <w:contextualSpacing/>
        <w:jc w:val="both"/>
        <w:rPr>
          <w:rFonts w:ascii="Arial" w:hAnsi="Arial"/>
        </w:rPr>
      </w:pPr>
      <w:r w:rsidRPr="00E208B7">
        <w:rPr>
          <w:rFonts w:ascii="Arial" w:hAnsi="Arial"/>
          <w:rtl/>
        </w:rPr>
        <w:t>3 חודשי מאסר על תנאי למשך 3 שנים מיום שחרורו, שלא יעבור עבירת סמים מסוג עוון.</w:t>
      </w:r>
    </w:p>
    <w:p w14:paraId="66A5AB9D" w14:textId="77777777" w:rsidR="00ED3006" w:rsidRPr="00E208B7" w:rsidRDefault="00ED3006" w:rsidP="00ED3006">
      <w:pPr>
        <w:numPr>
          <w:ilvl w:val="0"/>
          <w:numId w:val="2"/>
        </w:numPr>
        <w:spacing w:after="80" w:line="360" w:lineRule="auto"/>
        <w:contextualSpacing/>
        <w:jc w:val="both"/>
        <w:rPr>
          <w:rFonts w:ascii="Arial" w:hAnsi="Arial"/>
        </w:rPr>
      </w:pPr>
      <w:r w:rsidRPr="00E208B7">
        <w:rPr>
          <w:rFonts w:ascii="Arial" w:hAnsi="Arial"/>
          <w:rtl/>
        </w:rPr>
        <w:t>6 חודשי מאסר על תנאי למשך 3 שנים מיום שחרורו, שלא יעבור עבירת סמים מסוג פשע.</w:t>
      </w:r>
    </w:p>
    <w:p w14:paraId="7CB5A256" w14:textId="77777777" w:rsidR="00ED3006" w:rsidRPr="00E208B7" w:rsidRDefault="00ED3006" w:rsidP="00ED3006">
      <w:pPr>
        <w:numPr>
          <w:ilvl w:val="0"/>
          <w:numId w:val="2"/>
        </w:numPr>
        <w:spacing w:after="80" w:line="360" w:lineRule="auto"/>
        <w:contextualSpacing/>
        <w:jc w:val="both"/>
        <w:rPr>
          <w:rFonts w:ascii="Arial" w:hAnsi="Arial"/>
        </w:rPr>
      </w:pPr>
      <w:r w:rsidRPr="00E208B7">
        <w:rPr>
          <w:rFonts w:ascii="Arial" w:hAnsi="Arial"/>
          <w:rtl/>
        </w:rPr>
        <w:t>קנס בסך 7,500 ₪ או 30 ימי מאסר תמורתו. הקנס ישולם ב-10 תשלומים חודשיים שווים ורצופים החל מיום 1.8.22.</w:t>
      </w:r>
    </w:p>
    <w:p w14:paraId="5F21CA8E" w14:textId="77777777" w:rsidR="00ED3006" w:rsidRPr="00ED3006" w:rsidRDefault="00ED3006" w:rsidP="00ED3006">
      <w:pPr>
        <w:spacing w:after="80" w:line="360" w:lineRule="auto"/>
        <w:jc w:val="both"/>
        <w:rPr>
          <w:rFonts w:ascii="Calibri" w:hAnsi="Calibri"/>
          <w:rtl/>
        </w:rPr>
      </w:pPr>
    </w:p>
    <w:p w14:paraId="2E64999B" w14:textId="77777777" w:rsidR="00ED3006" w:rsidRPr="00ED3006" w:rsidRDefault="00A847E2" w:rsidP="00ED3006">
      <w:pPr>
        <w:spacing w:after="80" w:line="360" w:lineRule="auto"/>
        <w:jc w:val="both"/>
        <w:rPr>
          <w:rFonts w:ascii="Calibri" w:hAnsi="Calibri"/>
          <w:b/>
          <w:bCs/>
          <w:rtl/>
        </w:rPr>
      </w:pPr>
      <w:r w:rsidRPr="00A847E2">
        <w:rPr>
          <w:rFonts w:ascii="Calibri" w:hAnsi="Calibri"/>
          <w:b/>
          <w:bCs/>
          <w:color w:val="FFFFFF"/>
          <w:sz w:val="2"/>
          <w:szCs w:val="2"/>
          <w:rtl/>
        </w:rPr>
        <w:t>5129371</w:t>
      </w:r>
      <w:r w:rsidR="00ED3006" w:rsidRPr="00ED3006">
        <w:rPr>
          <w:rFonts w:ascii="Calibri" w:hAnsi="Calibri" w:hint="eastAsia"/>
          <w:b/>
          <w:bCs/>
          <w:rtl/>
        </w:rPr>
        <w:t>ניתן</w:t>
      </w:r>
      <w:r w:rsidR="00ED3006" w:rsidRPr="00ED3006">
        <w:rPr>
          <w:rFonts w:ascii="Calibri" w:hAnsi="Calibri"/>
          <w:b/>
          <w:bCs/>
          <w:rtl/>
        </w:rPr>
        <w:t xml:space="preserve"> </w:t>
      </w:r>
      <w:r w:rsidR="00ED3006" w:rsidRPr="00ED3006">
        <w:rPr>
          <w:rFonts w:ascii="Calibri" w:hAnsi="Calibri" w:hint="eastAsia"/>
          <w:b/>
          <w:bCs/>
          <w:rtl/>
        </w:rPr>
        <w:t>בזאת</w:t>
      </w:r>
      <w:r w:rsidR="00ED3006" w:rsidRPr="00ED3006">
        <w:rPr>
          <w:rFonts w:ascii="Calibri" w:hAnsi="Calibri"/>
          <w:b/>
          <w:bCs/>
          <w:rtl/>
        </w:rPr>
        <w:t xml:space="preserve"> </w:t>
      </w:r>
      <w:r w:rsidR="00ED3006" w:rsidRPr="00ED3006">
        <w:rPr>
          <w:rFonts w:ascii="Calibri" w:hAnsi="Calibri" w:hint="eastAsia"/>
          <w:b/>
          <w:bCs/>
          <w:rtl/>
        </w:rPr>
        <w:t>צו</w:t>
      </w:r>
      <w:r w:rsidR="00ED3006" w:rsidRPr="00ED3006">
        <w:rPr>
          <w:rFonts w:ascii="Calibri" w:hAnsi="Calibri"/>
          <w:b/>
          <w:bCs/>
          <w:rtl/>
        </w:rPr>
        <w:t xml:space="preserve"> </w:t>
      </w:r>
      <w:r w:rsidR="00ED3006" w:rsidRPr="00ED3006">
        <w:rPr>
          <w:rFonts w:ascii="Calibri" w:hAnsi="Calibri" w:hint="eastAsia"/>
          <w:b/>
          <w:bCs/>
          <w:rtl/>
        </w:rPr>
        <w:t>להשמדת</w:t>
      </w:r>
      <w:r w:rsidR="00ED3006" w:rsidRPr="00ED3006">
        <w:rPr>
          <w:rFonts w:ascii="Calibri" w:hAnsi="Calibri"/>
          <w:b/>
          <w:bCs/>
          <w:rtl/>
        </w:rPr>
        <w:t xml:space="preserve"> </w:t>
      </w:r>
      <w:r w:rsidR="00ED3006" w:rsidRPr="00ED3006">
        <w:rPr>
          <w:rFonts w:ascii="Calibri" w:hAnsi="Calibri" w:hint="eastAsia"/>
          <w:b/>
          <w:bCs/>
          <w:rtl/>
        </w:rPr>
        <w:t>מוצג</w:t>
      </w:r>
      <w:r w:rsidR="00ED3006" w:rsidRPr="00ED3006">
        <w:rPr>
          <w:rFonts w:ascii="Calibri" w:hAnsi="Calibri" w:hint="cs"/>
          <w:b/>
          <w:bCs/>
          <w:rtl/>
        </w:rPr>
        <w:t>ים</w:t>
      </w:r>
      <w:r w:rsidR="00ED3006" w:rsidRPr="00ED3006">
        <w:rPr>
          <w:rFonts w:ascii="Calibri" w:hAnsi="Calibri"/>
          <w:b/>
          <w:bCs/>
          <w:rtl/>
        </w:rPr>
        <w:t xml:space="preserve"> – </w:t>
      </w:r>
      <w:r w:rsidR="00ED3006" w:rsidRPr="00ED3006">
        <w:rPr>
          <w:rFonts w:ascii="Calibri" w:hAnsi="Calibri" w:hint="eastAsia"/>
          <w:b/>
          <w:bCs/>
          <w:rtl/>
        </w:rPr>
        <w:t>סמים</w:t>
      </w:r>
      <w:r w:rsidR="00ED3006" w:rsidRPr="00ED3006">
        <w:rPr>
          <w:rFonts w:ascii="Calibri" w:hAnsi="Calibri" w:hint="cs"/>
          <w:b/>
          <w:bCs/>
          <w:rtl/>
        </w:rPr>
        <w:t>, משקל וטלפון בכפוף לחלוף תקופת הערעור</w:t>
      </w:r>
      <w:r w:rsidR="00ED3006" w:rsidRPr="00ED3006">
        <w:rPr>
          <w:rFonts w:ascii="Calibri" w:hAnsi="Calibri"/>
          <w:b/>
          <w:bCs/>
          <w:rtl/>
        </w:rPr>
        <w:t>.</w:t>
      </w:r>
    </w:p>
    <w:p w14:paraId="646597FD" w14:textId="77777777" w:rsidR="00ED3006" w:rsidRPr="00ED3006" w:rsidRDefault="00A847E2" w:rsidP="00ED3006">
      <w:pPr>
        <w:spacing w:after="80" w:line="360" w:lineRule="auto"/>
        <w:jc w:val="both"/>
        <w:rPr>
          <w:rFonts w:ascii="Calibri" w:hAnsi="Calibri"/>
          <w:b/>
          <w:bCs/>
        </w:rPr>
      </w:pPr>
      <w:r w:rsidRPr="00A847E2">
        <w:rPr>
          <w:rFonts w:ascii="Calibri" w:hAnsi="Calibri"/>
          <w:b/>
          <w:bCs/>
          <w:color w:val="FFFFFF"/>
          <w:sz w:val="2"/>
          <w:szCs w:val="2"/>
          <w:rtl/>
        </w:rPr>
        <w:t>54678313</w:t>
      </w:r>
      <w:r w:rsidR="00ED3006" w:rsidRPr="00ED3006">
        <w:rPr>
          <w:rFonts w:ascii="Calibri" w:hAnsi="Calibri" w:hint="eastAsia"/>
          <w:b/>
          <w:bCs/>
          <w:rtl/>
        </w:rPr>
        <w:t>זכות</w:t>
      </w:r>
      <w:r w:rsidR="00ED3006" w:rsidRPr="00ED3006">
        <w:rPr>
          <w:rFonts w:ascii="Calibri" w:hAnsi="Calibri"/>
          <w:b/>
          <w:bCs/>
          <w:rtl/>
        </w:rPr>
        <w:t xml:space="preserve"> </w:t>
      </w:r>
      <w:r w:rsidR="00ED3006" w:rsidRPr="00ED3006">
        <w:rPr>
          <w:rFonts w:ascii="Calibri" w:hAnsi="Calibri" w:hint="eastAsia"/>
          <w:b/>
          <w:bCs/>
          <w:rtl/>
        </w:rPr>
        <w:t>ערעור</w:t>
      </w:r>
      <w:r w:rsidR="00ED3006" w:rsidRPr="00ED3006">
        <w:rPr>
          <w:rFonts w:ascii="Calibri" w:hAnsi="Calibri"/>
          <w:b/>
          <w:bCs/>
          <w:rtl/>
        </w:rPr>
        <w:t xml:space="preserve"> </w:t>
      </w:r>
      <w:r w:rsidR="00ED3006" w:rsidRPr="00ED3006">
        <w:rPr>
          <w:rFonts w:ascii="Calibri" w:hAnsi="Calibri" w:hint="eastAsia"/>
          <w:b/>
          <w:bCs/>
          <w:rtl/>
        </w:rPr>
        <w:t>כחוק</w:t>
      </w:r>
      <w:r w:rsidR="00ED3006" w:rsidRPr="00ED3006">
        <w:rPr>
          <w:rFonts w:ascii="Calibri" w:hAnsi="Calibri"/>
          <w:b/>
          <w:bCs/>
          <w:rtl/>
        </w:rPr>
        <w:t>.</w:t>
      </w:r>
    </w:p>
    <w:p w14:paraId="2884A618" w14:textId="77777777" w:rsidR="00ED3006" w:rsidRPr="002B7D23" w:rsidRDefault="00ED3006" w:rsidP="00ED3006">
      <w:pPr>
        <w:rPr>
          <w:rFonts w:ascii="David" w:hAnsi="David"/>
          <w:sz w:val="26"/>
          <w:szCs w:val="26"/>
          <w:rtl/>
        </w:rPr>
      </w:pPr>
    </w:p>
    <w:p w14:paraId="03E4B0C0" w14:textId="77777777" w:rsidR="00ED3006" w:rsidRPr="00E208B7" w:rsidRDefault="00A847E2" w:rsidP="00ED3006">
      <w:pPr>
        <w:rPr>
          <w:rFonts w:ascii="David" w:hAnsi="David"/>
          <w:b/>
          <w:bCs/>
          <w:sz w:val="26"/>
          <w:szCs w:val="26"/>
          <w:rtl/>
        </w:rPr>
      </w:pPr>
      <w:bookmarkStart w:id="8" w:name="Nitan"/>
      <w:r>
        <w:rPr>
          <w:rFonts w:ascii="David" w:hAnsi="David"/>
          <w:b/>
          <w:bCs/>
          <w:sz w:val="26"/>
          <w:szCs w:val="26"/>
          <w:rtl/>
        </w:rPr>
        <w:t xml:space="preserve">ניתן היום,  כ"ד תמוז תשפ"א, 04 יולי 2021, במעמד הצדדים. </w:t>
      </w:r>
      <w:bookmarkEnd w:id="8"/>
    </w:p>
    <w:p w14:paraId="775D7AE8" w14:textId="77777777" w:rsidR="00ED3006" w:rsidRPr="002B7D23" w:rsidRDefault="00ED3006" w:rsidP="00A847E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8410938" w14:textId="77777777" w:rsidR="00ED3006" w:rsidRPr="002F505B" w:rsidRDefault="002F505B" w:rsidP="00ED3006">
      <w:pPr>
        <w:jc w:val="center"/>
        <w:rPr>
          <w:rFonts w:ascii="David" w:hAnsi="David"/>
          <w:color w:val="FFFFFF"/>
          <w:sz w:val="2"/>
          <w:szCs w:val="2"/>
          <w:rtl/>
        </w:rPr>
      </w:pPr>
      <w:r w:rsidRPr="002F505B">
        <w:rPr>
          <w:rFonts w:ascii="David" w:hAnsi="David"/>
          <w:color w:val="FFFFFF"/>
          <w:sz w:val="2"/>
          <w:szCs w:val="2"/>
          <w:rtl/>
        </w:rPr>
        <w:t>5129371</w:t>
      </w:r>
    </w:p>
    <w:p w14:paraId="520B9BC2" w14:textId="77777777" w:rsidR="00A847E2" w:rsidRPr="002F505B" w:rsidRDefault="002F505B" w:rsidP="002F505B">
      <w:pPr>
        <w:keepNext/>
        <w:rPr>
          <w:rFonts w:ascii="David" w:hAnsi="David" w:hint="cs"/>
          <w:color w:val="FFFFFF"/>
          <w:sz w:val="2"/>
          <w:szCs w:val="2"/>
        </w:rPr>
      </w:pPr>
      <w:r w:rsidRPr="002F505B">
        <w:rPr>
          <w:rFonts w:ascii="David" w:hAnsi="David"/>
          <w:color w:val="FFFFFF"/>
          <w:sz w:val="2"/>
          <w:szCs w:val="2"/>
          <w:rtl/>
        </w:rPr>
        <w:t>54678313</w:t>
      </w:r>
    </w:p>
    <w:p w14:paraId="22634954" w14:textId="77777777" w:rsidR="00A847E2" w:rsidRDefault="00A847E2" w:rsidP="00A847E2">
      <w:pPr>
        <w:rPr>
          <w:rtl/>
        </w:rPr>
      </w:pPr>
    </w:p>
    <w:p w14:paraId="5600EBEA" w14:textId="77777777" w:rsidR="00A847E2" w:rsidRDefault="00A847E2" w:rsidP="00A847E2">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C674606" w14:textId="77777777" w:rsidR="002F505B" w:rsidRPr="002F505B" w:rsidRDefault="002F505B" w:rsidP="002F505B">
      <w:pPr>
        <w:keepNext/>
        <w:rPr>
          <w:rFonts w:ascii="David" w:hAnsi="David"/>
          <w:color w:val="000000"/>
          <w:sz w:val="22"/>
          <w:szCs w:val="22"/>
          <w:rtl/>
        </w:rPr>
      </w:pPr>
    </w:p>
    <w:p w14:paraId="20F6421A" w14:textId="77777777" w:rsidR="002F505B" w:rsidRPr="002F505B" w:rsidRDefault="002F505B" w:rsidP="002F505B">
      <w:pPr>
        <w:keepNext/>
        <w:rPr>
          <w:rFonts w:ascii="David" w:hAnsi="David"/>
          <w:color w:val="000000"/>
          <w:sz w:val="22"/>
          <w:szCs w:val="22"/>
          <w:rtl/>
        </w:rPr>
      </w:pPr>
      <w:r w:rsidRPr="002F505B">
        <w:rPr>
          <w:rFonts w:ascii="David" w:hAnsi="David"/>
          <w:color w:val="000000"/>
          <w:sz w:val="22"/>
          <w:szCs w:val="22"/>
          <w:rtl/>
        </w:rPr>
        <w:t>ענת חולתא 54678313-/</w:t>
      </w:r>
    </w:p>
    <w:p w14:paraId="2252A4E8" w14:textId="77777777" w:rsidR="00A847E2" w:rsidRPr="00A847E2" w:rsidRDefault="002F505B" w:rsidP="002F505B">
      <w:pPr>
        <w:rPr>
          <w:color w:val="0000FF"/>
          <w:u w:val="single"/>
        </w:rPr>
      </w:pPr>
      <w:r w:rsidRPr="002F505B">
        <w:rPr>
          <w:color w:val="000000"/>
          <w:u w:val="single"/>
          <w:rtl/>
        </w:rPr>
        <w:t>נוסח מסמך זה כפוף לשינויי ניסוח ועריכה</w:t>
      </w:r>
    </w:p>
    <w:sectPr w:rsidR="00A847E2" w:rsidRPr="00A847E2" w:rsidSect="002F505B">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3465C" w14:textId="77777777" w:rsidR="00177C8A" w:rsidRDefault="00177C8A" w:rsidP="00F65718">
      <w:r>
        <w:separator/>
      </w:r>
    </w:p>
  </w:endnote>
  <w:endnote w:type="continuationSeparator" w:id="0">
    <w:p w14:paraId="2F169A32" w14:textId="77777777" w:rsidR="00177C8A" w:rsidRDefault="00177C8A" w:rsidP="00F65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ACB11" w14:textId="77777777" w:rsidR="002F505B" w:rsidRDefault="002F505B" w:rsidP="002F505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6D1A60" w14:textId="77777777" w:rsidR="0093612A" w:rsidRPr="002F505B" w:rsidRDefault="002F505B" w:rsidP="002F505B">
    <w:pPr>
      <w:pStyle w:val="a5"/>
      <w:pBdr>
        <w:top w:val="single" w:sz="4" w:space="1" w:color="auto"/>
        <w:between w:val="single" w:sz="4" w:space="0" w:color="auto"/>
      </w:pBdr>
      <w:spacing w:after="60"/>
      <w:jc w:val="center"/>
      <w:rPr>
        <w:rFonts w:ascii="FrankRuehl" w:hAnsi="FrankRuehl" w:cs="FrankRuehl"/>
        <w:color w:val="000000"/>
      </w:rPr>
    </w:pPr>
    <w:r w:rsidRPr="002F505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7D48A" w14:textId="77777777" w:rsidR="002F505B" w:rsidRDefault="002F505B" w:rsidP="002F505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4D34">
      <w:rPr>
        <w:rFonts w:ascii="FrankRuehl" w:hAnsi="FrankRuehl" w:cs="FrankRuehl"/>
        <w:noProof/>
        <w:rtl/>
      </w:rPr>
      <w:t>1</w:t>
    </w:r>
    <w:r>
      <w:rPr>
        <w:rFonts w:ascii="FrankRuehl" w:hAnsi="FrankRuehl" w:cs="FrankRuehl"/>
        <w:rtl/>
      </w:rPr>
      <w:fldChar w:fldCharType="end"/>
    </w:r>
  </w:p>
  <w:p w14:paraId="7A3197F5" w14:textId="77777777" w:rsidR="0093612A" w:rsidRPr="002F505B" w:rsidRDefault="002F505B" w:rsidP="002F505B">
    <w:pPr>
      <w:pStyle w:val="a5"/>
      <w:pBdr>
        <w:top w:val="single" w:sz="4" w:space="1" w:color="auto"/>
        <w:between w:val="single" w:sz="4" w:space="0" w:color="auto"/>
      </w:pBdr>
      <w:spacing w:after="60"/>
      <w:jc w:val="center"/>
      <w:rPr>
        <w:rFonts w:ascii="FrankRuehl" w:hAnsi="FrankRuehl" w:cs="FrankRuehl"/>
        <w:color w:val="000000"/>
      </w:rPr>
    </w:pPr>
    <w:r w:rsidRPr="002F505B">
      <w:rPr>
        <w:rFonts w:ascii="FrankRuehl" w:hAnsi="FrankRuehl" w:cs="FrankRuehl"/>
        <w:color w:val="000000"/>
      </w:rPr>
      <w:pict w14:anchorId="08725F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969EE" w14:textId="77777777" w:rsidR="00177C8A" w:rsidRDefault="00177C8A" w:rsidP="00F65718">
      <w:r>
        <w:separator/>
      </w:r>
    </w:p>
  </w:footnote>
  <w:footnote w:type="continuationSeparator" w:id="0">
    <w:p w14:paraId="09251DEF" w14:textId="77777777" w:rsidR="00177C8A" w:rsidRDefault="00177C8A" w:rsidP="00F65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75350" w14:textId="77777777" w:rsidR="00A847E2" w:rsidRPr="002F505B" w:rsidRDefault="002F505B" w:rsidP="002F505B">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(ב"ש) 43263-03-21</w:t>
    </w:r>
    <w:r>
      <w:rPr>
        <w:rFonts w:ascii="David" w:hAnsi="David"/>
        <w:color w:val="000000"/>
        <w:sz w:val="22"/>
        <w:szCs w:val="22"/>
        <w:rtl/>
      </w:rPr>
      <w:tab/>
      <w:t xml:space="preserve"> מדינת ישראל-תביעות נגב נ' מרדכי יעקב לנקרי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C02A" w14:textId="77777777" w:rsidR="00A847E2" w:rsidRPr="002F505B" w:rsidRDefault="002F505B" w:rsidP="002F505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43263-03-21</w:t>
    </w:r>
    <w:r>
      <w:rPr>
        <w:rFonts w:ascii="David" w:hAnsi="David"/>
        <w:color w:val="000000"/>
        <w:sz w:val="22"/>
        <w:szCs w:val="22"/>
        <w:rtl/>
      </w:rPr>
      <w:tab/>
      <w:t xml:space="preserve"> מדינת ישראל-תביעות נגב נ' מרדכי יעקב לנקרי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2768B"/>
    <w:multiLevelType w:val="hybridMultilevel"/>
    <w:tmpl w:val="FFECB42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2047AD2"/>
    <w:multiLevelType w:val="hybridMultilevel"/>
    <w:tmpl w:val="27A446BC"/>
    <w:lvl w:ilvl="0" w:tplc="1C262962">
      <w:start w:val="1"/>
      <w:numFmt w:val="decimal"/>
      <w:lvlText w:val="%1."/>
      <w:lvlJc w:val="left"/>
      <w:pPr>
        <w:ind w:left="360" w:hanging="360"/>
      </w:pPr>
      <w:rPr>
        <w:rFonts w:cs="David"/>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25393763">
    <w:abstractNumId w:val="1"/>
  </w:num>
  <w:num w:numId="2" w16cid:durableId="49893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3006"/>
    <w:rsid w:val="00177C8A"/>
    <w:rsid w:val="00202C32"/>
    <w:rsid w:val="00205616"/>
    <w:rsid w:val="002F505B"/>
    <w:rsid w:val="00415895"/>
    <w:rsid w:val="00463544"/>
    <w:rsid w:val="006E73DB"/>
    <w:rsid w:val="0093612A"/>
    <w:rsid w:val="009A3B77"/>
    <w:rsid w:val="009A4E4C"/>
    <w:rsid w:val="00A847E2"/>
    <w:rsid w:val="00ED3006"/>
    <w:rsid w:val="00F65718"/>
    <w:rsid w:val="00F74D34"/>
    <w:rsid w:val="00FB6213"/>
    <w:rsid w:val="00FD3B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C5D7F7"/>
  <w15:chartTrackingRefBased/>
  <w15:docId w15:val="{66FFA956-D556-49D1-892D-2E95D5B7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300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3006"/>
    <w:pPr>
      <w:tabs>
        <w:tab w:val="center" w:pos="4153"/>
        <w:tab w:val="right" w:pos="8306"/>
      </w:tabs>
    </w:pPr>
  </w:style>
  <w:style w:type="character" w:customStyle="1" w:styleId="a4">
    <w:name w:val="כותרת עליונה תו"/>
    <w:link w:val="a3"/>
    <w:rsid w:val="00ED3006"/>
    <w:rPr>
      <w:rFonts w:ascii="Times New Roman" w:eastAsia="Times New Roman" w:hAnsi="Times New Roman" w:cs="David"/>
      <w:sz w:val="24"/>
      <w:szCs w:val="24"/>
    </w:rPr>
  </w:style>
  <w:style w:type="paragraph" w:styleId="a5">
    <w:name w:val="footer"/>
    <w:basedOn w:val="a"/>
    <w:link w:val="a6"/>
    <w:rsid w:val="00ED3006"/>
    <w:pPr>
      <w:tabs>
        <w:tab w:val="center" w:pos="4153"/>
        <w:tab w:val="right" w:pos="8306"/>
      </w:tabs>
    </w:pPr>
  </w:style>
  <w:style w:type="character" w:customStyle="1" w:styleId="a6">
    <w:name w:val="כותרת תחתונה תו"/>
    <w:link w:val="a5"/>
    <w:rsid w:val="00ED3006"/>
    <w:rPr>
      <w:rFonts w:ascii="Times New Roman" w:eastAsia="Times New Roman" w:hAnsi="Times New Roman" w:cs="David"/>
      <w:sz w:val="24"/>
      <w:szCs w:val="24"/>
    </w:rPr>
  </w:style>
  <w:style w:type="table" w:styleId="a7">
    <w:name w:val="Table Grid"/>
    <w:basedOn w:val="a1"/>
    <w:rsid w:val="00ED30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3006"/>
  </w:style>
  <w:style w:type="character" w:styleId="Hyperlink">
    <w:name w:val="Hyperlink"/>
    <w:rsid w:val="00A847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5580841" TargetMode="External"/><Relationship Id="rId26" Type="http://schemas.openxmlformats.org/officeDocument/2006/relationships/hyperlink" Target="http://www.nevo.co.il/case/21604222" TargetMode="External"/><Relationship Id="rId39" Type="http://schemas.openxmlformats.org/officeDocument/2006/relationships/fontTable" Target="fontTable.xml"/><Relationship Id="rId21" Type="http://schemas.openxmlformats.org/officeDocument/2006/relationships/hyperlink" Target="http://www.nevo.co.il/case/23827604"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case/27487334"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5738608" TargetMode="External"/><Relationship Id="rId25" Type="http://schemas.openxmlformats.org/officeDocument/2006/relationships/hyperlink" Target="http://www.nevo.co.il/case/26420283" TargetMode="External"/><Relationship Id="rId33" Type="http://schemas.openxmlformats.org/officeDocument/2006/relationships/hyperlink" Target="http://www.nevo.co.il/case/2042049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3;19.a" TargetMode="External"/><Relationship Id="rId20" Type="http://schemas.openxmlformats.org/officeDocument/2006/relationships/hyperlink" Target="http://www.nevo.co.il/case/5787128" TargetMode="External"/><Relationship Id="rId29" Type="http://schemas.openxmlformats.org/officeDocument/2006/relationships/hyperlink" Target="http://www.nevo.co.il/case/214769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5543994" TargetMode="External"/><Relationship Id="rId32" Type="http://schemas.openxmlformats.org/officeDocument/2006/relationships/hyperlink" Target="http://www.nevo.co.il/case/2283093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2954791" TargetMode="External"/><Relationship Id="rId28" Type="http://schemas.openxmlformats.org/officeDocument/2006/relationships/hyperlink" Target="http://www.nevo.co.il/case/20126233" TargetMode="External"/><Relationship Id="rId36"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5988308" TargetMode="External"/><Relationship Id="rId31" Type="http://schemas.openxmlformats.org/officeDocument/2006/relationships/hyperlink" Target="http://www.nevo.co.il/case/24975541"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5559115" TargetMode="External"/><Relationship Id="rId27" Type="http://schemas.openxmlformats.org/officeDocument/2006/relationships/hyperlink" Target="http://www.nevo.co.il/case/8449528" TargetMode="External"/><Relationship Id="rId30" Type="http://schemas.openxmlformats.org/officeDocument/2006/relationships/hyperlink" Target="http://www.nevo.co.il/case/21477472" TargetMode="External"/><Relationship Id="rId35" Type="http://schemas.openxmlformats.org/officeDocument/2006/relationships/header" Target="header1.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2215</Words>
  <Characters>11079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13268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4128882</vt:i4>
      </vt:variant>
      <vt:variant>
        <vt:i4>78</vt:i4>
      </vt:variant>
      <vt:variant>
        <vt:i4>0</vt:i4>
      </vt:variant>
      <vt:variant>
        <vt:i4>5</vt:i4>
      </vt:variant>
      <vt:variant>
        <vt:lpwstr>http://www.nevo.co.il/case/20420496</vt:lpwstr>
      </vt:variant>
      <vt:variant>
        <vt:lpwstr/>
      </vt:variant>
      <vt:variant>
        <vt:i4>3735676</vt:i4>
      </vt:variant>
      <vt:variant>
        <vt:i4>75</vt:i4>
      </vt:variant>
      <vt:variant>
        <vt:i4>0</vt:i4>
      </vt:variant>
      <vt:variant>
        <vt:i4>5</vt:i4>
      </vt:variant>
      <vt:variant>
        <vt:lpwstr>http://www.nevo.co.il/case/22830934</vt:lpwstr>
      </vt:variant>
      <vt:variant>
        <vt:lpwstr/>
      </vt:variant>
      <vt:variant>
        <vt:i4>3801202</vt:i4>
      </vt:variant>
      <vt:variant>
        <vt:i4>72</vt:i4>
      </vt:variant>
      <vt:variant>
        <vt:i4>0</vt:i4>
      </vt:variant>
      <vt:variant>
        <vt:i4>5</vt:i4>
      </vt:variant>
      <vt:variant>
        <vt:lpwstr>http://www.nevo.co.il/case/24975541</vt:lpwstr>
      </vt:variant>
      <vt:variant>
        <vt:lpwstr/>
      </vt:variant>
      <vt:variant>
        <vt:i4>3539062</vt:i4>
      </vt:variant>
      <vt:variant>
        <vt:i4>69</vt:i4>
      </vt:variant>
      <vt:variant>
        <vt:i4>0</vt:i4>
      </vt:variant>
      <vt:variant>
        <vt:i4>5</vt:i4>
      </vt:variant>
      <vt:variant>
        <vt:lpwstr>http://www.nevo.co.il/case/21477472</vt:lpwstr>
      </vt:variant>
      <vt:variant>
        <vt:lpwstr/>
      </vt:variant>
      <vt:variant>
        <vt:i4>3670139</vt:i4>
      </vt:variant>
      <vt:variant>
        <vt:i4>66</vt:i4>
      </vt:variant>
      <vt:variant>
        <vt:i4>0</vt:i4>
      </vt:variant>
      <vt:variant>
        <vt:i4>5</vt:i4>
      </vt:variant>
      <vt:variant>
        <vt:lpwstr>http://www.nevo.co.il/case/21476989</vt:lpwstr>
      </vt:variant>
      <vt:variant>
        <vt:lpwstr/>
      </vt:variant>
      <vt:variant>
        <vt:i4>3539060</vt:i4>
      </vt:variant>
      <vt:variant>
        <vt:i4>63</vt:i4>
      </vt:variant>
      <vt:variant>
        <vt:i4>0</vt:i4>
      </vt:variant>
      <vt:variant>
        <vt:i4>5</vt:i4>
      </vt:variant>
      <vt:variant>
        <vt:lpwstr>http://www.nevo.co.il/case/20126233</vt:lpwstr>
      </vt:variant>
      <vt:variant>
        <vt:lpwstr/>
      </vt:variant>
      <vt:variant>
        <vt:i4>3211387</vt:i4>
      </vt:variant>
      <vt:variant>
        <vt:i4>60</vt:i4>
      </vt:variant>
      <vt:variant>
        <vt:i4>0</vt:i4>
      </vt:variant>
      <vt:variant>
        <vt:i4>5</vt:i4>
      </vt:variant>
      <vt:variant>
        <vt:lpwstr>http://www.nevo.co.il/case/8449528</vt:lpwstr>
      </vt:variant>
      <vt:variant>
        <vt:lpwstr/>
      </vt:variant>
      <vt:variant>
        <vt:i4>3276919</vt:i4>
      </vt:variant>
      <vt:variant>
        <vt:i4>57</vt:i4>
      </vt:variant>
      <vt:variant>
        <vt:i4>0</vt:i4>
      </vt:variant>
      <vt:variant>
        <vt:i4>5</vt:i4>
      </vt:variant>
      <vt:variant>
        <vt:lpwstr>http://www.nevo.co.il/case/21604222</vt:lpwstr>
      </vt:variant>
      <vt:variant>
        <vt:lpwstr/>
      </vt:variant>
      <vt:variant>
        <vt:i4>4063346</vt:i4>
      </vt:variant>
      <vt:variant>
        <vt:i4>54</vt:i4>
      </vt:variant>
      <vt:variant>
        <vt:i4>0</vt:i4>
      </vt:variant>
      <vt:variant>
        <vt:i4>5</vt:i4>
      </vt:variant>
      <vt:variant>
        <vt:lpwstr>http://www.nevo.co.il/case/26420283</vt:lpwstr>
      </vt:variant>
      <vt:variant>
        <vt:lpwstr/>
      </vt:variant>
      <vt:variant>
        <vt:i4>3997820</vt:i4>
      </vt:variant>
      <vt:variant>
        <vt:i4>51</vt:i4>
      </vt:variant>
      <vt:variant>
        <vt:i4>0</vt:i4>
      </vt:variant>
      <vt:variant>
        <vt:i4>5</vt:i4>
      </vt:variant>
      <vt:variant>
        <vt:lpwstr>http://www.nevo.co.il/case/25543994</vt:lpwstr>
      </vt:variant>
      <vt:variant>
        <vt:lpwstr/>
      </vt:variant>
      <vt:variant>
        <vt:i4>3539060</vt:i4>
      </vt:variant>
      <vt:variant>
        <vt:i4>48</vt:i4>
      </vt:variant>
      <vt:variant>
        <vt:i4>0</vt:i4>
      </vt:variant>
      <vt:variant>
        <vt:i4>5</vt:i4>
      </vt:variant>
      <vt:variant>
        <vt:lpwstr>http://www.nevo.co.il/case/22954791</vt:lpwstr>
      </vt:variant>
      <vt:variant>
        <vt:lpwstr/>
      </vt:variant>
      <vt:variant>
        <vt:i4>4128885</vt:i4>
      </vt:variant>
      <vt:variant>
        <vt:i4>45</vt:i4>
      </vt:variant>
      <vt:variant>
        <vt:i4>0</vt:i4>
      </vt:variant>
      <vt:variant>
        <vt:i4>5</vt:i4>
      </vt:variant>
      <vt:variant>
        <vt:lpwstr>http://www.nevo.co.il/case/25559115</vt:lpwstr>
      </vt:variant>
      <vt:variant>
        <vt:lpwstr/>
      </vt:variant>
      <vt:variant>
        <vt:i4>3997811</vt:i4>
      </vt:variant>
      <vt:variant>
        <vt:i4>42</vt:i4>
      </vt:variant>
      <vt:variant>
        <vt:i4>0</vt:i4>
      </vt:variant>
      <vt:variant>
        <vt:i4>5</vt:i4>
      </vt:variant>
      <vt:variant>
        <vt:lpwstr>http://www.nevo.co.il/case/23827604</vt:lpwstr>
      </vt:variant>
      <vt:variant>
        <vt:lpwstr/>
      </vt:variant>
      <vt:variant>
        <vt:i4>3407990</vt:i4>
      </vt:variant>
      <vt:variant>
        <vt:i4>39</vt:i4>
      </vt:variant>
      <vt:variant>
        <vt:i4>0</vt:i4>
      </vt:variant>
      <vt:variant>
        <vt:i4>5</vt:i4>
      </vt:variant>
      <vt:variant>
        <vt:lpwstr>http://www.nevo.co.il/case/5787128</vt:lpwstr>
      </vt:variant>
      <vt:variant>
        <vt:lpwstr/>
      </vt:variant>
      <vt:variant>
        <vt:i4>3539061</vt:i4>
      </vt:variant>
      <vt:variant>
        <vt:i4>36</vt:i4>
      </vt:variant>
      <vt:variant>
        <vt:i4>0</vt:i4>
      </vt:variant>
      <vt:variant>
        <vt:i4>5</vt:i4>
      </vt:variant>
      <vt:variant>
        <vt:lpwstr>http://www.nevo.co.il/case/5988308</vt:lpwstr>
      </vt:variant>
      <vt:variant>
        <vt:lpwstr/>
      </vt:variant>
      <vt:variant>
        <vt:i4>3407989</vt:i4>
      </vt:variant>
      <vt:variant>
        <vt:i4>33</vt:i4>
      </vt:variant>
      <vt:variant>
        <vt:i4>0</vt:i4>
      </vt:variant>
      <vt:variant>
        <vt:i4>5</vt:i4>
      </vt:variant>
      <vt:variant>
        <vt:lpwstr>http://www.nevo.co.il/case/5580841</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3276920</vt:i4>
      </vt:variant>
      <vt:variant>
        <vt:i4>0</vt:i4>
      </vt:variant>
      <vt:variant>
        <vt:i4>0</vt:i4>
      </vt:variant>
      <vt:variant>
        <vt:i4>5</vt:i4>
      </vt:variant>
      <vt:variant>
        <vt:lpwstr>http://www.nevo.co.il/case/27487334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2025-04-23T00:58:00Z</dcterms:created>
  <dcterms:modified xsi:type="dcterms:W3CDTF">2025-04-23T00:58:00Z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43263</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ישראל-תביעות נגב</vt:lpwstr>
  </property>
  <property fmtid="{D5CDD505-2E9C-101B-9397-08002B2CF9AE}" pid="9" name="APPELLEE">
    <vt:lpwstr>מרדכי יעקב לנקרי</vt:lpwstr>
  </property>
  <property fmtid="{D5CDD505-2E9C-101B-9397-08002B2CF9AE}" pid="10" name="LAWYER">
    <vt:lpwstr>לי גורמן;אברהים אלקורעאן</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20210704</vt:lpwstr>
  </property>
  <property fmtid="{D5CDD505-2E9C-101B-9397-08002B2CF9AE}" pid="14" name="TYPE_N_DATE">
    <vt:lpwstr>38020210704</vt:lpwstr>
  </property>
  <property fmtid="{D5CDD505-2E9C-101B-9397-08002B2CF9AE}" pid="15" name="WORDNUMPAGES">
    <vt:lpwstr>7</vt:lpwstr>
  </property>
  <property fmtid="{D5CDD505-2E9C-101B-9397-08002B2CF9AE}" pid="16" name="TYPE_ABS_DATE">
    <vt:lpwstr>380020210704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27487334;5738608;5580841;5988308;5787128;23827604;25559115;22954791;25543994;26420283;21604222;8449528;20126233;21476989;21477472;24975541;22830934;20420496</vt:lpwstr>
  </property>
  <property fmtid="{D5CDD505-2E9C-101B-9397-08002B2CF9AE}" pid="36" name="LAWLISTTMP1">
    <vt:lpwstr>4216/007.a:2;007.c:2;013;019.a</vt:lpwstr>
  </property>
</Properties>
</file>