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92"/>
        <w:gridCol w:w="2413"/>
      </w:tblGrid>
      <w:tr w:rsidR="00EF7F90" w:rsidRPr="00CF500C" w14:paraId="620F7D1D" w14:textId="77777777" w:rsidTr="00252D48">
        <w:trPr>
          <w:trHeight w:hRule="exact" w:val="418"/>
          <w:jc w:val="center"/>
        </w:trPr>
        <w:tc>
          <w:tcPr>
            <w:tcW w:w="8505" w:type="dxa"/>
            <w:gridSpan w:val="2"/>
          </w:tcPr>
          <w:p w14:paraId="326EDC8B" w14:textId="77777777" w:rsidR="00EF7F90" w:rsidRPr="00CF500C" w:rsidRDefault="00EF7F90" w:rsidP="00252D48">
            <w:pPr>
              <w:pStyle w:val="a3"/>
              <w:jc w:val="center"/>
              <w:rPr>
                <w:rFonts w:ascii="Tahoma" w:hAnsi="Tahoma" w:cs="Tahoma"/>
                <w:color w:val="000080"/>
                <w:rtl/>
              </w:rPr>
            </w:pPr>
            <w:r w:rsidRPr="00CF500C">
              <w:rPr>
                <w:rFonts w:ascii="Tahoma" w:hAnsi="Tahoma" w:cs="Tahoma"/>
                <w:b/>
                <w:bCs/>
                <w:color w:val="000080"/>
                <w:rtl/>
              </w:rPr>
              <w:t>בית משפט השלום בבאר שבע</w:t>
            </w:r>
          </w:p>
        </w:tc>
      </w:tr>
      <w:tr w:rsidR="00EF7F90" w:rsidRPr="00CF500C" w14:paraId="62E1CF00" w14:textId="77777777" w:rsidTr="00252D48">
        <w:trPr>
          <w:trHeight w:val="337"/>
          <w:jc w:val="center"/>
        </w:trPr>
        <w:tc>
          <w:tcPr>
            <w:tcW w:w="6092" w:type="dxa"/>
          </w:tcPr>
          <w:p w14:paraId="073F995B" w14:textId="77777777" w:rsidR="00EF7F90" w:rsidRPr="00CF500C" w:rsidRDefault="00EF7F90" w:rsidP="00252D48">
            <w:pPr>
              <w:rPr>
                <w:rFonts w:ascii="David" w:hAnsi="David"/>
                <w:b/>
                <w:bCs/>
                <w:sz w:val="26"/>
                <w:szCs w:val="26"/>
                <w:rtl/>
              </w:rPr>
            </w:pPr>
            <w:r w:rsidRPr="00CF500C">
              <w:rPr>
                <w:rFonts w:ascii="David" w:hAnsi="David"/>
                <w:b/>
                <w:bCs/>
                <w:sz w:val="26"/>
                <w:szCs w:val="26"/>
                <w:rtl/>
              </w:rPr>
              <w:t xml:space="preserve">ת"פ </w:t>
            </w:r>
            <w:hyperlink r:id="rId7" w:history="1">
              <w:r w:rsidR="00552274" w:rsidRPr="00552274">
                <w:rPr>
                  <w:rFonts w:ascii="David" w:hAnsi="David"/>
                  <w:b/>
                  <w:bCs/>
                  <w:color w:val="0000FF"/>
                  <w:sz w:val="26"/>
                  <w:szCs w:val="26"/>
                  <w:u w:val="single"/>
                  <w:rtl/>
                </w:rPr>
                <w:t xml:space="preserve">49106-03-21 </w:t>
              </w:r>
            </w:hyperlink>
            <w:r w:rsidRPr="00CF500C">
              <w:rPr>
                <w:rFonts w:ascii="David" w:hAnsi="David"/>
                <w:b/>
                <w:bCs/>
                <w:sz w:val="26"/>
                <w:szCs w:val="26"/>
                <w:rtl/>
              </w:rPr>
              <w:t xml:space="preserve"> מדינת ישראל נ' YANGBUEAK(עציר)</w:t>
            </w:r>
          </w:p>
          <w:p w14:paraId="2DEAE70A" w14:textId="77777777" w:rsidR="00EF7F90" w:rsidRPr="00CF500C" w:rsidRDefault="00EF7F90" w:rsidP="00252D48">
            <w:pPr>
              <w:pStyle w:val="a3"/>
              <w:rPr>
                <w:rFonts w:cs="FrankRuehl"/>
                <w:sz w:val="28"/>
                <w:szCs w:val="28"/>
                <w:rtl/>
              </w:rPr>
            </w:pPr>
          </w:p>
        </w:tc>
        <w:tc>
          <w:tcPr>
            <w:tcW w:w="2413" w:type="dxa"/>
          </w:tcPr>
          <w:p w14:paraId="27AE4034" w14:textId="77777777" w:rsidR="00EF7F90" w:rsidRPr="00CF500C" w:rsidRDefault="00EF7F90" w:rsidP="00252D48">
            <w:pPr>
              <w:pStyle w:val="a3"/>
              <w:jc w:val="right"/>
              <w:rPr>
                <w:rFonts w:cs="FrankRuehl"/>
                <w:sz w:val="28"/>
                <w:szCs w:val="28"/>
                <w:rtl/>
              </w:rPr>
            </w:pPr>
          </w:p>
        </w:tc>
      </w:tr>
    </w:tbl>
    <w:p w14:paraId="0BCF111D" w14:textId="77777777" w:rsidR="00EF7F90" w:rsidRPr="00CF500C" w:rsidRDefault="00EF7F90" w:rsidP="00EF7F90">
      <w:pPr>
        <w:pStyle w:val="a3"/>
        <w:rPr>
          <w:rtl/>
        </w:rPr>
      </w:pPr>
      <w:r w:rsidRPr="00CF500C">
        <w:rPr>
          <w:rFonts w:hint="cs"/>
          <w:rtl/>
        </w:rPr>
        <w:t xml:space="preserve"> </w:t>
      </w:r>
    </w:p>
    <w:p w14:paraId="21D03E68" w14:textId="77777777" w:rsidR="00EF7F90" w:rsidRPr="00CF500C" w:rsidRDefault="00EF7F90" w:rsidP="00EF7F90">
      <w:pPr>
        <w:rPr>
          <w:rtl/>
        </w:rPr>
      </w:pPr>
    </w:p>
    <w:p w14:paraId="4CF6F073" w14:textId="77777777" w:rsidR="00EF7F90" w:rsidRPr="00CF500C" w:rsidRDefault="00EF7F90" w:rsidP="00EF7F9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198"/>
        <w:gridCol w:w="2699"/>
      </w:tblGrid>
      <w:tr w:rsidR="00EF7F90" w:rsidRPr="00CF500C" w14:paraId="47E014A9" w14:textId="77777777" w:rsidTr="00EF7F90">
        <w:trPr>
          <w:trHeight w:val="295"/>
          <w:jc w:val="center"/>
        </w:trPr>
        <w:tc>
          <w:tcPr>
            <w:tcW w:w="923" w:type="dxa"/>
            <w:tcBorders>
              <w:top w:val="nil"/>
              <w:left w:val="nil"/>
              <w:bottom w:val="nil"/>
              <w:right w:val="nil"/>
            </w:tcBorders>
            <w:shd w:val="clear" w:color="auto" w:fill="auto"/>
          </w:tcPr>
          <w:p w14:paraId="38734F5C" w14:textId="77777777" w:rsidR="00EF7F90" w:rsidRPr="00CF500C" w:rsidRDefault="00EF7F90" w:rsidP="00EF7F90">
            <w:pPr>
              <w:jc w:val="both"/>
              <w:rPr>
                <w:rFonts w:ascii="David" w:hAnsi="David"/>
                <w:b/>
                <w:bCs/>
                <w:sz w:val="26"/>
                <w:szCs w:val="26"/>
              </w:rPr>
            </w:pPr>
            <w:r w:rsidRPr="00CF500C">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AB83F42" w14:textId="77777777" w:rsidR="00EF7F90" w:rsidRPr="00CF500C" w:rsidRDefault="00EF7F90" w:rsidP="00252D48">
            <w:pPr>
              <w:rPr>
                <w:rFonts w:ascii="David" w:hAnsi="David"/>
                <w:b/>
                <w:bCs/>
                <w:sz w:val="26"/>
                <w:szCs w:val="26"/>
                <w:rtl/>
              </w:rPr>
            </w:pPr>
            <w:r w:rsidRPr="00CF500C">
              <w:rPr>
                <w:rFonts w:ascii="David" w:hAnsi="David"/>
                <w:b/>
                <w:bCs/>
                <w:sz w:val="26"/>
                <w:szCs w:val="26"/>
                <w:rtl/>
              </w:rPr>
              <w:t>כבוד השופטת, סגנית הנשיא  ענת חולתא</w:t>
            </w:r>
          </w:p>
          <w:p w14:paraId="495FA1B7" w14:textId="77777777" w:rsidR="00EF7F90" w:rsidRPr="00CF500C" w:rsidRDefault="00EF7F90" w:rsidP="00252D48">
            <w:pPr>
              <w:rPr>
                <w:rFonts w:ascii="David" w:hAnsi="David"/>
                <w:b/>
                <w:bCs/>
                <w:sz w:val="26"/>
                <w:szCs w:val="26"/>
                <w:rtl/>
              </w:rPr>
            </w:pPr>
          </w:p>
          <w:p w14:paraId="74CBC20B" w14:textId="77777777" w:rsidR="00EF7F90" w:rsidRPr="00CF500C" w:rsidRDefault="00EF7F90" w:rsidP="00EF7F90">
            <w:pPr>
              <w:jc w:val="both"/>
              <w:rPr>
                <w:rFonts w:ascii="David" w:hAnsi="David"/>
                <w:b/>
                <w:bCs/>
                <w:sz w:val="26"/>
                <w:szCs w:val="26"/>
              </w:rPr>
            </w:pPr>
          </w:p>
        </w:tc>
      </w:tr>
      <w:tr w:rsidR="00EF7F90" w:rsidRPr="00CF500C" w14:paraId="69ADDEC9" w14:textId="77777777" w:rsidTr="00EF7F90">
        <w:trPr>
          <w:trHeight w:val="355"/>
          <w:jc w:val="center"/>
        </w:trPr>
        <w:tc>
          <w:tcPr>
            <w:tcW w:w="923" w:type="dxa"/>
            <w:tcBorders>
              <w:top w:val="nil"/>
              <w:left w:val="nil"/>
              <w:bottom w:val="nil"/>
              <w:right w:val="nil"/>
            </w:tcBorders>
            <w:shd w:val="clear" w:color="auto" w:fill="auto"/>
          </w:tcPr>
          <w:p w14:paraId="7A856A30" w14:textId="77777777" w:rsidR="00EF7F90" w:rsidRPr="00CF500C" w:rsidRDefault="00EF7F90" w:rsidP="00EF7F90">
            <w:pPr>
              <w:jc w:val="both"/>
              <w:rPr>
                <w:rFonts w:ascii="David" w:hAnsi="David"/>
                <w:b/>
                <w:bCs/>
                <w:sz w:val="26"/>
                <w:szCs w:val="26"/>
              </w:rPr>
            </w:pPr>
            <w:bookmarkStart w:id="0" w:name="FirstAppellant"/>
            <w:bookmarkStart w:id="1" w:name="LastJudge"/>
            <w:bookmarkEnd w:id="1"/>
            <w:r w:rsidRPr="00CF500C">
              <w:rPr>
                <w:rFonts w:ascii="David" w:hAnsi="David"/>
                <w:b/>
                <w:bCs/>
                <w:sz w:val="26"/>
                <w:szCs w:val="26"/>
                <w:rtl/>
              </w:rPr>
              <w:t>בעניין:</w:t>
            </w:r>
          </w:p>
        </w:tc>
        <w:tc>
          <w:tcPr>
            <w:tcW w:w="5198" w:type="dxa"/>
            <w:tcBorders>
              <w:top w:val="nil"/>
              <w:left w:val="nil"/>
              <w:bottom w:val="nil"/>
              <w:right w:val="nil"/>
            </w:tcBorders>
            <w:shd w:val="clear" w:color="auto" w:fill="auto"/>
          </w:tcPr>
          <w:p w14:paraId="6B47A89F" w14:textId="77777777" w:rsidR="00EF7F90" w:rsidRPr="00CF500C" w:rsidRDefault="00EF7F90" w:rsidP="00252D48">
            <w:pPr>
              <w:rPr>
                <w:rFonts w:ascii="David" w:hAnsi="David"/>
                <w:b/>
                <w:bCs/>
                <w:sz w:val="26"/>
                <w:szCs w:val="26"/>
              </w:rPr>
            </w:pPr>
            <w:r w:rsidRPr="00CF500C">
              <w:rPr>
                <w:rFonts w:ascii="David" w:hAnsi="David"/>
                <w:b/>
                <w:bCs/>
                <w:sz w:val="26"/>
                <w:szCs w:val="26"/>
                <w:rtl/>
              </w:rPr>
              <w:t>מדינת ישראל</w:t>
            </w:r>
            <w:r w:rsidRPr="00CF500C">
              <w:rPr>
                <w:rFonts w:ascii="David" w:hAnsi="David" w:hint="cs"/>
                <w:b/>
                <w:bCs/>
                <w:sz w:val="26"/>
                <w:szCs w:val="26"/>
                <w:rtl/>
              </w:rPr>
              <w:t>-תביעות נגב</w:t>
            </w:r>
          </w:p>
        </w:tc>
        <w:tc>
          <w:tcPr>
            <w:tcW w:w="2699" w:type="dxa"/>
            <w:tcBorders>
              <w:top w:val="nil"/>
              <w:left w:val="nil"/>
              <w:bottom w:val="nil"/>
              <w:right w:val="nil"/>
            </w:tcBorders>
            <w:shd w:val="clear" w:color="auto" w:fill="auto"/>
          </w:tcPr>
          <w:p w14:paraId="371CDF43" w14:textId="77777777" w:rsidR="00EF7F90" w:rsidRPr="00CF500C" w:rsidRDefault="00EF7F90" w:rsidP="00EF7F90">
            <w:pPr>
              <w:jc w:val="both"/>
              <w:rPr>
                <w:rFonts w:ascii="David" w:hAnsi="David"/>
                <w:b/>
                <w:bCs/>
                <w:sz w:val="26"/>
                <w:szCs w:val="26"/>
              </w:rPr>
            </w:pPr>
          </w:p>
        </w:tc>
      </w:tr>
      <w:tr w:rsidR="00EF7F90" w:rsidRPr="00CF500C" w14:paraId="45B353ED" w14:textId="77777777" w:rsidTr="00EF7F90">
        <w:trPr>
          <w:trHeight w:val="355"/>
          <w:jc w:val="center"/>
        </w:trPr>
        <w:tc>
          <w:tcPr>
            <w:tcW w:w="923" w:type="dxa"/>
            <w:tcBorders>
              <w:top w:val="nil"/>
              <w:left w:val="nil"/>
              <w:bottom w:val="nil"/>
              <w:right w:val="nil"/>
            </w:tcBorders>
            <w:shd w:val="clear" w:color="auto" w:fill="auto"/>
          </w:tcPr>
          <w:p w14:paraId="4E48AFDE" w14:textId="77777777" w:rsidR="00EF7F90" w:rsidRPr="00CF500C" w:rsidRDefault="00EF7F90" w:rsidP="00EF7F90">
            <w:pPr>
              <w:jc w:val="both"/>
              <w:rPr>
                <w:rFonts w:ascii="David" w:hAnsi="David"/>
                <w:b/>
                <w:bCs/>
                <w:sz w:val="26"/>
                <w:szCs w:val="26"/>
                <w:rtl/>
              </w:rPr>
            </w:pPr>
            <w:bookmarkStart w:id="2" w:name="FirstLawyer"/>
            <w:bookmarkEnd w:id="0"/>
          </w:p>
        </w:tc>
        <w:tc>
          <w:tcPr>
            <w:tcW w:w="5198" w:type="dxa"/>
            <w:tcBorders>
              <w:top w:val="nil"/>
              <w:left w:val="nil"/>
              <w:bottom w:val="nil"/>
              <w:right w:val="nil"/>
            </w:tcBorders>
            <w:shd w:val="clear" w:color="auto" w:fill="auto"/>
          </w:tcPr>
          <w:p w14:paraId="558FB23C" w14:textId="77777777" w:rsidR="00EF7F90" w:rsidRPr="00CF500C" w:rsidRDefault="00EF7F90" w:rsidP="00EF7F90">
            <w:pPr>
              <w:jc w:val="both"/>
              <w:rPr>
                <w:rFonts w:ascii="David" w:hAnsi="David"/>
                <w:b/>
                <w:bCs/>
                <w:sz w:val="26"/>
                <w:szCs w:val="26"/>
                <w:rtl/>
              </w:rPr>
            </w:pPr>
            <w:r w:rsidRPr="00CF500C">
              <w:rPr>
                <w:rFonts w:ascii="David" w:hAnsi="David" w:hint="cs"/>
                <w:b/>
                <w:bCs/>
                <w:sz w:val="26"/>
                <w:szCs w:val="26"/>
                <w:rtl/>
              </w:rPr>
              <w:t>ע"י ב"כ עו"ד לי גורמן</w:t>
            </w:r>
          </w:p>
        </w:tc>
        <w:tc>
          <w:tcPr>
            <w:tcW w:w="2699" w:type="dxa"/>
            <w:tcBorders>
              <w:top w:val="nil"/>
              <w:left w:val="nil"/>
              <w:bottom w:val="nil"/>
              <w:right w:val="nil"/>
            </w:tcBorders>
            <w:shd w:val="clear" w:color="auto" w:fill="auto"/>
          </w:tcPr>
          <w:p w14:paraId="04B598CB" w14:textId="77777777" w:rsidR="00EF7F90" w:rsidRPr="00CF500C" w:rsidRDefault="00EF7F90" w:rsidP="00EF7F90">
            <w:pPr>
              <w:jc w:val="right"/>
              <w:rPr>
                <w:rFonts w:ascii="David" w:hAnsi="David"/>
                <w:b/>
                <w:bCs/>
                <w:sz w:val="26"/>
                <w:szCs w:val="26"/>
                <w:rtl/>
              </w:rPr>
            </w:pPr>
            <w:r w:rsidRPr="00CF500C">
              <w:rPr>
                <w:rFonts w:ascii="David" w:hAnsi="David"/>
                <w:b/>
                <w:bCs/>
                <w:sz w:val="26"/>
                <w:szCs w:val="26"/>
                <w:rtl/>
              </w:rPr>
              <w:t>המאשימה</w:t>
            </w:r>
          </w:p>
        </w:tc>
      </w:tr>
      <w:bookmarkEnd w:id="2"/>
      <w:tr w:rsidR="00EF7F90" w:rsidRPr="00CF500C" w14:paraId="689C10E3" w14:textId="77777777" w:rsidTr="00EF7F90">
        <w:trPr>
          <w:trHeight w:val="355"/>
          <w:jc w:val="center"/>
        </w:trPr>
        <w:tc>
          <w:tcPr>
            <w:tcW w:w="923" w:type="dxa"/>
            <w:tcBorders>
              <w:top w:val="nil"/>
              <w:left w:val="nil"/>
              <w:bottom w:val="nil"/>
              <w:right w:val="nil"/>
            </w:tcBorders>
            <w:shd w:val="clear" w:color="auto" w:fill="auto"/>
          </w:tcPr>
          <w:p w14:paraId="0BA77D13" w14:textId="77777777" w:rsidR="00EF7F90" w:rsidRPr="00CF500C" w:rsidRDefault="00EF7F90" w:rsidP="00EF7F90">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375EA71" w14:textId="77777777" w:rsidR="00EF7F90" w:rsidRPr="00CF500C" w:rsidRDefault="00EF7F90" w:rsidP="00EF7F90">
            <w:pPr>
              <w:jc w:val="center"/>
              <w:rPr>
                <w:rFonts w:ascii="David" w:hAnsi="David"/>
                <w:b/>
                <w:bCs/>
                <w:sz w:val="26"/>
                <w:szCs w:val="26"/>
                <w:rtl/>
              </w:rPr>
            </w:pPr>
          </w:p>
          <w:p w14:paraId="4DAFAECB" w14:textId="77777777" w:rsidR="00EF7F90" w:rsidRPr="00CF500C" w:rsidRDefault="00EF7F90" w:rsidP="00EF7F90">
            <w:pPr>
              <w:jc w:val="center"/>
              <w:rPr>
                <w:rFonts w:ascii="David" w:hAnsi="David"/>
                <w:b/>
                <w:bCs/>
                <w:sz w:val="26"/>
                <w:szCs w:val="26"/>
                <w:rtl/>
              </w:rPr>
            </w:pPr>
            <w:r w:rsidRPr="00CF500C">
              <w:rPr>
                <w:rFonts w:ascii="David" w:hAnsi="David"/>
                <w:b/>
                <w:bCs/>
                <w:sz w:val="26"/>
                <w:szCs w:val="26"/>
                <w:rtl/>
              </w:rPr>
              <w:t>נגד</w:t>
            </w:r>
          </w:p>
          <w:p w14:paraId="67D16EFF" w14:textId="77777777" w:rsidR="00EF7F90" w:rsidRPr="00CF500C" w:rsidRDefault="00EF7F90" w:rsidP="00EF7F90">
            <w:pPr>
              <w:jc w:val="both"/>
              <w:rPr>
                <w:rFonts w:ascii="David" w:hAnsi="David"/>
                <w:b/>
                <w:bCs/>
                <w:sz w:val="26"/>
                <w:szCs w:val="26"/>
              </w:rPr>
            </w:pPr>
          </w:p>
        </w:tc>
      </w:tr>
      <w:tr w:rsidR="00EF7F90" w:rsidRPr="00CF500C" w14:paraId="63E59E97" w14:textId="77777777" w:rsidTr="00EF7F90">
        <w:trPr>
          <w:trHeight w:val="355"/>
          <w:jc w:val="center"/>
        </w:trPr>
        <w:tc>
          <w:tcPr>
            <w:tcW w:w="923" w:type="dxa"/>
            <w:tcBorders>
              <w:top w:val="nil"/>
              <w:left w:val="nil"/>
              <w:bottom w:val="nil"/>
              <w:right w:val="nil"/>
            </w:tcBorders>
            <w:shd w:val="clear" w:color="auto" w:fill="auto"/>
          </w:tcPr>
          <w:p w14:paraId="4640D604" w14:textId="77777777" w:rsidR="00EF7F90" w:rsidRPr="00CF500C" w:rsidRDefault="00EF7F90" w:rsidP="00252D48">
            <w:pPr>
              <w:rPr>
                <w:rFonts w:ascii="David" w:hAnsi="David"/>
                <w:b/>
                <w:bCs/>
                <w:sz w:val="26"/>
                <w:szCs w:val="26"/>
                <w:rtl/>
              </w:rPr>
            </w:pPr>
          </w:p>
        </w:tc>
        <w:tc>
          <w:tcPr>
            <w:tcW w:w="5198" w:type="dxa"/>
            <w:tcBorders>
              <w:top w:val="nil"/>
              <w:left w:val="nil"/>
              <w:bottom w:val="nil"/>
              <w:right w:val="nil"/>
            </w:tcBorders>
            <w:shd w:val="clear" w:color="auto" w:fill="auto"/>
          </w:tcPr>
          <w:p w14:paraId="405F3377" w14:textId="77777777" w:rsidR="00EF7F90" w:rsidRPr="00CF500C" w:rsidRDefault="00EF7F90" w:rsidP="00252D48">
            <w:pPr>
              <w:rPr>
                <w:rFonts w:ascii="David" w:hAnsi="David"/>
                <w:b/>
                <w:bCs/>
                <w:sz w:val="26"/>
                <w:szCs w:val="26"/>
                <w:rtl/>
              </w:rPr>
            </w:pPr>
            <w:r w:rsidRPr="00CF500C">
              <w:rPr>
                <w:rFonts w:ascii="David" w:hAnsi="David"/>
                <w:b/>
                <w:bCs/>
                <w:sz w:val="26"/>
                <w:szCs w:val="26"/>
                <w:rtl/>
              </w:rPr>
              <w:t>THINNAKORN YANGBUEAK (עציר)</w:t>
            </w:r>
            <w:r w:rsidRPr="00CF500C">
              <w:rPr>
                <w:rFonts w:ascii="David" w:hAnsi="David" w:hint="cs"/>
                <w:b/>
                <w:bCs/>
                <w:sz w:val="26"/>
                <w:szCs w:val="26"/>
                <w:rtl/>
              </w:rPr>
              <w:t>-בעצמו</w:t>
            </w:r>
          </w:p>
        </w:tc>
        <w:tc>
          <w:tcPr>
            <w:tcW w:w="2699" w:type="dxa"/>
            <w:tcBorders>
              <w:top w:val="nil"/>
              <w:left w:val="nil"/>
              <w:bottom w:val="nil"/>
              <w:right w:val="nil"/>
            </w:tcBorders>
            <w:shd w:val="clear" w:color="auto" w:fill="auto"/>
          </w:tcPr>
          <w:p w14:paraId="1F46382B" w14:textId="77777777" w:rsidR="00EF7F90" w:rsidRPr="00CF500C" w:rsidRDefault="00EF7F90" w:rsidP="00EF7F90">
            <w:pPr>
              <w:jc w:val="right"/>
              <w:rPr>
                <w:rFonts w:ascii="David" w:hAnsi="David"/>
                <w:b/>
                <w:bCs/>
                <w:sz w:val="26"/>
                <w:szCs w:val="26"/>
              </w:rPr>
            </w:pPr>
          </w:p>
        </w:tc>
      </w:tr>
      <w:tr w:rsidR="00EF7F90" w:rsidRPr="00CF500C" w14:paraId="1E7C8D0D" w14:textId="77777777" w:rsidTr="00EF7F90">
        <w:trPr>
          <w:trHeight w:val="355"/>
          <w:jc w:val="center"/>
        </w:trPr>
        <w:tc>
          <w:tcPr>
            <w:tcW w:w="923" w:type="dxa"/>
            <w:tcBorders>
              <w:top w:val="nil"/>
              <w:left w:val="nil"/>
              <w:bottom w:val="nil"/>
              <w:right w:val="nil"/>
            </w:tcBorders>
            <w:shd w:val="clear" w:color="auto" w:fill="auto"/>
          </w:tcPr>
          <w:p w14:paraId="7B01DFF1" w14:textId="77777777" w:rsidR="00EF7F90" w:rsidRPr="00CF500C" w:rsidRDefault="00EF7F90" w:rsidP="00EF7F90">
            <w:pPr>
              <w:jc w:val="both"/>
              <w:rPr>
                <w:rFonts w:ascii="David" w:hAnsi="David"/>
                <w:b/>
                <w:bCs/>
                <w:sz w:val="26"/>
                <w:szCs w:val="26"/>
                <w:rtl/>
              </w:rPr>
            </w:pPr>
          </w:p>
        </w:tc>
        <w:tc>
          <w:tcPr>
            <w:tcW w:w="5198" w:type="dxa"/>
            <w:tcBorders>
              <w:top w:val="nil"/>
              <w:left w:val="nil"/>
              <w:bottom w:val="nil"/>
              <w:right w:val="nil"/>
            </w:tcBorders>
            <w:shd w:val="clear" w:color="auto" w:fill="auto"/>
          </w:tcPr>
          <w:p w14:paraId="11F91FA2" w14:textId="77777777" w:rsidR="00EF7F90" w:rsidRPr="00CF500C" w:rsidRDefault="00EF7F90" w:rsidP="00EF7F90">
            <w:pPr>
              <w:jc w:val="both"/>
              <w:rPr>
                <w:rFonts w:ascii="David" w:hAnsi="David"/>
                <w:b/>
                <w:bCs/>
                <w:sz w:val="26"/>
                <w:szCs w:val="26"/>
                <w:rtl/>
              </w:rPr>
            </w:pPr>
            <w:r w:rsidRPr="00CF500C">
              <w:rPr>
                <w:rFonts w:ascii="David" w:hAnsi="David" w:hint="cs"/>
                <w:b/>
                <w:bCs/>
                <w:sz w:val="26"/>
                <w:szCs w:val="26"/>
                <w:rtl/>
              </w:rPr>
              <w:t>ע"י ב"כ עו"ד אברהים אלקורעאן</w:t>
            </w:r>
          </w:p>
        </w:tc>
        <w:tc>
          <w:tcPr>
            <w:tcW w:w="2699" w:type="dxa"/>
            <w:tcBorders>
              <w:top w:val="nil"/>
              <w:left w:val="nil"/>
              <w:bottom w:val="nil"/>
              <w:right w:val="nil"/>
            </w:tcBorders>
            <w:shd w:val="clear" w:color="auto" w:fill="auto"/>
          </w:tcPr>
          <w:p w14:paraId="1D3F3FBA" w14:textId="77777777" w:rsidR="00EF7F90" w:rsidRPr="00CF500C" w:rsidRDefault="00EF7F90" w:rsidP="00EF7F90">
            <w:pPr>
              <w:jc w:val="right"/>
              <w:rPr>
                <w:rFonts w:ascii="David" w:hAnsi="David"/>
                <w:b/>
                <w:bCs/>
                <w:sz w:val="26"/>
                <w:szCs w:val="26"/>
              </w:rPr>
            </w:pPr>
            <w:r w:rsidRPr="00CF500C">
              <w:rPr>
                <w:rFonts w:ascii="David" w:hAnsi="David"/>
                <w:b/>
                <w:bCs/>
                <w:sz w:val="26"/>
                <w:szCs w:val="26"/>
                <w:rtl/>
              </w:rPr>
              <w:t>הנאשם</w:t>
            </w:r>
          </w:p>
        </w:tc>
      </w:tr>
    </w:tbl>
    <w:p w14:paraId="2B3BF454" w14:textId="77777777" w:rsidR="00EF7F90" w:rsidRPr="00CF500C" w:rsidRDefault="00EF7F90" w:rsidP="00EF7F90">
      <w:pPr>
        <w:spacing w:line="360" w:lineRule="auto"/>
        <w:jc w:val="both"/>
        <w:rPr>
          <w:sz w:val="26"/>
          <w:szCs w:val="26"/>
          <w:rtl/>
        </w:rPr>
      </w:pPr>
    </w:p>
    <w:p w14:paraId="361914BB" w14:textId="77777777" w:rsidR="00EF7F90" w:rsidRPr="00CF500C" w:rsidRDefault="00EF7F90" w:rsidP="00EF7F90">
      <w:pPr>
        <w:spacing w:line="360" w:lineRule="auto"/>
        <w:jc w:val="both"/>
        <w:rPr>
          <w:b/>
          <w:bCs/>
        </w:rPr>
      </w:pPr>
      <w:r w:rsidRPr="00CF500C">
        <w:rPr>
          <w:rFonts w:hint="cs"/>
          <w:b/>
          <w:bCs/>
          <w:rtl/>
        </w:rPr>
        <w:t>נוכח:</w:t>
      </w:r>
    </w:p>
    <w:p w14:paraId="7B3D1815" w14:textId="77777777" w:rsidR="00EF7F90" w:rsidRPr="00CF500C" w:rsidRDefault="00EF7F90" w:rsidP="00EF7F90">
      <w:pPr>
        <w:spacing w:line="360" w:lineRule="auto"/>
        <w:jc w:val="both"/>
        <w:rPr>
          <w:b/>
          <w:bCs/>
          <w:rtl/>
        </w:rPr>
      </w:pPr>
      <w:r w:rsidRPr="00CF500C">
        <w:rPr>
          <w:rFonts w:hint="cs"/>
          <w:b/>
          <w:bCs/>
          <w:rtl/>
        </w:rPr>
        <w:t>מתורגמן לשפה התאית - מר דורון שיריזלי</w:t>
      </w:r>
    </w:p>
    <w:p w14:paraId="71D1C8C6" w14:textId="77777777" w:rsidR="004347F3" w:rsidRDefault="004347F3" w:rsidP="00EF7F90">
      <w:pPr>
        <w:jc w:val="both"/>
        <w:rPr>
          <w:rtl/>
        </w:rPr>
      </w:pPr>
    </w:p>
    <w:p w14:paraId="18104A8B" w14:textId="77777777" w:rsidR="004347F3" w:rsidRPr="004347F3" w:rsidRDefault="004347F3" w:rsidP="004347F3">
      <w:pPr>
        <w:spacing w:after="120" w:line="240" w:lineRule="exact"/>
        <w:ind w:left="283" w:hanging="283"/>
        <w:jc w:val="both"/>
        <w:rPr>
          <w:rFonts w:ascii="FrankRuehl" w:hAnsi="FrankRuehl" w:cs="FrankRuehl"/>
          <w:rtl/>
        </w:rPr>
      </w:pPr>
    </w:p>
    <w:p w14:paraId="44087EA7" w14:textId="77777777" w:rsidR="00552274" w:rsidRPr="00552274" w:rsidRDefault="00552274" w:rsidP="00552274">
      <w:pPr>
        <w:spacing w:before="120" w:after="120" w:line="240" w:lineRule="exact"/>
        <w:ind w:left="283" w:hanging="283"/>
        <w:jc w:val="both"/>
        <w:rPr>
          <w:rFonts w:ascii="FrankRuehl" w:hAnsi="FrankRuehl" w:cs="FrankRuehl"/>
          <w:rtl/>
        </w:rPr>
      </w:pPr>
    </w:p>
    <w:p w14:paraId="14EFA370" w14:textId="77777777" w:rsidR="00552274" w:rsidRPr="00552274" w:rsidRDefault="00552274" w:rsidP="00552274">
      <w:pPr>
        <w:spacing w:before="120" w:after="120" w:line="240" w:lineRule="exact"/>
        <w:ind w:left="283" w:hanging="283"/>
        <w:jc w:val="both"/>
        <w:rPr>
          <w:rFonts w:ascii="FrankRuehl" w:hAnsi="FrankRuehl" w:cs="FrankRuehl"/>
          <w:rtl/>
        </w:rPr>
      </w:pPr>
    </w:p>
    <w:p w14:paraId="485DC033" w14:textId="77777777" w:rsidR="00956F4D" w:rsidRDefault="00956F4D" w:rsidP="00956F4D">
      <w:pPr>
        <w:jc w:val="both"/>
        <w:rPr>
          <w:rtl/>
        </w:rPr>
      </w:pPr>
      <w:bookmarkStart w:id="3" w:name="LawTable"/>
      <w:bookmarkEnd w:id="3"/>
    </w:p>
    <w:p w14:paraId="4FA34D6D" w14:textId="77777777" w:rsidR="00956F4D" w:rsidRPr="00956F4D" w:rsidRDefault="00956F4D" w:rsidP="00956F4D">
      <w:pPr>
        <w:spacing w:before="120" w:after="120" w:line="240" w:lineRule="exact"/>
        <w:ind w:left="283" w:hanging="283"/>
        <w:jc w:val="both"/>
        <w:rPr>
          <w:rFonts w:ascii="FrankRuehl" w:hAnsi="FrankRuehl" w:cs="FrankRuehl"/>
          <w:rtl/>
        </w:rPr>
      </w:pPr>
    </w:p>
    <w:p w14:paraId="46DE33D3" w14:textId="77777777" w:rsidR="00956F4D" w:rsidRPr="00956F4D" w:rsidRDefault="00956F4D" w:rsidP="00956F4D">
      <w:pPr>
        <w:spacing w:before="120" w:after="120" w:line="240" w:lineRule="exact"/>
        <w:ind w:left="283" w:hanging="283"/>
        <w:jc w:val="both"/>
        <w:rPr>
          <w:rFonts w:ascii="FrankRuehl" w:hAnsi="FrankRuehl" w:cs="FrankRuehl"/>
          <w:rtl/>
        </w:rPr>
      </w:pPr>
    </w:p>
    <w:p w14:paraId="55770EB3" w14:textId="77777777" w:rsidR="00956F4D" w:rsidRPr="00956F4D" w:rsidRDefault="00956F4D" w:rsidP="00956F4D">
      <w:pPr>
        <w:spacing w:before="120" w:after="120" w:line="240" w:lineRule="exact"/>
        <w:ind w:left="283" w:hanging="283"/>
        <w:jc w:val="both"/>
        <w:rPr>
          <w:rFonts w:ascii="FrankRuehl" w:hAnsi="FrankRuehl" w:cs="FrankRuehl"/>
          <w:rtl/>
        </w:rPr>
      </w:pPr>
      <w:r w:rsidRPr="00956F4D">
        <w:rPr>
          <w:rFonts w:ascii="FrankRuehl" w:hAnsi="FrankRuehl" w:cs="FrankRuehl"/>
          <w:rtl/>
        </w:rPr>
        <w:t xml:space="preserve">חקיקה שאוזכרה: </w:t>
      </w:r>
    </w:p>
    <w:p w14:paraId="537BDC31" w14:textId="77777777" w:rsidR="00956F4D" w:rsidRPr="00956F4D" w:rsidRDefault="00956F4D" w:rsidP="00956F4D">
      <w:pPr>
        <w:spacing w:before="120" w:after="120" w:line="240" w:lineRule="exact"/>
        <w:ind w:left="283" w:hanging="283"/>
        <w:jc w:val="both"/>
        <w:rPr>
          <w:rFonts w:ascii="FrankRuehl" w:hAnsi="FrankRuehl" w:cs="FrankRuehl"/>
          <w:rtl/>
        </w:rPr>
      </w:pPr>
      <w:hyperlink r:id="rId8" w:history="1">
        <w:r w:rsidRPr="00956F4D">
          <w:rPr>
            <w:rFonts w:ascii="FrankRuehl" w:hAnsi="FrankRuehl" w:cs="FrankRuehl"/>
            <w:color w:val="0000FF"/>
            <w:rtl/>
          </w:rPr>
          <w:t>פקודת הסמים המסוכנים [נוסח חדש], תשל"ג-1973</w:t>
        </w:r>
      </w:hyperlink>
      <w:r w:rsidRPr="00956F4D">
        <w:rPr>
          <w:rFonts w:ascii="FrankRuehl" w:hAnsi="FrankRuehl" w:cs="FrankRuehl"/>
          <w:rtl/>
        </w:rPr>
        <w:t xml:space="preserve">: סע'  </w:t>
      </w:r>
      <w:hyperlink r:id="rId9" w:history="1">
        <w:r w:rsidRPr="00956F4D">
          <w:rPr>
            <w:rFonts w:ascii="FrankRuehl" w:hAnsi="FrankRuehl" w:cs="FrankRuehl"/>
            <w:color w:val="0000FF"/>
            <w:rtl/>
          </w:rPr>
          <w:t>7.א.</w:t>
        </w:r>
      </w:hyperlink>
      <w:r w:rsidRPr="00956F4D">
        <w:rPr>
          <w:rFonts w:ascii="FrankRuehl" w:hAnsi="FrankRuehl" w:cs="FrankRuehl"/>
          <w:rtl/>
        </w:rPr>
        <w:t xml:space="preserve">, </w:t>
      </w:r>
      <w:hyperlink r:id="rId10" w:history="1">
        <w:r w:rsidRPr="00956F4D">
          <w:rPr>
            <w:rFonts w:ascii="FrankRuehl" w:hAnsi="FrankRuehl" w:cs="FrankRuehl"/>
            <w:color w:val="0000FF"/>
            <w:rtl/>
          </w:rPr>
          <w:t>7.ג</w:t>
        </w:r>
      </w:hyperlink>
    </w:p>
    <w:p w14:paraId="51BB249B" w14:textId="77777777" w:rsidR="00956F4D" w:rsidRPr="00956F4D" w:rsidRDefault="00956F4D" w:rsidP="00956F4D">
      <w:pPr>
        <w:jc w:val="both"/>
        <w:rPr>
          <w:rtl/>
        </w:rPr>
      </w:pPr>
      <w:bookmarkStart w:id="4" w:name="LawTable_End"/>
      <w:bookmarkEnd w:id="4"/>
    </w:p>
    <w:p w14:paraId="1378423A" w14:textId="77777777" w:rsidR="00EF7F90" w:rsidRPr="00552274" w:rsidRDefault="00EF7F90" w:rsidP="00552274">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7F90" w14:paraId="71F2BAE7" w14:textId="77777777" w:rsidTr="00EF7F90">
        <w:trPr>
          <w:trHeight w:val="355"/>
          <w:jc w:val="center"/>
        </w:trPr>
        <w:tc>
          <w:tcPr>
            <w:tcW w:w="8820" w:type="dxa"/>
            <w:tcBorders>
              <w:top w:val="nil"/>
              <w:left w:val="nil"/>
              <w:bottom w:val="nil"/>
              <w:right w:val="nil"/>
            </w:tcBorders>
            <w:shd w:val="clear" w:color="auto" w:fill="auto"/>
          </w:tcPr>
          <w:p w14:paraId="07915E7A" w14:textId="77777777" w:rsidR="00CF500C" w:rsidRPr="00CF500C" w:rsidRDefault="00CF500C" w:rsidP="00CF500C">
            <w:pPr>
              <w:jc w:val="center"/>
              <w:rPr>
                <w:rFonts w:ascii="David" w:hAnsi="David"/>
                <w:b/>
                <w:bCs/>
                <w:sz w:val="32"/>
                <w:szCs w:val="32"/>
                <w:u w:val="single"/>
                <w:rtl/>
              </w:rPr>
            </w:pPr>
            <w:bookmarkStart w:id="5" w:name="PsakDin" w:colFirst="0" w:colLast="0"/>
            <w:r w:rsidRPr="00CF500C">
              <w:rPr>
                <w:rFonts w:ascii="David" w:hAnsi="David"/>
                <w:b/>
                <w:bCs/>
                <w:sz w:val="32"/>
                <w:szCs w:val="32"/>
                <w:u w:val="single"/>
                <w:rtl/>
              </w:rPr>
              <w:t>גזר דין</w:t>
            </w:r>
          </w:p>
          <w:p w14:paraId="6EE212A8" w14:textId="77777777" w:rsidR="00EF7F90" w:rsidRPr="00CF500C" w:rsidRDefault="00EF7F90" w:rsidP="00CF500C">
            <w:pPr>
              <w:jc w:val="center"/>
              <w:rPr>
                <w:rFonts w:ascii="David" w:hAnsi="David"/>
                <w:bCs/>
                <w:sz w:val="32"/>
                <w:szCs w:val="32"/>
                <w:u w:val="single"/>
                <w:rtl/>
              </w:rPr>
            </w:pPr>
          </w:p>
        </w:tc>
      </w:tr>
      <w:bookmarkEnd w:id="5"/>
    </w:tbl>
    <w:p w14:paraId="07F92423" w14:textId="77777777" w:rsidR="00EF7F90" w:rsidRPr="002B7D23" w:rsidRDefault="00EF7F90" w:rsidP="00EF7F90">
      <w:pPr>
        <w:rPr>
          <w:rFonts w:ascii="David" w:hAnsi="David"/>
          <w:sz w:val="26"/>
          <w:szCs w:val="26"/>
          <w:rtl/>
        </w:rPr>
      </w:pPr>
    </w:p>
    <w:p w14:paraId="7BEBFBB3" w14:textId="77777777" w:rsidR="00EF7F90" w:rsidRPr="002B7D23" w:rsidRDefault="00EF7F90" w:rsidP="00EF7F90">
      <w:pPr>
        <w:rPr>
          <w:rFonts w:ascii="David" w:hAnsi="David"/>
          <w:sz w:val="26"/>
          <w:szCs w:val="26"/>
          <w:rtl/>
        </w:rPr>
      </w:pPr>
    </w:p>
    <w:p w14:paraId="2723E995" w14:textId="77777777" w:rsidR="00EF7F90" w:rsidRPr="00904EA2" w:rsidRDefault="00EF7F90" w:rsidP="00EF7F90">
      <w:pPr>
        <w:spacing w:after="80" w:line="360" w:lineRule="auto"/>
        <w:jc w:val="both"/>
        <w:rPr>
          <w:b/>
          <w:bCs/>
          <w:u w:val="single"/>
          <w:rtl/>
          <w:lang w:eastAsia="he-IL"/>
        </w:rPr>
      </w:pPr>
      <w:r w:rsidRPr="00904EA2">
        <w:rPr>
          <w:b/>
          <w:bCs/>
          <w:u w:val="single"/>
          <w:rtl/>
          <w:lang w:eastAsia="he-IL"/>
        </w:rPr>
        <w:t>רקע</w:t>
      </w:r>
    </w:p>
    <w:p w14:paraId="27C4ADCE" w14:textId="77777777" w:rsidR="00EF7F90" w:rsidRPr="00904EA2" w:rsidRDefault="00EF7F90" w:rsidP="00EF7F90">
      <w:pPr>
        <w:numPr>
          <w:ilvl w:val="0"/>
          <w:numId w:val="1"/>
        </w:numPr>
        <w:snapToGrid w:val="0"/>
        <w:spacing w:after="80" w:line="360" w:lineRule="auto"/>
        <w:contextualSpacing/>
        <w:jc w:val="both"/>
        <w:rPr>
          <w:lang w:eastAsia="he-IL"/>
        </w:rPr>
      </w:pPr>
      <w:bookmarkStart w:id="6" w:name="ABSTRACT_START"/>
      <w:bookmarkEnd w:id="6"/>
      <w:r w:rsidRPr="00904EA2">
        <w:rPr>
          <w:rtl/>
          <w:lang w:eastAsia="he-IL"/>
        </w:rPr>
        <w:t xml:space="preserve">ביום 20.5.21 הורשע הנאשם על פי הודאתו בעובדות כתב האישום המתוקן בעבירה </w:t>
      </w:r>
      <w:r w:rsidRPr="00904EA2">
        <w:rPr>
          <w:rFonts w:ascii="Arial" w:hAnsi="Arial"/>
          <w:sz w:val="20"/>
          <w:rtl/>
          <w:lang w:eastAsia="he-IL"/>
        </w:rPr>
        <w:t xml:space="preserve">של </w:t>
      </w:r>
      <w:r w:rsidRPr="00904EA2">
        <w:rPr>
          <w:rFonts w:ascii="Arial" w:hAnsi="Arial"/>
          <w:b/>
          <w:bCs/>
          <w:sz w:val="20"/>
          <w:rtl/>
          <w:lang w:eastAsia="he-IL"/>
        </w:rPr>
        <w:t>החזקת סם שלא לצריכה עצמית</w:t>
      </w:r>
      <w:r w:rsidRPr="00904EA2">
        <w:rPr>
          <w:rFonts w:ascii="Arial" w:hAnsi="Arial"/>
          <w:sz w:val="20"/>
          <w:rtl/>
          <w:lang w:eastAsia="he-IL"/>
        </w:rPr>
        <w:t xml:space="preserve"> לפי סעיף </w:t>
      </w:r>
      <w:hyperlink r:id="rId11" w:history="1">
        <w:r w:rsidR="004347F3" w:rsidRPr="004347F3">
          <w:rPr>
            <w:rStyle w:val="Hyperlink"/>
            <w:rFonts w:ascii="Arial" w:hAnsi="Arial"/>
            <w:sz w:val="20"/>
            <w:rtl/>
            <w:lang w:eastAsia="he-IL"/>
          </w:rPr>
          <w:t>7(א) + (ג)</w:t>
        </w:r>
      </w:hyperlink>
      <w:r w:rsidRPr="00904EA2">
        <w:rPr>
          <w:rFonts w:ascii="Arial" w:hAnsi="Arial"/>
          <w:sz w:val="20"/>
          <w:rtl/>
          <w:lang w:eastAsia="he-IL"/>
        </w:rPr>
        <w:t xml:space="preserve"> רישא לפקודת הסמים.</w:t>
      </w:r>
    </w:p>
    <w:p w14:paraId="3F4C85E9" w14:textId="77777777" w:rsidR="00EF7F90" w:rsidRPr="00904EA2" w:rsidRDefault="00EF7F90" w:rsidP="00EF7F90">
      <w:pPr>
        <w:snapToGrid w:val="0"/>
        <w:spacing w:after="80" w:line="360" w:lineRule="auto"/>
        <w:ind w:left="360"/>
        <w:contextualSpacing/>
        <w:jc w:val="both"/>
        <w:rPr>
          <w:rtl/>
          <w:lang w:eastAsia="he-IL"/>
        </w:rPr>
      </w:pPr>
    </w:p>
    <w:p w14:paraId="75BA1FD2" w14:textId="77777777" w:rsidR="00EF7F90" w:rsidRPr="00904EA2" w:rsidRDefault="00EF7F90" w:rsidP="00EF7F90">
      <w:pPr>
        <w:numPr>
          <w:ilvl w:val="0"/>
          <w:numId w:val="1"/>
        </w:numPr>
        <w:snapToGrid w:val="0"/>
        <w:spacing w:after="80" w:line="360" w:lineRule="auto"/>
        <w:contextualSpacing/>
        <w:jc w:val="both"/>
        <w:rPr>
          <w:b/>
          <w:bCs/>
          <w:u w:val="single"/>
          <w:lang w:eastAsia="he-IL"/>
        </w:rPr>
      </w:pPr>
      <w:r w:rsidRPr="00904EA2">
        <w:rPr>
          <w:rtl/>
          <w:lang w:eastAsia="he-IL"/>
        </w:rPr>
        <w:lastRenderedPageBreak/>
        <w:t xml:space="preserve">על פי עבודות כתב האישום, בתאריך 8.3.21 בסמוך לשעה 06:00 במשק 5 שבמושב תלמי בילו, החזיק הנאשם בחדרו בסם מסוכן מסוג </w:t>
      </w:r>
      <w:r w:rsidRPr="00904EA2">
        <w:rPr>
          <w:lang w:eastAsia="he-IL"/>
        </w:rPr>
        <w:t>methamphetamine</w:t>
      </w:r>
      <w:r w:rsidRPr="00904EA2">
        <w:rPr>
          <w:szCs w:val="20"/>
          <w:rtl/>
          <w:lang w:eastAsia="he-IL"/>
        </w:rPr>
        <w:t xml:space="preserve"> </w:t>
      </w:r>
      <w:r w:rsidRPr="00904EA2">
        <w:rPr>
          <w:rtl/>
          <w:lang w:eastAsia="he-IL"/>
        </w:rPr>
        <w:t>במשקל כולל של 17.3421 גרם נטו, שלא לצריכתו העצמית.</w:t>
      </w:r>
    </w:p>
    <w:p w14:paraId="0063B5E0" w14:textId="77777777" w:rsidR="00EF7F90" w:rsidRPr="00904EA2" w:rsidRDefault="00EF7F90" w:rsidP="00EF7F90">
      <w:pPr>
        <w:snapToGrid w:val="0"/>
        <w:spacing w:after="80" w:line="360" w:lineRule="auto"/>
        <w:ind w:left="360"/>
        <w:contextualSpacing/>
        <w:jc w:val="both"/>
        <w:rPr>
          <w:b/>
          <w:bCs/>
          <w:u w:val="single"/>
          <w:rtl/>
          <w:lang w:eastAsia="he-IL"/>
        </w:rPr>
      </w:pPr>
      <w:r w:rsidRPr="00904EA2">
        <w:rPr>
          <w:b/>
          <w:bCs/>
          <w:rtl/>
          <w:lang w:eastAsia="he-IL"/>
        </w:rPr>
        <w:t xml:space="preserve"> </w:t>
      </w:r>
    </w:p>
    <w:p w14:paraId="0C450C26" w14:textId="77777777" w:rsidR="00EF7F90" w:rsidRPr="00904EA2" w:rsidRDefault="00EF7F90" w:rsidP="00EF7F90">
      <w:pPr>
        <w:spacing w:after="80" w:line="360" w:lineRule="auto"/>
        <w:jc w:val="both"/>
        <w:rPr>
          <w:b/>
          <w:bCs/>
          <w:u w:val="single"/>
          <w:lang w:eastAsia="he-IL"/>
        </w:rPr>
      </w:pPr>
      <w:bookmarkStart w:id="7" w:name="ABSTRACT_END"/>
      <w:bookmarkEnd w:id="7"/>
      <w:r w:rsidRPr="00904EA2">
        <w:rPr>
          <w:b/>
          <w:bCs/>
          <w:u w:val="single"/>
          <w:rtl/>
          <w:lang w:eastAsia="he-IL"/>
        </w:rPr>
        <w:t>טענות הצדדים לעונש</w:t>
      </w:r>
    </w:p>
    <w:p w14:paraId="4FEFC301" w14:textId="77777777" w:rsidR="00EF7F90" w:rsidRPr="00904EA2" w:rsidRDefault="00EF7F90" w:rsidP="00EF7F90">
      <w:pPr>
        <w:numPr>
          <w:ilvl w:val="0"/>
          <w:numId w:val="1"/>
        </w:numPr>
        <w:snapToGrid w:val="0"/>
        <w:spacing w:after="80" w:line="360" w:lineRule="auto"/>
        <w:contextualSpacing/>
        <w:jc w:val="both"/>
        <w:rPr>
          <w:lang w:eastAsia="he-IL"/>
        </w:rPr>
      </w:pPr>
      <w:r w:rsidRPr="00904EA2">
        <w:rPr>
          <w:rtl/>
          <w:lang w:eastAsia="he-IL"/>
        </w:rPr>
        <w:t>ביום 4.7.21 נשמע בפניי הטיעון לעונש.</w:t>
      </w:r>
    </w:p>
    <w:p w14:paraId="3C18E43B" w14:textId="77777777" w:rsidR="00EF7F90" w:rsidRPr="00904EA2" w:rsidRDefault="00EF7F90" w:rsidP="00EF7F90">
      <w:pPr>
        <w:snapToGrid w:val="0"/>
        <w:spacing w:after="80" w:line="360" w:lineRule="auto"/>
        <w:ind w:left="360"/>
        <w:contextualSpacing/>
        <w:jc w:val="both"/>
        <w:rPr>
          <w:rtl/>
          <w:lang w:eastAsia="he-IL"/>
        </w:rPr>
      </w:pPr>
    </w:p>
    <w:p w14:paraId="21F8850D" w14:textId="77777777" w:rsidR="00EF7F90" w:rsidRPr="00904EA2" w:rsidRDefault="00EF7F90" w:rsidP="00EF7F90">
      <w:pPr>
        <w:snapToGrid w:val="0"/>
        <w:spacing w:after="80" w:line="360" w:lineRule="auto"/>
        <w:ind w:left="360"/>
        <w:contextualSpacing/>
        <w:jc w:val="both"/>
        <w:rPr>
          <w:lang w:eastAsia="he-IL"/>
        </w:rPr>
      </w:pPr>
      <w:r w:rsidRPr="00904EA2">
        <w:rPr>
          <w:b/>
          <w:bCs/>
          <w:rtl/>
          <w:lang w:eastAsia="he-IL"/>
        </w:rPr>
        <w:t>המאשימה</w:t>
      </w:r>
      <w:r w:rsidRPr="00904EA2">
        <w:rPr>
          <w:rtl/>
          <w:lang w:eastAsia="he-IL"/>
        </w:rPr>
        <w:t xml:space="preserve"> הדגישה את הסכנות הטמונות בסוג הסם אותם החזיק הנאשם, שהוא סם סינתטי בעל השפעה קשה על בריאות הציבור. כן נטען, כי מדובר בכמות גדולה. המאשימה הדגישה את שכיחות הסם בקרב עובדים זרים, דבר המקשה על חשיפת העבירות ולקושי של רשויות האכיפה נוכח חוסר שיתוף פעולה עם הרשויות של אוכלוסייה זו.</w:t>
      </w:r>
    </w:p>
    <w:p w14:paraId="5615007D"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המאשימה הפנתה לאסמכתאות המלמדות על רמת הענישה הנוהגת בהסדרי טיעון. כן נטען, כי מתחמי הענישה נגזרים מכמות הסם.</w:t>
      </w:r>
    </w:p>
    <w:p w14:paraId="7EC0A129"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במכלול הנסיבות, המאשימה עתרה למתחם של 14-24 חודשי מאסר בפועל.</w:t>
      </w:r>
    </w:p>
    <w:p w14:paraId="3EF3955C"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אשר לעונש המתאים בתוך המתחם, המאשימה הפנתה לכך שהנאשם הודה בכתב האישום המתוקן, כי הוא נעדר הרשעות קודמות, וכי לאור מעמדו של הנאשם בישראל יש להניח כי ריצוי המאסר קשה עליו, לעומת אסירים אחרים.</w:t>
      </w:r>
    </w:p>
    <w:p w14:paraId="21B5C0D1"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על כן עתרה המאשימה להטלת עונש בתחתית המתחם.</w:t>
      </w:r>
    </w:p>
    <w:p w14:paraId="54B2D5F6" w14:textId="77777777" w:rsidR="00EF7F90" w:rsidRPr="00904EA2" w:rsidRDefault="00EF7F90" w:rsidP="00EF7F90">
      <w:pPr>
        <w:snapToGrid w:val="0"/>
        <w:spacing w:after="80" w:line="360" w:lineRule="auto"/>
        <w:ind w:left="360"/>
        <w:contextualSpacing/>
        <w:jc w:val="both"/>
        <w:rPr>
          <w:lang w:eastAsia="he-IL"/>
        </w:rPr>
      </w:pPr>
    </w:p>
    <w:p w14:paraId="6BC71582" w14:textId="77777777" w:rsidR="00EF7F90" w:rsidRPr="00904EA2" w:rsidRDefault="00EF7F90" w:rsidP="00EF7F90">
      <w:pPr>
        <w:snapToGrid w:val="0"/>
        <w:spacing w:after="80" w:line="360" w:lineRule="auto"/>
        <w:ind w:left="360"/>
        <w:contextualSpacing/>
        <w:jc w:val="both"/>
        <w:rPr>
          <w:rtl/>
          <w:lang w:eastAsia="he-IL"/>
        </w:rPr>
      </w:pPr>
      <w:r w:rsidRPr="00904EA2">
        <w:rPr>
          <w:b/>
          <w:bCs/>
          <w:rtl/>
          <w:lang w:eastAsia="he-IL"/>
        </w:rPr>
        <w:t xml:space="preserve">ב"כ הנאשם </w:t>
      </w:r>
      <w:r w:rsidRPr="00904EA2">
        <w:rPr>
          <w:rtl/>
          <w:lang w:eastAsia="he-IL"/>
        </w:rPr>
        <w:t>טען, כי מדובר בסוג סם אשר הזליגה שלו לתוך החברה הישראלית נמוכה ביותר. כן הפנה לדו"ח של מרכז המחקר והמידע של כנסת ישראל ממנו נלמד, כי מדובר בסם מעורר, שמשמש את העובדים הזרים לצרכי עבודה ולא לצרכי בילוי.</w:t>
      </w:r>
    </w:p>
    <w:p w14:paraId="4F90FF95" w14:textId="77777777" w:rsidR="00EF7F90" w:rsidRPr="00904EA2" w:rsidRDefault="00EF7F90" w:rsidP="00EF7F90">
      <w:pPr>
        <w:snapToGrid w:val="0"/>
        <w:spacing w:after="80" w:line="360" w:lineRule="auto"/>
        <w:ind w:left="360"/>
        <w:contextualSpacing/>
        <w:jc w:val="both"/>
        <w:rPr>
          <w:lang w:eastAsia="he-IL"/>
        </w:rPr>
      </w:pPr>
      <w:r w:rsidRPr="00904EA2">
        <w:rPr>
          <w:rtl/>
          <w:lang w:eastAsia="he-IL"/>
        </w:rPr>
        <w:t>נטען, כי הנאשם הודה בהזדמנות הראשונה וחסך מזמנו היקר של בית המשפט. נטען כי מדובר בנאשם צעיר, תושב זר ללא כל עבר פלילי. נטען, כי בהיות הנאשם עובד זר, לא ניתנה לו האופציה להשתלב בשיקום וטיפול כפי הניתן לכל אזרח ישראלי בשל קשיי שפה.</w:t>
      </w:r>
    </w:p>
    <w:p w14:paraId="08A9CB94" w14:textId="77777777" w:rsidR="00EF7F90" w:rsidRPr="00904EA2" w:rsidRDefault="00EF7F90" w:rsidP="00EF7F90">
      <w:pPr>
        <w:snapToGrid w:val="0"/>
        <w:spacing w:after="80" w:line="360" w:lineRule="auto"/>
        <w:ind w:left="360"/>
        <w:contextualSpacing/>
        <w:jc w:val="both"/>
        <w:rPr>
          <w:rtl/>
          <w:lang w:eastAsia="he-IL"/>
        </w:rPr>
      </w:pPr>
    </w:p>
    <w:p w14:paraId="74F39513"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ב"כ הנאשם הפנה ל</w:t>
      </w:r>
      <w:hyperlink r:id="rId12" w:history="1">
        <w:r w:rsidR="00CF500C" w:rsidRPr="00CF500C">
          <w:rPr>
            <w:color w:val="0000FF"/>
            <w:u w:val="single"/>
            <w:rtl/>
            <w:lang w:eastAsia="he-IL"/>
          </w:rPr>
          <w:t>ת"פ 45830-10-20</w:t>
        </w:r>
      </w:hyperlink>
      <w:r w:rsidRPr="00904EA2">
        <w:rPr>
          <w:rtl/>
          <w:lang w:eastAsia="he-IL"/>
        </w:rPr>
        <w:t xml:space="preserve"> שם הורשע הנאשם, עובד זר מתאילנד, בחמש עבירות של החזקת הסם והספקה שלו, ונקבע מתחם של 4-14 חודשי מאסר בפועל וענישה נלווית. נטען, בענייננו מדובר בנסיבות פחות חמורות, שכן לא קיימות אינדיקציות לסחר.</w:t>
      </w:r>
    </w:p>
    <w:p w14:paraId="3FAAEF77"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נטען כי הנאשם נשוי, אב לשני ילדים, שאשתו אינה מועסקת בארץ מולדתה.</w:t>
      </w:r>
    </w:p>
    <w:p w14:paraId="1BB181EC"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 xml:space="preserve">נטען, כי אין תועלת בהטלת עונש מאסר ממושך יותר מימי המעצר אותם ריצה עד כה. </w:t>
      </w:r>
    </w:p>
    <w:p w14:paraId="03D1FE79"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נטען, כי מדובר בעבירה אשר בוצעה בחדרו הסגור של הנאשם, במקום עבודתו ולא ברחוב, הנאשם לא מסר את הסם לאחרים ולאחרים לא הייתה גישה לסם.</w:t>
      </w:r>
    </w:p>
    <w:p w14:paraId="2A1C233A" w14:textId="77777777" w:rsidR="00EF7F90" w:rsidRPr="00904EA2" w:rsidRDefault="00EF7F90" w:rsidP="00EF7F90">
      <w:pPr>
        <w:snapToGrid w:val="0"/>
        <w:spacing w:after="80" w:line="360" w:lineRule="auto"/>
        <w:ind w:left="360"/>
        <w:contextualSpacing/>
        <w:jc w:val="both"/>
        <w:rPr>
          <w:rtl/>
          <w:lang w:eastAsia="he-IL"/>
        </w:rPr>
      </w:pPr>
    </w:p>
    <w:p w14:paraId="1480358D"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 xml:space="preserve">ב"כ הנאשם עתר למתחם עונש הנע בין מאסר על-תנאי ועד 4-5 חודשי מאסר בפועל. </w:t>
      </w:r>
    </w:p>
    <w:p w14:paraId="15930EA8" w14:textId="77777777" w:rsidR="00EF7F90" w:rsidRPr="00904EA2" w:rsidRDefault="00EF7F90" w:rsidP="00EF7F90">
      <w:pPr>
        <w:snapToGrid w:val="0"/>
        <w:spacing w:after="80" w:line="360" w:lineRule="auto"/>
        <w:ind w:left="360"/>
        <w:contextualSpacing/>
        <w:jc w:val="both"/>
        <w:rPr>
          <w:lang w:eastAsia="he-IL"/>
        </w:rPr>
      </w:pPr>
      <w:r w:rsidRPr="00904EA2">
        <w:rPr>
          <w:rtl/>
          <w:lang w:eastAsia="he-IL"/>
        </w:rPr>
        <w:lastRenderedPageBreak/>
        <w:t xml:space="preserve">לעניין הקנס, נטען כי הנאשם הגיע לפרנס את משפחתו ועניין זה לא עלה בידו וביקש להסתפק בקנס סמלי. </w:t>
      </w:r>
    </w:p>
    <w:p w14:paraId="45A611DB"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בשולי דבריו, טען ב"כ הנאשם, כי הנאשם לאחר ריצוי העונש לא יישאר בישראל נוכח הכללים של רשות ההגירה. נטען כי בנסיבותיו של הנאשם אין מקום להטיל יותר מ-4 חודשי מאסר בפועל.</w:t>
      </w:r>
    </w:p>
    <w:p w14:paraId="0F07DBB3" w14:textId="77777777" w:rsidR="00EF7F90" w:rsidRPr="00904EA2" w:rsidRDefault="00EF7F90" w:rsidP="00EF7F90">
      <w:pPr>
        <w:snapToGrid w:val="0"/>
        <w:spacing w:after="80" w:line="360" w:lineRule="auto"/>
        <w:ind w:left="360"/>
        <w:contextualSpacing/>
        <w:jc w:val="both"/>
        <w:rPr>
          <w:rtl/>
          <w:lang w:eastAsia="he-IL"/>
        </w:rPr>
      </w:pPr>
    </w:p>
    <w:p w14:paraId="3B840D09" w14:textId="77777777" w:rsidR="00EF7F90" w:rsidRPr="00904EA2" w:rsidRDefault="00EF7F90" w:rsidP="00EF7F90">
      <w:pPr>
        <w:numPr>
          <w:ilvl w:val="0"/>
          <w:numId w:val="1"/>
        </w:numPr>
        <w:snapToGrid w:val="0"/>
        <w:spacing w:after="80" w:line="360" w:lineRule="auto"/>
        <w:contextualSpacing/>
        <w:jc w:val="both"/>
        <w:rPr>
          <w:rtl/>
          <w:lang w:eastAsia="he-IL"/>
        </w:rPr>
      </w:pPr>
      <w:r w:rsidRPr="00904EA2">
        <w:rPr>
          <w:b/>
          <w:bCs/>
          <w:rtl/>
          <w:lang w:eastAsia="he-IL"/>
        </w:rPr>
        <w:t xml:space="preserve">הנאשם </w:t>
      </w:r>
      <w:r w:rsidRPr="00904EA2">
        <w:rPr>
          <w:rtl/>
          <w:lang w:eastAsia="he-IL"/>
        </w:rPr>
        <w:t>עצמו ביקש את רחמיו של בית המשפט וטען כי השתמשת בסם האמור כדי לעבוד, לפרנס את משפחתו. עוד הוסיף כי הוא מעוניין לחזור לתאילנד וכי הכסף אשר נתפס במשטרה הוא כסף אשר הוא עבד עבורו וביקש את הכסף כדי שיוכל לשלוח אותו למשפחתו.</w:t>
      </w:r>
    </w:p>
    <w:p w14:paraId="53F4F626" w14:textId="77777777" w:rsidR="00EF7F90" w:rsidRPr="00EF7F90" w:rsidRDefault="00EF7F90" w:rsidP="00EF7F90">
      <w:pPr>
        <w:spacing w:after="80" w:line="360" w:lineRule="auto"/>
        <w:jc w:val="both"/>
        <w:rPr>
          <w:rFonts w:ascii="Calibri" w:hAnsi="Calibri"/>
          <w:bCs/>
          <w:u w:val="single"/>
          <w:rtl/>
        </w:rPr>
      </w:pPr>
    </w:p>
    <w:p w14:paraId="7793EE83" w14:textId="77777777" w:rsidR="00EF7F90" w:rsidRPr="00EF7F90" w:rsidRDefault="00EF7F90" w:rsidP="00EF7F90">
      <w:pPr>
        <w:spacing w:after="80" w:line="360" w:lineRule="auto"/>
        <w:jc w:val="both"/>
        <w:rPr>
          <w:rFonts w:ascii="Calibri" w:hAnsi="Calibri"/>
          <w:bCs/>
          <w:u w:val="single"/>
          <w:rtl/>
        </w:rPr>
      </w:pPr>
      <w:r w:rsidRPr="00EF7F90">
        <w:rPr>
          <w:rFonts w:ascii="Calibri" w:hAnsi="Calibri" w:hint="eastAsia"/>
          <w:bCs/>
          <w:u w:val="single"/>
          <w:rtl/>
        </w:rPr>
        <w:t>דיון</w:t>
      </w:r>
      <w:r w:rsidRPr="00EF7F90">
        <w:rPr>
          <w:rFonts w:ascii="Calibri" w:hAnsi="Calibri"/>
          <w:bCs/>
          <w:u w:val="single"/>
          <w:rtl/>
        </w:rPr>
        <w:t xml:space="preserve"> </w:t>
      </w:r>
      <w:r w:rsidRPr="00EF7F90">
        <w:rPr>
          <w:rFonts w:ascii="Calibri" w:hAnsi="Calibri" w:hint="eastAsia"/>
          <w:bCs/>
          <w:u w:val="single"/>
          <w:rtl/>
        </w:rPr>
        <w:t>והכרעה</w:t>
      </w:r>
    </w:p>
    <w:p w14:paraId="01320836" w14:textId="77777777" w:rsidR="00EF7F90" w:rsidRPr="00EF7F90" w:rsidRDefault="00EF7F90" w:rsidP="00EF7F90">
      <w:pPr>
        <w:spacing w:after="80" w:line="360" w:lineRule="auto"/>
        <w:jc w:val="both"/>
        <w:rPr>
          <w:rFonts w:ascii="Calibri" w:hAnsi="Calibri"/>
          <w:u w:val="single"/>
        </w:rPr>
      </w:pPr>
      <w:r w:rsidRPr="00EF7F90">
        <w:rPr>
          <w:rFonts w:ascii="Calibri" w:hAnsi="Calibri" w:hint="eastAsia"/>
          <w:u w:val="single"/>
          <w:rtl/>
        </w:rPr>
        <w:t>קביעת</w:t>
      </w:r>
      <w:r w:rsidRPr="00EF7F90">
        <w:rPr>
          <w:rFonts w:ascii="Calibri" w:hAnsi="Calibri"/>
          <w:u w:val="single"/>
          <w:rtl/>
        </w:rPr>
        <w:t xml:space="preserve"> </w:t>
      </w:r>
      <w:r w:rsidRPr="00EF7F90">
        <w:rPr>
          <w:rFonts w:ascii="Calibri" w:hAnsi="Calibri" w:hint="eastAsia"/>
          <w:u w:val="single"/>
          <w:rtl/>
        </w:rPr>
        <w:t>מתחם</w:t>
      </w:r>
      <w:r w:rsidRPr="00EF7F90">
        <w:rPr>
          <w:rFonts w:ascii="Calibri" w:hAnsi="Calibri"/>
          <w:u w:val="single"/>
          <w:rtl/>
        </w:rPr>
        <w:t xml:space="preserve"> </w:t>
      </w:r>
      <w:r w:rsidRPr="00EF7F90">
        <w:rPr>
          <w:rFonts w:ascii="Calibri" w:hAnsi="Calibri" w:hint="eastAsia"/>
          <w:u w:val="single"/>
          <w:rtl/>
        </w:rPr>
        <w:t>העונש</w:t>
      </w:r>
      <w:r w:rsidRPr="00EF7F90">
        <w:rPr>
          <w:rFonts w:ascii="Calibri" w:hAnsi="Calibri"/>
          <w:u w:val="single"/>
          <w:rtl/>
        </w:rPr>
        <w:t xml:space="preserve"> </w:t>
      </w:r>
      <w:r w:rsidRPr="00EF7F90">
        <w:rPr>
          <w:rFonts w:ascii="Calibri" w:hAnsi="Calibri" w:hint="eastAsia"/>
          <w:u w:val="single"/>
          <w:rtl/>
        </w:rPr>
        <w:t>ההולם</w:t>
      </w:r>
      <w:r w:rsidRPr="00EF7F90">
        <w:rPr>
          <w:rFonts w:ascii="Calibri" w:hAnsi="Calibri"/>
          <w:u w:val="single"/>
          <w:rtl/>
        </w:rPr>
        <w:t>:</w:t>
      </w:r>
    </w:p>
    <w:p w14:paraId="7771B364" w14:textId="77777777" w:rsidR="00EF7F90" w:rsidRPr="00904EA2" w:rsidRDefault="00EF7F90" w:rsidP="00EF7F90">
      <w:pPr>
        <w:numPr>
          <w:ilvl w:val="0"/>
          <w:numId w:val="1"/>
        </w:numPr>
        <w:snapToGrid w:val="0"/>
        <w:spacing w:after="80" w:line="360" w:lineRule="auto"/>
        <w:contextualSpacing/>
        <w:jc w:val="both"/>
        <w:rPr>
          <w:lang w:eastAsia="he-IL"/>
        </w:rPr>
      </w:pPr>
      <w:r w:rsidRPr="00904EA2">
        <w:rPr>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5FFBF0DF" w14:textId="77777777" w:rsidR="00EF7F90" w:rsidRPr="00904EA2" w:rsidRDefault="00EF7F90" w:rsidP="00EF7F90">
      <w:pPr>
        <w:snapToGrid w:val="0"/>
        <w:spacing w:after="80" w:line="360" w:lineRule="auto"/>
        <w:ind w:left="360"/>
        <w:contextualSpacing/>
        <w:jc w:val="both"/>
        <w:rPr>
          <w:rtl/>
          <w:lang w:eastAsia="he-IL"/>
        </w:rPr>
      </w:pPr>
    </w:p>
    <w:p w14:paraId="5F5495D1" w14:textId="77777777" w:rsidR="00EF7F90" w:rsidRPr="00904EA2" w:rsidRDefault="00EF7F90" w:rsidP="00EF7F90">
      <w:pPr>
        <w:numPr>
          <w:ilvl w:val="0"/>
          <w:numId w:val="1"/>
        </w:numPr>
        <w:snapToGrid w:val="0"/>
        <w:spacing w:after="200" w:line="360" w:lineRule="auto"/>
        <w:contextualSpacing/>
        <w:jc w:val="both"/>
        <w:rPr>
          <w:rFonts w:ascii="David" w:hAnsi="David"/>
          <w:lang w:eastAsia="he-IL"/>
        </w:rPr>
      </w:pPr>
      <w:r w:rsidRPr="00904EA2">
        <w:rPr>
          <w:rFonts w:ascii="David" w:hAnsi="David"/>
          <w:rtl/>
          <w:lang w:eastAsia="he-IL"/>
        </w:rPr>
        <w:t>הערכים המוגנים בעבירות סמים הם הגנה על בריאות הציבור ועל שלומו הפיזי והנפשי מפני הנזקים הישירים והעקיפים הנגרמים עקב ה</w:t>
      </w:r>
      <w:r>
        <w:rPr>
          <w:rFonts w:ascii="David" w:hAnsi="David" w:hint="cs"/>
          <w:rtl/>
          <w:lang w:eastAsia="he-IL"/>
        </w:rPr>
        <w:t>פצת הסמים וה</w:t>
      </w:r>
      <w:r w:rsidRPr="00904EA2">
        <w:rPr>
          <w:rFonts w:ascii="David" w:hAnsi="David"/>
          <w:rtl/>
          <w:lang w:eastAsia="he-IL"/>
        </w:rPr>
        <w:t>שימוש ב</w:t>
      </w:r>
      <w:r>
        <w:rPr>
          <w:rFonts w:ascii="David" w:hAnsi="David" w:hint="cs"/>
          <w:rtl/>
          <w:lang w:eastAsia="he-IL"/>
        </w:rPr>
        <w:t>הם</w:t>
      </w:r>
      <w:r w:rsidRPr="00904EA2">
        <w:rPr>
          <w:rFonts w:ascii="David" w:hAnsi="David"/>
          <w:rtl/>
          <w:lang w:eastAsia="he-IL"/>
        </w:rPr>
        <w:t xml:space="preserve">. </w:t>
      </w:r>
    </w:p>
    <w:p w14:paraId="4B0467F7" w14:textId="77777777" w:rsidR="00EF7F90" w:rsidRPr="00904EA2" w:rsidRDefault="00EF7F90" w:rsidP="00EF7F90">
      <w:pPr>
        <w:snapToGrid w:val="0"/>
        <w:spacing w:after="200" w:line="360" w:lineRule="auto"/>
        <w:ind w:left="360"/>
        <w:contextualSpacing/>
        <w:jc w:val="both"/>
        <w:rPr>
          <w:rFonts w:ascii="David" w:hAnsi="David"/>
          <w:rtl/>
          <w:lang w:eastAsia="he-IL"/>
        </w:rPr>
      </w:pPr>
    </w:p>
    <w:p w14:paraId="03153DEF" w14:textId="77777777" w:rsidR="00EF7F90" w:rsidRPr="00904EA2" w:rsidRDefault="00EF7F90" w:rsidP="00EF7F90">
      <w:pPr>
        <w:snapToGrid w:val="0"/>
        <w:spacing w:after="200" w:line="360" w:lineRule="auto"/>
        <w:ind w:left="360"/>
        <w:contextualSpacing/>
        <w:jc w:val="both"/>
        <w:rPr>
          <w:rFonts w:ascii="David" w:hAnsi="David"/>
          <w:rtl/>
          <w:lang w:eastAsia="he-IL"/>
        </w:rPr>
      </w:pPr>
      <w:r w:rsidRPr="00904EA2">
        <w:rPr>
          <w:rFonts w:ascii="David" w:hAnsi="David"/>
          <w:rtl/>
          <w:lang w:eastAsia="he-IL"/>
        </w:rPr>
        <w:t xml:space="preserve">במקרה זה הורשע הנאשם בהחזקת סם שלא לצריכה עצמית ומטבעה של העבירה, בית המשפט מניח </w:t>
      </w:r>
      <w:r>
        <w:rPr>
          <w:rFonts w:ascii="David" w:hAnsi="David" w:hint="cs"/>
          <w:rtl/>
          <w:lang w:eastAsia="he-IL"/>
        </w:rPr>
        <w:t>כי מדובר בסמים שנועדו ל</w:t>
      </w:r>
      <w:r w:rsidRPr="00904EA2">
        <w:rPr>
          <w:rFonts w:ascii="David" w:hAnsi="David"/>
          <w:rtl/>
          <w:lang w:eastAsia="he-IL"/>
        </w:rPr>
        <w:t>הפצה</w:t>
      </w:r>
      <w:r>
        <w:rPr>
          <w:rFonts w:ascii="David" w:hAnsi="David" w:hint="cs"/>
          <w:rtl/>
          <w:lang w:eastAsia="he-IL"/>
        </w:rPr>
        <w:t>, גם אם אין אינדיקציות לעבירות סחר בסמים</w:t>
      </w:r>
      <w:r w:rsidRPr="00904EA2">
        <w:rPr>
          <w:rFonts w:ascii="David" w:hAnsi="David"/>
          <w:rtl/>
          <w:lang w:eastAsia="he-IL"/>
        </w:rPr>
        <w:t xml:space="preserve">. על פי פקודת הסמים, כמות של </w:t>
      </w:r>
      <w:r w:rsidRPr="00904EA2">
        <w:rPr>
          <w:rFonts w:ascii="David" w:hAnsi="David"/>
          <w:lang w:eastAsia="he-IL"/>
        </w:rPr>
        <w:t>methamphetamine</w:t>
      </w:r>
      <w:r w:rsidRPr="00904EA2">
        <w:rPr>
          <w:rFonts w:ascii="David" w:hAnsi="David"/>
          <w:rtl/>
          <w:lang w:eastAsia="he-IL"/>
        </w:rPr>
        <w:t xml:space="preserve"> במשקל של 0.2 גרם נחשבת ככמות לצריכה עצמית. במקרה זה, מדובר בסם בכמות של כ-86 מנות</w:t>
      </w:r>
      <w:r>
        <w:rPr>
          <w:rFonts w:ascii="David" w:hAnsi="David" w:hint="cs"/>
          <w:rtl/>
          <w:lang w:eastAsia="he-IL"/>
        </w:rPr>
        <w:t xml:space="preserve"> סם</w:t>
      </w:r>
      <w:r w:rsidRPr="00904EA2">
        <w:rPr>
          <w:rFonts w:ascii="David" w:hAnsi="David"/>
          <w:rtl/>
          <w:lang w:eastAsia="he-IL"/>
        </w:rPr>
        <w:t>.</w:t>
      </w:r>
    </w:p>
    <w:p w14:paraId="60F5AD13" w14:textId="77777777" w:rsidR="00EF7F90" w:rsidRPr="00904EA2" w:rsidRDefault="00EF7F90" w:rsidP="00EF7F90">
      <w:pPr>
        <w:snapToGrid w:val="0"/>
        <w:spacing w:after="200" w:line="360" w:lineRule="auto"/>
        <w:ind w:left="360"/>
        <w:contextualSpacing/>
        <w:jc w:val="both"/>
        <w:rPr>
          <w:rFonts w:ascii="David" w:hAnsi="David"/>
          <w:rtl/>
          <w:lang w:eastAsia="he-IL"/>
        </w:rPr>
      </w:pPr>
    </w:p>
    <w:p w14:paraId="4BFD9509" w14:textId="77777777" w:rsidR="00EF7F90" w:rsidRPr="00904EA2" w:rsidRDefault="00EF7F90" w:rsidP="00EF7F90">
      <w:pPr>
        <w:snapToGrid w:val="0"/>
        <w:spacing w:after="200" w:line="360" w:lineRule="auto"/>
        <w:ind w:left="360"/>
        <w:contextualSpacing/>
        <w:jc w:val="both"/>
        <w:rPr>
          <w:rFonts w:ascii="David" w:hAnsi="David"/>
          <w:sz w:val="28"/>
          <w:rtl/>
          <w:lang w:eastAsia="he-IL"/>
        </w:rPr>
      </w:pPr>
      <w:r w:rsidRPr="00904EA2">
        <w:rPr>
          <w:rFonts w:ascii="David" w:hAnsi="David"/>
          <w:sz w:val="28"/>
          <w:rtl/>
          <w:lang w:eastAsia="he-IL"/>
        </w:rPr>
        <w:t xml:space="preserve">עיינתי במסמך נ/1 אותו הגיש ב"כ הנאשם. אכן, עולה ממנו כי מדובר בסם ממריץ, נפוץ בקרב עובדים זרים ממדינות אסיה ונפוץ גם בארץ הולדתם. בתאילנד השימוש בסם נחשב בעיה לאומית. הסם משמש בעיקר לצרכי עבודה, ונמצא קשר בין השימוש הגובר והולך בסם ובין תנאי עבודתם </w:t>
      </w:r>
      <w:r>
        <w:rPr>
          <w:rFonts w:ascii="David" w:hAnsi="David" w:hint="cs"/>
          <w:sz w:val="28"/>
          <w:rtl/>
          <w:lang w:eastAsia="he-IL"/>
        </w:rPr>
        <w:t xml:space="preserve">הקשים </w:t>
      </w:r>
      <w:r w:rsidRPr="00904EA2">
        <w:rPr>
          <w:rFonts w:ascii="David" w:hAnsi="David"/>
          <w:sz w:val="28"/>
          <w:rtl/>
          <w:lang w:eastAsia="he-IL"/>
        </w:rPr>
        <w:t>של העובדים בישראל. כן נמצא, כי מדובר בסם שהשפעתו רעה וחריפה הן על הגוף והן על הנפש וההתמכרות אליו מהירה.</w:t>
      </w:r>
      <w:r>
        <w:rPr>
          <w:rFonts w:ascii="David" w:hAnsi="David" w:hint="cs"/>
          <w:sz w:val="28"/>
          <w:rtl/>
          <w:lang w:eastAsia="he-IL"/>
        </w:rPr>
        <w:t xml:space="preserve"> כעולה מהמסמך, המזיקים הישירים והעקיפים בקרב המשתמשים בסמים ופוטנציאל הנזק לציבור בכללותו כתוצאה מהשימוש בסמים, בשים לב לתופעות הלוואי המוכרות, הם משמעותיים. אכן </w:t>
      </w:r>
      <w:r w:rsidRPr="00904EA2">
        <w:rPr>
          <w:rFonts w:ascii="David" w:hAnsi="David"/>
          <w:sz w:val="28"/>
          <w:rtl/>
          <w:lang w:eastAsia="he-IL"/>
        </w:rPr>
        <w:t>נמצא</w:t>
      </w:r>
      <w:r>
        <w:rPr>
          <w:rFonts w:ascii="David" w:hAnsi="David" w:hint="cs"/>
          <w:sz w:val="28"/>
          <w:rtl/>
          <w:lang w:eastAsia="he-IL"/>
        </w:rPr>
        <w:t xml:space="preserve"> כטענת ב"כ הנאשם</w:t>
      </w:r>
      <w:r w:rsidRPr="00904EA2">
        <w:rPr>
          <w:rFonts w:ascii="David" w:hAnsi="David"/>
          <w:sz w:val="28"/>
          <w:rtl/>
          <w:lang w:eastAsia="he-IL"/>
        </w:rPr>
        <w:t>, כי מוכרת זליגה מועטה של הסם לאוכלוסייה הכללית. לא מצאתי כי יש בנתונים אלה אליהם הפנה ב"כ הנאשם כדי להוביל למסקנה מקלה באופן התייחסות בית המשפט אל הסם במישור הפלילי.</w:t>
      </w:r>
      <w:r>
        <w:rPr>
          <w:rFonts w:ascii="David" w:hAnsi="David" w:hint="cs"/>
          <w:sz w:val="28"/>
          <w:rtl/>
          <w:lang w:eastAsia="he-IL"/>
        </w:rPr>
        <w:t xml:space="preserve"> הנתונים הללו מלמדים כי יש מקום להחמרה בענישה, בדומה להתייחסות העונשית לסמים הסינתטיים האחרים המוכרים בפקודת הסמים וכן יש הכרח בהרתעת הרבים מפני הבאת הסם לארץ והפצתו.</w:t>
      </w:r>
    </w:p>
    <w:p w14:paraId="5A4B50A9" w14:textId="77777777" w:rsidR="00EF7F90" w:rsidRPr="00904EA2" w:rsidRDefault="00EF7F90" w:rsidP="00EF7F90">
      <w:pPr>
        <w:snapToGrid w:val="0"/>
        <w:spacing w:after="200" w:line="360" w:lineRule="auto"/>
        <w:ind w:left="360"/>
        <w:contextualSpacing/>
        <w:jc w:val="both"/>
        <w:rPr>
          <w:rFonts w:ascii="David" w:hAnsi="David"/>
          <w:sz w:val="28"/>
          <w:lang w:eastAsia="he-IL"/>
        </w:rPr>
      </w:pPr>
    </w:p>
    <w:p w14:paraId="16624DCC" w14:textId="77777777" w:rsidR="00EF7F90" w:rsidRPr="00904EA2" w:rsidRDefault="00EF7F90" w:rsidP="00EF7F90">
      <w:pPr>
        <w:snapToGrid w:val="0"/>
        <w:spacing w:after="200" w:line="360" w:lineRule="auto"/>
        <w:ind w:left="360"/>
        <w:contextualSpacing/>
        <w:jc w:val="both"/>
        <w:rPr>
          <w:rFonts w:ascii="David" w:hAnsi="David"/>
          <w:sz w:val="28"/>
          <w:rtl/>
          <w:lang w:eastAsia="he-IL"/>
        </w:rPr>
      </w:pPr>
      <w:r w:rsidRPr="00904EA2">
        <w:rPr>
          <w:rFonts w:ascii="David" w:hAnsi="David"/>
          <w:b/>
          <w:bCs/>
          <w:sz w:val="28"/>
          <w:u w:val="single"/>
          <w:rtl/>
          <w:lang w:eastAsia="he-IL"/>
        </w:rPr>
        <w:t>מדיניות הענישה הנוהגת:</w:t>
      </w:r>
    </w:p>
    <w:p w14:paraId="544F3BE3" w14:textId="77777777" w:rsidR="00EF7F90" w:rsidRPr="00904EA2" w:rsidRDefault="00EF7F90" w:rsidP="00EF7F90">
      <w:pPr>
        <w:numPr>
          <w:ilvl w:val="0"/>
          <w:numId w:val="1"/>
        </w:numPr>
        <w:snapToGrid w:val="0"/>
        <w:spacing w:after="200" w:line="360" w:lineRule="auto"/>
        <w:contextualSpacing/>
        <w:jc w:val="both"/>
        <w:rPr>
          <w:rFonts w:ascii="David" w:hAnsi="David"/>
          <w:lang w:eastAsia="he-IL"/>
        </w:rPr>
      </w:pPr>
      <w:r w:rsidRPr="00904EA2">
        <w:rPr>
          <w:rFonts w:ascii="David" w:hAnsi="David"/>
          <w:rtl/>
          <w:lang w:eastAsia="he-IL"/>
        </w:rPr>
        <w:t xml:space="preserve">עיינתי באסמכתאות אליהן הפנו הצדדים מהן עולה כי הענישה נגזרת מהמשקלים והנסיבות של כל מקרה ומקרה ובמנעד ענישה רחב. להלן תובא פסיקה נוספת לעניין מדיניות הענישה הנוהגת: </w:t>
      </w:r>
    </w:p>
    <w:p w14:paraId="7EB956D1" w14:textId="77777777" w:rsidR="00EF7F90" w:rsidRPr="00904EA2" w:rsidRDefault="00EF7F90" w:rsidP="00EF7F90">
      <w:pPr>
        <w:snapToGrid w:val="0"/>
        <w:spacing w:after="200" w:line="360" w:lineRule="auto"/>
        <w:ind w:left="360"/>
        <w:contextualSpacing/>
        <w:jc w:val="both"/>
        <w:rPr>
          <w:rFonts w:ascii="David" w:hAnsi="David"/>
          <w:lang w:eastAsia="he-IL"/>
        </w:rPr>
      </w:pPr>
    </w:p>
    <w:p w14:paraId="27448A96" w14:textId="77777777" w:rsidR="00EF7F90" w:rsidRPr="00904EA2" w:rsidRDefault="00EF7F90" w:rsidP="00EF7F90">
      <w:pPr>
        <w:snapToGrid w:val="0"/>
        <w:spacing w:after="80" w:line="360" w:lineRule="auto"/>
        <w:ind w:left="360"/>
        <w:contextualSpacing/>
        <w:jc w:val="both"/>
        <w:rPr>
          <w:rFonts w:ascii="David" w:hAnsi="David"/>
          <w:sz w:val="20"/>
          <w:rtl/>
          <w:lang w:eastAsia="he-IL"/>
        </w:rPr>
      </w:pPr>
      <w:r w:rsidRPr="00904EA2">
        <w:rPr>
          <w:rFonts w:ascii="David" w:hAnsi="David"/>
          <w:sz w:val="20"/>
          <w:rtl/>
          <w:lang w:eastAsia="he-IL"/>
        </w:rPr>
        <w:t>ב</w:t>
      </w:r>
      <w:hyperlink r:id="rId13" w:history="1">
        <w:r w:rsidR="00CF500C" w:rsidRPr="00CF500C">
          <w:rPr>
            <w:rFonts w:ascii="David" w:hAnsi="David"/>
            <w:color w:val="0000FF"/>
            <w:sz w:val="20"/>
            <w:u w:val="single"/>
            <w:rtl/>
            <w:lang w:eastAsia="he-IL"/>
          </w:rPr>
          <w:t>ת"פ 35984-03-19</w:t>
        </w:r>
      </w:hyperlink>
      <w:r w:rsidRPr="00904EA2">
        <w:rPr>
          <w:rFonts w:ascii="David" w:hAnsi="David"/>
          <w:sz w:val="20"/>
          <w:rtl/>
          <w:lang w:eastAsia="he-IL"/>
        </w:rPr>
        <w:t xml:space="preserve"> </w:t>
      </w:r>
      <w:r w:rsidRPr="00904EA2">
        <w:rPr>
          <w:rFonts w:ascii="David" w:hAnsi="David"/>
          <w:b/>
          <w:bCs/>
          <w:sz w:val="20"/>
          <w:rtl/>
          <w:lang w:eastAsia="he-IL"/>
        </w:rPr>
        <w:t xml:space="preserve">מדינת ישראל </w:t>
      </w:r>
      <w:r w:rsidRPr="00904EA2">
        <w:rPr>
          <w:rFonts w:ascii="David" w:hAnsi="David"/>
          <w:sz w:val="20"/>
          <w:rtl/>
          <w:lang w:eastAsia="he-IL"/>
        </w:rPr>
        <w:t>נ'</w:t>
      </w:r>
      <w:r w:rsidRPr="00904EA2">
        <w:rPr>
          <w:rFonts w:ascii="David" w:hAnsi="David"/>
          <w:b/>
          <w:bCs/>
          <w:sz w:val="20"/>
          <w:rtl/>
          <w:lang w:eastAsia="he-IL"/>
        </w:rPr>
        <w:t xml:space="preserve"> </w:t>
      </w:r>
      <w:r w:rsidRPr="00904EA2">
        <w:rPr>
          <w:rFonts w:ascii="David" w:hAnsi="David"/>
          <w:b/>
          <w:bCs/>
          <w:sz w:val="20"/>
          <w:lang w:eastAsia="he-IL"/>
        </w:rPr>
        <w:t xml:space="preserve">NGUYEN THI BICH THUY </w:t>
      </w:r>
      <w:r w:rsidRPr="00904EA2">
        <w:rPr>
          <w:rFonts w:ascii="David" w:hAnsi="David"/>
          <w:b/>
          <w:bCs/>
          <w:sz w:val="20"/>
          <w:rtl/>
          <w:lang w:eastAsia="he-IL"/>
        </w:rPr>
        <w:t xml:space="preserve"> </w:t>
      </w:r>
      <w:r w:rsidRPr="00904EA2">
        <w:rPr>
          <w:rFonts w:ascii="David" w:hAnsi="David"/>
          <w:sz w:val="20"/>
          <w:rtl/>
          <w:lang w:eastAsia="he-IL"/>
        </w:rPr>
        <w:t xml:space="preserve">(10.09.19), הנאשמת החזיקה סם מסוכן מסוג </w:t>
      </w:r>
      <w:r w:rsidRPr="00904EA2">
        <w:rPr>
          <w:rFonts w:ascii="David" w:hAnsi="David"/>
          <w:sz w:val="20"/>
          <w:lang w:eastAsia="he-IL"/>
        </w:rPr>
        <w:t>methamphetamine</w:t>
      </w:r>
      <w:r w:rsidRPr="00904EA2">
        <w:rPr>
          <w:rFonts w:ascii="David" w:hAnsi="David"/>
          <w:sz w:val="20"/>
          <w:rtl/>
          <w:lang w:eastAsia="he-IL"/>
        </w:rPr>
        <w:t xml:space="preserve"> במשקל </w:t>
      </w:r>
      <w:r w:rsidRPr="00904EA2">
        <w:rPr>
          <w:rFonts w:ascii="David" w:hAnsi="David"/>
          <w:b/>
          <w:bCs/>
          <w:sz w:val="20"/>
          <w:rtl/>
          <w:lang w:eastAsia="he-IL"/>
        </w:rPr>
        <w:t>90</w:t>
      </w:r>
      <w:r w:rsidRPr="00904EA2">
        <w:rPr>
          <w:rFonts w:ascii="David" w:hAnsi="David"/>
          <w:sz w:val="20"/>
          <w:rtl/>
          <w:lang w:eastAsia="he-IL"/>
        </w:rPr>
        <w:t xml:space="preserve"> </w:t>
      </w:r>
      <w:r w:rsidRPr="00904EA2">
        <w:rPr>
          <w:rFonts w:ascii="David" w:hAnsi="David"/>
          <w:b/>
          <w:bCs/>
          <w:sz w:val="20"/>
          <w:rtl/>
          <w:lang w:eastAsia="he-IL"/>
        </w:rPr>
        <w:t>גרם</w:t>
      </w:r>
      <w:r w:rsidRPr="00904EA2">
        <w:rPr>
          <w:rFonts w:ascii="David" w:hAnsi="David"/>
          <w:sz w:val="20"/>
          <w:rtl/>
          <w:lang w:eastAsia="he-IL"/>
        </w:rPr>
        <w:t xml:space="preserve">, הורשעה בהחזקת סם שלא לצריכה עצמית, ונדונה במסגרת הסדר טיעון סגור ל- </w:t>
      </w:r>
      <w:r w:rsidRPr="00904EA2">
        <w:rPr>
          <w:rFonts w:ascii="David" w:hAnsi="David"/>
          <w:b/>
          <w:bCs/>
          <w:sz w:val="20"/>
          <w:rtl/>
          <w:lang w:eastAsia="he-IL"/>
        </w:rPr>
        <w:t>11</w:t>
      </w:r>
      <w:r w:rsidRPr="00904EA2">
        <w:rPr>
          <w:rFonts w:ascii="David" w:hAnsi="David"/>
          <w:sz w:val="20"/>
          <w:rtl/>
          <w:lang w:eastAsia="he-IL"/>
        </w:rPr>
        <w:t xml:space="preserve"> חודשי מאסר בפועל.  </w:t>
      </w:r>
    </w:p>
    <w:p w14:paraId="0B855D4F" w14:textId="77777777" w:rsidR="00EF7F90" w:rsidRPr="00904EA2" w:rsidRDefault="00EF7F90" w:rsidP="00EF7F90">
      <w:pPr>
        <w:spacing w:after="160" w:line="360" w:lineRule="auto"/>
        <w:ind w:left="360"/>
        <w:contextualSpacing/>
        <w:jc w:val="both"/>
        <w:rPr>
          <w:rFonts w:ascii="David" w:hAnsi="David"/>
          <w:sz w:val="20"/>
          <w:lang w:eastAsia="he-IL"/>
        </w:rPr>
      </w:pPr>
    </w:p>
    <w:p w14:paraId="165957C0" w14:textId="77777777" w:rsidR="00EF7F90" w:rsidRPr="00904EA2" w:rsidRDefault="00EF7F90" w:rsidP="00EF7F90">
      <w:pPr>
        <w:spacing w:after="160" w:line="360" w:lineRule="auto"/>
        <w:ind w:left="360"/>
        <w:contextualSpacing/>
        <w:jc w:val="both"/>
        <w:rPr>
          <w:rFonts w:ascii="David" w:hAnsi="David"/>
          <w:sz w:val="20"/>
          <w:lang w:eastAsia="he-IL"/>
        </w:rPr>
      </w:pPr>
      <w:r w:rsidRPr="00904EA2">
        <w:rPr>
          <w:rFonts w:ascii="David" w:hAnsi="David"/>
          <w:sz w:val="20"/>
          <w:rtl/>
          <w:lang w:eastAsia="he-IL"/>
        </w:rPr>
        <w:t>ב</w:t>
      </w:r>
      <w:hyperlink r:id="rId14" w:history="1">
        <w:r w:rsidR="00CF500C" w:rsidRPr="00CF500C">
          <w:rPr>
            <w:rFonts w:ascii="David" w:hAnsi="David"/>
            <w:color w:val="0000FF"/>
            <w:sz w:val="20"/>
            <w:u w:val="single"/>
            <w:rtl/>
            <w:lang w:eastAsia="he-IL"/>
          </w:rPr>
          <w:t>ת"פ 43407-02-15</w:t>
        </w:r>
      </w:hyperlink>
      <w:r w:rsidRPr="00904EA2">
        <w:rPr>
          <w:rFonts w:ascii="David" w:hAnsi="David"/>
          <w:sz w:val="20"/>
          <w:rtl/>
          <w:lang w:eastAsia="he-IL"/>
        </w:rPr>
        <w:t xml:space="preserve"> </w:t>
      </w:r>
      <w:r w:rsidRPr="00904EA2">
        <w:rPr>
          <w:rFonts w:ascii="David" w:hAnsi="David"/>
          <w:b/>
          <w:bCs/>
          <w:sz w:val="20"/>
          <w:rtl/>
          <w:lang w:eastAsia="he-IL"/>
        </w:rPr>
        <w:t>מדינת ישראל נ' מונובול</w:t>
      </w:r>
      <w:r w:rsidRPr="00904EA2">
        <w:rPr>
          <w:rFonts w:ascii="David" w:hAnsi="David"/>
          <w:sz w:val="20"/>
          <w:rtl/>
          <w:lang w:eastAsia="he-IL"/>
        </w:rPr>
        <w:t xml:space="preserve"> (1.4.15), הנאשם הורשע בהחזקת סם מסוכן מסוג </w:t>
      </w:r>
      <w:r w:rsidRPr="00904EA2">
        <w:rPr>
          <w:rFonts w:ascii="David" w:hAnsi="David"/>
          <w:sz w:val="20"/>
          <w:lang w:eastAsia="he-IL"/>
        </w:rPr>
        <w:t>methamphetamine</w:t>
      </w:r>
      <w:r w:rsidRPr="00904EA2">
        <w:rPr>
          <w:rFonts w:ascii="David" w:hAnsi="David"/>
          <w:sz w:val="20"/>
          <w:rtl/>
          <w:lang w:eastAsia="he-IL"/>
        </w:rPr>
        <w:t xml:space="preserve"> במשקל 1.27 גרם שלא לצריכה עצמית, בית המשפט אישר הסדר טיעון, </w:t>
      </w:r>
      <w:r w:rsidRPr="00904EA2">
        <w:rPr>
          <w:rFonts w:ascii="David" w:hAnsi="David"/>
          <w:b/>
          <w:bCs/>
          <w:sz w:val="20"/>
          <w:rtl/>
          <w:lang w:eastAsia="he-IL"/>
        </w:rPr>
        <w:t>בגדרו הושתו על הנאשם, 5 חודשי מאסר בפועל.</w:t>
      </w:r>
    </w:p>
    <w:p w14:paraId="7C880F21" w14:textId="77777777" w:rsidR="00EF7F90" w:rsidRPr="00904EA2" w:rsidRDefault="00EF7F90" w:rsidP="00EF7F90">
      <w:pPr>
        <w:snapToGrid w:val="0"/>
        <w:spacing w:after="80"/>
        <w:ind w:left="720"/>
        <w:contextualSpacing/>
        <w:rPr>
          <w:rFonts w:ascii="David" w:hAnsi="David"/>
          <w:sz w:val="20"/>
          <w:rtl/>
          <w:lang w:eastAsia="he-IL"/>
        </w:rPr>
      </w:pPr>
    </w:p>
    <w:p w14:paraId="0AB94F8A" w14:textId="77777777" w:rsidR="00EF7F90" w:rsidRPr="00904EA2" w:rsidRDefault="00EF7F90" w:rsidP="00EF7F90">
      <w:pPr>
        <w:spacing w:after="160" w:line="360" w:lineRule="auto"/>
        <w:ind w:left="360"/>
        <w:contextualSpacing/>
        <w:jc w:val="both"/>
        <w:rPr>
          <w:rFonts w:ascii="David" w:hAnsi="David"/>
          <w:sz w:val="20"/>
          <w:lang w:eastAsia="he-IL"/>
        </w:rPr>
      </w:pPr>
      <w:r w:rsidRPr="00904EA2">
        <w:rPr>
          <w:rFonts w:ascii="David" w:hAnsi="David"/>
          <w:sz w:val="20"/>
          <w:rtl/>
          <w:lang w:eastAsia="he-IL"/>
        </w:rPr>
        <w:t>ב</w:t>
      </w:r>
      <w:hyperlink r:id="rId15" w:history="1">
        <w:r w:rsidR="00CF500C" w:rsidRPr="00CF500C">
          <w:rPr>
            <w:rFonts w:ascii="David" w:hAnsi="David"/>
            <w:color w:val="0000FF"/>
            <w:sz w:val="20"/>
            <w:u w:val="single"/>
            <w:rtl/>
            <w:lang w:eastAsia="he-IL"/>
          </w:rPr>
          <w:t>ת"פ 40252-12-14</w:t>
        </w:r>
      </w:hyperlink>
      <w:r w:rsidRPr="00904EA2">
        <w:rPr>
          <w:rFonts w:ascii="David" w:hAnsi="David"/>
          <w:sz w:val="20"/>
          <w:rtl/>
          <w:lang w:eastAsia="he-IL"/>
        </w:rPr>
        <w:t xml:space="preserve"> </w:t>
      </w:r>
      <w:r w:rsidRPr="00904EA2">
        <w:rPr>
          <w:rFonts w:ascii="David" w:hAnsi="David"/>
          <w:b/>
          <w:bCs/>
          <w:sz w:val="20"/>
          <w:rtl/>
          <w:lang w:eastAsia="he-IL"/>
        </w:rPr>
        <w:t>מדינת ישראל נ' יונטה</w:t>
      </w:r>
      <w:r w:rsidRPr="00904EA2">
        <w:rPr>
          <w:rFonts w:ascii="David" w:hAnsi="David"/>
          <w:sz w:val="20"/>
          <w:rtl/>
          <w:lang w:eastAsia="he-IL"/>
        </w:rPr>
        <w:t xml:space="preserve"> (11.2.15) אישר בית המשפט הסדר אליו הגיעו הצדדים, בגדרו הושתו על הנאשם </w:t>
      </w:r>
      <w:r w:rsidRPr="00904EA2">
        <w:rPr>
          <w:rFonts w:ascii="David" w:hAnsi="David"/>
          <w:b/>
          <w:bCs/>
          <w:sz w:val="20"/>
          <w:rtl/>
          <w:lang w:eastAsia="he-IL"/>
        </w:rPr>
        <w:t>8 חודשי מאסר בפועל לצד ענישה נלווית</w:t>
      </w:r>
      <w:r w:rsidRPr="00904EA2">
        <w:rPr>
          <w:rFonts w:ascii="David" w:hAnsi="David"/>
          <w:sz w:val="20"/>
          <w:rtl/>
          <w:lang w:eastAsia="he-IL"/>
        </w:rPr>
        <w:t xml:space="preserve">, וזאת בגין החזקת סם מסוג </w:t>
      </w:r>
      <w:r w:rsidRPr="00904EA2">
        <w:rPr>
          <w:rFonts w:ascii="David" w:hAnsi="David"/>
          <w:sz w:val="20"/>
          <w:lang w:eastAsia="he-IL"/>
        </w:rPr>
        <w:t>methamphetamine</w:t>
      </w:r>
      <w:r w:rsidRPr="00904EA2">
        <w:rPr>
          <w:rFonts w:ascii="David" w:hAnsi="David"/>
          <w:sz w:val="20"/>
          <w:rtl/>
          <w:lang w:eastAsia="he-IL"/>
        </w:rPr>
        <w:t xml:space="preserve"> במשקל 7.13 גרם שלא לצריכה עצמית.</w:t>
      </w:r>
    </w:p>
    <w:p w14:paraId="022D2000" w14:textId="77777777" w:rsidR="00EF7F90" w:rsidRPr="00904EA2" w:rsidRDefault="00EF7F90" w:rsidP="00EF7F90">
      <w:pPr>
        <w:snapToGrid w:val="0"/>
        <w:spacing w:after="80"/>
        <w:ind w:left="720"/>
        <w:contextualSpacing/>
        <w:rPr>
          <w:rFonts w:ascii="David" w:hAnsi="David"/>
          <w:sz w:val="20"/>
          <w:rtl/>
          <w:lang w:eastAsia="he-IL"/>
        </w:rPr>
      </w:pPr>
    </w:p>
    <w:p w14:paraId="183162B0" w14:textId="77777777" w:rsidR="00EF7F90" w:rsidRPr="00904EA2" w:rsidRDefault="00EF7F90" w:rsidP="00EF7F90">
      <w:pPr>
        <w:spacing w:after="160" w:line="360" w:lineRule="auto"/>
        <w:ind w:left="360"/>
        <w:contextualSpacing/>
        <w:jc w:val="both"/>
        <w:rPr>
          <w:rFonts w:ascii="David" w:hAnsi="David"/>
          <w:sz w:val="20"/>
          <w:lang w:eastAsia="he-IL"/>
        </w:rPr>
      </w:pPr>
      <w:r w:rsidRPr="00904EA2">
        <w:rPr>
          <w:rFonts w:ascii="David" w:hAnsi="David"/>
          <w:sz w:val="20"/>
          <w:rtl/>
          <w:lang w:eastAsia="he-IL"/>
        </w:rPr>
        <w:t>ב</w:t>
      </w:r>
      <w:hyperlink r:id="rId16" w:history="1">
        <w:r w:rsidR="00CF500C" w:rsidRPr="00CF500C">
          <w:rPr>
            <w:rFonts w:ascii="David" w:hAnsi="David"/>
            <w:color w:val="0000FF"/>
            <w:sz w:val="20"/>
            <w:u w:val="single"/>
            <w:rtl/>
            <w:lang w:eastAsia="he-IL"/>
          </w:rPr>
          <w:t>ת"פ 2003-15</w:t>
        </w:r>
      </w:hyperlink>
      <w:r w:rsidRPr="00904EA2">
        <w:rPr>
          <w:rFonts w:ascii="David" w:hAnsi="David"/>
          <w:sz w:val="20"/>
          <w:rtl/>
          <w:lang w:eastAsia="he-IL"/>
        </w:rPr>
        <w:t xml:space="preserve"> </w:t>
      </w:r>
      <w:r w:rsidRPr="00904EA2">
        <w:rPr>
          <w:rFonts w:ascii="David" w:hAnsi="David"/>
          <w:b/>
          <w:bCs/>
          <w:sz w:val="20"/>
          <w:rtl/>
          <w:lang w:eastAsia="he-IL"/>
        </w:rPr>
        <w:t xml:space="preserve">מדינת ישראל נ' </w:t>
      </w:r>
      <w:r w:rsidRPr="00904EA2">
        <w:rPr>
          <w:rFonts w:ascii="David" w:hAnsi="David"/>
          <w:b/>
          <w:bCs/>
          <w:sz w:val="20"/>
          <w:szCs w:val="20"/>
          <w:lang w:eastAsia="he-IL"/>
        </w:rPr>
        <w:t>CHENCHOM</w:t>
      </w:r>
      <w:r w:rsidRPr="00904EA2">
        <w:rPr>
          <w:rFonts w:ascii="David" w:hAnsi="David"/>
          <w:sz w:val="20"/>
          <w:rtl/>
          <w:lang w:eastAsia="he-IL"/>
        </w:rPr>
        <w:t xml:space="preserve"> (26.10.15), הנאשם הורשע באחזקת סם מסוג </w:t>
      </w:r>
      <w:r w:rsidRPr="00904EA2">
        <w:rPr>
          <w:rFonts w:ascii="David" w:hAnsi="David"/>
          <w:sz w:val="20"/>
          <w:lang w:eastAsia="he-IL"/>
        </w:rPr>
        <w:t>methamphetamine</w:t>
      </w:r>
      <w:r w:rsidRPr="00904EA2">
        <w:rPr>
          <w:rFonts w:ascii="David" w:hAnsi="David"/>
          <w:sz w:val="20"/>
          <w:rtl/>
          <w:lang w:eastAsia="he-IL"/>
        </w:rPr>
        <w:t xml:space="preserve"> במשקל של 0.54 גרם. ובהספקה של 0.24 גרם. בית המשפט קבע מתחם ענישה הנע בין 10-24 חודשי מאסר וגזר על הנאשם </w:t>
      </w:r>
      <w:r w:rsidRPr="00904EA2">
        <w:rPr>
          <w:rFonts w:ascii="David" w:hAnsi="David"/>
          <w:b/>
          <w:bCs/>
          <w:sz w:val="20"/>
          <w:rtl/>
          <w:lang w:eastAsia="he-IL"/>
        </w:rPr>
        <w:t>10 חודשי מאסר בפועל.</w:t>
      </w:r>
    </w:p>
    <w:p w14:paraId="39A3C6BE" w14:textId="77777777" w:rsidR="00EF7F90" w:rsidRPr="00904EA2" w:rsidRDefault="00EF7F90" w:rsidP="00EF7F90">
      <w:pPr>
        <w:spacing w:after="160" w:line="360" w:lineRule="auto"/>
        <w:ind w:left="360"/>
        <w:contextualSpacing/>
        <w:jc w:val="both"/>
        <w:rPr>
          <w:rFonts w:ascii="David" w:hAnsi="David"/>
          <w:sz w:val="20"/>
          <w:rtl/>
          <w:lang w:eastAsia="he-IL"/>
        </w:rPr>
      </w:pPr>
    </w:p>
    <w:p w14:paraId="5B0C3878" w14:textId="77777777" w:rsidR="00EF7F90" w:rsidRPr="00904EA2" w:rsidRDefault="00EF7F90" w:rsidP="00EF7F90">
      <w:pPr>
        <w:numPr>
          <w:ilvl w:val="0"/>
          <w:numId w:val="1"/>
        </w:numPr>
        <w:snapToGrid w:val="0"/>
        <w:spacing w:after="160" w:line="360" w:lineRule="auto"/>
        <w:contextualSpacing/>
        <w:jc w:val="both"/>
        <w:rPr>
          <w:sz w:val="20"/>
          <w:lang w:eastAsia="he-IL"/>
        </w:rPr>
      </w:pPr>
      <w:r w:rsidRPr="00904EA2">
        <w:rPr>
          <w:rFonts w:ascii="David" w:hAnsi="David"/>
          <w:sz w:val="20"/>
          <w:rtl/>
          <w:lang w:eastAsia="he-IL"/>
        </w:rPr>
        <w:t xml:space="preserve">עולה מן האמור לעיל, כי לא נמצאה תמיכה בפסיקה הנוהגת לעתירת ב"כ הנאשם למתחם המתחיל בענישה צופה פני עתיד ועד 4-5 חודשי מאסר בפועל. גם המתחם לו עתרה המאשימה חמור יותר מן העולה מפסקי הדין שנבחנו. בשים לב למכלול הנסיבות, יש לקבוע במקרה זה מתחם של </w:t>
      </w:r>
      <w:r w:rsidRPr="00904EA2">
        <w:rPr>
          <w:rFonts w:ascii="David" w:hAnsi="David"/>
          <w:b/>
          <w:bCs/>
          <w:sz w:val="20"/>
          <w:rtl/>
          <w:lang w:eastAsia="he-IL"/>
        </w:rPr>
        <w:t>8-24 חודשי מאסר בפועל</w:t>
      </w:r>
      <w:r w:rsidRPr="00904EA2">
        <w:rPr>
          <w:rFonts w:ascii="David" w:hAnsi="David"/>
          <w:sz w:val="20"/>
          <w:rtl/>
          <w:lang w:eastAsia="he-IL"/>
        </w:rPr>
        <w:t>.</w:t>
      </w:r>
    </w:p>
    <w:p w14:paraId="7EDF3E70" w14:textId="77777777" w:rsidR="00EF7F90" w:rsidRPr="00EF7F90" w:rsidRDefault="00EF7F90" w:rsidP="00EF7F90">
      <w:pPr>
        <w:spacing w:after="80" w:line="360" w:lineRule="auto"/>
        <w:jc w:val="both"/>
        <w:rPr>
          <w:rFonts w:ascii="Calibri" w:hAnsi="Calibri"/>
          <w:sz w:val="28"/>
          <w:rtl/>
        </w:rPr>
      </w:pPr>
    </w:p>
    <w:p w14:paraId="556B4FA3" w14:textId="77777777" w:rsidR="00EF7F90" w:rsidRPr="00EF7F90" w:rsidRDefault="00EF7F90" w:rsidP="00EF7F90">
      <w:pPr>
        <w:spacing w:after="80" w:line="360" w:lineRule="auto"/>
        <w:jc w:val="both"/>
        <w:rPr>
          <w:rFonts w:ascii="Calibri" w:hAnsi="Calibri"/>
          <w:b/>
          <w:bCs/>
          <w:u w:val="single"/>
          <w:rtl/>
        </w:rPr>
      </w:pPr>
      <w:r w:rsidRPr="00EF7F90">
        <w:rPr>
          <w:rFonts w:ascii="Calibri" w:hAnsi="Calibri" w:hint="eastAsia"/>
          <w:b/>
          <w:bCs/>
          <w:u w:val="single"/>
          <w:rtl/>
        </w:rPr>
        <w:t>קביעת</w:t>
      </w:r>
      <w:r w:rsidRPr="00EF7F90">
        <w:rPr>
          <w:rFonts w:ascii="Calibri" w:hAnsi="Calibri"/>
          <w:b/>
          <w:bCs/>
          <w:u w:val="single"/>
          <w:rtl/>
        </w:rPr>
        <w:t xml:space="preserve"> </w:t>
      </w:r>
      <w:r w:rsidRPr="00EF7F90">
        <w:rPr>
          <w:rFonts w:ascii="Calibri" w:hAnsi="Calibri" w:hint="eastAsia"/>
          <w:b/>
          <w:bCs/>
          <w:u w:val="single"/>
          <w:rtl/>
        </w:rPr>
        <w:t>העונש</w:t>
      </w:r>
      <w:r w:rsidRPr="00EF7F90">
        <w:rPr>
          <w:rFonts w:ascii="Calibri" w:hAnsi="Calibri"/>
          <w:b/>
          <w:bCs/>
          <w:u w:val="single"/>
          <w:rtl/>
        </w:rPr>
        <w:t xml:space="preserve"> </w:t>
      </w:r>
      <w:r w:rsidRPr="00EF7F90">
        <w:rPr>
          <w:rFonts w:ascii="Calibri" w:hAnsi="Calibri" w:hint="eastAsia"/>
          <w:b/>
          <w:bCs/>
          <w:u w:val="single"/>
          <w:rtl/>
        </w:rPr>
        <w:t>המתאים</w:t>
      </w:r>
      <w:r w:rsidRPr="00EF7F90">
        <w:rPr>
          <w:rFonts w:ascii="Calibri" w:hAnsi="Calibri"/>
          <w:b/>
          <w:bCs/>
          <w:u w:val="single"/>
          <w:rtl/>
        </w:rPr>
        <w:t xml:space="preserve"> </w:t>
      </w:r>
      <w:r w:rsidRPr="00EF7F90">
        <w:rPr>
          <w:rFonts w:ascii="Calibri" w:hAnsi="Calibri" w:hint="eastAsia"/>
          <w:b/>
          <w:bCs/>
          <w:u w:val="single"/>
          <w:rtl/>
        </w:rPr>
        <w:t>בגדרי</w:t>
      </w:r>
      <w:r w:rsidRPr="00EF7F90">
        <w:rPr>
          <w:rFonts w:ascii="Calibri" w:hAnsi="Calibri"/>
          <w:b/>
          <w:bCs/>
          <w:u w:val="single"/>
          <w:rtl/>
        </w:rPr>
        <w:t xml:space="preserve"> </w:t>
      </w:r>
      <w:r w:rsidRPr="00EF7F90">
        <w:rPr>
          <w:rFonts w:ascii="Calibri" w:hAnsi="Calibri" w:hint="eastAsia"/>
          <w:b/>
          <w:bCs/>
          <w:u w:val="single"/>
          <w:rtl/>
        </w:rPr>
        <w:t>המתחם</w:t>
      </w:r>
    </w:p>
    <w:p w14:paraId="10DB1149" w14:textId="77777777" w:rsidR="00EF7F90" w:rsidRPr="00904EA2" w:rsidRDefault="00EF7F90" w:rsidP="00EF7F90">
      <w:pPr>
        <w:numPr>
          <w:ilvl w:val="0"/>
          <w:numId w:val="1"/>
        </w:numPr>
        <w:snapToGrid w:val="0"/>
        <w:spacing w:after="80" w:line="360" w:lineRule="auto"/>
        <w:contextualSpacing/>
        <w:jc w:val="both"/>
        <w:rPr>
          <w:lang w:eastAsia="he-IL"/>
        </w:rPr>
      </w:pPr>
      <w:r w:rsidRPr="00904EA2">
        <w:rPr>
          <w:rtl/>
          <w:lang w:eastAsia="he-IL"/>
        </w:rPr>
        <w:t xml:space="preserve">בגזירת העונש המתאים לנאשם, בגדרי מתחם העונש ההולם, יתחשב בית המשפט בשיקולים כלליים ובשיקולים פרטניים, שאינם קשורים בנסיבות ביצוע העבירה. </w:t>
      </w:r>
    </w:p>
    <w:p w14:paraId="3F32D4AB" w14:textId="77777777" w:rsidR="00EF7F90" w:rsidRPr="00904EA2" w:rsidRDefault="00EF7F90" w:rsidP="00EF7F90">
      <w:pPr>
        <w:snapToGrid w:val="0"/>
        <w:spacing w:after="80" w:line="360" w:lineRule="auto"/>
        <w:ind w:left="360"/>
        <w:contextualSpacing/>
        <w:jc w:val="both"/>
        <w:rPr>
          <w:rtl/>
          <w:lang w:eastAsia="he-IL"/>
        </w:rPr>
      </w:pPr>
    </w:p>
    <w:p w14:paraId="1C1571F9"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לזכות הנאשם הבאתי בחשבון את נטילת האחריות והחיסכון בזמן השיפוטי. עוד הבאתי בחשבון כי הנאשם צעיר בגילו ונעדר עבר פלילי. לקחתי בחשבון, כי הנאשם נמצא בישראל לצרכי פרנסת משפחתו, מנותק מבני משפחתו לתקופה ארוכה. עצם כליאתו, ללא יכולת לפרנס את בני משפחתו בנסיבות אלה צפויה לפגוע במשפחה מאד. היותו זר בישראל, ללא כל גורמי תמיכה ובבדידות מקשה על שהייתו במאסר יתר מהרגיל.</w:t>
      </w:r>
    </w:p>
    <w:p w14:paraId="7DC22CBA" w14:textId="77777777" w:rsidR="00EF7F90" w:rsidRPr="00904EA2" w:rsidRDefault="00EF7F90" w:rsidP="00EF7F90">
      <w:pPr>
        <w:snapToGrid w:val="0"/>
        <w:spacing w:after="80" w:line="360" w:lineRule="auto"/>
        <w:ind w:left="360"/>
        <w:contextualSpacing/>
        <w:jc w:val="both"/>
        <w:rPr>
          <w:rtl/>
          <w:lang w:eastAsia="he-IL"/>
        </w:rPr>
      </w:pPr>
    </w:p>
    <w:p w14:paraId="1D3AE285"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 xml:space="preserve">בהתחשב בכל אלה, יש להטיל על הנאשם עונש בתחתית מתחם הענישה. </w:t>
      </w:r>
    </w:p>
    <w:p w14:paraId="7710C109" w14:textId="77777777" w:rsidR="00EF7F90" w:rsidRPr="00904EA2" w:rsidRDefault="00EF7F90" w:rsidP="00EF7F90">
      <w:pPr>
        <w:snapToGrid w:val="0"/>
        <w:spacing w:after="80" w:line="360" w:lineRule="auto"/>
        <w:ind w:left="360"/>
        <w:contextualSpacing/>
        <w:jc w:val="both"/>
        <w:rPr>
          <w:rtl/>
          <w:lang w:eastAsia="he-IL"/>
        </w:rPr>
      </w:pPr>
      <w:r w:rsidRPr="00904EA2">
        <w:rPr>
          <w:rtl/>
          <w:lang w:eastAsia="he-IL"/>
        </w:rPr>
        <w:t>עוד בשים לב לשיקולים אלה, ובהיעדר כל אינדיקציה בכתב האישום המתוקן להפצת הסם בפועל, אמנע במקרה זה מהטלת קנס.</w:t>
      </w:r>
    </w:p>
    <w:p w14:paraId="58CA635D" w14:textId="77777777" w:rsidR="00EF7F90" w:rsidRPr="00904EA2" w:rsidRDefault="00EF7F90" w:rsidP="00EF7F90">
      <w:pPr>
        <w:snapToGrid w:val="0"/>
        <w:spacing w:after="80" w:line="360" w:lineRule="auto"/>
        <w:ind w:left="360"/>
        <w:contextualSpacing/>
        <w:jc w:val="both"/>
        <w:rPr>
          <w:rtl/>
          <w:lang w:eastAsia="he-IL"/>
        </w:rPr>
      </w:pPr>
    </w:p>
    <w:p w14:paraId="6752D29B" w14:textId="77777777" w:rsidR="00EF7F90" w:rsidRPr="00904EA2" w:rsidRDefault="00EF7F90" w:rsidP="00EF7F90">
      <w:pPr>
        <w:spacing w:after="80" w:line="360" w:lineRule="auto"/>
        <w:jc w:val="both"/>
        <w:rPr>
          <w:rFonts w:ascii="David" w:hAnsi="David"/>
          <w:b/>
          <w:bCs/>
          <w:u w:val="single"/>
          <w:rtl/>
        </w:rPr>
      </w:pPr>
      <w:r w:rsidRPr="00904EA2">
        <w:rPr>
          <w:rFonts w:ascii="David" w:hAnsi="David"/>
          <w:b/>
          <w:bCs/>
          <w:u w:val="single"/>
          <w:rtl/>
        </w:rPr>
        <w:t>סוף דבר:</w:t>
      </w:r>
    </w:p>
    <w:p w14:paraId="6F666CC2" w14:textId="77777777" w:rsidR="00EF7F90" w:rsidRPr="00904EA2" w:rsidRDefault="00EF7F90" w:rsidP="00EF7F90">
      <w:pPr>
        <w:numPr>
          <w:ilvl w:val="0"/>
          <w:numId w:val="1"/>
        </w:numPr>
        <w:snapToGrid w:val="0"/>
        <w:spacing w:after="80" w:line="360" w:lineRule="auto"/>
        <w:contextualSpacing/>
        <w:jc w:val="both"/>
        <w:rPr>
          <w:lang w:eastAsia="he-IL"/>
        </w:rPr>
      </w:pPr>
      <w:r w:rsidRPr="00904EA2">
        <w:rPr>
          <w:rtl/>
          <w:lang w:eastAsia="he-IL"/>
        </w:rPr>
        <w:t>לאחר ששקלתי את מכלול השיקולים כמפורט לעיל אני מטילה על הנאשם את העונשים הבאים:</w:t>
      </w:r>
    </w:p>
    <w:p w14:paraId="47673042" w14:textId="77777777" w:rsidR="00EF7F90" w:rsidRPr="00904EA2" w:rsidRDefault="00EF7F90" w:rsidP="00EF7F90">
      <w:pPr>
        <w:numPr>
          <w:ilvl w:val="0"/>
          <w:numId w:val="2"/>
        </w:numPr>
        <w:spacing w:after="80" w:line="360" w:lineRule="auto"/>
        <w:contextualSpacing/>
        <w:jc w:val="both"/>
        <w:rPr>
          <w:rFonts w:ascii="Arial" w:hAnsi="Arial"/>
        </w:rPr>
      </w:pPr>
      <w:r w:rsidRPr="00904EA2">
        <w:rPr>
          <w:rFonts w:ascii="Arial" w:hAnsi="Arial"/>
          <w:rtl/>
        </w:rPr>
        <w:t>8 חודשי מאסר בפועל, בניכוי ימי מעצרו בתיק זה</w:t>
      </w:r>
      <w:r>
        <w:rPr>
          <w:rFonts w:ascii="Arial" w:hAnsi="Arial" w:hint="cs"/>
          <w:rtl/>
        </w:rPr>
        <w:t xml:space="preserve"> בהתאם לרישומי שב"ס</w:t>
      </w:r>
      <w:r w:rsidRPr="00904EA2">
        <w:rPr>
          <w:rFonts w:ascii="Arial" w:hAnsi="Arial"/>
          <w:rtl/>
        </w:rPr>
        <w:t>.</w:t>
      </w:r>
    </w:p>
    <w:p w14:paraId="5CB32F76" w14:textId="77777777" w:rsidR="00EF7F90" w:rsidRPr="00904EA2" w:rsidRDefault="00EF7F90" w:rsidP="00EF7F90">
      <w:pPr>
        <w:numPr>
          <w:ilvl w:val="0"/>
          <w:numId w:val="2"/>
        </w:numPr>
        <w:spacing w:after="80" w:line="360" w:lineRule="auto"/>
        <w:contextualSpacing/>
        <w:jc w:val="both"/>
        <w:rPr>
          <w:rFonts w:ascii="Arial" w:hAnsi="Arial"/>
        </w:rPr>
      </w:pPr>
      <w:r w:rsidRPr="00904EA2">
        <w:rPr>
          <w:rFonts w:ascii="Arial" w:hAnsi="Arial"/>
          <w:rtl/>
        </w:rPr>
        <w:t>3 חודשי מאסר על תנאי למשך 3 שנים מיום שחרורו, שלא יעבור עבירת סמים מסוג עוון.</w:t>
      </w:r>
    </w:p>
    <w:p w14:paraId="6130B9C0" w14:textId="77777777" w:rsidR="00EF7F90" w:rsidRPr="00904EA2" w:rsidRDefault="00EF7F90" w:rsidP="00EF7F90">
      <w:pPr>
        <w:numPr>
          <w:ilvl w:val="0"/>
          <w:numId w:val="2"/>
        </w:numPr>
        <w:spacing w:after="80" w:line="360" w:lineRule="auto"/>
        <w:contextualSpacing/>
        <w:jc w:val="both"/>
        <w:rPr>
          <w:rFonts w:ascii="Arial" w:hAnsi="Arial"/>
        </w:rPr>
      </w:pPr>
      <w:r w:rsidRPr="00904EA2">
        <w:rPr>
          <w:rFonts w:ascii="Arial" w:hAnsi="Arial"/>
          <w:rtl/>
        </w:rPr>
        <w:t>6 חודשי מאסר על תנאי למשך 3 שנים מיום שחרורו, שלא יעבור עבירת סמים מסוג פשע.</w:t>
      </w:r>
    </w:p>
    <w:p w14:paraId="2552EC91" w14:textId="77777777" w:rsidR="00EF7F90" w:rsidRPr="00EF7F90" w:rsidRDefault="00EF7F90" w:rsidP="00EF7F90">
      <w:pPr>
        <w:spacing w:after="80" w:line="360" w:lineRule="auto"/>
        <w:jc w:val="both"/>
        <w:rPr>
          <w:rFonts w:ascii="Calibri" w:hAnsi="Calibri"/>
          <w:rtl/>
        </w:rPr>
      </w:pPr>
    </w:p>
    <w:p w14:paraId="794A4D24" w14:textId="77777777" w:rsidR="00EF7F90" w:rsidRPr="00EF7F90" w:rsidRDefault="00EF7F90" w:rsidP="00EF7F90">
      <w:pPr>
        <w:spacing w:after="80" w:line="360" w:lineRule="auto"/>
        <w:jc w:val="both"/>
        <w:rPr>
          <w:rFonts w:ascii="Calibri" w:hAnsi="Calibri"/>
          <w:b/>
          <w:bCs/>
          <w:rtl/>
        </w:rPr>
      </w:pPr>
      <w:r w:rsidRPr="00EF7F90">
        <w:rPr>
          <w:rFonts w:ascii="Calibri" w:hAnsi="Calibri" w:hint="eastAsia"/>
          <w:b/>
          <w:bCs/>
          <w:rtl/>
        </w:rPr>
        <w:t>ניתן</w:t>
      </w:r>
      <w:r w:rsidRPr="00EF7F90">
        <w:rPr>
          <w:rFonts w:ascii="Calibri" w:hAnsi="Calibri"/>
          <w:b/>
          <w:bCs/>
          <w:rtl/>
        </w:rPr>
        <w:t xml:space="preserve"> </w:t>
      </w:r>
      <w:r w:rsidRPr="00EF7F90">
        <w:rPr>
          <w:rFonts w:ascii="Calibri" w:hAnsi="Calibri" w:hint="eastAsia"/>
          <w:b/>
          <w:bCs/>
          <w:rtl/>
        </w:rPr>
        <w:t>בזאת</w:t>
      </w:r>
      <w:r w:rsidRPr="00EF7F90">
        <w:rPr>
          <w:rFonts w:ascii="Calibri" w:hAnsi="Calibri"/>
          <w:b/>
          <w:bCs/>
          <w:rtl/>
        </w:rPr>
        <w:t xml:space="preserve"> </w:t>
      </w:r>
      <w:r w:rsidRPr="00EF7F90">
        <w:rPr>
          <w:rFonts w:ascii="Calibri" w:hAnsi="Calibri" w:hint="eastAsia"/>
          <w:b/>
          <w:bCs/>
          <w:rtl/>
        </w:rPr>
        <w:t>צו</w:t>
      </w:r>
      <w:r w:rsidRPr="00EF7F90">
        <w:rPr>
          <w:rFonts w:ascii="Calibri" w:hAnsi="Calibri"/>
          <w:b/>
          <w:bCs/>
          <w:rtl/>
        </w:rPr>
        <w:t xml:space="preserve"> </w:t>
      </w:r>
      <w:r w:rsidRPr="00EF7F90">
        <w:rPr>
          <w:rFonts w:ascii="Calibri" w:hAnsi="Calibri" w:hint="eastAsia"/>
          <w:b/>
          <w:bCs/>
          <w:rtl/>
        </w:rPr>
        <w:t>להשמדת</w:t>
      </w:r>
      <w:r w:rsidRPr="00EF7F90">
        <w:rPr>
          <w:rFonts w:ascii="Calibri" w:hAnsi="Calibri"/>
          <w:b/>
          <w:bCs/>
          <w:rtl/>
        </w:rPr>
        <w:t xml:space="preserve"> </w:t>
      </w:r>
      <w:r w:rsidRPr="00EF7F90">
        <w:rPr>
          <w:rFonts w:ascii="Calibri" w:hAnsi="Calibri" w:hint="eastAsia"/>
          <w:b/>
          <w:bCs/>
          <w:rtl/>
        </w:rPr>
        <w:t>מוצג</w:t>
      </w:r>
      <w:r w:rsidRPr="00EF7F90">
        <w:rPr>
          <w:rFonts w:ascii="Calibri" w:hAnsi="Calibri"/>
          <w:b/>
          <w:bCs/>
          <w:rtl/>
        </w:rPr>
        <w:t xml:space="preserve"> – </w:t>
      </w:r>
      <w:r w:rsidRPr="00EF7F90">
        <w:rPr>
          <w:rFonts w:ascii="Calibri" w:hAnsi="Calibri" w:hint="eastAsia"/>
          <w:b/>
          <w:bCs/>
          <w:rtl/>
        </w:rPr>
        <w:t>סמים</w:t>
      </w:r>
      <w:r w:rsidRPr="00EF7F90">
        <w:rPr>
          <w:rFonts w:ascii="Calibri" w:hAnsi="Calibri" w:hint="cs"/>
          <w:b/>
          <w:bCs/>
          <w:rtl/>
        </w:rPr>
        <w:t>, משקל וסכין בכפוף לחלוף תקופת הערעור</w:t>
      </w:r>
      <w:r w:rsidRPr="00EF7F90">
        <w:rPr>
          <w:rFonts w:ascii="Calibri" w:hAnsi="Calibri"/>
          <w:b/>
          <w:bCs/>
          <w:rtl/>
        </w:rPr>
        <w:t>.</w:t>
      </w:r>
    </w:p>
    <w:p w14:paraId="327E4F72" w14:textId="77777777" w:rsidR="00EF7F90" w:rsidRPr="00EF7F90" w:rsidRDefault="00EF7F90" w:rsidP="00EF7F90">
      <w:pPr>
        <w:spacing w:after="80" w:line="360" w:lineRule="auto"/>
        <w:jc w:val="both"/>
        <w:rPr>
          <w:rFonts w:ascii="Calibri" w:hAnsi="Calibri"/>
          <w:b/>
          <w:bCs/>
          <w:rtl/>
        </w:rPr>
      </w:pPr>
      <w:r w:rsidRPr="00EF7F90">
        <w:rPr>
          <w:rFonts w:ascii="Calibri" w:hAnsi="Calibri" w:hint="cs"/>
          <w:b/>
          <w:bCs/>
          <w:rtl/>
        </w:rPr>
        <w:t xml:space="preserve">סכום כסף ומכשירי טלפון שנתפסו אצל הנאשם בעת מעצרו יוחזרו לנאשם. </w:t>
      </w:r>
    </w:p>
    <w:p w14:paraId="32BA9B83" w14:textId="77777777" w:rsidR="00EF7F90" w:rsidRPr="00CF500C" w:rsidRDefault="00CF500C" w:rsidP="00EF7F90">
      <w:pPr>
        <w:spacing w:after="80"/>
        <w:jc w:val="both"/>
        <w:rPr>
          <w:rFonts w:ascii="Calibri" w:hAnsi="Calibri"/>
          <w:b/>
          <w:bCs/>
          <w:color w:val="FFFFFF"/>
          <w:sz w:val="2"/>
          <w:szCs w:val="2"/>
          <w:rtl/>
        </w:rPr>
      </w:pPr>
      <w:r w:rsidRPr="00CF500C">
        <w:rPr>
          <w:rFonts w:ascii="Calibri" w:hAnsi="Calibri"/>
          <w:b/>
          <w:bCs/>
          <w:color w:val="FFFFFF"/>
          <w:sz w:val="2"/>
          <w:szCs w:val="2"/>
          <w:rtl/>
        </w:rPr>
        <w:t>5129371</w:t>
      </w:r>
    </w:p>
    <w:p w14:paraId="3BECB4ED" w14:textId="77777777" w:rsidR="00EF7F90" w:rsidRPr="00EF7F90" w:rsidRDefault="00CF500C" w:rsidP="00EF7F90">
      <w:pPr>
        <w:spacing w:after="80" w:line="360" w:lineRule="auto"/>
        <w:jc w:val="both"/>
        <w:rPr>
          <w:rFonts w:ascii="Calibri" w:hAnsi="Calibri"/>
          <w:b/>
          <w:bCs/>
        </w:rPr>
      </w:pPr>
      <w:r w:rsidRPr="00CF500C">
        <w:rPr>
          <w:rFonts w:ascii="Calibri" w:hAnsi="Calibri"/>
          <w:b/>
          <w:bCs/>
          <w:color w:val="FFFFFF"/>
          <w:sz w:val="2"/>
          <w:szCs w:val="2"/>
          <w:rtl/>
        </w:rPr>
        <w:t>54678313</w:t>
      </w:r>
      <w:r w:rsidR="00EF7F90" w:rsidRPr="00EF7F90">
        <w:rPr>
          <w:rFonts w:ascii="Calibri" w:hAnsi="Calibri" w:hint="eastAsia"/>
          <w:b/>
          <w:bCs/>
          <w:rtl/>
        </w:rPr>
        <w:t>זכות</w:t>
      </w:r>
      <w:r w:rsidR="00EF7F90" w:rsidRPr="00EF7F90">
        <w:rPr>
          <w:rFonts w:ascii="Calibri" w:hAnsi="Calibri"/>
          <w:b/>
          <w:bCs/>
          <w:rtl/>
        </w:rPr>
        <w:t xml:space="preserve"> </w:t>
      </w:r>
      <w:r w:rsidR="00EF7F90" w:rsidRPr="00EF7F90">
        <w:rPr>
          <w:rFonts w:ascii="Calibri" w:hAnsi="Calibri" w:hint="eastAsia"/>
          <w:b/>
          <w:bCs/>
          <w:rtl/>
        </w:rPr>
        <w:t>ערעור</w:t>
      </w:r>
      <w:r w:rsidR="00EF7F90" w:rsidRPr="00EF7F90">
        <w:rPr>
          <w:rFonts w:ascii="Calibri" w:hAnsi="Calibri"/>
          <w:b/>
          <w:bCs/>
          <w:rtl/>
        </w:rPr>
        <w:t xml:space="preserve"> </w:t>
      </w:r>
      <w:r w:rsidR="00EF7F90" w:rsidRPr="00EF7F90">
        <w:rPr>
          <w:rFonts w:ascii="Calibri" w:hAnsi="Calibri" w:hint="eastAsia"/>
          <w:b/>
          <w:bCs/>
          <w:rtl/>
        </w:rPr>
        <w:t>כחוק</w:t>
      </w:r>
      <w:r w:rsidR="00EF7F90" w:rsidRPr="00EF7F90">
        <w:rPr>
          <w:rFonts w:ascii="Calibri" w:hAnsi="Calibri"/>
          <w:b/>
          <w:bCs/>
          <w:rtl/>
        </w:rPr>
        <w:t>.</w:t>
      </w:r>
    </w:p>
    <w:p w14:paraId="02E5B4C1" w14:textId="77777777" w:rsidR="00EF7F90" w:rsidRDefault="00EF7F90" w:rsidP="00EF7F90">
      <w:pPr>
        <w:jc w:val="both"/>
        <w:rPr>
          <w:rFonts w:ascii="David" w:hAnsi="David"/>
          <w:b/>
          <w:bCs/>
          <w:sz w:val="26"/>
          <w:szCs w:val="26"/>
          <w:rtl/>
        </w:rPr>
      </w:pPr>
    </w:p>
    <w:p w14:paraId="4153FC9F" w14:textId="77777777" w:rsidR="00EF7F90" w:rsidRPr="002B7D23" w:rsidRDefault="00CF500C" w:rsidP="00EF7F90">
      <w:pPr>
        <w:rPr>
          <w:rFonts w:ascii="David" w:hAnsi="David"/>
          <w:sz w:val="26"/>
          <w:szCs w:val="26"/>
          <w:rtl/>
        </w:rPr>
      </w:pPr>
      <w:bookmarkStart w:id="8" w:name="Nitan"/>
      <w:r>
        <w:rPr>
          <w:rFonts w:ascii="David" w:hAnsi="David"/>
          <w:b/>
          <w:bCs/>
          <w:sz w:val="26"/>
          <w:szCs w:val="26"/>
          <w:rtl/>
        </w:rPr>
        <w:t xml:space="preserve">ניתן היום,  ט' אב תשפ"א, 18 יולי 2021, במעמד הצדדים. </w:t>
      </w:r>
      <w:bookmarkEnd w:id="8"/>
    </w:p>
    <w:p w14:paraId="4E0F358E" w14:textId="77777777" w:rsidR="00EF7F90" w:rsidRPr="002B7D23" w:rsidRDefault="00EF7F90" w:rsidP="00CF500C">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886789B" w14:textId="77777777" w:rsidR="00EF7F90" w:rsidRPr="002B7D23" w:rsidRDefault="00EF7F90" w:rsidP="00EF7F90">
      <w:pPr>
        <w:jc w:val="center"/>
        <w:rPr>
          <w:rFonts w:ascii="David" w:hAnsi="David"/>
          <w:sz w:val="26"/>
          <w:szCs w:val="26"/>
          <w:rtl/>
        </w:rPr>
      </w:pPr>
    </w:p>
    <w:p w14:paraId="19CD9AFE" w14:textId="77777777" w:rsidR="009D4CF6" w:rsidRPr="00CF500C" w:rsidRDefault="009D4CF6" w:rsidP="00CF500C">
      <w:pPr>
        <w:keepNext/>
        <w:rPr>
          <w:rFonts w:ascii="David" w:hAnsi="David"/>
          <w:color w:val="000000"/>
          <w:sz w:val="22"/>
          <w:szCs w:val="22"/>
          <w:rtl/>
        </w:rPr>
      </w:pPr>
    </w:p>
    <w:p w14:paraId="7FBFBD17" w14:textId="77777777" w:rsidR="00CF500C" w:rsidRPr="00CF500C" w:rsidRDefault="00CF500C" w:rsidP="00CF500C">
      <w:pPr>
        <w:keepNext/>
        <w:rPr>
          <w:rFonts w:ascii="David" w:hAnsi="David"/>
          <w:color w:val="000000"/>
          <w:sz w:val="22"/>
          <w:szCs w:val="22"/>
          <w:rtl/>
        </w:rPr>
      </w:pPr>
      <w:r w:rsidRPr="00CF500C">
        <w:rPr>
          <w:rFonts w:ascii="David" w:hAnsi="David"/>
          <w:color w:val="000000"/>
          <w:sz w:val="22"/>
          <w:szCs w:val="22"/>
          <w:rtl/>
        </w:rPr>
        <w:t>ענת חולתא 54678313</w:t>
      </w:r>
    </w:p>
    <w:p w14:paraId="79C60BBF" w14:textId="77777777" w:rsidR="00CF500C" w:rsidRDefault="00CF500C" w:rsidP="00CF500C">
      <w:r w:rsidRPr="00CF500C">
        <w:rPr>
          <w:color w:val="000000"/>
          <w:rtl/>
        </w:rPr>
        <w:t>נוסח מסמך זה כפוף לשינויי ניסוח ועריכה</w:t>
      </w:r>
    </w:p>
    <w:p w14:paraId="3DBD89E9" w14:textId="77777777" w:rsidR="00CF500C" w:rsidRDefault="00CF500C" w:rsidP="00CF500C">
      <w:pPr>
        <w:rPr>
          <w:rtl/>
        </w:rPr>
      </w:pPr>
    </w:p>
    <w:p w14:paraId="2B607C4C" w14:textId="77777777" w:rsidR="00CF500C" w:rsidRDefault="00CF500C" w:rsidP="00CF500C">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2F8D427B" w14:textId="77777777" w:rsidR="00CF500C" w:rsidRPr="00CF500C" w:rsidRDefault="00CF500C" w:rsidP="00CF500C">
      <w:pPr>
        <w:jc w:val="center"/>
        <w:rPr>
          <w:color w:val="0000FF"/>
          <w:u w:val="single"/>
        </w:rPr>
      </w:pPr>
    </w:p>
    <w:sectPr w:rsidR="00CF500C" w:rsidRPr="00CF500C" w:rsidSect="00CF500C">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84001" w14:textId="77777777" w:rsidR="00F54E23" w:rsidRDefault="00F54E23" w:rsidP="00626AED">
      <w:r>
        <w:separator/>
      </w:r>
    </w:p>
  </w:endnote>
  <w:endnote w:type="continuationSeparator" w:id="0">
    <w:p w14:paraId="2EBE39CB" w14:textId="77777777" w:rsidR="00F54E23" w:rsidRDefault="00F54E23" w:rsidP="00626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AD50E" w14:textId="77777777" w:rsidR="00CF500C" w:rsidRDefault="00CF500C" w:rsidP="00CF500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6D3C26D1" w14:textId="77777777" w:rsidR="00252D48" w:rsidRPr="00CF500C" w:rsidRDefault="00CF500C" w:rsidP="00CF500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68C8" w14:textId="77777777" w:rsidR="00CF500C" w:rsidRDefault="00CF500C" w:rsidP="00CF500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4EF6">
      <w:rPr>
        <w:rFonts w:ascii="FrankRuehl" w:hAnsi="FrankRuehl" w:cs="FrankRuehl"/>
        <w:noProof/>
        <w:rtl/>
      </w:rPr>
      <w:t>1</w:t>
    </w:r>
    <w:r>
      <w:rPr>
        <w:rFonts w:ascii="FrankRuehl" w:hAnsi="FrankRuehl" w:cs="FrankRuehl"/>
        <w:rtl/>
      </w:rPr>
      <w:fldChar w:fldCharType="end"/>
    </w:r>
  </w:p>
  <w:p w14:paraId="20CE6D2A" w14:textId="77777777" w:rsidR="00252D48" w:rsidRPr="00CF500C" w:rsidRDefault="00CF500C" w:rsidP="00CF500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23CE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5A755" w14:textId="77777777" w:rsidR="00F54E23" w:rsidRDefault="00F54E23" w:rsidP="00626AED">
      <w:r>
        <w:separator/>
      </w:r>
    </w:p>
  </w:footnote>
  <w:footnote w:type="continuationSeparator" w:id="0">
    <w:p w14:paraId="12AC4D59" w14:textId="77777777" w:rsidR="00F54E23" w:rsidRDefault="00F54E23" w:rsidP="00626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04ECB" w14:textId="77777777" w:rsidR="00CF500C" w:rsidRPr="00CF500C" w:rsidRDefault="00CF500C" w:rsidP="00CF500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49106-03-21</w:t>
    </w:r>
    <w:r>
      <w:rPr>
        <w:rFonts w:ascii="David" w:hAnsi="David"/>
        <w:color w:val="000000"/>
        <w:sz w:val="22"/>
        <w:szCs w:val="22"/>
        <w:rtl/>
      </w:rPr>
      <w:tab/>
      <w:t xml:space="preserve"> מדינת ישראל-תביעות נגב נ' </w:t>
    </w:r>
    <w:r>
      <w:rPr>
        <w:rFonts w:ascii="David" w:hAnsi="David"/>
        <w:color w:val="000000"/>
        <w:sz w:val="22"/>
        <w:szCs w:val="22"/>
      </w:rPr>
      <w:t>THINNAKORN YANGBUEAK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A844B" w14:textId="77777777" w:rsidR="00CF500C" w:rsidRPr="00CF500C" w:rsidRDefault="00CF500C" w:rsidP="00CF500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49106-03-21</w:t>
    </w:r>
    <w:r>
      <w:rPr>
        <w:rFonts w:ascii="David" w:hAnsi="David"/>
        <w:color w:val="000000"/>
        <w:sz w:val="22"/>
        <w:szCs w:val="22"/>
        <w:rtl/>
      </w:rPr>
      <w:tab/>
      <w:t xml:space="preserve"> מדינת ישראל-תביעות נגב נ' </w:t>
    </w:r>
    <w:r>
      <w:rPr>
        <w:rFonts w:ascii="David" w:hAnsi="David"/>
        <w:color w:val="000000"/>
        <w:sz w:val="22"/>
        <w:szCs w:val="22"/>
      </w:rPr>
      <w:t>THINNAKORN YANGBUEAK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2768B"/>
    <w:multiLevelType w:val="hybridMultilevel"/>
    <w:tmpl w:val="FFECB42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2047AD2"/>
    <w:multiLevelType w:val="hybridMultilevel"/>
    <w:tmpl w:val="27A446BC"/>
    <w:lvl w:ilvl="0" w:tplc="1C262962">
      <w:start w:val="1"/>
      <w:numFmt w:val="decimal"/>
      <w:lvlText w:val="%1."/>
      <w:lvlJc w:val="left"/>
      <w:pPr>
        <w:ind w:left="360" w:hanging="360"/>
      </w:pPr>
      <w:rPr>
        <w:rFonts w:cs="David"/>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63116948">
    <w:abstractNumId w:val="1"/>
  </w:num>
  <w:num w:numId="2" w16cid:durableId="148419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7F90"/>
    <w:rsid w:val="00252D48"/>
    <w:rsid w:val="002B0AFA"/>
    <w:rsid w:val="004347F3"/>
    <w:rsid w:val="0044248D"/>
    <w:rsid w:val="004B21B3"/>
    <w:rsid w:val="00552274"/>
    <w:rsid w:val="00626AED"/>
    <w:rsid w:val="00714EF6"/>
    <w:rsid w:val="00745154"/>
    <w:rsid w:val="00956F4D"/>
    <w:rsid w:val="009A4E4C"/>
    <w:rsid w:val="009D4CF6"/>
    <w:rsid w:val="00BF6BCE"/>
    <w:rsid w:val="00CF500C"/>
    <w:rsid w:val="00E701AB"/>
    <w:rsid w:val="00EF7F90"/>
    <w:rsid w:val="00F54E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BC222F"/>
  <w15:chartTrackingRefBased/>
  <w15:docId w15:val="{BDC8A820-01DB-45CB-9942-0C6FEAE6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7F9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7F90"/>
    <w:pPr>
      <w:tabs>
        <w:tab w:val="center" w:pos="4153"/>
        <w:tab w:val="right" w:pos="8306"/>
      </w:tabs>
    </w:pPr>
  </w:style>
  <w:style w:type="character" w:customStyle="1" w:styleId="a4">
    <w:name w:val="כותרת עליונה תו"/>
    <w:link w:val="a3"/>
    <w:rsid w:val="00EF7F90"/>
    <w:rPr>
      <w:rFonts w:ascii="Times New Roman" w:eastAsia="Times New Roman" w:hAnsi="Times New Roman" w:cs="David"/>
      <w:sz w:val="24"/>
      <w:szCs w:val="24"/>
    </w:rPr>
  </w:style>
  <w:style w:type="paragraph" w:styleId="a5">
    <w:name w:val="footer"/>
    <w:basedOn w:val="a"/>
    <w:link w:val="a6"/>
    <w:rsid w:val="00EF7F90"/>
    <w:pPr>
      <w:tabs>
        <w:tab w:val="center" w:pos="4153"/>
        <w:tab w:val="right" w:pos="8306"/>
      </w:tabs>
    </w:pPr>
  </w:style>
  <w:style w:type="character" w:customStyle="1" w:styleId="a6">
    <w:name w:val="כותרת תחתונה תו"/>
    <w:link w:val="a5"/>
    <w:rsid w:val="00EF7F90"/>
    <w:rPr>
      <w:rFonts w:ascii="Times New Roman" w:eastAsia="Times New Roman" w:hAnsi="Times New Roman" w:cs="David"/>
      <w:sz w:val="24"/>
      <w:szCs w:val="24"/>
    </w:rPr>
  </w:style>
  <w:style w:type="table" w:styleId="a7">
    <w:name w:val="Table Grid"/>
    <w:basedOn w:val="a1"/>
    <w:rsid w:val="00EF7F9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F7F90"/>
  </w:style>
  <w:style w:type="character" w:styleId="Hyperlink">
    <w:name w:val="Hyperlink"/>
    <w:rsid w:val="00CF5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5541125"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case/27493768" TargetMode="External"/><Relationship Id="rId12" Type="http://schemas.openxmlformats.org/officeDocument/2006/relationships/hyperlink" Target="http://www.nevo.co.il/case/27093899"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048418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5" Type="http://schemas.openxmlformats.org/officeDocument/2006/relationships/footnotes" Target="footnotes.xml"/><Relationship Id="rId15" Type="http://schemas.openxmlformats.org/officeDocument/2006/relationships/hyperlink" Target="http://www.nevo.co.il/case/18744749" TargetMode="External"/><Relationship Id="rId23"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20090710"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1323</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7926</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3801213</vt:i4>
      </vt:variant>
      <vt:variant>
        <vt:i4>27</vt:i4>
      </vt:variant>
      <vt:variant>
        <vt:i4>0</vt:i4>
      </vt:variant>
      <vt:variant>
        <vt:i4>5</vt:i4>
      </vt:variant>
      <vt:variant>
        <vt:lpwstr>http://www.nevo.co.il/case/20484186</vt:lpwstr>
      </vt:variant>
      <vt:variant>
        <vt:lpwstr/>
      </vt:variant>
      <vt:variant>
        <vt:i4>3539071</vt:i4>
      </vt:variant>
      <vt:variant>
        <vt:i4>24</vt:i4>
      </vt:variant>
      <vt:variant>
        <vt:i4>0</vt:i4>
      </vt:variant>
      <vt:variant>
        <vt:i4>5</vt:i4>
      </vt:variant>
      <vt:variant>
        <vt:lpwstr>http://www.nevo.co.il/case/18744749</vt:lpwstr>
      </vt:variant>
      <vt:variant>
        <vt:lpwstr/>
      </vt:variant>
      <vt:variant>
        <vt:i4>3342458</vt:i4>
      </vt:variant>
      <vt:variant>
        <vt:i4>21</vt:i4>
      </vt:variant>
      <vt:variant>
        <vt:i4>0</vt:i4>
      </vt:variant>
      <vt:variant>
        <vt:i4>5</vt:i4>
      </vt:variant>
      <vt:variant>
        <vt:lpwstr>http://www.nevo.co.il/case/20090710</vt:lpwstr>
      </vt:variant>
      <vt:variant>
        <vt:lpwstr/>
      </vt:variant>
      <vt:variant>
        <vt:i4>3407988</vt:i4>
      </vt:variant>
      <vt:variant>
        <vt:i4>18</vt:i4>
      </vt:variant>
      <vt:variant>
        <vt:i4>0</vt:i4>
      </vt:variant>
      <vt:variant>
        <vt:i4>5</vt:i4>
      </vt:variant>
      <vt:variant>
        <vt:lpwstr>http://www.nevo.co.il/case/25541125</vt:lpwstr>
      </vt:variant>
      <vt:variant>
        <vt:lpwstr/>
      </vt:variant>
      <vt:variant>
        <vt:i4>3670130</vt:i4>
      </vt:variant>
      <vt:variant>
        <vt:i4>15</vt:i4>
      </vt:variant>
      <vt:variant>
        <vt:i4>0</vt:i4>
      </vt:variant>
      <vt:variant>
        <vt:i4>5</vt:i4>
      </vt:variant>
      <vt:variant>
        <vt:lpwstr>http://www.nevo.co.il/case/27093899</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3342461</vt:i4>
      </vt:variant>
      <vt:variant>
        <vt:i4>0</vt:i4>
      </vt:variant>
      <vt:variant>
        <vt:i4>0</vt:i4>
      </vt:variant>
      <vt:variant>
        <vt:i4>5</vt:i4>
      </vt:variant>
      <vt:variant>
        <vt:lpwstr>http://www.nevo.co.il/case/27493768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2025-04-23T00:58:00Z</dcterms:created>
  <dcterms:modified xsi:type="dcterms:W3CDTF">2025-04-23T00:58:00Z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49106</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ישראל-תביעות נגב</vt:lpwstr>
  </property>
  <property fmtid="{D5CDD505-2E9C-101B-9397-08002B2CF9AE}" pid="9" name="APPELLEE">
    <vt:lpwstr>THINNAKORN YANGBUEAK</vt:lpwstr>
  </property>
  <property fmtid="{D5CDD505-2E9C-101B-9397-08002B2CF9AE}" pid="10" name="LAWYER">
    <vt:lpwstr>לי גורמן;אברהים אלקורעאן</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20210718</vt:lpwstr>
  </property>
  <property fmtid="{D5CDD505-2E9C-101B-9397-08002B2CF9AE}" pid="14" name="TYPE_N_DATE">
    <vt:lpwstr>38020210718</vt:lpwstr>
  </property>
  <property fmtid="{D5CDD505-2E9C-101B-9397-08002B2CF9AE}" pid="15" name="WORDNUMPAGES">
    <vt:lpwstr>5</vt:lpwstr>
  </property>
  <property fmtid="{D5CDD505-2E9C-101B-9397-08002B2CF9AE}" pid="16" name="TYPE_ABS_DATE">
    <vt:lpwstr>380020210718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27493768;27093899;25541125;20090710;18744749;20484186</vt:lpwstr>
  </property>
  <property fmtid="{D5CDD505-2E9C-101B-9397-08002B2CF9AE}" pid="36" name="LAWLISTTMP1">
    <vt:lpwstr>4216/007.a;007.c</vt:lpwstr>
  </property>
</Properties>
</file>