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199"/>
      </w:tblGrid>
      <w:tr w:rsidR="0042544E" w:rsidRPr="00C75905" w14:paraId="0A43FA56" w14:textId="77777777" w:rsidTr="00035FE0">
        <w:trPr>
          <w:trHeight w:hRule="exact" w:val="418"/>
          <w:jc w:val="center"/>
        </w:trPr>
        <w:tc>
          <w:tcPr>
            <w:tcW w:w="8253" w:type="dxa"/>
            <w:gridSpan w:val="2"/>
          </w:tcPr>
          <w:p w14:paraId="77978130" w14:textId="77777777" w:rsidR="0042544E" w:rsidRPr="00C75905" w:rsidRDefault="0042544E" w:rsidP="003709B1">
            <w:pPr>
              <w:pStyle w:val="a3"/>
              <w:jc w:val="center"/>
              <w:rPr>
                <w:rFonts w:ascii="Tahoma" w:hAnsi="Tahoma" w:cs="Tahoma"/>
                <w:color w:val="000080"/>
                <w:rtl/>
              </w:rPr>
            </w:pPr>
            <w:bookmarkStart w:id="0" w:name="LastJudge"/>
            <w:r w:rsidRPr="00C75905">
              <w:rPr>
                <w:rFonts w:ascii="Tahoma" w:hAnsi="Tahoma" w:cs="Tahoma"/>
                <w:b/>
                <w:bCs/>
                <w:color w:val="000080"/>
                <w:rtl/>
              </w:rPr>
              <w:t>בית משפט השלום בבאר שבע</w:t>
            </w:r>
          </w:p>
        </w:tc>
      </w:tr>
      <w:tr w:rsidR="0042544E" w:rsidRPr="00C75905" w14:paraId="7854BE00" w14:textId="77777777" w:rsidTr="00035FE0">
        <w:trPr>
          <w:trHeight w:val="337"/>
          <w:jc w:val="center"/>
        </w:trPr>
        <w:tc>
          <w:tcPr>
            <w:tcW w:w="5054" w:type="dxa"/>
          </w:tcPr>
          <w:p w14:paraId="6CE77E4B" w14:textId="77777777" w:rsidR="0042544E" w:rsidRPr="00343E63" w:rsidRDefault="0042544E" w:rsidP="00343E63">
            <w:pPr>
              <w:pStyle w:val="a3"/>
              <w:spacing w:before="120" w:after="120" w:line="240" w:lineRule="exact"/>
              <w:rPr>
                <w:rFonts w:ascii="David" w:hAnsi="David"/>
                <w:b/>
                <w:bCs/>
                <w:sz w:val="26"/>
                <w:szCs w:val="26"/>
                <w:rtl/>
              </w:rPr>
            </w:pPr>
            <w:r w:rsidRPr="00343E63">
              <w:rPr>
                <w:rFonts w:ascii="David" w:hAnsi="David"/>
                <w:b/>
                <w:bCs/>
                <w:sz w:val="26"/>
                <w:szCs w:val="26"/>
                <w:rtl/>
              </w:rPr>
              <w:t>ת"פ 56691-03-21 מדינת ישראל נ' יהושוע</w:t>
            </w:r>
          </w:p>
        </w:tc>
        <w:tc>
          <w:tcPr>
            <w:tcW w:w="3199" w:type="dxa"/>
          </w:tcPr>
          <w:p w14:paraId="07E50746" w14:textId="77777777" w:rsidR="0042544E" w:rsidRPr="00343E63" w:rsidRDefault="0042544E" w:rsidP="00343E63">
            <w:pPr>
              <w:pStyle w:val="a3"/>
              <w:spacing w:before="120" w:after="120" w:line="240" w:lineRule="exact"/>
              <w:jc w:val="right"/>
              <w:rPr>
                <w:rFonts w:ascii="David" w:hAnsi="David"/>
                <w:b/>
                <w:bCs/>
                <w:sz w:val="26"/>
                <w:szCs w:val="26"/>
                <w:rtl/>
              </w:rPr>
            </w:pPr>
          </w:p>
        </w:tc>
      </w:tr>
    </w:tbl>
    <w:p w14:paraId="660A0154" w14:textId="77777777" w:rsidR="00343E63" w:rsidRDefault="00343E63" w:rsidP="00035FE0">
      <w:pPr>
        <w:spacing w:after="120" w:line="240" w:lineRule="exact"/>
        <w:ind w:left="283" w:hanging="283"/>
        <w:jc w:val="both"/>
        <w:rPr>
          <w:rFonts w:ascii="FrankRuehl" w:hAnsi="FrankRuehl" w:cs="FrankRuehl" w:hint="cs"/>
          <w:rtl/>
        </w:rPr>
      </w:pPr>
    </w:p>
    <w:tbl>
      <w:tblPr>
        <w:bidiVisu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6"/>
        <w:gridCol w:w="4678"/>
      </w:tblGrid>
      <w:tr w:rsidR="00343E63" w:rsidRPr="00343E63" w14:paraId="7F38AC8C" w14:textId="77777777" w:rsidTr="00C95179">
        <w:trPr>
          <w:trHeight w:val="355"/>
          <w:jc w:val="center"/>
        </w:trPr>
        <w:tc>
          <w:tcPr>
            <w:tcW w:w="8214" w:type="dxa"/>
            <w:gridSpan w:val="2"/>
            <w:tcBorders>
              <w:top w:val="nil"/>
              <w:left w:val="nil"/>
              <w:bottom w:val="nil"/>
              <w:right w:val="nil"/>
            </w:tcBorders>
            <w:shd w:val="clear" w:color="auto" w:fill="auto"/>
          </w:tcPr>
          <w:p w14:paraId="28E1F31F" w14:textId="77777777" w:rsidR="00343E63" w:rsidRPr="00343E63" w:rsidRDefault="00343E63" w:rsidP="00C95179">
            <w:pPr>
              <w:suppressLineNumbers/>
              <w:spacing w:before="120" w:after="120" w:line="240" w:lineRule="exact"/>
              <w:rPr>
                <w:rFonts w:ascii="David" w:hAnsi="David"/>
                <w:b/>
                <w:bCs/>
                <w:sz w:val="26"/>
                <w:szCs w:val="26"/>
                <w:rtl/>
              </w:rPr>
            </w:pPr>
            <w:r w:rsidRPr="00343E63">
              <w:rPr>
                <w:rFonts w:ascii="David" w:hAnsi="David"/>
                <w:b/>
                <w:bCs/>
                <w:sz w:val="26"/>
                <w:szCs w:val="26"/>
                <w:rtl/>
              </w:rPr>
              <w:t>כבוד השופטת   שוש שטרית</w:t>
            </w:r>
          </w:p>
        </w:tc>
      </w:tr>
      <w:tr w:rsidR="00343E63" w:rsidRPr="00343E63" w14:paraId="2927A42F" w14:textId="77777777" w:rsidTr="00C95179">
        <w:trPr>
          <w:trHeight w:val="355"/>
          <w:jc w:val="center"/>
        </w:trPr>
        <w:tc>
          <w:tcPr>
            <w:tcW w:w="3536" w:type="dxa"/>
            <w:tcBorders>
              <w:top w:val="nil"/>
              <w:left w:val="nil"/>
              <w:bottom w:val="nil"/>
              <w:right w:val="nil"/>
            </w:tcBorders>
            <w:shd w:val="clear" w:color="auto" w:fill="auto"/>
          </w:tcPr>
          <w:p w14:paraId="3C407138" w14:textId="77777777" w:rsidR="00343E63" w:rsidRPr="00343E63" w:rsidRDefault="00343E63" w:rsidP="00C95179">
            <w:pPr>
              <w:suppressLineNumbers/>
              <w:spacing w:before="120" w:after="120" w:line="240" w:lineRule="exact"/>
              <w:rPr>
                <w:rFonts w:ascii="David" w:hAnsi="David"/>
                <w:b/>
                <w:bCs/>
                <w:sz w:val="26"/>
                <w:szCs w:val="26"/>
              </w:rPr>
            </w:pPr>
            <w:r w:rsidRPr="00343E63">
              <w:rPr>
                <w:rFonts w:ascii="David" w:hAnsi="David"/>
                <w:b/>
                <w:bCs/>
                <w:sz w:val="26"/>
                <w:szCs w:val="26"/>
                <w:rtl/>
              </w:rPr>
              <w:t>המאשימה</w:t>
            </w:r>
          </w:p>
          <w:p w14:paraId="0F443CA6" w14:textId="77777777" w:rsidR="00343E63" w:rsidRPr="00343E63" w:rsidRDefault="00343E63" w:rsidP="00C95179">
            <w:pPr>
              <w:spacing w:before="120" w:after="120" w:line="240" w:lineRule="exact"/>
              <w:rPr>
                <w:rFonts w:ascii="David" w:hAnsi="David"/>
                <w:b/>
                <w:bCs/>
                <w:sz w:val="26"/>
                <w:szCs w:val="26"/>
              </w:rPr>
            </w:pPr>
          </w:p>
        </w:tc>
        <w:tc>
          <w:tcPr>
            <w:tcW w:w="4678" w:type="dxa"/>
            <w:tcBorders>
              <w:top w:val="nil"/>
              <w:left w:val="nil"/>
              <w:bottom w:val="nil"/>
              <w:right w:val="nil"/>
            </w:tcBorders>
            <w:shd w:val="clear" w:color="auto" w:fill="auto"/>
            <w:vAlign w:val="center"/>
          </w:tcPr>
          <w:p w14:paraId="47D774D6" w14:textId="77777777" w:rsidR="00343E63" w:rsidRPr="00343E63" w:rsidRDefault="00343E63" w:rsidP="00C95179">
            <w:pPr>
              <w:suppressLineNumbers/>
              <w:spacing w:before="120" w:after="120" w:line="240" w:lineRule="exact"/>
              <w:rPr>
                <w:rFonts w:ascii="David" w:hAnsi="David"/>
                <w:b/>
                <w:bCs/>
                <w:sz w:val="26"/>
                <w:szCs w:val="26"/>
                <w:rtl/>
              </w:rPr>
            </w:pPr>
            <w:r w:rsidRPr="00343E63">
              <w:rPr>
                <w:rFonts w:ascii="David" w:hAnsi="David"/>
                <w:b/>
                <w:bCs/>
                <w:sz w:val="26"/>
                <w:szCs w:val="26"/>
                <w:rtl/>
              </w:rPr>
              <w:t>מדינת ישראל – תביעות נגב</w:t>
            </w:r>
          </w:p>
          <w:p w14:paraId="2FAA08FD" w14:textId="77777777" w:rsidR="00343E63" w:rsidRPr="00343E63" w:rsidRDefault="00343E63" w:rsidP="00C95179">
            <w:pPr>
              <w:suppressLineNumbers/>
              <w:spacing w:before="120" w:after="120" w:line="240" w:lineRule="exact"/>
              <w:rPr>
                <w:rFonts w:ascii="David" w:hAnsi="David" w:hint="cs"/>
                <w:b/>
                <w:bCs/>
                <w:sz w:val="26"/>
                <w:szCs w:val="26"/>
              </w:rPr>
            </w:pPr>
            <w:r w:rsidRPr="00343E63">
              <w:rPr>
                <w:rFonts w:ascii="David" w:hAnsi="David"/>
                <w:b/>
                <w:bCs/>
                <w:sz w:val="26"/>
                <w:szCs w:val="26"/>
                <w:rtl/>
              </w:rPr>
              <w:t>ע"י ב"כ עוה"ד לי מגן</w:t>
            </w:r>
          </w:p>
        </w:tc>
      </w:tr>
      <w:tr w:rsidR="00343E63" w:rsidRPr="00343E63" w14:paraId="523F5FAB" w14:textId="77777777" w:rsidTr="00C95179">
        <w:trPr>
          <w:trHeight w:val="355"/>
          <w:jc w:val="center"/>
        </w:trPr>
        <w:tc>
          <w:tcPr>
            <w:tcW w:w="8214" w:type="dxa"/>
            <w:gridSpan w:val="2"/>
            <w:tcBorders>
              <w:top w:val="nil"/>
              <w:left w:val="nil"/>
              <w:bottom w:val="nil"/>
              <w:right w:val="nil"/>
            </w:tcBorders>
            <w:shd w:val="clear" w:color="auto" w:fill="auto"/>
          </w:tcPr>
          <w:p w14:paraId="70D2637B" w14:textId="77777777" w:rsidR="00343E63" w:rsidRPr="00343E63" w:rsidRDefault="00343E63" w:rsidP="00343E63">
            <w:pPr>
              <w:spacing w:before="240" w:after="240" w:line="240" w:lineRule="exact"/>
              <w:jc w:val="center"/>
              <w:rPr>
                <w:rFonts w:ascii="David" w:hAnsi="David" w:hint="cs"/>
                <w:b/>
                <w:bCs/>
                <w:sz w:val="26"/>
                <w:szCs w:val="26"/>
              </w:rPr>
            </w:pPr>
            <w:r w:rsidRPr="00343E63">
              <w:rPr>
                <w:rFonts w:ascii="David" w:hAnsi="David"/>
                <w:b/>
                <w:bCs/>
                <w:sz w:val="26"/>
                <w:szCs w:val="26"/>
                <w:rtl/>
              </w:rPr>
              <w:t>נגד</w:t>
            </w:r>
          </w:p>
        </w:tc>
      </w:tr>
      <w:tr w:rsidR="00343E63" w:rsidRPr="00343E63" w14:paraId="17CEFE66" w14:textId="77777777" w:rsidTr="00C95179">
        <w:trPr>
          <w:trHeight w:val="355"/>
          <w:jc w:val="center"/>
        </w:trPr>
        <w:tc>
          <w:tcPr>
            <w:tcW w:w="3536" w:type="dxa"/>
            <w:tcBorders>
              <w:top w:val="nil"/>
              <w:left w:val="nil"/>
              <w:bottom w:val="nil"/>
              <w:right w:val="nil"/>
            </w:tcBorders>
            <w:shd w:val="clear" w:color="auto" w:fill="auto"/>
          </w:tcPr>
          <w:p w14:paraId="6445F1DE" w14:textId="77777777" w:rsidR="00343E63" w:rsidRPr="00343E63" w:rsidRDefault="00343E63" w:rsidP="00C95179">
            <w:pPr>
              <w:spacing w:before="120" w:after="120" w:line="240" w:lineRule="exact"/>
              <w:rPr>
                <w:rFonts w:ascii="David" w:hAnsi="David"/>
                <w:b/>
                <w:bCs/>
                <w:sz w:val="26"/>
                <w:szCs w:val="26"/>
                <w:rtl/>
              </w:rPr>
            </w:pPr>
            <w:r w:rsidRPr="00343E63">
              <w:rPr>
                <w:rFonts w:ascii="David" w:hAnsi="David"/>
                <w:b/>
                <w:bCs/>
                <w:sz w:val="26"/>
                <w:szCs w:val="26"/>
                <w:rtl/>
              </w:rPr>
              <w:t>הנאשם</w:t>
            </w:r>
          </w:p>
        </w:tc>
        <w:tc>
          <w:tcPr>
            <w:tcW w:w="4678" w:type="dxa"/>
            <w:tcBorders>
              <w:top w:val="nil"/>
              <w:left w:val="nil"/>
              <w:bottom w:val="nil"/>
              <w:right w:val="nil"/>
            </w:tcBorders>
            <w:shd w:val="clear" w:color="auto" w:fill="auto"/>
            <w:vAlign w:val="center"/>
          </w:tcPr>
          <w:p w14:paraId="6A5CCE2D" w14:textId="77777777" w:rsidR="00343E63" w:rsidRPr="00343E63" w:rsidRDefault="00343E63" w:rsidP="00C95179">
            <w:pPr>
              <w:suppressLineNumbers/>
              <w:spacing w:before="120" w:after="120" w:line="240" w:lineRule="exact"/>
              <w:rPr>
                <w:rFonts w:ascii="David" w:hAnsi="David"/>
                <w:b/>
                <w:bCs/>
                <w:sz w:val="26"/>
                <w:szCs w:val="26"/>
                <w:rtl/>
              </w:rPr>
            </w:pPr>
            <w:r w:rsidRPr="00343E63">
              <w:rPr>
                <w:rFonts w:ascii="David" w:hAnsi="David"/>
                <w:b/>
                <w:bCs/>
                <w:sz w:val="26"/>
                <w:szCs w:val="26"/>
                <w:rtl/>
              </w:rPr>
              <w:t xml:space="preserve">בנג'מין יהושוע </w:t>
            </w:r>
          </w:p>
          <w:p w14:paraId="055E9035" w14:textId="77777777" w:rsidR="00343E63" w:rsidRPr="00343E63" w:rsidRDefault="00343E63" w:rsidP="00C95179">
            <w:pPr>
              <w:spacing w:before="120" w:after="120" w:line="240" w:lineRule="exact"/>
              <w:rPr>
                <w:rFonts w:ascii="David" w:hAnsi="David"/>
                <w:b/>
                <w:bCs/>
                <w:sz w:val="26"/>
                <w:szCs w:val="26"/>
              </w:rPr>
            </w:pPr>
            <w:r w:rsidRPr="00343E63">
              <w:rPr>
                <w:rFonts w:ascii="David" w:hAnsi="David"/>
                <w:b/>
                <w:bCs/>
                <w:sz w:val="26"/>
                <w:szCs w:val="26"/>
                <w:rtl/>
              </w:rPr>
              <w:t>ע"י ב"כ עוה"ד נורית מעתוק</w:t>
            </w:r>
          </w:p>
        </w:tc>
      </w:tr>
    </w:tbl>
    <w:p w14:paraId="7B024AEB" w14:textId="77777777" w:rsidR="00343E63" w:rsidRPr="00343E63" w:rsidRDefault="00343E63" w:rsidP="00035FE0">
      <w:pPr>
        <w:spacing w:after="120" w:line="240" w:lineRule="exact"/>
        <w:ind w:left="283" w:hanging="283"/>
        <w:jc w:val="both"/>
        <w:rPr>
          <w:rFonts w:ascii="FrankRuehl" w:hAnsi="FrankRuehl" w:cs="FrankRuehl" w:hint="cs"/>
          <w:rtl/>
        </w:rPr>
      </w:pPr>
    </w:p>
    <w:p w14:paraId="22011E99" w14:textId="77777777" w:rsidR="00343E63" w:rsidRPr="00343E63" w:rsidRDefault="00343E63" w:rsidP="00343E63">
      <w:pPr>
        <w:spacing w:before="120" w:after="120" w:line="240" w:lineRule="exact"/>
        <w:ind w:left="283" w:hanging="283"/>
        <w:jc w:val="both"/>
        <w:rPr>
          <w:rFonts w:ascii="FrankRuehl" w:hAnsi="FrankRuehl" w:cs="FrankRuehl"/>
          <w:rtl/>
        </w:rPr>
      </w:pPr>
      <w:r w:rsidRPr="00343E63">
        <w:rPr>
          <w:rFonts w:ascii="FrankRuehl" w:hAnsi="FrankRuehl" w:cs="FrankRuehl"/>
          <w:rtl/>
        </w:rPr>
        <w:t xml:space="preserve">חקיקה שאוזכרה: </w:t>
      </w:r>
    </w:p>
    <w:p w14:paraId="1FFF8590" w14:textId="77777777" w:rsidR="00343E63" w:rsidRPr="00343E63" w:rsidRDefault="00343E63" w:rsidP="00343E63">
      <w:pPr>
        <w:spacing w:before="120" w:after="120" w:line="240" w:lineRule="exact"/>
        <w:ind w:left="283" w:hanging="283"/>
        <w:jc w:val="both"/>
        <w:rPr>
          <w:rFonts w:ascii="FrankRuehl" w:hAnsi="FrankRuehl" w:cs="FrankRuehl"/>
          <w:color w:val="0000FF"/>
          <w:rtl/>
        </w:rPr>
      </w:pPr>
      <w:hyperlink r:id="rId7" w:history="1">
        <w:r w:rsidRPr="00343E63">
          <w:rPr>
            <w:rStyle w:val="Hyperlink"/>
            <w:rFonts w:ascii="FrankRuehl" w:hAnsi="FrankRuehl" w:cs="FrankRuehl"/>
            <w:u w:val="none"/>
            <w:rtl/>
          </w:rPr>
          <w:t>פקודת הסמים המסוכנים [נוסח חדש], תשל"ג-1973</w:t>
        </w:r>
      </w:hyperlink>
      <w:r w:rsidRPr="00343E63">
        <w:rPr>
          <w:rFonts w:ascii="FrankRuehl" w:hAnsi="FrankRuehl" w:cs="FrankRuehl"/>
          <w:color w:val="0000FF"/>
          <w:rtl/>
        </w:rPr>
        <w:t xml:space="preserve">: סע'  </w:t>
      </w:r>
      <w:hyperlink r:id="rId8" w:history="1">
        <w:r w:rsidRPr="00343E63">
          <w:rPr>
            <w:rStyle w:val="Hyperlink"/>
            <w:rFonts w:ascii="FrankRuehl" w:hAnsi="FrankRuehl" w:cs="FrankRuehl"/>
            <w:u w:val="none"/>
          </w:rPr>
          <w:t>6</w:t>
        </w:r>
      </w:hyperlink>
      <w:r w:rsidRPr="00343E63">
        <w:rPr>
          <w:rFonts w:ascii="FrankRuehl" w:hAnsi="FrankRuehl" w:cs="FrankRuehl"/>
          <w:color w:val="0000FF"/>
          <w:rtl/>
        </w:rPr>
        <w:t xml:space="preserve">, </w:t>
      </w:r>
      <w:hyperlink r:id="rId9" w:history="1">
        <w:r w:rsidRPr="00343E63">
          <w:rPr>
            <w:rStyle w:val="Hyperlink"/>
            <w:rFonts w:ascii="FrankRuehl" w:hAnsi="FrankRuehl" w:cs="FrankRuehl"/>
            <w:u w:val="none"/>
          </w:rPr>
          <w:t>13</w:t>
        </w:r>
      </w:hyperlink>
      <w:r w:rsidRPr="00343E63">
        <w:rPr>
          <w:rFonts w:ascii="FrankRuehl" w:hAnsi="FrankRuehl" w:cs="FrankRuehl"/>
          <w:color w:val="0000FF"/>
          <w:rtl/>
        </w:rPr>
        <w:t xml:space="preserve">, </w:t>
      </w:r>
      <w:hyperlink r:id="rId10" w:history="1">
        <w:r w:rsidRPr="00343E63">
          <w:rPr>
            <w:rStyle w:val="Hyperlink"/>
            <w:rFonts w:ascii="FrankRuehl" w:hAnsi="FrankRuehl" w:cs="FrankRuehl"/>
            <w:u w:val="none"/>
          </w:rPr>
          <w:t>19</w:t>
        </w:r>
        <w:r w:rsidRPr="00343E63">
          <w:rPr>
            <w:rStyle w:val="Hyperlink"/>
            <w:rFonts w:ascii="FrankRuehl" w:hAnsi="FrankRuehl" w:cs="FrankRuehl"/>
            <w:u w:val="none"/>
            <w:rtl/>
          </w:rPr>
          <w:t>א</w:t>
        </w:r>
      </w:hyperlink>
    </w:p>
    <w:p w14:paraId="28B39EB6" w14:textId="77777777" w:rsidR="00343E63" w:rsidRPr="00343E63" w:rsidRDefault="00343E63" w:rsidP="00343E63">
      <w:pPr>
        <w:spacing w:before="120" w:after="120" w:line="240" w:lineRule="exact"/>
        <w:ind w:left="283" w:hanging="283"/>
        <w:jc w:val="both"/>
        <w:rPr>
          <w:rFonts w:ascii="FrankRuehl" w:hAnsi="FrankRuehl" w:cs="FrankRuehl"/>
          <w:color w:val="0000FF"/>
          <w:rtl/>
        </w:rPr>
      </w:pPr>
      <w:hyperlink r:id="rId11" w:history="1">
        <w:r w:rsidRPr="00343E63">
          <w:rPr>
            <w:rStyle w:val="Hyperlink"/>
            <w:rFonts w:ascii="FrankRuehl" w:hAnsi="FrankRuehl" w:cs="FrankRuehl"/>
            <w:u w:val="none"/>
            <w:rtl/>
          </w:rPr>
          <w:t>חוק העונשין, תשל"ז-1977</w:t>
        </w:r>
      </w:hyperlink>
      <w:r w:rsidRPr="00343E63">
        <w:rPr>
          <w:rFonts w:ascii="FrankRuehl" w:hAnsi="FrankRuehl" w:cs="FrankRuehl"/>
          <w:color w:val="0000FF"/>
          <w:rtl/>
        </w:rPr>
        <w:t xml:space="preserve">: סע'  </w:t>
      </w:r>
      <w:hyperlink r:id="rId12" w:history="1">
        <w:r w:rsidRPr="00343E63">
          <w:rPr>
            <w:rStyle w:val="Hyperlink"/>
            <w:rFonts w:ascii="FrankRuehl" w:hAnsi="FrankRuehl" w:cs="FrankRuehl"/>
            <w:u w:val="none"/>
          </w:rPr>
          <w:t>29</w:t>
        </w:r>
      </w:hyperlink>
      <w:r w:rsidRPr="00343E63">
        <w:rPr>
          <w:rFonts w:ascii="FrankRuehl" w:hAnsi="FrankRuehl" w:cs="FrankRuehl"/>
          <w:color w:val="0000FF"/>
          <w:rtl/>
        </w:rPr>
        <w:t xml:space="preserve">(א), </w:t>
      </w:r>
      <w:hyperlink r:id="rId13" w:history="1">
        <w:r w:rsidRPr="00343E63">
          <w:rPr>
            <w:rStyle w:val="Hyperlink"/>
            <w:rFonts w:ascii="FrankRuehl" w:hAnsi="FrankRuehl" w:cs="FrankRuehl"/>
            <w:u w:val="none"/>
          </w:rPr>
          <w:t>40</w:t>
        </w:r>
        <w:r w:rsidRPr="00343E63">
          <w:rPr>
            <w:rStyle w:val="Hyperlink"/>
            <w:rFonts w:ascii="FrankRuehl" w:hAnsi="FrankRuehl" w:cs="FrankRuehl"/>
            <w:u w:val="none"/>
            <w:rtl/>
          </w:rPr>
          <w:t>ד</w:t>
        </w:r>
        <w:r w:rsidRPr="00343E63">
          <w:rPr>
            <w:rStyle w:val="Hyperlink"/>
            <w:rFonts w:ascii="FrankRuehl" w:hAnsi="FrankRuehl" w:cs="FrankRuehl"/>
            <w:u w:val="none"/>
          </w:rPr>
          <w:t>'</w:t>
        </w:r>
      </w:hyperlink>
      <w:r w:rsidRPr="00343E63">
        <w:rPr>
          <w:rFonts w:ascii="FrankRuehl" w:hAnsi="FrankRuehl" w:cs="FrankRuehl"/>
          <w:color w:val="0000FF"/>
          <w:rtl/>
        </w:rPr>
        <w:t xml:space="preserve">(א), </w:t>
      </w:r>
      <w:hyperlink r:id="rId14" w:history="1">
        <w:r w:rsidRPr="00343E63">
          <w:rPr>
            <w:rStyle w:val="Hyperlink"/>
            <w:rFonts w:ascii="FrankRuehl" w:hAnsi="FrankRuehl" w:cs="FrankRuehl"/>
            <w:u w:val="none"/>
          </w:rPr>
          <w:t>71</w:t>
        </w:r>
      </w:hyperlink>
      <w:r w:rsidRPr="00343E63">
        <w:rPr>
          <w:rFonts w:ascii="FrankRuehl" w:hAnsi="FrankRuehl" w:cs="FrankRuehl"/>
          <w:color w:val="0000FF"/>
          <w:rtl/>
        </w:rPr>
        <w:t xml:space="preserve">(א)ב, </w:t>
      </w:r>
      <w:hyperlink r:id="rId15" w:history="1">
        <w:r w:rsidRPr="00343E63">
          <w:rPr>
            <w:rStyle w:val="Hyperlink"/>
            <w:rFonts w:ascii="FrankRuehl" w:hAnsi="FrankRuehl" w:cs="FrankRuehl"/>
            <w:u w:val="none"/>
            <w:rtl/>
          </w:rPr>
          <w:t>ו</w:t>
        </w:r>
        <w:r w:rsidRPr="00343E63">
          <w:rPr>
            <w:rStyle w:val="Hyperlink"/>
            <w:rFonts w:ascii="FrankRuehl" w:hAnsi="FrankRuehl" w:cs="FrankRuehl"/>
            <w:u w:val="none"/>
          </w:rPr>
          <w:t>'</w:t>
        </w:r>
      </w:hyperlink>
    </w:p>
    <w:p w14:paraId="0DDC64D7" w14:textId="77777777" w:rsidR="00343E63" w:rsidRPr="00343E63" w:rsidRDefault="00343E63" w:rsidP="00343E63">
      <w:pPr>
        <w:spacing w:before="120" w:after="120" w:line="240" w:lineRule="exact"/>
        <w:ind w:left="283" w:hanging="283"/>
        <w:jc w:val="both"/>
        <w:rPr>
          <w:rFonts w:ascii="FrankRuehl" w:hAnsi="FrankRuehl" w:cs="FrankRuehl"/>
          <w:color w:val="0000FF"/>
          <w:rtl/>
        </w:rPr>
      </w:pPr>
      <w:hyperlink r:id="rId16" w:history="1">
        <w:r w:rsidRPr="00343E63">
          <w:rPr>
            <w:rStyle w:val="Hyperlink"/>
            <w:rFonts w:ascii="FrankRuehl" w:hAnsi="FrankRuehl" w:cs="FrankRuehl"/>
            <w:u w:val="none"/>
            <w:rtl/>
          </w:rPr>
          <w:t>חוק סדר הדין הפלילי [נוסח משולב], תשמ"ב-1982</w:t>
        </w:r>
      </w:hyperlink>
      <w:r w:rsidRPr="00343E63">
        <w:rPr>
          <w:rFonts w:ascii="FrankRuehl" w:hAnsi="FrankRuehl" w:cs="FrankRuehl"/>
          <w:color w:val="0000FF"/>
          <w:rtl/>
        </w:rPr>
        <w:t xml:space="preserve">: סע'  </w:t>
      </w:r>
      <w:hyperlink r:id="rId17" w:history="1">
        <w:r w:rsidRPr="00343E63">
          <w:rPr>
            <w:rStyle w:val="Hyperlink"/>
            <w:rFonts w:ascii="FrankRuehl" w:hAnsi="FrankRuehl" w:cs="FrankRuehl"/>
            <w:u w:val="none"/>
          </w:rPr>
          <w:t xml:space="preserve">192 </w:t>
        </w:r>
        <w:r w:rsidRPr="00343E63">
          <w:rPr>
            <w:rStyle w:val="Hyperlink"/>
            <w:rFonts w:ascii="FrankRuehl" w:hAnsi="FrankRuehl" w:cs="FrankRuehl"/>
            <w:u w:val="none"/>
            <w:rtl/>
          </w:rPr>
          <w:t>א</w:t>
        </w:r>
      </w:hyperlink>
    </w:p>
    <w:p w14:paraId="5B1552D6" w14:textId="77777777" w:rsidR="0042544E" w:rsidRDefault="0042544E" w:rsidP="00343E63">
      <w:pPr>
        <w:rPr>
          <w:rFonts w:hint="cs"/>
          <w:sz w:val="26"/>
          <w:szCs w:val="26"/>
          <w:rtl/>
        </w:rPr>
      </w:pPr>
      <w:bookmarkStart w:id="1" w:name="LawTable_End"/>
      <w:bookmarkEnd w:id="1"/>
    </w:p>
    <w:p w14:paraId="5C17C790"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bookmarkStart w:id="2" w:name="ABSTRACT_START"/>
      <w:bookmarkEnd w:id="2"/>
      <w:r w:rsidRPr="008147C8">
        <w:rPr>
          <w:rFonts w:cs="FrankRuehl" w:hint="cs"/>
          <w:szCs w:val="26"/>
          <w:rtl/>
        </w:rPr>
        <w:t>מיני-רציו:</w:t>
      </w:r>
    </w:p>
    <w:p w14:paraId="174FC7C4"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sidRPr="008147C8">
        <w:rPr>
          <w:rFonts w:cs="FrankRuehl" w:hint="cs"/>
          <w:szCs w:val="26"/>
          <w:rtl/>
        </w:rPr>
        <w:t>*</w:t>
      </w:r>
      <w:r w:rsidRPr="008147C8">
        <w:rPr>
          <w:rFonts w:cs="FrankRuehl"/>
          <w:szCs w:val="26"/>
          <w:rtl/>
        </w:rPr>
        <w:t xml:space="preserve"> </w:t>
      </w:r>
      <w:r w:rsidRPr="008147C8">
        <w:rPr>
          <w:rFonts w:cs="FrankRuehl" w:hint="cs"/>
          <w:szCs w:val="26"/>
          <w:rtl/>
        </w:rPr>
        <w:t>גזר דין בעניינו של נאשם שהורשע ב</w:t>
      </w:r>
      <w:r w:rsidRPr="008147C8">
        <w:rPr>
          <w:rFonts w:cs="FrankRuehl"/>
          <w:szCs w:val="26"/>
          <w:rtl/>
        </w:rPr>
        <w:t xml:space="preserve">עבירות של </w:t>
      </w:r>
      <w:r w:rsidRPr="008147C8">
        <w:rPr>
          <w:rFonts w:cs="FrankRuehl" w:hint="cs"/>
          <w:szCs w:val="26"/>
          <w:rtl/>
        </w:rPr>
        <w:t>א</w:t>
      </w:r>
      <w:r w:rsidRPr="008147C8">
        <w:rPr>
          <w:rFonts w:cs="FrankRuehl"/>
          <w:szCs w:val="26"/>
          <w:rtl/>
        </w:rPr>
        <w:t>ספקת סמים מסוכנים</w:t>
      </w:r>
      <w:r w:rsidRPr="008147C8">
        <w:rPr>
          <w:rFonts w:cs="FrankRuehl" w:hint="cs"/>
          <w:szCs w:val="26"/>
          <w:rtl/>
        </w:rPr>
        <w:t xml:space="preserve"> ובעבירה של גידול סמים. נדחתה עתירת ההגנה לביטול הרשעת הנאשם. עם זאת, נקבע</w:t>
      </w:r>
      <w:r w:rsidRPr="008147C8">
        <w:rPr>
          <w:rFonts w:cs="FrankRuehl"/>
          <w:szCs w:val="26"/>
          <w:rtl/>
        </w:rPr>
        <w:t xml:space="preserve"> </w:t>
      </w:r>
      <w:r w:rsidRPr="008147C8">
        <w:rPr>
          <w:rFonts w:cs="FrankRuehl" w:hint="cs"/>
          <w:szCs w:val="26"/>
          <w:rtl/>
        </w:rPr>
        <w:t>כי יש מקום</w:t>
      </w:r>
      <w:r w:rsidRPr="008147C8">
        <w:rPr>
          <w:rFonts w:cs="FrankRuehl"/>
          <w:szCs w:val="26"/>
          <w:rtl/>
        </w:rPr>
        <w:t xml:space="preserve"> </w:t>
      </w:r>
      <w:r w:rsidRPr="008147C8">
        <w:rPr>
          <w:rFonts w:cs="FrankRuehl" w:hint="cs"/>
          <w:szCs w:val="26"/>
          <w:rtl/>
        </w:rPr>
        <w:t>ל</w:t>
      </w:r>
      <w:r w:rsidRPr="008147C8">
        <w:rPr>
          <w:rFonts w:cs="FrankRuehl"/>
          <w:szCs w:val="26"/>
          <w:rtl/>
        </w:rPr>
        <w:t>חר</w:t>
      </w:r>
      <w:r w:rsidRPr="008147C8">
        <w:rPr>
          <w:rFonts w:cs="FrankRuehl" w:hint="cs"/>
          <w:szCs w:val="26"/>
          <w:rtl/>
        </w:rPr>
        <w:t>וג</w:t>
      </w:r>
      <w:r w:rsidRPr="008147C8">
        <w:rPr>
          <w:rFonts w:cs="FrankRuehl"/>
          <w:szCs w:val="26"/>
          <w:rtl/>
        </w:rPr>
        <w:t xml:space="preserve"> ממתחם העונש ההולם משיקולי שיקום מובהקים כנלמד מהתסקיר</w:t>
      </w:r>
      <w:r w:rsidRPr="008147C8">
        <w:rPr>
          <w:rFonts w:cs="FrankRuehl" w:hint="cs"/>
          <w:szCs w:val="26"/>
          <w:rtl/>
        </w:rPr>
        <w:t>,</w:t>
      </w:r>
      <w:r w:rsidRPr="008147C8">
        <w:rPr>
          <w:rFonts w:cs="FrankRuehl"/>
          <w:szCs w:val="26"/>
          <w:rtl/>
        </w:rPr>
        <w:t xml:space="preserve"> לרבות המלצותיו.</w:t>
      </w:r>
    </w:p>
    <w:p w14:paraId="6AAF659E"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sidRPr="008147C8">
        <w:rPr>
          <w:rFonts w:cs="FrankRuehl" w:hint="cs"/>
          <w:szCs w:val="26"/>
          <w:rtl/>
        </w:rPr>
        <w:t xml:space="preserve">* </w:t>
      </w:r>
      <w:r w:rsidRPr="008147C8">
        <w:rPr>
          <w:rFonts w:cs="FrankRuehl"/>
          <w:szCs w:val="26"/>
          <w:rtl/>
        </w:rPr>
        <w:t>עונשין – ענישה – מדיניות ענישה: עבירות סמים</w:t>
      </w:r>
    </w:p>
    <w:p w14:paraId="65DA602C"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sidRPr="008147C8">
        <w:rPr>
          <w:rFonts w:cs="FrankRuehl" w:hint="cs"/>
          <w:szCs w:val="26"/>
          <w:rtl/>
        </w:rPr>
        <w:t xml:space="preserve">* </w:t>
      </w:r>
      <w:r w:rsidRPr="008147C8">
        <w:rPr>
          <w:rFonts w:cs="FrankRuehl"/>
          <w:szCs w:val="26"/>
          <w:rtl/>
        </w:rPr>
        <w:t>עונשין – ענישה – הימנעות מהרשעה</w:t>
      </w:r>
    </w:p>
    <w:p w14:paraId="05A868E8"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8CD357E" w14:textId="77777777" w:rsidR="00C047E4" w:rsidRPr="008147C8" w:rsidRDefault="00C047E4" w:rsidP="00C047E4">
      <w:pPr>
        <w:pBdr>
          <w:top w:val="single" w:sz="4" w:space="1" w:color="auto"/>
          <w:bottom w:val="single" w:sz="4" w:space="1" w:color="auto"/>
        </w:pBdr>
        <w:spacing w:after="120" w:line="320" w:lineRule="exact"/>
        <w:jc w:val="both"/>
        <w:rPr>
          <w:rFonts w:cs="FrankRuehl"/>
          <w:szCs w:val="26"/>
        </w:rPr>
      </w:pPr>
      <w:r w:rsidRPr="008147C8">
        <w:rPr>
          <w:rFonts w:cs="FrankRuehl"/>
          <w:szCs w:val="26"/>
          <w:rtl/>
        </w:rPr>
        <w:t xml:space="preserve">הנאשם </w:t>
      </w:r>
      <w:r w:rsidRPr="008147C8">
        <w:rPr>
          <w:rFonts w:cs="FrankRuehl" w:hint="cs"/>
          <w:szCs w:val="26"/>
          <w:rtl/>
        </w:rPr>
        <w:t xml:space="preserve">הורשע, עפ"י הודאתו, </w:t>
      </w:r>
      <w:r w:rsidRPr="008147C8">
        <w:rPr>
          <w:rFonts w:cs="FrankRuehl"/>
          <w:szCs w:val="26"/>
          <w:rtl/>
        </w:rPr>
        <w:t xml:space="preserve">בעבירות של </w:t>
      </w:r>
      <w:r w:rsidRPr="008147C8">
        <w:rPr>
          <w:rFonts w:cs="FrankRuehl" w:hint="cs"/>
          <w:szCs w:val="26"/>
          <w:rtl/>
        </w:rPr>
        <w:t>א</w:t>
      </w:r>
      <w:r w:rsidRPr="008147C8">
        <w:rPr>
          <w:rFonts w:cs="FrankRuehl"/>
          <w:szCs w:val="26"/>
          <w:rtl/>
        </w:rPr>
        <w:t>ספקת סמים מסוכנים</w:t>
      </w:r>
      <w:r w:rsidRPr="008147C8">
        <w:rPr>
          <w:rFonts w:cs="FrankRuehl" w:hint="cs"/>
          <w:szCs w:val="26"/>
          <w:rtl/>
        </w:rPr>
        <w:t xml:space="preserve">, לפי </w:t>
      </w:r>
      <w:hyperlink r:id="rId18" w:history="1">
        <w:r w:rsidRPr="008147C8">
          <w:rPr>
            <w:rStyle w:val="Hyperlink"/>
            <w:rFonts w:cs="FrankRuehl" w:hint="eastAsia"/>
            <w:color w:val="auto"/>
            <w:szCs w:val="26"/>
            <w:u w:val="none"/>
            <w:rtl/>
          </w:rPr>
          <w:t>סעיף</w:t>
        </w:r>
        <w:r w:rsidRPr="008147C8">
          <w:rPr>
            <w:rStyle w:val="Hyperlink"/>
            <w:rFonts w:cs="FrankRuehl"/>
            <w:color w:val="auto"/>
            <w:szCs w:val="26"/>
            <w:u w:val="none"/>
            <w:rtl/>
          </w:rPr>
          <w:t xml:space="preserve"> 13</w:t>
        </w:r>
      </w:hyperlink>
      <w:r w:rsidRPr="008147C8">
        <w:rPr>
          <w:rFonts w:cs="FrankRuehl" w:hint="cs"/>
          <w:szCs w:val="26"/>
          <w:rtl/>
        </w:rPr>
        <w:t xml:space="preserve"> + </w:t>
      </w:r>
      <w:hyperlink r:id="rId19" w:history="1">
        <w:r w:rsidRPr="008147C8">
          <w:rPr>
            <w:rStyle w:val="Hyperlink"/>
            <w:rFonts w:cs="FrankRuehl"/>
            <w:color w:val="auto"/>
            <w:szCs w:val="26"/>
            <w:u w:val="none"/>
            <w:rtl/>
          </w:rPr>
          <w:t>19א</w:t>
        </w:r>
      </w:hyperlink>
      <w:r w:rsidRPr="008147C8">
        <w:rPr>
          <w:rFonts w:cs="FrankRuehl" w:hint="cs"/>
          <w:szCs w:val="26"/>
          <w:rtl/>
        </w:rPr>
        <w:t xml:space="preserve"> ל</w:t>
      </w:r>
      <w:hyperlink r:id="rId20" w:history="1">
        <w:r w:rsidRPr="008147C8">
          <w:rPr>
            <w:rFonts w:cs="FrankRuehl"/>
            <w:szCs w:val="26"/>
            <w:rtl/>
          </w:rPr>
          <w:t>פקודת הסמים המסוכנים</w:t>
        </w:r>
      </w:hyperlink>
      <w:r w:rsidRPr="008147C8">
        <w:rPr>
          <w:rFonts w:cs="FrankRuehl" w:hint="cs"/>
          <w:szCs w:val="26"/>
          <w:rtl/>
        </w:rPr>
        <w:t xml:space="preserve"> ובעבירה של גידול סמים, לפי </w:t>
      </w:r>
      <w:hyperlink r:id="rId21" w:history="1">
        <w:r w:rsidRPr="008147C8">
          <w:rPr>
            <w:rStyle w:val="Hyperlink"/>
            <w:rFonts w:cs="FrankRuehl" w:hint="eastAsia"/>
            <w:color w:val="auto"/>
            <w:szCs w:val="26"/>
            <w:u w:val="none"/>
            <w:rtl/>
          </w:rPr>
          <w:t>סעיף</w:t>
        </w:r>
        <w:r w:rsidRPr="008147C8">
          <w:rPr>
            <w:rStyle w:val="Hyperlink"/>
            <w:rFonts w:cs="FrankRuehl"/>
            <w:color w:val="auto"/>
            <w:szCs w:val="26"/>
            <w:u w:val="none"/>
            <w:rtl/>
          </w:rPr>
          <w:t xml:space="preserve"> 6</w:t>
        </w:r>
      </w:hyperlink>
      <w:r w:rsidRPr="008147C8">
        <w:rPr>
          <w:rFonts w:cs="FrankRuehl" w:hint="cs"/>
          <w:szCs w:val="26"/>
          <w:rtl/>
        </w:rPr>
        <w:t xml:space="preserve"> לפקודת הסמים + סעיף </w:t>
      </w:r>
      <w:hyperlink r:id="rId22" w:history="1">
        <w:r w:rsidRPr="008147C8">
          <w:rPr>
            <w:rStyle w:val="Hyperlink"/>
            <w:rFonts w:cs="FrankRuehl"/>
            <w:color w:val="auto"/>
            <w:szCs w:val="26"/>
            <w:u w:val="none"/>
            <w:rtl/>
          </w:rPr>
          <w:t>29(א)</w:t>
        </w:r>
      </w:hyperlink>
      <w:r w:rsidRPr="008147C8">
        <w:rPr>
          <w:rFonts w:cs="FrankRuehl" w:hint="cs"/>
          <w:szCs w:val="26"/>
          <w:rtl/>
        </w:rPr>
        <w:t xml:space="preserve"> ל</w:t>
      </w:r>
      <w:hyperlink r:id="rId23" w:history="1">
        <w:r w:rsidRPr="008147C8">
          <w:rPr>
            <w:rFonts w:cs="FrankRuehl"/>
            <w:szCs w:val="26"/>
            <w:rtl/>
          </w:rPr>
          <w:t>חוק העונשין</w:t>
        </w:r>
      </w:hyperlink>
      <w:r w:rsidRPr="008147C8">
        <w:rPr>
          <w:rFonts w:cs="FrankRuehl" w:hint="cs"/>
          <w:szCs w:val="26"/>
          <w:rtl/>
        </w:rPr>
        <w:t>.</w:t>
      </w:r>
    </w:p>
    <w:p w14:paraId="6389F8DD"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F1D2B2C"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sidRPr="008147C8">
        <w:rPr>
          <w:rFonts w:cs="FrankRuehl" w:hint="cs"/>
          <w:szCs w:val="26"/>
          <w:rtl/>
        </w:rPr>
        <w:t>בית המשפט פסק כלהלן:</w:t>
      </w:r>
    </w:p>
    <w:p w14:paraId="5D0E1E9C"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Pr>
      </w:pPr>
      <w:r w:rsidRPr="008147C8">
        <w:rPr>
          <w:rFonts w:cs="FrankRuehl"/>
          <w:szCs w:val="26"/>
          <w:rtl/>
        </w:rPr>
        <w:t>הימנעות מהרשעה בהליך הפלילי היא תוצאה חריגה השמורה למקרים חריגים ויוצאי דופן, ובהצטבר שני תנאים מרכזיים: ראשית, סוג העבירה המאפשר לוותר בנסיבות המקרה המסוים על ההרשעה בלי לפגוע באופן מהותי בשיקולי הענישה האחרים. שנית, ההרשעה תפגע פגיעה חמורה בשיקום הנאשם.</w:t>
      </w:r>
    </w:p>
    <w:p w14:paraId="01B92888"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sidRPr="008147C8">
        <w:rPr>
          <w:rFonts w:cs="FrankRuehl"/>
          <w:szCs w:val="26"/>
          <w:rtl/>
        </w:rPr>
        <w:t>יישום המבחנים האמורים מעלה כי לא מתקיימים התנאים המצדיקים ביטול הרשעת הנאשם. בכל הנוגע לטיב העבירות בנסיבות ביצוען, לרבות טיב הערכים המוגנים שביסוד העבירות ומידת הפגיעה באינטרס החברתי והציבורי – ספק אם אלה מאפשר</w:t>
      </w:r>
      <w:r w:rsidRPr="008147C8">
        <w:rPr>
          <w:rFonts w:cs="FrankRuehl" w:hint="cs"/>
          <w:szCs w:val="26"/>
          <w:rtl/>
        </w:rPr>
        <w:t>ים</w:t>
      </w:r>
      <w:r w:rsidRPr="008147C8">
        <w:rPr>
          <w:rFonts w:cs="FrankRuehl"/>
          <w:szCs w:val="26"/>
          <w:rtl/>
        </w:rPr>
        <w:t xml:space="preserve"> ויתור על ההרשעה מבלי לפגוע באופן מהותי בשיקולי הענישה האחרים</w:t>
      </w:r>
      <w:r w:rsidRPr="008147C8">
        <w:rPr>
          <w:rFonts w:cs="FrankRuehl" w:hint="cs"/>
          <w:szCs w:val="26"/>
          <w:rtl/>
        </w:rPr>
        <w:t xml:space="preserve">, ונראה כי </w:t>
      </w:r>
      <w:r w:rsidRPr="008147C8">
        <w:rPr>
          <w:rFonts w:cs="FrankRuehl"/>
          <w:szCs w:val="26"/>
          <w:rtl/>
        </w:rPr>
        <w:t xml:space="preserve">הימנעות מהרשעה בנסיבות העניין עלולה לפגוע בהעברת מסר מתחייב של הוקעה וגינוי העבירות ומתן ביטוי לתכלית אשר בבסיס האיסור על ביצוען. </w:t>
      </w:r>
      <w:r w:rsidRPr="008147C8">
        <w:rPr>
          <w:rFonts w:cs="FrankRuehl" w:hint="cs"/>
          <w:szCs w:val="26"/>
          <w:rtl/>
        </w:rPr>
        <w:t xml:space="preserve">בנוסף, והוא העיקר, ביהמ"ש </w:t>
      </w:r>
      <w:r w:rsidRPr="008147C8">
        <w:rPr>
          <w:rFonts w:cs="FrankRuehl"/>
          <w:szCs w:val="26"/>
          <w:rtl/>
        </w:rPr>
        <w:lastRenderedPageBreak/>
        <w:t xml:space="preserve">לא שוכנע כי הותרת הרשעת הנאשם על כנה תפגע </w:t>
      </w:r>
      <w:r w:rsidRPr="008147C8">
        <w:rPr>
          <w:rFonts w:cs="FrankRuehl" w:hint="cs"/>
          <w:szCs w:val="26"/>
          <w:rtl/>
        </w:rPr>
        <w:t xml:space="preserve">משמעותית אם בכלל </w:t>
      </w:r>
      <w:r w:rsidRPr="008147C8">
        <w:rPr>
          <w:rFonts w:cs="FrankRuehl"/>
          <w:szCs w:val="26"/>
          <w:rtl/>
        </w:rPr>
        <w:t>בסיכויו לקבל אזרחות ישראלית כטענת ההגנה</w:t>
      </w:r>
      <w:r w:rsidRPr="008147C8">
        <w:rPr>
          <w:rFonts w:cs="FrankRuehl" w:hint="cs"/>
          <w:szCs w:val="26"/>
          <w:rtl/>
        </w:rPr>
        <w:t>.</w:t>
      </w:r>
    </w:p>
    <w:p w14:paraId="3754A56D"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lang w:eastAsia="he-IL"/>
        </w:rPr>
      </w:pPr>
      <w:r w:rsidRPr="008147C8">
        <w:rPr>
          <w:rFonts w:cs="FrankRuehl"/>
          <w:szCs w:val="26"/>
          <w:rtl/>
          <w:lang w:eastAsia="he-IL"/>
        </w:rPr>
        <w:t xml:space="preserve">מתחם העונש ההולם לכלל העבירות בהן הורשע הנאשם, </w:t>
      </w:r>
      <w:r w:rsidRPr="008147C8">
        <w:rPr>
          <w:rFonts w:cs="FrankRuehl" w:hint="cs"/>
          <w:szCs w:val="26"/>
          <w:rtl/>
          <w:lang w:eastAsia="he-IL"/>
        </w:rPr>
        <w:t>נע</w:t>
      </w:r>
      <w:r w:rsidRPr="008147C8">
        <w:rPr>
          <w:rFonts w:cs="FrankRuehl"/>
          <w:szCs w:val="26"/>
          <w:rtl/>
          <w:lang w:eastAsia="he-IL"/>
        </w:rPr>
        <w:t xml:space="preserve"> בין 7 ל</w:t>
      </w:r>
      <w:r w:rsidRPr="008147C8">
        <w:rPr>
          <w:rFonts w:cs="FrankRuehl" w:hint="cs"/>
          <w:szCs w:val="26"/>
          <w:rtl/>
          <w:lang w:eastAsia="he-IL"/>
        </w:rPr>
        <w:t>-</w:t>
      </w:r>
      <w:r w:rsidRPr="008147C8">
        <w:rPr>
          <w:rFonts w:cs="FrankRuehl"/>
          <w:szCs w:val="26"/>
          <w:rtl/>
          <w:lang w:eastAsia="he-IL"/>
        </w:rPr>
        <w:t xml:space="preserve">21 חודשי מאסר בפועל. </w:t>
      </w:r>
      <w:r w:rsidRPr="008147C8">
        <w:rPr>
          <w:rFonts w:cs="FrankRuehl" w:hint="cs"/>
          <w:szCs w:val="26"/>
          <w:rtl/>
        </w:rPr>
        <w:t xml:space="preserve">עם זאת, </w:t>
      </w:r>
      <w:r w:rsidRPr="008147C8">
        <w:rPr>
          <w:rFonts w:cs="FrankRuehl"/>
          <w:szCs w:val="26"/>
          <w:rtl/>
        </w:rPr>
        <w:t>עניינו של הנאשם מצדיק חריגה ממתחם העונש ההולם משיקולי שיקום מובהקים כנלמד מהתסקיר</w:t>
      </w:r>
      <w:r w:rsidRPr="008147C8">
        <w:rPr>
          <w:rFonts w:cs="FrankRuehl" w:hint="cs"/>
          <w:szCs w:val="26"/>
          <w:rtl/>
        </w:rPr>
        <w:t>,</w:t>
      </w:r>
      <w:r w:rsidRPr="008147C8">
        <w:rPr>
          <w:rFonts w:cs="FrankRuehl"/>
          <w:szCs w:val="26"/>
          <w:rtl/>
        </w:rPr>
        <w:t xml:space="preserve"> לרבות המלצותיו.</w:t>
      </w:r>
    </w:p>
    <w:p w14:paraId="455B0D08" w14:textId="77777777" w:rsidR="00C047E4" w:rsidRPr="008147C8" w:rsidRDefault="00C047E4" w:rsidP="00C047E4">
      <w:pPr>
        <w:pBdr>
          <w:top w:val="single" w:sz="4" w:space="1" w:color="auto"/>
          <w:bottom w:val="single" w:sz="4" w:space="1" w:color="auto"/>
        </w:pBdr>
        <w:spacing w:after="120" w:line="320" w:lineRule="exact"/>
        <w:jc w:val="both"/>
        <w:rPr>
          <w:rFonts w:cs="FrankRuehl" w:hint="cs"/>
          <w:szCs w:val="26"/>
          <w:rtl/>
        </w:rPr>
      </w:pPr>
      <w:r w:rsidRPr="008147C8">
        <w:rPr>
          <w:rFonts w:cs="FrankRuehl" w:hint="cs"/>
          <w:szCs w:val="26"/>
          <w:rtl/>
        </w:rPr>
        <w:t>יש ממש בהערכת שירות המבחן לאפשרות פגיעה בהליך</w:t>
      </w:r>
      <w:r w:rsidRPr="008147C8">
        <w:rPr>
          <w:rFonts w:cs="FrankRuehl"/>
          <w:szCs w:val="26"/>
          <w:rtl/>
        </w:rPr>
        <w:t xml:space="preserve"> שיקומו </w:t>
      </w:r>
      <w:r w:rsidRPr="008147C8">
        <w:rPr>
          <w:rFonts w:cs="FrankRuehl" w:hint="cs"/>
          <w:szCs w:val="26"/>
          <w:rtl/>
        </w:rPr>
        <w:t xml:space="preserve">של הנאשם ככל שייגזר עליו עונש של מאסר בפועל לריצוי בעבודות שירות. בהקשר זה, בית המשפט מצטרף לתפיסה העונשית </w:t>
      </w:r>
      <w:r>
        <w:rPr>
          <w:rFonts w:cs="FrankRuehl" w:hint="eastAsia"/>
          <w:szCs w:val="26"/>
          <w:rtl/>
        </w:rPr>
        <w:t>–</w:t>
      </w:r>
      <w:r w:rsidRPr="008147C8">
        <w:rPr>
          <w:rFonts w:cs="FrankRuehl" w:hint="cs"/>
          <w:szCs w:val="26"/>
          <w:rtl/>
        </w:rPr>
        <w:t xml:space="preserve"> חינוכית והרתעתית שתאפשר לנאשם להמשיך לפעול למען בריאותו הפיזית והנפשית לרבות המשך השתלבותו והתמדתו  בעבודה, ובכך ייתרם גם האינטרס הציבורי. </w:t>
      </w:r>
    </w:p>
    <w:p w14:paraId="510FD2DB" w14:textId="77777777" w:rsidR="00C047E4" w:rsidRPr="00343E63" w:rsidRDefault="00C047E4" w:rsidP="00343E63">
      <w:pPr>
        <w:rPr>
          <w:rFonts w:hint="cs"/>
          <w:sz w:val="26"/>
          <w:szCs w:val="26"/>
        </w:rPr>
      </w:pPr>
      <w:bookmarkStart w:id="3" w:name="ABSTRACT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2544E" w14:paraId="6F9123D0" w14:textId="77777777" w:rsidTr="0042544E">
        <w:trPr>
          <w:trHeight w:val="355"/>
          <w:jc w:val="center"/>
        </w:trPr>
        <w:tc>
          <w:tcPr>
            <w:tcW w:w="8820" w:type="dxa"/>
            <w:tcBorders>
              <w:top w:val="nil"/>
              <w:left w:val="nil"/>
              <w:bottom w:val="nil"/>
              <w:right w:val="nil"/>
            </w:tcBorders>
            <w:shd w:val="clear" w:color="auto" w:fill="auto"/>
          </w:tcPr>
          <w:p w14:paraId="67190B6D" w14:textId="77777777" w:rsidR="00C75905" w:rsidRPr="00C75905" w:rsidRDefault="00C75905" w:rsidP="00C75905">
            <w:pPr>
              <w:jc w:val="center"/>
              <w:rPr>
                <w:rFonts w:ascii="David" w:hAnsi="David"/>
                <w:b/>
                <w:bCs/>
                <w:sz w:val="32"/>
                <w:szCs w:val="32"/>
                <w:u w:val="single"/>
                <w:rtl/>
              </w:rPr>
            </w:pPr>
            <w:bookmarkStart w:id="4" w:name="PsakDin" w:colFirst="0" w:colLast="0"/>
            <w:bookmarkEnd w:id="0"/>
            <w:r w:rsidRPr="00C75905">
              <w:rPr>
                <w:rFonts w:ascii="David" w:hAnsi="David"/>
                <w:b/>
                <w:bCs/>
                <w:sz w:val="32"/>
                <w:szCs w:val="32"/>
                <w:u w:val="single"/>
                <w:rtl/>
              </w:rPr>
              <w:t>גזר דין</w:t>
            </w:r>
          </w:p>
          <w:p w14:paraId="46D835B4" w14:textId="77777777" w:rsidR="0042544E" w:rsidRPr="00C75905" w:rsidRDefault="0042544E" w:rsidP="00C75905">
            <w:pPr>
              <w:jc w:val="center"/>
              <w:rPr>
                <w:rFonts w:ascii="David" w:hAnsi="David"/>
                <w:bCs/>
                <w:sz w:val="32"/>
                <w:szCs w:val="32"/>
                <w:u w:val="single"/>
                <w:rtl/>
              </w:rPr>
            </w:pPr>
          </w:p>
        </w:tc>
      </w:tr>
      <w:bookmarkEnd w:id="4"/>
    </w:tbl>
    <w:p w14:paraId="2E17D235" w14:textId="77777777" w:rsidR="0042544E" w:rsidRPr="000F2247" w:rsidRDefault="0042544E" w:rsidP="0042544E">
      <w:pPr>
        <w:rPr>
          <w:rFonts w:ascii="Arial" w:hAnsi="Arial"/>
          <w:b/>
          <w:bCs/>
          <w:sz w:val="26"/>
          <w:szCs w:val="26"/>
          <w:rtl/>
        </w:rPr>
      </w:pPr>
    </w:p>
    <w:p w14:paraId="62E8079B" w14:textId="77777777" w:rsidR="0042544E" w:rsidRDefault="0042544E" w:rsidP="0042544E">
      <w:pPr>
        <w:spacing w:line="360" w:lineRule="auto"/>
        <w:jc w:val="both"/>
      </w:pPr>
      <w:r>
        <w:rPr>
          <w:rtl/>
        </w:rPr>
        <w:t>על יסוד הודאתו בעובדות כתב האישום המתוקן</w:t>
      </w:r>
      <w:r>
        <w:rPr>
          <w:rFonts w:hint="cs"/>
          <w:rtl/>
        </w:rPr>
        <w:t>,</w:t>
      </w:r>
      <w:r>
        <w:rPr>
          <w:rtl/>
        </w:rPr>
        <w:t xml:space="preserve"> הורשע הנאשם ב-4 עבירות של </w:t>
      </w:r>
      <w:r>
        <w:rPr>
          <w:rFonts w:hint="cs"/>
          <w:rtl/>
        </w:rPr>
        <w:t>א</w:t>
      </w:r>
      <w:r>
        <w:rPr>
          <w:rtl/>
        </w:rPr>
        <w:t>ספקת סמים מסוכנים</w:t>
      </w:r>
      <w:r>
        <w:rPr>
          <w:rFonts w:hint="cs"/>
          <w:rtl/>
        </w:rPr>
        <w:t xml:space="preserve">, לפי </w:t>
      </w:r>
      <w:hyperlink r:id="rId24" w:history="1">
        <w:r w:rsidR="00035FE0" w:rsidRPr="00035FE0">
          <w:rPr>
            <w:rStyle w:val="Hyperlink"/>
            <w:rFonts w:hint="eastAsia"/>
            <w:rtl/>
          </w:rPr>
          <w:t>סעיף</w:t>
        </w:r>
        <w:r w:rsidR="00035FE0" w:rsidRPr="00035FE0">
          <w:rPr>
            <w:rStyle w:val="Hyperlink"/>
            <w:rtl/>
          </w:rPr>
          <w:t xml:space="preserve"> 13</w:t>
        </w:r>
      </w:hyperlink>
      <w:r>
        <w:rPr>
          <w:rFonts w:hint="cs"/>
          <w:rtl/>
        </w:rPr>
        <w:t xml:space="preserve"> + </w:t>
      </w:r>
      <w:hyperlink r:id="rId25" w:history="1">
        <w:r w:rsidR="00035FE0" w:rsidRPr="00035FE0">
          <w:rPr>
            <w:rStyle w:val="Hyperlink"/>
            <w:rtl/>
          </w:rPr>
          <w:t>19א</w:t>
        </w:r>
      </w:hyperlink>
      <w:r>
        <w:rPr>
          <w:rFonts w:hint="cs"/>
          <w:rtl/>
        </w:rPr>
        <w:t xml:space="preserve"> ל</w:t>
      </w:r>
      <w:hyperlink r:id="rId26" w:history="1">
        <w:r w:rsidR="00C75905" w:rsidRPr="00C75905">
          <w:rPr>
            <w:color w:val="0000FF"/>
            <w:u w:val="single"/>
            <w:rtl/>
          </w:rPr>
          <w:t>פקודת הסמים המסוכנים</w:t>
        </w:r>
      </w:hyperlink>
      <w:r>
        <w:rPr>
          <w:rFonts w:hint="cs"/>
          <w:rtl/>
        </w:rPr>
        <w:t xml:space="preserve"> [נוסח חדש] תשל"ג-1973 (להלן: </w:t>
      </w:r>
      <w:r w:rsidRPr="00B1472C">
        <w:rPr>
          <w:rFonts w:hint="cs"/>
          <w:b/>
          <w:bCs/>
          <w:rtl/>
        </w:rPr>
        <w:t>פקודת הסמים</w:t>
      </w:r>
      <w:r>
        <w:rPr>
          <w:rFonts w:hint="cs"/>
          <w:rtl/>
        </w:rPr>
        <w:t xml:space="preserve">) ובעבירה של גידול סמים, לפי </w:t>
      </w:r>
      <w:hyperlink r:id="rId27" w:history="1">
        <w:r w:rsidR="00035FE0" w:rsidRPr="00035FE0">
          <w:rPr>
            <w:rStyle w:val="Hyperlink"/>
            <w:rFonts w:hint="eastAsia"/>
            <w:rtl/>
          </w:rPr>
          <w:t>סעיף</w:t>
        </w:r>
        <w:r w:rsidR="00035FE0" w:rsidRPr="00035FE0">
          <w:rPr>
            <w:rStyle w:val="Hyperlink"/>
            <w:rtl/>
          </w:rPr>
          <w:t xml:space="preserve"> 6</w:t>
        </w:r>
      </w:hyperlink>
      <w:r>
        <w:rPr>
          <w:rFonts w:hint="cs"/>
          <w:rtl/>
        </w:rPr>
        <w:t xml:space="preserve"> לפקודת הסמים + סעיף </w:t>
      </w:r>
      <w:hyperlink r:id="rId28" w:history="1">
        <w:r w:rsidR="00035FE0" w:rsidRPr="00035FE0">
          <w:rPr>
            <w:rStyle w:val="Hyperlink"/>
            <w:rtl/>
          </w:rPr>
          <w:t>29(א)</w:t>
        </w:r>
      </w:hyperlink>
      <w:r>
        <w:rPr>
          <w:rFonts w:hint="cs"/>
          <w:rtl/>
        </w:rPr>
        <w:t xml:space="preserve"> ל</w:t>
      </w:r>
      <w:hyperlink r:id="rId29" w:history="1">
        <w:r w:rsidR="00C75905" w:rsidRPr="00C75905">
          <w:rPr>
            <w:color w:val="0000FF"/>
            <w:u w:val="single"/>
            <w:rtl/>
          </w:rPr>
          <w:t>חוק העונשין</w:t>
        </w:r>
      </w:hyperlink>
      <w:r>
        <w:rPr>
          <w:rFonts w:hint="cs"/>
          <w:rtl/>
        </w:rPr>
        <w:t xml:space="preserve">, תשל"ז 1977. </w:t>
      </w:r>
    </w:p>
    <w:p w14:paraId="7A78A2AA" w14:textId="77777777" w:rsidR="0042544E" w:rsidRDefault="0042544E" w:rsidP="0042544E">
      <w:pPr>
        <w:spacing w:line="360" w:lineRule="auto"/>
        <w:jc w:val="both"/>
        <w:rPr>
          <w:rFonts w:ascii="Arial" w:hAnsi="Arial"/>
        </w:rPr>
      </w:pPr>
    </w:p>
    <w:p w14:paraId="01056067" w14:textId="77777777" w:rsidR="0042544E" w:rsidRDefault="0042544E" w:rsidP="0042544E">
      <w:pPr>
        <w:spacing w:line="360" w:lineRule="auto"/>
        <w:jc w:val="both"/>
        <w:rPr>
          <w:rFonts w:ascii="Arial" w:hAnsi="Arial"/>
          <w:b/>
          <w:bCs/>
          <w:u w:val="single"/>
          <w:rtl/>
        </w:rPr>
      </w:pPr>
      <w:r>
        <w:rPr>
          <w:rFonts w:ascii="Arial" w:hAnsi="Arial"/>
          <w:b/>
          <w:bCs/>
          <w:u w:val="single"/>
          <w:rtl/>
        </w:rPr>
        <w:t>כתב האישום המתוקן</w:t>
      </w:r>
    </w:p>
    <w:p w14:paraId="465000A5" w14:textId="77777777" w:rsidR="0042544E" w:rsidRDefault="0042544E" w:rsidP="0042544E">
      <w:pPr>
        <w:spacing w:line="360" w:lineRule="auto"/>
        <w:jc w:val="both"/>
        <w:rPr>
          <w:rFonts w:ascii="Arial" w:hAnsi="Arial"/>
          <w:rtl/>
        </w:rPr>
      </w:pPr>
      <w:r>
        <w:rPr>
          <w:rFonts w:ascii="Arial" w:hAnsi="Arial"/>
          <w:rtl/>
        </w:rPr>
        <w:t>1.</w:t>
      </w:r>
      <w:r>
        <w:rPr>
          <w:rFonts w:ascii="Arial" w:hAnsi="Arial"/>
          <w:rtl/>
        </w:rPr>
        <w:tab/>
        <w:t>על פי החלק הכללי, במועדים הרלוונטיים לעובדות כתב האישום, הנאשם ואשתו התגוררו במועד הרלוונטי לכתב האישום, יחד עם שני ילדיהם המשותפים בדירה בערד. על פי העובדות עולה כי  בתאריך 18.3.2021 נתפס הנאשם כשהוא מגדל בצוותא חדא עם אשתו בדירה, עציץ אחד של קנביס שהינו סם מסוכן ואשר משקלו בעת התפיסה היה 50.11 גרם נטו</w:t>
      </w:r>
      <w:r>
        <w:rPr>
          <w:rFonts w:ascii="Arial" w:hAnsi="Arial" w:hint="cs"/>
          <w:rtl/>
        </w:rPr>
        <w:t xml:space="preserve">, וכי השניים </w:t>
      </w:r>
      <w:r>
        <w:rPr>
          <w:rFonts w:ascii="Arial" w:hAnsi="Arial"/>
          <w:rtl/>
        </w:rPr>
        <w:t>החזיקו בדירה משקל דיגיטלי ושקיות פלסטיק שקופות.</w:t>
      </w:r>
    </w:p>
    <w:p w14:paraId="0635A0BF" w14:textId="77777777" w:rsidR="0042544E" w:rsidRDefault="0042544E" w:rsidP="0042544E">
      <w:pPr>
        <w:spacing w:line="360" w:lineRule="auto"/>
        <w:jc w:val="both"/>
        <w:rPr>
          <w:rFonts w:ascii="Arial" w:hAnsi="Arial"/>
          <w:rtl/>
        </w:rPr>
      </w:pPr>
      <w:r>
        <w:rPr>
          <w:rFonts w:ascii="Arial" w:hAnsi="Arial"/>
          <w:rtl/>
        </w:rPr>
        <w:t xml:space="preserve">עוד על פי העובדות, כחודש עובר ליום 18.03.2021, בתאריך ובשעה שאינם ידועים במדויק למאשימה, סיפק הנאשם למר זלמן ג'וליאן (להלן: </w:t>
      </w:r>
      <w:r>
        <w:rPr>
          <w:rFonts w:ascii="Arial" w:hAnsi="Arial"/>
          <w:b/>
          <w:bCs/>
          <w:rtl/>
        </w:rPr>
        <w:t>זלמן</w:t>
      </w:r>
      <w:r>
        <w:rPr>
          <w:rFonts w:ascii="Arial" w:hAnsi="Arial"/>
          <w:rtl/>
        </w:rPr>
        <w:t>) ב 4 הזדמנויות שונות</w:t>
      </w:r>
      <w:r>
        <w:rPr>
          <w:rFonts w:ascii="Arial" w:hAnsi="Arial" w:hint="cs"/>
          <w:rtl/>
        </w:rPr>
        <w:t>,</w:t>
      </w:r>
      <w:r>
        <w:rPr>
          <w:rFonts w:ascii="Arial" w:hAnsi="Arial"/>
          <w:rtl/>
        </w:rPr>
        <w:t xml:space="preserve"> סם קנאב</w:t>
      </w:r>
      <w:r>
        <w:rPr>
          <w:rFonts w:ascii="Arial" w:hAnsi="Arial" w:hint="cs"/>
          <w:rtl/>
        </w:rPr>
        <w:t>י</w:t>
      </w:r>
      <w:r>
        <w:rPr>
          <w:rFonts w:ascii="Arial" w:hAnsi="Arial"/>
          <w:rtl/>
        </w:rPr>
        <w:t>ס</w:t>
      </w:r>
      <w:r>
        <w:rPr>
          <w:rFonts w:ascii="Arial" w:hAnsi="Arial" w:hint="cs"/>
          <w:rtl/>
        </w:rPr>
        <w:t xml:space="preserve"> -</w:t>
      </w:r>
      <w:r>
        <w:rPr>
          <w:rFonts w:ascii="Arial" w:hAnsi="Arial"/>
          <w:rtl/>
        </w:rPr>
        <w:t xml:space="preserve"> פעם אחת במשקל של 2 גרם, ושלוש פעמים במשקל של 3 גרם. </w:t>
      </w:r>
    </w:p>
    <w:p w14:paraId="5264866B" w14:textId="77777777" w:rsidR="0042544E" w:rsidRDefault="0042544E" w:rsidP="0042544E">
      <w:pPr>
        <w:spacing w:line="360" w:lineRule="auto"/>
        <w:jc w:val="both"/>
        <w:rPr>
          <w:rFonts w:ascii="Arial" w:hAnsi="Arial"/>
          <w:rtl/>
        </w:rPr>
      </w:pPr>
    </w:p>
    <w:p w14:paraId="75859833" w14:textId="77777777" w:rsidR="0042544E" w:rsidRDefault="0042544E" w:rsidP="0042544E">
      <w:pPr>
        <w:spacing w:line="360" w:lineRule="auto"/>
        <w:jc w:val="both"/>
        <w:rPr>
          <w:rFonts w:ascii="Arial" w:hAnsi="Arial"/>
          <w:b/>
          <w:bCs/>
          <w:u w:val="single"/>
          <w:rtl/>
        </w:rPr>
      </w:pPr>
      <w:r>
        <w:rPr>
          <w:rFonts w:ascii="Arial" w:hAnsi="Arial"/>
          <w:b/>
          <w:bCs/>
          <w:u w:val="single"/>
          <w:rtl/>
        </w:rPr>
        <w:t>תסקירי שירות מבחן</w:t>
      </w:r>
    </w:p>
    <w:p w14:paraId="212CDADC" w14:textId="77777777" w:rsidR="0042544E" w:rsidRDefault="0042544E" w:rsidP="0042544E">
      <w:pPr>
        <w:spacing w:line="360" w:lineRule="auto"/>
        <w:jc w:val="both"/>
        <w:rPr>
          <w:rFonts w:ascii="Arial" w:hAnsi="Arial"/>
          <w:rtl/>
        </w:rPr>
      </w:pPr>
      <w:r>
        <w:rPr>
          <w:rFonts w:ascii="Arial" w:hAnsi="Arial"/>
          <w:rtl/>
        </w:rPr>
        <w:t>2.</w:t>
      </w:r>
      <w:r>
        <w:rPr>
          <w:rFonts w:ascii="Arial" w:hAnsi="Arial"/>
          <w:rtl/>
        </w:rPr>
        <w:tab/>
        <w:t>מ</w:t>
      </w:r>
      <w:r>
        <w:rPr>
          <w:rFonts w:ascii="Arial" w:hAnsi="Arial" w:hint="cs"/>
          <w:rtl/>
        </w:rPr>
        <w:t>ה</w:t>
      </w:r>
      <w:r>
        <w:rPr>
          <w:rFonts w:ascii="Arial" w:hAnsi="Arial"/>
          <w:rtl/>
        </w:rPr>
        <w:t xml:space="preserve">תסקיר </w:t>
      </w:r>
      <w:r>
        <w:rPr>
          <w:rFonts w:ascii="Arial" w:hAnsi="Arial" w:hint="cs"/>
          <w:rtl/>
        </w:rPr>
        <w:t>מ</w:t>
      </w:r>
      <w:r>
        <w:rPr>
          <w:rFonts w:ascii="Arial" w:hAnsi="Arial"/>
          <w:rtl/>
        </w:rPr>
        <w:t xml:space="preserve">יום 15.03.2022 עולה כי הנאשם בן 33, פרוד ואב ל-2 ילדים בגילאי 4 ו-5 שנים, מתגורר עם אמו בערד. מקורותיו עולה כי נולד כבן יחיד להוריו בניו מקסיקו, סיים 12 שנות לימוד בטקסס ולאחר מכן השתלב למשך שנתיים בלימודים בקולג' בתחום עיצוב גרפי והבטחת איכות בתחום המזון. לאחר עלייתו ארצה בגיל 27, לא עבד במשך שנתיים, לאחר מכן השתלב בעבודות באופן רציף יחסית בתחום המסעדנות, המחשוב והחשמל. מזה כשנה, משולב בעבודה בחברה אמריקאית בתחום אבטחת מידע, העבודה מתבצעת מהבית, על פי שעות ארה"ב. </w:t>
      </w:r>
    </w:p>
    <w:p w14:paraId="50D4E6FD" w14:textId="77777777" w:rsidR="0042544E" w:rsidRDefault="0042544E" w:rsidP="0042544E">
      <w:pPr>
        <w:spacing w:line="360" w:lineRule="auto"/>
        <w:jc w:val="both"/>
        <w:rPr>
          <w:rFonts w:ascii="Arial" w:hAnsi="Arial"/>
          <w:rtl/>
        </w:rPr>
      </w:pPr>
    </w:p>
    <w:p w14:paraId="12AE532D" w14:textId="77777777" w:rsidR="0042544E" w:rsidRDefault="0042544E" w:rsidP="0042544E">
      <w:pPr>
        <w:spacing w:line="360" w:lineRule="auto"/>
        <w:jc w:val="both"/>
        <w:rPr>
          <w:rFonts w:ascii="Arial" w:hAnsi="Arial"/>
          <w:rtl/>
        </w:rPr>
      </w:pPr>
      <w:r>
        <w:rPr>
          <w:rFonts w:ascii="Arial" w:hAnsi="Arial"/>
          <w:rtl/>
        </w:rPr>
        <w:t xml:space="preserve">התסקיר מפרט בהרחבה במצבו הרפואי של הנאשם הסובל בין היתר ממחלת האפילפסיה, </w:t>
      </w:r>
      <w:r>
        <w:rPr>
          <w:rFonts w:ascii="Arial" w:hAnsi="Arial" w:hint="cs"/>
          <w:rtl/>
        </w:rPr>
        <w:t>ו</w:t>
      </w:r>
      <w:r>
        <w:rPr>
          <w:rFonts w:ascii="Arial" w:hAnsi="Arial"/>
          <w:rtl/>
        </w:rPr>
        <w:t>אשר מפאת צנעת הפרט לא נ</w:t>
      </w:r>
      <w:r>
        <w:rPr>
          <w:rFonts w:ascii="Arial" w:hAnsi="Arial" w:hint="cs"/>
          <w:rtl/>
        </w:rPr>
        <w:t>וסיף לה</w:t>
      </w:r>
      <w:r>
        <w:rPr>
          <w:rFonts w:ascii="Arial" w:hAnsi="Arial"/>
          <w:rtl/>
        </w:rPr>
        <w:t>רחיב ב</w:t>
      </w:r>
      <w:r>
        <w:rPr>
          <w:rFonts w:ascii="Arial" w:hAnsi="Arial" w:hint="cs"/>
          <w:rtl/>
        </w:rPr>
        <w:t>ו</w:t>
      </w:r>
      <w:r>
        <w:rPr>
          <w:rFonts w:ascii="Arial" w:hAnsi="Arial"/>
          <w:rtl/>
        </w:rPr>
        <w:t xml:space="preserve">, </w:t>
      </w:r>
      <w:r>
        <w:rPr>
          <w:rFonts w:ascii="Arial" w:hAnsi="Arial" w:hint="cs"/>
          <w:rtl/>
        </w:rPr>
        <w:t>אם כי נציין</w:t>
      </w:r>
      <w:r>
        <w:rPr>
          <w:rFonts w:ascii="Arial" w:hAnsi="Arial"/>
          <w:rtl/>
        </w:rPr>
        <w:t xml:space="preserve"> נוכח תופעות לוואי קשות מהן סבל, לא התמיד הנאשם בטיפול התרופתי שנקבע לו</w:t>
      </w:r>
      <w:r>
        <w:rPr>
          <w:rFonts w:ascii="Arial" w:hAnsi="Arial" w:hint="cs"/>
          <w:rtl/>
        </w:rPr>
        <w:t>.</w:t>
      </w:r>
      <w:r>
        <w:rPr>
          <w:rFonts w:ascii="Arial" w:hAnsi="Arial"/>
          <w:rtl/>
        </w:rPr>
        <w:t xml:space="preserve"> </w:t>
      </w:r>
    </w:p>
    <w:p w14:paraId="44B9A1F7" w14:textId="77777777" w:rsidR="0042544E" w:rsidRDefault="0042544E" w:rsidP="0042544E">
      <w:pPr>
        <w:spacing w:line="360" w:lineRule="auto"/>
        <w:jc w:val="both"/>
        <w:rPr>
          <w:rFonts w:ascii="Arial" w:hAnsi="Arial"/>
          <w:rtl/>
        </w:rPr>
      </w:pPr>
      <w:r>
        <w:rPr>
          <w:rFonts w:ascii="Arial" w:hAnsi="Arial"/>
          <w:rtl/>
        </w:rPr>
        <w:lastRenderedPageBreak/>
        <w:t xml:space="preserve">שירות המבחן ציין בהתרשמותו כי העבירות נעברו על רקע צריכת קנבוס אינטנסיבית בתקופה שקדמה לביצוען, לצד קיום קשרים שוליים, מצב כלכלי רעוע ורצונו של הנאשם לחסוך בהוצאות לצורך מימון הסם. </w:t>
      </w:r>
    </w:p>
    <w:p w14:paraId="2087588C" w14:textId="77777777" w:rsidR="0042544E" w:rsidRDefault="0042544E" w:rsidP="0042544E">
      <w:pPr>
        <w:spacing w:line="360" w:lineRule="auto"/>
        <w:jc w:val="both"/>
        <w:rPr>
          <w:rFonts w:ascii="Arial" w:hAnsi="Arial"/>
          <w:rtl/>
        </w:rPr>
      </w:pPr>
      <w:r>
        <w:rPr>
          <w:rFonts w:ascii="Arial" w:hAnsi="Arial"/>
          <w:rtl/>
        </w:rPr>
        <w:t xml:space="preserve">הנאשם </w:t>
      </w:r>
      <w:r>
        <w:rPr>
          <w:rFonts w:ascii="Arial" w:hAnsi="Arial" w:hint="cs"/>
          <w:rtl/>
        </w:rPr>
        <w:t>ה</w:t>
      </w:r>
      <w:r>
        <w:rPr>
          <w:rFonts w:ascii="Arial" w:hAnsi="Arial"/>
          <w:rtl/>
        </w:rPr>
        <w:t xml:space="preserve">ודה </w:t>
      </w:r>
      <w:r>
        <w:rPr>
          <w:rFonts w:ascii="Arial" w:hAnsi="Arial" w:hint="cs"/>
          <w:rtl/>
        </w:rPr>
        <w:t xml:space="preserve">בפני השירות בביצוע העבירות אם כי לדעת השירות לקח אחריות חלקית על מעשיו. כך באשר לגידול העציץ סמים </w:t>
      </w:r>
      <w:r>
        <w:rPr>
          <w:rFonts w:ascii="Arial" w:hAnsi="Arial"/>
          <w:rtl/>
        </w:rPr>
        <w:t>יחד עם אשתו</w:t>
      </w:r>
      <w:r>
        <w:rPr>
          <w:rFonts w:ascii="Arial" w:hAnsi="Arial" w:hint="cs"/>
          <w:rtl/>
        </w:rPr>
        <w:t xml:space="preserve">, מסר הנאשם כי מדובר בעציץ של סם מסוג קנאביס שנועד </w:t>
      </w:r>
      <w:r>
        <w:rPr>
          <w:rFonts w:ascii="Arial" w:hAnsi="Arial"/>
          <w:rtl/>
        </w:rPr>
        <w:t>לצריכתו העצמית ו</w:t>
      </w:r>
      <w:r>
        <w:rPr>
          <w:rFonts w:ascii="Arial" w:hAnsi="Arial" w:hint="cs"/>
          <w:rtl/>
        </w:rPr>
        <w:t>חיסכון בע</w:t>
      </w:r>
      <w:r>
        <w:rPr>
          <w:rFonts w:ascii="Arial" w:hAnsi="Arial"/>
          <w:rtl/>
        </w:rPr>
        <w:t>לויות רכישת סם, והסביר</w:t>
      </w:r>
      <w:r>
        <w:rPr>
          <w:rFonts w:ascii="Arial" w:hAnsi="Arial" w:hint="cs"/>
          <w:rtl/>
        </w:rPr>
        <w:t xml:space="preserve"> ידיד מסר לו כי גידול עציץ אחד חוקי </w:t>
      </w:r>
      <w:r>
        <w:rPr>
          <w:rFonts w:ascii="Arial" w:hAnsi="Arial"/>
          <w:rtl/>
        </w:rPr>
        <w:t xml:space="preserve">בישראל, ונוכח כי אינו מכיר את החוק בישראל ומבלי שערך בדיקה בעניין פנה לגדל עציץ אחד כאמור.  </w:t>
      </w:r>
      <w:r>
        <w:rPr>
          <w:rFonts w:ascii="Arial" w:hAnsi="Arial" w:hint="cs"/>
          <w:rtl/>
        </w:rPr>
        <w:t xml:space="preserve">באשר </w:t>
      </w:r>
      <w:r>
        <w:rPr>
          <w:rFonts w:ascii="Arial" w:hAnsi="Arial"/>
          <w:rtl/>
        </w:rPr>
        <w:t xml:space="preserve">לעבירות אספקת סם לזלמן, </w:t>
      </w:r>
      <w:r>
        <w:rPr>
          <w:rFonts w:ascii="Arial" w:hAnsi="Arial" w:hint="cs"/>
          <w:rtl/>
        </w:rPr>
        <w:t>ה</w:t>
      </w:r>
      <w:r>
        <w:rPr>
          <w:rFonts w:ascii="Arial" w:hAnsi="Arial"/>
          <w:rtl/>
        </w:rPr>
        <w:t xml:space="preserve">סביר </w:t>
      </w:r>
      <w:r>
        <w:rPr>
          <w:rFonts w:ascii="Arial" w:hAnsi="Arial" w:hint="cs"/>
          <w:rtl/>
        </w:rPr>
        <w:t xml:space="preserve">הנאשם </w:t>
      </w:r>
      <w:r>
        <w:rPr>
          <w:rFonts w:ascii="Arial" w:hAnsi="Arial"/>
          <w:rtl/>
        </w:rPr>
        <w:t>כי את זלמן מכר ותיק מאז עלייתו ארצה</w:t>
      </w:r>
      <w:r>
        <w:rPr>
          <w:rFonts w:ascii="Arial" w:hAnsi="Arial" w:hint="cs"/>
          <w:rtl/>
        </w:rPr>
        <w:t xml:space="preserve"> ובתקופה שקדמה לעבירות, פנה אליו </w:t>
      </w:r>
      <w:r>
        <w:rPr>
          <w:rFonts w:ascii="Arial" w:hAnsi="Arial"/>
          <w:rtl/>
        </w:rPr>
        <w:t xml:space="preserve">זלמן פנה אליו </w:t>
      </w:r>
      <w:r>
        <w:rPr>
          <w:rFonts w:ascii="Arial" w:hAnsi="Arial" w:hint="cs"/>
          <w:rtl/>
        </w:rPr>
        <w:t xml:space="preserve">בבקשה </w:t>
      </w:r>
      <w:r>
        <w:rPr>
          <w:rFonts w:ascii="Arial" w:hAnsi="Arial"/>
          <w:rtl/>
        </w:rPr>
        <w:t xml:space="preserve">לסייע לו ברכישת סם עבור אביו החולה במחלה קשה. </w:t>
      </w:r>
    </w:p>
    <w:p w14:paraId="035CC835" w14:textId="77777777" w:rsidR="0042544E" w:rsidRDefault="0042544E" w:rsidP="0042544E">
      <w:pPr>
        <w:spacing w:line="360" w:lineRule="auto"/>
        <w:jc w:val="both"/>
        <w:rPr>
          <w:rFonts w:ascii="Arial" w:hAnsi="Arial"/>
          <w:rtl/>
        </w:rPr>
      </w:pPr>
      <w:r>
        <w:rPr>
          <w:rFonts w:ascii="Arial" w:hAnsi="Arial" w:hint="cs"/>
          <w:rtl/>
        </w:rPr>
        <w:t>מהתסקיר עולה כי הנאשם ב</w:t>
      </w:r>
      <w:r>
        <w:rPr>
          <w:rFonts w:ascii="Arial" w:hAnsi="Arial"/>
          <w:rtl/>
        </w:rPr>
        <w:t>בעל יכולות קוגניטיביות טובות, שגדל והתפתח במציאות חיים מורכבת בה סבל מאלימות קשה מצד אביו, מעברים רבים, פרידות ומצב בריאותי מורכב שלא אובחן שנים רבות</w:t>
      </w:r>
      <w:r>
        <w:rPr>
          <w:rFonts w:ascii="Arial" w:hAnsi="Arial" w:hint="cs"/>
          <w:rtl/>
        </w:rPr>
        <w:t xml:space="preserve">, ועל פי התרשמות השירות, </w:t>
      </w:r>
      <w:r>
        <w:rPr>
          <w:rFonts w:ascii="Arial" w:hAnsi="Arial"/>
          <w:rtl/>
        </w:rPr>
        <w:t>גם במערכת יחסיו הזוגית חווה אלימות פיזית ונפשית</w:t>
      </w:r>
      <w:r>
        <w:rPr>
          <w:rFonts w:ascii="Arial" w:hAnsi="Arial" w:hint="cs"/>
          <w:rtl/>
        </w:rPr>
        <w:t xml:space="preserve">, </w:t>
      </w:r>
      <w:r>
        <w:rPr>
          <w:rFonts w:ascii="Arial" w:hAnsi="Arial"/>
          <w:rtl/>
        </w:rPr>
        <w:t>ועל רקע מצבו הבריאותי והנפשי הקשה</w:t>
      </w:r>
      <w:r>
        <w:rPr>
          <w:rFonts w:ascii="Arial" w:hAnsi="Arial" w:hint="cs"/>
          <w:rtl/>
        </w:rPr>
        <w:t xml:space="preserve"> ובהעדר התמדה בטיפול הרפואי במחלתו</w:t>
      </w:r>
      <w:r>
        <w:rPr>
          <w:rFonts w:ascii="Arial" w:hAnsi="Arial"/>
          <w:rtl/>
        </w:rPr>
        <w:t xml:space="preserve">, החל לצרוך קנביס באופן אינטנסיבי על מנת להתמודד עם קשייו הפיזיים והרגשיים. </w:t>
      </w:r>
    </w:p>
    <w:p w14:paraId="19794876" w14:textId="77777777" w:rsidR="0042544E" w:rsidRDefault="0042544E" w:rsidP="0042544E">
      <w:pPr>
        <w:spacing w:line="360" w:lineRule="auto"/>
        <w:jc w:val="both"/>
        <w:rPr>
          <w:rFonts w:ascii="Arial" w:hAnsi="Arial"/>
          <w:highlight w:val="yellow"/>
          <w:rtl/>
        </w:rPr>
      </w:pPr>
    </w:p>
    <w:p w14:paraId="5CDD9AFA" w14:textId="77777777" w:rsidR="0042544E" w:rsidRDefault="0042544E" w:rsidP="0042544E">
      <w:pPr>
        <w:spacing w:line="360" w:lineRule="auto"/>
        <w:jc w:val="both"/>
        <w:rPr>
          <w:rFonts w:ascii="Arial" w:hAnsi="Arial"/>
          <w:rtl/>
        </w:rPr>
      </w:pPr>
      <w:r>
        <w:rPr>
          <w:rFonts w:ascii="Arial" w:hAnsi="Arial"/>
          <w:b/>
          <w:bCs/>
          <w:rtl/>
        </w:rPr>
        <w:t>בהתייחס לגורמי הסיכון</w:t>
      </w:r>
      <w:r>
        <w:rPr>
          <w:rFonts w:ascii="Arial" w:hAnsi="Arial" w:hint="cs"/>
          <w:b/>
          <w:bCs/>
          <w:rtl/>
        </w:rPr>
        <w:t xml:space="preserve"> להישנות העבירות ציין השירות </w:t>
      </w:r>
      <w:r>
        <w:rPr>
          <w:rFonts w:ascii="Arial" w:hAnsi="Arial" w:hint="cs"/>
          <w:rtl/>
        </w:rPr>
        <w:t>ב</w:t>
      </w:r>
      <w:r>
        <w:rPr>
          <w:rFonts w:ascii="Arial" w:hAnsi="Arial"/>
          <w:rtl/>
        </w:rPr>
        <w:t xml:space="preserve">דפוסים פאסיביים </w:t>
      </w:r>
      <w:r>
        <w:rPr>
          <w:rFonts w:ascii="Arial" w:hAnsi="Arial" w:hint="cs"/>
          <w:rtl/>
        </w:rPr>
        <w:t>בשלם</w:t>
      </w:r>
      <w:r>
        <w:rPr>
          <w:rFonts w:ascii="Arial" w:hAnsi="Arial"/>
          <w:rtl/>
        </w:rPr>
        <w:t xml:space="preserve"> לא פעל הנאשם לשיפור מצבו, לא עבר אבחון בישראל בנוגע למצבו הבריאותי, ולא קידם בקשה לרישיון לקנביס רפואי ובחר להתנהג באופן פורץ גבולות וחוק</w:t>
      </w:r>
      <w:r>
        <w:rPr>
          <w:rFonts w:ascii="Arial" w:hAnsi="Arial" w:hint="cs"/>
          <w:rtl/>
        </w:rPr>
        <w:t xml:space="preserve">. </w:t>
      </w:r>
      <w:r w:rsidRPr="00373AC9">
        <w:rPr>
          <w:rFonts w:ascii="Arial" w:hAnsi="Arial" w:hint="cs"/>
          <w:b/>
          <w:bCs/>
          <w:rtl/>
        </w:rPr>
        <w:t>באשר</w:t>
      </w:r>
      <w:r>
        <w:rPr>
          <w:rFonts w:ascii="Arial" w:hAnsi="Arial" w:hint="cs"/>
          <w:rtl/>
        </w:rPr>
        <w:t xml:space="preserve"> </w:t>
      </w:r>
      <w:r>
        <w:rPr>
          <w:rFonts w:ascii="Arial" w:hAnsi="Arial"/>
          <w:b/>
          <w:bCs/>
          <w:rtl/>
        </w:rPr>
        <w:t>לגורמי הסיכוי לשיקום</w:t>
      </w:r>
      <w:r w:rsidRPr="006D5252">
        <w:rPr>
          <w:rFonts w:ascii="Arial" w:hAnsi="Arial"/>
          <w:b/>
          <w:bCs/>
          <w:rtl/>
        </w:rPr>
        <w:t xml:space="preserve">, </w:t>
      </w:r>
      <w:r w:rsidRPr="006D5252">
        <w:rPr>
          <w:rFonts w:ascii="Arial" w:hAnsi="Arial"/>
          <w:rtl/>
        </w:rPr>
        <w:t xml:space="preserve">ציין השירות בהתרשמותו מאדם ללא דפוסים עברייניים מופנמים אשר מביע רצון ושאיפה לשקם את חייו ולנהל אורח חיים נורמטיבי ושומר חוק, אשר לאורך השנים וחרף אירועי חייו גילה יכולת טובה להסתגלות, התמדה והתנהלות אחראית במסגרות חייו, לרבות בתחום הלימודי והתעסוקתי ולרבות ביטוי בדאגתו לילדיו ושאיפתו להיות שותף פעיל בגידולם על אף הנסיבות והמרחק. </w:t>
      </w:r>
      <w:r w:rsidRPr="006D5252">
        <w:rPr>
          <w:rFonts w:ascii="Arial" w:hAnsi="Arial" w:hint="cs"/>
          <w:rtl/>
        </w:rPr>
        <w:t xml:space="preserve">בנוסף, </w:t>
      </w:r>
      <w:r w:rsidRPr="006D5252">
        <w:rPr>
          <w:rFonts w:ascii="Arial" w:hAnsi="Arial"/>
          <w:rtl/>
        </w:rPr>
        <w:t>אמו של הנאשם העומדת לצדו ועושה כל שביכולתה לסייע לו במאמצי שיקומו</w:t>
      </w:r>
      <w:r w:rsidRPr="006D5252">
        <w:rPr>
          <w:rFonts w:ascii="Arial" w:hAnsi="Arial" w:hint="cs"/>
          <w:rtl/>
        </w:rPr>
        <w:t xml:space="preserve">. באשר לשיקולי ההרתעה, עולה כי </w:t>
      </w:r>
      <w:r w:rsidRPr="006D5252">
        <w:rPr>
          <w:rFonts w:ascii="Arial" w:hAnsi="Arial"/>
          <w:rtl/>
        </w:rPr>
        <w:t>ההליך המשפטי מהווה גורם מרתיע ביותר ומציב גבולות ברורים להתנהגות נאשם אשר כיום פועל  לקידום הטיפול בעניינו הבריאותיים ומגלה תובנה בדבר הצורך להשתלב בטיפול על מנת לבחון את מאפייני אישיותו ודפוסי התנהגותו שהובילו למעורבותו בפלילים</w:t>
      </w:r>
      <w:r>
        <w:rPr>
          <w:rFonts w:ascii="Arial" w:hAnsi="Arial" w:hint="cs"/>
          <w:rtl/>
        </w:rPr>
        <w:t>, ובתוך כך י</w:t>
      </w:r>
      <w:r w:rsidRPr="006D5252">
        <w:rPr>
          <w:rFonts w:ascii="Arial" w:hAnsi="Arial"/>
          <w:rtl/>
        </w:rPr>
        <w:t>רכוש כלים להתמודדות מקדמת עם אתגרי חייו בעתיד.</w:t>
      </w:r>
      <w:r>
        <w:rPr>
          <w:rFonts w:ascii="Arial" w:hAnsi="Arial"/>
          <w:rtl/>
        </w:rPr>
        <w:t xml:space="preserve"> </w:t>
      </w:r>
      <w:r>
        <w:rPr>
          <w:rFonts w:ascii="Arial" w:hAnsi="Arial" w:hint="cs"/>
          <w:rtl/>
        </w:rPr>
        <w:t xml:space="preserve">מכלל האמור, </w:t>
      </w:r>
      <w:r w:rsidRPr="006D5252">
        <w:rPr>
          <w:rFonts w:ascii="Arial" w:hAnsi="Arial" w:hint="cs"/>
          <w:rtl/>
        </w:rPr>
        <w:t>ו</w:t>
      </w:r>
      <w:r w:rsidRPr="006D5252">
        <w:rPr>
          <w:rFonts w:ascii="Arial" w:hAnsi="Arial"/>
          <w:rtl/>
        </w:rPr>
        <w:t>לאור התרשמות שירות המבחן כי העבירות נעברו על רקע מצבו הבריאותי והרגשי הלקוי של הנאשם בהיעדר קבלת טיפול המתאים לצרכיו והערכתו כי טיפול בבעיותיו הבריאותיות לצד טיפול רגשי יהיה לצמצם את הסיכון להישנות עבירות</w:t>
      </w:r>
      <w:r>
        <w:rPr>
          <w:rFonts w:ascii="Arial" w:hAnsi="Arial"/>
          <w:rtl/>
        </w:rPr>
        <w:t xml:space="preserve"> בתחום הסמים ככל שישולב בהליך טיפולי מתאים, נעתרתי לבקשת השירות לדחות את הדיון ב 3 חודשים.  </w:t>
      </w:r>
    </w:p>
    <w:p w14:paraId="3C8F46EE" w14:textId="77777777" w:rsidR="0042544E" w:rsidRDefault="0042544E" w:rsidP="0042544E">
      <w:pPr>
        <w:spacing w:line="360" w:lineRule="auto"/>
        <w:jc w:val="both"/>
        <w:rPr>
          <w:rFonts w:ascii="Arial" w:hAnsi="Arial"/>
          <w:b/>
          <w:bCs/>
          <w:rtl/>
        </w:rPr>
      </w:pPr>
    </w:p>
    <w:p w14:paraId="5FA0F7B1" w14:textId="77777777" w:rsidR="0042544E" w:rsidRDefault="0042544E" w:rsidP="0042544E">
      <w:pPr>
        <w:spacing w:line="360" w:lineRule="auto"/>
        <w:jc w:val="both"/>
        <w:rPr>
          <w:rFonts w:ascii="Arial" w:hAnsi="Arial"/>
          <w:rtl/>
        </w:rPr>
      </w:pPr>
      <w:r>
        <w:rPr>
          <w:rFonts w:ascii="Arial" w:hAnsi="Arial"/>
          <w:b/>
          <w:bCs/>
          <w:rtl/>
        </w:rPr>
        <w:t>מהתסקיר המשלים שהוגש ביום 29.05.2022</w:t>
      </w:r>
      <w:r>
        <w:rPr>
          <w:rFonts w:ascii="Arial" w:hAnsi="Arial"/>
          <w:rtl/>
        </w:rPr>
        <w:t xml:space="preserve"> עולה כי במהלך תקופת הדחייה, השתלב הנאשם בטיפול רגשי בשפה האנגלית אצל מטפל פרטי שהינו פסיכותרפיסט בהכשרתו, כשהפגישות מתבצעות אחת לשבוע באמצעות תכנת הזום. שירות המבחן שוחח עם המטפל אשר מסר כי הנאשם מקפיד להגיע למפגשים ומשתף באופן פתוח בקורותיו בהתאם לשלב הראשוני בו הוא נמצא בהליך הטיפול. </w:t>
      </w:r>
    </w:p>
    <w:p w14:paraId="3D4B3C55" w14:textId="77777777" w:rsidR="0042544E" w:rsidRPr="00EF4150" w:rsidRDefault="0042544E" w:rsidP="0042544E">
      <w:pPr>
        <w:spacing w:line="360" w:lineRule="auto"/>
        <w:jc w:val="both"/>
        <w:rPr>
          <w:rFonts w:ascii="Arial" w:hAnsi="Arial"/>
          <w:rtl/>
        </w:rPr>
      </w:pPr>
      <w:r>
        <w:rPr>
          <w:rFonts w:ascii="Arial" w:hAnsi="Arial"/>
          <w:b/>
          <w:bCs/>
          <w:rtl/>
        </w:rPr>
        <w:t>בתסקיר משלים נוסף שהוגש ביום 20.10.2022</w:t>
      </w:r>
      <w:r>
        <w:rPr>
          <w:rFonts w:ascii="Arial" w:hAnsi="Arial"/>
          <w:rtl/>
        </w:rPr>
        <w:t xml:space="preserve"> הוסיף השירות לציין כי הנאשם מתמיד בטיפול, משתף באופן פעיל ואותנטי, מבטא רצון ומוטיבציה לרכוש כלים לחינוך מיטיב על מנת להוות דמות אבהית מיטיבה וחיובית עבור ילדיו. עוד עולה מהתסקיר כי במסגרת הטיפול עלה הקושי בו נתון הנאשם בשל מצבו  הבריאותי הלקוי אל מול העדר מענה רפואי  המתאים לצרכיו בשל היעדר ביטוח רפואי. בכל תקופות הדחייה הנאשם התייצב לבדיקות מעקביות אצל שירות המבחן לאיתור שרידי סם וכולן נמצאו נקיות ללא שרידי סם. מכאן, לאור שיתוף הפעולה המלא עם שירות המבחן, התנהלותו האחראית והמוטיבציה שמגלה להמשיך השתלבותו בהליך טיפולי באופן פרטי ולאור הבעת שאיפותיו לשקם את חייו ולנהל אורח חיים נורמטיבי, חיובי ויצרני, ועל מנת שלא לפגוע באמצעי שיקומו ולאפשר לו המשך השתלבותו </w:t>
      </w:r>
      <w:r w:rsidRPr="00EF4150">
        <w:rPr>
          <w:rFonts w:ascii="Arial" w:hAnsi="Arial"/>
          <w:rtl/>
        </w:rPr>
        <w:t xml:space="preserve">והתמדתו בתעסוקה, שירות המבחן בא בהמלצה על הטלת צו של"צ בהיקף של 250 שעות, כעונש חינוכי והרתעתי הולם באמצעות תרומה לחברה ופיצוי על הנזק והפגיעה שהסב. </w:t>
      </w:r>
    </w:p>
    <w:p w14:paraId="0A566C76" w14:textId="77777777" w:rsidR="0042544E" w:rsidRDefault="0042544E" w:rsidP="0042544E">
      <w:pPr>
        <w:spacing w:line="360" w:lineRule="auto"/>
        <w:jc w:val="both"/>
        <w:rPr>
          <w:rFonts w:ascii="Arial" w:hAnsi="Arial"/>
          <w:rtl/>
        </w:rPr>
      </w:pPr>
      <w:r w:rsidRPr="00EF4150">
        <w:rPr>
          <w:rFonts w:ascii="Arial" w:hAnsi="Arial"/>
          <w:b/>
          <w:bCs/>
          <w:rtl/>
        </w:rPr>
        <w:t>אשר לשאלת ביטול הרשעת הנאשם</w:t>
      </w:r>
      <w:r w:rsidRPr="00EF4150">
        <w:rPr>
          <w:rFonts w:ascii="Arial" w:hAnsi="Arial"/>
          <w:rtl/>
        </w:rPr>
        <w:t>, ציין השירות בהעד</w:t>
      </w:r>
      <w:r>
        <w:rPr>
          <w:rFonts w:ascii="Arial" w:hAnsi="Arial"/>
          <w:rtl/>
        </w:rPr>
        <w:t xml:space="preserve">ר עבר פלילי, הבעת חרטה על מעשיו וכי העבירה הינה חריגה ואינה מאפיינת התנהגותו בדרך כלל. השירות הוסיף כי לאור ההליכים המתנהלים במשרד הפנים בנוגע להסדרת מעמד בארץ, בגדרם עתידה </w:t>
      </w:r>
      <w:r w:rsidRPr="00EF4150">
        <w:rPr>
          <w:rFonts w:ascii="Arial" w:hAnsi="Arial"/>
          <w:rtl/>
        </w:rPr>
        <w:t>להינתן החלטה באשר להסדרת מעמדו של הנאשם בישראל, הרי שקיומו של רישום פלילי עלול לחבל משמעותית במתן המעמד. מכאן ולאור הצהרת באת כוחו בפני השירות כי מעמדו בארץ הוקפא על ידי משרד הפנים לאחר פתיחת</w:t>
      </w:r>
      <w:r>
        <w:rPr>
          <w:rFonts w:ascii="Arial" w:hAnsi="Arial"/>
          <w:rtl/>
        </w:rPr>
        <w:t xml:space="preserve"> התיק הפלילי בעניינו, וכיום הוא שוהה בארץ עם ויזת תייר, לצד העובדה כי בשל האמור קיימת פגיעה בתחומי חייו השונים, לרבות האפשרות לקבל מענה רפואי הולם לבעיותיו בריאותיות המורכבות, נכון יהיה לבטל הרשעתו בדין.  </w:t>
      </w:r>
    </w:p>
    <w:p w14:paraId="308BADB4" w14:textId="77777777" w:rsidR="0042544E" w:rsidRDefault="0042544E" w:rsidP="0042544E">
      <w:pPr>
        <w:spacing w:line="360" w:lineRule="auto"/>
        <w:jc w:val="both"/>
        <w:rPr>
          <w:rFonts w:ascii="Arial" w:hAnsi="Arial"/>
          <w:rtl/>
        </w:rPr>
      </w:pPr>
    </w:p>
    <w:p w14:paraId="7993AD20" w14:textId="77777777" w:rsidR="0042544E" w:rsidRDefault="0042544E" w:rsidP="0042544E">
      <w:pPr>
        <w:spacing w:line="360" w:lineRule="auto"/>
        <w:jc w:val="both"/>
        <w:rPr>
          <w:rFonts w:ascii="Arial" w:hAnsi="Arial"/>
          <w:b/>
          <w:bCs/>
          <w:u w:val="single"/>
          <w:rtl/>
        </w:rPr>
      </w:pPr>
      <w:r>
        <w:rPr>
          <w:rFonts w:ascii="Arial" w:hAnsi="Arial"/>
          <w:b/>
          <w:bCs/>
          <w:u w:val="single"/>
          <w:rtl/>
        </w:rPr>
        <w:t>ראיות לעונש וטיעוני הצדדים</w:t>
      </w:r>
    </w:p>
    <w:p w14:paraId="3165A38E" w14:textId="77777777" w:rsidR="0042544E" w:rsidRDefault="0042544E" w:rsidP="0042544E">
      <w:pPr>
        <w:spacing w:line="360" w:lineRule="auto"/>
        <w:jc w:val="both"/>
        <w:rPr>
          <w:noProof/>
          <w:rtl/>
        </w:rPr>
      </w:pPr>
      <w:r>
        <w:rPr>
          <w:rFonts w:ascii="Arial" w:hAnsi="Arial" w:hint="cs"/>
          <w:rtl/>
        </w:rPr>
        <w:t>3</w:t>
      </w:r>
      <w:r>
        <w:rPr>
          <w:rFonts w:ascii="Arial" w:hAnsi="Arial"/>
          <w:rtl/>
        </w:rPr>
        <w:t>.</w:t>
      </w:r>
      <w:r>
        <w:rPr>
          <w:rFonts w:ascii="Arial" w:hAnsi="Arial"/>
          <w:rtl/>
        </w:rPr>
        <w:tab/>
        <w:t xml:space="preserve"> </w:t>
      </w:r>
      <w:r>
        <w:rPr>
          <w:rtl/>
        </w:rPr>
        <w:t xml:space="preserve">ההגנה הגישה כראיות לעונש את נ/1 – תשובת המל"ל לבקשת הנאשם לביטוח הרפואי, נ/2 – צילום  העציץ שנמצא בדירתו של הנאשם, נ/3 – אישור מח"ש על העברת התיק לטיפול משמעתי, נוכח טענות ההגנה להתנהלות השוטרים כלפי הנאשם לרבות טענה לאפליה בחקירה בין הנאשם לאחרים המוזכרים בכתב האישום ונגדם לא הוגש כתב אישום. עוד הוגשו 3 מכתבי המלצה של גורמים בקהילה האמריקאית בערד, להם היכרות עם הנאשם (נ/4 – נ/6). </w:t>
      </w:r>
    </w:p>
    <w:p w14:paraId="23404D0A" w14:textId="77777777" w:rsidR="0042544E" w:rsidRPr="00025776" w:rsidRDefault="0042544E" w:rsidP="0042544E">
      <w:pPr>
        <w:spacing w:line="360" w:lineRule="auto"/>
        <w:jc w:val="both"/>
        <w:rPr>
          <w:rtl/>
        </w:rPr>
      </w:pPr>
    </w:p>
    <w:p w14:paraId="74D832ED" w14:textId="77777777" w:rsidR="0042544E" w:rsidRDefault="0042544E" w:rsidP="0042544E">
      <w:pPr>
        <w:spacing w:line="360" w:lineRule="auto"/>
        <w:jc w:val="both"/>
        <w:rPr>
          <w:rtl/>
        </w:rPr>
      </w:pPr>
      <w:r w:rsidRPr="00025776">
        <w:rPr>
          <w:rFonts w:hint="cs"/>
          <w:rtl/>
        </w:rPr>
        <w:t xml:space="preserve">ההגנה העידה לטובת הנאשם את בעל הדירה בה מתגורר הנאשם, </w:t>
      </w:r>
      <w:r>
        <w:rPr>
          <w:rFonts w:hint="cs"/>
          <w:rtl/>
        </w:rPr>
        <w:t xml:space="preserve">מר ישראל סימנטוב, אשר לדבריו משמש כקצין המבצעים של חטיבת צנחנים (בא"ח צנחנים בלהבים). מר סימנטוב מסר כי השכיר את הדירה לנאשם ואשתו, ומתגורר בדירה אחרת בשכנות להם. לדבריו, הוא נכה צה"ל ממלחמת לבנון, והנאשם אדם אדיב אשר נרתם לכל בקשת סיוע שלו ושל חבריו גם הם נכי צה"ל.  </w:t>
      </w:r>
    </w:p>
    <w:p w14:paraId="25269414" w14:textId="77777777" w:rsidR="0042544E" w:rsidRDefault="0042544E" w:rsidP="0042544E">
      <w:pPr>
        <w:spacing w:line="360" w:lineRule="auto"/>
        <w:jc w:val="both"/>
        <w:rPr>
          <w:rtl/>
        </w:rPr>
      </w:pPr>
      <w:r>
        <w:rPr>
          <w:rtl/>
        </w:rPr>
        <w:t xml:space="preserve"> </w:t>
      </w:r>
    </w:p>
    <w:p w14:paraId="540B7EFC" w14:textId="77777777" w:rsidR="0042544E" w:rsidRDefault="0042544E" w:rsidP="0042544E">
      <w:pPr>
        <w:spacing w:line="360" w:lineRule="auto"/>
        <w:jc w:val="both"/>
        <w:rPr>
          <w:rtl/>
        </w:rPr>
      </w:pPr>
      <w:r>
        <w:rPr>
          <w:rFonts w:ascii="Arial" w:hAnsi="Arial" w:hint="cs"/>
          <w:rtl/>
        </w:rPr>
        <w:t>4</w:t>
      </w:r>
      <w:r>
        <w:rPr>
          <w:rFonts w:ascii="Arial" w:hAnsi="Arial"/>
          <w:rtl/>
        </w:rPr>
        <w:t>.</w:t>
      </w:r>
      <w:r>
        <w:rPr>
          <w:rFonts w:ascii="Arial" w:hAnsi="Arial"/>
          <w:rtl/>
        </w:rPr>
        <w:tab/>
      </w:r>
      <w:r>
        <w:rPr>
          <w:rFonts w:ascii="Arial" w:hAnsi="Arial" w:hint="cs"/>
          <w:rtl/>
        </w:rPr>
        <w:t>ב</w:t>
      </w:r>
      <w:r>
        <w:rPr>
          <w:rFonts w:ascii="Arial" w:hAnsi="Arial"/>
          <w:rtl/>
        </w:rPr>
        <w:t xml:space="preserve">טיעוני </w:t>
      </w:r>
      <w:r>
        <w:rPr>
          <w:rFonts w:ascii="Arial" w:hAnsi="Arial" w:hint="cs"/>
          <w:rtl/>
        </w:rPr>
        <w:t xml:space="preserve">לעונש, לאחר שעמדה חומרת מעשי הנאשם ופגיעתו בערכים המוגנים, עתרה המאשימה </w:t>
      </w:r>
      <w:r>
        <w:rPr>
          <w:rFonts w:ascii="Arial" w:hAnsi="Arial"/>
          <w:rtl/>
        </w:rPr>
        <w:t>לקבוע את מתחם העונש ההולם לכלל העבירות בהן הורשע הנאשם</w:t>
      </w:r>
      <w:r>
        <w:rPr>
          <w:rFonts w:ascii="Arial" w:hAnsi="Arial" w:hint="cs"/>
          <w:rtl/>
        </w:rPr>
        <w:t>,</w:t>
      </w:r>
      <w:r>
        <w:rPr>
          <w:rFonts w:ascii="Arial" w:hAnsi="Arial"/>
          <w:rtl/>
        </w:rPr>
        <w:t xml:space="preserve"> כך שינוע בין 14 ל -24 </w:t>
      </w:r>
      <w:r>
        <w:rPr>
          <w:rtl/>
        </w:rPr>
        <w:t>חודשי מאסר בפועל</w:t>
      </w:r>
      <w:r>
        <w:rPr>
          <w:rFonts w:hint="cs"/>
          <w:rtl/>
        </w:rPr>
        <w:t xml:space="preserve">. </w:t>
      </w:r>
    </w:p>
    <w:p w14:paraId="58135A78" w14:textId="77777777" w:rsidR="0042544E" w:rsidRDefault="0042544E" w:rsidP="0042544E">
      <w:pPr>
        <w:spacing w:line="360" w:lineRule="auto"/>
        <w:jc w:val="both"/>
        <w:rPr>
          <w:rtl/>
        </w:rPr>
      </w:pPr>
      <w:r>
        <w:rPr>
          <w:rFonts w:hint="cs"/>
          <w:rtl/>
        </w:rPr>
        <w:t xml:space="preserve">אשר לעונשו של הנאשם </w:t>
      </w:r>
      <w:r>
        <w:rPr>
          <w:rtl/>
        </w:rPr>
        <w:t>ציינה כי היא ערה לעברו הנקי, הודאתו בהזדמנות הראשונה, לתסק</w:t>
      </w:r>
      <w:r>
        <w:rPr>
          <w:rFonts w:hint="cs"/>
          <w:rtl/>
        </w:rPr>
        <w:t>י</w:t>
      </w:r>
      <w:r>
        <w:rPr>
          <w:rtl/>
        </w:rPr>
        <w:t xml:space="preserve">רים </w:t>
      </w:r>
      <w:r>
        <w:rPr>
          <w:rFonts w:hint="cs"/>
          <w:rtl/>
        </w:rPr>
        <w:t>ה</w:t>
      </w:r>
      <w:r>
        <w:rPr>
          <w:rtl/>
        </w:rPr>
        <w:t>חיובים מא</w:t>
      </w:r>
      <w:r>
        <w:rPr>
          <w:rFonts w:hint="cs"/>
          <w:rtl/>
        </w:rPr>
        <w:t xml:space="preserve">וד מהם נלמד על </w:t>
      </w:r>
      <w:r>
        <w:rPr>
          <w:rtl/>
        </w:rPr>
        <w:t xml:space="preserve">שיתוף פעולה חיובי ומלא של הנאשם עם שירות המבחן, </w:t>
      </w:r>
      <w:r>
        <w:rPr>
          <w:rFonts w:hint="cs"/>
          <w:rtl/>
        </w:rPr>
        <w:t xml:space="preserve">ובעיקר על </w:t>
      </w:r>
      <w:r>
        <w:rPr>
          <w:rtl/>
        </w:rPr>
        <w:t>הליך טיפולי ש</w:t>
      </w:r>
      <w:r>
        <w:rPr>
          <w:rFonts w:hint="cs"/>
          <w:rtl/>
        </w:rPr>
        <w:t>הצליח ו</w:t>
      </w:r>
      <w:r>
        <w:rPr>
          <w:rtl/>
        </w:rPr>
        <w:t xml:space="preserve">לרבות </w:t>
      </w:r>
      <w:r>
        <w:rPr>
          <w:rFonts w:hint="cs"/>
          <w:rtl/>
        </w:rPr>
        <w:t>ל</w:t>
      </w:r>
      <w:r>
        <w:rPr>
          <w:rtl/>
        </w:rPr>
        <w:t>המלצת השירות</w:t>
      </w:r>
      <w:r>
        <w:rPr>
          <w:rFonts w:hint="cs"/>
          <w:rtl/>
        </w:rPr>
        <w:t xml:space="preserve"> </w:t>
      </w:r>
      <w:r>
        <w:rPr>
          <w:rtl/>
        </w:rPr>
        <w:t>–</w:t>
      </w:r>
      <w:r>
        <w:rPr>
          <w:rFonts w:hint="cs"/>
          <w:rtl/>
        </w:rPr>
        <w:t xml:space="preserve"> ועל כן, לדידה, יש מקום לסטיית בית המשפט מהמתחם כך שעונשו של  הנאשם יעמוד על </w:t>
      </w:r>
      <w:r>
        <w:rPr>
          <w:rtl/>
        </w:rPr>
        <w:t xml:space="preserve"> 8 חודשי מאסר שיכול וירוצו בעבודות שירות ככל ויימצא מתאים. </w:t>
      </w:r>
    </w:p>
    <w:p w14:paraId="79828E06" w14:textId="77777777" w:rsidR="0042544E" w:rsidRDefault="0042544E" w:rsidP="0042544E">
      <w:pPr>
        <w:spacing w:line="360" w:lineRule="auto"/>
        <w:jc w:val="both"/>
        <w:rPr>
          <w:noProof/>
        </w:rPr>
      </w:pPr>
      <w:r>
        <w:rPr>
          <w:rFonts w:hint="cs"/>
          <w:rtl/>
        </w:rPr>
        <w:t xml:space="preserve">התביעה התנגדה לביטול הרשעת הנאשם ובהקשר זה הפנתה </w:t>
      </w:r>
      <w:r>
        <w:rPr>
          <w:rtl/>
        </w:rPr>
        <w:t>לטיעוניה הכתובים והוסיפה על פה כי ה</w:t>
      </w:r>
      <w:r>
        <w:rPr>
          <w:rFonts w:hint="cs"/>
          <w:rtl/>
        </w:rPr>
        <w:t xml:space="preserve">נאשם </w:t>
      </w:r>
      <w:r>
        <w:rPr>
          <w:rtl/>
        </w:rPr>
        <w:t>לא עומד בתנאים שנקבעו בפסיקה</w:t>
      </w:r>
      <w:r>
        <w:rPr>
          <w:rFonts w:hint="cs"/>
          <w:rtl/>
        </w:rPr>
        <w:t xml:space="preserve"> מאחר וטענתו לפ</w:t>
      </w:r>
      <w:r>
        <w:rPr>
          <w:rtl/>
        </w:rPr>
        <w:t>גיעה משמעותית באפשרות הסדרת מעמדו בישראל אינה מבוססת ובטח לא הוכחה</w:t>
      </w:r>
      <w:r>
        <w:rPr>
          <w:rFonts w:hint="cs"/>
          <w:rtl/>
        </w:rPr>
        <w:t xml:space="preserve">. </w:t>
      </w:r>
      <w:r>
        <w:rPr>
          <w:highlight w:val="green"/>
          <w:rtl/>
        </w:rPr>
        <w:t xml:space="preserve"> </w:t>
      </w:r>
    </w:p>
    <w:p w14:paraId="208F739E" w14:textId="77777777" w:rsidR="0042544E" w:rsidRDefault="0042544E" w:rsidP="0042544E">
      <w:pPr>
        <w:spacing w:line="360" w:lineRule="auto"/>
        <w:jc w:val="both"/>
        <w:rPr>
          <w:rtl/>
        </w:rPr>
      </w:pPr>
    </w:p>
    <w:p w14:paraId="3A533C8E" w14:textId="77777777" w:rsidR="0042544E" w:rsidRDefault="0042544E" w:rsidP="0042544E">
      <w:pPr>
        <w:spacing w:line="360" w:lineRule="auto"/>
        <w:jc w:val="both"/>
        <w:rPr>
          <w:rtl/>
        </w:rPr>
      </w:pPr>
      <w:r w:rsidRPr="004E533A">
        <w:rPr>
          <w:rFonts w:hint="cs"/>
          <w:rtl/>
        </w:rPr>
        <w:t>5</w:t>
      </w:r>
      <w:r>
        <w:rPr>
          <w:b/>
          <w:bCs/>
          <w:rtl/>
        </w:rPr>
        <w:t>.</w:t>
      </w:r>
      <w:r>
        <w:rPr>
          <w:b/>
          <w:bCs/>
          <w:rtl/>
        </w:rPr>
        <w:tab/>
        <w:t xml:space="preserve">ב"כ הנאשם, עו"ד נורית מעתוק, </w:t>
      </w:r>
      <w:r>
        <w:rPr>
          <w:rtl/>
        </w:rPr>
        <w:t>הגישה טיעוניה בכתב והוסיפה ארוכות על פה. בהתייחסה לעבירות ונסיבות ביצוען</w:t>
      </w:r>
      <w:r>
        <w:rPr>
          <w:rFonts w:hint="cs"/>
          <w:rtl/>
        </w:rPr>
        <w:t>,</w:t>
      </w:r>
      <w:r>
        <w:rPr>
          <w:rtl/>
        </w:rPr>
        <w:t xml:space="preserve"> מיקדה טיעוניה בכך שחרף דברי בית המשפט בהליך המעצר, התביעה לא טרחה להעמיד לדין את אשתו של הנאשם ומר זלמן ג</w:t>
      </w:r>
      <w:r>
        <w:rPr>
          <w:rFonts w:hint="cs"/>
          <w:rtl/>
        </w:rPr>
        <w:t>'</w:t>
      </w:r>
      <w:r>
        <w:rPr>
          <w:rtl/>
        </w:rPr>
        <w:t xml:space="preserve">וליאן חרף חלקם בביצוע העבירות, כך שככל שתטען המאשימה לחומרת העבירות כי אז יוחמר מחדלה באי הגשת כתבי האישום נגד האחרים כאמור. ב"כ הנאשם עמדה על מצבו הרפואי המורכב של הנאשם כגורם עיקרי לצריכתו בקנבוס והפנתה למסמך לפיו נדחתה בקשת הנאשם לאישור שימוש בקנביס רפואי נוכח מחלה פעילה בשלה לא ניתן היה לבטחו, הגם שמצבו מצדיק קבלת היתר כאמור. </w:t>
      </w:r>
    </w:p>
    <w:p w14:paraId="2646EA5B" w14:textId="77777777" w:rsidR="0042544E" w:rsidRDefault="0042544E" w:rsidP="0042544E">
      <w:pPr>
        <w:spacing w:line="360" w:lineRule="auto"/>
        <w:jc w:val="both"/>
        <w:rPr>
          <w:rtl/>
        </w:rPr>
      </w:pPr>
      <w:r>
        <w:rPr>
          <w:rtl/>
        </w:rPr>
        <w:t>אשר ל</w:t>
      </w:r>
      <w:r>
        <w:rPr>
          <w:rFonts w:hint="cs"/>
          <w:rtl/>
        </w:rPr>
        <w:t xml:space="preserve">ביטול </w:t>
      </w:r>
      <w:r>
        <w:rPr>
          <w:rtl/>
        </w:rPr>
        <w:t xml:space="preserve">הרשעת הנאשם </w:t>
      </w:r>
      <w:r>
        <w:rPr>
          <w:rFonts w:hint="cs"/>
          <w:rtl/>
        </w:rPr>
        <w:t xml:space="preserve">נטען, </w:t>
      </w:r>
      <w:r>
        <w:rPr>
          <w:rtl/>
        </w:rPr>
        <w:t>כי קודם שהוגש נגדו כתב האישום היה הנאשם לקראת קבלת אזרחות ישראלית, אולם הליך זה הוקפא נוכח ההליך המשפטי בתיק דנן</w:t>
      </w:r>
      <w:r>
        <w:rPr>
          <w:rFonts w:hint="cs"/>
          <w:rtl/>
        </w:rPr>
        <w:t xml:space="preserve">, ומשהוקפא ההליך, בוטלה אשרת תושב ארעי שהחזיק הנאשם מה שגרר את ביטול ביטוח הבריאות, ופועל יוצא מכך נמנע מהנאשם לקבל טיפול רפואי לרבות היתר לשימוש בקנאביס רפואי. </w:t>
      </w:r>
    </w:p>
    <w:p w14:paraId="09996593" w14:textId="77777777" w:rsidR="0042544E" w:rsidRDefault="0042544E" w:rsidP="0042544E">
      <w:pPr>
        <w:spacing w:line="360" w:lineRule="auto"/>
        <w:jc w:val="both"/>
        <w:rPr>
          <w:rtl/>
        </w:rPr>
      </w:pPr>
      <w:r w:rsidRPr="004A5C8C">
        <w:rPr>
          <w:rtl/>
        </w:rPr>
        <w:t xml:space="preserve">אשר למתחם העונש, </w:t>
      </w:r>
      <w:r w:rsidRPr="004A5C8C">
        <w:rPr>
          <w:rFonts w:hint="cs"/>
          <w:rtl/>
        </w:rPr>
        <w:t xml:space="preserve">נטען </w:t>
      </w:r>
      <w:r w:rsidRPr="004A5C8C">
        <w:rPr>
          <w:rtl/>
        </w:rPr>
        <w:t>כי המתחם לו עתרה המאשימה אינו מבוסס על מקרים שנסיבותיהם דומות למקרה דנן. לדידה, בהתאם למקרים בפסיקה אותה הגישה, מתחם העונש ההולם צריך וינוע בין של"צ ועד ל-6 חודשי מאסר שיכול וירוצו בעבודות שירות.</w:t>
      </w:r>
      <w:r>
        <w:rPr>
          <w:rtl/>
        </w:rPr>
        <w:t xml:space="preserve"> ב"כ הנאשם בקשה שיינתן משקל ממש להליך השיקומי שעבר הנאשם אצל שירות המבחן</w:t>
      </w:r>
      <w:r>
        <w:rPr>
          <w:rFonts w:hint="cs"/>
          <w:rtl/>
        </w:rPr>
        <w:t xml:space="preserve">, אשר מצדיק סטייה מכל מתחם עונש שיקבע בית המשפט. </w:t>
      </w:r>
      <w:r w:rsidRPr="00B92B58">
        <w:rPr>
          <w:rFonts w:hint="cs"/>
          <w:rtl/>
        </w:rPr>
        <w:t xml:space="preserve">ב"כ הנאשם חזרה והדגישה בנסיבותיו האישיות והרפואיות של הנאשם כעולה מתסקיר שירות המבחן וחזרה לטעון כי הרשעת הנאשם תפגע משמעותית בהליך התאזרחותו ולא רק אלא כי גם מעמדם של ילידיו הקטנים. </w:t>
      </w:r>
    </w:p>
    <w:p w14:paraId="5CDA7AF0" w14:textId="77777777" w:rsidR="0042544E" w:rsidRDefault="0042544E" w:rsidP="0042544E">
      <w:pPr>
        <w:spacing w:line="360" w:lineRule="auto"/>
        <w:jc w:val="both"/>
        <w:rPr>
          <w:rtl/>
        </w:rPr>
      </w:pPr>
      <w:r w:rsidRPr="00166117">
        <w:rPr>
          <w:b/>
          <w:bCs/>
          <w:rtl/>
        </w:rPr>
        <w:t>הנאשם בדבריו</w:t>
      </w:r>
      <w:r>
        <w:rPr>
          <w:rtl/>
        </w:rPr>
        <w:t xml:space="preserve"> מסר </w:t>
      </w:r>
      <w:r>
        <w:rPr>
          <w:rFonts w:hint="cs"/>
          <w:rtl/>
        </w:rPr>
        <w:t xml:space="preserve">כי עשה טעות אולם זו הייתה עבורו ללמוד לקחו ולמצוא את הדרך הטובה להתנהל בישראל ובחייו בכלל. הנאשם חזר והביע צער על מעשיו ובקש הזדמנות להתחלה חדשה. </w:t>
      </w:r>
    </w:p>
    <w:p w14:paraId="44AB2E6A" w14:textId="77777777" w:rsidR="0042544E" w:rsidRDefault="0042544E" w:rsidP="0042544E">
      <w:pPr>
        <w:spacing w:line="360" w:lineRule="auto"/>
        <w:jc w:val="both"/>
        <w:rPr>
          <w:rtl/>
        </w:rPr>
      </w:pPr>
    </w:p>
    <w:p w14:paraId="7620818E" w14:textId="77777777" w:rsidR="0042544E" w:rsidRDefault="0042544E" w:rsidP="0042544E">
      <w:pPr>
        <w:spacing w:line="360" w:lineRule="auto"/>
        <w:jc w:val="both"/>
        <w:rPr>
          <w:rFonts w:ascii="Arial" w:hAnsi="Arial"/>
          <w:b/>
          <w:bCs/>
          <w:sz w:val="28"/>
          <w:szCs w:val="28"/>
          <w:u w:val="single"/>
          <w:rtl/>
        </w:rPr>
      </w:pPr>
      <w:r>
        <w:rPr>
          <w:rFonts w:ascii="Arial" w:hAnsi="Arial"/>
          <w:b/>
          <w:bCs/>
          <w:sz w:val="28"/>
          <w:szCs w:val="28"/>
          <w:u w:val="single"/>
          <w:rtl/>
        </w:rPr>
        <w:t xml:space="preserve">דיון </w:t>
      </w:r>
    </w:p>
    <w:p w14:paraId="581717C0" w14:textId="77777777" w:rsidR="0042544E" w:rsidRPr="004E533A" w:rsidRDefault="0042544E" w:rsidP="0042544E">
      <w:pPr>
        <w:spacing w:line="360" w:lineRule="auto"/>
        <w:jc w:val="both"/>
        <w:rPr>
          <w:b/>
          <w:bCs/>
          <w:sz w:val="26"/>
          <w:szCs w:val="26"/>
          <w:rtl/>
        </w:rPr>
      </w:pPr>
      <w:r w:rsidRPr="004E533A">
        <w:rPr>
          <w:b/>
          <w:bCs/>
          <w:sz w:val="26"/>
          <w:szCs w:val="26"/>
          <w:rtl/>
        </w:rPr>
        <w:t xml:space="preserve">הרשעת הנאשם </w:t>
      </w:r>
    </w:p>
    <w:p w14:paraId="08F701A3" w14:textId="77777777" w:rsidR="0042544E" w:rsidRDefault="0042544E" w:rsidP="0042544E">
      <w:pPr>
        <w:spacing w:line="360" w:lineRule="auto"/>
        <w:jc w:val="both"/>
        <w:rPr>
          <w:noProof/>
        </w:rPr>
      </w:pPr>
      <w:r>
        <w:rPr>
          <w:rFonts w:hint="cs"/>
          <w:sz w:val="22"/>
          <w:szCs w:val="22"/>
          <w:rtl/>
        </w:rPr>
        <w:t>6</w:t>
      </w:r>
      <w:r>
        <w:rPr>
          <w:sz w:val="22"/>
          <w:szCs w:val="22"/>
          <w:rtl/>
        </w:rPr>
        <w:t>.</w:t>
      </w:r>
      <w:r w:rsidR="00C75905">
        <w:rPr>
          <w:sz w:val="22"/>
          <w:szCs w:val="22"/>
          <w:rtl/>
        </w:rPr>
        <w:t xml:space="preserve">           </w:t>
      </w:r>
      <w:r>
        <w:rPr>
          <w:sz w:val="22"/>
          <w:szCs w:val="22"/>
          <w:rtl/>
        </w:rPr>
        <w:t xml:space="preserve"> </w:t>
      </w:r>
      <w:r>
        <w:rPr>
          <w:rtl/>
        </w:rPr>
        <w:t xml:space="preserve">נקודת המוצא בדין הפלילי היא כי מי שהוכחה אשמתו, יורשע בדין. אי הרשעה והסמכות לסטייה מן הכלל נתונה לבית המשפט במקרים חריגים ויוצאי דופן (ראה </w:t>
      </w:r>
      <w:hyperlink r:id="rId30" w:history="1">
        <w:r w:rsidR="00C75905" w:rsidRPr="00C75905">
          <w:rPr>
            <w:color w:val="0000FF"/>
            <w:u w:val="single"/>
            <w:rtl/>
          </w:rPr>
          <w:t>ע"פ 2513/96</w:t>
        </w:r>
      </w:hyperlink>
      <w:r>
        <w:rPr>
          <w:rtl/>
        </w:rPr>
        <w:t xml:space="preserve"> </w:t>
      </w:r>
      <w:r>
        <w:rPr>
          <w:b/>
          <w:bCs/>
          <w:rtl/>
        </w:rPr>
        <w:t>מדינת ישראל נ' ויקטור שמש</w:t>
      </w:r>
      <w:r>
        <w:rPr>
          <w:rtl/>
        </w:rPr>
        <w:t xml:space="preserve"> </w:t>
      </w:r>
      <w:r w:rsidR="00343E63" w:rsidRPr="00343E63">
        <w:rPr>
          <w:sz w:val="22"/>
          <w:rtl/>
        </w:rPr>
        <w:t xml:space="preserve">[פורסם בנבו] </w:t>
      </w:r>
      <w:r>
        <w:rPr>
          <w:rtl/>
        </w:rPr>
        <w:t>2.9.96).</w:t>
      </w:r>
    </w:p>
    <w:p w14:paraId="07067860" w14:textId="77777777" w:rsidR="0042544E" w:rsidRDefault="0042544E" w:rsidP="0042544E">
      <w:pPr>
        <w:spacing w:line="360" w:lineRule="auto"/>
        <w:jc w:val="both"/>
      </w:pPr>
      <w:r>
        <w:rPr>
          <w:rtl/>
        </w:rPr>
        <w:t>בחינת השאלה האם לבטל</w:t>
      </w:r>
      <w:r w:rsidR="00C75905">
        <w:rPr>
          <w:rtl/>
        </w:rPr>
        <w:t xml:space="preserve"> </w:t>
      </w:r>
      <w:r>
        <w:rPr>
          <w:rtl/>
        </w:rPr>
        <w:t xml:space="preserve"> הרשעת נאשם אינה מנויה בפרק </w:t>
      </w:r>
      <w:hyperlink r:id="rId31" w:history="1">
        <w:r w:rsidR="00035FE0" w:rsidRPr="00035FE0">
          <w:rPr>
            <w:rStyle w:val="Hyperlink"/>
            <w:rtl/>
          </w:rPr>
          <w:t>ו'</w:t>
        </w:r>
      </w:hyperlink>
      <w:r>
        <w:rPr>
          <w:rtl/>
        </w:rPr>
        <w:t xml:space="preserve"> ל</w:t>
      </w:r>
      <w:hyperlink r:id="rId32" w:history="1">
        <w:r w:rsidR="00C75905" w:rsidRPr="00C75905">
          <w:rPr>
            <w:color w:val="0000FF"/>
            <w:u w:val="single"/>
            <w:rtl/>
          </w:rPr>
          <w:t>חוק העונשין</w:t>
        </w:r>
      </w:hyperlink>
      <w:r>
        <w:rPr>
          <w:rtl/>
        </w:rPr>
        <w:t xml:space="preserve"> שכותרתו</w:t>
      </w:r>
      <w:r w:rsidR="00C75905">
        <w:rPr>
          <w:rtl/>
        </w:rPr>
        <w:t xml:space="preserve"> </w:t>
      </w:r>
      <w:r>
        <w:rPr>
          <w:rtl/>
        </w:rPr>
        <w:t>"</w:t>
      </w:r>
      <w:r>
        <w:rPr>
          <w:b/>
          <w:bCs/>
          <w:rtl/>
        </w:rPr>
        <w:t>דרכי ענישה"</w:t>
      </w:r>
      <w:r>
        <w:rPr>
          <w:rtl/>
        </w:rPr>
        <w:t>. שאלה זו צריכה לבחינה עצמאית על פי הכללים שנקבעו לעניין זה בהלכת כתב</w:t>
      </w:r>
      <w:r w:rsidR="00C75905">
        <w:rPr>
          <w:rtl/>
        </w:rPr>
        <w:t xml:space="preserve"> </w:t>
      </w:r>
      <w:r>
        <w:rPr>
          <w:rtl/>
        </w:rPr>
        <w:t xml:space="preserve"> ולאחריה (ראו </w:t>
      </w:r>
      <w:hyperlink r:id="rId33" w:history="1">
        <w:r w:rsidR="00C75905" w:rsidRPr="00C75905">
          <w:rPr>
            <w:b/>
            <w:bCs/>
            <w:color w:val="0000FF"/>
            <w:u w:val="single"/>
            <w:rtl/>
          </w:rPr>
          <w:t>רע"פ 3195/19</w:t>
        </w:r>
      </w:hyperlink>
      <w:r>
        <w:rPr>
          <w:b/>
          <w:bCs/>
          <w:rtl/>
        </w:rPr>
        <w:t xml:space="preserve"> יניב אגוזי נ' מ"י</w:t>
      </w:r>
      <w:r>
        <w:rPr>
          <w:rtl/>
        </w:rPr>
        <w:t xml:space="preserve"> [פורסם בנבו] (4.7.2019)), כשהשיקול המרכזי המנחה את בית המשפט בהחלטה שלא להרשיע את הנאשם, הוא יחס בלתי מידתי בין התועלת שבהרשעת הנאשם לבין הנזק שעתיד להיגרם לו כתוצאה מכך, שכידוע אינו חלק ממערך השיקולים המנחה את השופט בקביעת מתחם העונש ההולם.</w:t>
      </w:r>
    </w:p>
    <w:p w14:paraId="1E44AA28" w14:textId="77777777" w:rsidR="0042544E" w:rsidRDefault="0042544E" w:rsidP="00343E63">
      <w:pPr>
        <w:spacing w:line="360" w:lineRule="auto"/>
        <w:jc w:val="both"/>
      </w:pPr>
      <w:r>
        <w:rPr>
          <w:rtl/>
        </w:rPr>
        <w:t xml:space="preserve">המקור הנורמטיבי המקנה סמכות לבית המשפט לבטל הרשעה בפלילים נמצא בסעיף </w:t>
      </w:r>
      <w:hyperlink r:id="rId34" w:history="1">
        <w:r w:rsidR="00035FE0" w:rsidRPr="00035FE0">
          <w:rPr>
            <w:rStyle w:val="Hyperlink"/>
            <w:rtl/>
          </w:rPr>
          <w:t>192 א</w:t>
        </w:r>
      </w:hyperlink>
      <w:r>
        <w:rPr>
          <w:rtl/>
        </w:rPr>
        <w:t xml:space="preserve"> ל</w:t>
      </w:r>
      <w:hyperlink r:id="rId35" w:history="1">
        <w:r w:rsidR="00C75905" w:rsidRPr="00C75905">
          <w:rPr>
            <w:color w:val="0000FF"/>
            <w:u w:val="single"/>
            <w:rtl/>
          </w:rPr>
          <w:t>חוק סדר הדין הפלילי</w:t>
        </w:r>
      </w:hyperlink>
      <w:r>
        <w:rPr>
          <w:rtl/>
        </w:rPr>
        <w:t xml:space="preserve"> ומכוח הוראותיו של </w:t>
      </w:r>
      <w:hyperlink r:id="rId36" w:history="1">
        <w:r w:rsidR="00035FE0" w:rsidRPr="00035FE0">
          <w:rPr>
            <w:rStyle w:val="Hyperlink"/>
            <w:rtl/>
          </w:rPr>
          <w:t>סעיף 71(א)ב</w:t>
        </w:r>
      </w:hyperlink>
      <w:r w:rsidR="00C75905">
        <w:rPr>
          <w:rtl/>
        </w:rPr>
        <w:t xml:space="preserve"> </w:t>
      </w:r>
      <w:r>
        <w:rPr>
          <w:rtl/>
        </w:rPr>
        <w:t xml:space="preserve"> ב</w:t>
      </w:r>
      <w:hyperlink r:id="rId37" w:history="1">
        <w:r w:rsidR="00C75905" w:rsidRPr="00C75905">
          <w:rPr>
            <w:color w:val="0000FF"/>
            <w:u w:val="single"/>
            <w:rtl/>
          </w:rPr>
          <w:t>חוק העונשין</w:t>
        </w:r>
      </w:hyperlink>
      <w:r>
        <w:rPr>
          <w:rtl/>
        </w:rPr>
        <w:t xml:space="preserve">, ועל פי ההלכה הפסוקה הימנעות מהרשעה בהליך הפלילי היא תוצאה חריגה השמורה למקרים חריגים ויוצאי דופן, ובהצטבר שני תנאים מרכזיים: </w:t>
      </w:r>
      <w:r>
        <w:rPr>
          <w:b/>
          <w:bCs/>
          <w:rtl/>
        </w:rPr>
        <w:t>ראשית</w:t>
      </w:r>
      <w:r>
        <w:rPr>
          <w:rtl/>
        </w:rPr>
        <w:t xml:space="preserve">, סוג העבירה המאפשר לוותר בנסיבות המקרה המסוים על ההרשעה בלי לפגוע באופן מהותי בשיקולי הענישה האחרים. </w:t>
      </w:r>
      <w:r>
        <w:rPr>
          <w:b/>
          <w:bCs/>
          <w:rtl/>
        </w:rPr>
        <w:t>שנית</w:t>
      </w:r>
      <w:r>
        <w:rPr>
          <w:rtl/>
        </w:rPr>
        <w:t>, ההרשעה תפגע פגיעה חמורה בשיקום הנאשם (ראו בהרחבה ב</w:t>
      </w:r>
      <w:hyperlink r:id="rId38" w:history="1">
        <w:r w:rsidR="00C75905" w:rsidRPr="00C75905">
          <w:rPr>
            <w:color w:val="0000FF"/>
            <w:u w:val="single"/>
            <w:rtl/>
          </w:rPr>
          <w:t>ע"פ 2083/96</w:t>
        </w:r>
      </w:hyperlink>
      <w:r>
        <w:rPr>
          <w:rtl/>
        </w:rPr>
        <w:t xml:space="preserve"> </w:t>
      </w:r>
      <w:r>
        <w:rPr>
          <w:b/>
          <w:bCs/>
          <w:rtl/>
        </w:rPr>
        <w:t>תמר כתב נ' מדינת ישראל</w:t>
      </w:r>
      <w:r>
        <w:rPr>
          <w:rtl/>
        </w:rPr>
        <w:t xml:space="preserve"> </w:t>
      </w:r>
      <w:r w:rsidR="00343E63" w:rsidRPr="00343E63">
        <w:rPr>
          <w:sz w:val="22"/>
          <w:rtl/>
        </w:rPr>
        <w:t xml:space="preserve">[פורסם בנבו] </w:t>
      </w:r>
      <w:r>
        <w:rPr>
          <w:rtl/>
        </w:rPr>
        <w:t>(21.8.97) ומהעת האחרונה ב</w:t>
      </w:r>
      <w:hyperlink r:id="rId39" w:history="1">
        <w:r w:rsidR="00C75905" w:rsidRPr="00C75905">
          <w:rPr>
            <w:color w:val="0000FF"/>
            <w:u w:val="single"/>
            <w:rtl/>
          </w:rPr>
          <w:t>רע"פ 619/18</w:t>
        </w:r>
      </w:hyperlink>
      <w:r>
        <w:rPr>
          <w:rtl/>
        </w:rPr>
        <w:t xml:space="preserve"> </w:t>
      </w:r>
      <w:r>
        <w:rPr>
          <w:b/>
          <w:bCs/>
          <w:rtl/>
        </w:rPr>
        <w:t>משה בזיזינסקי נ' מדינת ישראל</w:t>
      </w:r>
      <w:r>
        <w:rPr>
          <w:rtl/>
        </w:rPr>
        <w:t xml:space="preserve"> </w:t>
      </w:r>
      <w:r w:rsidR="00343E63" w:rsidRPr="00343E63">
        <w:rPr>
          <w:sz w:val="22"/>
          <w:rtl/>
        </w:rPr>
        <w:t xml:space="preserve">[פורסם בנבו] </w:t>
      </w:r>
      <w:r>
        <w:rPr>
          <w:rtl/>
        </w:rPr>
        <w:t xml:space="preserve">01.03.18; </w:t>
      </w:r>
      <w:hyperlink r:id="rId40" w:history="1">
        <w:r w:rsidR="00C75905" w:rsidRPr="00C75905">
          <w:rPr>
            <w:color w:val="0000FF"/>
            <w:u w:val="single"/>
            <w:rtl/>
          </w:rPr>
          <w:t>רע"פ 8215/16</w:t>
        </w:r>
      </w:hyperlink>
      <w:r>
        <w:rPr>
          <w:rtl/>
        </w:rPr>
        <w:t xml:space="preserve"> </w:t>
      </w:r>
      <w:r>
        <w:rPr>
          <w:b/>
          <w:bCs/>
          <w:rtl/>
        </w:rPr>
        <w:t>אברהם יצחק נ' מדינת ישראל</w:t>
      </w:r>
      <w:r w:rsidR="00C75905">
        <w:rPr>
          <w:rtl/>
        </w:rPr>
        <w:t xml:space="preserve"> </w:t>
      </w:r>
      <w:r w:rsidR="00343E63" w:rsidRPr="00343E63">
        <w:rPr>
          <w:sz w:val="22"/>
          <w:rtl/>
        </w:rPr>
        <w:t xml:space="preserve">[פורסם בנבו] </w:t>
      </w:r>
      <w:r>
        <w:rPr>
          <w:rtl/>
        </w:rPr>
        <w:t xml:space="preserve">(29.3.2017)). </w:t>
      </w:r>
    </w:p>
    <w:p w14:paraId="4B408B9C" w14:textId="77777777" w:rsidR="0042544E" w:rsidRDefault="0042544E" w:rsidP="0042544E">
      <w:pPr>
        <w:spacing w:line="360" w:lineRule="auto"/>
        <w:jc w:val="both"/>
        <w:rPr>
          <w:rtl/>
        </w:rPr>
      </w:pPr>
    </w:p>
    <w:p w14:paraId="0638B9AA" w14:textId="77777777" w:rsidR="0042544E" w:rsidRDefault="0042544E" w:rsidP="0042544E">
      <w:pPr>
        <w:spacing w:line="360" w:lineRule="auto"/>
        <w:jc w:val="both"/>
        <w:rPr>
          <w:rtl/>
        </w:rPr>
      </w:pPr>
      <w:r>
        <w:rPr>
          <w:rtl/>
        </w:rPr>
        <w:t>יישום המבחנים האמורים בעניין הנדון לפני מעלה כי לא מתקיימים התנאים המצדיקים ביטול הרשעת הנאשם.</w:t>
      </w:r>
      <w:r w:rsidR="00C75905">
        <w:rPr>
          <w:rtl/>
        </w:rPr>
        <w:t xml:space="preserve"> </w:t>
      </w:r>
      <w:r>
        <w:rPr>
          <w:rtl/>
        </w:rPr>
        <w:t xml:space="preserve"> בכל הנוגע לטיב העבירות בנסיבות ביצוען, לרבות טיב הערכים המוגנים שביסוד העבירות ומידת הפגיעה באינטרס החברתי והציבורי – ספק אם אלה</w:t>
      </w:r>
      <w:r w:rsidR="00C75905">
        <w:rPr>
          <w:rtl/>
        </w:rPr>
        <w:t xml:space="preserve"> </w:t>
      </w:r>
      <w:r>
        <w:rPr>
          <w:rtl/>
        </w:rPr>
        <w:t xml:space="preserve"> מאפשרות ויתור על ההרשעה מבלי לפגוע באופן מהותי בשיקולי הענישה האחרים</w:t>
      </w:r>
      <w:r>
        <w:rPr>
          <w:rFonts w:hint="cs"/>
          <w:rtl/>
        </w:rPr>
        <w:t xml:space="preserve">, ונראה כי </w:t>
      </w:r>
      <w:r>
        <w:rPr>
          <w:rtl/>
        </w:rPr>
        <w:t xml:space="preserve">הימנעות מהרשעה בנסיבות העניין עלולה לפגוע בהעברת מסר מתחייב של הוקעה וגינוי העבירות ומתן ביטוי לתכלית אשר בבסיס האיסור על ביצוען. </w:t>
      </w:r>
    </w:p>
    <w:p w14:paraId="49376801" w14:textId="77777777" w:rsidR="0042544E" w:rsidRDefault="0042544E" w:rsidP="0042544E">
      <w:pPr>
        <w:spacing w:line="360" w:lineRule="auto"/>
        <w:jc w:val="both"/>
        <w:rPr>
          <w:sz w:val="22"/>
          <w:szCs w:val="22"/>
          <w:rtl/>
        </w:rPr>
      </w:pPr>
      <w:r>
        <w:rPr>
          <w:rFonts w:ascii="Arial" w:hAnsi="Arial" w:hint="cs"/>
          <w:rtl/>
        </w:rPr>
        <w:t xml:space="preserve">בנוסף, והוא העיקר, </w:t>
      </w:r>
      <w:r>
        <w:rPr>
          <w:rtl/>
        </w:rPr>
        <w:t xml:space="preserve">לא שוכנעתי כי הותרת הרשעת הנאשם על כנה תפגע </w:t>
      </w:r>
      <w:r>
        <w:rPr>
          <w:rFonts w:hint="cs"/>
          <w:rtl/>
        </w:rPr>
        <w:t xml:space="preserve">משמעותית אם בכלל </w:t>
      </w:r>
      <w:r>
        <w:rPr>
          <w:rtl/>
        </w:rPr>
        <w:t>בסיכויו לקבל אזרחות ישראלית כטענת ההגנה</w:t>
      </w:r>
      <w:r>
        <w:rPr>
          <w:rFonts w:hint="cs"/>
          <w:rtl/>
        </w:rPr>
        <w:t xml:space="preserve">. </w:t>
      </w:r>
      <w:r w:rsidRPr="00F36A89">
        <w:rPr>
          <w:rFonts w:hint="cs"/>
          <w:b/>
          <w:bCs/>
          <w:rtl/>
        </w:rPr>
        <w:t>ראשית</w:t>
      </w:r>
      <w:r>
        <w:rPr>
          <w:rFonts w:hint="cs"/>
          <w:rtl/>
        </w:rPr>
        <w:t xml:space="preserve">, אין בכלל המסמכים אותם הגישה ב"כ הנאשם במהלך טיעוניה לעונש ולאחריהם כדי לבסס את טענתה הנ"ל, </w:t>
      </w:r>
      <w:r>
        <w:rPr>
          <w:rtl/>
        </w:rPr>
        <w:t>חרף הזדמנ</w:t>
      </w:r>
      <w:r>
        <w:rPr>
          <w:rFonts w:hint="cs"/>
          <w:rtl/>
        </w:rPr>
        <w:t>ו</w:t>
      </w:r>
      <w:r>
        <w:rPr>
          <w:rtl/>
        </w:rPr>
        <w:t xml:space="preserve">יות שהיו </w:t>
      </w:r>
      <w:r w:rsidRPr="00F36A89">
        <w:rPr>
          <w:rtl/>
        </w:rPr>
        <w:t>בידה לעשות כן</w:t>
      </w:r>
      <w:r>
        <w:rPr>
          <w:rFonts w:hint="cs"/>
          <w:rtl/>
        </w:rPr>
        <w:t xml:space="preserve">. כך גם ביחס להמלצת שירות המבחן בהקשר זה, לא ברור על מה נסמך שירות </w:t>
      </w:r>
      <w:r w:rsidRPr="00B92B58">
        <w:rPr>
          <w:rFonts w:hint="cs"/>
          <w:rtl/>
        </w:rPr>
        <w:t xml:space="preserve">המבחן בציינו כי </w:t>
      </w:r>
      <w:r w:rsidRPr="00B92B58">
        <w:rPr>
          <w:rFonts w:ascii="Arial" w:hAnsi="Arial"/>
          <w:rtl/>
        </w:rPr>
        <w:t>לאור ההליכים המתנהלים במשרד הפנים בנוגע להסדרת מעמד בארץ, בגדרם עתידה להינתן החלטה באשר להסדרת מעמדו של הנאשם בישראל, קיומו של רישום פלילי עלול לחבל משמעותית במתן המעמד.</w:t>
      </w:r>
      <w:r>
        <w:rPr>
          <w:rFonts w:hint="cs"/>
          <w:rtl/>
        </w:rPr>
        <w:t xml:space="preserve"> </w:t>
      </w:r>
      <w:r w:rsidRPr="005C35A2">
        <w:rPr>
          <w:rFonts w:hint="cs"/>
          <w:b/>
          <w:bCs/>
          <w:rtl/>
        </w:rPr>
        <w:t>שנית</w:t>
      </w:r>
      <w:r>
        <w:rPr>
          <w:rFonts w:hint="cs"/>
          <w:rtl/>
        </w:rPr>
        <w:t xml:space="preserve">, הנאשם עבר ונתון עדיין בהליך טיפולי אצל שירות המבחן ובמסגרת פרטית- ובהקשר זה לא העלתה ההגנה טענה לפיה הרשעתו </w:t>
      </w:r>
      <w:r>
        <w:rPr>
          <w:rtl/>
        </w:rPr>
        <w:t>תביא לפגיעה בכלל ומשמעותית בפרט בהליך שיקומו, או שיהיה בה להרפות ידיו ולפגוע במוטיבציה אותה הוא מביע להמשיך ולהתמיד במאמציו לשינוי מצבו</w:t>
      </w:r>
      <w:r>
        <w:rPr>
          <w:rFonts w:hint="cs"/>
          <w:rtl/>
        </w:rPr>
        <w:t xml:space="preserve"> כמפורט בהרחבה בתסקיר. </w:t>
      </w:r>
      <w:r w:rsidRPr="005C35A2">
        <w:rPr>
          <w:rFonts w:hint="cs"/>
          <w:b/>
          <w:bCs/>
          <w:rtl/>
        </w:rPr>
        <w:t>שלישית</w:t>
      </w:r>
      <w:r>
        <w:rPr>
          <w:rFonts w:hint="cs"/>
          <w:rtl/>
        </w:rPr>
        <w:t xml:space="preserve">, </w:t>
      </w:r>
      <w:r>
        <w:rPr>
          <w:rtl/>
        </w:rPr>
        <w:t>בכל מקרה, את שיקול הדעת ב</w:t>
      </w:r>
      <w:r>
        <w:rPr>
          <w:rFonts w:hint="cs"/>
          <w:rtl/>
        </w:rPr>
        <w:t xml:space="preserve">נוגע להסדרת </w:t>
      </w:r>
      <w:r>
        <w:rPr>
          <w:rtl/>
        </w:rPr>
        <w:t>מעמדו של הנאשם בישראל,</w:t>
      </w:r>
      <w:r>
        <w:rPr>
          <w:rFonts w:hint="cs"/>
          <w:rtl/>
        </w:rPr>
        <w:t xml:space="preserve"> </w:t>
      </w:r>
      <w:r>
        <w:rPr>
          <w:rtl/>
        </w:rPr>
        <w:t>נראה כי נכון להשאיר  לגורמים המוסמכים אשר אמורים להפעילו. ביטול הרשעה משמעותו כי בית המשפט כבר בשלב זה ישים את שיקול דעתו שלו תחת שיקול דעת הגורמים הרלבנטיים, ולמעשה ימנע מהם את הידיעה על העבירות שביצע הנאשם</w:t>
      </w:r>
      <w:r>
        <w:rPr>
          <w:rFonts w:hint="cs"/>
          <w:rtl/>
        </w:rPr>
        <w:t xml:space="preserve"> ככל שאלה רלוונטיות במסגרת בחינת מעמדו בישראל. </w:t>
      </w:r>
      <w:r>
        <w:rPr>
          <w:rtl/>
        </w:rPr>
        <w:t>ראו בהקשרים אלו ובשינויים המחויבים דברי בית המשפט ב</w:t>
      </w:r>
      <w:hyperlink r:id="rId41" w:history="1">
        <w:r w:rsidR="00C75905" w:rsidRPr="00C75905">
          <w:rPr>
            <w:color w:val="0000FF"/>
            <w:u w:val="single"/>
            <w:rtl/>
          </w:rPr>
          <w:t>רע"פ 923/19</w:t>
        </w:r>
      </w:hyperlink>
      <w:r>
        <w:rPr>
          <w:rtl/>
        </w:rPr>
        <w:t xml:space="preserve"> </w:t>
      </w:r>
      <w:r>
        <w:rPr>
          <w:b/>
          <w:bCs/>
          <w:rtl/>
        </w:rPr>
        <w:t>פלונית נ' מ"י</w:t>
      </w:r>
      <w:r>
        <w:rPr>
          <w:rtl/>
        </w:rPr>
        <w:t xml:space="preserve"> [פורסם בנבו] (2.4.2019) </w:t>
      </w:r>
      <w:r>
        <w:rPr>
          <w:sz w:val="22"/>
          <w:szCs w:val="22"/>
          <w:rtl/>
        </w:rPr>
        <w:t xml:space="preserve">וכן </w:t>
      </w:r>
      <w:r>
        <w:rPr>
          <w:rtl/>
        </w:rPr>
        <w:t>ב</w:t>
      </w:r>
      <w:hyperlink r:id="rId42" w:history="1">
        <w:r w:rsidR="00C75905" w:rsidRPr="00C75905">
          <w:rPr>
            <w:color w:val="0000FF"/>
            <w:u w:val="single"/>
            <w:rtl/>
          </w:rPr>
          <w:t>רע"פ 5018/18</w:t>
        </w:r>
      </w:hyperlink>
      <w:r>
        <w:rPr>
          <w:rtl/>
        </w:rPr>
        <w:t xml:space="preserve"> </w:t>
      </w:r>
      <w:r>
        <w:rPr>
          <w:b/>
          <w:bCs/>
          <w:rtl/>
        </w:rPr>
        <w:t>בוזגלו נ' מ"י</w:t>
      </w:r>
      <w:r>
        <w:rPr>
          <w:rtl/>
        </w:rPr>
        <w:t xml:space="preserve"> [פורסם בנבו] (21.10.2018), שם נדחתה בקשת המבקש שהורשע בעבירות סמים, ועתר לביטול הרשעתו בטענה כי הוא לומד רפואה באוניברסיטה באיטליה והרשעתו תפגע בסיכויו לעבוד כרופא. </w:t>
      </w:r>
    </w:p>
    <w:p w14:paraId="6D9DBF82" w14:textId="77777777" w:rsidR="0042544E" w:rsidRDefault="0042544E" w:rsidP="0042544E">
      <w:pPr>
        <w:spacing w:line="360" w:lineRule="auto"/>
        <w:jc w:val="both"/>
        <w:rPr>
          <w:rtl/>
        </w:rPr>
      </w:pPr>
      <w:r>
        <w:rPr>
          <w:rtl/>
        </w:rPr>
        <w:t>בדומה, כך גם בעניינו של הנאשם, יש להותיר את ההכרעה אם בכלל בידי הגורמים הרלבנטיים אשר יפעילו את שיקול דעתם בשאלת מעמדו של הנאשם בישראל.</w:t>
      </w:r>
    </w:p>
    <w:p w14:paraId="57C8D390" w14:textId="77777777" w:rsidR="0042544E" w:rsidRDefault="0042544E" w:rsidP="0042544E">
      <w:pPr>
        <w:rPr>
          <w:rFonts w:ascii="David" w:hAnsi="David"/>
          <w:b/>
          <w:bCs/>
          <w:u w:val="single"/>
          <w:rtl/>
        </w:rPr>
      </w:pPr>
    </w:p>
    <w:p w14:paraId="4E692689" w14:textId="77777777" w:rsidR="0042544E" w:rsidRDefault="0042544E" w:rsidP="0042544E">
      <w:pPr>
        <w:rPr>
          <w:rFonts w:ascii="David" w:hAnsi="David"/>
          <w:b/>
          <w:bCs/>
          <w:u w:val="single"/>
          <w:rtl/>
        </w:rPr>
      </w:pPr>
    </w:p>
    <w:p w14:paraId="32F82CD6" w14:textId="77777777" w:rsidR="0042544E" w:rsidRPr="004E533A" w:rsidRDefault="0042544E" w:rsidP="0042544E">
      <w:pPr>
        <w:rPr>
          <w:rFonts w:ascii="David" w:hAnsi="David"/>
          <w:b/>
          <w:bCs/>
          <w:sz w:val="26"/>
          <w:szCs w:val="26"/>
          <w:u w:val="single"/>
          <w:rtl/>
        </w:rPr>
      </w:pPr>
      <w:r w:rsidRPr="004E533A">
        <w:rPr>
          <w:rFonts w:ascii="David" w:hAnsi="David"/>
          <w:b/>
          <w:bCs/>
          <w:sz w:val="26"/>
          <w:szCs w:val="26"/>
          <w:u w:val="single"/>
          <w:rtl/>
        </w:rPr>
        <w:t>מתחם העונש ההולם</w:t>
      </w:r>
    </w:p>
    <w:p w14:paraId="75DCEA20" w14:textId="77777777" w:rsidR="0042544E" w:rsidRDefault="0042544E" w:rsidP="0042544E">
      <w:pPr>
        <w:rPr>
          <w:rFonts w:ascii="David" w:hAnsi="David"/>
          <w:b/>
          <w:bCs/>
          <w:u w:val="single"/>
          <w:rtl/>
        </w:rPr>
      </w:pPr>
    </w:p>
    <w:p w14:paraId="370ECC68" w14:textId="77777777" w:rsidR="0042544E" w:rsidRDefault="0042544E" w:rsidP="0042544E">
      <w:pPr>
        <w:spacing w:line="360" w:lineRule="auto"/>
        <w:jc w:val="both"/>
        <w:rPr>
          <w:rFonts w:ascii="David" w:hAnsi="David"/>
          <w:rtl/>
        </w:rPr>
      </w:pPr>
      <w:r>
        <w:rPr>
          <w:rFonts w:hint="cs"/>
          <w:rtl/>
        </w:rPr>
        <w:t>7</w:t>
      </w:r>
      <w:r>
        <w:rPr>
          <w:rtl/>
        </w:rPr>
        <w:t>.</w:t>
      </w:r>
      <w:r>
        <w:rPr>
          <w:rtl/>
        </w:rPr>
        <w:tab/>
        <w:t>עבירות סמים פוגעות בערכים שנועדו להגן על שלומו ובריאותו של הציבור מפני פגיעתם הקשה של הסמים אשר השפעתם כידוע משלחת בריאותית, חברתית וכלכלית בחברה כולה. הפגיעה בערכים המוגנים מתעצמת בעבירות מסוג הסחר בסמים שכן הסוחרים הם החוליות המהותיות בשרשרת הפצת הסם. על החשיבות והצורך במיגורן כמו גם על מקומם ומשקלם של שיקולי ההרתעה והגמול במכלול השיקולים לעונש, ראו ב</w:t>
      </w:r>
      <w:hyperlink r:id="rId43" w:history="1">
        <w:r w:rsidR="00C75905" w:rsidRPr="00C75905">
          <w:rPr>
            <w:color w:val="0000FF"/>
            <w:u w:val="single"/>
            <w:rtl/>
          </w:rPr>
          <w:t>ע"פ 9482/09</w:t>
        </w:r>
      </w:hyperlink>
      <w:r>
        <w:rPr>
          <w:rtl/>
        </w:rPr>
        <w:t xml:space="preserve"> </w:t>
      </w:r>
      <w:r>
        <w:rPr>
          <w:rFonts w:ascii="Miriam" w:hAnsi="Miriam" w:cs="Miriam"/>
          <w:b/>
          <w:bCs/>
          <w:sz w:val="22"/>
          <w:szCs w:val="22"/>
          <w:rtl/>
        </w:rPr>
        <w:t>ביטון נגד מדינת ישראל</w:t>
      </w:r>
      <w:r>
        <w:rPr>
          <w:rtl/>
        </w:rPr>
        <w:t xml:space="preserve"> </w:t>
      </w:r>
      <w:r w:rsidR="00343E63" w:rsidRPr="00343E63">
        <w:rPr>
          <w:sz w:val="22"/>
          <w:rtl/>
        </w:rPr>
        <w:t xml:space="preserve">[פורסם בנבו] </w:t>
      </w:r>
      <w:r>
        <w:rPr>
          <w:rtl/>
        </w:rPr>
        <w:t xml:space="preserve">(2011). </w:t>
      </w:r>
    </w:p>
    <w:p w14:paraId="4DC47225" w14:textId="77777777" w:rsidR="0042544E" w:rsidRDefault="0042544E" w:rsidP="0042544E">
      <w:pPr>
        <w:spacing w:line="360" w:lineRule="auto"/>
        <w:jc w:val="both"/>
        <w:rPr>
          <w:rtl/>
        </w:rPr>
      </w:pPr>
    </w:p>
    <w:p w14:paraId="045BD069" w14:textId="77777777" w:rsidR="0042544E" w:rsidRDefault="0042544E" w:rsidP="0042544E">
      <w:pPr>
        <w:spacing w:line="360" w:lineRule="auto"/>
        <w:jc w:val="both"/>
        <w:rPr>
          <w:rFonts w:ascii="Arial" w:hAnsi="Arial"/>
          <w:rtl/>
        </w:rPr>
      </w:pPr>
      <w:r w:rsidRPr="00EA1C83">
        <w:rPr>
          <w:b/>
          <w:bCs/>
          <w:rtl/>
        </w:rPr>
        <w:t xml:space="preserve">מנעד הענישה בעבירה של סחר ו/או אספקת סמים </w:t>
      </w:r>
      <w:r w:rsidRPr="004E533A">
        <w:rPr>
          <w:rFonts w:hint="cs"/>
          <w:rtl/>
        </w:rPr>
        <w:t xml:space="preserve">הוא </w:t>
      </w:r>
      <w:r w:rsidRPr="004E533A">
        <w:rPr>
          <w:rtl/>
        </w:rPr>
        <w:t>תלוי סוג הסם,</w:t>
      </w:r>
      <w:r w:rsidRPr="00EA1C83">
        <w:rPr>
          <w:b/>
          <w:bCs/>
          <w:rtl/>
        </w:rPr>
        <w:t xml:space="preserve"> </w:t>
      </w:r>
      <w:r>
        <w:rPr>
          <w:rtl/>
        </w:rPr>
        <w:t>מספר העסקאות, הכמות שהוחזקה ו/או נמכרה ותמורתה</w:t>
      </w:r>
      <w:r>
        <w:rPr>
          <w:rFonts w:ascii="Arial" w:hAnsi="Arial"/>
          <w:rtl/>
        </w:rPr>
        <w:t xml:space="preserve">. </w:t>
      </w:r>
      <w:r>
        <w:rPr>
          <w:rtl/>
        </w:rPr>
        <w:t xml:space="preserve">בחינת מקרים בפסקה תשאף על פי רוב לאלה  שנסיבותיהם דומים פחות או יותר למקרה הנדון, אם כי גם ממקרים חמורים או קלים יותר, נוכל ללמוד על מדיניות הענישה הנוהגת והראויה לנהוג, והכל בהתאמה ובשינויים המחויבים למקרה הנדון. </w:t>
      </w:r>
    </w:p>
    <w:p w14:paraId="5156ECE3" w14:textId="77777777" w:rsidR="0042544E" w:rsidRDefault="0042544E" w:rsidP="0042544E">
      <w:pPr>
        <w:spacing w:line="360" w:lineRule="auto"/>
        <w:jc w:val="both"/>
        <w:rPr>
          <w:rFonts w:ascii="Arial" w:hAnsi="Arial"/>
          <w:rtl/>
        </w:rPr>
      </w:pPr>
    </w:p>
    <w:p w14:paraId="0ECAA8C5" w14:textId="77777777" w:rsidR="0042544E" w:rsidRDefault="0042544E" w:rsidP="0042544E">
      <w:pPr>
        <w:spacing w:line="360" w:lineRule="auto"/>
        <w:jc w:val="both"/>
        <w:rPr>
          <w:rtl/>
        </w:rPr>
      </w:pPr>
      <w:r>
        <w:rPr>
          <w:rtl/>
        </w:rPr>
        <w:t>ב</w:t>
      </w:r>
      <w:hyperlink r:id="rId44" w:history="1">
        <w:r w:rsidR="00C75905" w:rsidRPr="00C75905">
          <w:rPr>
            <w:color w:val="0000FF"/>
            <w:u w:val="single"/>
            <w:rtl/>
          </w:rPr>
          <w:t>עפ"ג 58296-05-19</w:t>
        </w:r>
      </w:hyperlink>
      <w:r>
        <w:rPr>
          <w:rtl/>
        </w:rPr>
        <w:t xml:space="preserve"> (מחוזי ב"ש) </w:t>
      </w:r>
      <w:r>
        <w:rPr>
          <w:rFonts w:ascii="Miriam" w:hAnsi="Miriam" w:cs="Miriam"/>
          <w:b/>
          <w:bCs/>
          <w:sz w:val="22"/>
          <w:szCs w:val="22"/>
          <w:rtl/>
        </w:rPr>
        <w:t>אלהואשלה נ' מדינת ישראל</w:t>
      </w:r>
      <w:r>
        <w:rPr>
          <w:b/>
          <w:bCs/>
          <w:rtl/>
        </w:rPr>
        <w:t xml:space="preserve"> </w:t>
      </w:r>
      <w:r w:rsidR="00343E63" w:rsidRPr="00343E63">
        <w:rPr>
          <w:sz w:val="22"/>
          <w:rtl/>
        </w:rPr>
        <w:t xml:space="preserve">[פורסם בנבו] </w:t>
      </w:r>
      <w:r>
        <w:rPr>
          <w:rtl/>
        </w:rPr>
        <w:t>(10.7.19) התקבל ערעורו של מי שהורשע בעבירה של סחר בסם קנבוס במשקל של 7.3 גרם תמורת 300 ₪ לסוכן משטרתי, כך שעונשו - 9 חודשי מאסר לריצוי בעבודות שירות - הופחת  ל-</w:t>
      </w:r>
      <w:r>
        <w:rPr>
          <w:b/>
          <w:bCs/>
          <w:rtl/>
        </w:rPr>
        <w:t>7 חודשי מאסר בפועל לריצוי בדרך של עבודות שירות</w:t>
      </w:r>
      <w:r>
        <w:rPr>
          <w:rtl/>
        </w:rPr>
        <w:t xml:space="preserve">.  בקבלו את הערעור ציין בית המשפט בהעדר עבר פלילי קודם והתרשמות שירות המבחן לפיה אינו בעל דפוסים עבריינים מושרשים שהביע מוטיבציה לנהל אורח חיים נורמטיבי .  </w:t>
      </w:r>
    </w:p>
    <w:p w14:paraId="0FB93B0D" w14:textId="77777777" w:rsidR="0042544E" w:rsidRDefault="0042544E" w:rsidP="0042544E">
      <w:pPr>
        <w:spacing w:line="360" w:lineRule="auto"/>
        <w:jc w:val="both"/>
      </w:pPr>
    </w:p>
    <w:p w14:paraId="501B1F03" w14:textId="77777777" w:rsidR="0042544E" w:rsidRDefault="0042544E" w:rsidP="0042544E">
      <w:pPr>
        <w:spacing w:line="360" w:lineRule="auto"/>
        <w:jc w:val="both"/>
        <w:rPr>
          <w:rFonts w:ascii="David" w:hAnsi="David"/>
          <w:rtl/>
        </w:rPr>
      </w:pPr>
      <w:r>
        <w:rPr>
          <w:rtl/>
        </w:rPr>
        <w:t>ב</w:t>
      </w:r>
      <w:hyperlink r:id="rId45" w:history="1">
        <w:r w:rsidR="00C75905" w:rsidRPr="00C75905">
          <w:rPr>
            <w:color w:val="0000FF"/>
            <w:u w:val="single"/>
            <w:rtl/>
          </w:rPr>
          <w:t>ת"פ 3045-02-20</w:t>
        </w:r>
      </w:hyperlink>
      <w:r>
        <w:rPr>
          <w:rtl/>
        </w:rPr>
        <w:t xml:space="preserve"> (שלום ב"ש)</w:t>
      </w:r>
      <w:r>
        <w:rPr>
          <w:b/>
          <w:bCs/>
          <w:rtl/>
        </w:rPr>
        <w:t xml:space="preserve"> </w:t>
      </w:r>
      <w:r>
        <w:rPr>
          <w:rFonts w:ascii="Miriam" w:hAnsi="Miriam" w:cs="Miriam"/>
          <w:b/>
          <w:bCs/>
          <w:sz w:val="22"/>
          <w:szCs w:val="22"/>
          <w:rtl/>
        </w:rPr>
        <w:t>מדינת ישראל נ' בוטבול</w:t>
      </w:r>
      <w:r>
        <w:rPr>
          <w:b/>
          <w:bCs/>
          <w:rtl/>
        </w:rPr>
        <w:t xml:space="preserve"> (</w:t>
      </w:r>
      <w:r>
        <w:rPr>
          <w:rtl/>
        </w:rPr>
        <w:t xml:space="preserve">20.1.21) הורשע נאשם כבן 18 וחצי, במכירת סם מסוג קנבוס במשקל של כ 2 גרם </w:t>
      </w:r>
      <w:r>
        <w:rPr>
          <w:rFonts w:ascii="Arial" w:hAnsi="Arial"/>
          <w:rtl/>
        </w:rPr>
        <w:t xml:space="preserve">לקטין, תמורת 200 ₪. בנוסף החזיק בכיס מעילו סם קנבוס </w:t>
      </w:r>
      <w:r>
        <w:rPr>
          <w:rtl/>
        </w:rPr>
        <w:t xml:space="preserve">במשקל של 0.8306 גרם נטו, שלא לצריכתו העצמית. </w:t>
      </w:r>
      <w:r>
        <w:rPr>
          <w:rFonts w:ascii="Arial" w:hAnsi="Arial"/>
          <w:b/>
          <w:bCs/>
          <w:rtl/>
        </w:rPr>
        <w:t>מתחם העונש ההולם נקבע</w:t>
      </w:r>
      <w:r>
        <w:rPr>
          <w:rFonts w:ascii="Arial" w:hAnsi="Arial"/>
          <w:rtl/>
        </w:rPr>
        <w:t xml:space="preserve">  על ידי מותב זה (לאחר שהובא בחשבון חלקו של הקטין בביצוע העסקה), </w:t>
      </w:r>
      <w:r>
        <w:rPr>
          <w:rFonts w:ascii="Arial" w:hAnsi="Arial"/>
          <w:b/>
          <w:bCs/>
          <w:rtl/>
        </w:rPr>
        <w:t>בין מאסר קצר שיכול וירוצה בעבודות שירות ועד 10 חודשי מאסר בפו</w:t>
      </w:r>
      <w:r>
        <w:rPr>
          <w:rFonts w:ascii="Arial" w:hAnsi="Arial"/>
          <w:rtl/>
        </w:rPr>
        <w:t>על. טעמי שיקום, הצדיקו סטי</w:t>
      </w:r>
      <w:r>
        <w:rPr>
          <w:rFonts w:ascii="Arial" w:hAnsi="Arial" w:hint="cs"/>
          <w:rtl/>
        </w:rPr>
        <w:t>י</w:t>
      </w:r>
      <w:r>
        <w:rPr>
          <w:rFonts w:ascii="Arial" w:hAnsi="Arial"/>
          <w:rtl/>
        </w:rPr>
        <w:t xml:space="preserve">ה ממתחם העונש וביטול הרשעת הנאשם. </w:t>
      </w:r>
    </w:p>
    <w:p w14:paraId="3B81A642" w14:textId="77777777" w:rsidR="0042544E" w:rsidRDefault="0042544E" w:rsidP="0042544E">
      <w:pPr>
        <w:spacing w:line="360" w:lineRule="auto"/>
        <w:jc w:val="both"/>
        <w:rPr>
          <w:rFonts w:ascii="David" w:hAnsi="David"/>
          <w:highlight w:val="yellow"/>
          <w:rtl/>
        </w:rPr>
      </w:pPr>
    </w:p>
    <w:p w14:paraId="77D40897" w14:textId="77777777" w:rsidR="0042544E" w:rsidRDefault="0042544E" w:rsidP="00343E63">
      <w:pPr>
        <w:spacing w:line="360" w:lineRule="auto"/>
        <w:jc w:val="both"/>
        <w:rPr>
          <w:rtl/>
        </w:rPr>
      </w:pPr>
      <w:r>
        <w:rPr>
          <w:rtl/>
        </w:rPr>
        <w:t>ב</w:t>
      </w:r>
      <w:hyperlink r:id="rId46" w:history="1">
        <w:r w:rsidR="00C75905" w:rsidRPr="00C75905">
          <w:rPr>
            <w:color w:val="0000FF"/>
            <w:u w:val="single"/>
            <w:rtl/>
          </w:rPr>
          <w:t>ת"פ 15023-05-20</w:t>
        </w:r>
      </w:hyperlink>
      <w:r>
        <w:rPr>
          <w:rtl/>
        </w:rPr>
        <w:t xml:space="preserve"> (שלום ב"ש) </w:t>
      </w:r>
      <w:r>
        <w:rPr>
          <w:rFonts w:ascii="Miriam" w:hAnsi="Miriam" w:cs="Miriam"/>
          <w:b/>
          <w:bCs/>
          <w:sz w:val="22"/>
          <w:szCs w:val="22"/>
          <w:rtl/>
        </w:rPr>
        <w:t>מדינת ישראל נ' אזריאן</w:t>
      </w:r>
      <w:r>
        <w:rPr>
          <w:rtl/>
        </w:rPr>
        <w:t xml:space="preserve"> </w:t>
      </w:r>
      <w:r w:rsidR="00343E63" w:rsidRPr="00343E63">
        <w:rPr>
          <w:sz w:val="22"/>
          <w:rtl/>
        </w:rPr>
        <w:t xml:space="preserve">[פורסם בנבו] </w:t>
      </w:r>
      <w:r>
        <w:rPr>
          <w:rtl/>
        </w:rPr>
        <w:t xml:space="preserve">(16.9.20) הורשע הנאשם </w:t>
      </w:r>
      <w:r>
        <w:rPr>
          <w:b/>
          <w:bCs/>
          <w:rtl/>
        </w:rPr>
        <w:t>בשתי עבירות</w:t>
      </w:r>
      <w:r>
        <w:rPr>
          <w:rtl/>
        </w:rPr>
        <w:t xml:space="preserve"> </w:t>
      </w:r>
      <w:r>
        <w:rPr>
          <w:b/>
          <w:bCs/>
          <w:rtl/>
        </w:rPr>
        <w:t>של סחר בסמים</w:t>
      </w:r>
      <w:r>
        <w:rPr>
          <w:rtl/>
        </w:rPr>
        <w:t xml:space="preserve"> במועדים </w:t>
      </w:r>
      <w:r>
        <w:rPr>
          <w:b/>
          <w:bCs/>
          <w:rtl/>
        </w:rPr>
        <w:t>שונים ובהחזקה שלא לצריכה עצמית</w:t>
      </w:r>
      <w:r>
        <w:rPr>
          <w:rtl/>
        </w:rPr>
        <w:t xml:space="preserve">. פעם אחת מכר סם מסוג חשיש במשקל שאינו ידוע תמורת 50 ₪, ובמועד אחר נוסף, מכר סם מסוג קנבוס במשקל 2 גרם תמורת 100 ₪, כשבנוסף החזיק ב 25 גרם קנביס שלא לצריכתו העצמית. </w:t>
      </w:r>
      <w:r>
        <w:rPr>
          <w:b/>
          <w:bCs/>
          <w:rtl/>
        </w:rPr>
        <w:t>בית המשפט קבע מתחם עונש הולם</w:t>
      </w:r>
      <w:r>
        <w:rPr>
          <w:rtl/>
        </w:rPr>
        <w:t xml:space="preserve"> </w:t>
      </w:r>
      <w:r>
        <w:rPr>
          <w:b/>
          <w:bCs/>
          <w:rtl/>
        </w:rPr>
        <w:t>בין 7-20 חודשי מאסר בפועל</w:t>
      </w:r>
      <w:r>
        <w:rPr>
          <w:rtl/>
        </w:rPr>
        <w:t xml:space="preserve"> וגזר על הנאשם, </w:t>
      </w:r>
      <w:r>
        <w:rPr>
          <w:b/>
          <w:bCs/>
          <w:rtl/>
        </w:rPr>
        <w:t>צעיר</w:t>
      </w:r>
      <w:r>
        <w:rPr>
          <w:rtl/>
        </w:rPr>
        <w:t xml:space="preserve"> </w:t>
      </w:r>
      <w:r>
        <w:rPr>
          <w:b/>
          <w:bCs/>
          <w:rtl/>
        </w:rPr>
        <w:t>בעל עבר פלילי</w:t>
      </w:r>
      <w:r>
        <w:rPr>
          <w:rtl/>
        </w:rPr>
        <w:t xml:space="preserve"> שלא בתחום הסמים, </w:t>
      </w:r>
      <w:r>
        <w:rPr>
          <w:b/>
          <w:bCs/>
          <w:rtl/>
        </w:rPr>
        <w:t>8 חודשי מאסר בפועל</w:t>
      </w:r>
      <w:r>
        <w:rPr>
          <w:rtl/>
        </w:rPr>
        <w:t>.</w:t>
      </w:r>
    </w:p>
    <w:p w14:paraId="1C5A8829" w14:textId="77777777" w:rsidR="0042544E" w:rsidRDefault="0042544E" w:rsidP="0042544E">
      <w:pPr>
        <w:spacing w:line="360" w:lineRule="auto"/>
        <w:jc w:val="both"/>
        <w:rPr>
          <w:rFonts w:ascii="Arial" w:hAnsi="Arial"/>
          <w:rtl/>
        </w:rPr>
      </w:pPr>
    </w:p>
    <w:p w14:paraId="582657BF" w14:textId="77777777" w:rsidR="0042544E" w:rsidRDefault="0042544E" w:rsidP="0042544E">
      <w:pPr>
        <w:spacing w:line="360" w:lineRule="auto"/>
        <w:jc w:val="both"/>
        <w:rPr>
          <w:rtl/>
        </w:rPr>
      </w:pPr>
      <w:r>
        <w:rPr>
          <w:rFonts w:ascii="Arial" w:hAnsi="Arial"/>
          <w:rtl/>
        </w:rPr>
        <w:t>ב</w:t>
      </w:r>
      <w:hyperlink r:id="rId47" w:history="1">
        <w:r w:rsidR="00C75905" w:rsidRPr="00C75905">
          <w:rPr>
            <w:rFonts w:ascii="Arial" w:hAnsi="Arial"/>
            <w:color w:val="0000FF"/>
            <w:u w:val="single"/>
            <w:rtl/>
          </w:rPr>
          <w:t>ת"פ (שלום פ"ת) 16690-05-19</w:t>
        </w:r>
      </w:hyperlink>
      <w:r>
        <w:rPr>
          <w:rFonts w:ascii="Arial" w:hAnsi="Arial"/>
          <w:rtl/>
        </w:rPr>
        <w:t xml:space="preserve"> </w:t>
      </w:r>
      <w:r>
        <w:rPr>
          <w:rFonts w:ascii="Arial" w:hAnsi="Arial"/>
          <w:b/>
          <w:bCs/>
          <w:rtl/>
        </w:rPr>
        <w:t>מדינת ישראל נ' אוראל גרמה</w:t>
      </w:r>
      <w:r>
        <w:rPr>
          <w:rFonts w:ascii="Arial" w:hAnsi="Arial"/>
          <w:rtl/>
        </w:rPr>
        <w:t xml:space="preserve"> </w:t>
      </w:r>
      <w:r w:rsidR="00343E63" w:rsidRPr="00343E63">
        <w:rPr>
          <w:sz w:val="22"/>
          <w:rtl/>
        </w:rPr>
        <w:t xml:space="preserve">[פורסם בנבו] </w:t>
      </w:r>
      <w:r>
        <w:rPr>
          <w:rFonts w:ascii="Arial" w:hAnsi="Arial"/>
          <w:rtl/>
        </w:rPr>
        <w:t xml:space="preserve">(08.11.20) הורשע הנאשם בהחזקת סמים שלא לצריכה עצמית וסחר בסמים מסוג קנאביס וחשיש  </w:t>
      </w:r>
      <w:r>
        <w:rPr>
          <w:rFonts w:ascii="Arial" w:hAnsi="Arial"/>
          <w:b/>
          <w:bCs/>
          <w:rtl/>
        </w:rPr>
        <w:t>ב-11 הזדמנויות שונות, לקונים שונים, במשקלים שונים ונמוכים</w:t>
      </w:r>
      <w:r>
        <w:rPr>
          <w:rFonts w:ascii="Arial" w:hAnsi="Arial"/>
          <w:rtl/>
        </w:rPr>
        <w:t xml:space="preserve">. בית המשפט קבע </w:t>
      </w:r>
      <w:r>
        <w:rPr>
          <w:rFonts w:ascii="Arial" w:hAnsi="Arial"/>
          <w:b/>
          <w:bCs/>
          <w:rtl/>
        </w:rPr>
        <w:t xml:space="preserve">מתחם עונש הולם בין 9 חודשי עבודות שירות - 24 חודשי מאסר בפועל, </w:t>
      </w:r>
      <w:r>
        <w:rPr>
          <w:rFonts w:ascii="Arial" w:hAnsi="Arial"/>
          <w:rtl/>
        </w:rPr>
        <w:t xml:space="preserve">ומטעמי שיקום גזר על הנאשם, צעיר נעדר עבר פלילי </w:t>
      </w:r>
      <w:r>
        <w:rPr>
          <w:rFonts w:ascii="Arial" w:hAnsi="Arial"/>
          <w:b/>
          <w:bCs/>
          <w:rtl/>
        </w:rPr>
        <w:t>9  חודשי עבודות שירות</w:t>
      </w:r>
      <w:r>
        <w:rPr>
          <w:rFonts w:ascii="Arial" w:hAnsi="Arial"/>
          <w:rtl/>
        </w:rPr>
        <w:t xml:space="preserve"> וענישה נלווית.</w:t>
      </w:r>
    </w:p>
    <w:p w14:paraId="520125D5" w14:textId="77777777" w:rsidR="0042544E" w:rsidRDefault="0042544E" w:rsidP="0042544E">
      <w:pPr>
        <w:snapToGrid w:val="0"/>
        <w:spacing w:before="120" w:line="360" w:lineRule="auto"/>
        <w:ind w:left="-57"/>
        <w:jc w:val="both"/>
        <w:rPr>
          <w:b/>
          <w:bCs/>
          <w:rtl/>
          <w:lang w:eastAsia="he-IL"/>
        </w:rPr>
      </w:pPr>
      <w:r>
        <w:rPr>
          <w:rFonts w:ascii="David" w:hAnsi="David"/>
          <w:rtl/>
        </w:rPr>
        <w:t>ב</w:t>
      </w:r>
      <w:hyperlink r:id="rId48" w:history="1">
        <w:r w:rsidR="00C75905" w:rsidRPr="00C75905">
          <w:rPr>
            <w:rFonts w:ascii="David" w:hAnsi="David"/>
            <w:color w:val="0000FF"/>
            <w:u w:val="single"/>
            <w:rtl/>
          </w:rPr>
          <w:t>ת"פ (מחוזי-ת"א) 43983-05-19</w:t>
        </w:r>
      </w:hyperlink>
      <w:r w:rsidR="00C75905">
        <w:rPr>
          <w:rFonts w:ascii="David" w:hAnsi="David"/>
          <w:rtl/>
        </w:rPr>
        <w:t xml:space="preserve"> </w:t>
      </w:r>
      <w:r>
        <w:rPr>
          <w:rFonts w:ascii="Miriam" w:hAnsi="Miriam" w:cs="Miriam"/>
          <w:b/>
          <w:bCs/>
          <w:sz w:val="18"/>
          <w:szCs w:val="22"/>
          <w:rtl/>
        </w:rPr>
        <w:t>מדינת ישראל נ' ראובן</w:t>
      </w:r>
      <w:r w:rsidR="00C75905">
        <w:rPr>
          <w:rFonts w:ascii="Miriam" w:hAnsi="Miriam" w:cs="Miriam"/>
          <w:b/>
          <w:bCs/>
          <w:sz w:val="18"/>
          <w:szCs w:val="22"/>
          <w:rtl/>
        </w:rPr>
        <w:t xml:space="preserve"> </w:t>
      </w:r>
      <w:r w:rsidR="00343E63" w:rsidRPr="00343E63">
        <w:rPr>
          <w:sz w:val="22"/>
          <w:rtl/>
        </w:rPr>
        <w:t xml:space="preserve">[פורסם בנבו] </w:t>
      </w:r>
      <w:r>
        <w:rPr>
          <w:rFonts w:ascii="David" w:hAnsi="David"/>
          <w:rtl/>
        </w:rPr>
        <w:t xml:space="preserve">(19.3.20) נקבע מתחם בין 18 ל 42 חודשי מאסר בפועל, בנסיבות בהן הורשע הנאשם בשתי עבירות החזקת סמים שלא לצריכה עצמית, ובהחזקת כלים המשמשים להכנת סם. המדובר בנאשם שהחזיק ברכבו 317.46 גרם </w:t>
      </w:r>
      <w:r>
        <w:rPr>
          <w:rFonts w:ascii="David" w:hAnsi="David"/>
          <w:sz w:val="22"/>
          <w:szCs w:val="22"/>
        </w:rPr>
        <w:t>MDMA</w:t>
      </w:r>
      <w:r>
        <w:rPr>
          <w:rFonts w:ascii="David" w:hAnsi="David"/>
          <w:rtl/>
        </w:rPr>
        <w:t xml:space="preserve"> ובדירתו החזיק 10 גרם קוקאין,</w:t>
      </w:r>
      <w:r w:rsidR="00C75905">
        <w:rPr>
          <w:rFonts w:ascii="David" w:hAnsi="David"/>
          <w:b/>
          <w:bCs/>
          <w:rtl/>
        </w:rPr>
        <w:t xml:space="preserve"> </w:t>
      </w:r>
      <w:r>
        <w:rPr>
          <w:rFonts w:ascii="David" w:hAnsi="David"/>
          <w:rtl/>
        </w:rPr>
        <w:t>19 טבליות</w:t>
      </w:r>
      <w:r w:rsidR="00C75905">
        <w:rPr>
          <w:rFonts w:ascii="David" w:hAnsi="David"/>
          <w:rtl/>
        </w:rPr>
        <w:t xml:space="preserve"> </w:t>
      </w:r>
      <w:r>
        <w:rPr>
          <w:rFonts w:ascii="David" w:hAnsi="David"/>
          <w:sz w:val="22"/>
          <w:szCs w:val="22"/>
        </w:rPr>
        <w:t>MDMA</w:t>
      </w:r>
      <w:r>
        <w:rPr>
          <w:rFonts w:ascii="David" w:hAnsi="David"/>
          <w:rtl/>
        </w:rPr>
        <w:t>, 15.62 גרם</w:t>
      </w:r>
      <w:r w:rsidR="00C75905">
        <w:rPr>
          <w:rFonts w:ascii="David" w:hAnsi="David"/>
          <w:rtl/>
        </w:rPr>
        <w:t xml:space="preserve"> </w:t>
      </w:r>
      <w:r>
        <w:rPr>
          <w:rFonts w:ascii="David" w:hAnsi="David"/>
          <w:sz w:val="22"/>
          <w:szCs w:val="22"/>
        </w:rPr>
        <w:t>MDMA</w:t>
      </w:r>
      <w:r>
        <w:rPr>
          <w:rFonts w:ascii="David" w:hAnsi="David"/>
          <w:rtl/>
        </w:rPr>
        <w:t>, 6.26 גרם</w:t>
      </w:r>
      <w:r w:rsidR="00C75905">
        <w:rPr>
          <w:rFonts w:ascii="David" w:hAnsi="David"/>
          <w:rtl/>
        </w:rPr>
        <w:t xml:space="preserve"> </w:t>
      </w:r>
      <w:r>
        <w:rPr>
          <w:rFonts w:ascii="David" w:hAnsi="David"/>
          <w:sz w:val="22"/>
          <w:szCs w:val="22"/>
        </w:rPr>
        <w:t>MMC</w:t>
      </w:r>
      <w:r>
        <w:rPr>
          <w:rFonts w:ascii="David" w:hAnsi="David"/>
          <w:rtl/>
        </w:rPr>
        <w:t>, 12.02 גרם קטמין, 56 בולי</w:t>
      </w:r>
      <w:r w:rsidR="00C75905">
        <w:rPr>
          <w:rFonts w:ascii="David" w:hAnsi="David"/>
          <w:rtl/>
        </w:rPr>
        <w:t xml:space="preserve"> </w:t>
      </w:r>
      <w:r>
        <w:rPr>
          <w:rFonts w:ascii="David" w:hAnsi="David"/>
          <w:sz w:val="22"/>
          <w:szCs w:val="22"/>
        </w:rPr>
        <w:t>LSD</w:t>
      </w:r>
      <w:r>
        <w:rPr>
          <w:rFonts w:ascii="David" w:hAnsi="David"/>
          <w:rtl/>
        </w:rPr>
        <w:t xml:space="preserve"> ו-2 משקלים אלקטרוניים. </w:t>
      </w:r>
    </w:p>
    <w:p w14:paraId="1115485B" w14:textId="77777777" w:rsidR="0042544E" w:rsidRDefault="0042544E" w:rsidP="0042544E">
      <w:pPr>
        <w:spacing w:line="360" w:lineRule="auto"/>
        <w:ind w:left="-57"/>
        <w:jc w:val="both"/>
        <w:rPr>
          <w:sz w:val="20"/>
          <w:rtl/>
          <w:lang w:eastAsia="he-IL"/>
        </w:rPr>
      </w:pPr>
    </w:p>
    <w:p w14:paraId="788574B7" w14:textId="77777777" w:rsidR="0042544E" w:rsidRDefault="0042544E" w:rsidP="0042544E">
      <w:pPr>
        <w:spacing w:line="360" w:lineRule="auto"/>
        <w:ind w:left="-57"/>
        <w:jc w:val="both"/>
        <w:rPr>
          <w:rFonts w:ascii="Arial" w:hAnsi="Arial"/>
          <w:rtl/>
        </w:rPr>
      </w:pPr>
      <w:r>
        <w:rPr>
          <w:sz w:val="20"/>
          <w:rtl/>
          <w:lang w:eastAsia="he-IL"/>
        </w:rPr>
        <w:t>ב</w:t>
      </w:r>
      <w:hyperlink r:id="rId49" w:history="1">
        <w:r w:rsidR="00C75905" w:rsidRPr="00C75905">
          <w:rPr>
            <w:color w:val="0000FF"/>
            <w:sz w:val="20"/>
            <w:u w:val="single"/>
            <w:rtl/>
            <w:lang w:eastAsia="he-IL"/>
          </w:rPr>
          <w:t>ת"פ 40720-03-19</w:t>
        </w:r>
      </w:hyperlink>
      <w:r>
        <w:rPr>
          <w:sz w:val="20"/>
          <w:rtl/>
          <w:lang w:eastAsia="he-IL"/>
        </w:rPr>
        <w:t xml:space="preserve"> </w:t>
      </w:r>
      <w:r>
        <w:rPr>
          <w:rFonts w:ascii="Miriam" w:hAnsi="Miriam" w:cs="Miriam"/>
          <w:b/>
          <w:bCs/>
          <w:sz w:val="18"/>
          <w:szCs w:val="22"/>
          <w:rtl/>
        </w:rPr>
        <w:t>מדינת ישראל נ' סלימוב</w:t>
      </w:r>
      <w:r>
        <w:rPr>
          <w:sz w:val="20"/>
          <w:rtl/>
          <w:lang w:eastAsia="he-IL"/>
        </w:rPr>
        <w:t xml:space="preserve"> </w:t>
      </w:r>
      <w:r w:rsidR="00343E63" w:rsidRPr="00343E63">
        <w:rPr>
          <w:sz w:val="22"/>
          <w:rtl/>
          <w:lang w:eastAsia="he-IL"/>
        </w:rPr>
        <w:t xml:space="preserve">[פורסם בנבו] </w:t>
      </w:r>
      <w:r>
        <w:rPr>
          <w:sz w:val="20"/>
          <w:rtl/>
          <w:lang w:eastAsia="he-IL"/>
        </w:rPr>
        <w:t xml:space="preserve">(27.11.19) </w:t>
      </w:r>
      <w:r>
        <w:rPr>
          <w:b/>
          <w:bCs/>
          <w:sz w:val="20"/>
          <w:rtl/>
          <w:lang w:eastAsia="he-IL"/>
        </w:rPr>
        <w:t xml:space="preserve">קבע בית המשפט את מתחם העונש ההולם בין 6 ל - 12 חודשים, </w:t>
      </w:r>
      <w:r>
        <w:rPr>
          <w:sz w:val="20"/>
          <w:rtl/>
          <w:lang w:eastAsia="he-IL"/>
        </w:rPr>
        <w:t xml:space="preserve">בנסיבות בהן הורשע הנאשם בעבירות של </w:t>
      </w:r>
      <w:r>
        <w:rPr>
          <w:rtl/>
        </w:rPr>
        <w:t>הפרעה לשוטר במילוי תפקידו</w:t>
      </w:r>
      <w:r>
        <w:rPr>
          <w:sz w:val="20"/>
          <w:rtl/>
          <w:lang w:eastAsia="he-IL"/>
        </w:rPr>
        <w:t xml:space="preserve">, </w:t>
      </w:r>
      <w:r>
        <w:rPr>
          <w:b/>
          <w:bCs/>
          <w:sz w:val="20"/>
          <w:rtl/>
          <w:lang w:eastAsia="he-IL"/>
        </w:rPr>
        <w:t>5 עסקאות בקנבוס</w:t>
      </w:r>
      <w:r>
        <w:rPr>
          <w:sz w:val="20"/>
          <w:rtl/>
          <w:lang w:eastAsia="he-IL"/>
        </w:rPr>
        <w:t xml:space="preserve"> במשקלים שונים (20 גרם (שתי עסקאות) 5 גרם,  3 גרם  ו1 גרם), </w:t>
      </w:r>
      <w:r>
        <w:rPr>
          <w:b/>
          <w:bCs/>
          <w:sz w:val="20"/>
          <w:rtl/>
          <w:lang w:eastAsia="he-IL"/>
        </w:rPr>
        <w:t xml:space="preserve">החזקת </w:t>
      </w:r>
      <w:r>
        <w:rPr>
          <w:b/>
          <w:bCs/>
          <w:rtl/>
        </w:rPr>
        <w:t>58 גרם קנביס, כאשר בעת תפיסתו נמצאו ברשותו שקיות חלוקה, משקלים אלקטרוניים, 9,400 ₪ ו-3 טלפונים סלולריים</w:t>
      </w:r>
      <w:r>
        <w:rPr>
          <w:rtl/>
        </w:rPr>
        <w:t xml:space="preserve">. </w:t>
      </w:r>
    </w:p>
    <w:p w14:paraId="32DB9062" w14:textId="77777777" w:rsidR="0042544E" w:rsidRDefault="0042544E" w:rsidP="0042544E">
      <w:pPr>
        <w:snapToGrid w:val="0"/>
        <w:spacing w:before="120" w:line="360" w:lineRule="auto"/>
        <w:ind w:left="-57"/>
        <w:jc w:val="both"/>
        <w:rPr>
          <w:b/>
          <w:bCs/>
          <w:lang w:eastAsia="he-IL"/>
        </w:rPr>
      </w:pPr>
      <w:r>
        <w:rPr>
          <w:rtl/>
        </w:rPr>
        <w:t>ב</w:t>
      </w:r>
      <w:hyperlink r:id="rId50" w:history="1">
        <w:r w:rsidR="00C75905" w:rsidRPr="00C75905">
          <w:rPr>
            <w:color w:val="0000FF"/>
            <w:u w:val="single"/>
            <w:rtl/>
          </w:rPr>
          <w:t>ת"פ 4309-08-18</w:t>
        </w:r>
      </w:hyperlink>
      <w:r>
        <w:rPr>
          <w:rtl/>
        </w:rPr>
        <w:t xml:space="preserve"> (שלום ב"ש) </w:t>
      </w:r>
      <w:r>
        <w:rPr>
          <w:rFonts w:ascii="Miriam" w:hAnsi="Miriam" w:cs="Miriam"/>
          <w:b/>
          <w:bCs/>
          <w:sz w:val="22"/>
          <w:szCs w:val="22"/>
          <w:rtl/>
        </w:rPr>
        <w:t>מדינת ישראל נ' מקראי</w:t>
      </w:r>
      <w:r>
        <w:rPr>
          <w:rtl/>
        </w:rPr>
        <w:t xml:space="preserve"> </w:t>
      </w:r>
      <w:r w:rsidR="00343E63" w:rsidRPr="00343E63">
        <w:rPr>
          <w:sz w:val="22"/>
          <w:rtl/>
        </w:rPr>
        <w:t xml:space="preserve">[פורסם בנבו] </w:t>
      </w:r>
      <w:r>
        <w:rPr>
          <w:rtl/>
        </w:rPr>
        <w:t xml:space="preserve">הורשע הנאשם </w:t>
      </w:r>
      <w:r>
        <w:rPr>
          <w:b/>
          <w:bCs/>
          <w:rtl/>
        </w:rPr>
        <w:t>בשתי עבירות של סחר בסם</w:t>
      </w:r>
      <w:r>
        <w:rPr>
          <w:rtl/>
        </w:rPr>
        <w:t xml:space="preserve"> בכך שמכר לסוכן משטרתי סם מסוג קנבוס במשקל של כ-0.9 גרם תמורת 100 ₪ ובמועד אחר, מכר לסוכן סם מאותו סוג במשקל של כ-0.4 גרם תמורת 100 </w:t>
      </w:r>
      <w:r>
        <w:rPr>
          <w:b/>
          <w:bCs/>
          <w:rtl/>
        </w:rPr>
        <w:t>₪. מתחם העונש נקבע בין 6-20 חודשי מאסר בפועל</w:t>
      </w:r>
      <w:r>
        <w:rPr>
          <w:rtl/>
        </w:rPr>
        <w:t xml:space="preserve">. </w:t>
      </w:r>
    </w:p>
    <w:p w14:paraId="2C3EDBD7" w14:textId="77777777" w:rsidR="0042544E" w:rsidRDefault="0042544E" w:rsidP="0042544E">
      <w:pPr>
        <w:spacing w:line="360" w:lineRule="auto"/>
        <w:jc w:val="both"/>
        <w:rPr>
          <w:rtl/>
        </w:rPr>
      </w:pPr>
    </w:p>
    <w:p w14:paraId="02849197" w14:textId="77777777" w:rsidR="0042544E" w:rsidRDefault="0042544E" w:rsidP="0042544E">
      <w:pPr>
        <w:spacing w:line="360" w:lineRule="auto"/>
        <w:jc w:val="both"/>
        <w:rPr>
          <w:rFonts w:ascii="Arial" w:hAnsi="Arial"/>
          <w:noProof/>
          <w:rtl/>
        </w:rPr>
      </w:pPr>
      <w:r>
        <w:rPr>
          <w:rFonts w:ascii="Arial" w:hAnsi="Arial"/>
          <w:rtl/>
        </w:rPr>
        <w:t>ב</w:t>
      </w:r>
      <w:hyperlink r:id="rId51" w:history="1">
        <w:r w:rsidR="00C75905" w:rsidRPr="00C75905">
          <w:rPr>
            <w:rFonts w:ascii="Arial" w:hAnsi="Arial"/>
            <w:color w:val="0000FF"/>
            <w:u w:val="single"/>
            <w:rtl/>
          </w:rPr>
          <w:t>ת"פ 54841-02-16</w:t>
        </w:r>
      </w:hyperlink>
      <w:r>
        <w:rPr>
          <w:rFonts w:ascii="Arial" w:hAnsi="Arial"/>
          <w:rtl/>
        </w:rPr>
        <w:t xml:space="preserve"> (שלום י-ם) </w:t>
      </w:r>
      <w:r>
        <w:rPr>
          <w:rFonts w:ascii="Miriam" w:hAnsi="Miriam" w:cs="Miriam"/>
          <w:b/>
          <w:bCs/>
          <w:sz w:val="22"/>
          <w:szCs w:val="22"/>
          <w:rtl/>
        </w:rPr>
        <w:t>מדינת ישראל נ' סלאימה</w:t>
      </w:r>
      <w:r>
        <w:rPr>
          <w:rFonts w:ascii="Arial" w:hAnsi="Arial"/>
          <w:rtl/>
        </w:rPr>
        <w:t xml:space="preserve"> </w:t>
      </w:r>
      <w:r w:rsidR="00343E63" w:rsidRPr="00343E63">
        <w:rPr>
          <w:sz w:val="22"/>
          <w:rtl/>
        </w:rPr>
        <w:t xml:space="preserve">[פורסם בנבו] </w:t>
      </w:r>
      <w:r>
        <w:rPr>
          <w:rFonts w:ascii="Arial" w:hAnsi="Arial"/>
          <w:rtl/>
        </w:rPr>
        <w:t xml:space="preserve">(20.1.19) הורשע נאשם בשתי עבירות של סחר בסם מסוכן, בכך שמכר לסוכן משטרתי בשתי הזדמנויות שונות סם מסוג חשיש במשקל 1.79 גרם תמורת 100 ₪ ובמשקל 1.65 גרם תמורת 100 ₪. בית המשפט קבע </w:t>
      </w:r>
      <w:r>
        <w:rPr>
          <w:rFonts w:ascii="Arial" w:hAnsi="Arial"/>
          <w:b/>
          <w:bCs/>
          <w:rtl/>
        </w:rPr>
        <w:t xml:space="preserve">מתחם עונש הולם כך שינוע  בין מספר חודשים קצר אשר יכול וירוצו בדרך של עבודות שירות ועד 12 חודשי מאסר </w:t>
      </w:r>
      <w:r>
        <w:rPr>
          <w:rFonts w:ascii="Arial" w:hAnsi="Arial"/>
          <w:rtl/>
        </w:rPr>
        <w:t xml:space="preserve">וגזר על הנאשם </w:t>
      </w:r>
      <w:r>
        <w:rPr>
          <w:rFonts w:ascii="Arial" w:hAnsi="Arial"/>
          <w:b/>
          <w:bCs/>
          <w:rtl/>
        </w:rPr>
        <w:t>בעל עבר פלילי</w:t>
      </w:r>
      <w:r>
        <w:rPr>
          <w:rFonts w:ascii="Arial" w:hAnsi="Arial"/>
          <w:rtl/>
        </w:rPr>
        <w:t xml:space="preserve"> 4 חודשי עבודות שירות.</w:t>
      </w:r>
    </w:p>
    <w:p w14:paraId="32D1F019" w14:textId="77777777" w:rsidR="0042544E" w:rsidRDefault="0042544E" w:rsidP="0042544E">
      <w:pPr>
        <w:rPr>
          <w:rFonts w:ascii="David" w:hAnsi="David"/>
          <w:b/>
          <w:bCs/>
          <w:u w:val="single"/>
          <w:rtl/>
        </w:rPr>
      </w:pPr>
    </w:p>
    <w:p w14:paraId="3AF4C94C" w14:textId="77777777" w:rsidR="0042544E" w:rsidRDefault="0042544E" w:rsidP="0042544E">
      <w:pPr>
        <w:spacing w:line="360" w:lineRule="auto"/>
        <w:jc w:val="both"/>
        <w:rPr>
          <w:rFonts w:ascii="Arial" w:hAnsi="Arial"/>
          <w:rtl/>
        </w:rPr>
      </w:pPr>
      <w:r>
        <w:rPr>
          <w:rFonts w:hint="cs"/>
          <w:b/>
          <w:bCs/>
          <w:rtl/>
        </w:rPr>
        <w:t>8.</w:t>
      </w:r>
      <w:r>
        <w:rPr>
          <w:rFonts w:hint="cs"/>
          <w:b/>
          <w:bCs/>
          <w:rtl/>
        </w:rPr>
        <w:tab/>
      </w:r>
      <w:r w:rsidRPr="00E2224E">
        <w:rPr>
          <w:b/>
          <w:bCs/>
          <w:rtl/>
        </w:rPr>
        <w:t>בחינת הנסיבות הקשורות בביצוע העבירות</w:t>
      </w:r>
      <w:r>
        <w:rPr>
          <w:rtl/>
        </w:rPr>
        <w:t xml:space="preserve"> מעלה כי מידת הפגיעה בערכים המוגנים אינה משמעותית. כמובן ש</w:t>
      </w:r>
      <w:r>
        <w:rPr>
          <w:rFonts w:ascii="Arial" w:hAnsi="Arial"/>
          <w:rtl/>
        </w:rPr>
        <w:t>אין להקל ראש בעבירות של אספקת סמים שלא לצריכה עצמית, עם זאת, בית המשפט נדרש לשמור על יחס הולם בין מעשי הנאשם ומידת פגיעתו בערכים המוגנים שבסיס האיסור על ביצוען, לעונש שיושת עליו. עניינו באספקת סם מסוג קנבוס, שהינו סם מסוכן אם כי  אינו מהסמים הקשים שב</w:t>
      </w:r>
      <w:hyperlink r:id="rId52" w:history="1">
        <w:r w:rsidR="00C75905" w:rsidRPr="00C75905">
          <w:rPr>
            <w:rFonts w:ascii="Arial" w:hAnsi="Arial"/>
            <w:color w:val="0000FF"/>
            <w:u w:val="single"/>
            <w:rtl/>
          </w:rPr>
          <w:t>פקודת הסמים המסוכנים</w:t>
        </w:r>
      </w:hyperlink>
      <w:r>
        <w:rPr>
          <w:rFonts w:ascii="Arial" w:hAnsi="Arial"/>
          <w:rtl/>
        </w:rPr>
        <w:t>. אספקת הסם בוצעה בארבעה מועדים סמוכים, במשקלים קטנים ולאותו אדם, זלמן ג'</w:t>
      </w:r>
      <w:r>
        <w:rPr>
          <w:rFonts w:ascii="Arial" w:hAnsi="Arial" w:hint="cs"/>
          <w:rtl/>
        </w:rPr>
        <w:t>ו</w:t>
      </w:r>
      <w:r>
        <w:rPr>
          <w:rFonts w:ascii="Arial" w:hAnsi="Arial"/>
          <w:rtl/>
        </w:rPr>
        <w:t xml:space="preserve">ליאן שהינו מכר של הנאשם משך שנים, ללא תמורה, כשלדברי הנאשם בפני שירות המבחן, הוא עשה כן על מנת לסייע לקרוב משפחה של זלמן הסובל ממחלה וכי רכישת הסמים עבור זלמן הייתה משותפת לרכישת הסמים עבור צריכתו העצמית נוכח מצבו הרפואי שאין חולק כי קשה הוא. </w:t>
      </w:r>
    </w:p>
    <w:p w14:paraId="5BDB4DC3" w14:textId="77777777" w:rsidR="0042544E" w:rsidRDefault="0042544E" w:rsidP="0042544E">
      <w:pPr>
        <w:spacing w:line="360" w:lineRule="auto"/>
        <w:jc w:val="both"/>
        <w:rPr>
          <w:rFonts w:ascii="Arial" w:hAnsi="Arial"/>
          <w:rtl/>
        </w:rPr>
      </w:pPr>
      <w:r>
        <w:rPr>
          <w:rtl/>
        </w:rPr>
        <w:t xml:space="preserve">אשר לעבירת גידול סמים עולה כי מדובר  בעציץ בודד שמשקלו בעת התפיסה עמד על </w:t>
      </w:r>
      <w:r>
        <w:rPr>
          <w:rFonts w:hint="cs"/>
          <w:rtl/>
        </w:rPr>
        <w:t>כ 50 גרם</w:t>
      </w:r>
      <w:r>
        <w:rPr>
          <w:rtl/>
        </w:rPr>
        <w:t xml:space="preserve"> ולא יכול להיות חולק כי חומרת המעשה מצויה ברף הנמוך ביותר של עבירות הגידול.</w:t>
      </w:r>
      <w:r>
        <w:rPr>
          <w:rFonts w:ascii="Arial" w:hAnsi="Arial" w:hint="cs"/>
          <w:rtl/>
        </w:rPr>
        <w:t xml:space="preserve"> אל מול העובדה כי הנאשם גידל שתיל הסם בצוותא חדא עם אשתו, נצבת העובדה כי עד למועד טיעוני הצדדים טרם הוגש כתב אישום נגד שותפתו של הנאשם לעבירה זו, ועל כן, נמצא ממש בטיעוני ב"כ הנאשם באשר לתפיסת המאשימה את חומרת העבירה בנסיבות ביצועה אשר צריך ויפעל גם לטובת הנאשם.  </w:t>
      </w:r>
    </w:p>
    <w:p w14:paraId="074313ED" w14:textId="77777777" w:rsidR="0042544E" w:rsidRDefault="0042544E" w:rsidP="0042544E">
      <w:pPr>
        <w:spacing w:line="360" w:lineRule="auto"/>
        <w:jc w:val="both"/>
        <w:rPr>
          <w:rFonts w:ascii="Arial" w:hAnsi="Arial"/>
          <w:rtl/>
        </w:rPr>
      </w:pPr>
    </w:p>
    <w:p w14:paraId="336015A8" w14:textId="77777777" w:rsidR="0042544E" w:rsidRDefault="0042544E" w:rsidP="0042544E">
      <w:pPr>
        <w:spacing w:line="360" w:lineRule="auto"/>
        <w:jc w:val="both"/>
        <w:rPr>
          <w:rtl/>
        </w:rPr>
      </w:pPr>
      <w:r>
        <w:rPr>
          <w:rFonts w:ascii="Arial" w:hAnsi="Arial" w:hint="cs"/>
          <w:rtl/>
        </w:rPr>
        <w:t xml:space="preserve">כך </w:t>
      </w:r>
      <w:r w:rsidRPr="0094381A">
        <w:rPr>
          <w:rFonts w:ascii="Arial" w:hAnsi="Arial" w:hint="cs"/>
          <w:rtl/>
        </w:rPr>
        <w:t xml:space="preserve">או כך, </w:t>
      </w:r>
      <w:r w:rsidRPr="0094381A">
        <w:rPr>
          <w:rFonts w:ascii="Arial" w:hAnsi="Arial"/>
          <w:rtl/>
        </w:rPr>
        <w:t xml:space="preserve">בשים לב לנסיבות הקשורות בביצוע העבירות לצד </w:t>
      </w:r>
      <w:r w:rsidRPr="0094381A">
        <w:rPr>
          <w:rFonts w:ascii="Arial" w:hAnsi="Arial" w:hint="cs"/>
          <w:rtl/>
        </w:rPr>
        <w:t xml:space="preserve">התרשמות שירות המבחן כי העבירות נעברו על רקע </w:t>
      </w:r>
      <w:r w:rsidRPr="0094381A">
        <w:rPr>
          <w:rFonts w:ascii="Arial" w:hAnsi="Arial"/>
          <w:rtl/>
        </w:rPr>
        <w:t xml:space="preserve">מצבו הבריאותי והרגשי הלקוי של הנאשם </w:t>
      </w:r>
      <w:r w:rsidRPr="0094381A">
        <w:rPr>
          <w:rFonts w:ascii="Arial" w:hAnsi="Arial" w:hint="cs"/>
          <w:rtl/>
        </w:rPr>
        <w:t>ו</w:t>
      </w:r>
      <w:r w:rsidRPr="0094381A">
        <w:rPr>
          <w:rFonts w:ascii="Arial" w:hAnsi="Arial"/>
          <w:rtl/>
        </w:rPr>
        <w:t>בהיעדר קבלת טיפול המתאים לצרכיו</w:t>
      </w:r>
      <w:r w:rsidRPr="0094381A">
        <w:rPr>
          <w:rFonts w:ascii="Arial" w:hAnsi="Arial" w:hint="cs"/>
          <w:rtl/>
        </w:rPr>
        <w:t xml:space="preserve">, לרבות עובדות כתב האישום לפיהן מדובר </w:t>
      </w:r>
      <w:r w:rsidRPr="0094381A">
        <w:rPr>
          <w:sz w:val="20"/>
          <w:rtl/>
          <w:lang w:eastAsia="he-IL"/>
        </w:rPr>
        <w:t>באספק</w:t>
      </w:r>
      <w:r w:rsidRPr="0094381A">
        <w:rPr>
          <w:rFonts w:hint="cs"/>
          <w:sz w:val="20"/>
          <w:rtl/>
          <w:lang w:eastAsia="he-IL"/>
        </w:rPr>
        <w:t xml:space="preserve">ת סם שאינו מהמסוכנים שבפקודת הסמים, בכמויות קטנות, ללא תמורה ולאותו אדם </w:t>
      </w:r>
      <w:r w:rsidRPr="0094381A">
        <w:rPr>
          <w:sz w:val="20"/>
          <w:rtl/>
          <w:lang w:eastAsia="he-IL"/>
        </w:rPr>
        <w:t>שהינו מכר קרוב של הנאשם</w:t>
      </w:r>
      <w:r>
        <w:rPr>
          <w:rFonts w:hint="cs"/>
          <w:sz w:val="20"/>
          <w:rtl/>
          <w:lang w:eastAsia="he-IL"/>
        </w:rPr>
        <w:t xml:space="preserve"> - </w:t>
      </w:r>
      <w:r>
        <w:rPr>
          <w:rFonts w:ascii="Arial" w:hAnsi="Arial"/>
          <w:rtl/>
        </w:rPr>
        <w:t xml:space="preserve">ברי כי </w:t>
      </w:r>
      <w:r>
        <w:rPr>
          <w:sz w:val="20"/>
          <w:rtl/>
          <w:lang w:eastAsia="he-IL"/>
        </w:rPr>
        <w:t>אין עניינו במי שבחר לעסוק בסמים כעיסוק</w:t>
      </w:r>
      <w:r>
        <w:rPr>
          <w:rFonts w:hint="cs"/>
          <w:sz w:val="20"/>
          <w:rtl/>
          <w:lang w:eastAsia="he-IL"/>
        </w:rPr>
        <w:t xml:space="preserve"> וברי כי אין מדובר בעבירות סחר קלאסיות בטח שלא בהפצה רבתית. </w:t>
      </w:r>
      <w:r>
        <w:rPr>
          <w:sz w:val="20"/>
          <w:rtl/>
          <w:lang w:eastAsia="he-IL"/>
        </w:rPr>
        <w:t xml:space="preserve"> </w:t>
      </w:r>
    </w:p>
    <w:p w14:paraId="082BAE78" w14:textId="77777777" w:rsidR="0042544E" w:rsidRDefault="0042544E" w:rsidP="0042544E">
      <w:pPr>
        <w:snapToGrid w:val="0"/>
        <w:spacing w:line="360" w:lineRule="auto"/>
        <w:jc w:val="both"/>
        <w:rPr>
          <w:sz w:val="20"/>
          <w:rtl/>
          <w:lang w:eastAsia="he-IL"/>
        </w:rPr>
      </w:pPr>
    </w:p>
    <w:p w14:paraId="0ED0DC4E" w14:textId="77777777" w:rsidR="0042544E" w:rsidRDefault="0042544E" w:rsidP="0042544E">
      <w:pPr>
        <w:snapToGrid w:val="0"/>
        <w:spacing w:line="360" w:lineRule="auto"/>
        <w:jc w:val="both"/>
        <w:rPr>
          <w:b/>
          <w:sz w:val="20"/>
          <w:rtl/>
          <w:lang w:eastAsia="he-IL"/>
        </w:rPr>
      </w:pPr>
      <w:r>
        <w:rPr>
          <w:rFonts w:hint="cs"/>
          <w:sz w:val="20"/>
          <w:rtl/>
          <w:lang w:eastAsia="he-IL"/>
        </w:rPr>
        <w:t>ב</w:t>
      </w:r>
      <w:r>
        <w:rPr>
          <w:sz w:val="20"/>
          <w:rtl/>
          <w:lang w:eastAsia="he-IL"/>
        </w:rPr>
        <w:t>אין חולק כי כלל העבירות מהוות אירוע אחד</w:t>
      </w:r>
      <w:r>
        <w:rPr>
          <w:rFonts w:hint="cs"/>
          <w:sz w:val="20"/>
          <w:rtl/>
          <w:lang w:eastAsia="he-IL"/>
        </w:rPr>
        <w:t xml:space="preserve"> הרי</w:t>
      </w:r>
      <w:r>
        <w:rPr>
          <w:sz w:val="20"/>
          <w:rtl/>
          <w:lang w:eastAsia="he-IL"/>
        </w:rPr>
        <w:t xml:space="preserve"> </w:t>
      </w:r>
      <w:r>
        <w:rPr>
          <w:rFonts w:hint="cs"/>
          <w:sz w:val="20"/>
          <w:rtl/>
          <w:lang w:eastAsia="he-IL"/>
        </w:rPr>
        <w:t>ש</w:t>
      </w:r>
      <w:r>
        <w:rPr>
          <w:sz w:val="20"/>
          <w:rtl/>
          <w:lang w:eastAsia="he-IL"/>
        </w:rPr>
        <w:t>יש לקבוע מתחם עונש אחד.</w:t>
      </w:r>
      <w:r>
        <w:rPr>
          <w:b/>
          <w:bCs/>
          <w:sz w:val="20"/>
          <w:rtl/>
          <w:lang w:eastAsia="he-IL"/>
        </w:rPr>
        <w:t xml:space="preserve"> מכאן, </w:t>
      </w:r>
      <w:r>
        <w:rPr>
          <w:rFonts w:ascii="Calibri" w:hAnsi="Calibri"/>
          <w:b/>
          <w:bCs/>
          <w:rtl/>
        </w:rPr>
        <w:t xml:space="preserve">ולאחר שנתתי דעתי למידת פגיעת הנאשם בערכים המוגנים ומדיניות הענישה הנוהגת, </w:t>
      </w:r>
      <w:r>
        <w:rPr>
          <w:b/>
          <w:bCs/>
          <w:sz w:val="20"/>
          <w:rtl/>
          <w:lang w:eastAsia="he-IL"/>
        </w:rPr>
        <w:t>תוך התחשבות בתדירותן של העבירות והזיקה ביניהן, אני קובעת את מתחם העונש ההולם לכלל העבירות בהן הורשע הנאשם, כך שינוע בין  7 ל – 21 חודשי מאסר בפועל</w:t>
      </w:r>
      <w:r>
        <w:rPr>
          <w:b/>
          <w:sz w:val="20"/>
          <w:rtl/>
          <w:lang w:eastAsia="he-IL"/>
        </w:rPr>
        <w:t xml:space="preserve">. </w:t>
      </w:r>
    </w:p>
    <w:p w14:paraId="7DA06457" w14:textId="77777777" w:rsidR="0042544E" w:rsidRDefault="0042544E" w:rsidP="0042544E">
      <w:pPr>
        <w:spacing w:line="360" w:lineRule="auto"/>
        <w:jc w:val="both"/>
        <w:rPr>
          <w:b/>
          <w:bCs/>
          <w:highlight w:val="cyan"/>
          <w:u w:val="single"/>
          <w:rtl/>
        </w:rPr>
      </w:pPr>
    </w:p>
    <w:p w14:paraId="0D364CCD" w14:textId="77777777" w:rsidR="0042544E" w:rsidRPr="00D66266" w:rsidRDefault="0042544E" w:rsidP="0042544E">
      <w:pPr>
        <w:tabs>
          <w:tab w:val="left" w:pos="369"/>
          <w:tab w:val="left" w:pos="2553"/>
        </w:tabs>
        <w:spacing w:before="120" w:after="120" w:line="360" w:lineRule="auto"/>
        <w:jc w:val="both"/>
        <w:rPr>
          <w:b/>
          <w:bCs/>
          <w:sz w:val="26"/>
          <w:szCs w:val="26"/>
          <w:u w:val="single"/>
          <w:rtl/>
        </w:rPr>
      </w:pPr>
      <w:r>
        <w:rPr>
          <w:rFonts w:hint="cs"/>
          <w:b/>
          <w:bCs/>
          <w:sz w:val="26"/>
          <w:szCs w:val="26"/>
          <w:u w:val="single"/>
          <w:rtl/>
        </w:rPr>
        <w:t xml:space="preserve">חריגה </w:t>
      </w:r>
      <w:r w:rsidRPr="00D66266">
        <w:rPr>
          <w:b/>
          <w:bCs/>
          <w:sz w:val="26"/>
          <w:szCs w:val="26"/>
          <w:u w:val="single"/>
          <w:rtl/>
        </w:rPr>
        <w:t>ממתחם העונש ועונשו של הנאשם</w:t>
      </w:r>
    </w:p>
    <w:p w14:paraId="772D1D3A" w14:textId="77777777" w:rsidR="0042544E" w:rsidRDefault="0042544E" w:rsidP="0042544E">
      <w:pPr>
        <w:spacing w:before="120" w:after="120" w:line="360" w:lineRule="atLeast"/>
        <w:ind w:hanging="57"/>
        <w:jc w:val="both"/>
        <w:rPr>
          <w:rtl/>
        </w:rPr>
      </w:pPr>
      <w:r>
        <w:rPr>
          <w:rFonts w:hint="cs"/>
          <w:rtl/>
        </w:rPr>
        <w:t>9</w:t>
      </w:r>
      <w:r>
        <w:rPr>
          <w:rtl/>
        </w:rPr>
        <w:t>.</w:t>
      </w:r>
      <w:r>
        <w:rPr>
          <w:rtl/>
        </w:rPr>
        <w:tab/>
        <w:t xml:space="preserve">בהתאם </w:t>
      </w:r>
      <w:hyperlink r:id="rId53" w:history="1">
        <w:r w:rsidR="00035FE0" w:rsidRPr="00035FE0">
          <w:rPr>
            <w:rStyle w:val="Hyperlink"/>
            <w:rtl/>
          </w:rPr>
          <w:t>לסעיף 40ד'(א)</w:t>
        </w:r>
      </w:hyperlink>
      <w:r>
        <w:rPr>
          <w:rtl/>
        </w:rPr>
        <w:t xml:space="preserve"> ל</w:t>
      </w:r>
      <w:hyperlink r:id="rId54" w:history="1">
        <w:r w:rsidR="00C75905" w:rsidRPr="00C75905">
          <w:rPr>
            <w:color w:val="0000FF"/>
            <w:u w:val="single"/>
            <w:rtl/>
          </w:rPr>
          <w:t>חוק העונשין</w:t>
        </w:r>
      </w:hyperlink>
      <w:r>
        <w:rPr>
          <w:rtl/>
        </w:rPr>
        <w:t xml:space="preserve">, רשאי בית המשפט לחרוג לקולא ממתחם העונש ההולם בשל שיקולי שיקום. </w:t>
      </w:r>
    </w:p>
    <w:p w14:paraId="18C72239" w14:textId="77777777" w:rsidR="0042544E" w:rsidRDefault="0042544E" w:rsidP="0042544E">
      <w:pPr>
        <w:spacing w:before="120" w:after="120" w:line="360" w:lineRule="atLeast"/>
        <w:ind w:hanging="57"/>
        <w:jc w:val="both"/>
        <w:rPr>
          <w:noProof/>
        </w:rPr>
      </w:pPr>
      <w:r>
        <w:rPr>
          <w:rtl/>
        </w:rPr>
        <w:t xml:space="preserve">אין חולק בין הצדדים כי עניינו של הנאשם מצדיק חריגה ממתחם העונש ההולם משיקולי שיקום מובהקים כנלמד מהתסקיר לרבות המלצותיו. </w:t>
      </w:r>
    </w:p>
    <w:p w14:paraId="2A78AAC4" w14:textId="77777777" w:rsidR="0042544E" w:rsidRDefault="0042544E" w:rsidP="0042544E">
      <w:pPr>
        <w:spacing w:before="120" w:after="120" w:line="360" w:lineRule="atLeast"/>
        <w:ind w:hanging="57"/>
        <w:jc w:val="both"/>
        <w:rPr>
          <w:rtl/>
        </w:rPr>
      </w:pPr>
      <w:r>
        <w:rPr>
          <w:rFonts w:hint="cs"/>
          <w:rtl/>
        </w:rPr>
        <w:t>המחלוקת בין הצדדים היא ביחס לעונשו של הנאשם לאחר חריגה ממתחם העונש. בעוד ש</w:t>
      </w:r>
      <w:r>
        <w:rPr>
          <w:rtl/>
        </w:rPr>
        <w:t xml:space="preserve">המאשימה סבורה כי עונשו של הנאשם צריך ויקבע ל 8 חודשי עבודות שירות, ההגנה מצדה </w:t>
      </w:r>
      <w:r>
        <w:rPr>
          <w:rFonts w:hint="cs"/>
          <w:rtl/>
        </w:rPr>
        <w:t>סבורה כי ה</w:t>
      </w:r>
      <w:r>
        <w:rPr>
          <w:rtl/>
        </w:rPr>
        <w:t xml:space="preserve">עונש </w:t>
      </w:r>
      <w:r>
        <w:rPr>
          <w:rFonts w:hint="cs"/>
          <w:rtl/>
        </w:rPr>
        <w:t xml:space="preserve">מתחם העונש צריך שיתחיל בעבודות שירות אם כי את עיקר טיעוניה </w:t>
      </w:r>
      <w:r>
        <w:rPr>
          <w:rtl/>
        </w:rPr>
        <w:t xml:space="preserve">מיקדה </w:t>
      </w:r>
      <w:r>
        <w:rPr>
          <w:rFonts w:hint="cs"/>
          <w:rtl/>
        </w:rPr>
        <w:t>בבקשה</w:t>
      </w:r>
      <w:r>
        <w:rPr>
          <w:rtl/>
        </w:rPr>
        <w:t xml:space="preserve"> לביטול הרשעת הנאשם.</w:t>
      </w:r>
    </w:p>
    <w:p w14:paraId="723BF4AC" w14:textId="77777777" w:rsidR="0042544E" w:rsidRDefault="0042544E" w:rsidP="0042544E">
      <w:pPr>
        <w:spacing w:line="360" w:lineRule="auto"/>
        <w:jc w:val="both"/>
        <w:rPr>
          <w:rFonts w:ascii="Arial" w:hAnsi="Arial"/>
          <w:highlight w:val="magenta"/>
          <w:rtl/>
        </w:rPr>
      </w:pPr>
      <w:r>
        <w:rPr>
          <w:b/>
          <w:bCs/>
          <w:rtl/>
        </w:rPr>
        <w:t xml:space="preserve">בגדרי השיקולים לעונש שיושת על הנאשם לאחר </w:t>
      </w:r>
      <w:r>
        <w:rPr>
          <w:rFonts w:hint="cs"/>
          <w:b/>
          <w:bCs/>
          <w:rtl/>
        </w:rPr>
        <w:t>חריגה</w:t>
      </w:r>
      <w:r>
        <w:rPr>
          <w:b/>
          <w:bCs/>
          <w:rtl/>
        </w:rPr>
        <w:t xml:space="preserve"> ממתחם העונש שנקבע כאמור, </w:t>
      </w:r>
      <w:r>
        <w:rPr>
          <w:rtl/>
        </w:rPr>
        <w:t xml:space="preserve">יינתן משקל לשיקולי הרתעת הרבים. </w:t>
      </w:r>
      <w:r>
        <w:rPr>
          <w:rFonts w:hint="cs"/>
          <w:rtl/>
        </w:rPr>
        <w:t xml:space="preserve">עם זאת, בנסיבות המקרה לפני סבורני כי </w:t>
      </w:r>
      <w:r>
        <w:rPr>
          <w:rtl/>
        </w:rPr>
        <w:t xml:space="preserve">עיקר המשקל </w:t>
      </w:r>
      <w:r>
        <w:rPr>
          <w:rFonts w:hint="cs"/>
          <w:rtl/>
        </w:rPr>
        <w:t>צריך ו</w:t>
      </w:r>
      <w:r>
        <w:rPr>
          <w:rtl/>
        </w:rPr>
        <w:t xml:space="preserve">יינתן להשפעת העונש </w:t>
      </w:r>
      <w:r>
        <w:rPr>
          <w:rFonts w:hint="cs"/>
          <w:rtl/>
        </w:rPr>
        <w:t xml:space="preserve">שיקבע, על </w:t>
      </w:r>
      <w:r>
        <w:rPr>
          <w:rtl/>
        </w:rPr>
        <w:t>הליכי שיקומו של הנאשם. בהקשר זה ובהתייחס לשיקולי הרתעת הנאשם, אומר כי אלה לטעמי אינם צריכים למשקל משמעותי</w:t>
      </w:r>
      <w:r>
        <w:rPr>
          <w:rFonts w:hint="cs"/>
          <w:rtl/>
        </w:rPr>
        <w:t xml:space="preserve">. ראשית, נוכח שמעצרו לראשונה בחייו, </w:t>
      </w:r>
      <w:r>
        <w:rPr>
          <w:rtl/>
        </w:rPr>
        <w:t xml:space="preserve">ההליך </w:t>
      </w:r>
      <w:r>
        <w:rPr>
          <w:rFonts w:hint="cs"/>
          <w:rtl/>
        </w:rPr>
        <w:t>המשפטי שהתנהל נגדו והיותו נתון תקופה ממושכת בתנאים מגבלים, מהווים גורם הרתעתי משמעותי עבורו. שנית, והוא העיקר, הנאשם עבר ועובר הליך טיפולי משמעותי לרבות סיועו של שירות המבחן ב</w:t>
      </w:r>
      <w:r>
        <w:rPr>
          <w:rtl/>
        </w:rPr>
        <w:t>טיפול שוטף ומוסדר במצבו הרפואי</w:t>
      </w:r>
      <w:r>
        <w:rPr>
          <w:rFonts w:hint="cs"/>
          <w:rtl/>
        </w:rPr>
        <w:t xml:space="preserve"> אשר נמצא ברקע מעשיו. בהקשר זה אחזור לציין </w:t>
      </w:r>
      <w:r>
        <w:rPr>
          <w:rtl/>
        </w:rPr>
        <w:t xml:space="preserve"> </w:t>
      </w:r>
      <w:r>
        <w:rPr>
          <w:rFonts w:hint="cs"/>
          <w:rtl/>
        </w:rPr>
        <w:t>ב</w:t>
      </w:r>
      <w:r>
        <w:rPr>
          <w:rtl/>
        </w:rPr>
        <w:t xml:space="preserve">עובדות כתב האישום ותסקיר שירות המבחן </w:t>
      </w:r>
      <w:r>
        <w:rPr>
          <w:rFonts w:hint="cs"/>
          <w:rtl/>
        </w:rPr>
        <w:t>המלמדים ו</w:t>
      </w:r>
      <w:r>
        <w:rPr>
          <w:rtl/>
        </w:rPr>
        <w:t xml:space="preserve">במובהק כי אין עניינו בסוחר סמים או עבריין סמים מועד, אלא במי שהוא </w:t>
      </w:r>
      <w:r>
        <w:rPr>
          <w:rFonts w:hint="cs"/>
          <w:rtl/>
        </w:rPr>
        <w:t>שזו הסתבכותו הראשונה עם החוק, מי ש</w:t>
      </w:r>
      <w:r>
        <w:rPr>
          <w:rtl/>
        </w:rPr>
        <w:t>ניהל ומנהל על דרך הכלל אורח חיים נורמטיבי וייצרני</w:t>
      </w:r>
      <w:r>
        <w:rPr>
          <w:rFonts w:hint="cs"/>
          <w:rtl/>
        </w:rPr>
        <w:t xml:space="preserve">, </w:t>
      </w:r>
      <w:r w:rsidRPr="00941976">
        <w:rPr>
          <w:rFonts w:hint="cs"/>
          <w:rtl/>
        </w:rPr>
        <w:t xml:space="preserve">ואשר </w:t>
      </w:r>
      <w:r w:rsidRPr="00941976">
        <w:rPr>
          <w:rFonts w:ascii="Arial" w:hAnsi="Arial" w:hint="cs"/>
          <w:rtl/>
        </w:rPr>
        <w:t xml:space="preserve">ביצע את </w:t>
      </w:r>
      <w:r w:rsidRPr="00941976">
        <w:rPr>
          <w:rFonts w:ascii="Arial" w:hAnsi="Arial"/>
          <w:rtl/>
        </w:rPr>
        <w:t>העבירות על רקע מצבו הבריאותי והרגשי הלקוי של בהיעדר קבלת טיפול המתאים לצרכיו</w:t>
      </w:r>
      <w:r>
        <w:rPr>
          <w:rFonts w:ascii="Arial" w:hAnsi="Arial" w:hint="cs"/>
          <w:rtl/>
        </w:rPr>
        <w:t xml:space="preserve">. במסגרת ההליך הטיפולי שעבר הנאשם </w:t>
      </w:r>
      <w:bookmarkStart w:id="5" w:name="Nitan"/>
      <w:r>
        <w:rPr>
          <w:rFonts w:ascii="Arial" w:hAnsi="Arial" w:hint="cs"/>
          <w:rtl/>
        </w:rPr>
        <w:t xml:space="preserve">ניתן בין היתר מענה הולם וראוי </w:t>
      </w:r>
      <w:r w:rsidRPr="00D55192">
        <w:rPr>
          <w:rFonts w:ascii="Arial" w:hAnsi="Arial" w:hint="cs"/>
          <w:rtl/>
        </w:rPr>
        <w:t xml:space="preserve">לטיפול בבעיותיו </w:t>
      </w:r>
      <w:r w:rsidRPr="00D55192">
        <w:rPr>
          <w:rFonts w:ascii="Arial" w:hAnsi="Arial"/>
          <w:rtl/>
        </w:rPr>
        <w:t>הבריאותיות לצד טיפול רגשי</w:t>
      </w:r>
      <w:r w:rsidRPr="00D55192">
        <w:rPr>
          <w:rFonts w:ascii="Arial" w:hAnsi="Arial" w:hint="cs"/>
          <w:rtl/>
        </w:rPr>
        <w:t xml:space="preserve">, ואין חולק כי </w:t>
      </w:r>
      <w:bookmarkEnd w:id="5"/>
      <w:r w:rsidRPr="00D55192">
        <w:rPr>
          <w:rFonts w:ascii="Arial" w:hAnsi="Arial" w:hint="cs"/>
          <w:rtl/>
        </w:rPr>
        <w:t>בהליכים אלה יש  ל</w:t>
      </w:r>
      <w:r w:rsidRPr="00D55192">
        <w:rPr>
          <w:rFonts w:ascii="Arial" w:hAnsi="Arial"/>
          <w:rtl/>
        </w:rPr>
        <w:t>צמצם את הסיכון להישנות עבירות</w:t>
      </w:r>
      <w:r w:rsidRPr="00D55192">
        <w:rPr>
          <w:rFonts w:ascii="Arial" w:hAnsi="Arial" w:hint="cs"/>
          <w:rtl/>
        </w:rPr>
        <w:t xml:space="preserve"> דומות,</w:t>
      </w:r>
      <w:r>
        <w:rPr>
          <w:rFonts w:ascii="Arial" w:hAnsi="Arial" w:hint="cs"/>
          <w:rtl/>
        </w:rPr>
        <w:t xml:space="preserve"> מה גם שהטיפול שהותאם לנזקקותו של הנאשם כבר החל להטיב עמו משמעותית. </w:t>
      </w:r>
    </w:p>
    <w:p w14:paraId="012651AA" w14:textId="77777777" w:rsidR="0042544E" w:rsidRPr="00EF2E99" w:rsidRDefault="0042544E" w:rsidP="0042544E">
      <w:pPr>
        <w:spacing w:line="360" w:lineRule="auto"/>
        <w:jc w:val="both"/>
        <w:rPr>
          <w:rFonts w:ascii="Arial" w:hAnsi="Arial"/>
          <w:rtl/>
        </w:rPr>
      </w:pPr>
      <w:r w:rsidRPr="00EF2E99">
        <w:rPr>
          <w:rFonts w:ascii="Arial" w:hAnsi="Arial" w:hint="cs"/>
          <w:rtl/>
        </w:rPr>
        <w:t xml:space="preserve">יש לתת משקל להתרשמות שירות המבחן מהנאשם כאדם ללא </w:t>
      </w:r>
      <w:r w:rsidRPr="00EF2E99">
        <w:rPr>
          <w:rFonts w:ascii="Arial" w:hAnsi="Arial"/>
          <w:rtl/>
        </w:rPr>
        <w:t>דפוסים עברייניים מופנמים</w:t>
      </w:r>
      <w:r>
        <w:rPr>
          <w:rFonts w:ascii="Arial" w:hAnsi="Arial" w:hint="cs"/>
          <w:rtl/>
        </w:rPr>
        <w:t>,</w:t>
      </w:r>
      <w:r w:rsidRPr="00EF2E99">
        <w:rPr>
          <w:rFonts w:ascii="Arial" w:hAnsi="Arial"/>
          <w:rtl/>
        </w:rPr>
        <w:t xml:space="preserve"> אשר מביע רצון ושאיפה לשקם את חייו ולנהל אורח חיים נורמטיבי ושומר חוק, אשר לאורך השנים וחרף אירועי חייו גילה יכולת טובה להסתגלות, התמדה והתנהלות אחראית במסגרות חייו, לרבות בתחום הלימודי והתעסוקתי ולרבות ביטוי בדאגתו לילדיו ושאיפתו להיות שותף פעיל בגידולם על אף הנסיבות והמרחק</w:t>
      </w:r>
      <w:r>
        <w:rPr>
          <w:rFonts w:ascii="Arial" w:hAnsi="Arial" w:hint="cs"/>
          <w:rtl/>
        </w:rPr>
        <w:t>.</w:t>
      </w:r>
    </w:p>
    <w:p w14:paraId="36179EE1" w14:textId="77777777" w:rsidR="0042544E" w:rsidRDefault="0042544E" w:rsidP="0042544E">
      <w:pPr>
        <w:spacing w:line="360" w:lineRule="auto"/>
        <w:jc w:val="both"/>
        <w:rPr>
          <w:rFonts w:ascii="Arial" w:hAnsi="Arial"/>
          <w:rtl/>
        </w:rPr>
      </w:pPr>
      <w:r>
        <w:rPr>
          <w:rFonts w:ascii="Arial" w:hAnsi="Arial" w:hint="cs"/>
          <w:rtl/>
        </w:rPr>
        <w:t>מכלל הדברים האמורים ולאחר שהבאתי בחשבון את נסיבותיו האישיות של הנאשם אשר היו ברקע הסיבות למעשיו, ס</w:t>
      </w:r>
      <w:r w:rsidRPr="00EF2E99">
        <w:rPr>
          <w:rFonts w:ascii="Arial" w:hAnsi="Arial" w:hint="cs"/>
          <w:rtl/>
        </w:rPr>
        <w:t>בורני כי יש ממש בהערכת שירות המבחן לאפשרות פגיעה בהליך</w:t>
      </w:r>
      <w:r w:rsidRPr="00EF2E99">
        <w:rPr>
          <w:rFonts w:ascii="Arial" w:hAnsi="Arial"/>
          <w:rtl/>
        </w:rPr>
        <w:t xml:space="preserve"> שיקומו </w:t>
      </w:r>
      <w:r w:rsidRPr="00EF2E99">
        <w:rPr>
          <w:rFonts w:ascii="Arial" w:hAnsi="Arial" w:hint="cs"/>
          <w:rtl/>
        </w:rPr>
        <w:t>של הנאשם ככל ש</w:t>
      </w:r>
      <w:r>
        <w:rPr>
          <w:rFonts w:ascii="Arial" w:hAnsi="Arial" w:hint="cs"/>
          <w:rtl/>
        </w:rPr>
        <w:t>י</w:t>
      </w:r>
      <w:r w:rsidRPr="00EF2E99">
        <w:rPr>
          <w:rFonts w:ascii="Arial" w:hAnsi="Arial" w:hint="cs"/>
          <w:rtl/>
        </w:rPr>
        <w:t xml:space="preserve">יגזר עליו עונש של מאסר בפועל לריצוי בעבודות שירות. בהקשר זה, בית המשפט מצטרף לתפיסה </w:t>
      </w:r>
      <w:r>
        <w:rPr>
          <w:rFonts w:ascii="Arial" w:hAnsi="Arial" w:hint="cs"/>
          <w:rtl/>
        </w:rPr>
        <w:t>ה</w:t>
      </w:r>
      <w:r w:rsidRPr="00EF2E99">
        <w:rPr>
          <w:rFonts w:ascii="Arial" w:hAnsi="Arial" w:hint="cs"/>
          <w:rtl/>
        </w:rPr>
        <w:t xml:space="preserve">עונשית </w:t>
      </w:r>
      <w:r>
        <w:rPr>
          <w:rFonts w:ascii="Arial" w:hAnsi="Arial" w:hint="cs"/>
          <w:rtl/>
        </w:rPr>
        <w:t xml:space="preserve">- חינוכית והרתעתית </w:t>
      </w:r>
      <w:r w:rsidRPr="00EF2E99">
        <w:rPr>
          <w:rFonts w:ascii="Arial" w:hAnsi="Arial" w:hint="cs"/>
          <w:rtl/>
        </w:rPr>
        <w:t xml:space="preserve">שתאפשר לנאשם להמשיך לפעול למען בריאותו הפיזית והנפשית לרבות המשך השתלבותו והתמדתו  בעבודה, </w:t>
      </w:r>
      <w:r>
        <w:rPr>
          <w:rFonts w:ascii="Arial" w:hAnsi="Arial" w:hint="cs"/>
          <w:rtl/>
        </w:rPr>
        <w:t xml:space="preserve">ובכך ייתרם </w:t>
      </w:r>
      <w:r w:rsidRPr="00EF2E99">
        <w:rPr>
          <w:rFonts w:ascii="Arial" w:hAnsi="Arial" w:hint="cs"/>
          <w:rtl/>
        </w:rPr>
        <w:t xml:space="preserve">גם האינטרס הציבורי. </w:t>
      </w:r>
    </w:p>
    <w:p w14:paraId="4336F974" w14:textId="77777777" w:rsidR="0042544E" w:rsidRDefault="0042544E" w:rsidP="0042544E">
      <w:pPr>
        <w:spacing w:line="360" w:lineRule="auto"/>
        <w:jc w:val="both"/>
        <w:rPr>
          <w:rFonts w:ascii="Arial" w:hAnsi="Arial"/>
          <w:rtl/>
        </w:rPr>
      </w:pPr>
    </w:p>
    <w:p w14:paraId="2F0CA2AB" w14:textId="77777777" w:rsidR="0042544E" w:rsidRDefault="0042544E" w:rsidP="0042544E">
      <w:pPr>
        <w:tabs>
          <w:tab w:val="left" w:pos="369"/>
          <w:tab w:val="left" w:pos="2553"/>
        </w:tabs>
        <w:spacing w:before="120" w:after="120" w:line="360" w:lineRule="auto"/>
        <w:jc w:val="both"/>
        <w:rPr>
          <w:b/>
          <w:bCs/>
          <w:u w:val="single"/>
          <w:rtl/>
        </w:rPr>
      </w:pPr>
      <w:r>
        <w:rPr>
          <w:b/>
          <w:bCs/>
          <w:u w:val="single"/>
          <w:rtl/>
        </w:rPr>
        <w:t>סוף דבר</w:t>
      </w:r>
    </w:p>
    <w:p w14:paraId="12C9578F" w14:textId="77777777" w:rsidR="0042544E" w:rsidRDefault="0042544E" w:rsidP="0042544E">
      <w:pPr>
        <w:spacing w:line="360" w:lineRule="auto"/>
        <w:jc w:val="both"/>
        <w:rPr>
          <w:b/>
          <w:bCs/>
          <w:rtl/>
        </w:rPr>
      </w:pPr>
      <w:r>
        <w:rPr>
          <w:b/>
          <w:bCs/>
          <w:rtl/>
        </w:rPr>
        <w:t>מכלל הדברים האמורים, סבורני כי לאחר חריגה ממתחם העונש ההולם ואיזון בין</w:t>
      </w:r>
      <w:r>
        <w:rPr>
          <w:rFonts w:hint="cs"/>
          <w:b/>
          <w:bCs/>
        </w:rPr>
        <w:t xml:space="preserve"> </w:t>
      </w:r>
      <w:r>
        <w:rPr>
          <w:b/>
          <w:bCs/>
          <w:rtl/>
        </w:rPr>
        <w:t>מכלול</w:t>
      </w:r>
      <w:r>
        <w:rPr>
          <w:rFonts w:hint="cs"/>
          <w:b/>
          <w:bCs/>
        </w:rPr>
        <w:t xml:space="preserve"> </w:t>
      </w:r>
      <w:r>
        <w:rPr>
          <w:b/>
          <w:bCs/>
          <w:rtl/>
        </w:rPr>
        <w:t>האינטרסים</w:t>
      </w:r>
      <w:r>
        <w:rPr>
          <w:rFonts w:hint="cs"/>
          <w:b/>
          <w:bCs/>
        </w:rPr>
        <w:t xml:space="preserve"> </w:t>
      </w:r>
      <w:r>
        <w:rPr>
          <w:b/>
          <w:bCs/>
          <w:rtl/>
        </w:rPr>
        <w:t>ושיקולי</w:t>
      </w:r>
      <w:r>
        <w:rPr>
          <w:rFonts w:hint="cs"/>
          <w:b/>
          <w:bCs/>
        </w:rPr>
        <w:t xml:space="preserve"> </w:t>
      </w:r>
      <w:r>
        <w:rPr>
          <w:b/>
          <w:bCs/>
          <w:rtl/>
        </w:rPr>
        <w:t xml:space="preserve">הענישה, העונש ההולם והראוי בנסיבות החריגות של הנאשם, הוא עונש שלא יהיה בו כדי פגיעה בהליך השיקומי בו הוא נתון, לרבות עבודתו ופרנסתו. אשר על כן, אני גוזרת עונשו כדלקמן: </w:t>
      </w:r>
    </w:p>
    <w:p w14:paraId="5130CFD5" w14:textId="77777777" w:rsidR="0042544E" w:rsidRPr="00D55192" w:rsidRDefault="00C75905" w:rsidP="0042544E">
      <w:pPr>
        <w:spacing w:line="360" w:lineRule="auto"/>
        <w:jc w:val="both"/>
        <w:rPr>
          <w:b/>
          <w:bCs/>
        </w:rPr>
      </w:pPr>
      <w:r>
        <w:rPr>
          <w:rFonts w:ascii="David" w:hAnsi="David"/>
          <w:rtl/>
        </w:rPr>
        <w:t xml:space="preserve">8 חודשי מאסר על תנאי, שהנאשם לא יעבור  עבירת סמים מסוג פשע משך 3 שנים מהיום.  </w:t>
      </w:r>
      <w:r w:rsidR="0042544E" w:rsidRPr="00FA2C16">
        <w:rPr>
          <w:rFonts w:hint="cs"/>
          <w:rtl/>
        </w:rPr>
        <w:t xml:space="preserve">3 חודשי פסילה על תנאי, מלנהוג, להחזיק או לקבל רישיון נהיגה, והתנאי הוא שהנאשם לא </w:t>
      </w:r>
      <w:r>
        <w:rPr>
          <w:rFonts w:ascii="David" w:hAnsi="David"/>
          <w:rtl/>
        </w:rPr>
        <w:t xml:space="preserve">יעבור עבירת סמים, משך 3 שנים מהיום.   קנס בסך 2,500  ₪ או  15  ימי מאסר תמורתו. הקנס ישולם תוך 90 ימים מהיום.  150 שעות של"צ  על פי תכנית שיגיש שירות המבחן תוך 30 ימים מהיום.  </w:t>
      </w:r>
    </w:p>
    <w:p w14:paraId="58A1F1C6" w14:textId="77777777" w:rsidR="0042544E" w:rsidRDefault="0042544E" w:rsidP="0042544E">
      <w:pPr>
        <w:spacing w:line="360" w:lineRule="auto"/>
        <w:jc w:val="both"/>
        <w:rPr>
          <w:b/>
          <w:bCs/>
          <w:rtl/>
        </w:rPr>
      </w:pPr>
    </w:p>
    <w:p w14:paraId="57C51923" w14:textId="77777777" w:rsidR="0042544E" w:rsidRDefault="00C75905" w:rsidP="0042544E">
      <w:pPr>
        <w:spacing w:line="360" w:lineRule="auto"/>
        <w:jc w:val="both"/>
        <w:rPr>
          <w:b/>
          <w:bCs/>
          <w:rtl/>
        </w:rPr>
      </w:pPr>
      <w:r w:rsidRPr="00C75905">
        <w:rPr>
          <w:b/>
          <w:bCs/>
          <w:color w:val="FFFFFF"/>
          <w:sz w:val="2"/>
          <w:szCs w:val="2"/>
          <w:rtl/>
        </w:rPr>
        <w:t>5129371</w:t>
      </w:r>
      <w:r w:rsidR="0042544E">
        <w:rPr>
          <w:b/>
          <w:bCs/>
          <w:rtl/>
        </w:rPr>
        <w:t xml:space="preserve">הודעה זכות הערעור. </w:t>
      </w:r>
    </w:p>
    <w:p w14:paraId="3F62363F" w14:textId="77777777" w:rsidR="0042544E" w:rsidRDefault="00C75905" w:rsidP="0042544E">
      <w:pPr>
        <w:spacing w:line="360" w:lineRule="auto"/>
        <w:jc w:val="both"/>
        <w:rPr>
          <w:b/>
          <w:bCs/>
          <w:rtl/>
        </w:rPr>
      </w:pPr>
      <w:r w:rsidRPr="00C75905">
        <w:rPr>
          <w:b/>
          <w:bCs/>
          <w:color w:val="FFFFFF"/>
          <w:sz w:val="2"/>
          <w:szCs w:val="2"/>
          <w:rtl/>
        </w:rPr>
        <w:t>54678313</w:t>
      </w:r>
      <w:r w:rsidR="0042544E">
        <w:rPr>
          <w:b/>
          <w:bCs/>
          <w:rtl/>
        </w:rPr>
        <w:t xml:space="preserve">צו כללי להשמדת מוצג הסמים. </w:t>
      </w:r>
      <w:r w:rsidR="0042544E">
        <w:rPr>
          <w:rFonts w:hint="cs"/>
          <w:b/>
          <w:bCs/>
          <w:rtl/>
        </w:rPr>
        <w:t xml:space="preserve">                </w:t>
      </w:r>
    </w:p>
    <w:p w14:paraId="35C7E342" w14:textId="77777777" w:rsidR="0042544E" w:rsidRDefault="0042544E" w:rsidP="0042544E">
      <w:pPr>
        <w:spacing w:line="360" w:lineRule="auto"/>
        <w:jc w:val="both"/>
        <w:rPr>
          <w:b/>
          <w:bCs/>
          <w:rtl/>
        </w:rPr>
      </w:pPr>
    </w:p>
    <w:p w14:paraId="506622AF" w14:textId="77777777" w:rsidR="0042544E" w:rsidRDefault="0042544E" w:rsidP="0042544E">
      <w:pPr>
        <w:spacing w:line="360" w:lineRule="auto"/>
        <w:jc w:val="both"/>
        <w:rPr>
          <w:b/>
          <w:bCs/>
          <w:rtl/>
        </w:rPr>
      </w:pPr>
      <w:r>
        <w:rPr>
          <w:b/>
          <w:bCs/>
          <w:rtl/>
        </w:rPr>
        <w:tab/>
      </w:r>
      <w:r>
        <w:rPr>
          <w:b/>
          <w:bCs/>
          <w:rtl/>
        </w:rPr>
        <w:tab/>
      </w:r>
      <w:r>
        <w:rPr>
          <w:b/>
          <w:bCs/>
          <w:rtl/>
        </w:rPr>
        <w:tab/>
      </w:r>
      <w:r>
        <w:rPr>
          <w:b/>
          <w:bCs/>
          <w:rtl/>
        </w:rPr>
        <w:tab/>
      </w:r>
      <w:r>
        <w:rPr>
          <w:b/>
          <w:bCs/>
          <w:rtl/>
        </w:rPr>
        <w:tab/>
      </w:r>
      <w:r>
        <w:rPr>
          <w:b/>
          <w:bCs/>
          <w:rtl/>
        </w:rPr>
        <w:tab/>
      </w:r>
      <w:r>
        <w:rPr>
          <w:b/>
          <w:bCs/>
          <w:rtl/>
        </w:rPr>
        <w:tab/>
      </w:r>
    </w:p>
    <w:p w14:paraId="794D66E4" w14:textId="77777777" w:rsidR="00C75905" w:rsidRDefault="00C75905" w:rsidP="00C75905">
      <w:pPr>
        <w:rPr>
          <w:rtl/>
        </w:rPr>
      </w:pPr>
    </w:p>
    <w:p w14:paraId="2971386F" w14:textId="77777777" w:rsidR="00C75905" w:rsidRDefault="00C75905" w:rsidP="00C75905">
      <w:pPr>
        <w:jc w:val="center"/>
        <w:rPr>
          <w:color w:val="0000FF"/>
          <w:u w:val="single"/>
        </w:rPr>
      </w:pPr>
      <w:hyperlink r:id="rId55" w:history="1">
        <w:r>
          <w:rPr>
            <w:color w:val="0000FF"/>
            <w:u w:val="single"/>
            <w:rtl/>
          </w:rPr>
          <w:t>בעניין עריכה ושינויים במסמכי פסיקה, חקיקה ועוד באתר נבו – הקש כאן</w:t>
        </w:r>
      </w:hyperlink>
    </w:p>
    <w:p w14:paraId="778EBAAF" w14:textId="77777777" w:rsidR="00035FE0" w:rsidRPr="00035FE0" w:rsidRDefault="00035FE0" w:rsidP="00035FE0">
      <w:pPr>
        <w:keepNext/>
        <w:rPr>
          <w:rFonts w:ascii="David" w:hAnsi="David"/>
          <w:color w:val="000000"/>
          <w:sz w:val="22"/>
          <w:szCs w:val="22"/>
          <w:rtl/>
        </w:rPr>
      </w:pPr>
    </w:p>
    <w:p w14:paraId="399CCCE7" w14:textId="77777777" w:rsidR="00035FE0" w:rsidRPr="00035FE0" w:rsidRDefault="00035FE0" w:rsidP="00035FE0">
      <w:pPr>
        <w:keepNext/>
        <w:rPr>
          <w:rFonts w:ascii="David" w:hAnsi="David"/>
          <w:color w:val="000000"/>
          <w:sz w:val="22"/>
          <w:szCs w:val="22"/>
          <w:rtl/>
        </w:rPr>
      </w:pPr>
      <w:r w:rsidRPr="00035FE0">
        <w:rPr>
          <w:rFonts w:ascii="David" w:hAnsi="David"/>
          <w:color w:val="000000"/>
          <w:sz w:val="22"/>
          <w:szCs w:val="22"/>
          <w:rtl/>
        </w:rPr>
        <w:t>שוש שטרית 54678313-/</w:t>
      </w:r>
    </w:p>
    <w:p w14:paraId="4F6D812D" w14:textId="77777777" w:rsidR="00C75905" w:rsidRPr="00C75905" w:rsidRDefault="00035FE0" w:rsidP="00035FE0">
      <w:pPr>
        <w:rPr>
          <w:color w:val="0000FF"/>
          <w:u w:val="single"/>
        </w:rPr>
      </w:pPr>
      <w:r w:rsidRPr="00035FE0">
        <w:rPr>
          <w:color w:val="000000"/>
          <w:u w:val="single"/>
          <w:rtl/>
        </w:rPr>
        <w:t>נוסח מסמך זה כפוף לשינויי ניסוח ועריכה</w:t>
      </w:r>
    </w:p>
    <w:sectPr w:rsidR="00C75905" w:rsidRPr="00C75905" w:rsidSect="00035FE0">
      <w:headerReference w:type="even" r:id="rId56"/>
      <w:headerReference w:type="default" r:id="rId57"/>
      <w:footerReference w:type="even" r:id="rId58"/>
      <w:footerReference w:type="default" r:id="rId59"/>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43EFE3" w14:textId="77777777" w:rsidR="006C6BF1" w:rsidRDefault="006C6BF1" w:rsidP="008E027F">
      <w:r>
        <w:separator/>
      </w:r>
    </w:p>
  </w:endnote>
  <w:endnote w:type="continuationSeparator" w:id="0">
    <w:p w14:paraId="1916A372" w14:textId="77777777" w:rsidR="006C6BF1" w:rsidRDefault="006C6BF1" w:rsidP="008E0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1710F5" w14:textId="77777777" w:rsidR="00035FE0" w:rsidRDefault="00035FE0" w:rsidP="00035F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F2426D" w14:textId="77777777" w:rsidR="003709B1" w:rsidRPr="00035FE0" w:rsidRDefault="00035FE0" w:rsidP="00035FE0">
    <w:pPr>
      <w:pStyle w:val="a5"/>
      <w:pBdr>
        <w:top w:val="single" w:sz="4" w:space="1" w:color="auto"/>
        <w:between w:val="single" w:sz="4" w:space="0" w:color="auto"/>
      </w:pBdr>
      <w:spacing w:after="60"/>
      <w:jc w:val="center"/>
      <w:rPr>
        <w:rFonts w:ascii="FrankRuehl" w:hAnsi="FrankRuehl" w:cs="FrankRuehl"/>
        <w:color w:val="000000"/>
      </w:rPr>
    </w:pPr>
    <w:r w:rsidRPr="00035FE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1E1EDD" w14:textId="77777777" w:rsidR="00035FE0" w:rsidRDefault="00035FE0" w:rsidP="00035FE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43794">
      <w:rPr>
        <w:rFonts w:ascii="FrankRuehl" w:hAnsi="FrankRuehl" w:cs="FrankRuehl"/>
        <w:noProof/>
        <w:rtl/>
      </w:rPr>
      <w:t>1</w:t>
    </w:r>
    <w:r>
      <w:rPr>
        <w:rFonts w:ascii="FrankRuehl" w:hAnsi="FrankRuehl" w:cs="FrankRuehl"/>
        <w:rtl/>
      </w:rPr>
      <w:fldChar w:fldCharType="end"/>
    </w:r>
  </w:p>
  <w:p w14:paraId="6D92B8F5" w14:textId="77777777" w:rsidR="003709B1" w:rsidRPr="00035FE0" w:rsidRDefault="00035FE0" w:rsidP="00035FE0">
    <w:pPr>
      <w:pStyle w:val="a5"/>
      <w:pBdr>
        <w:top w:val="single" w:sz="4" w:space="1" w:color="auto"/>
        <w:between w:val="single" w:sz="4" w:space="0" w:color="auto"/>
      </w:pBdr>
      <w:spacing w:after="60"/>
      <w:jc w:val="center"/>
      <w:rPr>
        <w:rFonts w:ascii="FrankRuehl" w:hAnsi="FrankRuehl" w:cs="FrankRuehl"/>
        <w:color w:val="000000"/>
      </w:rPr>
    </w:pPr>
    <w:r w:rsidRPr="00035FE0">
      <w:rPr>
        <w:rFonts w:ascii="FrankRuehl" w:hAnsi="FrankRuehl" w:cs="FrankRuehl"/>
        <w:color w:val="000000"/>
      </w:rPr>
      <w:pict w14:anchorId="681EED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B354F" w14:textId="77777777" w:rsidR="006C6BF1" w:rsidRDefault="006C6BF1" w:rsidP="008E027F">
      <w:r>
        <w:separator/>
      </w:r>
    </w:p>
  </w:footnote>
  <w:footnote w:type="continuationSeparator" w:id="0">
    <w:p w14:paraId="2CAC5A92" w14:textId="77777777" w:rsidR="006C6BF1" w:rsidRDefault="006C6BF1" w:rsidP="008E02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42216" w14:textId="77777777" w:rsidR="00C75905" w:rsidRPr="00035FE0" w:rsidRDefault="00035FE0" w:rsidP="00035F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56691-03-21</w:t>
    </w:r>
    <w:r>
      <w:rPr>
        <w:rFonts w:ascii="David" w:hAnsi="David"/>
        <w:color w:val="000000"/>
        <w:sz w:val="22"/>
        <w:szCs w:val="22"/>
        <w:rtl/>
      </w:rPr>
      <w:tab/>
      <w:t xml:space="preserve"> מדינת ישראל תביעות נגב נ' בנג'מין יהושוע</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A1700" w14:textId="77777777" w:rsidR="00C75905" w:rsidRPr="00035FE0" w:rsidRDefault="00035FE0" w:rsidP="00035FE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56691-03-21</w:t>
    </w:r>
    <w:r>
      <w:rPr>
        <w:rFonts w:ascii="David" w:hAnsi="David"/>
        <w:color w:val="000000"/>
        <w:sz w:val="22"/>
        <w:szCs w:val="22"/>
        <w:rtl/>
      </w:rPr>
      <w:tab/>
      <w:t xml:space="preserve"> מדינת ישראל תביעות נגב נ' בנג'מין יהושוע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0C593B"/>
    <w:multiLevelType w:val="hybridMultilevel"/>
    <w:tmpl w:val="D14CC640"/>
    <w:lvl w:ilvl="0" w:tplc="04090013">
      <w:start w:val="1"/>
      <w:numFmt w:val="hebrew1"/>
      <w:lvlText w:val="%1."/>
      <w:lvlJc w:val="center"/>
      <w:pPr>
        <w:ind w:left="3620" w:hanging="360"/>
      </w:pPr>
    </w:lvl>
    <w:lvl w:ilvl="1" w:tplc="04090019">
      <w:start w:val="1"/>
      <w:numFmt w:val="lowerLetter"/>
      <w:lvlText w:val="%2."/>
      <w:lvlJc w:val="left"/>
      <w:pPr>
        <w:ind w:left="1581" w:hanging="360"/>
      </w:pPr>
    </w:lvl>
    <w:lvl w:ilvl="2" w:tplc="0409001B">
      <w:start w:val="1"/>
      <w:numFmt w:val="lowerRoman"/>
      <w:lvlText w:val="%3."/>
      <w:lvlJc w:val="right"/>
      <w:pPr>
        <w:ind w:left="2301" w:hanging="180"/>
      </w:pPr>
    </w:lvl>
    <w:lvl w:ilvl="3" w:tplc="0409000F">
      <w:start w:val="1"/>
      <w:numFmt w:val="decimal"/>
      <w:lvlText w:val="%4."/>
      <w:lvlJc w:val="left"/>
      <w:pPr>
        <w:ind w:left="3021" w:hanging="360"/>
      </w:pPr>
    </w:lvl>
    <w:lvl w:ilvl="4" w:tplc="04090019">
      <w:start w:val="1"/>
      <w:numFmt w:val="lowerLetter"/>
      <w:lvlText w:val="%5."/>
      <w:lvlJc w:val="left"/>
      <w:pPr>
        <w:ind w:left="3741" w:hanging="360"/>
      </w:pPr>
    </w:lvl>
    <w:lvl w:ilvl="5" w:tplc="0409001B">
      <w:start w:val="1"/>
      <w:numFmt w:val="lowerRoman"/>
      <w:lvlText w:val="%6."/>
      <w:lvlJc w:val="right"/>
      <w:pPr>
        <w:ind w:left="4461" w:hanging="180"/>
      </w:pPr>
    </w:lvl>
    <w:lvl w:ilvl="6" w:tplc="0409000F">
      <w:start w:val="1"/>
      <w:numFmt w:val="decimal"/>
      <w:lvlText w:val="%7."/>
      <w:lvlJc w:val="left"/>
      <w:pPr>
        <w:ind w:left="5181" w:hanging="360"/>
      </w:pPr>
    </w:lvl>
    <w:lvl w:ilvl="7" w:tplc="04090019">
      <w:start w:val="1"/>
      <w:numFmt w:val="lowerLetter"/>
      <w:lvlText w:val="%8."/>
      <w:lvlJc w:val="left"/>
      <w:pPr>
        <w:ind w:left="5901" w:hanging="360"/>
      </w:pPr>
    </w:lvl>
    <w:lvl w:ilvl="8" w:tplc="0409001B">
      <w:start w:val="1"/>
      <w:numFmt w:val="lowerRoman"/>
      <w:lvlText w:val="%9."/>
      <w:lvlJc w:val="right"/>
      <w:pPr>
        <w:ind w:left="6621" w:hanging="180"/>
      </w:pPr>
    </w:lvl>
  </w:abstractNum>
  <w:num w:numId="1" w16cid:durableId="7687019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2544E"/>
    <w:rsid w:val="00035FE0"/>
    <w:rsid w:val="00192630"/>
    <w:rsid w:val="001B5A3B"/>
    <w:rsid w:val="001C1B82"/>
    <w:rsid w:val="00343E63"/>
    <w:rsid w:val="003709B1"/>
    <w:rsid w:val="0042544E"/>
    <w:rsid w:val="00447C41"/>
    <w:rsid w:val="006C6BF1"/>
    <w:rsid w:val="0083687D"/>
    <w:rsid w:val="008E027F"/>
    <w:rsid w:val="00C047E4"/>
    <w:rsid w:val="00C43794"/>
    <w:rsid w:val="00C75905"/>
    <w:rsid w:val="00C951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3AFD730"/>
  <w15:chartTrackingRefBased/>
  <w15:docId w15:val="{CE6462BF-9AFF-4E6E-A89C-EF468CA1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2544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2544E"/>
    <w:pPr>
      <w:tabs>
        <w:tab w:val="center" w:pos="4153"/>
        <w:tab w:val="right" w:pos="8306"/>
      </w:tabs>
    </w:pPr>
  </w:style>
  <w:style w:type="character" w:customStyle="1" w:styleId="a4">
    <w:name w:val="כותרת עליונה תו"/>
    <w:link w:val="a3"/>
    <w:rsid w:val="0042544E"/>
    <w:rPr>
      <w:rFonts w:ascii="Times New Roman" w:eastAsia="Times New Roman" w:hAnsi="Times New Roman" w:cs="David"/>
      <w:sz w:val="24"/>
      <w:szCs w:val="24"/>
    </w:rPr>
  </w:style>
  <w:style w:type="paragraph" w:styleId="a5">
    <w:name w:val="footer"/>
    <w:basedOn w:val="a"/>
    <w:link w:val="a6"/>
    <w:rsid w:val="0042544E"/>
    <w:pPr>
      <w:tabs>
        <w:tab w:val="center" w:pos="4153"/>
        <w:tab w:val="right" w:pos="8306"/>
      </w:tabs>
    </w:pPr>
  </w:style>
  <w:style w:type="character" w:customStyle="1" w:styleId="a6">
    <w:name w:val="כותרת תחתונה תו"/>
    <w:link w:val="a5"/>
    <w:rsid w:val="0042544E"/>
    <w:rPr>
      <w:rFonts w:ascii="Times New Roman" w:eastAsia="Times New Roman" w:hAnsi="Times New Roman" w:cs="David"/>
      <w:sz w:val="24"/>
      <w:szCs w:val="24"/>
    </w:rPr>
  </w:style>
  <w:style w:type="table" w:styleId="a7">
    <w:name w:val="Table Grid"/>
    <w:basedOn w:val="a1"/>
    <w:rsid w:val="0042544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42544E"/>
  </w:style>
  <w:style w:type="paragraph" w:customStyle="1" w:styleId="ListParagraph">
    <w:name w:val="List Paragraph"/>
    <w:basedOn w:val="a"/>
    <w:qFormat/>
    <w:rsid w:val="0042544E"/>
    <w:pPr>
      <w:ind w:left="720"/>
      <w:contextualSpacing/>
    </w:pPr>
    <w:rPr>
      <w:rFonts w:ascii="David" w:hAnsi="David"/>
    </w:rPr>
  </w:style>
  <w:style w:type="character" w:styleId="Hyperlink">
    <w:name w:val="Hyperlink"/>
    <w:rsid w:val="00C759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d.a" TargetMode="External"/><Relationship Id="rId18" Type="http://schemas.openxmlformats.org/officeDocument/2006/relationships/hyperlink" Target="http://www.nevo.co.il/law/4216/13" TargetMode="External"/><Relationship Id="rId26" Type="http://schemas.openxmlformats.org/officeDocument/2006/relationships/hyperlink" Target="http://www.nevo.co.il/law/4216" TargetMode="External"/><Relationship Id="rId39" Type="http://schemas.openxmlformats.org/officeDocument/2006/relationships/hyperlink" Target="http://www.nevo.co.il/case/23575417" TargetMode="External"/><Relationship Id="rId21" Type="http://schemas.openxmlformats.org/officeDocument/2006/relationships/hyperlink" Target="http://www.nevo.co.il/law/4216/6" TargetMode="External"/><Relationship Id="rId34" Type="http://schemas.openxmlformats.org/officeDocument/2006/relationships/hyperlink" Target="http://www.nevo.co.il/law/74903/192a" TargetMode="External"/><Relationship Id="rId42" Type="http://schemas.openxmlformats.org/officeDocument/2006/relationships/hyperlink" Target="http://www.nevo.co.il/case/24345651" TargetMode="External"/><Relationship Id="rId47" Type="http://schemas.openxmlformats.org/officeDocument/2006/relationships/hyperlink" Target="http://www.nevo.co.il/case/25674287" TargetMode="External"/><Relationship Id="rId50" Type="http://schemas.openxmlformats.org/officeDocument/2006/relationships/hyperlink" Target="http://www.nevo.co.il/case/24889194" TargetMode="External"/><Relationship Id="rId55" Type="http://schemas.openxmlformats.org/officeDocument/2006/relationships/hyperlink" Target="http://www.nevo.co.il/advertisements/nevo-100.doc"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03" TargetMode="External"/><Relationship Id="rId29"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hyperlink" Target="http://www.nevo.co.il/law/4216/13" TargetMode="External"/><Relationship Id="rId32" Type="http://schemas.openxmlformats.org/officeDocument/2006/relationships/hyperlink" Target="http://www.nevo.co.il/law/70301"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21511777" TargetMode="External"/><Relationship Id="rId45" Type="http://schemas.openxmlformats.org/officeDocument/2006/relationships/hyperlink" Target="http://www.nevo.co.il/case/26416772" TargetMode="External"/><Relationship Id="rId53" Type="http://schemas.openxmlformats.org/officeDocument/2006/relationships/hyperlink" Target="http://www.nevo.co.il/law/70301/40d.a" TargetMode="External"/><Relationship Id="rId58"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www.nevo.co.il/law/4216/19a" TargetMode="External"/><Relationship Id="rId14" Type="http://schemas.openxmlformats.org/officeDocument/2006/relationships/hyperlink" Target="http://www.nevo.co.il/law/70301/71.a.b" TargetMode="External"/><Relationship Id="rId22" Type="http://schemas.openxmlformats.org/officeDocument/2006/relationships/hyperlink" Target="http://www.nevo.co.il/law/70301/29.a" TargetMode="External"/><Relationship Id="rId27" Type="http://schemas.openxmlformats.org/officeDocument/2006/relationships/hyperlink" Target="http://www.nevo.co.il/law/4216/6" TargetMode="External"/><Relationship Id="rId30" Type="http://schemas.openxmlformats.org/officeDocument/2006/relationships/hyperlink" Target="http://www.nevo.co.il/case/17916229" TargetMode="External"/><Relationship Id="rId35" Type="http://schemas.openxmlformats.org/officeDocument/2006/relationships/hyperlink" Target="http://www.nevo.co.il/law/74903" TargetMode="External"/><Relationship Id="rId43" Type="http://schemas.openxmlformats.org/officeDocument/2006/relationships/hyperlink" Target="http://www.nevo.co.il/case/5726579" TargetMode="External"/><Relationship Id="rId48" Type="http://schemas.openxmlformats.org/officeDocument/2006/relationships/hyperlink" Target="http://www.nevo.co.il/case/25708829" TargetMode="External"/><Relationship Id="rId56" Type="http://schemas.openxmlformats.org/officeDocument/2006/relationships/header" Target="header1.xml"/><Relationship Id="rId8" Type="http://schemas.openxmlformats.org/officeDocument/2006/relationships/hyperlink" Target="http://www.nevo.co.il/law/4216/6" TargetMode="External"/><Relationship Id="rId51" Type="http://schemas.openxmlformats.org/officeDocument/2006/relationships/hyperlink" Target="http://www.nevo.co.il/case/20993184" TargetMode="External"/><Relationship Id="rId3" Type="http://schemas.openxmlformats.org/officeDocument/2006/relationships/settings" Target="settings.xml"/><Relationship Id="rId12" Type="http://schemas.openxmlformats.org/officeDocument/2006/relationships/hyperlink" Target="http://www.nevo.co.il/law/70301/29.a" TargetMode="External"/><Relationship Id="rId17" Type="http://schemas.openxmlformats.org/officeDocument/2006/relationships/hyperlink" Target="http://www.nevo.co.il/law/74903/192a" TargetMode="External"/><Relationship Id="rId25" Type="http://schemas.openxmlformats.org/officeDocument/2006/relationships/hyperlink" Target="http://www.nevo.co.il/law/4216/19a" TargetMode="External"/><Relationship Id="rId33" Type="http://schemas.openxmlformats.org/officeDocument/2006/relationships/hyperlink" Target="http://www.nevo.co.il/case/25685411" TargetMode="External"/><Relationship Id="rId38" Type="http://schemas.openxmlformats.org/officeDocument/2006/relationships/hyperlink" Target="http://www.nevo.co.il/case/5810781" TargetMode="External"/><Relationship Id="rId46" Type="http://schemas.openxmlformats.org/officeDocument/2006/relationships/hyperlink" Target="http://www.nevo.co.il/case/26650854" TargetMode="External"/><Relationship Id="rId59" Type="http://schemas.openxmlformats.org/officeDocument/2006/relationships/footer" Target="footer2.xml"/><Relationship Id="rId20" Type="http://schemas.openxmlformats.org/officeDocument/2006/relationships/hyperlink" Target="http://www.nevo.co.il/law/4216" TargetMode="External"/><Relationship Id="rId41" Type="http://schemas.openxmlformats.org/officeDocument/2006/relationships/hyperlink" Target="http://www.nevo.co.il/case/25417769" TargetMode="External"/><Relationship Id="rId54"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fC"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29.a" TargetMode="External"/><Relationship Id="rId36" Type="http://schemas.openxmlformats.org/officeDocument/2006/relationships/hyperlink" Target="http://www.nevo.co.il/law/70301/71.a.b" TargetMode="External"/><Relationship Id="rId49" Type="http://schemas.openxmlformats.org/officeDocument/2006/relationships/hyperlink" Target="http://www.nevo.co.il/case/25547676" TargetMode="External"/><Relationship Id="rId57" Type="http://schemas.openxmlformats.org/officeDocument/2006/relationships/header" Target="header2.xml"/><Relationship Id="rId10" Type="http://schemas.openxmlformats.org/officeDocument/2006/relationships/hyperlink" Target="http://www.nevo.co.il/law/4216/19a" TargetMode="External"/><Relationship Id="rId31" Type="http://schemas.openxmlformats.org/officeDocument/2006/relationships/hyperlink" Target="http://www.nevo.co.il/law/70301/fC" TargetMode="External"/><Relationship Id="rId44" Type="http://schemas.openxmlformats.org/officeDocument/2006/relationships/hyperlink" Target="http://www.nevo.co.il/case/25725793" TargetMode="External"/><Relationship Id="rId52" Type="http://schemas.openxmlformats.org/officeDocument/2006/relationships/hyperlink" Target="http://www.nevo.co.il/law/4216"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13"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4272</Words>
  <Characters>21361</Characters>
  <Application>Microsoft Office Word</Application>
  <DocSecurity>0</DocSecurity>
  <Lines>178</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25582</CharactersWithSpaces>
  <SharedDoc>false</SharedDoc>
  <HLinks>
    <vt:vector size="294" baseType="variant">
      <vt:variant>
        <vt:i4>393283</vt:i4>
      </vt:variant>
      <vt:variant>
        <vt:i4>144</vt:i4>
      </vt:variant>
      <vt:variant>
        <vt:i4>0</vt:i4>
      </vt:variant>
      <vt:variant>
        <vt:i4>5</vt:i4>
      </vt:variant>
      <vt:variant>
        <vt:lpwstr>http://www.nevo.co.il/advertisements/nevo-100.doc</vt:lpwstr>
      </vt:variant>
      <vt:variant>
        <vt:lpwstr/>
      </vt:variant>
      <vt:variant>
        <vt:i4>7995492</vt:i4>
      </vt:variant>
      <vt:variant>
        <vt:i4>141</vt:i4>
      </vt:variant>
      <vt:variant>
        <vt:i4>0</vt:i4>
      </vt:variant>
      <vt:variant>
        <vt:i4>5</vt:i4>
      </vt:variant>
      <vt:variant>
        <vt:lpwstr>http://www.nevo.co.il/law/70301</vt:lpwstr>
      </vt:variant>
      <vt:variant>
        <vt:lpwstr/>
      </vt:variant>
      <vt:variant>
        <vt:i4>4915205</vt:i4>
      </vt:variant>
      <vt:variant>
        <vt:i4>138</vt:i4>
      </vt:variant>
      <vt:variant>
        <vt:i4>0</vt:i4>
      </vt:variant>
      <vt:variant>
        <vt:i4>5</vt:i4>
      </vt:variant>
      <vt:variant>
        <vt:lpwstr>http://www.nevo.co.il/law/70301/40d.a</vt:lpwstr>
      </vt:variant>
      <vt:variant>
        <vt:lpwstr/>
      </vt:variant>
      <vt:variant>
        <vt:i4>8257637</vt:i4>
      </vt:variant>
      <vt:variant>
        <vt:i4>135</vt:i4>
      </vt:variant>
      <vt:variant>
        <vt:i4>0</vt:i4>
      </vt:variant>
      <vt:variant>
        <vt:i4>5</vt:i4>
      </vt:variant>
      <vt:variant>
        <vt:lpwstr>http://www.nevo.co.il/law/4216</vt:lpwstr>
      </vt:variant>
      <vt:variant>
        <vt:lpwstr/>
      </vt:variant>
      <vt:variant>
        <vt:i4>3145852</vt:i4>
      </vt:variant>
      <vt:variant>
        <vt:i4>132</vt:i4>
      </vt:variant>
      <vt:variant>
        <vt:i4>0</vt:i4>
      </vt:variant>
      <vt:variant>
        <vt:i4>5</vt:i4>
      </vt:variant>
      <vt:variant>
        <vt:lpwstr>http://www.nevo.co.il/case/20993184</vt:lpwstr>
      </vt:variant>
      <vt:variant>
        <vt:lpwstr/>
      </vt:variant>
      <vt:variant>
        <vt:i4>3801209</vt:i4>
      </vt:variant>
      <vt:variant>
        <vt:i4>129</vt:i4>
      </vt:variant>
      <vt:variant>
        <vt:i4>0</vt:i4>
      </vt:variant>
      <vt:variant>
        <vt:i4>5</vt:i4>
      </vt:variant>
      <vt:variant>
        <vt:lpwstr>http://www.nevo.co.il/case/24889194</vt:lpwstr>
      </vt:variant>
      <vt:variant>
        <vt:lpwstr/>
      </vt:variant>
      <vt:variant>
        <vt:i4>3604595</vt:i4>
      </vt:variant>
      <vt:variant>
        <vt:i4>126</vt:i4>
      </vt:variant>
      <vt:variant>
        <vt:i4>0</vt:i4>
      </vt:variant>
      <vt:variant>
        <vt:i4>5</vt:i4>
      </vt:variant>
      <vt:variant>
        <vt:lpwstr>http://www.nevo.co.il/case/25547676</vt:lpwstr>
      </vt:variant>
      <vt:variant>
        <vt:lpwstr/>
      </vt:variant>
      <vt:variant>
        <vt:i4>4128889</vt:i4>
      </vt:variant>
      <vt:variant>
        <vt:i4>123</vt:i4>
      </vt:variant>
      <vt:variant>
        <vt:i4>0</vt:i4>
      </vt:variant>
      <vt:variant>
        <vt:i4>5</vt:i4>
      </vt:variant>
      <vt:variant>
        <vt:lpwstr>http://www.nevo.co.il/case/25708829</vt:lpwstr>
      </vt:variant>
      <vt:variant>
        <vt:lpwstr/>
      </vt:variant>
      <vt:variant>
        <vt:i4>3670132</vt:i4>
      </vt:variant>
      <vt:variant>
        <vt:i4>120</vt:i4>
      </vt:variant>
      <vt:variant>
        <vt:i4>0</vt:i4>
      </vt:variant>
      <vt:variant>
        <vt:i4>5</vt:i4>
      </vt:variant>
      <vt:variant>
        <vt:lpwstr>http://www.nevo.co.il/case/25674287</vt:lpwstr>
      </vt:variant>
      <vt:variant>
        <vt:lpwstr/>
      </vt:variant>
      <vt:variant>
        <vt:i4>3211391</vt:i4>
      </vt:variant>
      <vt:variant>
        <vt:i4>117</vt:i4>
      </vt:variant>
      <vt:variant>
        <vt:i4>0</vt:i4>
      </vt:variant>
      <vt:variant>
        <vt:i4>5</vt:i4>
      </vt:variant>
      <vt:variant>
        <vt:lpwstr>http://www.nevo.co.il/case/26650854</vt:lpwstr>
      </vt:variant>
      <vt:variant>
        <vt:lpwstr/>
      </vt:variant>
      <vt:variant>
        <vt:i4>3604596</vt:i4>
      </vt:variant>
      <vt:variant>
        <vt:i4>114</vt:i4>
      </vt:variant>
      <vt:variant>
        <vt:i4>0</vt:i4>
      </vt:variant>
      <vt:variant>
        <vt:i4>5</vt:i4>
      </vt:variant>
      <vt:variant>
        <vt:lpwstr>http://www.nevo.co.il/case/26416772</vt:lpwstr>
      </vt:variant>
      <vt:variant>
        <vt:lpwstr/>
      </vt:variant>
      <vt:variant>
        <vt:i4>3735668</vt:i4>
      </vt:variant>
      <vt:variant>
        <vt:i4>111</vt:i4>
      </vt:variant>
      <vt:variant>
        <vt:i4>0</vt:i4>
      </vt:variant>
      <vt:variant>
        <vt:i4>5</vt:i4>
      </vt:variant>
      <vt:variant>
        <vt:lpwstr>http://www.nevo.co.il/case/25725793</vt:lpwstr>
      </vt:variant>
      <vt:variant>
        <vt:lpwstr/>
      </vt:variant>
      <vt:variant>
        <vt:i4>3866738</vt:i4>
      </vt:variant>
      <vt:variant>
        <vt:i4>108</vt:i4>
      </vt:variant>
      <vt:variant>
        <vt:i4>0</vt:i4>
      </vt:variant>
      <vt:variant>
        <vt:i4>5</vt:i4>
      </vt:variant>
      <vt:variant>
        <vt:lpwstr>http://www.nevo.co.il/case/5726579</vt:lpwstr>
      </vt:variant>
      <vt:variant>
        <vt:lpwstr/>
      </vt:variant>
      <vt:variant>
        <vt:i4>3211378</vt:i4>
      </vt:variant>
      <vt:variant>
        <vt:i4>105</vt:i4>
      </vt:variant>
      <vt:variant>
        <vt:i4>0</vt:i4>
      </vt:variant>
      <vt:variant>
        <vt:i4>5</vt:i4>
      </vt:variant>
      <vt:variant>
        <vt:lpwstr>http://www.nevo.co.il/case/24345651</vt:lpwstr>
      </vt:variant>
      <vt:variant>
        <vt:lpwstr/>
      </vt:variant>
      <vt:variant>
        <vt:i4>3604599</vt:i4>
      </vt:variant>
      <vt:variant>
        <vt:i4>102</vt:i4>
      </vt:variant>
      <vt:variant>
        <vt:i4>0</vt:i4>
      </vt:variant>
      <vt:variant>
        <vt:i4>5</vt:i4>
      </vt:variant>
      <vt:variant>
        <vt:lpwstr>http://www.nevo.co.il/case/25417769</vt:lpwstr>
      </vt:variant>
      <vt:variant>
        <vt:lpwstr/>
      </vt:variant>
      <vt:variant>
        <vt:i4>3211379</vt:i4>
      </vt:variant>
      <vt:variant>
        <vt:i4>99</vt:i4>
      </vt:variant>
      <vt:variant>
        <vt:i4>0</vt:i4>
      </vt:variant>
      <vt:variant>
        <vt:i4>5</vt:i4>
      </vt:variant>
      <vt:variant>
        <vt:lpwstr>http://www.nevo.co.il/case/21511777</vt:lpwstr>
      </vt:variant>
      <vt:variant>
        <vt:lpwstr/>
      </vt:variant>
      <vt:variant>
        <vt:i4>3342452</vt:i4>
      </vt:variant>
      <vt:variant>
        <vt:i4>96</vt:i4>
      </vt:variant>
      <vt:variant>
        <vt:i4>0</vt:i4>
      </vt:variant>
      <vt:variant>
        <vt:i4>5</vt:i4>
      </vt:variant>
      <vt:variant>
        <vt:lpwstr>http://www.nevo.co.il/case/23575417</vt:lpwstr>
      </vt:variant>
      <vt:variant>
        <vt:lpwstr/>
      </vt:variant>
      <vt:variant>
        <vt:i4>3276916</vt:i4>
      </vt:variant>
      <vt:variant>
        <vt:i4>93</vt:i4>
      </vt:variant>
      <vt:variant>
        <vt:i4>0</vt:i4>
      </vt:variant>
      <vt:variant>
        <vt:i4>5</vt:i4>
      </vt:variant>
      <vt:variant>
        <vt:lpwstr>http://www.nevo.co.il/case/5810781</vt:lpwstr>
      </vt:variant>
      <vt:variant>
        <vt:lpwstr/>
      </vt:variant>
      <vt:variant>
        <vt:i4>7995492</vt:i4>
      </vt:variant>
      <vt:variant>
        <vt:i4>90</vt:i4>
      </vt:variant>
      <vt:variant>
        <vt:i4>0</vt:i4>
      </vt:variant>
      <vt:variant>
        <vt:i4>5</vt:i4>
      </vt:variant>
      <vt:variant>
        <vt:lpwstr>http://www.nevo.co.il/law/70301</vt:lpwstr>
      </vt:variant>
      <vt:variant>
        <vt:lpwstr/>
      </vt:variant>
      <vt:variant>
        <vt:i4>6750306</vt:i4>
      </vt:variant>
      <vt:variant>
        <vt:i4>87</vt:i4>
      </vt:variant>
      <vt:variant>
        <vt:i4>0</vt:i4>
      </vt:variant>
      <vt:variant>
        <vt:i4>5</vt:i4>
      </vt:variant>
      <vt:variant>
        <vt:lpwstr>http://www.nevo.co.il/law/70301/71.a.b</vt:lpwstr>
      </vt:variant>
      <vt:variant>
        <vt:lpwstr/>
      </vt:variant>
      <vt:variant>
        <vt:i4>8257646</vt:i4>
      </vt:variant>
      <vt:variant>
        <vt:i4>84</vt:i4>
      </vt:variant>
      <vt:variant>
        <vt:i4>0</vt:i4>
      </vt:variant>
      <vt:variant>
        <vt:i4>5</vt:i4>
      </vt:variant>
      <vt:variant>
        <vt:lpwstr>http://www.nevo.co.il/law/74903</vt:lpwstr>
      </vt:variant>
      <vt:variant>
        <vt:lpwstr/>
      </vt:variant>
      <vt:variant>
        <vt:i4>589918</vt:i4>
      </vt:variant>
      <vt:variant>
        <vt:i4>81</vt:i4>
      </vt:variant>
      <vt:variant>
        <vt:i4>0</vt:i4>
      </vt:variant>
      <vt:variant>
        <vt:i4>5</vt:i4>
      </vt:variant>
      <vt:variant>
        <vt:lpwstr>http://www.nevo.co.il/law/74903/192a</vt:lpwstr>
      </vt:variant>
      <vt:variant>
        <vt:lpwstr/>
      </vt:variant>
      <vt:variant>
        <vt:i4>3145853</vt:i4>
      </vt:variant>
      <vt:variant>
        <vt:i4>78</vt:i4>
      </vt:variant>
      <vt:variant>
        <vt:i4>0</vt:i4>
      </vt:variant>
      <vt:variant>
        <vt:i4>5</vt:i4>
      </vt:variant>
      <vt:variant>
        <vt:lpwstr>http://www.nevo.co.il/case/25685411</vt:lpwstr>
      </vt:variant>
      <vt:variant>
        <vt:lpwstr/>
      </vt:variant>
      <vt:variant>
        <vt:i4>7995492</vt:i4>
      </vt:variant>
      <vt:variant>
        <vt:i4>75</vt:i4>
      </vt:variant>
      <vt:variant>
        <vt:i4>0</vt:i4>
      </vt:variant>
      <vt:variant>
        <vt:i4>5</vt:i4>
      </vt:variant>
      <vt:variant>
        <vt:lpwstr>http://www.nevo.co.il/law/70301</vt:lpwstr>
      </vt:variant>
      <vt:variant>
        <vt:lpwstr/>
      </vt:variant>
      <vt:variant>
        <vt:i4>3538995</vt:i4>
      </vt:variant>
      <vt:variant>
        <vt:i4>72</vt:i4>
      </vt:variant>
      <vt:variant>
        <vt:i4>0</vt:i4>
      </vt:variant>
      <vt:variant>
        <vt:i4>5</vt:i4>
      </vt:variant>
      <vt:variant>
        <vt:lpwstr>http://www.nevo.co.il/law/70301/fC</vt:lpwstr>
      </vt:variant>
      <vt:variant>
        <vt:lpwstr/>
      </vt:variant>
      <vt:variant>
        <vt:i4>3932272</vt:i4>
      </vt:variant>
      <vt:variant>
        <vt:i4>69</vt:i4>
      </vt:variant>
      <vt:variant>
        <vt:i4>0</vt:i4>
      </vt:variant>
      <vt:variant>
        <vt:i4>5</vt:i4>
      </vt:variant>
      <vt:variant>
        <vt:lpwstr>http://www.nevo.co.il/case/17916229</vt:lpwstr>
      </vt:variant>
      <vt:variant>
        <vt:lpwstr/>
      </vt:variant>
      <vt:variant>
        <vt:i4>7995492</vt:i4>
      </vt:variant>
      <vt:variant>
        <vt:i4>66</vt:i4>
      </vt:variant>
      <vt:variant>
        <vt:i4>0</vt:i4>
      </vt:variant>
      <vt:variant>
        <vt:i4>5</vt:i4>
      </vt:variant>
      <vt:variant>
        <vt:lpwstr>http://www.nevo.co.il/law/70301</vt:lpwstr>
      </vt:variant>
      <vt:variant>
        <vt:lpwstr/>
      </vt:variant>
      <vt:variant>
        <vt:i4>852041</vt:i4>
      </vt:variant>
      <vt:variant>
        <vt:i4>63</vt:i4>
      </vt:variant>
      <vt:variant>
        <vt:i4>0</vt:i4>
      </vt:variant>
      <vt:variant>
        <vt:i4>5</vt:i4>
      </vt:variant>
      <vt:variant>
        <vt:lpwstr>http://www.nevo.co.il/law/70301/29.a</vt:lpwstr>
      </vt:variant>
      <vt:variant>
        <vt:lpwstr/>
      </vt:variant>
      <vt:variant>
        <vt:i4>4718666</vt:i4>
      </vt:variant>
      <vt:variant>
        <vt:i4>60</vt:i4>
      </vt:variant>
      <vt:variant>
        <vt:i4>0</vt:i4>
      </vt:variant>
      <vt:variant>
        <vt:i4>5</vt:i4>
      </vt:variant>
      <vt:variant>
        <vt:lpwstr>http://www.nevo.co.il/law/4216/6</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7995492</vt:i4>
      </vt:variant>
      <vt:variant>
        <vt:i4>48</vt:i4>
      </vt:variant>
      <vt:variant>
        <vt:i4>0</vt:i4>
      </vt:variant>
      <vt:variant>
        <vt:i4>5</vt:i4>
      </vt:variant>
      <vt:variant>
        <vt:lpwstr>http://www.nevo.co.il/law/70301</vt:lpwstr>
      </vt:variant>
      <vt:variant>
        <vt:lpwstr/>
      </vt:variant>
      <vt:variant>
        <vt:i4>852041</vt:i4>
      </vt:variant>
      <vt:variant>
        <vt:i4>45</vt:i4>
      </vt:variant>
      <vt:variant>
        <vt:i4>0</vt:i4>
      </vt:variant>
      <vt:variant>
        <vt:i4>5</vt:i4>
      </vt:variant>
      <vt:variant>
        <vt:lpwstr>http://www.nevo.co.il/law/70301/29.a</vt:lpwstr>
      </vt:variant>
      <vt:variant>
        <vt:lpwstr/>
      </vt:variant>
      <vt:variant>
        <vt:i4>4718666</vt:i4>
      </vt:variant>
      <vt:variant>
        <vt:i4>42</vt:i4>
      </vt:variant>
      <vt:variant>
        <vt:i4>0</vt:i4>
      </vt:variant>
      <vt:variant>
        <vt:i4>5</vt:i4>
      </vt:variant>
      <vt:variant>
        <vt:lpwstr>http://www.nevo.co.il/law/4216/6</vt:lpwstr>
      </vt:variant>
      <vt:variant>
        <vt:lpwstr/>
      </vt:variant>
      <vt:variant>
        <vt:i4>8257637</vt:i4>
      </vt:variant>
      <vt:variant>
        <vt:i4>39</vt:i4>
      </vt:variant>
      <vt:variant>
        <vt:i4>0</vt:i4>
      </vt:variant>
      <vt:variant>
        <vt:i4>5</vt:i4>
      </vt:variant>
      <vt:variant>
        <vt:lpwstr>http://www.nevo.co.il/law/4216</vt:lpwstr>
      </vt:variant>
      <vt:variant>
        <vt:lpwstr/>
      </vt:variant>
      <vt:variant>
        <vt:i4>3014771</vt:i4>
      </vt:variant>
      <vt:variant>
        <vt:i4>36</vt:i4>
      </vt:variant>
      <vt:variant>
        <vt:i4>0</vt:i4>
      </vt:variant>
      <vt:variant>
        <vt:i4>5</vt:i4>
      </vt:variant>
      <vt:variant>
        <vt:lpwstr>http://www.nevo.co.il/law/4216/19a</vt:lpwstr>
      </vt:variant>
      <vt:variant>
        <vt:lpwstr/>
      </vt:variant>
      <vt:variant>
        <vt:i4>5177418</vt:i4>
      </vt:variant>
      <vt:variant>
        <vt:i4>33</vt:i4>
      </vt:variant>
      <vt:variant>
        <vt:i4>0</vt:i4>
      </vt:variant>
      <vt:variant>
        <vt:i4>5</vt:i4>
      </vt:variant>
      <vt:variant>
        <vt:lpwstr>http://www.nevo.co.il/law/4216/13</vt:lpwstr>
      </vt:variant>
      <vt:variant>
        <vt:lpwstr/>
      </vt:variant>
      <vt:variant>
        <vt:i4>589918</vt:i4>
      </vt:variant>
      <vt:variant>
        <vt:i4>30</vt:i4>
      </vt:variant>
      <vt:variant>
        <vt:i4>0</vt:i4>
      </vt:variant>
      <vt:variant>
        <vt:i4>5</vt:i4>
      </vt:variant>
      <vt:variant>
        <vt:lpwstr>http://www.nevo.co.il/law/74903/192a</vt:lpwstr>
      </vt:variant>
      <vt:variant>
        <vt:lpwstr/>
      </vt:variant>
      <vt:variant>
        <vt:i4>8257646</vt:i4>
      </vt:variant>
      <vt:variant>
        <vt:i4>27</vt:i4>
      </vt:variant>
      <vt:variant>
        <vt:i4>0</vt:i4>
      </vt:variant>
      <vt:variant>
        <vt:i4>5</vt:i4>
      </vt:variant>
      <vt:variant>
        <vt:lpwstr>http://www.nevo.co.il/law/74903</vt:lpwstr>
      </vt:variant>
      <vt:variant>
        <vt:lpwstr/>
      </vt:variant>
      <vt:variant>
        <vt:i4>3538995</vt:i4>
      </vt:variant>
      <vt:variant>
        <vt:i4>24</vt:i4>
      </vt:variant>
      <vt:variant>
        <vt:i4>0</vt:i4>
      </vt:variant>
      <vt:variant>
        <vt:i4>5</vt:i4>
      </vt:variant>
      <vt:variant>
        <vt:lpwstr>http://www.nevo.co.il/law/70301/fC</vt:lpwstr>
      </vt:variant>
      <vt:variant>
        <vt:lpwstr/>
      </vt:variant>
      <vt:variant>
        <vt:i4>6750306</vt:i4>
      </vt:variant>
      <vt:variant>
        <vt:i4>21</vt:i4>
      </vt:variant>
      <vt:variant>
        <vt:i4>0</vt:i4>
      </vt:variant>
      <vt:variant>
        <vt:i4>5</vt:i4>
      </vt:variant>
      <vt:variant>
        <vt:lpwstr>http://www.nevo.co.il/law/70301/71.a.b</vt:lpwstr>
      </vt:variant>
      <vt:variant>
        <vt:lpwstr/>
      </vt:variant>
      <vt:variant>
        <vt:i4>4915205</vt:i4>
      </vt:variant>
      <vt:variant>
        <vt:i4>18</vt:i4>
      </vt:variant>
      <vt:variant>
        <vt:i4>0</vt:i4>
      </vt:variant>
      <vt:variant>
        <vt:i4>5</vt:i4>
      </vt:variant>
      <vt:variant>
        <vt:lpwstr>http://www.nevo.co.il/law/70301/40d.a</vt:lpwstr>
      </vt:variant>
      <vt:variant>
        <vt:lpwstr/>
      </vt:variant>
      <vt:variant>
        <vt:i4>852041</vt:i4>
      </vt:variant>
      <vt:variant>
        <vt:i4>15</vt:i4>
      </vt:variant>
      <vt:variant>
        <vt:i4>0</vt:i4>
      </vt:variant>
      <vt:variant>
        <vt:i4>5</vt:i4>
      </vt:variant>
      <vt:variant>
        <vt:lpwstr>http://www.nevo.co.il/law/70301/29.a</vt:lpwstr>
      </vt:variant>
      <vt:variant>
        <vt:lpwstr/>
      </vt:variant>
      <vt:variant>
        <vt:i4>7995492</vt:i4>
      </vt:variant>
      <vt:variant>
        <vt:i4>12</vt:i4>
      </vt:variant>
      <vt:variant>
        <vt:i4>0</vt:i4>
      </vt:variant>
      <vt:variant>
        <vt:i4>5</vt:i4>
      </vt:variant>
      <vt:variant>
        <vt:lpwstr>http://www.nevo.co.il/law/70301</vt:lpwstr>
      </vt:variant>
      <vt:variant>
        <vt:lpwstr/>
      </vt:variant>
      <vt:variant>
        <vt:i4>3014771</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2025-04-23T00:58:00Z</dcterms:created>
  <dcterms:modified xsi:type="dcterms:W3CDTF">2025-04-23T00:58:00Z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56691</vt:lpwstr>
  </property>
  <property fmtid="{D5CDD505-2E9C-101B-9397-08002B2CF9AE}" pid="6" name="NEWPARTB">
    <vt:lpwstr>03</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בנג'מין יהושוע</vt:lpwstr>
  </property>
  <property fmtid="{D5CDD505-2E9C-101B-9397-08002B2CF9AE}" pid="10" name="LAWYER">
    <vt:lpwstr>לי מגן;נורית מעתוק</vt:lpwstr>
  </property>
  <property fmtid="{D5CDD505-2E9C-101B-9397-08002B2CF9AE}" pid="11" name="JUDGE">
    <vt:lpwstr>שוש שטרית</vt:lpwstr>
  </property>
  <property fmtid="{D5CDD505-2E9C-101B-9397-08002B2CF9AE}" pid="12" name="CITY">
    <vt:lpwstr>ב"ש</vt:lpwstr>
  </property>
  <property fmtid="{D5CDD505-2E9C-101B-9397-08002B2CF9AE}" pid="13" name="TYPE_N_DATE">
    <vt:lpwstr>38020230111</vt:lpwstr>
  </property>
  <property fmtid="{D5CDD505-2E9C-101B-9397-08002B2CF9AE}" pid="14" name="WORDNUMPAGES">
    <vt:lpwstr>10</vt:lpwstr>
  </property>
  <property fmtid="{D5CDD505-2E9C-101B-9397-08002B2CF9AE}" pid="15" name="APPELLANT1">
    <vt:lpwstr/>
  </property>
  <property fmtid="{D5CDD505-2E9C-101B-9397-08002B2CF9AE}" pid="16" name="APPELLANT2">
    <vt:lpwstr/>
  </property>
  <property fmtid="{D5CDD505-2E9C-101B-9397-08002B2CF9AE}" pid="17" name="APPELLEE1">
    <vt:lpwstr/>
  </property>
  <property fmtid="{D5CDD505-2E9C-101B-9397-08002B2CF9AE}" pid="18" name="APPELLEE2">
    <vt:lpwstr/>
  </property>
  <property fmtid="{D5CDD505-2E9C-101B-9397-08002B2CF9AE}" pid="19" name="PROCESS">
    <vt:lpwstr/>
  </property>
  <property fmtid="{D5CDD505-2E9C-101B-9397-08002B2CF9AE}" pid="20" name="PROCNUM">
    <vt:lpwstr/>
  </property>
  <property fmtid="{D5CDD505-2E9C-101B-9397-08002B2CF9AE}" pid="21" name="PROCYEAR">
    <vt:lpwstr/>
  </property>
  <property fmtid="{D5CDD505-2E9C-101B-9397-08002B2CF9AE}" pid="22" name="VOLUME">
    <vt:lpwstr/>
  </property>
  <property fmtid="{D5CDD505-2E9C-101B-9397-08002B2CF9AE}" pid="23" name="PART">
    <vt:lpwstr/>
  </property>
  <property fmtid="{D5CDD505-2E9C-101B-9397-08002B2CF9AE}" pid="24" name="PAGE">
    <vt:lpwstr/>
  </property>
  <property fmtid="{D5CDD505-2E9C-101B-9397-08002B2CF9AE}" pid="25" name="PADIMAIL">
    <vt:lpwstr>YES</vt:lpwstr>
  </property>
  <property fmtid="{D5CDD505-2E9C-101B-9397-08002B2CF9AE}" pid="26" name="DELEMATA">
    <vt:lpwstr/>
  </property>
  <property fmtid="{D5CDD505-2E9C-101B-9397-08002B2CF9AE}" pid="27" name="LINKK1">
    <vt:lpwstr/>
  </property>
  <property fmtid="{D5CDD505-2E9C-101B-9397-08002B2CF9AE}" pid="28" name="LINKK2">
    <vt:lpwstr/>
  </property>
  <property fmtid="{D5CDD505-2E9C-101B-9397-08002B2CF9AE}" pid="29" name="LINKK3">
    <vt:lpwstr/>
  </property>
  <property fmtid="{D5CDD505-2E9C-101B-9397-08002B2CF9AE}" pid="30" name="LINKK4">
    <vt:lpwstr/>
  </property>
  <property fmtid="{D5CDD505-2E9C-101B-9397-08002B2CF9AE}" pid="31" name="LINKK5">
    <vt:lpwstr/>
  </property>
  <property fmtid="{D5CDD505-2E9C-101B-9397-08002B2CF9AE}" pid="32" name="DATE">
    <vt:lpwstr>20230111</vt:lpwstr>
  </property>
  <property fmtid="{D5CDD505-2E9C-101B-9397-08002B2CF9AE}" pid="33" name="TYPE_ABS_DATE">
    <vt:lpwstr>380120230111</vt:lpwstr>
  </property>
  <property fmtid="{D5CDD505-2E9C-101B-9397-08002B2CF9AE}" pid="34" name="ISABSTRACT">
    <vt:lpwstr>Y</vt:lpwstr>
  </property>
  <property fmtid="{D5CDD505-2E9C-101B-9397-08002B2CF9AE}" pid="35" name="CASESLISTTMP1">
    <vt:lpwstr>17916229;25685411;5810781;23575417;21511777;25417769;24345651;5726579;25725793;26416772;26650854;25674287;25708829;25547676;24889194;20993184</vt:lpwstr>
  </property>
  <property fmtid="{D5CDD505-2E9C-101B-9397-08002B2CF9AE}" pid="36" name="LAWLISTTMP1">
    <vt:lpwstr>4216/013;019a;006</vt:lpwstr>
  </property>
  <property fmtid="{D5CDD505-2E9C-101B-9397-08002B2CF9AE}" pid="37" name="LAWLISTTMP2">
    <vt:lpwstr>70301/029.a;fC;071.a.b;040d.a</vt:lpwstr>
  </property>
  <property fmtid="{D5CDD505-2E9C-101B-9397-08002B2CF9AE}" pid="38" name="LAWLISTTMP3">
    <vt:lpwstr>74903/192a</vt:lpwstr>
  </property>
  <property fmtid="{D5CDD505-2E9C-101B-9397-08002B2CF9AE}" pid="39" name="NOSE1ID">
    <vt:lpwstr>77;77</vt:lpwstr>
  </property>
  <property fmtid="{D5CDD505-2E9C-101B-9397-08002B2CF9AE}" pid="40" name="NOSE2ID">
    <vt:lpwstr>1446;1446</vt:lpwstr>
  </property>
  <property fmtid="{D5CDD505-2E9C-101B-9397-08002B2CF9AE}" pid="41" name="NOSE3ID">
    <vt:lpwstr>8991;11695</vt:lpwstr>
  </property>
  <property fmtid="{D5CDD505-2E9C-101B-9397-08002B2CF9AE}" pid="42" name="NOSE11">
    <vt:lpwstr>עונשין</vt:lpwstr>
  </property>
  <property fmtid="{D5CDD505-2E9C-101B-9397-08002B2CF9AE}" pid="43" name="NOSE21">
    <vt:lpwstr>ענישה</vt:lpwstr>
  </property>
  <property fmtid="{D5CDD505-2E9C-101B-9397-08002B2CF9AE}" pid="44" name="NOSE31">
    <vt:lpwstr>מדיניות ענישה: עבירות סמים</vt:lpwstr>
  </property>
  <property fmtid="{D5CDD505-2E9C-101B-9397-08002B2CF9AE}" pid="45" name="NOSE12">
    <vt:lpwstr>עונשין</vt:lpwstr>
  </property>
  <property fmtid="{D5CDD505-2E9C-101B-9397-08002B2CF9AE}" pid="46" name="NOSE22">
    <vt:lpwstr>ענישה</vt:lpwstr>
  </property>
  <property fmtid="{D5CDD505-2E9C-101B-9397-08002B2CF9AE}" pid="47" name="NOSE32">
    <vt:lpwstr>הימנעות מהרשעה</vt:lpwstr>
  </property>
  <property fmtid="{D5CDD505-2E9C-101B-9397-08002B2CF9AE}" pid="48" name="NOSE13">
    <vt:lpwstr/>
  </property>
  <property fmtid="{D5CDD505-2E9C-101B-9397-08002B2CF9AE}" pid="49" name="NOSE23">
    <vt:lpwstr/>
  </property>
  <property fmtid="{D5CDD505-2E9C-101B-9397-08002B2CF9AE}" pid="50" name="NOSE33">
    <vt:lpwstr/>
  </property>
  <property fmtid="{D5CDD505-2E9C-101B-9397-08002B2CF9AE}" pid="51" name="NOSE14">
    <vt:lpwstr/>
  </property>
  <property fmtid="{D5CDD505-2E9C-101B-9397-08002B2CF9AE}" pid="52" name="NOSE24">
    <vt:lpwstr/>
  </property>
  <property fmtid="{D5CDD505-2E9C-101B-9397-08002B2CF9AE}" pid="53" name="NOSE34">
    <vt:lpwstr/>
  </property>
  <property fmtid="{D5CDD505-2E9C-101B-9397-08002B2CF9AE}" pid="54" name="NOSE15">
    <vt:lpwstr/>
  </property>
  <property fmtid="{D5CDD505-2E9C-101B-9397-08002B2CF9AE}" pid="55" name="NOSE25">
    <vt:lpwstr/>
  </property>
  <property fmtid="{D5CDD505-2E9C-101B-9397-08002B2CF9AE}" pid="56" name="NOSE35">
    <vt:lpwstr/>
  </property>
  <property fmtid="{D5CDD505-2E9C-101B-9397-08002B2CF9AE}" pid="57" name="NOSE16">
    <vt:lpwstr/>
  </property>
  <property fmtid="{D5CDD505-2E9C-101B-9397-08002B2CF9AE}" pid="58" name="NOSE26">
    <vt:lpwstr/>
  </property>
  <property fmtid="{D5CDD505-2E9C-101B-9397-08002B2CF9AE}" pid="59" name="NOSE36">
    <vt:lpwstr/>
  </property>
  <property fmtid="{D5CDD505-2E9C-101B-9397-08002B2CF9AE}" pid="60" name="NOSE17">
    <vt:lpwstr/>
  </property>
  <property fmtid="{D5CDD505-2E9C-101B-9397-08002B2CF9AE}" pid="61" name="NOSE27">
    <vt:lpwstr/>
  </property>
  <property fmtid="{D5CDD505-2E9C-101B-9397-08002B2CF9AE}" pid="62" name="NOSE37">
    <vt:lpwstr/>
  </property>
  <property fmtid="{D5CDD505-2E9C-101B-9397-08002B2CF9AE}" pid="63" name="NOSE18">
    <vt:lpwstr/>
  </property>
  <property fmtid="{D5CDD505-2E9C-101B-9397-08002B2CF9AE}" pid="64" name="NOSE28">
    <vt:lpwstr/>
  </property>
  <property fmtid="{D5CDD505-2E9C-101B-9397-08002B2CF9AE}" pid="65" name="NOSE38">
    <vt:lpwstr/>
  </property>
  <property fmtid="{D5CDD505-2E9C-101B-9397-08002B2CF9AE}" pid="66" name="NOSE19">
    <vt:lpwstr/>
  </property>
  <property fmtid="{D5CDD505-2E9C-101B-9397-08002B2CF9AE}" pid="67" name="NOSE29">
    <vt:lpwstr/>
  </property>
  <property fmtid="{D5CDD505-2E9C-101B-9397-08002B2CF9AE}" pid="68" name="NOSE39">
    <vt:lpwstr/>
  </property>
  <property fmtid="{D5CDD505-2E9C-101B-9397-08002B2CF9AE}" pid="69" name="NOSE110">
    <vt:lpwstr/>
  </property>
  <property fmtid="{D5CDD505-2E9C-101B-9397-08002B2CF9AE}" pid="70" name="NOSE210">
    <vt:lpwstr/>
  </property>
  <property fmtid="{D5CDD505-2E9C-101B-9397-08002B2CF9AE}" pid="71" name="NOSE310">
    <vt:lpwstr/>
  </property>
  <property fmtid="{D5CDD505-2E9C-101B-9397-08002B2CF9AE}" pid="72" name="PADIDATE">
    <vt:lpwstr>20230126</vt:lpwstr>
  </property>
  <property fmtid="{D5CDD505-2E9C-101B-9397-08002B2CF9AE}" pid="73" name="METAKZER">
    <vt:lpwstr>שירי</vt:lpwstr>
  </property>
</Properties>
</file>