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9B410E" w:rsidRPr="009D0AF3" w14:paraId="4316B8EC" w14:textId="77777777" w:rsidTr="00F0480C">
        <w:trPr>
          <w:gridAfter w:val="1"/>
          <w:wAfter w:w="99" w:type="dxa"/>
          <w:trHeight w:hRule="exact" w:val="418"/>
          <w:jc w:val="center"/>
        </w:trPr>
        <w:tc>
          <w:tcPr>
            <w:tcW w:w="8721" w:type="dxa"/>
            <w:gridSpan w:val="4"/>
          </w:tcPr>
          <w:p w14:paraId="6A330A15" w14:textId="77777777" w:rsidR="009B410E" w:rsidRPr="009D0AF3" w:rsidRDefault="009B410E" w:rsidP="006873FD">
            <w:pPr>
              <w:pStyle w:val="a3"/>
              <w:jc w:val="center"/>
              <w:rPr>
                <w:rFonts w:ascii="Tahoma" w:hAnsi="Tahoma" w:cs="Tahoma"/>
                <w:color w:val="000080"/>
                <w:rtl/>
              </w:rPr>
            </w:pPr>
            <w:bookmarkStart w:id="0" w:name="LastJudge"/>
            <w:r w:rsidRPr="009D0AF3">
              <w:rPr>
                <w:rFonts w:ascii="Tahoma" w:hAnsi="Tahoma" w:cs="Tahoma"/>
                <w:b/>
                <w:bCs/>
                <w:color w:val="000080"/>
                <w:rtl/>
              </w:rPr>
              <w:t>בית משפט השלום בקריות</w:t>
            </w:r>
          </w:p>
        </w:tc>
      </w:tr>
      <w:tr w:rsidR="009B410E" w:rsidRPr="009D0AF3" w14:paraId="466CBC2A" w14:textId="77777777" w:rsidTr="00F0480C">
        <w:trPr>
          <w:gridAfter w:val="1"/>
          <w:wAfter w:w="99" w:type="dxa"/>
          <w:trHeight w:val="337"/>
          <w:jc w:val="center"/>
        </w:trPr>
        <w:tc>
          <w:tcPr>
            <w:tcW w:w="5054" w:type="dxa"/>
            <w:gridSpan w:val="3"/>
          </w:tcPr>
          <w:p w14:paraId="59C101C9" w14:textId="77777777" w:rsidR="009B410E" w:rsidRPr="009D0AF3" w:rsidRDefault="009B410E" w:rsidP="006873FD">
            <w:pPr>
              <w:rPr>
                <w:rFonts w:cs="FrankRuehl"/>
                <w:sz w:val="28"/>
                <w:szCs w:val="28"/>
                <w:rtl/>
              </w:rPr>
            </w:pPr>
            <w:r w:rsidRPr="009D0AF3">
              <w:rPr>
                <w:rFonts w:cs="FrankRuehl"/>
                <w:sz w:val="28"/>
                <w:szCs w:val="28"/>
                <w:rtl/>
              </w:rPr>
              <w:t>ת"פ</w:t>
            </w:r>
            <w:r w:rsidRPr="009D0AF3">
              <w:rPr>
                <w:rFonts w:cs="FrankRuehl" w:hint="cs"/>
                <w:sz w:val="28"/>
                <w:szCs w:val="28"/>
                <w:rtl/>
              </w:rPr>
              <w:t xml:space="preserve"> </w:t>
            </w:r>
            <w:r w:rsidRPr="009D0AF3">
              <w:rPr>
                <w:rFonts w:cs="FrankRuehl"/>
                <w:sz w:val="28"/>
                <w:szCs w:val="28"/>
                <w:rtl/>
              </w:rPr>
              <w:t>9380-03-21</w:t>
            </w:r>
            <w:r w:rsidRPr="009D0AF3">
              <w:rPr>
                <w:rFonts w:cs="FrankRuehl" w:hint="cs"/>
                <w:sz w:val="28"/>
                <w:szCs w:val="28"/>
                <w:rtl/>
              </w:rPr>
              <w:t xml:space="preserve"> </w:t>
            </w:r>
            <w:r w:rsidRPr="009D0AF3">
              <w:rPr>
                <w:rFonts w:cs="FrankRuehl"/>
                <w:sz w:val="28"/>
                <w:szCs w:val="28"/>
                <w:rtl/>
              </w:rPr>
              <w:t>מדינת ישראל נ' גימפל</w:t>
            </w:r>
          </w:p>
          <w:p w14:paraId="5C6E63DE" w14:textId="77777777" w:rsidR="009B410E" w:rsidRPr="009D0AF3" w:rsidRDefault="009B410E" w:rsidP="006873FD">
            <w:pPr>
              <w:pStyle w:val="a3"/>
              <w:rPr>
                <w:rFonts w:cs="FrankRuehl"/>
                <w:sz w:val="28"/>
                <w:szCs w:val="28"/>
                <w:rtl/>
              </w:rPr>
            </w:pPr>
          </w:p>
        </w:tc>
        <w:tc>
          <w:tcPr>
            <w:tcW w:w="3667" w:type="dxa"/>
          </w:tcPr>
          <w:p w14:paraId="11FA326A" w14:textId="77777777" w:rsidR="009B410E" w:rsidRPr="009D0AF3" w:rsidRDefault="009B410E" w:rsidP="006873FD">
            <w:pPr>
              <w:pStyle w:val="a3"/>
              <w:jc w:val="right"/>
              <w:rPr>
                <w:rFonts w:cs="FrankRuehl"/>
                <w:sz w:val="28"/>
                <w:szCs w:val="28"/>
                <w:rtl/>
              </w:rPr>
            </w:pPr>
          </w:p>
        </w:tc>
      </w:tr>
      <w:tr w:rsidR="009B410E" w:rsidRPr="009D0AF3" w14:paraId="79EF6D12" w14:textId="77777777" w:rsidTr="00F048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47B5ED0" w14:textId="77777777" w:rsidR="009B410E" w:rsidRPr="009D0AF3" w:rsidRDefault="009B410E" w:rsidP="009B410E">
            <w:pPr>
              <w:jc w:val="both"/>
              <w:rPr>
                <w:rFonts w:ascii="David" w:hAnsi="David"/>
                <w:sz w:val="26"/>
                <w:szCs w:val="26"/>
              </w:rPr>
            </w:pPr>
            <w:r w:rsidRPr="009D0AF3">
              <w:rPr>
                <w:rFonts w:hint="cs"/>
                <w:rtl/>
              </w:rPr>
              <w:t xml:space="preserve"> </w:t>
            </w:r>
            <w:r w:rsidRPr="009D0AF3">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1BF13D50" w14:textId="77777777" w:rsidR="009B410E" w:rsidRPr="009D0AF3" w:rsidRDefault="009B410E" w:rsidP="006873FD">
            <w:pPr>
              <w:rPr>
                <w:rFonts w:ascii="David" w:hAnsi="David"/>
                <w:b/>
                <w:bCs/>
                <w:sz w:val="26"/>
                <w:szCs w:val="26"/>
                <w:rtl/>
              </w:rPr>
            </w:pPr>
            <w:r w:rsidRPr="009D0AF3">
              <w:rPr>
                <w:rFonts w:ascii="David" w:hAnsi="David"/>
                <w:b/>
                <w:bCs/>
                <w:sz w:val="26"/>
                <w:szCs w:val="26"/>
                <w:rtl/>
              </w:rPr>
              <w:t>כבוד השופטת  סימי פלג קימלוב</w:t>
            </w:r>
          </w:p>
          <w:p w14:paraId="10C9E12F" w14:textId="77777777" w:rsidR="009B410E" w:rsidRPr="009D0AF3" w:rsidRDefault="009B410E" w:rsidP="006873FD">
            <w:pPr>
              <w:rPr>
                <w:rFonts w:ascii="David" w:hAnsi="David"/>
                <w:sz w:val="26"/>
                <w:szCs w:val="26"/>
                <w:rtl/>
              </w:rPr>
            </w:pPr>
          </w:p>
          <w:p w14:paraId="2BD0879D" w14:textId="77777777" w:rsidR="009B410E" w:rsidRPr="009D0AF3" w:rsidRDefault="009B410E" w:rsidP="009B410E">
            <w:pPr>
              <w:jc w:val="both"/>
              <w:rPr>
                <w:rFonts w:ascii="David" w:hAnsi="David"/>
                <w:sz w:val="26"/>
                <w:szCs w:val="26"/>
              </w:rPr>
            </w:pPr>
          </w:p>
        </w:tc>
      </w:tr>
      <w:tr w:rsidR="009B410E" w:rsidRPr="009D0AF3" w14:paraId="69149288" w14:textId="77777777" w:rsidTr="00F048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1383FFA" w14:textId="77777777" w:rsidR="009B410E" w:rsidRPr="009D0AF3" w:rsidRDefault="009B410E" w:rsidP="009B410E">
            <w:pPr>
              <w:jc w:val="both"/>
              <w:rPr>
                <w:rFonts w:ascii="David" w:hAnsi="David"/>
                <w:sz w:val="26"/>
                <w:szCs w:val="26"/>
              </w:rPr>
            </w:pPr>
            <w:bookmarkStart w:id="1" w:name="FirstAppellant"/>
            <w:r w:rsidRPr="009D0AF3">
              <w:rPr>
                <w:rFonts w:ascii="David" w:hAnsi="David"/>
                <w:sz w:val="26"/>
                <w:szCs w:val="26"/>
                <w:rtl/>
              </w:rPr>
              <w:t>בעניין:</w:t>
            </w:r>
          </w:p>
        </w:tc>
        <w:tc>
          <w:tcPr>
            <w:tcW w:w="3219" w:type="dxa"/>
            <w:tcBorders>
              <w:top w:val="nil"/>
              <w:left w:val="nil"/>
              <w:bottom w:val="nil"/>
              <w:right w:val="nil"/>
            </w:tcBorders>
            <w:shd w:val="clear" w:color="auto" w:fill="auto"/>
          </w:tcPr>
          <w:p w14:paraId="15FB3E27" w14:textId="77777777" w:rsidR="009B410E" w:rsidRPr="009D0AF3" w:rsidRDefault="009B410E" w:rsidP="009B410E">
            <w:pPr>
              <w:suppressLineNumbers/>
            </w:pPr>
            <w:r w:rsidRPr="009D0AF3">
              <w:rPr>
                <w:rFonts w:ascii="Arial" w:hAnsi="Arial" w:hint="cs"/>
                <w:b/>
                <w:bCs/>
                <w:sz w:val="26"/>
                <w:szCs w:val="26"/>
                <w:rtl/>
              </w:rPr>
              <w:t>ה</w:t>
            </w:r>
            <w:r w:rsidRPr="009D0AF3">
              <w:rPr>
                <w:rFonts w:ascii="Arial" w:hAnsi="Arial"/>
                <w:b/>
                <w:bCs/>
                <w:sz w:val="26"/>
                <w:szCs w:val="26"/>
                <w:rtl/>
              </w:rPr>
              <w:t>מאשימה</w:t>
            </w:r>
          </w:p>
          <w:p w14:paraId="628C1A09" w14:textId="77777777" w:rsidR="009B410E" w:rsidRPr="009D0AF3" w:rsidRDefault="009B410E" w:rsidP="006873FD">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3CFAA21" w14:textId="77777777" w:rsidR="009B410E" w:rsidRPr="009D0AF3" w:rsidRDefault="009B410E" w:rsidP="009B410E">
            <w:pPr>
              <w:suppressLineNumbers/>
            </w:pPr>
            <w:r w:rsidRPr="009D0AF3">
              <w:rPr>
                <w:rFonts w:ascii="Arial" w:hAnsi="Arial"/>
                <w:b/>
                <w:bCs/>
                <w:sz w:val="26"/>
                <w:szCs w:val="26"/>
                <w:rtl/>
              </w:rPr>
              <w:t>מדינת ישראל</w:t>
            </w:r>
            <w:r w:rsidRPr="009D0AF3">
              <w:rPr>
                <w:rFonts w:ascii="Arial" w:hAnsi="Arial" w:hint="cs"/>
                <w:b/>
                <w:bCs/>
                <w:sz w:val="26"/>
                <w:szCs w:val="26"/>
                <w:rtl/>
              </w:rPr>
              <w:t xml:space="preserve"> </w:t>
            </w:r>
          </w:p>
          <w:p w14:paraId="40BE8C2E" w14:textId="77777777" w:rsidR="009B410E" w:rsidRPr="009D0AF3" w:rsidRDefault="009B410E" w:rsidP="006873FD">
            <w:pPr>
              <w:rPr>
                <w:rFonts w:ascii="David" w:hAnsi="David"/>
                <w:sz w:val="26"/>
                <w:szCs w:val="26"/>
              </w:rPr>
            </w:pPr>
          </w:p>
        </w:tc>
      </w:tr>
      <w:bookmarkEnd w:id="1"/>
      <w:tr w:rsidR="009B410E" w:rsidRPr="009D0AF3" w14:paraId="5D069E8D" w14:textId="77777777" w:rsidTr="00F048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54652BB" w14:textId="77777777" w:rsidR="009B410E" w:rsidRPr="009D0AF3" w:rsidRDefault="009B410E" w:rsidP="009B410E">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5E0BC49" w14:textId="77777777" w:rsidR="009B410E" w:rsidRPr="009D0AF3" w:rsidRDefault="009B410E" w:rsidP="009B410E">
            <w:pPr>
              <w:jc w:val="center"/>
              <w:rPr>
                <w:rFonts w:ascii="David" w:hAnsi="David"/>
                <w:b/>
                <w:bCs/>
                <w:sz w:val="26"/>
                <w:szCs w:val="26"/>
                <w:rtl/>
              </w:rPr>
            </w:pPr>
          </w:p>
          <w:p w14:paraId="19A3E2A9" w14:textId="77777777" w:rsidR="009B410E" w:rsidRPr="009D0AF3" w:rsidRDefault="009B410E" w:rsidP="009B410E">
            <w:pPr>
              <w:jc w:val="center"/>
              <w:rPr>
                <w:rFonts w:ascii="David" w:hAnsi="David"/>
                <w:b/>
                <w:bCs/>
                <w:sz w:val="26"/>
                <w:szCs w:val="26"/>
                <w:rtl/>
              </w:rPr>
            </w:pPr>
            <w:r w:rsidRPr="009D0AF3">
              <w:rPr>
                <w:rFonts w:ascii="David" w:hAnsi="David"/>
                <w:b/>
                <w:bCs/>
                <w:sz w:val="26"/>
                <w:szCs w:val="26"/>
                <w:rtl/>
              </w:rPr>
              <w:t>נגד</w:t>
            </w:r>
          </w:p>
          <w:p w14:paraId="3F3B3254" w14:textId="77777777" w:rsidR="009B410E" w:rsidRPr="009D0AF3" w:rsidRDefault="009B410E" w:rsidP="009B410E">
            <w:pPr>
              <w:jc w:val="both"/>
              <w:rPr>
                <w:rFonts w:ascii="David" w:hAnsi="David"/>
                <w:sz w:val="26"/>
                <w:szCs w:val="26"/>
              </w:rPr>
            </w:pPr>
          </w:p>
        </w:tc>
      </w:tr>
      <w:tr w:rsidR="009B410E" w:rsidRPr="009D0AF3" w14:paraId="310C5203" w14:textId="77777777" w:rsidTr="00F048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1FD5F7D" w14:textId="77777777" w:rsidR="009B410E" w:rsidRPr="009D0AF3" w:rsidRDefault="009B410E" w:rsidP="006873FD">
            <w:pPr>
              <w:rPr>
                <w:rFonts w:ascii="David" w:hAnsi="David"/>
                <w:sz w:val="26"/>
                <w:szCs w:val="26"/>
                <w:rtl/>
              </w:rPr>
            </w:pPr>
          </w:p>
        </w:tc>
        <w:tc>
          <w:tcPr>
            <w:tcW w:w="3219" w:type="dxa"/>
            <w:tcBorders>
              <w:top w:val="nil"/>
              <w:left w:val="nil"/>
              <w:bottom w:val="nil"/>
              <w:right w:val="nil"/>
            </w:tcBorders>
            <w:shd w:val="clear" w:color="auto" w:fill="auto"/>
          </w:tcPr>
          <w:p w14:paraId="50451733" w14:textId="77777777" w:rsidR="009B410E" w:rsidRPr="009D0AF3" w:rsidRDefault="009B410E" w:rsidP="006873FD">
            <w:pPr>
              <w:rPr>
                <w:rFonts w:ascii="Arial" w:hAnsi="Arial"/>
                <w:b/>
                <w:bCs/>
                <w:sz w:val="26"/>
                <w:szCs w:val="26"/>
                <w:rtl/>
              </w:rPr>
            </w:pPr>
            <w:r w:rsidRPr="009D0AF3">
              <w:rPr>
                <w:rFonts w:ascii="Arial" w:hAnsi="Arial"/>
                <w:b/>
                <w:bCs/>
                <w:sz w:val="26"/>
                <w:szCs w:val="26"/>
                <w:rtl/>
              </w:rPr>
              <w:t>הנאשמ</w:t>
            </w:r>
            <w:r w:rsidRPr="009D0AF3">
              <w:rPr>
                <w:rFonts w:ascii="Arial" w:hAnsi="Arial" w:hint="cs"/>
                <w:b/>
                <w:bCs/>
                <w:sz w:val="26"/>
                <w:szCs w:val="26"/>
                <w:rtl/>
              </w:rPr>
              <w:t>ת</w:t>
            </w:r>
          </w:p>
        </w:tc>
        <w:tc>
          <w:tcPr>
            <w:tcW w:w="4678" w:type="dxa"/>
            <w:gridSpan w:val="3"/>
            <w:tcBorders>
              <w:top w:val="nil"/>
              <w:left w:val="nil"/>
              <w:bottom w:val="nil"/>
              <w:right w:val="nil"/>
            </w:tcBorders>
            <w:shd w:val="clear" w:color="auto" w:fill="auto"/>
            <w:vAlign w:val="center"/>
          </w:tcPr>
          <w:p w14:paraId="0597E2BC" w14:textId="77777777" w:rsidR="009B410E" w:rsidRPr="009D0AF3" w:rsidRDefault="009B410E" w:rsidP="009B410E">
            <w:pPr>
              <w:suppressLineNumbers/>
            </w:pPr>
            <w:r w:rsidRPr="009D0AF3">
              <w:rPr>
                <w:rFonts w:ascii="Arial" w:hAnsi="Arial"/>
                <w:b/>
                <w:bCs/>
                <w:sz w:val="26"/>
                <w:szCs w:val="26"/>
                <w:rtl/>
              </w:rPr>
              <w:t>ימית גימפל</w:t>
            </w:r>
            <w:r w:rsidRPr="009D0AF3">
              <w:rPr>
                <w:rFonts w:ascii="Arial" w:hAnsi="Arial" w:hint="cs"/>
                <w:b/>
                <w:bCs/>
                <w:sz w:val="26"/>
                <w:szCs w:val="26"/>
                <w:rtl/>
              </w:rPr>
              <w:t xml:space="preserve"> </w:t>
            </w:r>
          </w:p>
          <w:p w14:paraId="2EE20CA8" w14:textId="77777777" w:rsidR="009B410E" w:rsidRPr="009D0AF3" w:rsidRDefault="009B410E" w:rsidP="006873FD">
            <w:pPr>
              <w:rPr>
                <w:rFonts w:ascii="David" w:hAnsi="David"/>
                <w:sz w:val="26"/>
                <w:szCs w:val="26"/>
              </w:rPr>
            </w:pPr>
          </w:p>
        </w:tc>
      </w:tr>
    </w:tbl>
    <w:p w14:paraId="40B313C8" w14:textId="77777777" w:rsidR="00F0480C" w:rsidRDefault="00F0480C" w:rsidP="009D0AF3">
      <w:pPr>
        <w:rPr>
          <w:sz w:val="26"/>
          <w:szCs w:val="26"/>
          <w:rtl/>
        </w:rPr>
      </w:pPr>
    </w:p>
    <w:p w14:paraId="310ABF91" w14:textId="77777777" w:rsidR="00F0480C" w:rsidRPr="00F0480C" w:rsidRDefault="00F0480C" w:rsidP="00F0480C">
      <w:pPr>
        <w:spacing w:after="120" w:line="240" w:lineRule="exact"/>
        <w:ind w:left="283" w:hanging="283"/>
        <w:jc w:val="both"/>
        <w:rPr>
          <w:rFonts w:ascii="FrankRuehl" w:hAnsi="FrankRuehl" w:cs="FrankRuehl"/>
          <w:rtl/>
        </w:rPr>
      </w:pPr>
    </w:p>
    <w:p w14:paraId="0463E456" w14:textId="77777777" w:rsidR="009A2A59" w:rsidRPr="009A2A59" w:rsidRDefault="009A2A59" w:rsidP="009A2A59">
      <w:pPr>
        <w:spacing w:before="120" w:after="120" w:line="240" w:lineRule="exact"/>
        <w:ind w:left="283" w:hanging="283"/>
        <w:jc w:val="both"/>
        <w:rPr>
          <w:rFonts w:ascii="FrankRuehl" w:hAnsi="FrankRuehl" w:cs="FrankRuehl"/>
          <w:rtl/>
        </w:rPr>
      </w:pPr>
    </w:p>
    <w:p w14:paraId="073B75BC" w14:textId="77777777" w:rsidR="003C67A6" w:rsidRDefault="003C67A6" w:rsidP="003C67A6">
      <w:pPr>
        <w:rPr>
          <w:sz w:val="26"/>
          <w:szCs w:val="26"/>
          <w:rtl/>
        </w:rPr>
      </w:pPr>
      <w:bookmarkStart w:id="2" w:name="LawTable"/>
      <w:bookmarkEnd w:id="2"/>
    </w:p>
    <w:p w14:paraId="0F207382" w14:textId="77777777" w:rsidR="003C67A6" w:rsidRPr="003C67A6" w:rsidRDefault="003C67A6" w:rsidP="003C67A6">
      <w:pPr>
        <w:spacing w:before="120" w:after="120" w:line="240" w:lineRule="exact"/>
        <w:ind w:left="283" w:hanging="283"/>
        <w:jc w:val="both"/>
        <w:rPr>
          <w:rFonts w:ascii="FrankRuehl" w:hAnsi="FrankRuehl" w:cs="FrankRuehl"/>
          <w:rtl/>
        </w:rPr>
      </w:pPr>
    </w:p>
    <w:p w14:paraId="6AFBFD45" w14:textId="77777777" w:rsidR="003C67A6" w:rsidRPr="003C67A6" w:rsidRDefault="003C67A6" w:rsidP="003C67A6">
      <w:pPr>
        <w:spacing w:before="120" w:after="120" w:line="240" w:lineRule="exact"/>
        <w:ind w:left="283" w:hanging="283"/>
        <w:jc w:val="both"/>
        <w:rPr>
          <w:rFonts w:ascii="FrankRuehl" w:hAnsi="FrankRuehl" w:cs="FrankRuehl"/>
          <w:rtl/>
        </w:rPr>
      </w:pPr>
    </w:p>
    <w:p w14:paraId="60301F00" w14:textId="77777777" w:rsidR="003C67A6" w:rsidRPr="003C67A6" w:rsidRDefault="003C67A6" w:rsidP="003C67A6">
      <w:pPr>
        <w:spacing w:before="120" w:after="120" w:line="240" w:lineRule="exact"/>
        <w:ind w:left="283" w:hanging="283"/>
        <w:jc w:val="both"/>
        <w:rPr>
          <w:rFonts w:ascii="FrankRuehl" w:hAnsi="FrankRuehl" w:cs="FrankRuehl"/>
          <w:rtl/>
        </w:rPr>
      </w:pPr>
      <w:r w:rsidRPr="003C67A6">
        <w:rPr>
          <w:rFonts w:ascii="FrankRuehl" w:hAnsi="FrankRuehl" w:cs="FrankRuehl"/>
          <w:rtl/>
        </w:rPr>
        <w:t xml:space="preserve">חקיקה שאוזכרה: </w:t>
      </w:r>
    </w:p>
    <w:p w14:paraId="3122223C" w14:textId="77777777" w:rsidR="003C67A6" w:rsidRPr="003C67A6" w:rsidRDefault="003C67A6" w:rsidP="003C67A6">
      <w:pPr>
        <w:spacing w:before="120" w:after="120" w:line="240" w:lineRule="exact"/>
        <w:ind w:left="283" w:hanging="283"/>
        <w:jc w:val="both"/>
        <w:rPr>
          <w:rFonts w:ascii="FrankRuehl" w:hAnsi="FrankRuehl" w:cs="FrankRuehl"/>
          <w:rtl/>
        </w:rPr>
      </w:pPr>
      <w:hyperlink r:id="rId7" w:history="1">
        <w:r w:rsidRPr="003C67A6">
          <w:rPr>
            <w:rFonts w:ascii="FrankRuehl" w:hAnsi="FrankRuehl" w:cs="FrankRuehl"/>
            <w:color w:val="0000FF"/>
            <w:rtl/>
          </w:rPr>
          <w:t>פקודת הסמים המסוכנים [נוסח חדש], תשל"ג-1973</w:t>
        </w:r>
      </w:hyperlink>
      <w:r w:rsidRPr="003C67A6">
        <w:rPr>
          <w:rFonts w:ascii="FrankRuehl" w:hAnsi="FrankRuehl" w:cs="FrankRuehl"/>
          <w:rtl/>
        </w:rPr>
        <w:t xml:space="preserve">: סע'  </w:t>
      </w:r>
      <w:hyperlink r:id="rId8" w:history="1">
        <w:r w:rsidRPr="003C67A6">
          <w:rPr>
            <w:rFonts w:ascii="FrankRuehl" w:hAnsi="FrankRuehl" w:cs="FrankRuehl"/>
            <w:color w:val="0000FF"/>
            <w:rtl/>
          </w:rPr>
          <w:t>6</w:t>
        </w:r>
      </w:hyperlink>
      <w:r w:rsidRPr="003C67A6">
        <w:rPr>
          <w:rFonts w:ascii="FrankRuehl" w:hAnsi="FrankRuehl" w:cs="FrankRuehl"/>
          <w:rtl/>
        </w:rPr>
        <w:t xml:space="preserve">, </w:t>
      </w:r>
      <w:hyperlink r:id="rId9" w:history="1">
        <w:r w:rsidRPr="003C67A6">
          <w:rPr>
            <w:rFonts w:ascii="FrankRuehl" w:hAnsi="FrankRuehl" w:cs="FrankRuehl"/>
            <w:color w:val="0000FF"/>
            <w:rtl/>
          </w:rPr>
          <w:t>10</w:t>
        </w:r>
      </w:hyperlink>
    </w:p>
    <w:p w14:paraId="05882C78" w14:textId="77777777" w:rsidR="003C67A6" w:rsidRPr="003C67A6" w:rsidRDefault="003C67A6" w:rsidP="003C67A6">
      <w:pPr>
        <w:spacing w:before="120" w:after="120" w:line="240" w:lineRule="exact"/>
        <w:ind w:left="283" w:hanging="283"/>
        <w:jc w:val="both"/>
        <w:rPr>
          <w:rFonts w:ascii="FrankRuehl" w:hAnsi="FrankRuehl" w:cs="FrankRuehl"/>
          <w:rtl/>
        </w:rPr>
      </w:pPr>
      <w:hyperlink r:id="rId10" w:history="1">
        <w:r w:rsidRPr="003C67A6">
          <w:rPr>
            <w:rFonts w:ascii="FrankRuehl" w:hAnsi="FrankRuehl" w:cs="FrankRuehl"/>
            <w:color w:val="0000FF"/>
            <w:rtl/>
          </w:rPr>
          <w:t>חוק העונשין, תשל"ז-1977</w:t>
        </w:r>
      </w:hyperlink>
      <w:r w:rsidRPr="003C67A6">
        <w:rPr>
          <w:rFonts w:ascii="FrankRuehl" w:hAnsi="FrankRuehl" w:cs="FrankRuehl"/>
          <w:rtl/>
        </w:rPr>
        <w:t xml:space="preserve">: סע'  </w:t>
      </w:r>
      <w:hyperlink r:id="rId11" w:history="1">
        <w:r w:rsidRPr="003C67A6">
          <w:rPr>
            <w:rFonts w:ascii="FrankRuehl" w:hAnsi="FrankRuehl" w:cs="FrankRuehl"/>
            <w:color w:val="0000FF"/>
            <w:rtl/>
          </w:rPr>
          <w:t>40ד'</w:t>
        </w:r>
      </w:hyperlink>
    </w:p>
    <w:p w14:paraId="541EB4CF" w14:textId="77777777" w:rsidR="003C67A6" w:rsidRPr="003C67A6" w:rsidRDefault="003C67A6" w:rsidP="003C67A6">
      <w:pPr>
        <w:rPr>
          <w:sz w:val="26"/>
          <w:szCs w:val="26"/>
          <w:rtl/>
        </w:rPr>
      </w:pPr>
      <w:bookmarkStart w:id="3" w:name="LawTable_End"/>
      <w:bookmarkEnd w:id="3"/>
    </w:p>
    <w:p w14:paraId="390B5266" w14:textId="77777777" w:rsidR="009B410E" w:rsidRPr="009A2A59" w:rsidRDefault="009B410E" w:rsidP="009A2A5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B410E" w14:paraId="1D1F945E" w14:textId="77777777" w:rsidTr="009B410E">
        <w:trPr>
          <w:trHeight w:val="355"/>
          <w:jc w:val="center"/>
        </w:trPr>
        <w:tc>
          <w:tcPr>
            <w:tcW w:w="8820" w:type="dxa"/>
            <w:tcBorders>
              <w:top w:val="nil"/>
              <w:left w:val="nil"/>
              <w:bottom w:val="nil"/>
              <w:right w:val="nil"/>
            </w:tcBorders>
            <w:shd w:val="clear" w:color="auto" w:fill="auto"/>
          </w:tcPr>
          <w:p w14:paraId="0264EDCC" w14:textId="77777777" w:rsidR="009D0AF3" w:rsidRPr="009D0AF3" w:rsidRDefault="009D0AF3" w:rsidP="009D0AF3">
            <w:pPr>
              <w:jc w:val="center"/>
              <w:rPr>
                <w:rFonts w:ascii="David" w:hAnsi="David"/>
                <w:b/>
                <w:bCs/>
                <w:sz w:val="32"/>
                <w:szCs w:val="32"/>
                <w:u w:val="single"/>
                <w:rtl/>
              </w:rPr>
            </w:pPr>
            <w:bookmarkStart w:id="4" w:name="PsakDin" w:colFirst="0" w:colLast="0"/>
            <w:bookmarkEnd w:id="0"/>
            <w:r w:rsidRPr="009D0AF3">
              <w:rPr>
                <w:rFonts w:ascii="David" w:hAnsi="David"/>
                <w:b/>
                <w:bCs/>
                <w:sz w:val="32"/>
                <w:szCs w:val="32"/>
                <w:u w:val="single"/>
                <w:rtl/>
              </w:rPr>
              <w:t>גזר דין</w:t>
            </w:r>
          </w:p>
          <w:p w14:paraId="75035D4F" w14:textId="77777777" w:rsidR="009B410E" w:rsidRPr="009D0AF3" w:rsidRDefault="009B410E" w:rsidP="009D0AF3">
            <w:pPr>
              <w:jc w:val="center"/>
              <w:rPr>
                <w:rFonts w:ascii="David" w:hAnsi="David"/>
                <w:bCs/>
                <w:sz w:val="32"/>
                <w:szCs w:val="32"/>
                <w:u w:val="single"/>
                <w:rtl/>
              </w:rPr>
            </w:pPr>
          </w:p>
        </w:tc>
      </w:tr>
    </w:tbl>
    <w:bookmarkEnd w:id="4"/>
    <w:p w14:paraId="5F8B9D82" w14:textId="77777777" w:rsidR="009B410E" w:rsidRPr="00090982" w:rsidRDefault="009B410E" w:rsidP="009B410E">
      <w:pPr>
        <w:spacing w:line="360" w:lineRule="auto"/>
        <w:jc w:val="both"/>
        <w:rPr>
          <w:rFonts w:ascii="Arial" w:hAnsi="Arial"/>
          <w:b/>
          <w:bCs/>
          <w:u w:val="single"/>
          <w:rtl/>
        </w:rPr>
      </w:pPr>
      <w:r>
        <w:rPr>
          <w:rFonts w:ascii="Arial" w:hAnsi="Arial"/>
          <w:b/>
          <w:bCs/>
          <w:sz w:val="26"/>
          <w:szCs w:val="26"/>
          <w:rtl/>
        </w:rPr>
        <w:tab/>
      </w:r>
      <w:r w:rsidRPr="00090982">
        <w:rPr>
          <w:rFonts w:ascii="Arial" w:hAnsi="Arial" w:hint="cs"/>
          <w:b/>
          <w:bCs/>
          <w:u w:val="single"/>
          <w:rtl/>
        </w:rPr>
        <w:t xml:space="preserve">כתב האישום </w:t>
      </w:r>
    </w:p>
    <w:p w14:paraId="0A266962" w14:textId="77777777" w:rsidR="009B410E" w:rsidRDefault="009B410E" w:rsidP="009B410E">
      <w:pPr>
        <w:pStyle w:val="a9"/>
        <w:numPr>
          <w:ilvl w:val="0"/>
          <w:numId w:val="1"/>
        </w:numPr>
        <w:spacing w:line="360" w:lineRule="auto"/>
        <w:jc w:val="both"/>
        <w:rPr>
          <w:rFonts w:ascii="Arial" w:hAnsi="Arial"/>
        </w:rPr>
      </w:pPr>
      <w:bookmarkStart w:id="5" w:name="ABSTRACT_START"/>
      <w:bookmarkEnd w:id="5"/>
      <w:r>
        <w:rPr>
          <w:rFonts w:ascii="Arial" w:hAnsi="Arial" w:hint="cs"/>
          <w:rtl/>
        </w:rPr>
        <w:t xml:space="preserve">הנאשמת הורשעה על פי הודאתה בעובדות כתב האישום בעבירות של גידול יצור הכנת סמים מסוכנים </w:t>
      </w:r>
      <w:r>
        <w:rPr>
          <w:rFonts w:ascii="Arial" w:hAnsi="Arial"/>
          <w:rtl/>
        </w:rPr>
        <w:t>–</w:t>
      </w:r>
      <w:r>
        <w:rPr>
          <w:rFonts w:ascii="Arial" w:hAnsi="Arial" w:hint="cs"/>
          <w:rtl/>
        </w:rPr>
        <w:t xml:space="preserve"> עבירה לפי </w:t>
      </w:r>
      <w:hyperlink r:id="rId12" w:history="1">
        <w:r w:rsidR="00F0480C" w:rsidRPr="00F0480C">
          <w:rPr>
            <w:rStyle w:val="Hyperlink"/>
            <w:rFonts w:ascii="Arial" w:hAnsi="Arial" w:hint="eastAsia"/>
            <w:rtl/>
          </w:rPr>
          <w:t>סעיף</w:t>
        </w:r>
        <w:r w:rsidR="00F0480C" w:rsidRPr="00F0480C">
          <w:rPr>
            <w:rStyle w:val="Hyperlink"/>
            <w:rFonts w:ascii="Arial" w:hAnsi="Arial"/>
            <w:rtl/>
          </w:rPr>
          <w:t xml:space="preserve"> 6</w:t>
        </w:r>
      </w:hyperlink>
      <w:r>
        <w:rPr>
          <w:rFonts w:ascii="Arial" w:hAnsi="Arial" w:hint="cs"/>
          <w:rtl/>
        </w:rPr>
        <w:t xml:space="preserve"> ל</w:t>
      </w:r>
      <w:hyperlink r:id="rId13" w:history="1">
        <w:r w:rsidR="009D0AF3" w:rsidRPr="009D0AF3">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w:t>
      </w:r>
      <w:r w:rsidRPr="00B26D99">
        <w:rPr>
          <w:rFonts w:ascii="Arial" w:hAnsi="Arial" w:hint="cs"/>
          <w:b/>
          <w:bCs/>
          <w:rtl/>
        </w:rPr>
        <w:t>(להלן:</w:t>
      </w:r>
      <w:r>
        <w:rPr>
          <w:rFonts w:ascii="Arial" w:hAnsi="Arial" w:hint="cs"/>
          <w:rtl/>
        </w:rPr>
        <w:t xml:space="preserve"> </w:t>
      </w:r>
      <w:r w:rsidRPr="00B26D99">
        <w:rPr>
          <w:rFonts w:ascii="Arial" w:hAnsi="Arial" w:hint="cs"/>
          <w:b/>
          <w:bCs/>
          <w:rtl/>
        </w:rPr>
        <w:t>"פקודת הסמים")</w:t>
      </w:r>
      <w:r>
        <w:rPr>
          <w:rFonts w:ascii="Arial" w:hAnsi="Arial" w:hint="cs"/>
          <w:rtl/>
        </w:rPr>
        <w:t xml:space="preserve"> ועבירה של החזקה כלים להכנת סם שלא לצריכה עצמית </w:t>
      </w:r>
      <w:r>
        <w:rPr>
          <w:rFonts w:ascii="Arial" w:hAnsi="Arial"/>
          <w:rtl/>
        </w:rPr>
        <w:t>–</w:t>
      </w:r>
      <w:r>
        <w:rPr>
          <w:rFonts w:ascii="Arial" w:hAnsi="Arial" w:hint="cs"/>
          <w:rtl/>
        </w:rPr>
        <w:t xml:space="preserve"> עבירה לפי </w:t>
      </w:r>
      <w:hyperlink r:id="rId14" w:history="1">
        <w:r w:rsidR="00F0480C" w:rsidRPr="00F0480C">
          <w:rPr>
            <w:rStyle w:val="Hyperlink"/>
            <w:rFonts w:ascii="Arial" w:hAnsi="Arial" w:hint="eastAsia"/>
            <w:rtl/>
          </w:rPr>
          <w:t>סעיף</w:t>
        </w:r>
        <w:r w:rsidR="00F0480C" w:rsidRPr="00F0480C">
          <w:rPr>
            <w:rStyle w:val="Hyperlink"/>
            <w:rFonts w:ascii="Arial" w:hAnsi="Arial"/>
            <w:rtl/>
          </w:rPr>
          <w:t xml:space="preserve"> 10</w:t>
        </w:r>
      </w:hyperlink>
      <w:r>
        <w:rPr>
          <w:rFonts w:ascii="Arial" w:hAnsi="Arial" w:hint="cs"/>
          <w:rtl/>
        </w:rPr>
        <w:t xml:space="preserve"> רישא לפקודת הסמים . </w:t>
      </w:r>
    </w:p>
    <w:p w14:paraId="7EA59051" w14:textId="77777777" w:rsidR="009B410E" w:rsidRDefault="009B410E" w:rsidP="009B410E">
      <w:pPr>
        <w:pStyle w:val="a9"/>
        <w:spacing w:line="360" w:lineRule="auto"/>
        <w:jc w:val="both"/>
        <w:rPr>
          <w:rFonts w:ascii="Arial" w:hAnsi="Arial"/>
        </w:rPr>
      </w:pPr>
    </w:p>
    <w:p w14:paraId="309E6AB6" w14:textId="77777777" w:rsidR="009B410E" w:rsidRDefault="009B410E" w:rsidP="009B410E">
      <w:pPr>
        <w:pStyle w:val="a9"/>
        <w:numPr>
          <w:ilvl w:val="0"/>
          <w:numId w:val="1"/>
        </w:numPr>
        <w:spacing w:line="360" w:lineRule="auto"/>
        <w:jc w:val="both"/>
        <w:rPr>
          <w:rFonts w:ascii="Arial" w:hAnsi="Arial"/>
        </w:rPr>
      </w:pPr>
      <w:bookmarkStart w:id="6" w:name="ABSTRACT_END"/>
      <w:bookmarkEnd w:id="6"/>
      <w:r>
        <w:rPr>
          <w:rFonts w:ascii="Arial" w:hAnsi="Arial" w:hint="cs"/>
          <w:rtl/>
        </w:rPr>
        <w:t xml:space="preserve">על פי עובדות כתב האישום עובר למועד הרלוונטי לכתב האישום שכרה הנאשמת דירה בקריית חיים שאותה ייעדה לצורך הקמת מספר מעבדות לגידול שתילי סם מסוכן מסוג קנבוס. בתאריך 1.3.21 בשעה 11:30 או בסמוך לכך גידלה הנאשמת 68 שתילים של סם מסוכן מסוג קנבוס במשקל 14.02 ק"ג נטו כמפורט להלן: במטבח הדירה 48 שתילים, בחדר השינה 16 שתילים ובחדר נוסף 4 שתילים . במעמד זה החזיקה הנאשמת במעבדות בכלים המשמשים לגידול הסמים באופן שסיפקו תנאי גידול וצמיחה בדמות 3 אוהלים, מתקן </w:t>
      </w:r>
      <w:r>
        <w:rPr>
          <w:rFonts w:ascii="Arial" w:hAnsi="Arial" w:hint="cs"/>
          <w:rtl/>
        </w:rPr>
        <w:lastRenderedPageBreak/>
        <w:t xml:space="preserve">לייבוש, אדניות, מיכל דישון, מערכת אוורור הכוללת שני מפוחים עם צינורות, מאורר רצפתי, 2 נורות לד, 6 נורות המחוברות יחדיו, 2 שנאים ומד טמפרטורה. </w:t>
      </w:r>
    </w:p>
    <w:p w14:paraId="4870A88D" w14:textId="77777777" w:rsidR="009B410E" w:rsidRPr="00B26D99" w:rsidRDefault="009B410E" w:rsidP="009B410E">
      <w:pPr>
        <w:pStyle w:val="a9"/>
        <w:rPr>
          <w:rFonts w:ascii="Arial" w:hAnsi="Arial"/>
          <w:rtl/>
        </w:rPr>
      </w:pPr>
    </w:p>
    <w:p w14:paraId="24FEFA4C" w14:textId="77777777" w:rsidR="009B410E" w:rsidRDefault="009B410E" w:rsidP="009B410E">
      <w:pPr>
        <w:pStyle w:val="a9"/>
        <w:numPr>
          <w:ilvl w:val="0"/>
          <w:numId w:val="1"/>
        </w:numPr>
        <w:spacing w:line="360" w:lineRule="auto"/>
        <w:jc w:val="both"/>
        <w:rPr>
          <w:rFonts w:ascii="Arial" w:hAnsi="Arial"/>
        </w:rPr>
      </w:pPr>
      <w:r>
        <w:rPr>
          <w:rFonts w:ascii="Arial" w:hAnsi="Arial" w:hint="cs"/>
          <w:rtl/>
        </w:rPr>
        <w:t xml:space="preserve">הנאשמת הופנתה לאחר הרשעתה לקבלת תסקיר של שירות המבחן. </w:t>
      </w:r>
    </w:p>
    <w:p w14:paraId="64D4FD9D" w14:textId="77777777" w:rsidR="009B410E" w:rsidRPr="00B26D99" w:rsidRDefault="009B410E" w:rsidP="009B410E">
      <w:pPr>
        <w:pStyle w:val="a9"/>
        <w:rPr>
          <w:rFonts w:ascii="Arial" w:hAnsi="Arial"/>
          <w:rtl/>
        </w:rPr>
      </w:pPr>
    </w:p>
    <w:p w14:paraId="5A125F3A" w14:textId="77777777" w:rsidR="009B410E" w:rsidRPr="00B26D99" w:rsidRDefault="009B410E" w:rsidP="009B410E">
      <w:pPr>
        <w:pStyle w:val="a9"/>
        <w:spacing w:line="360" w:lineRule="auto"/>
        <w:jc w:val="both"/>
        <w:rPr>
          <w:rFonts w:ascii="Arial" w:hAnsi="Arial"/>
          <w:b/>
          <w:bCs/>
          <w:u w:val="single"/>
        </w:rPr>
      </w:pPr>
      <w:r w:rsidRPr="00B26D99">
        <w:rPr>
          <w:rFonts w:ascii="Arial" w:hAnsi="Arial" w:hint="cs"/>
          <w:b/>
          <w:bCs/>
          <w:u w:val="single"/>
          <w:rtl/>
        </w:rPr>
        <w:t>תסקירי שירות המבחן</w:t>
      </w:r>
    </w:p>
    <w:p w14:paraId="0DDC2331" w14:textId="77777777" w:rsidR="009B410E" w:rsidRPr="00B26D99" w:rsidRDefault="009B410E" w:rsidP="009B410E">
      <w:pPr>
        <w:pStyle w:val="a9"/>
        <w:rPr>
          <w:rFonts w:ascii="Arial" w:hAnsi="Arial"/>
          <w:b/>
          <w:bCs/>
          <w:u w:val="single"/>
          <w:rtl/>
        </w:rPr>
      </w:pPr>
    </w:p>
    <w:p w14:paraId="513ED096" w14:textId="77777777" w:rsidR="009B410E" w:rsidRDefault="009B410E" w:rsidP="009B410E">
      <w:pPr>
        <w:pStyle w:val="a9"/>
        <w:numPr>
          <w:ilvl w:val="0"/>
          <w:numId w:val="1"/>
        </w:numPr>
        <w:spacing w:line="360" w:lineRule="auto"/>
        <w:jc w:val="both"/>
        <w:rPr>
          <w:rFonts w:ascii="Arial" w:hAnsi="Arial"/>
        </w:rPr>
      </w:pPr>
      <w:r>
        <w:rPr>
          <w:rFonts w:ascii="Arial" w:hAnsi="Arial" w:hint="cs"/>
          <w:rtl/>
        </w:rPr>
        <w:t xml:space="preserve">בתחילה התבקש שירות המבחן להתייחס להתאמתה של הנאשמת להליך טיפולי בבית המשפט הקהילתי. שירות המבחן ציין בתסקיר זה כי מדובר בנאשמת, בת 34 רווקה הנמצאת במעצר בית בבית הוריה ומאז מעצרה אינה עובדת. טרם מעצרה של הנאשם עבדה כקניינית רכש אסטרטגית בחברת הייטק. בתחילת שנות ה- 20 לחייה החלה לימודי אדריכלות במכללת "ויצו" בחיפה אולם פרשה לאחר שנה ונרשמה ללימודי תואר ראשון במדעי ההתנהגות במכללת "עמק יזרעאל" שם סיימה את לימודיה. בנוגע לשימוש בסמים, הנאשמת ציינה כי התנסתה לראשונה בקנאביס בטיול לאחר הצבא וכי בשנים האחרונות פיתחה תלות. לדבריה לא התנסתה בסמים אחרים. לדברי הנאשמת מאז מעצרה הפסיקה את השימוש בקנאביס ושלוש בדיקות שתן אותן ביצעה במסגרת שירות המבחן העידו על ניקיון משימוש בחומרים ממכרים. לאור הרקע ההתמכרותי המתואר הנאשמת החלה בחודש מאי 2021 הליך אבחון במסגרת היחידה לטיפול בהתמכרויות בקרית ביאליק, בהתאם להפנייתה בהליך המעצר. הנאשמת ביטאה שביעות רצון מהקשר עם המטפלת לצד נכונות להמשיך ולהעמיק את בחינת מאפייניה בהיבט הרגשי והתנהגותי. בהתייחסה להליך הנוכחי הנאשמת לוקחת אחריות על התנהגותה ומגיליון רישומה הפלילי עולה כי אין לה הרשעות קודמות. שירות המבחן ציין בתסקיר שלאור ערכת סיכון נמוכה להישנות עבירות וכן מיעוט צרכים הוא סבור כי הנאשמת אינה מתאימה להליך בית המשפט הקהילתי אך המליץ לשקול הפנייתה במסגרת שירות המבחן. </w:t>
      </w:r>
    </w:p>
    <w:p w14:paraId="71D4F6C3" w14:textId="77777777" w:rsidR="009B410E" w:rsidRDefault="009B410E" w:rsidP="009B410E">
      <w:pPr>
        <w:pStyle w:val="a9"/>
        <w:spacing w:line="360" w:lineRule="auto"/>
        <w:jc w:val="both"/>
        <w:rPr>
          <w:rFonts w:ascii="Arial" w:hAnsi="Arial"/>
        </w:rPr>
      </w:pPr>
    </w:p>
    <w:p w14:paraId="120B82BD" w14:textId="77777777" w:rsidR="009B410E" w:rsidRDefault="009B410E" w:rsidP="009B410E">
      <w:pPr>
        <w:pStyle w:val="a9"/>
        <w:numPr>
          <w:ilvl w:val="0"/>
          <w:numId w:val="1"/>
        </w:numPr>
        <w:spacing w:line="360" w:lineRule="auto"/>
        <w:jc w:val="both"/>
        <w:rPr>
          <w:rFonts w:ascii="Arial" w:hAnsi="Arial"/>
        </w:rPr>
      </w:pPr>
      <w:r>
        <w:rPr>
          <w:rFonts w:ascii="Arial" w:hAnsi="Arial" w:hint="cs"/>
          <w:rtl/>
        </w:rPr>
        <w:t xml:space="preserve">נוכח התסקיר שהוגש בעניינה של הנאשמת ביחס להליך טיפולי בבית המשפט הקהילתי בחיפה התבקש תסקיר שירות המבחן לעניין העונש. ביום 15.6.22 הוגש תסקיר בעניינה של הנאשמת. בתסקיר סקר שירות המבחן את הרקע האישי והמשפחתי של הנאשמת, בת 35 נשואה ואם לתינוקת בת שלושה חודשים. הנאשמת שיתפה שהיא שוהה בחופשת לידה. הנאשמת שיתפה כי בחודש פברואר 2022 השלימה קורס הכשרה בתחום הציפורניים ועתידה להתחיל לעבוד בתחום במהלך חופשת הלידה. באשר לעבירות אותן ביצעה הנאשמת מתארת בפני שירות המבחן כי למדה לגדל סמים באמצעות האינטרנט ושללה שותפים. הנאשמת מציינת בפני שירות המבחן שההליכים המשפטיים ולידת בתה סייעו לה להפנים את הלקח מהתנהגותה. ממידע שהתקבל מהגורמים הטיפוליים עולה כי  נתגלו  קשיים בתחילת הטיפול ובמהלך השתלבותה נערכו בעניינה שתי ועדות אבחון. בחודש פברואר 2022 המשיכה לבטא התנגדות להשתלבות בטיפול קבוצתי על אף המלצות היחידה </w:t>
      </w:r>
      <w:r>
        <w:rPr>
          <w:rFonts w:ascii="Arial" w:hAnsi="Arial" w:hint="cs"/>
          <w:rtl/>
        </w:rPr>
        <w:lastRenderedPageBreak/>
        <w:t>להתמכרויות. בתסקיר זה מציין שירות המבחן כי גורמי הטיפול הנאשמת אמנם משתפת פעולה בהגעה סדירה אך עדיין נתגלו קשיים. שירות המבחן התרשם שכיום חלה הפחתה ברמת הסיכון מצדה להישנות לעבירות דומות  אך קיימת חשיבות להמשך טיפול שיסייע לנאשמת בפתוח דרכי התמודדות מיטיבות ללא שימוש בחומרים ממכרים לצד עיבוד והתבוננות על התנהלותה בעת ביצוע העבירות הנוכחיות כל זאת במטרה להפחית סיכון לחזרה על התנהגות דומה בעתיד. שירות המבחן ביקש בתסקיר זה לדחות את הדיון בעניינה של הנאשמת בשלושה חודשים על מנת לבחון את השתלבותה בתהליך טיפולי קבוצתי במסגרת שירות המבחן.</w:t>
      </w:r>
    </w:p>
    <w:p w14:paraId="5EA355B7" w14:textId="77777777" w:rsidR="009B410E" w:rsidRDefault="009B410E" w:rsidP="009B410E">
      <w:pPr>
        <w:pStyle w:val="a9"/>
        <w:spacing w:line="360" w:lineRule="auto"/>
        <w:jc w:val="both"/>
        <w:rPr>
          <w:rFonts w:ascii="Arial" w:hAnsi="Arial"/>
        </w:rPr>
      </w:pPr>
    </w:p>
    <w:p w14:paraId="3B1C2B24" w14:textId="77777777" w:rsidR="009B410E" w:rsidRDefault="009B410E" w:rsidP="009B410E">
      <w:pPr>
        <w:pStyle w:val="a9"/>
        <w:numPr>
          <w:ilvl w:val="0"/>
          <w:numId w:val="1"/>
        </w:numPr>
        <w:spacing w:line="360" w:lineRule="auto"/>
        <w:jc w:val="both"/>
        <w:rPr>
          <w:rFonts w:ascii="Arial" w:hAnsi="Arial"/>
        </w:rPr>
      </w:pPr>
      <w:r>
        <w:rPr>
          <w:rFonts w:ascii="Arial" w:hAnsi="Arial" w:hint="cs"/>
          <w:rtl/>
        </w:rPr>
        <w:t xml:space="preserve">ביום 20.9.22 הוגש תסקיר סופי של שירות המבחן . בתסקיר ציין שירות המבחן שבתקופת הדחייה השתלבה הנאשמת בטיפול בקבוצת נשים עוברות חוק במסגרת שירות המבחן. הנאשמת מקפידה לעמוד בתנאי הקבוצה. שירות המבחן ממליץ בסופו של דבר על העמדתה של הנאשמת בצו מבחן וצו של"צ בהיקף של 300 שעות . שירות המבחן מציין בתסקיר שהטלת עונש מאסר בפועל או לחילופין בעבודות שירות עלול לפגוע בשיקום חייה של הנאשמת ולהביא לסיום הליך הטיפול בו משולבת כיום. </w:t>
      </w:r>
    </w:p>
    <w:p w14:paraId="42AFDFDE" w14:textId="77777777" w:rsidR="009B410E" w:rsidRPr="00932808" w:rsidRDefault="009B410E" w:rsidP="009B410E">
      <w:pPr>
        <w:pStyle w:val="a9"/>
        <w:rPr>
          <w:rFonts w:ascii="Arial" w:hAnsi="Arial"/>
          <w:rtl/>
        </w:rPr>
      </w:pPr>
    </w:p>
    <w:p w14:paraId="702C0EAE" w14:textId="77777777" w:rsidR="009B410E" w:rsidRPr="00932808" w:rsidRDefault="009B410E" w:rsidP="009B410E">
      <w:pPr>
        <w:pStyle w:val="a9"/>
        <w:spacing w:line="360" w:lineRule="auto"/>
        <w:jc w:val="both"/>
        <w:rPr>
          <w:rFonts w:ascii="Arial" w:hAnsi="Arial"/>
          <w:b/>
          <w:bCs/>
          <w:u w:val="single"/>
        </w:rPr>
      </w:pPr>
      <w:r w:rsidRPr="00932808">
        <w:rPr>
          <w:rFonts w:ascii="Arial" w:hAnsi="Arial" w:hint="cs"/>
          <w:b/>
          <w:bCs/>
          <w:u w:val="single"/>
          <w:rtl/>
        </w:rPr>
        <w:t xml:space="preserve">תמצית טיעוני הצדדים לעונש </w:t>
      </w:r>
    </w:p>
    <w:p w14:paraId="653C0A8A" w14:textId="77777777" w:rsidR="009B410E" w:rsidRDefault="009B410E" w:rsidP="009B410E">
      <w:pPr>
        <w:pStyle w:val="a9"/>
        <w:numPr>
          <w:ilvl w:val="0"/>
          <w:numId w:val="1"/>
        </w:numPr>
        <w:spacing w:line="360" w:lineRule="auto"/>
        <w:jc w:val="both"/>
        <w:rPr>
          <w:rFonts w:ascii="Arial" w:hAnsi="Arial"/>
        </w:rPr>
      </w:pPr>
      <w:r>
        <w:rPr>
          <w:rFonts w:ascii="Arial" w:hAnsi="Arial" w:hint="cs"/>
          <w:rtl/>
        </w:rPr>
        <w:t xml:space="preserve">ב"כ המאשימה הדגיש בטיעוניו את הפגיעה בערכים חברתיים מוגנים כתוצאה ממעשיו של הנאשם הוסיף כי מדובר בפגיעה גבוהה בשים לב לכך שמדובר בגידול שתילי קנביס בהיקף של 14 ק"ג לצד שכירת מבנה ייעודי והקמת ציוד רב והפנה לפסיקה רלוונטית התומכת לטענתו בטיעוניו.  באשר לנסיבות ביצוע העבירות טען ב"כ המאשימה שמדובר בעבירות מתוכננות . המאשימה עתרה למתחם עונש שנע בין עונש של 9 חודשי מאסר ברף התחתון לבין עונש של 24 חודשי מאסר בפועל ברף העליון. באשר לעונשה של הנאשמת בתוך מתחם העונש ההולם טען ב"כ המאשימה שמדובר בנאשמת ללא עבר פלילי שהודתה בהזדמנות הראשונה לפיכך עותרת המאשימה להסתפק בעונש שברף התחתון ולהשית על הנאשמת עונש של 10 חודשי מאסר בפועל, מאסר על תנאי ארוך ומרתיע, קנס כספי, התחייבות להימנע מעבירה וכן פסילת רישיון הנהיגה של הנאשמת בפועל ועל תנאי. </w:t>
      </w:r>
    </w:p>
    <w:p w14:paraId="4B6D4E89" w14:textId="77777777" w:rsidR="009B410E" w:rsidRDefault="009B410E" w:rsidP="009B410E">
      <w:pPr>
        <w:pStyle w:val="a9"/>
        <w:spacing w:line="360" w:lineRule="auto"/>
        <w:jc w:val="both"/>
        <w:rPr>
          <w:rFonts w:ascii="Arial" w:hAnsi="Arial"/>
        </w:rPr>
      </w:pPr>
    </w:p>
    <w:p w14:paraId="3B6AC805" w14:textId="77777777" w:rsidR="009B410E" w:rsidRDefault="009B410E" w:rsidP="009B410E">
      <w:pPr>
        <w:pStyle w:val="a9"/>
        <w:numPr>
          <w:ilvl w:val="0"/>
          <w:numId w:val="1"/>
        </w:numPr>
        <w:spacing w:line="360" w:lineRule="auto"/>
        <w:jc w:val="both"/>
        <w:rPr>
          <w:rFonts w:ascii="Arial" w:hAnsi="Arial"/>
        </w:rPr>
      </w:pPr>
      <w:r>
        <w:rPr>
          <w:rFonts w:ascii="Arial" w:hAnsi="Arial" w:hint="cs"/>
          <w:rtl/>
        </w:rPr>
        <w:t>ב"כ הנאשמת טען כי הפסיקה שאליה הפנה ב"כ המאשימה איננה תואמת את רוח התקופה ושינויים שחלו בשנים האחרונות בעבירות שעניינן סמים מסוג קנבוס. זאת ועוד, טען ב"כ הנאשמת שמדובר בנאשמת שהודתה בהזמנות הראשונה עוד במהלך חקירתה במשטרה והביעה חרטה, עברה תהליך מאד משמעותי ומשולבת בהליך טיפולי, נישאה ועברה לידה לא פשוטה והיא אם טרייה. ב"כ הנאשמת הפנה לאמור בתסקיר שירות המבחן לאשר לכך שככל שיושת על הנאשמת עונש מאסר ולו בעבודות שירות הדבר עלול לגרום נזק להליך הטיפולי. ב"כ הנאשמת הפנה לפסיקה רלוונטית במקרים דומים וטען שמתחם העונש ההולם נע בין עונש של 3 או 4 חודשים שירוצו בדרך של עבודות שירות ובעניינה של הנאשמת יש מקום לחרוג מהמתחם בשל טעמי שיקום.</w:t>
      </w:r>
    </w:p>
    <w:p w14:paraId="0A883106" w14:textId="77777777" w:rsidR="009B410E" w:rsidRPr="00E0012B" w:rsidRDefault="009B410E" w:rsidP="009B410E">
      <w:pPr>
        <w:pStyle w:val="a9"/>
        <w:rPr>
          <w:rFonts w:ascii="Arial" w:hAnsi="Arial"/>
          <w:rtl/>
        </w:rPr>
      </w:pPr>
    </w:p>
    <w:p w14:paraId="25CD786A" w14:textId="77777777" w:rsidR="009B410E" w:rsidRDefault="009B410E" w:rsidP="009B410E">
      <w:pPr>
        <w:pStyle w:val="a9"/>
        <w:numPr>
          <w:ilvl w:val="0"/>
          <w:numId w:val="1"/>
        </w:numPr>
        <w:spacing w:line="360" w:lineRule="auto"/>
        <w:jc w:val="both"/>
        <w:rPr>
          <w:rFonts w:ascii="Arial" w:hAnsi="Arial"/>
        </w:rPr>
      </w:pPr>
      <w:r>
        <w:rPr>
          <w:rFonts w:ascii="Arial" w:hAnsi="Arial" w:hint="cs"/>
          <w:rtl/>
        </w:rPr>
        <w:t xml:space="preserve">הנאשמת בדבריה ציינה כי היא מלאת חרטה על מעשיה. הוסיפה וסיפרה הנאשמת בדבריה שנישאה והיא אם לתינוקת. זאת ועוד, ציינה סיפרה הנאשמת על ההליך הטיפולי בו היא נוטלת חלק ואת התרומה של השיקום לחייה. </w:t>
      </w:r>
    </w:p>
    <w:p w14:paraId="56914E0D" w14:textId="77777777" w:rsidR="009B410E" w:rsidRPr="00E0012B" w:rsidRDefault="009B410E" w:rsidP="009B410E">
      <w:pPr>
        <w:pStyle w:val="a9"/>
        <w:rPr>
          <w:rFonts w:ascii="Arial" w:hAnsi="Arial"/>
          <w:rtl/>
        </w:rPr>
      </w:pPr>
    </w:p>
    <w:p w14:paraId="1F6C36DF" w14:textId="77777777" w:rsidR="009B410E" w:rsidRDefault="009B410E" w:rsidP="009B410E">
      <w:pPr>
        <w:pStyle w:val="a9"/>
        <w:spacing w:line="360" w:lineRule="auto"/>
        <w:jc w:val="both"/>
        <w:rPr>
          <w:rFonts w:ascii="Arial" w:hAnsi="Arial"/>
          <w:rtl/>
        </w:rPr>
      </w:pPr>
    </w:p>
    <w:p w14:paraId="1581BCF1" w14:textId="77777777" w:rsidR="009B410E" w:rsidRPr="00E0012B" w:rsidRDefault="009B410E" w:rsidP="009B410E">
      <w:pPr>
        <w:pStyle w:val="a9"/>
        <w:spacing w:line="360" w:lineRule="auto"/>
        <w:jc w:val="both"/>
        <w:rPr>
          <w:rFonts w:ascii="Arial" w:hAnsi="Arial"/>
          <w:b/>
          <w:bCs/>
          <w:u w:val="single"/>
        </w:rPr>
      </w:pPr>
      <w:r w:rsidRPr="00E0012B">
        <w:rPr>
          <w:rFonts w:ascii="Arial" w:hAnsi="Arial" w:hint="cs"/>
          <w:b/>
          <w:bCs/>
          <w:u w:val="single"/>
          <w:rtl/>
        </w:rPr>
        <w:t>דיון והכרעה</w:t>
      </w:r>
    </w:p>
    <w:p w14:paraId="2D3A184F" w14:textId="77777777" w:rsidR="009B410E" w:rsidRPr="00E0012B" w:rsidRDefault="009B410E" w:rsidP="009B410E">
      <w:pPr>
        <w:pStyle w:val="a9"/>
        <w:rPr>
          <w:rFonts w:ascii="Arial" w:hAnsi="Arial"/>
          <w:rtl/>
        </w:rPr>
      </w:pPr>
    </w:p>
    <w:p w14:paraId="28C34F5D" w14:textId="77777777" w:rsidR="009B410E" w:rsidRDefault="009B410E" w:rsidP="009B410E">
      <w:pPr>
        <w:pStyle w:val="1"/>
        <w:numPr>
          <w:ilvl w:val="0"/>
          <w:numId w:val="1"/>
        </w:numPr>
        <w:spacing w:line="360" w:lineRule="auto"/>
        <w:jc w:val="both"/>
        <w:rPr>
          <w:rFonts w:ascii="David" w:eastAsia="Calibri" w:hAnsi="David" w:cs="David"/>
        </w:rPr>
      </w:pPr>
      <w:r>
        <w:rPr>
          <w:rFonts w:ascii="David" w:eastAsia="Calibri" w:hAnsi="David" w:cs="David"/>
          <w:rtl/>
        </w:rPr>
        <w:t>על פי תיקון 113 ל</w:t>
      </w:r>
      <w:hyperlink r:id="rId15" w:history="1">
        <w:r w:rsidR="009D0AF3" w:rsidRPr="009D0AF3">
          <w:rPr>
            <w:rFonts w:ascii="David" w:eastAsia="Calibri" w:hAnsi="David" w:cs="David"/>
            <w:color w:val="0000FF"/>
            <w:u w:val="single"/>
            <w:rtl/>
          </w:rPr>
          <w:t>חוק העונשין</w:t>
        </w:r>
      </w:hyperlink>
      <w:r>
        <w:rPr>
          <w:rFonts w:ascii="David" w:eastAsia="Calibri" w:hAnsi="David" w:cs="David"/>
          <w:rtl/>
        </w:rPr>
        <w:t xml:space="preserve"> גזר הדין נקבע במסגרת הליך תלת שלבי. בשלב הראשון יש לקבוע אם כתב האישום מתאר אירוע אחד או מספר אירועים. לאחר מכן יש לקבוע את מתחם הענישה ההולם את האירוע ובסופו של תהליך, יש להחליט אם נכון לחרוג מהמתחם שנקבע, שאחרת ייגזר העונש בגדרי המתחם. ברי כי בענייננו מדובר באירוע אחד ומשכך ייקבע מתחם אחד (</w:t>
      </w:r>
      <w:hyperlink r:id="rId16" w:history="1">
        <w:r w:rsidR="009D0AF3" w:rsidRPr="009D0AF3">
          <w:rPr>
            <w:rFonts w:ascii="David" w:eastAsia="Calibri" w:hAnsi="David" w:cs="David"/>
            <w:color w:val="0000FF"/>
            <w:u w:val="single"/>
            <w:rtl/>
          </w:rPr>
          <w:t>ע"פ 4910/13</w:t>
        </w:r>
      </w:hyperlink>
      <w:r>
        <w:rPr>
          <w:rFonts w:ascii="David" w:eastAsia="Calibri" w:hAnsi="David" w:cs="David"/>
          <w:rtl/>
        </w:rPr>
        <w:t xml:space="preserve"> </w:t>
      </w:r>
      <w:r>
        <w:rPr>
          <w:rFonts w:ascii="David" w:eastAsia="Calibri" w:hAnsi="David" w:cs="David" w:hint="cs"/>
          <w:b/>
          <w:bCs/>
          <w:rtl/>
        </w:rPr>
        <w:t>ג'אבר נ' מדינת ישראל</w:t>
      </w:r>
      <w:r>
        <w:rPr>
          <w:rFonts w:ascii="David" w:eastAsia="Calibri" w:hAnsi="David" w:cs="David" w:hint="cs"/>
          <w:rtl/>
        </w:rPr>
        <w:t xml:space="preserve"> </w:t>
      </w:r>
      <w:r>
        <w:rPr>
          <w:rFonts w:eastAsia="Calibri" w:cs="David"/>
          <w:sz w:val="22"/>
          <w:rtl/>
        </w:rPr>
        <w:t xml:space="preserve"> </w:t>
      </w:r>
      <w:r>
        <w:rPr>
          <w:rFonts w:ascii="David" w:eastAsia="Calibri" w:hAnsi="David" w:cs="David"/>
          <w:rtl/>
        </w:rPr>
        <w:t xml:space="preserve">(29.10.14)). בענייננו אני סבורה כי מדובר באירוע אחד בגינו יש לקבוע מתחם עונש אחד. </w:t>
      </w:r>
    </w:p>
    <w:p w14:paraId="67C87342" w14:textId="77777777" w:rsidR="009B410E" w:rsidRDefault="009B410E" w:rsidP="009B410E">
      <w:pPr>
        <w:pStyle w:val="1"/>
        <w:spacing w:line="360" w:lineRule="auto"/>
        <w:jc w:val="both"/>
        <w:rPr>
          <w:rFonts w:ascii="David" w:eastAsia="Calibri" w:hAnsi="David" w:cs="David"/>
        </w:rPr>
      </w:pPr>
    </w:p>
    <w:p w14:paraId="0FFA87F7" w14:textId="77777777" w:rsidR="009B410E" w:rsidRDefault="009B410E" w:rsidP="009B410E">
      <w:pPr>
        <w:pStyle w:val="a9"/>
        <w:numPr>
          <w:ilvl w:val="0"/>
          <w:numId w:val="1"/>
        </w:numPr>
        <w:spacing w:before="120" w:after="120" w:line="360" w:lineRule="auto"/>
        <w:jc w:val="both"/>
      </w:pPr>
      <w:r>
        <w:rPr>
          <w:rFonts w:hint="cs"/>
          <w:rtl/>
        </w:rPr>
        <w:t xml:space="preserve">בקביעת מתחם העונש ההולם את מעשי העבירות אותן ביצעה הנאשמת יתחשב בית המשפט </w:t>
      </w:r>
      <w:r>
        <w:rPr>
          <w:rFonts w:hint="cs"/>
          <w:b/>
          <w:bCs/>
          <w:rtl/>
        </w:rPr>
        <w:t>בערך החברתי</w:t>
      </w:r>
      <w:r>
        <w:rPr>
          <w:rFonts w:hint="cs"/>
          <w:rtl/>
        </w:rPr>
        <w:t xml:space="preserve"> הנפגע מביצוע העבירות, </w:t>
      </w:r>
      <w:r>
        <w:rPr>
          <w:rFonts w:hint="cs"/>
          <w:b/>
          <w:bCs/>
          <w:rtl/>
        </w:rPr>
        <w:t>במידת הפגיעה בו,</w:t>
      </w:r>
      <w:r>
        <w:rPr>
          <w:rFonts w:hint="cs"/>
          <w:rtl/>
        </w:rPr>
        <w:t xml:space="preserve"> </w:t>
      </w:r>
      <w:r>
        <w:rPr>
          <w:rFonts w:hint="cs"/>
          <w:b/>
          <w:bCs/>
          <w:rtl/>
        </w:rPr>
        <w:t>במדיניות הענישה</w:t>
      </w:r>
      <w:r>
        <w:rPr>
          <w:rFonts w:hint="cs"/>
          <w:rtl/>
        </w:rPr>
        <w:t xml:space="preserve"> הנהוגה </w:t>
      </w:r>
      <w:r>
        <w:rPr>
          <w:rFonts w:hint="cs"/>
          <w:b/>
          <w:bCs/>
          <w:rtl/>
        </w:rPr>
        <w:t>ובנסיבות הקשורות בביצוע העבירה</w:t>
      </w:r>
      <w:r>
        <w:rPr>
          <w:rFonts w:hint="cs"/>
          <w:rtl/>
        </w:rPr>
        <w:t>.</w:t>
      </w:r>
    </w:p>
    <w:p w14:paraId="193ED22B" w14:textId="77777777" w:rsidR="009B410E" w:rsidRDefault="009B410E" w:rsidP="009B410E">
      <w:pPr>
        <w:pStyle w:val="a9"/>
        <w:rPr>
          <w:rtl/>
        </w:rPr>
      </w:pPr>
    </w:p>
    <w:p w14:paraId="1A118162" w14:textId="77777777" w:rsidR="009B410E" w:rsidRDefault="009B410E" w:rsidP="009B410E">
      <w:pPr>
        <w:pStyle w:val="a9"/>
        <w:spacing w:before="120" w:after="120" w:line="360" w:lineRule="auto"/>
        <w:jc w:val="both"/>
      </w:pPr>
    </w:p>
    <w:p w14:paraId="2C9D4433" w14:textId="77777777" w:rsidR="009B410E" w:rsidRDefault="009B410E" w:rsidP="009B410E">
      <w:pPr>
        <w:pStyle w:val="a9"/>
        <w:numPr>
          <w:ilvl w:val="0"/>
          <w:numId w:val="1"/>
        </w:numPr>
        <w:spacing w:before="120" w:after="120" w:line="360" w:lineRule="auto"/>
        <w:jc w:val="both"/>
      </w:pPr>
      <w:r>
        <w:rPr>
          <w:rFonts w:hint="cs"/>
          <w:rtl/>
        </w:rPr>
        <w:t xml:space="preserve">הערכים החברתיים המוגנים כוללים ההגנה על הציבור מפני נזקים עקיפים הנגרמים כתוצאה מעבריינות הנלווית לשימוש בסמים, ובכלל זה ההגנה על הביטחון האישי ורכוש הציבור (ראו בעניין זה: </w:t>
      </w:r>
      <w:hyperlink r:id="rId17" w:history="1">
        <w:r w:rsidR="009D0AF3" w:rsidRPr="009D0AF3">
          <w:rPr>
            <w:color w:val="0000FF"/>
            <w:u w:val="single"/>
            <w:rtl/>
          </w:rPr>
          <w:t>ע"פ 972/11</w:t>
        </w:r>
      </w:hyperlink>
      <w:r>
        <w:rPr>
          <w:rtl/>
        </w:rPr>
        <w:t xml:space="preserve"> </w:t>
      </w:r>
      <w:r>
        <w:rPr>
          <w:rFonts w:hint="cs"/>
          <w:b/>
          <w:bCs/>
          <w:rtl/>
        </w:rPr>
        <w:t>מדינת ישראל נ' יונה</w:t>
      </w:r>
      <w:r>
        <w:rPr>
          <w:rFonts w:hint="cs"/>
          <w:rtl/>
        </w:rPr>
        <w:t xml:space="preserve"> (4.7.12); </w:t>
      </w:r>
      <w:hyperlink r:id="rId18" w:history="1">
        <w:r w:rsidR="009D0AF3" w:rsidRPr="009D0AF3">
          <w:rPr>
            <w:color w:val="0000FF"/>
            <w:u w:val="single"/>
            <w:rtl/>
          </w:rPr>
          <w:t>ע"פ 6029/03</w:t>
        </w:r>
      </w:hyperlink>
      <w:r w:rsidRPr="009D0AF3">
        <w:rPr>
          <w:rFonts w:hint="cs"/>
          <w:color w:val="000000"/>
          <w:rtl/>
        </w:rPr>
        <w:t xml:space="preserve"> מדינת ישראל נ' שמאי, פ"ד נח</w:t>
      </w:r>
      <w:r>
        <w:rPr>
          <w:rFonts w:hint="cs"/>
          <w:rtl/>
        </w:rPr>
        <w:t xml:space="preserve"> (2) 734 (9.2.04); </w:t>
      </w:r>
      <w:hyperlink r:id="rId19" w:history="1">
        <w:r w:rsidR="009D0AF3" w:rsidRPr="009D0AF3">
          <w:rPr>
            <w:color w:val="0000FF"/>
            <w:u w:val="single"/>
            <w:rtl/>
          </w:rPr>
          <w:t>ע"פ 6021/95</w:t>
        </w:r>
      </w:hyperlink>
      <w:r>
        <w:rPr>
          <w:rFonts w:hint="cs"/>
          <w:rtl/>
        </w:rPr>
        <w:t xml:space="preserve">, </w:t>
      </w:r>
      <w:r w:rsidRPr="009D0AF3">
        <w:rPr>
          <w:rFonts w:hint="cs"/>
          <w:color w:val="000000"/>
          <w:rtl/>
        </w:rPr>
        <w:t>4998/95</w:t>
      </w:r>
      <w:r>
        <w:rPr>
          <w:rFonts w:hint="cs"/>
          <w:rtl/>
        </w:rPr>
        <w:t xml:space="preserve">, 5267/95, 5313/95 </w:t>
      </w:r>
      <w:r>
        <w:rPr>
          <w:rFonts w:hint="cs"/>
          <w:b/>
          <w:bCs/>
          <w:rtl/>
        </w:rPr>
        <w:t xml:space="preserve">מדינת ישראל נ' גומז </w:t>
      </w:r>
      <w:r>
        <w:rPr>
          <w:rFonts w:hint="cs"/>
          <w:rtl/>
        </w:rPr>
        <w:t xml:space="preserve">(31.7.97); </w:t>
      </w:r>
      <w:hyperlink r:id="rId20" w:history="1">
        <w:r w:rsidR="009D0AF3" w:rsidRPr="009D0AF3">
          <w:rPr>
            <w:color w:val="0000FF"/>
            <w:u w:val="single"/>
            <w:rtl/>
          </w:rPr>
          <w:t>ע"פ 575/88</w:t>
        </w:r>
      </w:hyperlink>
      <w:r w:rsidRPr="009D0AF3">
        <w:rPr>
          <w:rFonts w:hint="cs"/>
          <w:color w:val="000000"/>
          <w:rtl/>
        </w:rPr>
        <w:t xml:space="preserve"> עודה נ' מדינת ישראל, פ"ד מב</w:t>
      </w:r>
      <w:r>
        <w:rPr>
          <w:rFonts w:hint="cs"/>
          <w:rtl/>
        </w:rPr>
        <w:t xml:space="preserve"> (4) 242 (11.12.88)).</w:t>
      </w:r>
    </w:p>
    <w:p w14:paraId="284E29D4" w14:textId="77777777" w:rsidR="009B410E" w:rsidRDefault="009B410E" w:rsidP="009B410E">
      <w:pPr>
        <w:pStyle w:val="1"/>
        <w:spacing w:line="360" w:lineRule="auto"/>
        <w:jc w:val="both"/>
        <w:rPr>
          <w:rFonts w:ascii="David" w:hAnsi="David" w:cs="David"/>
        </w:rPr>
      </w:pPr>
    </w:p>
    <w:p w14:paraId="59A76090" w14:textId="77777777" w:rsidR="009B410E" w:rsidRDefault="009B410E" w:rsidP="009B410E">
      <w:pPr>
        <w:pStyle w:val="1"/>
        <w:numPr>
          <w:ilvl w:val="0"/>
          <w:numId w:val="1"/>
        </w:numPr>
        <w:spacing w:line="360" w:lineRule="auto"/>
        <w:jc w:val="both"/>
        <w:rPr>
          <w:rFonts w:ascii="David" w:eastAsia="Calibri" w:hAnsi="David" w:cs="David"/>
        </w:rPr>
      </w:pPr>
      <w:r>
        <w:rPr>
          <w:rFonts w:ascii="David" w:hAnsi="David" w:cs="David"/>
          <w:rtl/>
        </w:rPr>
        <w:t>במעשי</w:t>
      </w:r>
      <w:r>
        <w:rPr>
          <w:rFonts w:ascii="David" w:hAnsi="David" w:cs="David" w:hint="cs"/>
          <w:rtl/>
        </w:rPr>
        <w:t>ה</w:t>
      </w:r>
      <w:r>
        <w:rPr>
          <w:rFonts w:ascii="David" w:hAnsi="David" w:cs="David"/>
          <w:rtl/>
        </w:rPr>
        <w:t xml:space="preserve"> פגע</w:t>
      </w:r>
      <w:r>
        <w:rPr>
          <w:rFonts w:ascii="David" w:hAnsi="David" w:cs="David" w:hint="cs"/>
          <w:rtl/>
        </w:rPr>
        <w:t>ה</w:t>
      </w:r>
      <w:r>
        <w:rPr>
          <w:rFonts w:ascii="David" w:hAnsi="David" w:cs="David"/>
          <w:rtl/>
        </w:rPr>
        <w:t xml:space="preserve"> הנאש</w:t>
      </w:r>
      <w:r>
        <w:rPr>
          <w:rFonts w:ascii="David" w:hAnsi="David" w:cs="David" w:hint="cs"/>
          <w:rtl/>
        </w:rPr>
        <w:t>מת</w:t>
      </w:r>
      <w:r>
        <w:rPr>
          <w:rFonts w:ascii="David" w:hAnsi="David" w:cs="David"/>
          <w:rtl/>
        </w:rPr>
        <w:t xml:space="preserve"> בערכים של בטחון הציבור ושלומו במידה ממשית הבאה לידי ביטוי בכך ששכר</w:t>
      </w:r>
      <w:r>
        <w:rPr>
          <w:rFonts w:ascii="David" w:hAnsi="David" w:cs="David" w:hint="cs"/>
          <w:rtl/>
        </w:rPr>
        <w:t>ה</w:t>
      </w:r>
      <w:r>
        <w:rPr>
          <w:rFonts w:ascii="David" w:hAnsi="David" w:cs="David"/>
          <w:rtl/>
        </w:rPr>
        <w:t xml:space="preserve"> דירה </w:t>
      </w:r>
      <w:r>
        <w:rPr>
          <w:rFonts w:ascii="David" w:hAnsi="David" w:cs="David" w:hint="cs"/>
          <w:rtl/>
        </w:rPr>
        <w:t xml:space="preserve">וייעדה אותה על פי עובדות כתב האישום לצורך הקמת מספר מעבדות לגידול שתילי קנביס. הנאשמת  </w:t>
      </w:r>
      <w:r>
        <w:rPr>
          <w:rFonts w:ascii="David" w:hAnsi="David" w:cs="David"/>
          <w:rtl/>
        </w:rPr>
        <w:t>צייד</w:t>
      </w:r>
      <w:r>
        <w:rPr>
          <w:rFonts w:ascii="David" w:hAnsi="David" w:cs="David" w:hint="cs"/>
          <w:rtl/>
        </w:rPr>
        <w:t>ה</w:t>
      </w:r>
      <w:r>
        <w:rPr>
          <w:rFonts w:ascii="David" w:hAnsi="David" w:cs="David"/>
          <w:rtl/>
        </w:rPr>
        <w:t xml:space="preserve"> </w:t>
      </w:r>
      <w:r>
        <w:rPr>
          <w:rFonts w:ascii="David" w:hAnsi="David" w:cs="David" w:hint="cs"/>
          <w:rtl/>
        </w:rPr>
        <w:t xml:space="preserve">את הדירה </w:t>
      </w:r>
      <w:r>
        <w:rPr>
          <w:rFonts w:ascii="David" w:hAnsi="David" w:cs="David"/>
          <w:rtl/>
        </w:rPr>
        <w:t>בכלים לצורך גידול סמים מסוכנים כך שגידל</w:t>
      </w:r>
      <w:r>
        <w:rPr>
          <w:rFonts w:ascii="David" w:hAnsi="David" w:cs="David" w:hint="cs"/>
          <w:rtl/>
        </w:rPr>
        <w:t xml:space="preserve">ה 68 </w:t>
      </w:r>
      <w:r>
        <w:rPr>
          <w:rFonts w:ascii="David" w:hAnsi="David" w:cs="David"/>
          <w:rtl/>
        </w:rPr>
        <w:t xml:space="preserve"> שתילים של סם מסוג קנבוס במשקל</w:t>
      </w:r>
      <w:r>
        <w:rPr>
          <w:rFonts w:ascii="David" w:hAnsi="David" w:cs="David" w:hint="cs"/>
          <w:rtl/>
        </w:rPr>
        <w:t xml:space="preserve"> 14.02 ק"ג </w:t>
      </w:r>
      <w:r>
        <w:rPr>
          <w:rFonts w:ascii="David" w:hAnsi="David" w:cs="David"/>
          <w:rtl/>
        </w:rPr>
        <w:t xml:space="preserve">. </w:t>
      </w:r>
    </w:p>
    <w:p w14:paraId="05305726" w14:textId="77777777" w:rsidR="009B410E" w:rsidRDefault="009B410E" w:rsidP="009B410E">
      <w:pPr>
        <w:pStyle w:val="a9"/>
        <w:rPr>
          <w:rFonts w:ascii="David" w:eastAsia="Calibri" w:hAnsi="David"/>
          <w:rtl/>
        </w:rPr>
      </w:pPr>
    </w:p>
    <w:p w14:paraId="2A8BF053" w14:textId="77777777" w:rsidR="009B410E" w:rsidRDefault="009B410E" w:rsidP="009B410E">
      <w:pPr>
        <w:pStyle w:val="1"/>
        <w:spacing w:line="360" w:lineRule="auto"/>
        <w:jc w:val="both"/>
        <w:rPr>
          <w:rFonts w:ascii="David" w:eastAsia="Calibri" w:hAnsi="David" w:cs="David"/>
        </w:rPr>
      </w:pPr>
    </w:p>
    <w:p w14:paraId="558F5760" w14:textId="77777777" w:rsidR="009B410E" w:rsidRDefault="009B410E" w:rsidP="009B410E">
      <w:pPr>
        <w:pStyle w:val="a9"/>
        <w:numPr>
          <w:ilvl w:val="0"/>
          <w:numId w:val="1"/>
        </w:numPr>
        <w:spacing w:line="360" w:lineRule="auto"/>
        <w:jc w:val="both"/>
        <w:rPr>
          <w:rFonts w:ascii="Arial" w:hAnsi="Arial"/>
        </w:rPr>
      </w:pPr>
      <w:r>
        <w:rPr>
          <w:rFonts w:hint="cs"/>
          <w:rtl/>
        </w:rPr>
        <w:t>מ</w:t>
      </w:r>
      <w:r>
        <w:rPr>
          <w:rtl/>
        </w:rPr>
        <w:t>נסיבות העבירות והעובדות עולה כי הנאש</w:t>
      </w:r>
      <w:r>
        <w:rPr>
          <w:rFonts w:hint="cs"/>
          <w:rtl/>
        </w:rPr>
        <w:t xml:space="preserve">מת </w:t>
      </w:r>
      <w:r>
        <w:rPr>
          <w:rtl/>
        </w:rPr>
        <w:t xml:space="preserve"> </w:t>
      </w:r>
      <w:r>
        <w:rPr>
          <w:rFonts w:hint="cs"/>
          <w:rtl/>
        </w:rPr>
        <w:t xml:space="preserve">תכננה </w:t>
      </w:r>
      <w:r>
        <w:rPr>
          <w:rtl/>
        </w:rPr>
        <w:t>בקפידה את ביצוע העבירות והכי</w:t>
      </w:r>
      <w:r>
        <w:rPr>
          <w:rFonts w:hint="cs"/>
          <w:rtl/>
        </w:rPr>
        <w:t>נה</w:t>
      </w:r>
      <w:r>
        <w:rPr>
          <w:rtl/>
        </w:rPr>
        <w:t xml:space="preserve"> תשתית לצורך כך </w:t>
      </w:r>
      <w:r>
        <w:rPr>
          <w:rFonts w:hint="cs"/>
          <w:rtl/>
        </w:rPr>
        <w:t xml:space="preserve">כעולה מעובדות כתב האישום. </w:t>
      </w:r>
    </w:p>
    <w:p w14:paraId="7717D2B1" w14:textId="77777777" w:rsidR="009B410E" w:rsidRDefault="009B410E" w:rsidP="009B410E">
      <w:pPr>
        <w:pStyle w:val="a9"/>
        <w:spacing w:line="360" w:lineRule="auto"/>
        <w:jc w:val="both"/>
        <w:rPr>
          <w:rFonts w:ascii="Arial" w:hAnsi="Arial"/>
        </w:rPr>
      </w:pPr>
    </w:p>
    <w:p w14:paraId="67FAC1D1" w14:textId="77777777" w:rsidR="009B410E" w:rsidRDefault="009B410E" w:rsidP="009B410E">
      <w:pPr>
        <w:pStyle w:val="a9"/>
        <w:numPr>
          <w:ilvl w:val="0"/>
          <w:numId w:val="1"/>
        </w:numPr>
        <w:spacing w:after="120" w:line="360" w:lineRule="auto"/>
        <w:jc w:val="both"/>
      </w:pPr>
      <w:r>
        <w:rPr>
          <w:rFonts w:hint="cs"/>
          <w:rtl/>
        </w:rPr>
        <w:t xml:space="preserve">באשר למדיניות הענישה במקרים דומים ניתן ללמוד מפסקי הדין הבאים: </w:t>
      </w:r>
    </w:p>
    <w:p w14:paraId="19EA4FF6" w14:textId="77777777" w:rsidR="009B410E" w:rsidRDefault="009B410E" w:rsidP="009B410E">
      <w:pPr>
        <w:pStyle w:val="a9"/>
        <w:rPr>
          <w:rtl/>
        </w:rPr>
      </w:pPr>
    </w:p>
    <w:p w14:paraId="4D0A4C76" w14:textId="77777777" w:rsidR="009B410E" w:rsidRDefault="009B410E" w:rsidP="009B410E">
      <w:pPr>
        <w:pStyle w:val="a9"/>
        <w:spacing w:after="120" w:line="360" w:lineRule="auto"/>
        <w:jc w:val="both"/>
        <w:rPr>
          <w:rtl/>
        </w:rPr>
      </w:pPr>
      <w:r>
        <w:rPr>
          <w:rFonts w:hint="cs"/>
          <w:rtl/>
        </w:rPr>
        <w:t>ב</w:t>
      </w:r>
      <w:hyperlink r:id="rId21" w:history="1">
        <w:r w:rsidR="009D0AF3" w:rsidRPr="009D0AF3">
          <w:rPr>
            <w:color w:val="0000FF"/>
            <w:u w:val="single"/>
            <w:rtl/>
          </w:rPr>
          <w:t>רע"פ 6987/13</w:t>
        </w:r>
      </w:hyperlink>
      <w:r>
        <w:rPr>
          <w:rtl/>
        </w:rPr>
        <w:t xml:space="preserve"> </w:t>
      </w:r>
      <w:r>
        <w:rPr>
          <w:rFonts w:hint="cs"/>
          <w:b/>
          <w:bCs/>
          <w:rtl/>
        </w:rPr>
        <w:t>אברמוב נ' מדינת ישראל</w:t>
      </w:r>
      <w:r>
        <w:rPr>
          <w:rFonts w:hint="cs"/>
          <w:rtl/>
        </w:rPr>
        <w:t xml:space="preserve"> </w:t>
      </w:r>
      <w:r>
        <w:rPr>
          <w:rFonts w:hint="cs"/>
          <w:sz w:val="22"/>
          <w:rtl/>
        </w:rPr>
        <w:t xml:space="preserve"> </w:t>
      </w:r>
      <w:r>
        <w:rPr>
          <w:rFonts w:hint="cs"/>
          <w:rtl/>
        </w:rPr>
        <w:t xml:space="preserve">(21.10.13) נדחתה בקשת רשות ערעור של נאשם אשר הורשע בעבירות של גידול סמים, החזקת כלים להכנת סם שלא לצריכה עצמית, החזקת סמים שלא לצריכה עצמית, נהיגה בזמן פסילה ועוד. הנאשם שכר דירה והתקין בה ציוד לגידול וייצור סמים. במקום נמצאו שתילי קנבוס במשקל של כ- 10 ק"ג. הנאשם ללא הרשעות קודמות. נקבע מתחם של 6 עד 24 חודשי מאסר בפועל. על הנאשם הוטל עונש של 12 חודשי מאסר בפועל, קנס של 7,500 ₪ ועונשים נלווים. </w:t>
      </w:r>
    </w:p>
    <w:p w14:paraId="1F241845" w14:textId="77777777" w:rsidR="009B410E" w:rsidRDefault="009B410E" w:rsidP="009B410E">
      <w:pPr>
        <w:pStyle w:val="a9"/>
        <w:spacing w:after="120" w:line="360" w:lineRule="auto"/>
        <w:jc w:val="both"/>
      </w:pPr>
    </w:p>
    <w:p w14:paraId="46C3DAE5" w14:textId="77777777" w:rsidR="009B410E" w:rsidRDefault="009B410E" w:rsidP="009B410E">
      <w:pPr>
        <w:pStyle w:val="a9"/>
        <w:spacing w:after="120" w:line="360" w:lineRule="auto"/>
        <w:jc w:val="both"/>
        <w:rPr>
          <w:rtl/>
        </w:rPr>
      </w:pPr>
      <w:r>
        <w:rPr>
          <w:rFonts w:hint="cs"/>
          <w:rtl/>
        </w:rPr>
        <w:t>ב</w:t>
      </w:r>
      <w:hyperlink r:id="rId22" w:history="1">
        <w:r w:rsidR="009D0AF3" w:rsidRPr="009D0AF3">
          <w:rPr>
            <w:color w:val="0000FF"/>
            <w:u w:val="single"/>
            <w:rtl/>
          </w:rPr>
          <w:t>עפ"ג (מח' ת"א) 17155-07-10</w:t>
        </w:r>
      </w:hyperlink>
      <w:r>
        <w:rPr>
          <w:rtl/>
        </w:rPr>
        <w:t xml:space="preserve"> </w:t>
      </w:r>
      <w:r>
        <w:rPr>
          <w:rFonts w:hint="cs"/>
          <w:b/>
          <w:bCs/>
          <w:rtl/>
        </w:rPr>
        <w:t>מדינת ישראל נ' נסים</w:t>
      </w:r>
      <w:r>
        <w:rPr>
          <w:rFonts w:hint="cs"/>
          <w:rtl/>
        </w:rPr>
        <w:t xml:space="preserve"> </w:t>
      </w:r>
      <w:r>
        <w:rPr>
          <w:rFonts w:hint="cs"/>
          <w:sz w:val="22"/>
          <w:rtl/>
        </w:rPr>
        <w:t xml:space="preserve"> </w:t>
      </w:r>
      <w:r>
        <w:rPr>
          <w:rFonts w:hint="cs"/>
          <w:rtl/>
        </w:rPr>
        <w:t xml:space="preserve">(1.11.10) התקבל ערעור המדינה על עונשו של נאשם שהורשע בגידול של שתילי קנבוס במשקל של למעלה מ- 11 ק"ג. עונשו של נאשם 1 הועמד על 9 חודשי מאסר (חלף 6 חודשים). עונשו של נאשם 2, של שישה חודשי עבודות שירות, נותר על כנו. </w:t>
      </w:r>
    </w:p>
    <w:p w14:paraId="62B15623" w14:textId="77777777" w:rsidR="009B410E" w:rsidRDefault="009B410E" w:rsidP="009B410E">
      <w:pPr>
        <w:pStyle w:val="a9"/>
        <w:spacing w:after="120" w:line="360" w:lineRule="auto"/>
        <w:jc w:val="both"/>
        <w:rPr>
          <w:rtl/>
        </w:rPr>
      </w:pPr>
    </w:p>
    <w:p w14:paraId="4842597A" w14:textId="77777777" w:rsidR="009B410E" w:rsidRDefault="009D0AF3" w:rsidP="009B410E">
      <w:pPr>
        <w:pStyle w:val="a9"/>
        <w:spacing w:after="160" w:line="360" w:lineRule="auto"/>
        <w:jc w:val="both"/>
        <w:rPr>
          <w:rtl/>
        </w:rPr>
      </w:pPr>
      <w:hyperlink r:id="rId23" w:history="1">
        <w:r w:rsidRPr="009D0AF3">
          <w:rPr>
            <w:color w:val="0000FF"/>
            <w:u w:val="single"/>
            <w:rtl/>
          </w:rPr>
          <w:t>עפ"ג 22919-03-18</w:t>
        </w:r>
      </w:hyperlink>
      <w:r w:rsidR="009B410E">
        <w:rPr>
          <w:rtl/>
        </w:rPr>
        <w:t xml:space="preserve"> </w:t>
      </w:r>
      <w:r w:rsidR="009B410E">
        <w:rPr>
          <w:rFonts w:hint="cs"/>
          <w:b/>
          <w:bCs/>
          <w:rtl/>
        </w:rPr>
        <w:t>מדינת ישראל נ' חכים</w:t>
      </w:r>
      <w:r w:rsidR="009B410E">
        <w:rPr>
          <w:rFonts w:hint="cs"/>
          <w:rtl/>
        </w:rPr>
        <w:t xml:space="preserve"> (29.5.18) – בית משפט השלום הרשיע את הנאשם, לפי הודאתו, בעבירה של גידול סמים. הנאשם הקים מעבדה לייצור סמים בה נתפס סם מסוג קנבוס במשקל של 33 קילוגרם. בית המשפט קבע כי מתחם העונש ההולם כולל מאסר לתקופה הנעה בין 12 – 36 חודשים, אולם בחריגה ממתחם העונש ההולם, ומטעמי שיקום, הטיל עליו מאסר לתקופה של 6 חודשים בדרך של עבודות שירות, לצד ענישה נלווית. בית המשפט המחוזי דחה את ערעור התביעה, בשל הליך השיקום.</w:t>
      </w:r>
    </w:p>
    <w:p w14:paraId="346F7237" w14:textId="77777777" w:rsidR="009B410E" w:rsidRDefault="009B410E" w:rsidP="009B410E">
      <w:pPr>
        <w:pStyle w:val="a9"/>
        <w:spacing w:after="160" w:line="360" w:lineRule="auto"/>
        <w:jc w:val="both"/>
        <w:rPr>
          <w:rtl/>
        </w:rPr>
      </w:pPr>
    </w:p>
    <w:p w14:paraId="327D7A1A" w14:textId="77777777" w:rsidR="009B410E" w:rsidRDefault="009D0AF3" w:rsidP="009B410E">
      <w:pPr>
        <w:pStyle w:val="a9"/>
        <w:spacing w:after="160" w:line="360" w:lineRule="auto"/>
        <w:jc w:val="both"/>
        <w:rPr>
          <w:rtl/>
        </w:rPr>
      </w:pPr>
      <w:hyperlink r:id="rId24" w:history="1">
        <w:r w:rsidRPr="009D0AF3">
          <w:rPr>
            <w:color w:val="0000FF"/>
            <w:u w:val="single"/>
            <w:rtl/>
          </w:rPr>
          <w:t>עפ"ג (מרכז) 34383-10-16</w:t>
        </w:r>
      </w:hyperlink>
      <w:r w:rsidR="009B410E">
        <w:rPr>
          <w:rtl/>
        </w:rPr>
        <w:t xml:space="preserve"> </w:t>
      </w:r>
      <w:r w:rsidR="009B410E">
        <w:rPr>
          <w:rFonts w:hint="cs"/>
          <w:b/>
          <w:bCs/>
          <w:rtl/>
        </w:rPr>
        <w:t>מדינת ישראל נ' קדר</w:t>
      </w:r>
      <w:r w:rsidR="009B410E">
        <w:rPr>
          <w:rFonts w:hint="cs"/>
          <w:rtl/>
        </w:rPr>
        <w:t xml:space="preserve"> (12.2.17) – בית משפט השלום הרשיע את הנאשם, לפי הודאתו, בעבירות של גידול סמים, החזקת כלים להכנת סם והחזקת סם מסוכן שלא לצריכה עצמית. הנאשם גידל שתילי קנבוס במשקל של 25 קילוגרם. בית המשפט השלום גזר על הנאשם מאסר בפועל לתקופה של 6 חודשים בדרך של עבודות שירות, בחריגה מהמתחם מטעמי שיקום, מאסר על תנאי וקנס בסכום של 7,000 ₪. בית המשפט המחוזי קבע כי מתחם העונש ההולם כולל מאסר לתקופה הנעה בין 10 – 26 חודשים וגזר על הנאשם עונש של מאסר לתקופה של 8 חודשים בשל הליך השיקום.</w:t>
      </w:r>
    </w:p>
    <w:p w14:paraId="12C21449" w14:textId="77777777" w:rsidR="009B410E" w:rsidRDefault="009B410E" w:rsidP="009B410E">
      <w:pPr>
        <w:spacing w:after="160" w:line="360" w:lineRule="auto"/>
        <w:jc w:val="both"/>
      </w:pPr>
    </w:p>
    <w:p w14:paraId="3A90EA05" w14:textId="77777777" w:rsidR="009B410E" w:rsidRDefault="009D0AF3" w:rsidP="009B410E">
      <w:pPr>
        <w:pStyle w:val="a9"/>
        <w:spacing w:after="160" w:line="360" w:lineRule="auto"/>
        <w:jc w:val="both"/>
        <w:rPr>
          <w:rtl/>
        </w:rPr>
      </w:pPr>
      <w:hyperlink r:id="rId25" w:history="1">
        <w:r w:rsidRPr="009D0AF3">
          <w:rPr>
            <w:color w:val="0000FF"/>
            <w:u w:val="single"/>
            <w:rtl/>
          </w:rPr>
          <w:t>רע"פ 6869/17</w:t>
        </w:r>
      </w:hyperlink>
      <w:r w:rsidR="009B410E">
        <w:rPr>
          <w:rtl/>
        </w:rPr>
        <w:t xml:space="preserve"> </w:t>
      </w:r>
      <w:r w:rsidR="009B410E">
        <w:rPr>
          <w:rFonts w:hint="cs"/>
          <w:b/>
          <w:bCs/>
          <w:rtl/>
        </w:rPr>
        <w:t>פילברג נ' מדינת ישראל</w:t>
      </w:r>
      <w:r w:rsidR="009B410E">
        <w:rPr>
          <w:rFonts w:hint="cs"/>
          <w:rtl/>
        </w:rPr>
        <w:t xml:space="preserve"> (11.9.17) – בית משפט השלום הרשיע את הנאשם, לפי הודאתו, בגידול סמים ובהחזקת כלים להכנת סמים. הנאשם הקים בביתו מעבדת סמים ובה נתפסו שתילי קנבוס במשקל של 19 קילוגרם. בית המשפט קבע כי מתחם העונש ההולם כולל מאסר לתקופה הנעה בין 12 – 36 חודשים, אך משיקולי שיקום הטיל עליו עונש מאסר לתקופה של 6 חודשים בדרך של עבודות שירות, קנס בסכום של 10,000 ₪ וענישה נלווית. בית המשפט המחוזי קיבל את ערעור התביעה על קולת העונש, וגזר על הנאשם מאסר לתקופה של 9 חודשים. בית המשפט העליון דחה את בקשתו של הנאשם להרשות ערעור.</w:t>
      </w:r>
    </w:p>
    <w:p w14:paraId="646E8FD1" w14:textId="77777777" w:rsidR="009B410E" w:rsidRDefault="009B410E" w:rsidP="009B410E">
      <w:pPr>
        <w:spacing w:after="160" w:line="360" w:lineRule="auto"/>
        <w:jc w:val="both"/>
      </w:pPr>
    </w:p>
    <w:p w14:paraId="00902224" w14:textId="77777777" w:rsidR="009B410E" w:rsidRDefault="009D0AF3" w:rsidP="009B410E">
      <w:pPr>
        <w:spacing w:after="160" w:line="360" w:lineRule="auto"/>
        <w:ind w:left="720"/>
        <w:jc w:val="both"/>
        <w:rPr>
          <w:rtl/>
        </w:rPr>
      </w:pPr>
      <w:hyperlink r:id="rId26" w:history="1">
        <w:r w:rsidRPr="009D0AF3">
          <w:rPr>
            <w:color w:val="0000FF"/>
            <w:u w:val="single"/>
            <w:rtl/>
          </w:rPr>
          <w:t>עפ"ג (מרכז) 34467-04-17</w:t>
        </w:r>
      </w:hyperlink>
      <w:r w:rsidR="009B410E">
        <w:rPr>
          <w:rFonts w:hint="cs"/>
          <w:rtl/>
        </w:rPr>
        <w:t xml:space="preserve">, 25930-04-17 </w:t>
      </w:r>
      <w:r w:rsidR="009B410E">
        <w:rPr>
          <w:rFonts w:hint="cs"/>
          <w:b/>
          <w:bCs/>
          <w:rtl/>
        </w:rPr>
        <w:t>נעמן נ' מדינת ישראל</w:t>
      </w:r>
      <w:r w:rsidR="009B410E">
        <w:rPr>
          <w:rFonts w:hint="cs"/>
          <w:rtl/>
        </w:rPr>
        <w:t xml:space="preserve">, וערעור שכנגד </w:t>
      </w:r>
      <w:r w:rsidR="009B410E">
        <w:rPr>
          <w:rFonts w:hint="cs"/>
          <w:b/>
          <w:bCs/>
          <w:rtl/>
        </w:rPr>
        <w:t xml:space="preserve"> </w:t>
      </w:r>
      <w:r w:rsidR="009B410E">
        <w:rPr>
          <w:rFonts w:hint="cs"/>
          <w:rtl/>
        </w:rPr>
        <w:t>(18.7.17) – בית משפט השלום הרשיע את הנאשם, לפי הודאתו, בעבירות של גידול סמים והחזקת סמים שלא לצריכה עצמית. הנאשם גידל 77 שתילי קנבוס במשקל של 17.6 קילוגרם. בית המשפט קבע כי מתחם העונש ההולם עומד על מאסר לתקופה הנעה בין 12 – 36 חודשים, אולם סטה ממתחם העונש ההולם והטיל על הנאשם מאסר לתקופה של 8 חודשים, מאסר על תנאי, פסילה בפועל ועל תנאי. בית המשפט המחוזי קיבל את ערעור התביעה והטיל על הנאשם מאסר לתקופה של 12 חודשים וקנס בסכום של 3,000 ₪.</w:t>
      </w:r>
    </w:p>
    <w:p w14:paraId="347A710E" w14:textId="77777777" w:rsidR="009B410E" w:rsidRDefault="009D0AF3" w:rsidP="009B410E">
      <w:pPr>
        <w:spacing w:after="160" w:line="360" w:lineRule="auto"/>
        <w:ind w:left="720"/>
        <w:jc w:val="both"/>
        <w:rPr>
          <w:rtl/>
        </w:rPr>
      </w:pPr>
      <w:hyperlink r:id="rId27" w:history="1">
        <w:r w:rsidRPr="009D0AF3">
          <w:rPr>
            <w:color w:val="0000FF"/>
            <w:u w:val="single"/>
            <w:rtl/>
          </w:rPr>
          <w:t>רע"פ 6869/17</w:t>
        </w:r>
      </w:hyperlink>
      <w:r w:rsidR="009B410E">
        <w:rPr>
          <w:rtl/>
        </w:rPr>
        <w:t xml:space="preserve"> </w:t>
      </w:r>
      <w:r w:rsidR="009B410E">
        <w:rPr>
          <w:rFonts w:hint="cs"/>
          <w:b/>
          <w:bCs/>
          <w:rtl/>
        </w:rPr>
        <w:t>פילברג נ' מדינת ישראל</w:t>
      </w:r>
      <w:r w:rsidR="009B410E">
        <w:rPr>
          <w:rFonts w:hint="cs"/>
          <w:rtl/>
        </w:rPr>
        <w:t xml:space="preserve"> (11.9.17) – בית משפט השלום הרשיע את הנאשם, לפי הודאתו, בגידול סמים ובהחזקת כלים להכנת סמים. הנאשם הקים בביתו מעבדת סמים ובה נתפסו שתילי קנבוס במשקל של 19 קילוגרם. בית המשפט קבע כי מתחם העונש ההולם כולל מאסר לתקופה הנעה בין 12 – 36 חודשים, אך משיקולי שיקום הטיל עליו עונש מאסר לתקופה של 6 חודשים בדרך של עבודות שירות, קנס בסכום של 10,000 ₪ וענישה נלווית. בית המשפט המחוזי קיבל את ערעור התביעה על קולת העונש, וגזר על הנאשם מאסר לתקופה של 9 חודשים. בית המשפט העליון דחה את בקשתו של הנאשם להרשות ערעור.</w:t>
      </w:r>
    </w:p>
    <w:p w14:paraId="585005D8" w14:textId="77777777" w:rsidR="009B410E" w:rsidRDefault="009D0AF3" w:rsidP="009B410E">
      <w:pPr>
        <w:pStyle w:val="1"/>
        <w:spacing w:line="360" w:lineRule="auto"/>
        <w:jc w:val="both"/>
        <w:rPr>
          <w:rFonts w:ascii="David" w:eastAsia="Calibri" w:hAnsi="David" w:cs="David"/>
          <w:rtl/>
        </w:rPr>
      </w:pPr>
      <w:hyperlink r:id="rId28" w:history="1">
        <w:r w:rsidRPr="009D0AF3">
          <w:rPr>
            <w:rFonts w:ascii="David" w:eastAsia="Calibri" w:hAnsi="David"/>
            <w:color w:val="0000FF"/>
            <w:u w:val="single"/>
            <w:rtl/>
          </w:rPr>
          <w:t>רע"פ 1787/15</w:t>
        </w:r>
      </w:hyperlink>
      <w:r w:rsidR="009B410E">
        <w:rPr>
          <w:rFonts w:ascii="David" w:eastAsia="Calibri" w:hAnsi="David" w:cs="David"/>
          <w:rtl/>
        </w:rPr>
        <w:t xml:space="preserve"> </w:t>
      </w:r>
      <w:r w:rsidR="009B410E">
        <w:rPr>
          <w:rFonts w:ascii="David" w:eastAsia="Calibri" w:hAnsi="David" w:cs="David" w:hint="cs"/>
          <w:b/>
          <w:bCs/>
          <w:rtl/>
        </w:rPr>
        <w:t>עמר נ' מדינת ישראל</w:t>
      </w:r>
      <w:r w:rsidR="009B410E">
        <w:rPr>
          <w:rFonts w:ascii="David" w:eastAsia="Calibri" w:hAnsi="David" w:cs="David" w:hint="cs"/>
          <w:rtl/>
        </w:rPr>
        <w:t xml:space="preserve"> </w:t>
      </w:r>
      <w:r w:rsidR="009B410E">
        <w:rPr>
          <w:rFonts w:eastAsia="Calibri" w:cs="David"/>
          <w:sz w:val="22"/>
          <w:rtl/>
        </w:rPr>
        <w:t xml:space="preserve"> </w:t>
      </w:r>
      <w:r w:rsidR="009B410E">
        <w:rPr>
          <w:rFonts w:ascii="David" w:eastAsia="Calibri" w:hAnsi="David" w:cs="David"/>
          <w:rtl/>
        </w:rPr>
        <w:t xml:space="preserve">(24.3.15), בו הוטלו על הנאשם 8 חודשי מאסר בשל גידול שתילי קנבוס במשקל 4,380 גרם והחזקה של כ-2.5 ק"ג סם מסוג קנבוס שלא לשימוש עצמי. יצוין כי בית המשפט העליון ראה במתחם שנקבע בבית המשפט השלום (8-20 חודשי מאסר) כראוי ונכון. </w:t>
      </w:r>
    </w:p>
    <w:p w14:paraId="10FD1A0F" w14:textId="77777777" w:rsidR="009B410E" w:rsidRDefault="009B410E" w:rsidP="009B410E">
      <w:pPr>
        <w:spacing w:after="160" w:line="360" w:lineRule="auto"/>
        <w:jc w:val="both"/>
        <w:rPr>
          <w:rtl/>
        </w:rPr>
      </w:pPr>
      <w:r>
        <w:rPr>
          <w:rFonts w:hint="cs"/>
          <w:rtl/>
        </w:rPr>
        <w:tab/>
      </w:r>
    </w:p>
    <w:p w14:paraId="58DD6081" w14:textId="77777777" w:rsidR="009B410E" w:rsidRDefault="009D0AF3" w:rsidP="009B410E">
      <w:pPr>
        <w:pStyle w:val="1"/>
        <w:spacing w:line="360" w:lineRule="auto"/>
        <w:jc w:val="both"/>
        <w:rPr>
          <w:rFonts w:ascii="David" w:eastAsia="Calibri" w:hAnsi="David" w:cs="David"/>
        </w:rPr>
      </w:pPr>
      <w:hyperlink r:id="rId29" w:history="1">
        <w:r w:rsidRPr="009D0AF3">
          <w:rPr>
            <w:rFonts w:ascii="David" w:eastAsia="Calibri" w:hAnsi="David"/>
            <w:color w:val="0000FF"/>
            <w:u w:val="single"/>
            <w:rtl/>
          </w:rPr>
          <w:t>עפ"ג 42358-10-14</w:t>
        </w:r>
      </w:hyperlink>
      <w:r w:rsidR="009B410E">
        <w:rPr>
          <w:rFonts w:ascii="David" w:eastAsia="Calibri" w:hAnsi="David" w:cs="David"/>
          <w:rtl/>
        </w:rPr>
        <w:t xml:space="preserve"> </w:t>
      </w:r>
      <w:r w:rsidR="009B410E">
        <w:rPr>
          <w:rFonts w:ascii="David" w:eastAsia="Calibri" w:hAnsi="David" w:cs="David" w:hint="cs"/>
          <w:b/>
          <w:bCs/>
          <w:rtl/>
        </w:rPr>
        <w:t>גיא נ' מדינת ישראל</w:t>
      </w:r>
      <w:r w:rsidR="009B410E">
        <w:rPr>
          <w:rFonts w:ascii="David" w:eastAsia="Calibri" w:hAnsi="David" w:cs="David" w:hint="cs"/>
          <w:rtl/>
        </w:rPr>
        <w:t xml:space="preserve"> </w:t>
      </w:r>
      <w:r w:rsidR="009B410E">
        <w:rPr>
          <w:rFonts w:eastAsia="Calibri" w:cs="David"/>
          <w:sz w:val="22"/>
          <w:rtl/>
        </w:rPr>
        <w:t xml:space="preserve"> </w:t>
      </w:r>
      <w:r w:rsidR="009B410E">
        <w:rPr>
          <w:rFonts w:ascii="David" w:eastAsia="Calibri" w:hAnsi="David" w:cs="David"/>
          <w:rtl/>
        </w:rPr>
        <w:t xml:space="preserve">(18.2.15), בו נדחה ערעור נאשם על חומרת עונשו – 8 חודשי מאסר והפעלת מאסר מותנה – בגין עבירה של גידול סם מסוג קנבוס במשקל 5.5 ק"ג והחזקת כלים לגידול הסם. יצוין כי בית המשפט המחוזי קבע שמתחם העונש שנקבע   (7-20 חודשי מאסר) הוא ראוי. </w:t>
      </w:r>
    </w:p>
    <w:p w14:paraId="3FCC1166" w14:textId="77777777" w:rsidR="009B410E" w:rsidRDefault="009B410E" w:rsidP="009B410E">
      <w:pPr>
        <w:spacing w:after="160" w:line="360" w:lineRule="auto"/>
        <w:jc w:val="both"/>
        <w:rPr>
          <w:rtl/>
        </w:rPr>
      </w:pPr>
      <w:r>
        <w:rPr>
          <w:rFonts w:hint="cs"/>
          <w:rtl/>
        </w:rPr>
        <w:tab/>
      </w:r>
    </w:p>
    <w:p w14:paraId="12C45C69" w14:textId="77777777" w:rsidR="009B410E" w:rsidRDefault="009D0AF3" w:rsidP="009B410E">
      <w:pPr>
        <w:spacing w:line="360" w:lineRule="auto"/>
        <w:ind w:left="720"/>
        <w:jc w:val="both"/>
        <w:rPr>
          <w:rFonts w:ascii="David" w:eastAsia="David" w:hAnsi="David"/>
        </w:rPr>
      </w:pPr>
      <w:hyperlink r:id="rId30" w:history="1">
        <w:r w:rsidRPr="009D0AF3">
          <w:rPr>
            <w:color w:val="0000FF"/>
            <w:u w:val="single"/>
            <w:rtl/>
          </w:rPr>
          <w:t>עפ"ג (מח' מרכז-לוד) 8650-04-15</w:t>
        </w:r>
      </w:hyperlink>
      <w:r w:rsidR="009B410E">
        <w:rPr>
          <w:rtl/>
        </w:rPr>
        <w:t xml:space="preserve"> </w:t>
      </w:r>
      <w:r w:rsidR="009B410E">
        <w:rPr>
          <w:rFonts w:hint="cs"/>
          <w:b/>
          <w:bCs/>
          <w:rtl/>
        </w:rPr>
        <w:t>שורץ נ' מדינת ישראל</w:t>
      </w:r>
      <w:r w:rsidR="009B410E">
        <w:rPr>
          <w:rFonts w:hint="cs"/>
          <w:rtl/>
        </w:rPr>
        <w:t xml:space="preserve"> (22.12.15) נדחה ערעורו של נאשם שהורשע בהקמת מעבדה לגידול סמים, שם החזיק 146 שתילים מסוג קנבוס, במשקל כולל של 2.69 ק"ג. הנאשם ללא הרשעות קודמות. תסקיר שירות המבחן חיובי. נקבע מתחם שבין 6 ל-24 חודשי מאסר בפועל. הוטל על הנאשם עונש של תשעה חודשי מאסר בפועל, לצד עונשים נלווים.</w:t>
      </w:r>
    </w:p>
    <w:p w14:paraId="1219E045" w14:textId="77777777" w:rsidR="009B410E" w:rsidRDefault="009B410E" w:rsidP="009B410E">
      <w:pPr>
        <w:pStyle w:val="1"/>
        <w:spacing w:line="360" w:lineRule="auto"/>
        <w:jc w:val="both"/>
        <w:rPr>
          <w:rFonts w:ascii="David" w:eastAsia="Calibri" w:hAnsi="David" w:cs="David"/>
          <w:rtl/>
        </w:rPr>
      </w:pPr>
    </w:p>
    <w:p w14:paraId="05BD6C6B" w14:textId="77777777" w:rsidR="009B410E" w:rsidRDefault="009D0AF3" w:rsidP="009B410E">
      <w:pPr>
        <w:pStyle w:val="1"/>
        <w:spacing w:line="360" w:lineRule="auto"/>
        <w:jc w:val="both"/>
        <w:rPr>
          <w:rFonts w:ascii="David" w:eastAsia="Calibri" w:hAnsi="David" w:cs="David"/>
        </w:rPr>
      </w:pPr>
      <w:hyperlink r:id="rId31" w:history="1">
        <w:r w:rsidRPr="009D0AF3">
          <w:rPr>
            <w:rFonts w:ascii="David" w:eastAsia="Calibri" w:hAnsi="David"/>
            <w:color w:val="0000FF"/>
            <w:u w:val="single"/>
            <w:rtl/>
          </w:rPr>
          <w:t>ת"פ (מחוזי מרכז) 2456-07-10</w:t>
        </w:r>
      </w:hyperlink>
      <w:r w:rsidR="009B410E">
        <w:rPr>
          <w:rFonts w:ascii="David" w:eastAsia="Calibri" w:hAnsi="David" w:cs="David"/>
          <w:rtl/>
        </w:rPr>
        <w:t xml:space="preserve"> </w:t>
      </w:r>
      <w:r w:rsidR="009B410E">
        <w:rPr>
          <w:rFonts w:ascii="David" w:eastAsia="Calibri" w:hAnsi="David" w:cs="David" w:hint="cs"/>
          <w:b/>
          <w:bCs/>
          <w:rtl/>
        </w:rPr>
        <w:t>מדינת ישראל נ' תבל</w:t>
      </w:r>
      <w:r w:rsidR="009B410E">
        <w:rPr>
          <w:rFonts w:ascii="David" w:eastAsia="Calibri" w:hAnsi="David" w:cs="David" w:hint="cs"/>
          <w:rtl/>
        </w:rPr>
        <w:t xml:space="preserve"> </w:t>
      </w:r>
      <w:r w:rsidR="009B410E">
        <w:rPr>
          <w:rFonts w:eastAsia="Calibri" w:cs="David"/>
          <w:sz w:val="22"/>
          <w:rtl/>
        </w:rPr>
        <w:t xml:space="preserve"> </w:t>
      </w:r>
      <w:r w:rsidR="009B410E">
        <w:rPr>
          <w:rFonts w:ascii="David" w:eastAsia="Calibri" w:hAnsi="David" w:cs="David"/>
          <w:rtl/>
        </w:rPr>
        <w:t xml:space="preserve">(8.5.11), בו הוטל על נאשם עונש מאסר בן 8 חודשים בשל גידול סם מסוג קנבוס בכמות של כ- 8.9 ק"ג. </w:t>
      </w:r>
    </w:p>
    <w:p w14:paraId="4EF504EF" w14:textId="77777777" w:rsidR="009B410E" w:rsidRDefault="009B410E" w:rsidP="009B410E">
      <w:pPr>
        <w:spacing w:after="160" w:line="360" w:lineRule="auto"/>
        <w:jc w:val="both"/>
        <w:rPr>
          <w:rtl/>
        </w:rPr>
      </w:pPr>
    </w:p>
    <w:p w14:paraId="28CB2A47" w14:textId="77777777" w:rsidR="009B410E" w:rsidRDefault="009B410E" w:rsidP="009B410E">
      <w:pPr>
        <w:pStyle w:val="a9"/>
        <w:numPr>
          <w:ilvl w:val="0"/>
          <w:numId w:val="1"/>
        </w:numPr>
        <w:spacing w:after="160" w:line="360" w:lineRule="auto"/>
        <w:jc w:val="both"/>
        <w:rPr>
          <w:b/>
          <w:bCs/>
          <w:rtl/>
        </w:rPr>
      </w:pPr>
      <w:r>
        <w:rPr>
          <w:rFonts w:hint="cs"/>
          <w:b/>
          <w:bCs/>
          <w:rtl/>
        </w:rPr>
        <w:t xml:space="preserve">אני סבורה שבנסיבות העבירות בתיק זה מתחם העונש ההולם נע בין עונש של 7  חודשי מאסר שניתן במקרים מסוימים לשאת בדרך של עבודות שירות  ועד לעונש של 20   חודשי מאסר בפועל בנוסף לעונשים נלווים.  </w:t>
      </w:r>
    </w:p>
    <w:p w14:paraId="1521BD63" w14:textId="77777777" w:rsidR="009B410E" w:rsidRDefault="009B410E" w:rsidP="009B410E">
      <w:pPr>
        <w:pStyle w:val="a9"/>
        <w:spacing w:after="160" w:line="360" w:lineRule="auto"/>
        <w:jc w:val="both"/>
        <w:rPr>
          <w:rtl/>
        </w:rPr>
      </w:pPr>
    </w:p>
    <w:p w14:paraId="4A6B3F67" w14:textId="77777777" w:rsidR="009B410E" w:rsidRDefault="009B410E" w:rsidP="009B410E">
      <w:pPr>
        <w:spacing w:after="160" w:line="360" w:lineRule="auto"/>
        <w:ind w:left="720" w:hanging="360"/>
        <w:jc w:val="both"/>
        <w:rPr>
          <w:rtl/>
        </w:rPr>
      </w:pPr>
      <w:r>
        <w:rPr>
          <w:rFonts w:hint="cs"/>
          <w:rtl/>
        </w:rPr>
        <w:t>15.</w:t>
      </w:r>
      <w:r>
        <w:rPr>
          <w:rFonts w:hint="cs"/>
          <w:rtl/>
        </w:rPr>
        <w:tab/>
        <w:t xml:space="preserve">בהתאם </w:t>
      </w:r>
      <w:hyperlink r:id="rId32" w:history="1">
        <w:r w:rsidR="00F0480C" w:rsidRPr="00F0480C">
          <w:rPr>
            <w:rStyle w:val="Hyperlink"/>
            <w:rFonts w:hint="eastAsia"/>
            <w:rtl/>
          </w:rPr>
          <w:t>לסעיף</w:t>
        </w:r>
        <w:r w:rsidR="00F0480C" w:rsidRPr="00F0480C">
          <w:rPr>
            <w:rStyle w:val="Hyperlink"/>
            <w:rtl/>
          </w:rPr>
          <w:t xml:space="preserve"> 40ד'</w:t>
        </w:r>
      </w:hyperlink>
      <w:r>
        <w:rPr>
          <w:rFonts w:hint="cs"/>
          <w:rtl/>
        </w:rPr>
        <w:t xml:space="preserve"> ל</w:t>
      </w:r>
      <w:hyperlink r:id="rId33" w:history="1">
        <w:r w:rsidR="009D0AF3" w:rsidRPr="009D0AF3">
          <w:rPr>
            <w:color w:val="0000FF"/>
            <w:u w:val="single"/>
            <w:rtl/>
          </w:rPr>
          <w:t>חוק העונשין</w:t>
        </w:r>
      </w:hyperlink>
      <w:r>
        <w:rPr>
          <w:rFonts w:hint="cs"/>
          <w:rtl/>
        </w:rPr>
        <w:t xml:space="preserve"> רשאי בית המשפט לחרוג לקולה ממתחם העונש ההולם שקבע, אם מצא כי "</w:t>
      </w:r>
      <w:r>
        <w:rPr>
          <w:rFonts w:ascii="Miriam" w:hAnsi="Miriam" w:cs="Miriam"/>
          <w:rtl/>
        </w:rPr>
        <w:t xml:space="preserve">הנאשם השתקם או כי יש סיכוי של ממש שישתקם". </w:t>
      </w:r>
      <w:r>
        <w:rPr>
          <w:rFonts w:hint="cs"/>
          <w:rtl/>
        </w:rPr>
        <w:t xml:space="preserve">על קיומו של פוטנציאל שיקומי ניתן ללמוד בין היתר  מעברו הפלילי של הנאשם, שיתוף הפעולה עם גורמי הטיפול ורשויות החוק ומקיומה של תמיכה משפחתית לצדו של הנאשם (ראו </w:t>
      </w:r>
      <w:hyperlink r:id="rId34" w:history="1">
        <w:r w:rsidR="009D0AF3" w:rsidRPr="009D0AF3">
          <w:rPr>
            <w:color w:val="0000FF"/>
            <w:u w:val="single"/>
            <w:rtl/>
          </w:rPr>
          <w:t>רע"פ 7683/13</w:t>
        </w:r>
      </w:hyperlink>
      <w:r>
        <w:rPr>
          <w:rFonts w:hint="cs"/>
          <w:rtl/>
        </w:rPr>
        <w:t xml:space="preserve"> </w:t>
      </w:r>
      <w:r>
        <w:rPr>
          <w:rFonts w:hint="cs"/>
          <w:b/>
          <w:bCs/>
          <w:rtl/>
        </w:rPr>
        <w:t>דוד פרלמן נ' מדינת ישראל</w:t>
      </w:r>
      <w:r>
        <w:rPr>
          <w:rFonts w:hint="cs"/>
          <w:rtl/>
        </w:rPr>
        <w:t xml:space="preserve"> (23.2.14)). </w:t>
      </w:r>
    </w:p>
    <w:p w14:paraId="0F6C345A" w14:textId="77777777" w:rsidR="009B410E" w:rsidRDefault="009B410E" w:rsidP="009B410E">
      <w:pPr>
        <w:spacing w:after="160" w:line="360" w:lineRule="auto"/>
        <w:ind w:left="720" w:hanging="360"/>
        <w:jc w:val="both"/>
        <w:rPr>
          <w:rtl/>
        </w:rPr>
      </w:pPr>
      <w:r>
        <w:rPr>
          <w:rFonts w:hint="cs"/>
          <w:rtl/>
        </w:rPr>
        <w:t>16.</w:t>
      </w:r>
      <w:r>
        <w:rPr>
          <w:rFonts w:hint="cs"/>
          <w:rtl/>
        </w:rPr>
        <w:tab/>
        <w:t xml:space="preserve">יישום הדברים בעניינה של הנאשמת מביא למסקנה כי הוכחו בעניינה סיכויי שיקום ממשיים. הנאשמת  השתלבה בהליך שיקומי ומשתפת בו פעולה באופן מלא. לנאשמת אין עבר פלילי, הודתה והביעה חרטה כנה על מעשיה. הנאשמת נישאה ולאחרונה נולדה בתה והיא אם לתינוקת כבת חודשיים. שירות המבחן מציין בעניינה של הנאשמת שעונש מאסר ולו בדרך של עבודות שירות עלול לפגוע בהליך הטיפולי בו מצויה הנאשמת ועל כן, הגם שהנאשמת עברה עבירות חמורות אני סבורה שיש מקום לאמץ את המלצות תסקיר שירות המבחן ולחרוג ממתחם העונש ההולם בדרך של הטלת צו של"צ וצו מבחן בצרוף ענישה נלווית. </w:t>
      </w:r>
    </w:p>
    <w:p w14:paraId="452123AE" w14:textId="77777777" w:rsidR="009B410E" w:rsidRDefault="009B410E" w:rsidP="009B410E">
      <w:pPr>
        <w:spacing w:after="160" w:line="360" w:lineRule="auto"/>
        <w:ind w:left="360"/>
        <w:jc w:val="both"/>
        <w:rPr>
          <w:b/>
          <w:bCs/>
        </w:rPr>
      </w:pPr>
      <w:r>
        <w:rPr>
          <w:rFonts w:hint="cs"/>
          <w:b/>
          <w:bCs/>
          <w:rtl/>
        </w:rPr>
        <w:t>18.</w:t>
      </w:r>
      <w:r>
        <w:rPr>
          <w:rFonts w:hint="cs"/>
          <w:b/>
          <w:bCs/>
          <w:rtl/>
        </w:rPr>
        <w:tab/>
        <w:t xml:space="preserve">במכלול השיקולים לקולא ולחומרא אני גוזרת על הנאשמת את העונשים הבאים: </w:t>
      </w:r>
    </w:p>
    <w:p w14:paraId="2362B2E3" w14:textId="77777777" w:rsidR="009B410E" w:rsidRDefault="009B410E" w:rsidP="009B410E">
      <w:pPr>
        <w:pStyle w:val="a9"/>
        <w:spacing w:after="160" w:line="360" w:lineRule="auto"/>
        <w:jc w:val="both"/>
        <w:rPr>
          <w:b/>
          <w:bCs/>
          <w:rtl/>
        </w:rPr>
      </w:pPr>
      <w:r>
        <w:rPr>
          <w:rFonts w:hint="cs"/>
          <w:b/>
          <w:bCs/>
          <w:rtl/>
        </w:rPr>
        <w:t xml:space="preserve">מאסר על תנאי למשך 3 חודשים והתנאי הוא שהנאשמת  לא  תעבור  במשך שלוש שנים כל עבירה סמים מסוג פשע על פי פקודת הסמים ותורשע בה.  </w:t>
      </w:r>
    </w:p>
    <w:p w14:paraId="1C757ECA" w14:textId="77777777" w:rsidR="009B410E" w:rsidRDefault="009B410E" w:rsidP="009B410E">
      <w:pPr>
        <w:pStyle w:val="a9"/>
        <w:spacing w:after="160" w:line="360" w:lineRule="auto"/>
        <w:jc w:val="both"/>
        <w:rPr>
          <w:rtl/>
        </w:rPr>
      </w:pPr>
    </w:p>
    <w:p w14:paraId="628DDA6E" w14:textId="77777777" w:rsidR="009B410E" w:rsidRDefault="009B410E" w:rsidP="009B410E">
      <w:pPr>
        <w:pStyle w:val="a9"/>
        <w:spacing w:after="160" w:line="360" w:lineRule="auto"/>
        <w:jc w:val="both"/>
        <w:rPr>
          <w:b/>
          <w:bCs/>
        </w:rPr>
      </w:pPr>
      <w:r>
        <w:rPr>
          <w:rFonts w:hint="cs"/>
          <w:b/>
          <w:bCs/>
          <w:rtl/>
        </w:rPr>
        <w:t xml:space="preserve">ניתן בזאת צו מבחן לתקופה של 12 חודשים במסגרתו תהיה הנאשמת נתונה  בפיקוח שירות המבחן. הובהר בשפה פשוטה וברורה לנאשמת כי עליה לבצע את הצו ולשתף פעולה עם שירות המבחן שכן אם לא, ניתן יהיה להפקיע את צו המבחן ולדון בתיק זה בשנית. </w:t>
      </w:r>
    </w:p>
    <w:p w14:paraId="7701A000" w14:textId="77777777" w:rsidR="009B410E" w:rsidRDefault="009B410E" w:rsidP="009B410E">
      <w:pPr>
        <w:pStyle w:val="a9"/>
        <w:spacing w:after="160" w:line="360" w:lineRule="auto"/>
        <w:jc w:val="both"/>
        <w:rPr>
          <w:b/>
          <w:bCs/>
          <w:rtl/>
        </w:rPr>
      </w:pPr>
    </w:p>
    <w:p w14:paraId="14640B60" w14:textId="77777777" w:rsidR="009B410E" w:rsidRDefault="009B410E" w:rsidP="009B410E">
      <w:pPr>
        <w:pStyle w:val="a9"/>
        <w:spacing w:after="160" w:line="360" w:lineRule="auto"/>
        <w:jc w:val="both"/>
        <w:rPr>
          <w:b/>
          <w:bCs/>
          <w:rtl/>
        </w:rPr>
      </w:pPr>
      <w:r>
        <w:rPr>
          <w:rFonts w:hint="cs"/>
          <w:b/>
          <w:bCs/>
          <w:rtl/>
        </w:rPr>
        <w:t xml:space="preserve">ניתן בזאת צו של"צ בהיקף של 300 שעות. הנאשמת מוזהרת כי עליה לבצע את שעות השל"צ לשביעות רצון שירות המבחן ועל פי הנחיות שירות המבחן שכן אם לא תעשה כן ניתן יהיה להפקיע את צו השל"צ ולדון מחדש בתיק זה. מובהר לנאשמת כי עליה למלא את צו  השל"צ. </w:t>
      </w:r>
    </w:p>
    <w:p w14:paraId="5D152097" w14:textId="77777777" w:rsidR="009B410E" w:rsidRDefault="009B410E" w:rsidP="009B410E">
      <w:pPr>
        <w:pStyle w:val="a9"/>
        <w:spacing w:after="160" w:line="360" w:lineRule="auto"/>
        <w:jc w:val="both"/>
        <w:rPr>
          <w:b/>
          <w:bCs/>
          <w:rtl/>
        </w:rPr>
      </w:pPr>
      <w:r>
        <w:rPr>
          <w:rFonts w:hint="cs"/>
          <w:b/>
          <w:bCs/>
          <w:rtl/>
        </w:rPr>
        <w:t xml:space="preserve">שירות המבחן יגיש תכנית של"צ בתוך 45 יום לבית המשפט לצורך אישור. </w:t>
      </w:r>
    </w:p>
    <w:p w14:paraId="0E901BF9" w14:textId="77777777" w:rsidR="009B410E" w:rsidRDefault="009B410E" w:rsidP="009B410E">
      <w:pPr>
        <w:pStyle w:val="a9"/>
        <w:spacing w:after="160" w:line="360" w:lineRule="auto"/>
        <w:jc w:val="both"/>
        <w:rPr>
          <w:b/>
          <w:bCs/>
          <w:rtl/>
        </w:rPr>
      </w:pPr>
    </w:p>
    <w:p w14:paraId="498DCE23" w14:textId="77777777" w:rsidR="009B410E" w:rsidRDefault="009B410E" w:rsidP="009B410E">
      <w:pPr>
        <w:pStyle w:val="a9"/>
        <w:spacing w:after="160" w:line="360" w:lineRule="auto"/>
        <w:jc w:val="both"/>
        <w:rPr>
          <w:b/>
          <w:bCs/>
          <w:rtl/>
        </w:rPr>
      </w:pPr>
      <w:r>
        <w:rPr>
          <w:rFonts w:hint="cs"/>
          <w:b/>
          <w:bCs/>
          <w:rtl/>
        </w:rPr>
        <w:t xml:space="preserve">קנס כספי בסכום של 2,000 ₪.  </w:t>
      </w:r>
    </w:p>
    <w:p w14:paraId="6029F4C5" w14:textId="77777777" w:rsidR="009B410E" w:rsidRDefault="009B410E" w:rsidP="009B410E">
      <w:pPr>
        <w:pStyle w:val="a9"/>
        <w:spacing w:after="160" w:line="360" w:lineRule="auto"/>
        <w:jc w:val="both"/>
        <w:rPr>
          <w:b/>
          <w:bCs/>
          <w:rtl/>
        </w:rPr>
      </w:pPr>
      <w:r>
        <w:rPr>
          <w:rFonts w:hint="cs"/>
          <w:b/>
          <w:bCs/>
          <w:u w:val="single"/>
          <w:rtl/>
        </w:rPr>
        <w:t>ככל שיש פיקדון כספי במסגרת תיק המעצר, הוא יקוזז מהסכום הכולל של הקנס ויתרה  תושב לנאשמת ככל שאין מניעה אחרת על פי דין.</w:t>
      </w:r>
    </w:p>
    <w:p w14:paraId="44A02486" w14:textId="77777777" w:rsidR="009B410E" w:rsidRDefault="009B410E" w:rsidP="009B410E">
      <w:pPr>
        <w:pStyle w:val="a9"/>
        <w:spacing w:after="160" w:line="360" w:lineRule="auto"/>
        <w:jc w:val="both"/>
        <w:rPr>
          <w:b/>
          <w:bCs/>
          <w:rtl/>
        </w:rPr>
      </w:pPr>
    </w:p>
    <w:p w14:paraId="4EA6054A" w14:textId="77777777" w:rsidR="009B410E" w:rsidRDefault="009B410E" w:rsidP="009B410E">
      <w:pPr>
        <w:pStyle w:val="a9"/>
        <w:spacing w:after="160" w:line="360" w:lineRule="auto"/>
        <w:jc w:val="both"/>
        <w:rPr>
          <w:b/>
          <w:bCs/>
          <w:rtl/>
        </w:rPr>
      </w:pPr>
      <w:r>
        <w:rPr>
          <w:rFonts w:hint="cs"/>
          <w:b/>
          <w:bCs/>
          <w:rtl/>
        </w:rPr>
        <w:t xml:space="preserve">בנסיבותיה של הנאשמת והעובדה שמתסקיר שירות המבחן עולה שבדיקות השתן אותן מסרה העידו על ניקיון משרידי סם אני פוסלת את הנאשמת מלהחזיק או לקבל רישיון נהיגה על תנאי למשך 2 חודשים לתקופה של שנתיים והתנאי הוא שלא תעבור כל עבירת סמים ותורשע בה. </w:t>
      </w:r>
    </w:p>
    <w:p w14:paraId="5225D534" w14:textId="77777777" w:rsidR="009B410E" w:rsidRDefault="009B410E" w:rsidP="009B410E">
      <w:pPr>
        <w:pStyle w:val="a9"/>
        <w:spacing w:after="160" w:line="360" w:lineRule="auto"/>
        <w:jc w:val="both"/>
        <w:rPr>
          <w:b/>
          <w:bCs/>
          <w:rtl/>
        </w:rPr>
      </w:pPr>
    </w:p>
    <w:p w14:paraId="10710642" w14:textId="77777777" w:rsidR="009B410E" w:rsidRDefault="009B410E" w:rsidP="009B410E">
      <w:pPr>
        <w:pStyle w:val="a9"/>
        <w:spacing w:after="160" w:line="360" w:lineRule="auto"/>
        <w:jc w:val="both"/>
        <w:rPr>
          <w:b/>
          <w:bCs/>
          <w:u w:val="single"/>
          <w:rtl/>
        </w:rPr>
      </w:pPr>
      <w:r>
        <w:rPr>
          <w:rFonts w:hint="cs"/>
          <w:b/>
          <w:bCs/>
          <w:u w:val="single"/>
          <w:rtl/>
        </w:rPr>
        <w:t>זכות ערעור בתוך 45 יום לבית המשפט המחוזי.</w:t>
      </w:r>
    </w:p>
    <w:p w14:paraId="5B09C7B3" w14:textId="77777777" w:rsidR="009B410E" w:rsidRDefault="009B410E" w:rsidP="009B410E">
      <w:pPr>
        <w:pStyle w:val="a9"/>
        <w:spacing w:after="160" w:line="360" w:lineRule="auto"/>
        <w:jc w:val="both"/>
        <w:rPr>
          <w:b/>
          <w:bCs/>
          <w:u w:val="single"/>
          <w:rtl/>
        </w:rPr>
      </w:pPr>
      <w:r>
        <w:rPr>
          <w:rFonts w:hint="cs"/>
          <w:b/>
          <w:bCs/>
          <w:u w:val="single"/>
          <w:rtl/>
        </w:rPr>
        <w:t xml:space="preserve">המוצגים – סמים וציוד, להשמיד בחלוף תקופת הערעור. </w:t>
      </w:r>
    </w:p>
    <w:p w14:paraId="213F00EF" w14:textId="77777777" w:rsidR="009B410E" w:rsidRDefault="009D0AF3" w:rsidP="009B410E">
      <w:pPr>
        <w:pStyle w:val="a9"/>
        <w:spacing w:after="160" w:line="360" w:lineRule="auto"/>
        <w:jc w:val="both"/>
        <w:rPr>
          <w:b/>
          <w:bCs/>
          <w:u w:val="single"/>
          <w:rtl/>
        </w:rPr>
      </w:pPr>
      <w:r w:rsidRPr="009D0AF3">
        <w:rPr>
          <w:b/>
          <w:bCs/>
          <w:color w:val="FFFFFF"/>
          <w:sz w:val="2"/>
          <w:szCs w:val="2"/>
          <w:u w:val="single"/>
          <w:rtl/>
        </w:rPr>
        <w:t>5129371</w:t>
      </w:r>
      <w:r w:rsidR="009B410E">
        <w:rPr>
          <w:rFonts w:hint="cs"/>
          <w:b/>
          <w:bCs/>
          <w:u w:val="single"/>
          <w:rtl/>
        </w:rPr>
        <w:t xml:space="preserve">ככל שישנם מוצגים שיש להחזיר בתיק לבעליהם לרבות טלפון נייד של הנאשמת, המוצגים יושבו. </w:t>
      </w:r>
    </w:p>
    <w:p w14:paraId="0913A1AD" w14:textId="77777777" w:rsidR="009B410E" w:rsidRPr="000436F4" w:rsidRDefault="009D0AF3" w:rsidP="009B410E">
      <w:pPr>
        <w:pStyle w:val="a9"/>
        <w:spacing w:line="360" w:lineRule="auto"/>
        <w:jc w:val="both"/>
        <w:rPr>
          <w:rFonts w:ascii="Arial" w:hAnsi="Arial"/>
          <w:b/>
          <w:bCs/>
          <w:u w:val="single"/>
          <w:rtl/>
        </w:rPr>
      </w:pPr>
      <w:r w:rsidRPr="009D0AF3">
        <w:rPr>
          <w:rFonts w:ascii="Arial" w:hAnsi="Arial"/>
          <w:b/>
          <w:bCs/>
          <w:color w:val="FFFFFF"/>
          <w:sz w:val="2"/>
          <w:szCs w:val="2"/>
          <w:u w:val="single"/>
          <w:rtl/>
        </w:rPr>
        <w:t>54678313</w:t>
      </w:r>
      <w:r w:rsidR="009B410E" w:rsidRPr="000436F4">
        <w:rPr>
          <w:rFonts w:ascii="Arial" w:hAnsi="Arial" w:hint="cs"/>
          <w:b/>
          <w:bCs/>
          <w:u w:val="single"/>
          <w:rtl/>
        </w:rPr>
        <w:t>מזכירות בית המשפט תמציא לשירות המבחן וכן למשרד הרישוי</w:t>
      </w:r>
    </w:p>
    <w:p w14:paraId="512E1CF3" w14:textId="77777777" w:rsidR="009B410E" w:rsidRPr="000F2247" w:rsidRDefault="009B410E" w:rsidP="009B410E">
      <w:pPr>
        <w:rPr>
          <w:rFonts w:ascii="Arial" w:hAnsi="Arial"/>
          <w:b/>
          <w:bCs/>
          <w:sz w:val="26"/>
          <w:szCs w:val="26"/>
          <w:rtl/>
        </w:rPr>
      </w:pPr>
      <w:r>
        <w:rPr>
          <w:rFonts w:ascii="Arial" w:hAnsi="Arial"/>
          <w:b/>
          <w:bCs/>
          <w:sz w:val="26"/>
          <w:szCs w:val="26"/>
          <w:rtl/>
        </w:rPr>
        <w:tab/>
      </w:r>
    </w:p>
    <w:p w14:paraId="71196B78" w14:textId="77777777" w:rsidR="009B410E" w:rsidRPr="000F2247" w:rsidRDefault="009D0AF3" w:rsidP="009B410E">
      <w:pPr>
        <w:rPr>
          <w:rFonts w:ascii="Arial" w:hAnsi="Arial"/>
          <w:b/>
          <w:bCs/>
          <w:sz w:val="26"/>
          <w:szCs w:val="26"/>
          <w:rtl/>
        </w:rPr>
      </w:pPr>
      <w:bookmarkStart w:id="7" w:name="Nitan"/>
      <w:r>
        <w:rPr>
          <w:rFonts w:ascii="Arial" w:hAnsi="Arial"/>
          <w:b/>
          <w:bCs/>
          <w:sz w:val="26"/>
          <w:szCs w:val="26"/>
          <w:rtl/>
        </w:rPr>
        <w:t xml:space="preserve">ניתן היום,  א' טבת תשפ"ג, 25 דצמבר 2022, בנוכחות הצדדים. </w:t>
      </w:r>
      <w:bookmarkEnd w:id="7"/>
    </w:p>
    <w:p w14:paraId="773CC896" w14:textId="77777777" w:rsidR="009B410E" w:rsidRPr="000F2247" w:rsidRDefault="009B410E" w:rsidP="009D0AF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1E81534" w14:textId="77777777" w:rsidR="009B410E" w:rsidRPr="000F2247" w:rsidRDefault="009B410E" w:rsidP="009B410E">
      <w:pPr>
        <w:jc w:val="center"/>
        <w:rPr>
          <w:rFonts w:ascii="Arial" w:hAnsi="Arial"/>
          <w:b/>
          <w:bCs/>
          <w:sz w:val="26"/>
          <w:szCs w:val="26"/>
          <w:rtl/>
        </w:rPr>
      </w:pPr>
    </w:p>
    <w:p w14:paraId="6F826FB0" w14:textId="77777777" w:rsidR="00211DBC" w:rsidRPr="009D0AF3" w:rsidRDefault="00211DBC" w:rsidP="009D0AF3">
      <w:pPr>
        <w:keepNext/>
        <w:rPr>
          <w:rFonts w:ascii="David" w:hAnsi="David"/>
          <w:color w:val="000000"/>
          <w:sz w:val="22"/>
          <w:szCs w:val="22"/>
          <w:rtl/>
        </w:rPr>
      </w:pPr>
    </w:p>
    <w:p w14:paraId="7A03A041" w14:textId="77777777" w:rsidR="009D0AF3" w:rsidRPr="009D0AF3" w:rsidRDefault="009D0AF3" w:rsidP="009D0AF3">
      <w:pPr>
        <w:keepNext/>
        <w:rPr>
          <w:rFonts w:ascii="David" w:hAnsi="David"/>
          <w:color w:val="000000"/>
          <w:sz w:val="22"/>
          <w:szCs w:val="22"/>
          <w:rtl/>
        </w:rPr>
      </w:pPr>
      <w:r w:rsidRPr="009D0AF3">
        <w:rPr>
          <w:rFonts w:ascii="David" w:hAnsi="David"/>
          <w:color w:val="000000"/>
          <w:sz w:val="22"/>
          <w:szCs w:val="22"/>
          <w:rtl/>
        </w:rPr>
        <w:t>סימי פלג קימלוב 54678313</w:t>
      </w:r>
    </w:p>
    <w:p w14:paraId="7827DE69" w14:textId="77777777" w:rsidR="009D0AF3" w:rsidRDefault="009D0AF3" w:rsidP="009D0AF3">
      <w:r w:rsidRPr="009D0AF3">
        <w:rPr>
          <w:color w:val="000000"/>
          <w:rtl/>
        </w:rPr>
        <w:t>נוסח מסמך זה כפוף לשינויי ניסוח ועריכה</w:t>
      </w:r>
    </w:p>
    <w:p w14:paraId="2C8C6BA4" w14:textId="77777777" w:rsidR="009D0AF3" w:rsidRDefault="009D0AF3" w:rsidP="009D0AF3">
      <w:pPr>
        <w:rPr>
          <w:rtl/>
        </w:rPr>
      </w:pPr>
    </w:p>
    <w:p w14:paraId="220A320B" w14:textId="77777777" w:rsidR="009D0AF3" w:rsidRDefault="009D0AF3" w:rsidP="009D0AF3">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7C2EA410" w14:textId="77777777" w:rsidR="009D0AF3" w:rsidRPr="009D0AF3" w:rsidRDefault="009D0AF3" w:rsidP="009D0AF3">
      <w:pPr>
        <w:jc w:val="center"/>
        <w:rPr>
          <w:color w:val="0000FF"/>
          <w:u w:val="single"/>
        </w:rPr>
      </w:pPr>
    </w:p>
    <w:sectPr w:rsidR="009D0AF3" w:rsidRPr="009D0AF3" w:rsidSect="009D0AF3">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089C4" w14:textId="77777777" w:rsidR="00DB65D5" w:rsidRDefault="00DB65D5" w:rsidP="007C6A47">
      <w:r>
        <w:separator/>
      </w:r>
    </w:p>
  </w:endnote>
  <w:endnote w:type="continuationSeparator" w:id="0">
    <w:p w14:paraId="5FC699A9" w14:textId="77777777" w:rsidR="00DB65D5" w:rsidRDefault="00DB65D5" w:rsidP="007C6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DE417" w14:textId="77777777" w:rsidR="009D0AF3" w:rsidRDefault="009D0AF3" w:rsidP="009D0AF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3B43AA6" w14:textId="77777777" w:rsidR="006873FD" w:rsidRPr="009D0AF3" w:rsidRDefault="009D0AF3" w:rsidP="009D0AF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CC189" w14:textId="77777777" w:rsidR="009D0AF3" w:rsidRDefault="009D0AF3" w:rsidP="009D0AF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D69D1">
      <w:rPr>
        <w:rFonts w:ascii="FrankRuehl" w:hAnsi="FrankRuehl" w:cs="FrankRuehl"/>
        <w:noProof/>
        <w:rtl/>
      </w:rPr>
      <w:t>1</w:t>
    </w:r>
    <w:r>
      <w:rPr>
        <w:rFonts w:ascii="FrankRuehl" w:hAnsi="FrankRuehl" w:cs="FrankRuehl"/>
        <w:rtl/>
      </w:rPr>
      <w:fldChar w:fldCharType="end"/>
    </w:r>
  </w:p>
  <w:p w14:paraId="0F498428" w14:textId="77777777" w:rsidR="006873FD" w:rsidRPr="009D0AF3" w:rsidRDefault="009D0AF3" w:rsidP="009D0AF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C29C3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570A65" w14:textId="77777777" w:rsidR="00DB65D5" w:rsidRDefault="00DB65D5" w:rsidP="007C6A47">
      <w:r>
        <w:separator/>
      </w:r>
    </w:p>
  </w:footnote>
  <w:footnote w:type="continuationSeparator" w:id="0">
    <w:p w14:paraId="6E67B2E2" w14:textId="77777777" w:rsidR="00DB65D5" w:rsidRDefault="00DB65D5" w:rsidP="007C6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6B875" w14:textId="77777777" w:rsidR="009D0AF3" w:rsidRPr="009D0AF3" w:rsidRDefault="009D0AF3" w:rsidP="009D0AF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9380-03-21</w:t>
    </w:r>
    <w:r>
      <w:rPr>
        <w:rFonts w:ascii="David" w:hAnsi="David"/>
        <w:color w:val="000000"/>
        <w:sz w:val="22"/>
        <w:szCs w:val="22"/>
        <w:rtl/>
      </w:rPr>
      <w:tab/>
      <w:t xml:space="preserve"> מדינת ישראל נ' ימית גימפל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3A39E" w14:textId="77777777" w:rsidR="009D0AF3" w:rsidRPr="009D0AF3" w:rsidRDefault="009D0AF3" w:rsidP="009D0AF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9380-03-21</w:t>
    </w:r>
    <w:r>
      <w:rPr>
        <w:rFonts w:ascii="David" w:hAnsi="David"/>
        <w:color w:val="000000"/>
        <w:sz w:val="22"/>
        <w:szCs w:val="22"/>
        <w:rtl/>
      </w:rPr>
      <w:tab/>
      <w:t xml:space="preserve"> מדינת ישראל נ' ימית גימפל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C629D"/>
    <w:multiLevelType w:val="hybridMultilevel"/>
    <w:tmpl w:val="4B208A58"/>
    <w:lvl w:ilvl="0" w:tplc="E64ECCF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806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B410E"/>
    <w:rsid w:val="001A4558"/>
    <w:rsid w:val="00211DBC"/>
    <w:rsid w:val="00397B83"/>
    <w:rsid w:val="003C67A6"/>
    <w:rsid w:val="004D69D1"/>
    <w:rsid w:val="005977AD"/>
    <w:rsid w:val="006873FD"/>
    <w:rsid w:val="007C6A47"/>
    <w:rsid w:val="009A2A59"/>
    <w:rsid w:val="009A4E4C"/>
    <w:rsid w:val="009B410E"/>
    <w:rsid w:val="009D0AF3"/>
    <w:rsid w:val="00DB65D5"/>
    <w:rsid w:val="00F0480C"/>
    <w:rsid w:val="00F3269C"/>
    <w:rsid w:val="00FD3C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FDD23F"/>
  <w15:chartTrackingRefBased/>
  <w15:docId w15:val="{5AE7C546-0A55-4952-87C4-41EC8C213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B410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B410E"/>
    <w:pPr>
      <w:tabs>
        <w:tab w:val="center" w:pos="4153"/>
        <w:tab w:val="right" w:pos="8306"/>
      </w:tabs>
    </w:pPr>
  </w:style>
  <w:style w:type="character" w:customStyle="1" w:styleId="a4">
    <w:name w:val="כותרת עליונה תו"/>
    <w:link w:val="a3"/>
    <w:rsid w:val="009B410E"/>
    <w:rPr>
      <w:rFonts w:ascii="Times New Roman" w:eastAsia="Times New Roman" w:hAnsi="Times New Roman" w:cs="David"/>
      <w:sz w:val="24"/>
      <w:szCs w:val="24"/>
    </w:rPr>
  </w:style>
  <w:style w:type="paragraph" w:styleId="a5">
    <w:name w:val="footer"/>
    <w:basedOn w:val="a"/>
    <w:link w:val="a6"/>
    <w:rsid w:val="009B410E"/>
    <w:pPr>
      <w:tabs>
        <w:tab w:val="center" w:pos="4153"/>
        <w:tab w:val="right" w:pos="8306"/>
      </w:tabs>
    </w:pPr>
  </w:style>
  <w:style w:type="character" w:customStyle="1" w:styleId="a6">
    <w:name w:val="כותרת תחתונה תו"/>
    <w:link w:val="a5"/>
    <w:rsid w:val="009B410E"/>
    <w:rPr>
      <w:rFonts w:ascii="Times New Roman" w:eastAsia="Times New Roman" w:hAnsi="Times New Roman" w:cs="David"/>
      <w:sz w:val="24"/>
      <w:szCs w:val="24"/>
    </w:rPr>
  </w:style>
  <w:style w:type="table" w:styleId="a7">
    <w:name w:val="Table Grid"/>
    <w:basedOn w:val="a1"/>
    <w:rsid w:val="009B410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B410E"/>
  </w:style>
  <w:style w:type="paragraph" w:styleId="a9">
    <w:name w:val="List Paragraph"/>
    <w:basedOn w:val="a"/>
    <w:link w:val="aa"/>
    <w:qFormat/>
    <w:rsid w:val="009B410E"/>
    <w:pPr>
      <w:ind w:left="720"/>
      <w:contextualSpacing/>
    </w:pPr>
  </w:style>
  <w:style w:type="character" w:styleId="Hyperlink">
    <w:name w:val="Hyperlink"/>
    <w:rsid w:val="009B410E"/>
    <w:rPr>
      <w:color w:val="0000FF"/>
      <w:u w:val="single"/>
    </w:rPr>
  </w:style>
  <w:style w:type="character" w:customStyle="1" w:styleId="aa">
    <w:name w:val="פיסקת רשימה תו"/>
    <w:link w:val="a9"/>
    <w:locked/>
    <w:rsid w:val="009B410E"/>
    <w:rPr>
      <w:rFonts w:ascii="Times New Roman" w:eastAsia="Times New Roman" w:hAnsi="Times New Roman" w:cs="David"/>
      <w:sz w:val="24"/>
      <w:szCs w:val="24"/>
    </w:rPr>
  </w:style>
  <w:style w:type="paragraph" w:customStyle="1" w:styleId="1">
    <w:name w:val="פיסקת רשימה1"/>
    <w:basedOn w:val="a"/>
    <w:rsid w:val="009B410E"/>
    <w:pPr>
      <w:ind w:left="720"/>
      <w:contextualSpacing/>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5786821" TargetMode="External"/><Relationship Id="rId26" Type="http://schemas.openxmlformats.org/officeDocument/2006/relationships/hyperlink" Target="http://www.nevo.co.il/case/22684144" TargetMode="External"/><Relationship Id="rId39" Type="http://schemas.openxmlformats.org/officeDocument/2006/relationships/footer" Target="footer2.xml"/><Relationship Id="rId21" Type="http://schemas.openxmlformats.org/officeDocument/2006/relationships/hyperlink" Target="http://www.nevo.co.il/case/8291661" TargetMode="External"/><Relationship Id="rId34" Type="http://schemas.openxmlformats.org/officeDocument/2006/relationships/hyperlink" Target="http://www.nevo.co.il/case/10459128"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13093721" TargetMode="External"/><Relationship Id="rId20" Type="http://schemas.openxmlformats.org/officeDocument/2006/relationships/hyperlink" Target="http://www.nevo.co.il/case/17939812" TargetMode="External"/><Relationship Id="rId29" Type="http://schemas.openxmlformats.org/officeDocument/2006/relationships/hyperlink" Target="http://www.nevo.co.il/case/1811916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case/22087107" TargetMode="External"/><Relationship Id="rId32" Type="http://schemas.openxmlformats.org/officeDocument/2006/relationships/hyperlink" Target="http://www.nevo.co.il/law/70301/40d"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3778567" TargetMode="External"/><Relationship Id="rId28" Type="http://schemas.openxmlformats.org/officeDocument/2006/relationships/hyperlink" Target="http://www.nevo.co.il/case/20111708" TargetMode="External"/><Relationship Id="rId36"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case/6045416" TargetMode="External"/><Relationship Id="rId31" Type="http://schemas.openxmlformats.org/officeDocument/2006/relationships/hyperlink" Target="http://www.nevo.co.il/case/4855721"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4773189" TargetMode="External"/><Relationship Id="rId27" Type="http://schemas.openxmlformats.org/officeDocument/2006/relationships/hyperlink" Target="http://www.nevo.co.il/case/22961877" TargetMode="External"/><Relationship Id="rId30" Type="http://schemas.openxmlformats.org/officeDocument/2006/relationships/hyperlink" Target="http://www.nevo.co.il/case/20159091"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6" TargetMode="External"/><Relationship Id="rId17" Type="http://schemas.openxmlformats.org/officeDocument/2006/relationships/hyperlink" Target="http://www.nevo.co.il/case/5738608" TargetMode="External"/><Relationship Id="rId25" Type="http://schemas.openxmlformats.org/officeDocument/2006/relationships/hyperlink" Target="http://www.nevo.co.il/case/22961877" TargetMode="External"/><Relationship Id="rId33" Type="http://schemas.openxmlformats.org/officeDocument/2006/relationships/hyperlink" Target="http://www.nevo.co.il/law/70301"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2613</Words>
  <Characters>13070</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15652</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4063344</vt:i4>
      </vt:variant>
      <vt:variant>
        <vt:i4>81</vt:i4>
      </vt:variant>
      <vt:variant>
        <vt:i4>0</vt:i4>
      </vt:variant>
      <vt:variant>
        <vt:i4>5</vt:i4>
      </vt:variant>
      <vt:variant>
        <vt:lpwstr>http://www.nevo.co.il/case/10459128</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http://www.nevo.co.il/law/70301/40d</vt:lpwstr>
      </vt:variant>
      <vt:variant>
        <vt:lpwstr/>
      </vt:variant>
      <vt:variant>
        <vt:i4>3604603</vt:i4>
      </vt:variant>
      <vt:variant>
        <vt:i4>72</vt:i4>
      </vt:variant>
      <vt:variant>
        <vt:i4>0</vt:i4>
      </vt:variant>
      <vt:variant>
        <vt:i4>5</vt:i4>
      </vt:variant>
      <vt:variant>
        <vt:lpwstr>http://www.nevo.co.il/case/4855721</vt:lpwstr>
      </vt:variant>
      <vt:variant>
        <vt:lpwstr/>
      </vt:variant>
      <vt:variant>
        <vt:i4>3342449</vt:i4>
      </vt:variant>
      <vt:variant>
        <vt:i4>69</vt:i4>
      </vt:variant>
      <vt:variant>
        <vt:i4>0</vt:i4>
      </vt:variant>
      <vt:variant>
        <vt:i4>5</vt:i4>
      </vt:variant>
      <vt:variant>
        <vt:lpwstr>http://www.nevo.co.il/case/20159091</vt:lpwstr>
      </vt:variant>
      <vt:variant>
        <vt:lpwstr/>
      </vt:variant>
      <vt:variant>
        <vt:i4>4128892</vt:i4>
      </vt:variant>
      <vt:variant>
        <vt:i4>66</vt:i4>
      </vt:variant>
      <vt:variant>
        <vt:i4>0</vt:i4>
      </vt:variant>
      <vt:variant>
        <vt:i4>5</vt:i4>
      </vt:variant>
      <vt:variant>
        <vt:lpwstr>http://www.nevo.co.il/case/18119161</vt:lpwstr>
      </vt:variant>
      <vt:variant>
        <vt:lpwstr/>
      </vt:variant>
      <vt:variant>
        <vt:i4>3276914</vt:i4>
      </vt:variant>
      <vt:variant>
        <vt:i4>63</vt:i4>
      </vt:variant>
      <vt:variant>
        <vt:i4>0</vt:i4>
      </vt:variant>
      <vt:variant>
        <vt:i4>5</vt:i4>
      </vt:variant>
      <vt:variant>
        <vt:lpwstr>http://www.nevo.co.il/case/20111708</vt:lpwstr>
      </vt:variant>
      <vt:variant>
        <vt:lpwstr/>
      </vt:variant>
      <vt:variant>
        <vt:i4>3997816</vt:i4>
      </vt:variant>
      <vt:variant>
        <vt:i4>60</vt:i4>
      </vt:variant>
      <vt:variant>
        <vt:i4>0</vt:i4>
      </vt:variant>
      <vt:variant>
        <vt:i4>5</vt:i4>
      </vt:variant>
      <vt:variant>
        <vt:lpwstr>http://www.nevo.co.il/case/22961877</vt:lpwstr>
      </vt:variant>
      <vt:variant>
        <vt:lpwstr/>
      </vt:variant>
      <vt:variant>
        <vt:i4>3407999</vt:i4>
      </vt:variant>
      <vt:variant>
        <vt:i4>57</vt:i4>
      </vt:variant>
      <vt:variant>
        <vt:i4>0</vt:i4>
      </vt:variant>
      <vt:variant>
        <vt:i4>5</vt:i4>
      </vt:variant>
      <vt:variant>
        <vt:lpwstr>http://www.nevo.co.il/case/22684144</vt:lpwstr>
      </vt:variant>
      <vt:variant>
        <vt:lpwstr/>
      </vt:variant>
      <vt:variant>
        <vt:i4>3997816</vt:i4>
      </vt:variant>
      <vt:variant>
        <vt:i4>54</vt:i4>
      </vt:variant>
      <vt:variant>
        <vt:i4>0</vt:i4>
      </vt:variant>
      <vt:variant>
        <vt:i4>5</vt:i4>
      </vt:variant>
      <vt:variant>
        <vt:lpwstr>http://www.nevo.co.il/case/22961877</vt:lpwstr>
      </vt:variant>
      <vt:variant>
        <vt:lpwstr/>
      </vt:variant>
      <vt:variant>
        <vt:i4>3473535</vt:i4>
      </vt:variant>
      <vt:variant>
        <vt:i4>51</vt:i4>
      </vt:variant>
      <vt:variant>
        <vt:i4>0</vt:i4>
      </vt:variant>
      <vt:variant>
        <vt:i4>5</vt:i4>
      </vt:variant>
      <vt:variant>
        <vt:lpwstr>http://www.nevo.co.il/case/22087107</vt:lpwstr>
      </vt:variant>
      <vt:variant>
        <vt:lpwstr/>
      </vt:variant>
      <vt:variant>
        <vt:i4>3866741</vt:i4>
      </vt:variant>
      <vt:variant>
        <vt:i4>48</vt:i4>
      </vt:variant>
      <vt:variant>
        <vt:i4>0</vt:i4>
      </vt:variant>
      <vt:variant>
        <vt:i4>5</vt:i4>
      </vt:variant>
      <vt:variant>
        <vt:lpwstr>http://www.nevo.co.il/case/23778567</vt:lpwstr>
      </vt:variant>
      <vt:variant>
        <vt:lpwstr/>
      </vt:variant>
      <vt:variant>
        <vt:i4>3866744</vt:i4>
      </vt:variant>
      <vt:variant>
        <vt:i4>45</vt:i4>
      </vt:variant>
      <vt:variant>
        <vt:i4>0</vt:i4>
      </vt:variant>
      <vt:variant>
        <vt:i4>5</vt:i4>
      </vt:variant>
      <vt:variant>
        <vt:lpwstr>http://www.nevo.co.il/case/4773189</vt:lpwstr>
      </vt:variant>
      <vt:variant>
        <vt:lpwstr/>
      </vt:variant>
      <vt:variant>
        <vt:i4>3539057</vt:i4>
      </vt:variant>
      <vt:variant>
        <vt:i4>42</vt:i4>
      </vt:variant>
      <vt:variant>
        <vt:i4>0</vt:i4>
      </vt:variant>
      <vt:variant>
        <vt:i4>5</vt:i4>
      </vt:variant>
      <vt:variant>
        <vt:lpwstr>http://www.nevo.co.il/case/8291661</vt:lpwstr>
      </vt:variant>
      <vt:variant>
        <vt:lpwstr/>
      </vt:variant>
      <vt:variant>
        <vt:i4>3145848</vt:i4>
      </vt:variant>
      <vt:variant>
        <vt:i4>39</vt:i4>
      </vt:variant>
      <vt:variant>
        <vt:i4>0</vt:i4>
      </vt:variant>
      <vt:variant>
        <vt:i4>5</vt:i4>
      </vt:variant>
      <vt:variant>
        <vt:lpwstr>http://www.nevo.co.il/case/17939812</vt:lpwstr>
      </vt:variant>
      <vt:variant>
        <vt:lpwstr/>
      </vt:variant>
      <vt:variant>
        <vt:i4>3145840</vt:i4>
      </vt:variant>
      <vt:variant>
        <vt:i4>36</vt:i4>
      </vt:variant>
      <vt:variant>
        <vt:i4>0</vt:i4>
      </vt:variant>
      <vt:variant>
        <vt:i4>5</vt:i4>
      </vt:variant>
      <vt:variant>
        <vt:lpwstr>http://www.nevo.co.il/case/6045416</vt:lpwstr>
      </vt:variant>
      <vt:variant>
        <vt:lpwstr/>
      </vt:variant>
      <vt:variant>
        <vt:i4>3407991</vt:i4>
      </vt:variant>
      <vt:variant>
        <vt:i4>33</vt:i4>
      </vt:variant>
      <vt:variant>
        <vt:i4>0</vt:i4>
      </vt:variant>
      <vt:variant>
        <vt:i4>5</vt:i4>
      </vt:variant>
      <vt:variant>
        <vt:lpwstr>http://www.nevo.co.il/case/5786821</vt:lpwstr>
      </vt:variant>
      <vt:variant>
        <vt:lpwstr/>
      </vt:variant>
      <vt:variant>
        <vt:i4>3670139</vt:i4>
      </vt:variant>
      <vt:variant>
        <vt:i4>30</vt:i4>
      </vt:variant>
      <vt:variant>
        <vt:i4>0</vt:i4>
      </vt:variant>
      <vt:variant>
        <vt:i4>5</vt:i4>
      </vt:variant>
      <vt:variant>
        <vt:lpwstr>http://www.nevo.co.il/case/5738608</vt:lpwstr>
      </vt:variant>
      <vt:variant>
        <vt:lpwstr/>
      </vt:variant>
      <vt:variant>
        <vt:i4>3145849</vt:i4>
      </vt:variant>
      <vt:variant>
        <vt:i4>27</vt:i4>
      </vt:variant>
      <vt:variant>
        <vt:i4>0</vt:i4>
      </vt:variant>
      <vt:variant>
        <vt:i4>5</vt:i4>
      </vt:variant>
      <vt:variant>
        <vt:lpwstr>http://www.nevo.co.il/case/13093721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5177418</vt:i4>
      </vt:variant>
      <vt:variant>
        <vt:i4>21</vt:i4>
      </vt:variant>
      <vt:variant>
        <vt:i4>0</vt:i4>
      </vt:variant>
      <vt:variant>
        <vt:i4>5</vt:i4>
      </vt:variant>
      <vt:variant>
        <vt:lpwstr>http://www.nevo.co.il/law/4216/10</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2025-04-23T00:59:00Z</dcterms:created>
  <dcterms:modified xsi:type="dcterms:W3CDTF">2025-04-23T00:59:00Z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9380</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ימית גימפל</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20221225</vt:lpwstr>
  </property>
  <property fmtid="{D5CDD505-2E9C-101B-9397-08002B2CF9AE}" pid="13" name="TYPE_N_DATE">
    <vt:lpwstr>38020221225</vt:lpwstr>
  </property>
  <property fmtid="{D5CDD505-2E9C-101B-9397-08002B2CF9AE}" pid="14" name="WORDNUMPAGES">
    <vt:lpwstr>8</vt:lpwstr>
  </property>
  <property fmtid="{D5CDD505-2E9C-101B-9397-08002B2CF9AE}" pid="15" name="TYPE_ABS_DATE">
    <vt:lpwstr>380020221225</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13093721;5738608;5786821;6045416;17939812;8291661;4773189;23778567;22087107;22961877:2;22684144;20111708;18119161;20159091;4855721;10459128</vt:lpwstr>
  </property>
  <property fmtid="{D5CDD505-2E9C-101B-9397-08002B2CF9AE}" pid="36" name="LAWLISTTMP1">
    <vt:lpwstr>4216/006;010</vt:lpwstr>
  </property>
  <property fmtid="{D5CDD505-2E9C-101B-9397-08002B2CF9AE}" pid="37" name="LAWLISTTMP2">
    <vt:lpwstr>70301/040d</vt:lpwstr>
  </property>
</Properties>
</file>