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D227A" w:rsidRPr="00E57CBC" w14:paraId="2E27504E" w14:textId="77777777" w:rsidTr="00E32499">
        <w:trPr>
          <w:gridAfter w:val="1"/>
          <w:wAfter w:w="99" w:type="dxa"/>
          <w:trHeight w:hRule="exact" w:val="418"/>
          <w:jc w:val="center"/>
        </w:trPr>
        <w:tc>
          <w:tcPr>
            <w:tcW w:w="8721" w:type="dxa"/>
            <w:gridSpan w:val="4"/>
          </w:tcPr>
          <w:p w14:paraId="64FF387F" w14:textId="77777777" w:rsidR="001D227A" w:rsidRPr="00E57CBC" w:rsidRDefault="001D227A" w:rsidP="00AC6CE8">
            <w:pPr>
              <w:pStyle w:val="a3"/>
              <w:jc w:val="center"/>
              <w:rPr>
                <w:rFonts w:ascii="Tahoma" w:hAnsi="Tahoma" w:cs="Tahoma"/>
                <w:color w:val="000080"/>
                <w:rtl/>
              </w:rPr>
            </w:pPr>
            <w:bookmarkStart w:id="0" w:name="FirstLawyer"/>
            <w:bookmarkStart w:id="1" w:name="LastJudge"/>
            <w:r w:rsidRPr="00E57CBC">
              <w:rPr>
                <w:rFonts w:ascii="Tahoma" w:hAnsi="Tahoma" w:cs="Tahoma"/>
                <w:b/>
                <w:bCs/>
                <w:color w:val="000080"/>
                <w:rtl/>
              </w:rPr>
              <w:t>בית משפט השלום באילת</w:t>
            </w:r>
          </w:p>
        </w:tc>
      </w:tr>
      <w:tr w:rsidR="001D227A" w:rsidRPr="00E57CBC" w14:paraId="7A28EDC2" w14:textId="77777777" w:rsidTr="00E32499">
        <w:trPr>
          <w:gridAfter w:val="1"/>
          <w:wAfter w:w="99" w:type="dxa"/>
          <w:trHeight w:val="337"/>
          <w:jc w:val="center"/>
        </w:trPr>
        <w:tc>
          <w:tcPr>
            <w:tcW w:w="5054" w:type="dxa"/>
            <w:gridSpan w:val="3"/>
          </w:tcPr>
          <w:p w14:paraId="354096F4" w14:textId="77777777" w:rsidR="001D227A" w:rsidRPr="00E57CBC" w:rsidRDefault="001D227A" w:rsidP="00AC6CE8">
            <w:pPr>
              <w:rPr>
                <w:rFonts w:cs="FrankRuehl"/>
                <w:sz w:val="28"/>
                <w:szCs w:val="28"/>
                <w:rtl/>
              </w:rPr>
            </w:pPr>
            <w:r w:rsidRPr="00E57CBC">
              <w:rPr>
                <w:rFonts w:cs="FrankRuehl"/>
                <w:sz w:val="28"/>
                <w:szCs w:val="28"/>
                <w:rtl/>
              </w:rPr>
              <w:t>ת"פ</w:t>
            </w:r>
            <w:r w:rsidRPr="00E57CBC">
              <w:rPr>
                <w:rFonts w:cs="FrankRuehl" w:hint="cs"/>
                <w:sz w:val="28"/>
                <w:szCs w:val="28"/>
                <w:rtl/>
              </w:rPr>
              <w:t xml:space="preserve"> </w:t>
            </w:r>
            <w:r w:rsidRPr="00E57CBC">
              <w:rPr>
                <w:rFonts w:cs="FrankRuehl"/>
                <w:sz w:val="28"/>
                <w:szCs w:val="28"/>
                <w:rtl/>
              </w:rPr>
              <w:t>61792-04-21</w:t>
            </w:r>
            <w:r w:rsidRPr="00E57CBC">
              <w:rPr>
                <w:rFonts w:cs="FrankRuehl" w:hint="cs"/>
                <w:sz w:val="28"/>
                <w:szCs w:val="28"/>
                <w:rtl/>
              </w:rPr>
              <w:t xml:space="preserve"> </w:t>
            </w:r>
            <w:r w:rsidRPr="00E57CBC">
              <w:rPr>
                <w:rFonts w:cs="FrankRuehl"/>
                <w:sz w:val="28"/>
                <w:szCs w:val="28"/>
                <w:rtl/>
              </w:rPr>
              <w:t>מדינת ישראל נ' זעבוט</w:t>
            </w:r>
          </w:p>
          <w:p w14:paraId="09EBE796" w14:textId="77777777" w:rsidR="001D227A" w:rsidRPr="00E57CBC" w:rsidRDefault="001D227A" w:rsidP="00AC6CE8">
            <w:pPr>
              <w:pStyle w:val="a3"/>
              <w:rPr>
                <w:rFonts w:cs="FrankRuehl"/>
                <w:sz w:val="28"/>
                <w:szCs w:val="28"/>
                <w:rtl/>
              </w:rPr>
            </w:pPr>
          </w:p>
        </w:tc>
        <w:tc>
          <w:tcPr>
            <w:tcW w:w="3667" w:type="dxa"/>
          </w:tcPr>
          <w:p w14:paraId="3A2009E8" w14:textId="77777777" w:rsidR="001D227A" w:rsidRPr="00E57CBC" w:rsidRDefault="001D227A" w:rsidP="00AC6CE8">
            <w:pPr>
              <w:pStyle w:val="a3"/>
              <w:jc w:val="right"/>
              <w:rPr>
                <w:rFonts w:cs="FrankRuehl"/>
                <w:sz w:val="28"/>
                <w:szCs w:val="28"/>
                <w:rtl/>
              </w:rPr>
            </w:pPr>
          </w:p>
        </w:tc>
      </w:tr>
      <w:tr w:rsidR="001D227A" w:rsidRPr="00E57CBC" w14:paraId="62CC196B" w14:textId="77777777" w:rsidTr="00E324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F361B93" w14:textId="77777777" w:rsidR="001D227A" w:rsidRPr="00E57CBC" w:rsidRDefault="001D227A" w:rsidP="001D227A">
            <w:pPr>
              <w:jc w:val="both"/>
              <w:rPr>
                <w:rFonts w:ascii="David" w:hAnsi="David"/>
                <w:sz w:val="26"/>
                <w:szCs w:val="26"/>
              </w:rPr>
            </w:pPr>
            <w:r w:rsidRPr="00E57CBC">
              <w:rPr>
                <w:rFonts w:hint="cs"/>
                <w:rtl/>
              </w:rPr>
              <w:t xml:space="preserve"> </w:t>
            </w:r>
            <w:r w:rsidRPr="00E57CB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9CC7FB1" w14:textId="77777777" w:rsidR="001D227A" w:rsidRPr="00E57CBC" w:rsidRDefault="001D227A" w:rsidP="00AC6CE8">
            <w:pPr>
              <w:rPr>
                <w:rFonts w:ascii="David" w:hAnsi="David"/>
                <w:b/>
                <w:bCs/>
                <w:sz w:val="26"/>
                <w:szCs w:val="26"/>
                <w:rtl/>
              </w:rPr>
            </w:pPr>
            <w:r w:rsidRPr="00E57CBC">
              <w:rPr>
                <w:rFonts w:ascii="David" w:hAnsi="David"/>
                <w:b/>
                <w:bCs/>
                <w:sz w:val="26"/>
                <w:szCs w:val="26"/>
                <w:rtl/>
              </w:rPr>
              <w:t>כבוד השופט  גיל אדלמן</w:t>
            </w:r>
          </w:p>
          <w:p w14:paraId="254B6000" w14:textId="77777777" w:rsidR="001D227A" w:rsidRPr="00E57CBC" w:rsidRDefault="001D227A" w:rsidP="00AC6CE8">
            <w:pPr>
              <w:rPr>
                <w:rFonts w:ascii="David" w:hAnsi="David"/>
                <w:sz w:val="26"/>
                <w:szCs w:val="26"/>
                <w:rtl/>
              </w:rPr>
            </w:pPr>
          </w:p>
          <w:p w14:paraId="57AEAA67" w14:textId="77777777" w:rsidR="001D227A" w:rsidRPr="00E57CBC" w:rsidRDefault="001D227A" w:rsidP="001D227A">
            <w:pPr>
              <w:jc w:val="both"/>
              <w:rPr>
                <w:rFonts w:ascii="David" w:hAnsi="David"/>
                <w:sz w:val="26"/>
                <w:szCs w:val="26"/>
              </w:rPr>
            </w:pPr>
          </w:p>
        </w:tc>
      </w:tr>
      <w:tr w:rsidR="001D227A" w:rsidRPr="00E57CBC" w14:paraId="6A819EF5" w14:textId="77777777" w:rsidTr="00E324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F7FC35" w14:textId="77777777" w:rsidR="001D227A" w:rsidRPr="00E57CBC" w:rsidRDefault="001D227A" w:rsidP="001D227A">
            <w:pPr>
              <w:jc w:val="both"/>
              <w:rPr>
                <w:rFonts w:ascii="David" w:hAnsi="David"/>
                <w:sz w:val="26"/>
                <w:szCs w:val="26"/>
              </w:rPr>
            </w:pPr>
            <w:bookmarkStart w:id="2" w:name="FirstAppellant"/>
            <w:r w:rsidRPr="00E57CBC">
              <w:rPr>
                <w:rFonts w:ascii="David" w:hAnsi="David"/>
                <w:sz w:val="26"/>
                <w:szCs w:val="26"/>
                <w:rtl/>
              </w:rPr>
              <w:t>בעניין:</w:t>
            </w:r>
          </w:p>
        </w:tc>
        <w:tc>
          <w:tcPr>
            <w:tcW w:w="3219" w:type="dxa"/>
            <w:tcBorders>
              <w:top w:val="nil"/>
              <w:left w:val="nil"/>
              <w:bottom w:val="nil"/>
              <w:right w:val="nil"/>
            </w:tcBorders>
            <w:shd w:val="clear" w:color="auto" w:fill="auto"/>
          </w:tcPr>
          <w:p w14:paraId="26934B08" w14:textId="77777777" w:rsidR="001D227A" w:rsidRPr="00E57CBC" w:rsidRDefault="001D227A" w:rsidP="001D227A">
            <w:pPr>
              <w:suppressLineNumbers/>
            </w:pPr>
            <w:r w:rsidRPr="00E57CBC">
              <w:rPr>
                <w:rFonts w:ascii="Arial" w:hAnsi="Arial" w:hint="cs"/>
                <w:b/>
                <w:bCs/>
                <w:sz w:val="26"/>
                <w:szCs w:val="26"/>
                <w:rtl/>
              </w:rPr>
              <w:t>ה</w:t>
            </w:r>
            <w:r w:rsidRPr="00E57CBC">
              <w:rPr>
                <w:rFonts w:ascii="Arial" w:hAnsi="Arial"/>
                <w:b/>
                <w:bCs/>
                <w:sz w:val="26"/>
                <w:szCs w:val="26"/>
                <w:rtl/>
              </w:rPr>
              <w:t>מאשימה</w:t>
            </w:r>
          </w:p>
          <w:p w14:paraId="7BB23A35" w14:textId="77777777" w:rsidR="001D227A" w:rsidRPr="00E57CBC" w:rsidRDefault="001D227A" w:rsidP="00AC6CE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F700E51" w14:textId="77777777" w:rsidR="001D227A" w:rsidRPr="00E57CBC" w:rsidRDefault="001D227A" w:rsidP="001D227A">
            <w:pPr>
              <w:suppressLineNumbers/>
            </w:pPr>
            <w:r w:rsidRPr="00E57CBC">
              <w:rPr>
                <w:rFonts w:ascii="Arial" w:hAnsi="Arial"/>
                <w:b/>
                <w:bCs/>
                <w:sz w:val="26"/>
                <w:szCs w:val="26"/>
                <w:rtl/>
              </w:rPr>
              <w:t>מדינת ישראל</w:t>
            </w:r>
            <w:r w:rsidRPr="00E57CBC">
              <w:rPr>
                <w:rFonts w:ascii="Arial" w:hAnsi="Arial" w:hint="cs"/>
                <w:b/>
                <w:bCs/>
                <w:sz w:val="26"/>
                <w:szCs w:val="26"/>
                <w:rtl/>
              </w:rPr>
              <w:t xml:space="preserve"> </w:t>
            </w:r>
            <w:r w:rsidRPr="00E57CBC">
              <w:rPr>
                <w:rFonts w:ascii="Arial" w:hAnsi="Arial"/>
                <w:b/>
                <w:bCs/>
                <w:sz w:val="26"/>
                <w:szCs w:val="26"/>
                <w:rtl/>
              </w:rPr>
              <w:t>ע"י ב"כ עוה"ד</w:t>
            </w:r>
            <w:r w:rsidRPr="00E57CBC">
              <w:rPr>
                <w:rFonts w:hint="cs"/>
                <w:rtl/>
              </w:rPr>
              <w:t xml:space="preserve"> </w:t>
            </w:r>
            <w:r w:rsidRPr="00E57CBC">
              <w:rPr>
                <w:rFonts w:hint="cs"/>
                <w:b/>
                <w:bCs/>
                <w:rtl/>
              </w:rPr>
              <w:t>רעות נתאי</w:t>
            </w:r>
          </w:p>
          <w:p w14:paraId="08E23E6D" w14:textId="77777777" w:rsidR="001D227A" w:rsidRPr="00E57CBC" w:rsidRDefault="001D227A" w:rsidP="00AC6CE8">
            <w:pPr>
              <w:rPr>
                <w:rFonts w:ascii="David" w:hAnsi="David"/>
                <w:sz w:val="26"/>
                <w:szCs w:val="26"/>
              </w:rPr>
            </w:pPr>
          </w:p>
        </w:tc>
      </w:tr>
      <w:bookmarkEnd w:id="2"/>
      <w:tr w:rsidR="001D227A" w:rsidRPr="00E57CBC" w14:paraId="22F8C5C3" w14:textId="77777777" w:rsidTr="00E324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9BC0229" w14:textId="77777777" w:rsidR="001D227A" w:rsidRPr="00E57CBC" w:rsidRDefault="001D227A" w:rsidP="001D227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CAB9A9E" w14:textId="77777777" w:rsidR="001D227A" w:rsidRPr="00E57CBC" w:rsidRDefault="001D227A" w:rsidP="001D227A">
            <w:pPr>
              <w:jc w:val="center"/>
              <w:rPr>
                <w:rFonts w:ascii="David" w:hAnsi="David"/>
                <w:b/>
                <w:bCs/>
                <w:sz w:val="26"/>
                <w:szCs w:val="26"/>
                <w:rtl/>
              </w:rPr>
            </w:pPr>
          </w:p>
          <w:p w14:paraId="2E5749F6" w14:textId="77777777" w:rsidR="001D227A" w:rsidRPr="00E57CBC" w:rsidRDefault="001D227A" w:rsidP="001D227A">
            <w:pPr>
              <w:jc w:val="center"/>
              <w:rPr>
                <w:rFonts w:ascii="David" w:hAnsi="David"/>
                <w:b/>
                <w:bCs/>
                <w:sz w:val="26"/>
                <w:szCs w:val="26"/>
                <w:rtl/>
              </w:rPr>
            </w:pPr>
            <w:r w:rsidRPr="00E57CBC">
              <w:rPr>
                <w:rFonts w:ascii="David" w:hAnsi="David"/>
                <w:b/>
                <w:bCs/>
                <w:sz w:val="26"/>
                <w:szCs w:val="26"/>
                <w:rtl/>
              </w:rPr>
              <w:t>נגד</w:t>
            </w:r>
          </w:p>
          <w:p w14:paraId="65BD1C6F" w14:textId="77777777" w:rsidR="001D227A" w:rsidRPr="00E57CBC" w:rsidRDefault="001D227A" w:rsidP="001D227A">
            <w:pPr>
              <w:jc w:val="both"/>
              <w:rPr>
                <w:rFonts w:ascii="David" w:hAnsi="David"/>
                <w:sz w:val="26"/>
                <w:szCs w:val="26"/>
              </w:rPr>
            </w:pPr>
          </w:p>
        </w:tc>
      </w:tr>
      <w:tr w:rsidR="001D227A" w:rsidRPr="00E57CBC" w14:paraId="0563B816" w14:textId="77777777" w:rsidTr="00E324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C791D9" w14:textId="77777777" w:rsidR="001D227A" w:rsidRPr="00E57CBC" w:rsidRDefault="001D227A" w:rsidP="00AC6CE8">
            <w:pPr>
              <w:rPr>
                <w:rFonts w:ascii="David" w:hAnsi="David"/>
                <w:sz w:val="26"/>
                <w:szCs w:val="26"/>
                <w:rtl/>
              </w:rPr>
            </w:pPr>
          </w:p>
        </w:tc>
        <w:tc>
          <w:tcPr>
            <w:tcW w:w="3219" w:type="dxa"/>
            <w:tcBorders>
              <w:top w:val="nil"/>
              <w:left w:val="nil"/>
              <w:bottom w:val="nil"/>
              <w:right w:val="nil"/>
            </w:tcBorders>
            <w:shd w:val="clear" w:color="auto" w:fill="auto"/>
          </w:tcPr>
          <w:p w14:paraId="4F32FAA9" w14:textId="77777777" w:rsidR="001D227A" w:rsidRPr="00E57CBC" w:rsidRDefault="001D227A" w:rsidP="00AC6CE8">
            <w:pPr>
              <w:rPr>
                <w:rFonts w:ascii="Arial" w:hAnsi="Arial"/>
                <w:b/>
                <w:bCs/>
                <w:sz w:val="26"/>
                <w:szCs w:val="26"/>
                <w:rtl/>
              </w:rPr>
            </w:pPr>
            <w:r w:rsidRPr="00E57CBC">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71C71483" w14:textId="77777777" w:rsidR="001D227A" w:rsidRPr="00E57CBC" w:rsidRDefault="001D227A" w:rsidP="001D227A">
            <w:pPr>
              <w:suppressLineNumbers/>
            </w:pPr>
            <w:r w:rsidRPr="00E57CBC">
              <w:rPr>
                <w:rFonts w:ascii="Arial" w:hAnsi="Arial"/>
                <w:b/>
                <w:bCs/>
                <w:sz w:val="26"/>
                <w:szCs w:val="26"/>
                <w:rtl/>
              </w:rPr>
              <w:t>עלא זעבוט</w:t>
            </w:r>
            <w:r w:rsidRPr="00E57CBC">
              <w:rPr>
                <w:rFonts w:ascii="Arial" w:hAnsi="Arial" w:hint="cs"/>
                <w:b/>
                <w:bCs/>
                <w:sz w:val="26"/>
                <w:szCs w:val="26"/>
                <w:rtl/>
              </w:rPr>
              <w:t xml:space="preserve"> </w:t>
            </w:r>
            <w:r w:rsidRPr="00E57CBC">
              <w:rPr>
                <w:rFonts w:ascii="Arial" w:hAnsi="Arial"/>
                <w:b/>
                <w:bCs/>
                <w:sz w:val="26"/>
                <w:szCs w:val="26"/>
                <w:rtl/>
              </w:rPr>
              <w:t>ע"י ב"כ עוה"ד</w:t>
            </w:r>
            <w:r w:rsidRPr="00E57CBC">
              <w:rPr>
                <w:rFonts w:hint="cs"/>
                <w:rtl/>
              </w:rPr>
              <w:t xml:space="preserve"> </w:t>
            </w:r>
            <w:r w:rsidRPr="00E57CBC">
              <w:rPr>
                <w:rFonts w:hint="cs"/>
                <w:b/>
                <w:bCs/>
                <w:rtl/>
              </w:rPr>
              <w:t>יונס אבו עסא</w:t>
            </w:r>
          </w:p>
          <w:p w14:paraId="7D6ACDBD" w14:textId="77777777" w:rsidR="001D227A" w:rsidRPr="00E57CBC" w:rsidRDefault="001D227A" w:rsidP="00AC6CE8">
            <w:pPr>
              <w:rPr>
                <w:rFonts w:ascii="David" w:hAnsi="David"/>
                <w:sz w:val="26"/>
                <w:szCs w:val="26"/>
              </w:rPr>
            </w:pPr>
          </w:p>
        </w:tc>
      </w:tr>
    </w:tbl>
    <w:p w14:paraId="5D99D12C" w14:textId="77777777" w:rsidR="00E57CBC" w:rsidRPr="00E32499" w:rsidRDefault="00E57CBC" w:rsidP="00E32499">
      <w:pPr>
        <w:spacing w:before="120" w:after="120" w:line="240" w:lineRule="exact"/>
        <w:jc w:val="both"/>
        <w:rPr>
          <w:rFonts w:ascii="FrankRuehl" w:hAnsi="FrankRuehl" w:cs="FrankRuehl" w:hint="cs"/>
          <w:rtl/>
        </w:rPr>
      </w:pPr>
    </w:p>
    <w:p w14:paraId="70FA7320" w14:textId="77777777" w:rsidR="00E32499" w:rsidRPr="00E32499" w:rsidRDefault="00E32499" w:rsidP="00E32499">
      <w:pPr>
        <w:spacing w:after="120" w:line="240" w:lineRule="exact"/>
        <w:ind w:left="283" w:hanging="283"/>
        <w:jc w:val="both"/>
        <w:rPr>
          <w:rFonts w:ascii="FrankRuehl" w:hAnsi="FrankRuehl" w:cs="FrankRuehl"/>
          <w:rtl/>
        </w:rPr>
      </w:pPr>
    </w:p>
    <w:p w14:paraId="531F9347" w14:textId="77777777" w:rsidR="00E958F2" w:rsidRPr="00E958F2" w:rsidRDefault="00E958F2" w:rsidP="00E958F2">
      <w:pPr>
        <w:spacing w:before="120" w:after="120" w:line="240" w:lineRule="exact"/>
        <w:ind w:left="283" w:hanging="283"/>
        <w:jc w:val="both"/>
        <w:rPr>
          <w:rFonts w:ascii="FrankRuehl" w:hAnsi="FrankRuehl" w:cs="FrankRuehl"/>
          <w:rtl/>
        </w:rPr>
      </w:pPr>
    </w:p>
    <w:p w14:paraId="7D61DFFC" w14:textId="77777777" w:rsidR="000A605A" w:rsidRDefault="000A605A" w:rsidP="000A605A">
      <w:pPr>
        <w:rPr>
          <w:sz w:val="26"/>
          <w:szCs w:val="26"/>
          <w:rtl/>
        </w:rPr>
      </w:pPr>
      <w:bookmarkStart w:id="3" w:name="LawTable"/>
      <w:bookmarkEnd w:id="3"/>
    </w:p>
    <w:p w14:paraId="2EDAB48B" w14:textId="77777777" w:rsidR="000A605A" w:rsidRPr="000A605A" w:rsidRDefault="000A605A" w:rsidP="000A605A">
      <w:pPr>
        <w:spacing w:before="120" w:after="120" w:line="240" w:lineRule="exact"/>
        <w:ind w:left="283" w:hanging="283"/>
        <w:jc w:val="both"/>
        <w:rPr>
          <w:rFonts w:ascii="FrankRuehl" w:hAnsi="FrankRuehl" w:cs="FrankRuehl"/>
          <w:rtl/>
        </w:rPr>
      </w:pPr>
    </w:p>
    <w:p w14:paraId="174D04DA" w14:textId="77777777" w:rsidR="000A605A" w:rsidRPr="000A605A" w:rsidRDefault="000A605A" w:rsidP="000A605A">
      <w:pPr>
        <w:spacing w:before="120" w:after="120" w:line="240" w:lineRule="exact"/>
        <w:ind w:left="283" w:hanging="283"/>
        <w:jc w:val="both"/>
        <w:rPr>
          <w:rFonts w:ascii="FrankRuehl" w:hAnsi="FrankRuehl" w:cs="FrankRuehl"/>
          <w:rtl/>
        </w:rPr>
      </w:pPr>
    </w:p>
    <w:p w14:paraId="00BFD632" w14:textId="77777777" w:rsidR="000A605A" w:rsidRPr="000A605A" w:rsidRDefault="000A605A" w:rsidP="000A605A">
      <w:pPr>
        <w:spacing w:before="120" w:after="120" w:line="240" w:lineRule="exact"/>
        <w:ind w:left="283" w:hanging="283"/>
        <w:jc w:val="both"/>
        <w:rPr>
          <w:rFonts w:ascii="FrankRuehl" w:hAnsi="FrankRuehl" w:cs="FrankRuehl"/>
          <w:rtl/>
        </w:rPr>
      </w:pPr>
      <w:r w:rsidRPr="000A605A">
        <w:rPr>
          <w:rFonts w:ascii="FrankRuehl" w:hAnsi="FrankRuehl" w:cs="FrankRuehl"/>
          <w:rtl/>
        </w:rPr>
        <w:t xml:space="preserve">חקיקה שאוזכרה: </w:t>
      </w:r>
    </w:p>
    <w:p w14:paraId="5A88FC14" w14:textId="77777777" w:rsidR="000A605A" w:rsidRPr="000A605A" w:rsidRDefault="000A605A" w:rsidP="000A605A">
      <w:pPr>
        <w:spacing w:before="120" w:after="120" w:line="240" w:lineRule="exact"/>
        <w:ind w:left="283" w:hanging="283"/>
        <w:jc w:val="both"/>
        <w:rPr>
          <w:rFonts w:ascii="FrankRuehl" w:hAnsi="FrankRuehl" w:cs="FrankRuehl"/>
          <w:rtl/>
        </w:rPr>
      </w:pPr>
      <w:hyperlink r:id="rId7" w:history="1">
        <w:r w:rsidRPr="000A605A">
          <w:rPr>
            <w:rFonts w:ascii="FrankRuehl" w:hAnsi="FrankRuehl" w:cs="FrankRuehl"/>
            <w:color w:val="0000FF"/>
            <w:rtl/>
          </w:rPr>
          <w:t>פקודת הסמים המסוכנים [נוסח חדש], תשל"ג-1973</w:t>
        </w:r>
      </w:hyperlink>
      <w:r w:rsidRPr="000A605A">
        <w:rPr>
          <w:rFonts w:ascii="FrankRuehl" w:hAnsi="FrankRuehl" w:cs="FrankRuehl"/>
          <w:rtl/>
        </w:rPr>
        <w:t xml:space="preserve">: סע'  </w:t>
      </w:r>
      <w:hyperlink r:id="rId8" w:history="1">
        <w:r w:rsidRPr="000A605A">
          <w:rPr>
            <w:rFonts w:ascii="FrankRuehl" w:hAnsi="FrankRuehl" w:cs="FrankRuehl"/>
            <w:color w:val="0000FF"/>
            <w:rtl/>
          </w:rPr>
          <w:t>13</w:t>
        </w:r>
      </w:hyperlink>
      <w:r w:rsidRPr="000A605A">
        <w:rPr>
          <w:rFonts w:ascii="FrankRuehl" w:hAnsi="FrankRuehl" w:cs="FrankRuehl"/>
          <w:rtl/>
        </w:rPr>
        <w:t xml:space="preserve">, </w:t>
      </w:r>
      <w:hyperlink r:id="rId9" w:history="1">
        <w:r w:rsidRPr="000A605A">
          <w:rPr>
            <w:rFonts w:ascii="FrankRuehl" w:hAnsi="FrankRuehl" w:cs="FrankRuehl"/>
            <w:color w:val="0000FF"/>
            <w:rtl/>
          </w:rPr>
          <w:t>19א</w:t>
        </w:r>
      </w:hyperlink>
    </w:p>
    <w:p w14:paraId="543B62C8" w14:textId="77777777" w:rsidR="000A605A" w:rsidRPr="000A605A" w:rsidRDefault="000A605A" w:rsidP="000A605A">
      <w:pPr>
        <w:spacing w:before="120" w:after="120" w:line="240" w:lineRule="exact"/>
        <w:ind w:left="283" w:hanging="283"/>
        <w:jc w:val="both"/>
        <w:rPr>
          <w:rFonts w:ascii="FrankRuehl" w:hAnsi="FrankRuehl" w:cs="FrankRuehl"/>
          <w:rtl/>
        </w:rPr>
      </w:pPr>
      <w:hyperlink r:id="rId10" w:history="1">
        <w:r w:rsidRPr="000A605A">
          <w:rPr>
            <w:rFonts w:ascii="FrankRuehl" w:hAnsi="FrankRuehl" w:cs="FrankRuehl"/>
            <w:color w:val="0000FF"/>
            <w:rtl/>
          </w:rPr>
          <w:t>חוק העונשין, תשל"ז-1977</w:t>
        </w:r>
      </w:hyperlink>
      <w:r w:rsidRPr="000A605A">
        <w:rPr>
          <w:rFonts w:ascii="FrankRuehl" w:hAnsi="FrankRuehl" w:cs="FrankRuehl"/>
          <w:rtl/>
        </w:rPr>
        <w:t xml:space="preserve">: סע'  </w:t>
      </w:r>
      <w:hyperlink r:id="rId11" w:history="1">
        <w:r w:rsidRPr="000A605A">
          <w:rPr>
            <w:rFonts w:ascii="FrankRuehl" w:hAnsi="FrankRuehl" w:cs="FrankRuehl"/>
            <w:color w:val="0000FF"/>
            <w:rtl/>
          </w:rPr>
          <w:t>25</w:t>
        </w:r>
      </w:hyperlink>
      <w:r w:rsidRPr="000A605A">
        <w:rPr>
          <w:rFonts w:ascii="FrankRuehl" w:hAnsi="FrankRuehl" w:cs="FrankRuehl"/>
          <w:rtl/>
        </w:rPr>
        <w:t xml:space="preserve">, </w:t>
      </w:r>
      <w:hyperlink r:id="rId12" w:history="1">
        <w:r w:rsidRPr="000A605A">
          <w:rPr>
            <w:rFonts w:ascii="FrankRuehl" w:hAnsi="FrankRuehl" w:cs="FrankRuehl"/>
            <w:color w:val="0000FF"/>
            <w:rtl/>
          </w:rPr>
          <w:t>71א(ב)</w:t>
        </w:r>
      </w:hyperlink>
    </w:p>
    <w:p w14:paraId="05497DF5" w14:textId="77777777" w:rsidR="000A605A" w:rsidRPr="000A605A" w:rsidRDefault="000A605A" w:rsidP="000A605A">
      <w:pPr>
        <w:rPr>
          <w:sz w:val="26"/>
          <w:szCs w:val="26"/>
          <w:rtl/>
        </w:rPr>
      </w:pPr>
      <w:bookmarkStart w:id="4" w:name="LawTable_End"/>
      <w:bookmarkEnd w:id="4"/>
    </w:p>
    <w:p w14:paraId="6F71D7AC" w14:textId="77777777" w:rsidR="001D227A" w:rsidRPr="00E958F2" w:rsidRDefault="001D227A" w:rsidP="00E958F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227A" w14:paraId="3BB6C02D" w14:textId="77777777" w:rsidTr="001D227A">
        <w:trPr>
          <w:trHeight w:val="355"/>
          <w:jc w:val="center"/>
        </w:trPr>
        <w:tc>
          <w:tcPr>
            <w:tcW w:w="8820" w:type="dxa"/>
            <w:tcBorders>
              <w:top w:val="nil"/>
              <w:left w:val="nil"/>
              <w:bottom w:val="nil"/>
              <w:right w:val="nil"/>
            </w:tcBorders>
            <w:shd w:val="clear" w:color="auto" w:fill="auto"/>
          </w:tcPr>
          <w:p w14:paraId="7D6BE01C" w14:textId="77777777" w:rsidR="00E57CBC" w:rsidRPr="00E57CBC" w:rsidRDefault="00E57CBC" w:rsidP="00E57CBC">
            <w:pPr>
              <w:jc w:val="center"/>
              <w:rPr>
                <w:rFonts w:ascii="David" w:hAnsi="David"/>
                <w:b/>
                <w:bCs/>
                <w:sz w:val="32"/>
                <w:szCs w:val="32"/>
                <w:u w:val="single"/>
                <w:rtl/>
              </w:rPr>
            </w:pPr>
            <w:bookmarkStart w:id="5" w:name="PsakDin" w:colFirst="0" w:colLast="0"/>
            <w:bookmarkEnd w:id="0"/>
            <w:bookmarkEnd w:id="1"/>
            <w:r w:rsidRPr="00E57CBC">
              <w:rPr>
                <w:rFonts w:ascii="David" w:hAnsi="David"/>
                <w:b/>
                <w:bCs/>
                <w:sz w:val="32"/>
                <w:szCs w:val="32"/>
                <w:u w:val="single"/>
                <w:rtl/>
              </w:rPr>
              <w:t>גזר דין</w:t>
            </w:r>
          </w:p>
          <w:p w14:paraId="2E81917A" w14:textId="77777777" w:rsidR="001D227A" w:rsidRPr="00E57CBC" w:rsidRDefault="001D227A" w:rsidP="00E57CBC">
            <w:pPr>
              <w:jc w:val="center"/>
              <w:rPr>
                <w:rFonts w:ascii="David" w:hAnsi="David"/>
                <w:bCs/>
                <w:sz w:val="32"/>
                <w:szCs w:val="32"/>
                <w:u w:val="single"/>
                <w:rtl/>
              </w:rPr>
            </w:pPr>
          </w:p>
        </w:tc>
      </w:tr>
      <w:bookmarkEnd w:id="5"/>
    </w:tbl>
    <w:p w14:paraId="6CF7436E" w14:textId="77777777" w:rsidR="001D227A" w:rsidRDefault="001D227A" w:rsidP="001D227A">
      <w:pPr>
        <w:rPr>
          <w:sz w:val="26"/>
          <w:szCs w:val="26"/>
          <w:rtl/>
        </w:rPr>
      </w:pPr>
    </w:p>
    <w:p w14:paraId="64E2BEEE" w14:textId="77777777" w:rsidR="001D227A" w:rsidRDefault="001D227A" w:rsidP="001D227A">
      <w:pPr>
        <w:rPr>
          <w:sz w:val="26"/>
          <w:szCs w:val="26"/>
          <w:rtl/>
        </w:rPr>
      </w:pPr>
    </w:p>
    <w:p w14:paraId="69C3A6EC" w14:textId="77777777" w:rsidR="001D227A" w:rsidRDefault="001D227A" w:rsidP="001D227A">
      <w:pPr>
        <w:rPr>
          <w:sz w:val="26"/>
          <w:szCs w:val="26"/>
          <w:rtl/>
        </w:rPr>
      </w:pPr>
    </w:p>
    <w:p w14:paraId="11E78C3F" w14:textId="77777777" w:rsidR="001D227A" w:rsidRDefault="001D227A" w:rsidP="001D227A">
      <w:pPr>
        <w:spacing w:line="360" w:lineRule="auto"/>
        <w:jc w:val="both"/>
        <w:rPr>
          <w:rFonts w:ascii="David" w:hAnsi="David"/>
          <w:b/>
          <w:bCs/>
          <w:u w:val="single"/>
        </w:rPr>
      </w:pPr>
      <w:r>
        <w:rPr>
          <w:rFonts w:ascii="David" w:hAnsi="David"/>
          <w:b/>
          <w:bCs/>
          <w:u w:val="single"/>
          <w:rtl/>
        </w:rPr>
        <w:t xml:space="preserve">המסגרת העובדתית </w:t>
      </w:r>
    </w:p>
    <w:p w14:paraId="7AFBFE90" w14:textId="77777777" w:rsidR="001D227A" w:rsidRDefault="001D227A" w:rsidP="001D227A">
      <w:pPr>
        <w:pStyle w:val="aa"/>
        <w:spacing w:line="360" w:lineRule="auto"/>
        <w:ind w:left="360"/>
        <w:jc w:val="both"/>
        <w:rPr>
          <w:rFonts w:ascii="David" w:hAnsi="David" w:cs="David"/>
          <w:sz w:val="24"/>
          <w:szCs w:val="24"/>
          <w:rtl/>
        </w:rPr>
      </w:pPr>
    </w:p>
    <w:p w14:paraId="3061C490" w14:textId="77777777" w:rsidR="001D227A" w:rsidRDefault="001D227A" w:rsidP="001D227A">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עלא זעבוט, הורשע על פי הודאתו, בעובדות כתב אישום מתוקן המייחס לו </w:t>
      </w:r>
      <w:r>
        <w:rPr>
          <w:rFonts w:ascii="David" w:eastAsia="David" w:hAnsi="David" w:cs="David"/>
          <w:sz w:val="24"/>
          <w:szCs w:val="24"/>
          <w:rtl/>
        </w:rPr>
        <w:t xml:space="preserve">ניסיון ליצוא, יבוא, מסחר, הספקה סמים מסוכנים – עבירה לפי </w:t>
      </w:r>
      <w:hyperlink r:id="rId13" w:history="1">
        <w:r w:rsidR="00E32499" w:rsidRPr="00E32499">
          <w:rPr>
            <w:rStyle w:val="Hyperlink"/>
            <w:rFonts w:ascii="David" w:eastAsia="David" w:hAnsi="David" w:cs="David"/>
            <w:sz w:val="24"/>
            <w:szCs w:val="24"/>
            <w:rtl/>
          </w:rPr>
          <w:t>סעיף 13</w:t>
        </w:r>
      </w:hyperlink>
      <w:r>
        <w:rPr>
          <w:rFonts w:ascii="David" w:eastAsia="David" w:hAnsi="David" w:cs="David"/>
          <w:sz w:val="24"/>
          <w:szCs w:val="24"/>
          <w:rtl/>
        </w:rPr>
        <w:t xml:space="preserve"> + </w:t>
      </w:r>
      <w:hyperlink r:id="rId14" w:history="1">
        <w:r w:rsidR="00E32499" w:rsidRPr="00E32499">
          <w:rPr>
            <w:rStyle w:val="Hyperlink"/>
            <w:rFonts w:ascii="David" w:eastAsia="David" w:hAnsi="David" w:cs="David"/>
            <w:sz w:val="24"/>
            <w:szCs w:val="24"/>
            <w:rtl/>
          </w:rPr>
          <w:t>19א</w:t>
        </w:r>
      </w:hyperlink>
      <w:r>
        <w:rPr>
          <w:rFonts w:ascii="David" w:eastAsia="David" w:hAnsi="David" w:cs="David"/>
          <w:sz w:val="24"/>
          <w:szCs w:val="24"/>
          <w:rtl/>
        </w:rPr>
        <w:t xml:space="preserve"> ל</w:t>
      </w:r>
      <w:hyperlink r:id="rId15" w:history="1">
        <w:r w:rsidR="00E57CBC" w:rsidRPr="00E57CBC">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תשל"ג- 1973 (להלן: החוק) וכן לפי </w:t>
      </w:r>
      <w:hyperlink r:id="rId16" w:history="1">
        <w:r w:rsidR="00E32499" w:rsidRPr="00E32499">
          <w:rPr>
            <w:rStyle w:val="Hyperlink"/>
            <w:rFonts w:ascii="David" w:eastAsia="David" w:hAnsi="David" w:cs="David"/>
            <w:sz w:val="24"/>
            <w:szCs w:val="24"/>
            <w:rtl/>
          </w:rPr>
          <w:t>סעיף 25</w:t>
        </w:r>
      </w:hyperlink>
      <w:r>
        <w:rPr>
          <w:rFonts w:ascii="David" w:eastAsia="David" w:hAnsi="David" w:cs="David"/>
          <w:sz w:val="24"/>
          <w:szCs w:val="24"/>
          <w:rtl/>
        </w:rPr>
        <w:t xml:space="preserve"> ל</w:t>
      </w:r>
      <w:hyperlink r:id="rId17" w:history="1">
        <w:r w:rsidR="00E57CBC" w:rsidRPr="00E57CBC">
          <w:rPr>
            <w:rFonts w:ascii="David" w:eastAsia="David" w:hAnsi="David" w:cs="David"/>
            <w:color w:val="0000FF"/>
            <w:sz w:val="24"/>
            <w:szCs w:val="24"/>
            <w:u w:val="single"/>
            <w:rtl/>
          </w:rPr>
          <w:t>חוק העונשין</w:t>
        </w:r>
      </w:hyperlink>
      <w:r>
        <w:rPr>
          <w:rFonts w:ascii="David" w:eastAsia="David" w:hAnsi="David" w:cs="David"/>
          <w:sz w:val="24"/>
          <w:szCs w:val="24"/>
          <w:rtl/>
        </w:rPr>
        <w:t xml:space="preserve"> תשל"ז- 1977. </w:t>
      </w:r>
    </w:p>
    <w:p w14:paraId="31BE91AB" w14:textId="77777777" w:rsidR="001D227A" w:rsidRDefault="001D227A" w:rsidP="001D227A">
      <w:pPr>
        <w:pStyle w:val="aa"/>
        <w:spacing w:line="360" w:lineRule="auto"/>
        <w:ind w:left="360"/>
        <w:jc w:val="both"/>
        <w:rPr>
          <w:rFonts w:ascii="David" w:hAnsi="David" w:cs="David"/>
          <w:sz w:val="24"/>
          <w:szCs w:val="24"/>
          <w:rtl/>
        </w:rPr>
      </w:pPr>
      <w:bookmarkStart w:id="7" w:name="ABSTRACT_END"/>
      <w:bookmarkEnd w:id="7"/>
    </w:p>
    <w:p w14:paraId="76E7204A" w14:textId="77777777" w:rsidR="001D227A" w:rsidRDefault="001D227A" w:rsidP="001D227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על פי עובדות כתב האישום המתוקן, ביום 11.04.2019  בשעה 21:00 לערך, במעבר גבול "בגין", לכיוון מצרים, ניסה הנאשם לייצא סם מסוכן בכך שנהג ברכב מסוג "קאיה" (להלן: הרכב) </w:t>
      </w:r>
      <w:r>
        <w:rPr>
          <w:rFonts w:ascii="David" w:hAnsi="David" w:cs="David"/>
          <w:sz w:val="24"/>
          <w:szCs w:val="24"/>
          <w:rtl/>
        </w:rPr>
        <w:lastRenderedPageBreak/>
        <w:t xml:space="preserve">כאשר בתוך חלל פילטר המזגן של הרכב הוסלקו זרעים של סם מסוכן מסוג קנביס במשקל 756 גרם נטו. </w:t>
      </w:r>
    </w:p>
    <w:p w14:paraId="1BCEA88D" w14:textId="77777777" w:rsidR="001D227A" w:rsidRDefault="001D227A" w:rsidP="001D227A">
      <w:pPr>
        <w:pStyle w:val="aa"/>
        <w:rPr>
          <w:rFonts w:ascii="David" w:hAnsi="David" w:cs="David"/>
          <w:sz w:val="24"/>
          <w:szCs w:val="24"/>
          <w:highlight w:val="yellow"/>
        </w:rPr>
      </w:pPr>
    </w:p>
    <w:p w14:paraId="6224F1D4" w14:textId="77777777" w:rsidR="001D227A" w:rsidRDefault="001D227A" w:rsidP="001D227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בדיון ביום 7.11.2021 הודה הנאשם בכתב האישום המתוקן והורשע על פי הודאתו; הנאשם הופנה, בהסכמת הצדדים, לקבלת תסקיר שירות המבחן באשר לשאלת העונש, ולבקשת ב"כ הנאשם אף לבחינת ביטול הרשעתו. המאשימה הצהירה כי תעתור לעונש הכולל רכיב מאסר בפועל. </w:t>
      </w:r>
    </w:p>
    <w:p w14:paraId="3E5E2C3B" w14:textId="77777777" w:rsidR="001D227A" w:rsidRDefault="001D227A" w:rsidP="001D227A">
      <w:pPr>
        <w:pStyle w:val="aa"/>
        <w:rPr>
          <w:rFonts w:ascii="David" w:hAnsi="David" w:cs="David"/>
          <w:sz w:val="24"/>
          <w:szCs w:val="24"/>
        </w:rPr>
      </w:pPr>
    </w:p>
    <w:p w14:paraId="3DD3A196" w14:textId="77777777" w:rsidR="001D227A" w:rsidRDefault="001D227A" w:rsidP="001D227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29.5.2022 התקבל תסקיר שירות המבחן, אשר לא בא בהמלצה טיפולית בעניינו. בדיון שהתקיים ביום 9.6.2022, עתר ב"כ הנאשם לקבלת תסקיר נוסף, אשר יבחן שילובו של הנאשם בקבוצה טיפולית. משלא התנגדה לכך המאשימה, נעתרתי לבקשה. במקביל הופנה הנאשם לקבלת חוות דעת הממונה על עבודות השירות. </w:t>
      </w:r>
    </w:p>
    <w:p w14:paraId="7AEABC46" w14:textId="77777777" w:rsidR="001D227A" w:rsidRDefault="001D227A" w:rsidP="001D227A">
      <w:pPr>
        <w:pStyle w:val="aa"/>
        <w:spacing w:line="360" w:lineRule="auto"/>
        <w:jc w:val="both"/>
        <w:rPr>
          <w:rFonts w:ascii="David" w:hAnsi="David" w:cs="David"/>
          <w:sz w:val="24"/>
          <w:szCs w:val="24"/>
          <w:highlight w:val="yellow"/>
          <w:rtl/>
        </w:rPr>
      </w:pPr>
    </w:p>
    <w:p w14:paraId="1A45BFE5" w14:textId="77777777" w:rsidR="001D227A" w:rsidRDefault="001D227A" w:rsidP="001D227A">
      <w:pPr>
        <w:pStyle w:val="aa"/>
        <w:numPr>
          <w:ilvl w:val="0"/>
          <w:numId w:val="1"/>
        </w:numPr>
        <w:spacing w:line="360" w:lineRule="auto"/>
        <w:jc w:val="both"/>
        <w:rPr>
          <w:rFonts w:ascii="David" w:hAnsi="David" w:cs="David"/>
          <w:b/>
          <w:bCs/>
          <w:sz w:val="24"/>
          <w:szCs w:val="24"/>
          <w:u w:val="single"/>
        </w:rPr>
      </w:pPr>
      <w:r>
        <w:rPr>
          <w:rFonts w:ascii="David" w:hAnsi="David" w:cs="David"/>
          <w:sz w:val="24"/>
          <w:szCs w:val="24"/>
          <w:rtl/>
        </w:rPr>
        <w:t xml:space="preserve">ביום 22.1.2023, לאחר שהתקבל התסקיר בעניינו של הנאשם, טענו הצדדים לעונש. </w:t>
      </w:r>
    </w:p>
    <w:p w14:paraId="00DF6E6A" w14:textId="77777777" w:rsidR="001D227A" w:rsidRDefault="001D227A" w:rsidP="001D227A">
      <w:pPr>
        <w:pStyle w:val="aa"/>
        <w:spacing w:line="360" w:lineRule="auto"/>
        <w:jc w:val="both"/>
        <w:rPr>
          <w:rFonts w:ascii="David" w:hAnsi="David" w:cs="David"/>
          <w:sz w:val="24"/>
          <w:szCs w:val="24"/>
          <w:highlight w:val="yellow"/>
          <w:rtl/>
        </w:rPr>
      </w:pPr>
    </w:p>
    <w:p w14:paraId="169B9128" w14:textId="77777777" w:rsidR="001D227A" w:rsidRDefault="001D227A" w:rsidP="001D227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מחוות דעת הממונה על עבודות השירות אשר התקבלה ביום 18.10.2022, עלה כי הנאשם מתאים לביצוע עבודות שירות. </w:t>
      </w:r>
    </w:p>
    <w:p w14:paraId="691C6B4B" w14:textId="77777777" w:rsidR="001D227A" w:rsidRDefault="001D227A" w:rsidP="001D227A">
      <w:pPr>
        <w:pStyle w:val="aa"/>
        <w:rPr>
          <w:rFonts w:ascii="David" w:hAnsi="David" w:cs="David"/>
          <w:sz w:val="24"/>
          <w:szCs w:val="24"/>
          <w:highlight w:val="yellow"/>
        </w:rPr>
      </w:pPr>
    </w:p>
    <w:p w14:paraId="024D17B2" w14:textId="77777777" w:rsidR="001D227A" w:rsidRDefault="001D227A" w:rsidP="001D227A">
      <w:pPr>
        <w:spacing w:line="360" w:lineRule="auto"/>
        <w:jc w:val="both"/>
        <w:rPr>
          <w:rFonts w:ascii="David" w:hAnsi="David"/>
          <w:rtl/>
        </w:rPr>
      </w:pPr>
      <w:r>
        <w:rPr>
          <w:rFonts w:ascii="David" w:hAnsi="David"/>
          <w:b/>
          <w:bCs/>
          <w:u w:val="single"/>
          <w:rtl/>
        </w:rPr>
        <w:t>תסקירי שירות המבחן</w:t>
      </w:r>
    </w:p>
    <w:p w14:paraId="6292B19F" w14:textId="77777777" w:rsidR="001D227A" w:rsidRDefault="001D227A" w:rsidP="001D227A">
      <w:pPr>
        <w:spacing w:line="360" w:lineRule="auto"/>
        <w:jc w:val="both"/>
        <w:rPr>
          <w:rFonts w:ascii="David" w:hAnsi="David"/>
          <w:rtl/>
        </w:rPr>
      </w:pPr>
    </w:p>
    <w:p w14:paraId="30B5162E" w14:textId="77777777" w:rsidR="001D227A" w:rsidRDefault="001D227A" w:rsidP="001D227A">
      <w:pPr>
        <w:pStyle w:val="1"/>
        <w:numPr>
          <w:ilvl w:val="0"/>
          <w:numId w:val="1"/>
        </w:numPr>
        <w:spacing w:after="0"/>
        <w:rPr>
          <w:szCs w:val="24"/>
          <w:rtl/>
        </w:rPr>
      </w:pPr>
      <w:r>
        <w:rPr>
          <w:rFonts w:hint="cs"/>
          <w:szCs w:val="24"/>
          <w:rtl/>
        </w:rPr>
        <w:t xml:space="preserve">בתסקיר שהוגש ביום 29.5.2022 (להלן: התסקיר הראשון) סקר שירות המבחן את רקעו האישי והמשפחתי של הנאשם.  התסקיר ציין כי הנאשם כבן 23, נעדר עבר פלילי, נשוי ואב לפעוט, סיים 12 שנות לימוד ובעל תעודת בגרות. עוד פרט שירות המבחן כי הנאשם הגיע לבדיקת שתן אולם לא מסר אותה. הנאשם הודה בביצוע העבירה בתיק זה ושירות המבחן התרשם כי הוא ביצע את העבירה על מנת להרוויח כסף קל, מבלי להביא בחשבון את השלכות מעשיו. </w:t>
      </w:r>
    </w:p>
    <w:p w14:paraId="2E209F08" w14:textId="77777777" w:rsidR="001D227A" w:rsidRDefault="001D227A" w:rsidP="001D227A">
      <w:pPr>
        <w:pStyle w:val="1"/>
        <w:spacing w:after="0"/>
        <w:ind w:left="360" w:firstLine="0"/>
        <w:rPr>
          <w:szCs w:val="24"/>
        </w:rPr>
      </w:pPr>
    </w:p>
    <w:p w14:paraId="3481B1DA" w14:textId="77777777" w:rsidR="001D227A" w:rsidRDefault="001D227A" w:rsidP="001D227A">
      <w:pPr>
        <w:pStyle w:val="1"/>
        <w:spacing w:after="0"/>
        <w:ind w:left="360" w:firstLine="0"/>
        <w:rPr>
          <w:szCs w:val="24"/>
          <w:rtl/>
        </w:rPr>
      </w:pPr>
      <w:r>
        <w:rPr>
          <w:rFonts w:hint="cs"/>
          <w:szCs w:val="24"/>
          <w:rtl/>
        </w:rPr>
        <w:t xml:space="preserve">התסקיר סיפר כי הנאשם סירב להצעת שירות המבחן להשתלב בקבוצה טיפולית, ושירות המבחן התרשם כי הנאשם לא ראה צורך בבחינת מעשיו והתנהלותו, על כן, לא בא שירות המבחן בהמלצה טיפולית. </w:t>
      </w:r>
    </w:p>
    <w:p w14:paraId="6E90B7A8" w14:textId="77777777" w:rsidR="001D227A" w:rsidRDefault="001D227A" w:rsidP="001D227A">
      <w:pPr>
        <w:pStyle w:val="1"/>
        <w:spacing w:after="0"/>
        <w:ind w:left="360" w:firstLine="0"/>
        <w:rPr>
          <w:szCs w:val="24"/>
          <w:rtl/>
        </w:rPr>
      </w:pPr>
    </w:p>
    <w:p w14:paraId="40E2A277" w14:textId="77777777" w:rsidR="001D227A" w:rsidRDefault="001D227A" w:rsidP="001D227A">
      <w:pPr>
        <w:pStyle w:val="1"/>
        <w:spacing w:after="0"/>
        <w:ind w:left="360" w:firstLine="0"/>
        <w:rPr>
          <w:szCs w:val="24"/>
        </w:rPr>
      </w:pPr>
      <w:r>
        <w:rPr>
          <w:rFonts w:hint="cs"/>
          <w:szCs w:val="24"/>
          <w:rtl/>
        </w:rPr>
        <w:t xml:space="preserve">לאור האמור, המליץ שירות המבחן על ענישה הכוללת מאסר בדרך של עבודות שירות ומאסר מותנה. כמו כן, לא בא שירות המבחן בהמלצה להימנע מהרשעתו. </w:t>
      </w:r>
    </w:p>
    <w:p w14:paraId="517F8193" w14:textId="77777777" w:rsidR="001D227A" w:rsidRDefault="001D227A" w:rsidP="001D227A">
      <w:pPr>
        <w:pStyle w:val="1"/>
        <w:spacing w:after="0"/>
        <w:ind w:left="360" w:firstLine="0"/>
        <w:rPr>
          <w:szCs w:val="24"/>
          <w:rtl/>
        </w:rPr>
      </w:pPr>
    </w:p>
    <w:p w14:paraId="239AD625" w14:textId="77777777" w:rsidR="001D227A" w:rsidRDefault="001D227A" w:rsidP="001D227A">
      <w:pPr>
        <w:pStyle w:val="1"/>
        <w:spacing w:after="0"/>
        <w:ind w:left="360" w:firstLine="0"/>
        <w:rPr>
          <w:szCs w:val="24"/>
          <w:rtl/>
        </w:rPr>
      </w:pPr>
      <w:r>
        <w:rPr>
          <w:rFonts w:hint="cs"/>
          <w:szCs w:val="24"/>
          <w:rtl/>
        </w:rPr>
        <w:t xml:space="preserve">בתסקיר נוסף שהוגש ביום 19.10.2022 (להלן: התסקיר המשלים), ציין שירות המבחן כי מתוך ארבע בדיקות שתן שמסר הנאשם, בשתיים מהן נמצאו שרידי סם מסוכן מסוג קנאביס. הנאשם, כך התסקיר, התקשה להכיר בבעייתיות בתחום הסמים, וטען כי מדובר בטעות. </w:t>
      </w:r>
      <w:r>
        <w:rPr>
          <w:rFonts w:hint="cs"/>
          <w:szCs w:val="24"/>
          <w:rtl/>
        </w:rPr>
        <w:lastRenderedPageBreak/>
        <w:t xml:space="preserve">בנסיבות אלה לא בא שירות המבחן בהמלצה טיפולית. קצינת המבחן חזרה על המלצתה להטיל על הנאשם מאסר לריצוי בדרך של עבודות שירות וכן מאסר מותנה מרתיע. </w:t>
      </w:r>
    </w:p>
    <w:p w14:paraId="061618F2" w14:textId="77777777" w:rsidR="001D227A" w:rsidRDefault="001D227A" w:rsidP="001D227A">
      <w:pPr>
        <w:pStyle w:val="1"/>
        <w:spacing w:after="0"/>
        <w:ind w:left="360" w:firstLine="0"/>
        <w:rPr>
          <w:szCs w:val="24"/>
          <w:rtl/>
        </w:rPr>
      </w:pPr>
    </w:p>
    <w:p w14:paraId="18C7A4AE" w14:textId="77777777" w:rsidR="001D227A" w:rsidRDefault="001D227A" w:rsidP="001D227A">
      <w:pPr>
        <w:spacing w:line="360" w:lineRule="auto"/>
        <w:jc w:val="both"/>
        <w:rPr>
          <w:rFonts w:ascii="David" w:hAnsi="David"/>
          <w:b/>
          <w:bCs/>
          <w:u w:val="single"/>
          <w:rtl/>
        </w:rPr>
      </w:pPr>
      <w:r>
        <w:rPr>
          <w:rFonts w:ascii="David" w:hAnsi="David"/>
          <w:b/>
          <w:bCs/>
          <w:u w:val="single"/>
          <w:rtl/>
        </w:rPr>
        <w:t>טיעוני הצדדים לעונש</w:t>
      </w:r>
    </w:p>
    <w:p w14:paraId="3E05537E" w14:textId="77777777" w:rsidR="001D227A" w:rsidRDefault="001D227A" w:rsidP="001D227A">
      <w:pPr>
        <w:spacing w:line="360" w:lineRule="auto"/>
        <w:jc w:val="both"/>
        <w:rPr>
          <w:rFonts w:ascii="David" w:hAnsi="David"/>
          <w:b/>
          <w:bCs/>
          <w:u w:val="single"/>
          <w:rtl/>
        </w:rPr>
      </w:pPr>
    </w:p>
    <w:p w14:paraId="6D60F006" w14:textId="77777777" w:rsidR="001D227A" w:rsidRDefault="001D227A" w:rsidP="001D227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הדגישה כי עבירות הסמים פוגעות בשלום הציבור, בריאותו ובטחונו. עוד ציינה המאשימה כי במקרה זה, אם היה עולה בידו של הנאשם לייצא את הסם המסוכן, ניתן היה להפיק כמות גדולה של סם, ופוטנציאל הנזק הטמון בעבירה זו הוא גדול לרבות עבירות נלוות לשימוש בסם כגון עבירות אלימות, רכוש ותעבורה. </w:t>
      </w:r>
    </w:p>
    <w:p w14:paraId="3AE4FB8F" w14:textId="77777777" w:rsidR="001D227A" w:rsidRDefault="001D227A" w:rsidP="001D227A">
      <w:pPr>
        <w:pStyle w:val="aa"/>
        <w:spacing w:line="360" w:lineRule="auto"/>
        <w:ind w:left="360"/>
        <w:jc w:val="both"/>
        <w:rPr>
          <w:rFonts w:ascii="David" w:hAnsi="David" w:cs="David"/>
          <w:sz w:val="24"/>
          <w:szCs w:val="24"/>
        </w:rPr>
      </w:pPr>
    </w:p>
    <w:p w14:paraId="7D936DA5" w14:textId="77777777" w:rsidR="001D227A" w:rsidRDefault="001D227A" w:rsidP="001D227A">
      <w:pPr>
        <w:pStyle w:val="aa"/>
        <w:spacing w:line="360" w:lineRule="auto"/>
        <w:ind w:left="360"/>
        <w:jc w:val="both"/>
        <w:rPr>
          <w:rFonts w:ascii="David" w:hAnsi="David" w:cs="David"/>
          <w:sz w:val="24"/>
          <w:szCs w:val="24"/>
        </w:rPr>
      </w:pPr>
      <w:r>
        <w:rPr>
          <w:rFonts w:ascii="David" w:hAnsi="David" w:cs="David"/>
          <w:sz w:val="24"/>
          <w:szCs w:val="24"/>
          <w:rtl/>
        </w:rPr>
        <w:t xml:space="preserve">לעניין מתחם הענישה ההולם, טענה המאשימה כי "יש לקבוע את תחתיתו ב 10 חודשי מאסר ורומו ב 24 חודשי מאסר". </w:t>
      </w:r>
    </w:p>
    <w:p w14:paraId="1BE244D6" w14:textId="77777777" w:rsidR="001D227A" w:rsidRDefault="001D227A" w:rsidP="001D227A">
      <w:pPr>
        <w:pStyle w:val="aa"/>
        <w:jc w:val="both"/>
        <w:rPr>
          <w:rFonts w:ascii="David" w:hAnsi="David" w:cs="David"/>
          <w:sz w:val="24"/>
          <w:szCs w:val="24"/>
          <w:highlight w:val="yellow"/>
          <w:rtl/>
        </w:rPr>
      </w:pPr>
    </w:p>
    <w:p w14:paraId="52777CD0" w14:textId="77777777" w:rsidR="001D227A" w:rsidRDefault="001D227A" w:rsidP="001D227A">
      <w:pPr>
        <w:pStyle w:val="aa"/>
        <w:spacing w:line="360" w:lineRule="auto"/>
        <w:ind w:left="360"/>
        <w:jc w:val="both"/>
        <w:rPr>
          <w:rFonts w:ascii="David" w:hAnsi="David" w:cs="David"/>
          <w:sz w:val="24"/>
          <w:szCs w:val="24"/>
        </w:rPr>
      </w:pPr>
      <w:r>
        <w:rPr>
          <w:rFonts w:ascii="David" w:hAnsi="David" w:cs="David"/>
          <w:sz w:val="24"/>
          <w:szCs w:val="24"/>
          <w:rtl/>
        </w:rPr>
        <w:t xml:space="preserve">המאשימה ציינה את העדר עברו הפלילי של הנאשם לצד סירובו להליך טיפולי, הימצאות שרידי סם בבדיקות השתן שמסר ואת העובדה כי לולא נתפס, עבירת הניסיון היתה מושלמת וחולית הפצת הסם היתה נמשכת. לאור זאת, ביקשה למקם את הנאשם ברף הבינוני של המתחם ולהטיל עליו 14 חודשי מאסר בפועל, מאסר מותנה, קנס ופסילת רישיון הנהיגה לתקופה שלא תפחת משנתיים. </w:t>
      </w:r>
    </w:p>
    <w:p w14:paraId="4CFC24CF" w14:textId="77777777" w:rsidR="001D227A" w:rsidRDefault="001D227A" w:rsidP="001D227A">
      <w:pPr>
        <w:spacing w:line="360" w:lineRule="auto"/>
        <w:ind w:firstLine="360"/>
        <w:jc w:val="both"/>
        <w:rPr>
          <w:rFonts w:ascii="David" w:hAnsi="David"/>
          <w:b/>
          <w:bCs/>
          <w:u w:val="single"/>
          <w:rtl/>
        </w:rPr>
      </w:pPr>
      <w:r>
        <w:rPr>
          <w:rFonts w:ascii="David" w:hAnsi="David"/>
          <w:rtl/>
        </w:rPr>
        <w:t xml:space="preserve">התובעת הפנתה לפסיקה על מנת לתמוך בעתירתה העונשית. </w:t>
      </w:r>
    </w:p>
    <w:p w14:paraId="001CEC99" w14:textId="77777777" w:rsidR="001D227A" w:rsidRDefault="001D227A" w:rsidP="001D227A">
      <w:pPr>
        <w:pStyle w:val="aa"/>
        <w:spacing w:line="360" w:lineRule="auto"/>
        <w:ind w:left="360"/>
        <w:jc w:val="both"/>
        <w:rPr>
          <w:rFonts w:ascii="David" w:hAnsi="David" w:cs="David"/>
          <w:sz w:val="24"/>
          <w:szCs w:val="24"/>
          <w:rtl/>
        </w:rPr>
      </w:pPr>
    </w:p>
    <w:p w14:paraId="70AD636D" w14:textId="77777777" w:rsidR="001D227A" w:rsidRDefault="001D227A" w:rsidP="001D227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הסניגור בטיעוניו לעונש עמד על לימודיו האקדמאיים של הנאשם, את עובדת היותו נשוי ואב לשני קטינים ונעדר עבר פלילי, עוד ציין הסניגור כי הנאשם לא עבר עבירה מאז קרות האירוע, ומכך ניתן ללמוד כי "הוא עולה על המסלול הנכון". </w:t>
      </w:r>
    </w:p>
    <w:p w14:paraId="46CC2F21" w14:textId="77777777" w:rsidR="001D227A" w:rsidRDefault="001D227A" w:rsidP="001D227A">
      <w:pPr>
        <w:pStyle w:val="aa"/>
        <w:spacing w:line="360" w:lineRule="auto"/>
        <w:ind w:left="360"/>
        <w:jc w:val="both"/>
        <w:rPr>
          <w:rFonts w:ascii="David" w:hAnsi="David" w:cs="David"/>
          <w:sz w:val="24"/>
          <w:szCs w:val="24"/>
        </w:rPr>
      </w:pPr>
    </w:p>
    <w:p w14:paraId="2238E7D2" w14:textId="77777777" w:rsidR="001D227A" w:rsidRDefault="001D227A" w:rsidP="001D227A">
      <w:pPr>
        <w:pStyle w:val="aa"/>
        <w:spacing w:line="360" w:lineRule="auto"/>
        <w:ind w:left="360"/>
        <w:jc w:val="both"/>
        <w:rPr>
          <w:rFonts w:ascii="David" w:hAnsi="David" w:cs="David"/>
          <w:sz w:val="24"/>
          <w:szCs w:val="24"/>
        </w:rPr>
      </w:pPr>
      <w:r>
        <w:rPr>
          <w:rFonts w:ascii="David" w:hAnsi="David" w:cs="David"/>
          <w:sz w:val="24"/>
          <w:szCs w:val="24"/>
          <w:rtl/>
        </w:rPr>
        <w:t>ב"כ הנאשם טען שהנאשם נתפס עם זרעים של הסם, ומשכך לא ניתן לדעת מה החומר הפעיל ומה הנזק שהיה נגרם ויש להתחשב בכמות שנתפסה.</w:t>
      </w:r>
    </w:p>
    <w:p w14:paraId="7C222D2A" w14:textId="77777777" w:rsidR="001D227A" w:rsidRDefault="001D227A" w:rsidP="001D227A">
      <w:pPr>
        <w:pStyle w:val="aa"/>
        <w:spacing w:line="360" w:lineRule="auto"/>
        <w:ind w:left="360"/>
        <w:jc w:val="both"/>
        <w:rPr>
          <w:rFonts w:ascii="David" w:hAnsi="David" w:cs="David"/>
          <w:sz w:val="24"/>
          <w:szCs w:val="24"/>
          <w:rtl/>
        </w:rPr>
      </w:pPr>
    </w:p>
    <w:p w14:paraId="462BA835" w14:textId="77777777" w:rsidR="001D227A" w:rsidRDefault="001D227A" w:rsidP="001D227A">
      <w:pPr>
        <w:pStyle w:val="aa"/>
        <w:spacing w:line="360" w:lineRule="auto"/>
        <w:ind w:left="360"/>
        <w:jc w:val="both"/>
        <w:rPr>
          <w:rFonts w:ascii="David" w:hAnsi="David" w:cs="David"/>
          <w:sz w:val="24"/>
          <w:szCs w:val="24"/>
          <w:rtl/>
        </w:rPr>
      </w:pPr>
      <w:r>
        <w:rPr>
          <w:rFonts w:ascii="David" w:hAnsi="David" w:cs="David"/>
          <w:sz w:val="24"/>
          <w:szCs w:val="24"/>
          <w:rtl/>
        </w:rPr>
        <w:t>הסניגור עתר להימנע מהרשעתו של הנאשם בהתאם לחריגים שנקבעו בפסיקה. לדידו,  אם יורשע הנאשם, לא יוכל לעבוד במשרד החינוך ולעסוק בהוראה, כפי שתכנן. כמו כן, ביקש שלא לפסול את רישיונו של הנאשם, שכן הנאשם מתגורר עם אמו ושני ילדיו הקטנים (אחד מהם תינוק בן ארבעה חודשים) במקום המרוחק מתחבורה ציבורית.</w:t>
      </w:r>
    </w:p>
    <w:p w14:paraId="13E0CE27" w14:textId="77777777" w:rsidR="001D227A" w:rsidRDefault="001D227A" w:rsidP="001D227A">
      <w:pPr>
        <w:pStyle w:val="aa"/>
        <w:spacing w:line="360" w:lineRule="auto"/>
        <w:ind w:left="360"/>
        <w:jc w:val="both"/>
        <w:rPr>
          <w:rFonts w:ascii="David" w:hAnsi="David" w:cs="David"/>
          <w:sz w:val="24"/>
          <w:szCs w:val="24"/>
          <w:highlight w:val="yellow"/>
        </w:rPr>
      </w:pPr>
    </w:p>
    <w:p w14:paraId="325159ED" w14:textId="77777777" w:rsidR="001D227A" w:rsidRDefault="001D227A" w:rsidP="001D227A">
      <w:pPr>
        <w:pStyle w:val="aa"/>
        <w:numPr>
          <w:ilvl w:val="0"/>
          <w:numId w:val="1"/>
        </w:numPr>
        <w:spacing w:line="360" w:lineRule="auto"/>
        <w:jc w:val="both"/>
        <w:rPr>
          <w:rFonts w:ascii="David" w:eastAsia="David" w:hAnsi="David"/>
        </w:rPr>
      </w:pPr>
      <w:r>
        <w:rPr>
          <w:rFonts w:ascii="David" w:hAnsi="David" w:cs="David"/>
          <w:sz w:val="24"/>
          <w:szCs w:val="24"/>
          <w:rtl/>
        </w:rPr>
        <w:t xml:space="preserve">הנאשם בדברו האחרון אמר: </w:t>
      </w:r>
    </w:p>
    <w:p w14:paraId="75F3B5EE" w14:textId="77777777" w:rsidR="001D227A" w:rsidRDefault="001D227A" w:rsidP="001D227A">
      <w:pPr>
        <w:pStyle w:val="aa"/>
        <w:spacing w:line="360" w:lineRule="auto"/>
        <w:ind w:left="360"/>
        <w:jc w:val="both"/>
        <w:rPr>
          <w:rFonts w:ascii="David" w:hAnsi="David" w:cs="David"/>
          <w:sz w:val="24"/>
          <w:szCs w:val="24"/>
        </w:rPr>
      </w:pPr>
    </w:p>
    <w:p w14:paraId="21976DB0" w14:textId="77777777" w:rsidR="001D227A" w:rsidRDefault="001D227A" w:rsidP="001D227A">
      <w:pPr>
        <w:pStyle w:val="aa"/>
        <w:spacing w:line="360" w:lineRule="auto"/>
        <w:ind w:left="360"/>
        <w:jc w:val="both"/>
        <w:rPr>
          <w:rFonts w:ascii="David" w:eastAsia="David" w:hAnsi="David"/>
          <w:rtl/>
        </w:rPr>
      </w:pPr>
      <w:r>
        <w:rPr>
          <w:rFonts w:ascii="David" w:hAnsi="David" w:cs="David"/>
          <w:sz w:val="24"/>
          <w:szCs w:val="24"/>
          <w:rtl/>
        </w:rPr>
        <w:t xml:space="preserve">"אדוני השופט זה עבירה שעשיתי לפני 4 שנים ומאד לא עשיתי עבירות. אתה רואה שאני התחתנתי ובאו לי ילדים אחר כך. אני לומד ועובד ובית המשפט לא צריך לשרוף את העתיד של החיים שלי. התובעת מדברת על רישיון נהיגה והרבה דברים ורוצה לשים אותי בכלא, מאיפה אני אביא אוכל לילדים שלי? ביחס ללימודים נשאר לי שנה או שנה וחצי לסיום הלימודים ואז אני לא אוכל לעבוד בהוראה אם אני אורשע." </w:t>
      </w:r>
    </w:p>
    <w:p w14:paraId="4957C716" w14:textId="77777777" w:rsidR="001D227A" w:rsidRDefault="001D227A" w:rsidP="001D227A">
      <w:pPr>
        <w:pStyle w:val="aa"/>
        <w:spacing w:line="360" w:lineRule="auto"/>
        <w:ind w:left="0"/>
        <w:jc w:val="both"/>
        <w:rPr>
          <w:rFonts w:ascii="David" w:eastAsia="David" w:hAnsi="David"/>
        </w:rPr>
      </w:pPr>
    </w:p>
    <w:p w14:paraId="477D8224" w14:textId="77777777" w:rsidR="001D227A" w:rsidRPr="001D227A" w:rsidRDefault="001D227A" w:rsidP="001D227A">
      <w:pPr>
        <w:pStyle w:val="aa"/>
        <w:spacing w:line="360" w:lineRule="auto"/>
        <w:ind w:left="0"/>
        <w:jc w:val="both"/>
        <w:rPr>
          <w:rFonts w:ascii="David" w:hAnsi="David" w:cs="David"/>
          <w:b/>
          <w:bCs/>
          <w:sz w:val="24"/>
          <w:szCs w:val="24"/>
          <w:u w:val="single"/>
          <w:rtl/>
        </w:rPr>
      </w:pPr>
      <w:r>
        <w:rPr>
          <w:rFonts w:ascii="David" w:hAnsi="David" w:cs="David"/>
          <w:b/>
          <w:bCs/>
          <w:sz w:val="24"/>
          <w:szCs w:val="24"/>
          <w:u w:val="single"/>
          <w:rtl/>
        </w:rPr>
        <w:t>דיון והכרעה</w:t>
      </w:r>
    </w:p>
    <w:p w14:paraId="34F66F2D" w14:textId="77777777" w:rsidR="001D227A" w:rsidRPr="001D227A" w:rsidRDefault="001D227A" w:rsidP="001D227A">
      <w:pPr>
        <w:pStyle w:val="aa"/>
        <w:spacing w:line="360" w:lineRule="auto"/>
        <w:ind w:left="0"/>
        <w:jc w:val="both"/>
        <w:rPr>
          <w:rFonts w:ascii="David" w:hAnsi="David" w:cs="David"/>
          <w:b/>
          <w:bCs/>
          <w:sz w:val="24"/>
          <w:szCs w:val="24"/>
          <w:u w:val="single"/>
          <w:rtl/>
        </w:rPr>
      </w:pPr>
    </w:p>
    <w:p w14:paraId="6D13F1DA" w14:textId="77777777" w:rsidR="001D227A" w:rsidRDefault="001D227A" w:rsidP="001D227A">
      <w:pPr>
        <w:pStyle w:val="aa"/>
        <w:spacing w:line="360" w:lineRule="auto"/>
        <w:ind w:left="0"/>
        <w:jc w:val="both"/>
        <w:rPr>
          <w:rFonts w:ascii="David" w:hAnsi="David" w:cs="David"/>
          <w:sz w:val="24"/>
          <w:szCs w:val="24"/>
          <w:rtl/>
        </w:rPr>
      </w:pPr>
      <w:r>
        <w:rPr>
          <w:rFonts w:ascii="David" w:hAnsi="David" w:cs="David"/>
          <w:sz w:val="24"/>
          <w:szCs w:val="24"/>
          <w:u w:val="single"/>
          <w:rtl/>
        </w:rPr>
        <w:t xml:space="preserve">מתחם העונש ההולם </w:t>
      </w:r>
    </w:p>
    <w:p w14:paraId="3132369A" w14:textId="77777777" w:rsidR="001D227A" w:rsidRDefault="001D227A" w:rsidP="001D227A">
      <w:pPr>
        <w:pStyle w:val="aa"/>
        <w:spacing w:line="360" w:lineRule="auto"/>
        <w:ind w:left="0"/>
        <w:jc w:val="both"/>
        <w:rPr>
          <w:rFonts w:ascii="David" w:hAnsi="David" w:cs="David"/>
          <w:sz w:val="24"/>
          <w:szCs w:val="24"/>
          <w:rtl/>
        </w:rPr>
      </w:pPr>
      <w:r>
        <w:rPr>
          <w:rFonts w:ascii="David" w:hAnsi="David" w:cs="David"/>
          <w:sz w:val="24"/>
          <w:szCs w:val="24"/>
          <w:rtl/>
        </w:rPr>
        <w:t xml:space="preserve"> </w:t>
      </w:r>
    </w:p>
    <w:p w14:paraId="6E6575E7" w14:textId="77777777" w:rsidR="001D227A" w:rsidRDefault="001D227A" w:rsidP="001D227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הערכים המוגנים בהם פגע הנאשם, הם שמירה על בריאות הציבור, וההגנה מפני נגע הסמים והפצתם. </w:t>
      </w:r>
    </w:p>
    <w:p w14:paraId="45691574" w14:textId="77777777" w:rsidR="001D227A" w:rsidRDefault="001D227A" w:rsidP="001D227A">
      <w:pPr>
        <w:pStyle w:val="aa"/>
        <w:spacing w:line="360" w:lineRule="auto"/>
        <w:ind w:left="360"/>
        <w:jc w:val="both"/>
        <w:rPr>
          <w:rFonts w:ascii="David" w:hAnsi="David" w:cs="David"/>
          <w:sz w:val="24"/>
          <w:szCs w:val="24"/>
        </w:rPr>
      </w:pPr>
    </w:p>
    <w:p w14:paraId="6B68EAC4" w14:textId="77777777" w:rsidR="001D227A" w:rsidRDefault="001D227A" w:rsidP="001D227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הנאשם ניסה ליצא זרעי סמים מסוכנים מסוג קנביס במשקל 756 גרם נטו. להמחשת החומרה בה יש להתייחס לכל חוליה בשרשרת הפצת הסמים, ראו למשל את קביעת בית המשפט העליון במסגרת ע"פ 5056/17 </w:t>
      </w:r>
      <w:r>
        <w:rPr>
          <w:rFonts w:ascii="David" w:hAnsi="David" w:cs="David"/>
          <w:b/>
          <w:bCs/>
          <w:sz w:val="24"/>
          <w:szCs w:val="24"/>
          <w:rtl/>
        </w:rPr>
        <w:t>עבדאל קאדר נ' מדינת ישראל</w:t>
      </w:r>
      <w:r>
        <w:rPr>
          <w:rFonts w:ascii="David" w:hAnsi="David" w:cs="David"/>
          <w:sz w:val="24"/>
          <w:szCs w:val="24"/>
          <w:rtl/>
        </w:rPr>
        <w:t xml:space="preserve"> (20.4.2016):</w:t>
      </w:r>
    </w:p>
    <w:p w14:paraId="33034310" w14:textId="77777777" w:rsidR="001D227A" w:rsidRDefault="001D227A" w:rsidP="001D227A">
      <w:pPr>
        <w:pStyle w:val="aa"/>
        <w:rPr>
          <w:rFonts w:ascii="David" w:hAnsi="David" w:cs="David"/>
        </w:rPr>
      </w:pPr>
    </w:p>
    <w:p w14:paraId="1F3078FB" w14:textId="77777777" w:rsidR="001D227A" w:rsidRDefault="001D227A" w:rsidP="001D227A">
      <w:pPr>
        <w:pStyle w:val="aa"/>
        <w:spacing w:line="360" w:lineRule="auto"/>
        <w:ind w:left="360"/>
        <w:jc w:val="both"/>
        <w:rPr>
          <w:rFonts w:ascii="David" w:hAnsi="David" w:cs="David"/>
          <w:sz w:val="24"/>
          <w:szCs w:val="24"/>
          <w:rtl/>
        </w:rPr>
      </w:pPr>
      <w:r>
        <w:rPr>
          <w:rFonts w:ascii="David" w:hAnsi="David" w:cs="David"/>
          <w:sz w:val="24"/>
          <w:szCs w:val="24"/>
          <w:rtl/>
        </w:rPr>
        <w:t xml:space="preserve">"לא אחת עמד בית משפט זה על החומרה היתרה הטמונה בעבירות סמים גם כאשר הנאשם משמש כבלדר, שכן לשם מיגור נגע הסמים יש לנתק את שרשרת הפצת הסם ולטפל ביד קשה גם בבלדרים, אשר באמצעותם מועבר הסם אל הציבור, המהווים חוליה הכרחית במערכת הפצת הסמים ומשום כך יש לראות גם בהם גורם מהותי באותה מערכת המסבה נזק רב לחברה ...". </w:t>
      </w:r>
    </w:p>
    <w:p w14:paraId="219E098E" w14:textId="77777777" w:rsidR="001D227A" w:rsidRDefault="001D227A" w:rsidP="001D227A">
      <w:pPr>
        <w:pStyle w:val="aa"/>
        <w:spacing w:line="360" w:lineRule="auto"/>
        <w:ind w:left="360"/>
        <w:jc w:val="both"/>
        <w:rPr>
          <w:rFonts w:ascii="David" w:hAnsi="David" w:cs="David"/>
          <w:sz w:val="24"/>
          <w:szCs w:val="24"/>
          <w:rtl/>
        </w:rPr>
      </w:pPr>
    </w:p>
    <w:p w14:paraId="46E1544B" w14:textId="77777777" w:rsidR="001D227A" w:rsidRDefault="001D227A" w:rsidP="001D227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מידת הפגיעה בערכים המוגנים במקרה דנא היא ברמה בינונית, וזאת בשים לב לעובדה כי הנאשם עבר את העבירה במודע לשם בצע כסף. הנאשם ניסה לייצא למצרים זרעי סם בכמות שאינה קטנה, מהם ניתן להפיק כמות סם גדולה, אשר נועדה להפצה.  </w:t>
      </w:r>
    </w:p>
    <w:p w14:paraId="4D6B9491" w14:textId="77777777" w:rsidR="001D227A" w:rsidRDefault="001D227A" w:rsidP="001D227A">
      <w:pPr>
        <w:pStyle w:val="aa"/>
        <w:spacing w:line="360" w:lineRule="auto"/>
        <w:ind w:left="360"/>
        <w:jc w:val="both"/>
        <w:rPr>
          <w:rFonts w:ascii="David" w:hAnsi="David" w:cs="David"/>
          <w:sz w:val="24"/>
          <w:szCs w:val="24"/>
          <w:highlight w:val="yellow"/>
        </w:rPr>
      </w:pPr>
    </w:p>
    <w:p w14:paraId="332F57EB" w14:textId="77777777" w:rsidR="001D227A" w:rsidRDefault="001D227A" w:rsidP="001D227A">
      <w:pPr>
        <w:pStyle w:val="aa"/>
        <w:numPr>
          <w:ilvl w:val="0"/>
          <w:numId w:val="1"/>
        </w:numPr>
        <w:spacing w:line="360" w:lineRule="auto"/>
        <w:jc w:val="both"/>
        <w:rPr>
          <w:rFonts w:ascii="David" w:hAnsi="David" w:cs="David"/>
          <w:sz w:val="24"/>
          <w:szCs w:val="24"/>
        </w:rPr>
      </w:pPr>
      <w:r>
        <w:rPr>
          <w:rFonts w:ascii="David" w:hAnsi="David" w:cs="David"/>
          <w:sz w:val="24"/>
          <w:szCs w:val="24"/>
          <w:rtl/>
        </w:rPr>
        <w:t>אשר לנסיבות הקשורות בביצוע העבירה, ניכר מסוג ודרך ביצוע העבירה כי קדם לה בהכרח תכנון מוקדם בין היתר בהסלקת הסמים. הנזק שיכול היה להיגרם כתוצאה מביצוע העבירות הוא למשתמשי הסמים, ולחברה בכללותה, הנפגעת מעבריינות שנועדה לממן את צריכת הסם בידי המשתמשים.</w:t>
      </w:r>
    </w:p>
    <w:p w14:paraId="3A4C92A9" w14:textId="77777777" w:rsidR="001D227A" w:rsidRDefault="001D227A" w:rsidP="001D227A">
      <w:pPr>
        <w:pStyle w:val="aa"/>
        <w:spacing w:line="360" w:lineRule="auto"/>
        <w:jc w:val="both"/>
        <w:rPr>
          <w:rFonts w:ascii="David" w:hAnsi="David" w:cs="David"/>
          <w:sz w:val="24"/>
          <w:szCs w:val="24"/>
          <w:rtl/>
        </w:rPr>
      </w:pPr>
    </w:p>
    <w:p w14:paraId="26A33164" w14:textId="77777777" w:rsidR="001D227A" w:rsidRDefault="001D227A" w:rsidP="001D227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מדיניות הענישה הנוהגת: הצדדים לא הפנו את בית המשפט לפסיקה רבה, ולא בכדי; עיון במאגרים משפטיים העלה כי העבירה בה הורשע הנאשם איננה נפוצה בנסיבות בהן נעברה במקרה כאן (רוב המקרים האחרים הם חמורים הרבה יותר, וכוללים קשירת קשר לביצוע פשע, כמויות סמים גדולות בהרבה, שילוב של ייבוא סמים מסוכנים לארץ, ועוד נסיבות המוציאות את הרלוונטיות של הפסיקה האמורה) עם זאת, ראיתי להתייחס לשני פסקי דין שהוצגו לי, להלן.  </w:t>
      </w:r>
    </w:p>
    <w:p w14:paraId="5DAA948E" w14:textId="77777777" w:rsidR="001D227A" w:rsidRDefault="001D227A" w:rsidP="001D227A">
      <w:pPr>
        <w:pStyle w:val="aa"/>
        <w:rPr>
          <w:rFonts w:ascii="David" w:hAnsi="David" w:cs="David"/>
          <w:sz w:val="24"/>
          <w:szCs w:val="24"/>
        </w:rPr>
      </w:pPr>
    </w:p>
    <w:p w14:paraId="7411F382" w14:textId="77777777" w:rsidR="001D227A" w:rsidRDefault="00E57CBC" w:rsidP="001D227A">
      <w:pPr>
        <w:pStyle w:val="aa"/>
        <w:numPr>
          <w:ilvl w:val="0"/>
          <w:numId w:val="2"/>
        </w:numPr>
        <w:spacing w:line="360" w:lineRule="auto"/>
        <w:jc w:val="both"/>
        <w:rPr>
          <w:rFonts w:ascii="David" w:hAnsi="David" w:cs="David"/>
          <w:sz w:val="24"/>
          <w:szCs w:val="24"/>
          <w:rtl/>
        </w:rPr>
      </w:pPr>
      <w:hyperlink r:id="rId18" w:history="1">
        <w:r w:rsidRPr="00E57CBC">
          <w:rPr>
            <w:rFonts w:ascii="David" w:hAnsi="David" w:cs="David"/>
            <w:color w:val="0000FF"/>
            <w:sz w:val="24"/>
            <w:szCs w:val="24"/>
            <w:u w:val="single"/>
            <w:rtl/>
          </w:rPr>
          <w:t>ת"פ (ת"א) 54179-09-14</w:t>
        </w:r>
      </w:hyperlink>
      <w:r w:rsidR="001D227A">
        <w:rPr>
          <w:rFonts w:ascii="David" w:hAnsi="David" w:cs="David"/>
          <w:sz w:val="24"/>
          <w:szCs w:val="24"/>
          <w:rtl/>
        </w:rPr>
        <w:t xml:space="preserve"> </w:t>
      </w:r>
      <w:r w:rsidR="001D227A">
        <w:rPr>
          <w:rFonts w:ascii="David" w:hAnsi="David" w:cs="David"/>
          <w:b/>
          <w:bCs/>
          <w:sz w:val="24"/>
          <w:szCs w:val="24"/>
          <w:rtl/>
        </w:rPr>
        <w:t>מדינת ישראל נ' פרולצוב</w:t>
      </w:r>
      <w:r w:rsidR="001D227A">
        <w:rPr>
          <w:rFonts w:ascii="David" w:hAnsi="David" w:cs="David"/>
          <w:sz w:val="24"/>
          <w:szCs w:val="24"/>
          <w:rtl/>
        </w:rPr>
        <w:t xml:space="preserve"> (26.5.2016) : הנאשם הורשע על פי הודאתו בשתי עבירות של יבוא, יצוא, הספקה, סחר בסם מסוכן (יבוא קנבוס מקנדה במשקל של 514.13 גרם; סחר מספר פעמים בסם מסוכן מסוג קנבוס) , בעבירת ניסיון של יבוא, יצוא, הספקה, סחר בסם מסוכן (10 זרעים של קנבוס מספרד במשקל לא ידוע) ובעבירה של קשירת קשר לביצוע פשע. מתחם הענישה שנקבע לכל אחד מן האירועים נע בין מספר חודשי מאסר אשר ניתן לרצותם  בדרך של עבודות שירות ועד 18 חודשי מאסר. בית המשפט גזר על הנאשם, צעיר בן 27, נעדר עבר פלילי, שעבר הליך שיקומי מוצלח,  6 חודשי מאסר לריצוי בדרך של עבודות שירות, מאסרים מותנים, קנס בסך 1,500 ₪ וצו מבחן למשך 18 חודשים. </w:t>
      </w:r>
    </w:p>
    <w:p w14:paraId="6FB7BFF4" w14:textId="77777777" w:rsidR="001D227A" w:rsidRDefault="001D227A" w:rsidP="001D227A">
      <w:pPr>
        <w:pStyle w:val="aa"/>
        <w:spacing w:line="360" w:lineRule="auto"/>
        <w:jc w:val="both"/>
        <w:rPr>
          <w:rFonts w:ascii="David" w:hAnsi="David" w:cs="David"/>
          <w:sz w:val="24"/>
          <w:szCs w:val="24"/>
        </w:rPr>
      </w:pPr>
    </w:p>
    <w:p w14:paraId="774BEC0C" w14:textId="77777777" w:rsidR="001D227A" w:rsidRDefault="00E57CBC" w:rsidP="001D227A">
      <w:pPr>
        <w:pStyle w:val="aa"/>
        <w:numPr>
          <w:ilvl w:val="0"/>
          <w:numId w:val="2"/>
        </w:numPr>
        <w:spacing w:line="360" w:lineRule="auto"/>
        <w:jc w:val="both"/>
        <w:rPr>
          <w:rFonts w:ascii="David" w:hAnsi="David" w:cs="David"/>
          <w:sz w:val="24"/>
          <w:szCs w:val="24"/>
        </w:rPr>
      </w:pPr>
      <w:hyperlink r:id="rId19" w:history="1">
        <w:r w:rsidRPr="00E57CBC">
          <w:rPr>
            <w:rFonts w:ascii="David" w:hAnsi="David" w:cs="David"/>
            <w:color w:val="0000FF"/>
            <w:sz w:val="24"/>
            <w:szCs w:val="24"/>
            <w:u w:val="single"/>
            <w:rtl/>
          </w:rPr>
          <w:t>ת"פ (ראשל"צ) 19218-01-16</w:t>
        </w:r>
      </w:hyperlink>
      <w:r w:rsidR="001D227A">
        <w:rPr>
          <w:rFonts w:ascii="David" w:hAnsi="David" w:cs="David"/>
          <w:sz w:val="24"/>
          <w:szCs w:val="24"/>
          <w:rtl/>
        </w:rPr>
        <w:t xml:space="preserve"> </w:t>
      </w:r>
      <w:r w:rsidR="001D227A">
        <w:rPr>
          <w:rFonts w:ascii="David" w:hAnsi="David" w:cs="David"/>
          <w:b/>
          <w:bCs/>
          <w:sz w:val="24"/>
          <w:szCs w:val="24"/>
          <w:rtl/>
        </w:rPr>
        <w:t>מדינת ישראל נ' גוזי</w:t>
      </w:r>
      <w:r w:rsidR="001D227A">
        <w:rPr>
          <w:rFonts w:ascii="David" w:hAnsi="David" w:cs="David"/>
          <w:sz w:val="24"/>
          <w:szCs w:val="24"/>
          <w:rtl/>
        </w:rPr>
        <w:t xml:space="preserve"> (22.5.2016) : הנאשם הורשע בהתאם להודאתו, ובמסגרת הסדר טיעון בעבירת יצוא, מסחר הספקת סמים מסוכנים (סם מסוכן מסוג חשיש במשקל 1,891.63). בית המשפט קבע מתחם ענישה הנע בין 6 חודשי מאסר ועד 24 חודשי מאסר בפועל, וכן ענישה נלווית.  במקרה זה הגיעו הצדדים כאמור להסדר טיעון שאושר על ידי בית המשפט בקובעו כי ההסדר עולה בקנה אחד עם המתחם שנקבע. על הנאשם,  בן 19 נעדר עבר פלילי, אשר לקח אחריות והודה בהזמנות ראשונה, נגזדו 11 חודשי מאסר בפועל, מאסרים מותנים, קנס כספי בסך 10,000 ₪, פסילת רישיון הנהיגה למשך 9 חודשים ופסילה על תנאי.   </w:t>
      </w:r>
    </w:p>
    <w:p w14:paraId="36AB84AB" w14:textId="77777777" w:rsidR="001D227A" w:rsidRDefault="001D227A" w:rsidP="001D227A">
      <w:pPr>
        <w:pStyle w:val="aa"/>
        <w:rPr>
          <w:rFonts w:ascii="David" w:hAnsi="David" w:cs="David"/>
          <w:sz w:val="24"/>
          <w:szCs w:val="24"/>
        </w:rPr>
      </w:pPr>
    </w:p>
    <w:p w14:paraId="6D0D54C8" w14:textId="77777777" w:rsidR="001D227A" w:rsidRDefault="001D227A" w:rsidP="001D227A">
      <w:pPr>
        <w:pStyle w:val="aa"/>
        <w:numPr>
          <w:ilvl w:val="0"/>
          <w:numId w:val="1"/>
        </w:numPr>
        <w:spacing w:after="0" w:line="360" w:lineRule="auto"/>
        <w:jc w:val="both"/>
        <w:rPr>
          <w:rFonts w:ascii="David" w:hAnsi="David" w:cs="David"/>
          <w:sz w:val="24"/>
          <w:szCs w:val="24"/>
          <w:rtl/>
          <w:lang w:eastAsia="he-IL"/>
        </w:rPr>
      </w:pPr>
      <w:r>
        <w:rPr>
          <w:rFonts w:ascii="David" w:hAnsi="David" w:cs="David"/>
          <w:sz w:val="24"/>
          <w:szCs w:val="24"/>
          <w:rtl/>
          <w:lang w:eastAsia="he-IL"/>
        </w:rPr>
        <w:t xml:space="preserve">במסגרת </w:t>
      </w:r>
      <w:hyperlink r:id="rId20" w:history="1">
        <w:r w:rsidR="00E57CBC" w:rsidRPr="00E57CBC">
          <w:rPr>
            <w:rFonts w:ascii="David" w:hAnsi="David" w:cs="David"/>
            <w:color w:val="0000FF"/>
            <w:sz w:val="24"/>
            <w:szCs w:val="24"/>
            <w:u w:val="single"/>
            <w:rtl/>
            <w:lang w:eastAsia="he-IL"/>
          </w:rPr>
          <w:t>ת"פ (רמ') 54134-05-18</w:t>
        </w:r>
      </w:hyperlink>
      <w:r>
        <w:rPr>
          <w:rFonts w:ascii="David" w:hAnsi="David" w:cs="David"/>
          <w:sz w:val="24"/>
          <w:szCs w:val="24"/>
          <w:rtl/>
          <w:lang w:eastAsia="he-IL"/>
        </w:rPr>
        <w:t xml:space="preserve"> </w:t>
      </w:r>
      <w:r>
        <w:rPr>
          <w:rFonts w:ascii="David" w:hAnsi="David" w:cs="David"/>
          <w:b/>
          <w:bCs/>
          <w:sz w:val="24"/>
          <w:szCs w:val="24"/>
          <w:rtl/>
          <w:lang w:eastAsia="he-IL"/>
        </w:rPr>
        <w:t>מדינת ישראל נ' אבן לבן</w:t>
      </w:r>
      <w:r>
        <w:rPr>
          <w:rFonts w:ascii="David" w:hAnsi="David" w:cs="David"/>
          <w:sz w:val="24"/>
          <w:szCs w:val="24"/>
          <w:rtl/>
          <w:lang w:eastAsia="he-IL"/>
        </w:rPr>
        <w:t xml:space="preserve"> (9.1.2019)</w:t>
      </w:r>
      <w:r>
        <w:rPr>
          <w:rFonts w:ascii="David" w:hAnsi="David" w:cs="David"/>
          <w:sz w:val="24"/>
          <w:szCs w:val="24"/>
          <w:lang w:eastAsia="he-IL"/>
        </w:rPr>
        <w:t xml:space="preserve"> </w:t>
      </w:r>
      <w:r>
        <w:rPr>
          <w:rFonts w:ascii="David" w:hAnsi="David" w:cs="David"/>
          <w:sz w:val="24"/>
          <w:szCs w:val="24"/>
          <w:rtl/>
          <w:lang w:eastAsia="he-IL"/>
        </w:rPr>
        <w:t xml:space="preserve">הורשע הנאשם, בין היתר, בהחזקה שלא לצריכה עצמית של 1.210 ק"ג זרעי סם מסוכן מסוג קנבוס, מחולק למנות (ועוד 23 גרם של זרעי סם). בית המשפט קבע כי העונש ביחס לזרעי סם זהה בחומרתו לזה של סם שכבר הופק, ואין כל הבדל, ביחס לעונש, בתצורת הסם – ראו את הסברו הממצה של בית המשפט שם, יחד עם ההפניות לפסיקה. בית המשפט קבע כי מתחם העונש ההולם נע בין 4 חודשי מאסר ועד 12 חודשי מאסר בפועל, וגזר על הנאשם 8  חודשי מאסר בפועל, בצירוף הפעלת מאסר מותנה שעמד לחובתו. </w:t>
      </w:r>
    </w:p>
    <w:p w14:paraId="337A737E" w14:textId="77777777" w:rsidR="001D227A" w:rsidRDefault="001D227A" w:rsidP="001D227A">
      <w:pPr>
        <w:pStyle w:val="aa"/>
        <w:spacing w:after="0" w:line="360" w:lineRule="auto"/>
        <w:ind w:left="360"/>
        <w:jc w:val="both"/>
        <w:rPr>
          <w:rFonts w:ascii="David" w:hAnsi="David" w:cs="David"/>
          <w:sz w:val="24"/>
          <w:szCs w:val="24"/>
          <w:lang w:eastAsia="he-IL"/>
        </w:rPr>
      </w:pPr>
    </w:p>
    <w:p w14:paraId="7BAD85E8" w14:textId="77777777" w:rsidR="001D227A" w:rsidRDefault="001D227A" w:rsidP="001D227A">
      <w:pPr>
        <w:pStyle w:val="aa"/>
        <w:numPr>
          <w:ilvl w:val="0"/>
          <w:numId w:val="1"/>
        </w:numPr>
        <w:spacing w:after="0" w:line="360" w:lineRule="auto"/>
        <w:jc w:val="both"/>
        <w:rPr>
          <w:rFonts w:ascii="David" w:hAnsi="David" w:cs="David"/>
          <w:sz w:val="24"/>
          <w:szCs w:val="24"/>
          <w:lang w:eastAsia="he-IL"/>
        </w:rPr>
      </w:pPr>
      <w:r>
        <w:rPr>
          <w:rFonts w:ascii="David" w:hAnsi="David" w:cs="David"/>
          <w:sz w:val="24"/>
          <w:szCs w:val="24"/>
          <w:rtl/>
        </w:rPr>
        <w:t xml:space="preserve">אשר על כן, לאור הערכים המוגנים שנפגעו ומידת הפגיעה בהם, מדיניות הענישה הנוהגת, והנסיבות הקשורות בביצוע העבירה, מצאתי לנכון לקבוע מתחם ענישה הנע בין מספר חודשי מאסר, אשר ניתן לרצותם בדרך של עבודות שירות, ועד 18 חודשי מאסר בפועל יחד עם רכיבי ענישה נלווים.  </w:t>
      </w:r>
    </w:p>
    <w:p w14:paraId="4AF70D04" w14:textId="77777777" w:rsidR="001D227A" w:rsidRDefault="001D227A" w:rsidP="001D227A">
      <w:pPr>
        <w:pStyle w:val="aa"/>
        <w:spacing w:after="0" w:line="360" w:lineRule="auto"/>
        <w:ind w:left="360"/>
        <w:jc w:val="both"/>
        <w:rPr>
          <w:rFonts w:ascii="David" w:hAnsi="David" w:cs="David"/>
          <w:sz w:val="24"/>
          <w:szCs w:val="24"/>
          <w:highlight w:val="yellow"/>
          <w:lang w:eastAsia="he-IL"/>
        </w:rPr>
      </w:pPr>
    </w:p>
    <w:p w14:paraId="02BB367D" w14:textId="77777777" w:rsidR="001D227A" w:rsidRDefault="001D227A" w:rsidP="001D227A">
      <w:pPr>
        <w:spacing w:line="360" w:lineRule="auto"/>
        <w:jc w:val="both"/>
        <w:rPr>
          <w:rFonts w:ascii="David" w:hAnsi="David"/>
          <w:b/>
          <w:bCs/>
          <w:u w:val="single"/>
          <w:lang w:eastAsia="he-IL"/>
        </w:rPr>
      </w:pPr>
      <w:r>
        <w:rPr>
          <w:rFonts w:ascii="David" w:hAnsi="David"/>
          <w:b/>
          <w:bCs/>
          <w:u w:val="single"/>
          <w:rtl/>
          <w:lang w:eastAsia="he-IL"/>
        </w:rPr>
        <w:t xml:space="preserve">העונש המתאים לנאשם </w:t>
      </w:r>
    </w:p>
    <w:p w14:paraId="6325F954" w14:textId="77777777" w:rsidR="001D227A" w:rsidRDefault="001D227A" w:rsidP="001D227A">
      <w:pPr>
        <w:spacing w:line="360" w:lineRule="auto"/>
        <w:jc w:val="both"/>
        <w:rPr>
          <w:rFonts w:ascii="David" w:hAnsi="David"/>
          <w:b/>
          <w:bCs/>
          <w:u w:val="single"/>
          <w:lang w:eastAsia="he-IL"/>
        </w:rPr>
      </w:pPr>
    </w:p>
    <w:p w14:paraId="42DAF3E5" w14:textId="77777777" w:rsidR="001D227A" w:rsidRPr="001D227A" w:rsidRDefault="001D227A" w:rsidP="001D227A">
      <w:pPr>
        <w:numPr>
          <w:ilvl w:val="0"/>
          <w:numId w:val="1"/>
        </w:numPr>
        <w:spacing w:after="160" w:line="360" w:lineRule="auto"/>
        <w:contextualSpacing/>
        <w:jc w:val="both"/>
        <w:rPr>
          <w:rFonts w:ascii="David" w:eastAsia="Calibri" w:hAnsi="David"/>
          <w:rtl/>
        </w:rPr>
      </w:pPr>
      <w:r w:rsidRPr="001D227A">
        <w:rPr>
          <w:rFonts w:ascii="David" w:eastAsia="Calibri" w:hAnsi="David"/>
          <w:rtl/>
        </w:rPr>
        <w:t>הנאשם, בן 24, נעדר הרשעות קודמות. הנאשם נשוי ואב לשני ילדים קטנים, מתוכם תינוק בן מספר חודשים.</w:t>
      </w:r>
    </w:p>
    <w:p w14:paraId="64CB63A4" w14:textId="77777777" w:rsidR="001D227A" w:rsidRPr="001D227A" w:rsidRDefault="001D227A" w:rsidP="001D227A">
      <w:pPr>
        <w:spacing w:after="160" w:line="360" w:lineRule="auto"/>
        <w:ind w:left="360"/>
        <w:contextualSpacing/>
        <w:jc w:val="both"/>
        <w:rPr>
          <w:rFonts w:ascii="David" w:eastAsia="Calibri" w:hAnsi="David"/>
        </w:rPr>
      </w:pPr>
    </w:p>
    <w:p w14:paraId="69BA8768" w14:textId="77777777" w:rsidR="001D227A" w:rsidRPr="001D227A" w:rsidRDefault="001D227A" w:rsidP="001D227A">
      <w:pPr>
        <w:numPr>
          <w:ilvl w:val="0"/>
          <w:numId w:val="1"/>
        </w:numPr>
        <w:spacing w:after="160" w:line="360" w:lineRule="auto"/>
        <w:contextualSpacing/>
        <w:jc w:val="both"/>
        <w:rPr>
          <w:rFonts w:ascii="David" w:eastAsia="Calibri" w:hAnsi="David"/>
        </w:rPr>
      </w:pPr>
      <w:r w:rsidRPr="001D227A">
        <w:rPr>
          <w:rFonts w:ascii="David" w:eastAsia="Calibri" w:hAnsi="David"/>
          <w:rtl/>
        </w:rPr>
        <w:t xml:space="preserve">הנאשם הודה בהזדמנות מוקדמת בעבירות המיוחסות לו, תוך חסכון בזמן שיפוטי. הנאשם הבין כי טעה בבחירותיו עת ביצע את העבירה, אם כי מתסקירי שירות המבחן עלה כי התקשה בהבנת משמעות מעשיו. </w:t>
      </w:r>
    </w:p>
    <w:p w14:paraId="33E99226" w14:textId="77777777" w:rsidR="001D227A" w:rsidRPr="001D227A" w:rsidRDefault="001D227A" w:rsidP="001D227A">
      <w:pPr>
        <w:spacing w:after="160" w:line="360" w:lineRule="auto"/>
        <w:ind w:left="360"/>
        <w:contextualSpacing/>
        <w:jc w:val="both"/>
        <w:rPr>
          <w:rFonts w:ascii="David" w:eastAsia="Calibri" w:hAnsi="David"/>
        </w:rPr>
      </w:pPr>
    </w:p>
    <w:p w14:paraId="22988ED4" w14:textId="77777777" w:rsidR="001D227A" w:rsidRPr="001D227A" w:rsidRDefault="001D227A" w:rsidP="001D227A">
      <w:pPr>
        <w:numPr>
          <w:ilvl w:val="0"/>
          <w:numId w:val="1"/>
        </w:numPr>
        <w:spacing w:after="160" w:line="360" w:lineRule="auto"/>
        <w:contextualSpacing/>
        <w:jc w:val="both"/>
        <w:rPr>
          <w:rFonts w:ascii="David" w:eastAsia="Calibri" w:hAnsi="David"/>
          <w:rtl/>
        </w:rPr>
      </w:pPr>
      <w:r w:rsidRPr="001D227A">
        <w:rPr>
          <w:rFonts w:ascii="David" w:eastAsia="Calibri" w:hAnsi="David"/>
          <w:rtl/>
        </w:rPr>
        <w:t xml:space="preserve">ב"כ הנאשם טען כי הנאשם עומד בקריטריונים אשר נקבעו בפסיקה, המצדיקים הימנעות מהרשעתו בדין.  הסניגור הדגיש את העובדה כי הנאשם נטול הרשעות קודמות, לומד לימודי חינוך ומתעתד לעבוד במשרד החינוך, לאחר שיעלה בידו לקבל תעודת הוראה. לפיכך ביקש כי בית המשפט יבטל את הרשעתו וינקוט כלפיו בענישה שיקומית. </w:t>
      </w:r>
    </w:p>
    <w:p w14:paraId="51AC1862" w14:textId="77777777" w:rsidR="001D227A" w:rsidRPr="001D227A" w:rsidRDefault="001D227A" w:rsidP="001D227A">
      <w:pPr>
        <w:spacing w:after="160" w:line="360" w:lineRule="auto"/>
        <w:contextualSpacing/>
        <w:jc w:val="both"/>
        <w:rPr>
          <w:rFonts w:ascii="David" w:eastAsia="Calibri" w:hAnsi="David"/>
        </w:rPr>
      </w:pPr>
    </w:p>
    <w:p w14:paraId="52303860" w14:textId="77777777" w:rsidR="001D227A" w:rsidRPr="001D227A" w:rsidRDefault="001D227A" w:rsidP="001D227A">
      <w:pPr>
        <w:spacing w:after="160" w:line="360" w:lineRule="auto"/>
        <w:ind w:left="360"/>
        <w:contextualSpacing/>
        <w:jc w:val="both"/>
        <w:rPr>
          <w:rFonts w:ascii="David" w:eastAsia="Calibri" w:hAnsi="David"/>
          <w:rtl/>
        </w:rPr>
      </w:pPr>
      <w:r w:rsidRPr="001D227A">
        <w:rPr>
          <w:rFonts w:ascii="David" w:eastAsia="Calibri" w:hAnsi="David"/>
          <w:rtl/>
        </w:rPr>
        <w:t>לא מצאתי לנכון לקבל את עתירת ההגנה.</w:t>
      </w:r>
    </w:p>
    <w:p w14:paraId="1EEF8D60" w14:textId="77777777" w:rsidR="001D227A" w:rsidRDefault="001D227A" w:rsidP="001D227A">
      <w:pPr>
        <w:pStyle w:val="aa"/>
        <w:spacing w:line="256" w:lineRule="auto"/>
        <w:ind w:left="360"/>
        <w:rPr>
          <w:rFonts w:ascii="David" w:hAnsi="David" w:cs="David"/>
          <w:sz w:val="24"/>
          <w:szCs w:val="24"/>
          <w:rtl/>
        </w:rPr>
      </w:pPr>
      <w:r>
        <w:rPr>
          <w:rFonts w:ascii="David" w:hAnsi="David" w:cs="David"/>
          <w:sz w:val="24"/>
          <w:szCs w:val="24"/>
          <w:rtl/>
        </w:rPr>
        <w:t>במסגרת</w:t>
      </w:r>
      <w:r>
        <w:rPr>
          <w:rFonts w:ascii="David" w:hAnsi="David" w:cs="David"/>
          <w:color w:val="000000"/>
          <w:spacing w:val="10"/>
          <w:sz w:val="24"/>
          <w:szCs w:val="24"/>
          <w:rtl/>
        </w:rPr>
        <w:t xml:space="preserve"> </w:t>
      </w:r>
      <w:hyperlink w:history="1">
        <w:r w:rsidRPr="00E57CBC">
          <w:rPr>
            <w:rFonts w:ascii="David" w:hAnsi="David" w:cs="David"/>
            <w:color w:val="000000"/>
            <w:sz w:val="24"/>
            <w:szCs w:val="24"/>
            <w:rtl/>
          </w:rPr>
          <w:t>רע"פ 54/15</w:t>
        </w:r>
      </w:hyperlink>
      <w:r w:rsidR="00E57CBC">
        <w:rPr>
          <w:rFonts w:ascii="David" w:hAnsi="David" w:cs="David"/>
          <w:sz w:val="24"/>
          <w:szCs w:val="24"/>
          <w:rtl/>
        </w:rPr>
        <w:t xml:space="preserve"> </w:t>
      </w:r>
      <w:r>
        <w:rPr>
          <w:rFonts w:ascii="David" w:hAnsi="David" w:cs="David"/>
          <w:b/>
          <w:bCs/>
          <w:sz w:val="24"/>
          <w:szCs w:val="24"/>
          <w:rtl/>
        </w:rPr>
        <w:t>פלוני נ' מדינת ישראל</w:t>
      </w:r>
      <w:r w:rsidR="00E57CBC">
        <w:rPr>
          <w:rFonts w:ascii="David" w:hAnsi="David" w:cs="David"/>
          <w:sz w:val="24"/>
          <w:szCs w:val="24"/>
          <w:rtl/>
        </w:rPr>
        <w:t xml:space="preserve"> </w:t>
      </w:r>
      <w:r>
        <w:rPr>
          <w:rFonts w:ascii="David" w:hAnsi="David" w:cs="David"/>
          <w:sz w:val="24"/>
          <w:szCs w:val="24"/>
          <w:rtl/>
        </w:rPr>
        <w:t xml:space="preserve"> (27.1.2015), נקבע, בין היתר, כך:</w:t>
      </w:r>
    </w:p>
    <w:p w14:paraId="670F4ED3" w14:textId="77777777" w:rsidR="001D227A" w:rsidRDefault="001D227A" w:rsidP="001D227A">
      <w:pPr>
        <w:pStyle w:val="aa"/>
        <w:spacing w:line="360" w:lineRule="auto"/>
        <w:ind w:left="360"/>
        <w:jc w:val="both"/>
        <w:rPr>
          <w:rFonts w:ascii="David" w:hAnsi="David" w:cs="David"/>
          <w:sz w:val="24"/>
          <w:szCs w:val="24"/>
        </w:rPr>
      </w:pPr>
    </w:p>
    <w:p w14:paraId="514FE246" w14:textId="77777777" w:rsidR="001D227A" w:rsidRDefault="001D227A" w:rsidP="001D227A">
      <w:pPr>
        <w:pStyle w:val="aa"/>
        <w:spacing w:line="360" w:lineRule="auto"/>
        <w:ind w:left="360"/>
        <w:jc w:val="both"/>
        <w:rPr>
          <w:rFonts w:ascii="David" w:hAnsi="David" w:cs="David"/>
          <w:sz w:val="24"/>
          <w:szCs w:val="24"/>
          <w:rtl/>
        </w:rPr>
      </w:pPr>
      <w:r>
        <w:rPr>
          <w:rFonts w:ascii="David" w:hAnsi="David" w:cs="David"/>
          <w:sz w:val="24"/>
          <w:szCs w:val="24"/>
          <w:rtl/>
        </w:rPr>
        <w:t>"האפשרות הנתונה לבית המשפט להימנע מהרשעתו של נאשם שביצע עבירה, מעוגנת</w:t>
      </w:r>
      <w:r w:rsidR="00E57CBC">
        <w:rPr>
          <w:rFonts w:ascii="David" w:hAnsi="David" w:cs="David"/>
          <w:sz w:val="24"/>
          <w:szCs w:val="24"/>
          <w:rtl/>
        </w:rPr>
        <w:t xml:space="preserve"> </w:t>
      </w:r>
      <w:hyperlink r:id="rId21" w:history="1">
        <w:r w:rsidR="00E32499" w:rsidRPr="00E32499">
          <w:rPr>
            <w:rStyle w:val="Hyperlink"/>
            <w:rFonts w:ascii="David" w:hAnsi="David" w:cs="David"/>
            <w:sz w:val="24"/>
            <w:szCs w:val="24"/>
            <w:rtl/>
          </w:rPr>
          <w:t>בסעיף 71א(ב)</w:t>
        </w:r>
      </w:hyperlink>
      <w:r>
        <w:rPr>
          <w:rFonts w:ascii="David" w:hAnsi="David" w:cs="David"/>
          <w:sz w:val="24"/>
          <w:szCs w:val="24"/>
          <w:rtl/>
        </w:rPr>
        <w:t xml:space="preserve"> ל</w:t>
      </w:r>
      <w:hyperlink r:id="rId22" w:history="1">
        <w:r w:rsidR="00E57CBC" w:rsidRPr="00E57CBC">
          <w:rPr>
            <w:rFonts w:ascii="David" w:hAnsi="David" w:cs="David"/>
            <w:color w:val="0000FF"/>
            <w:sz w:val="24"/>
            <w:szCs w:val="24"/>
            <w:u w:val="single"/>
            <w:rtl/>
          </w:rPr>
          <w:t>חוק העונשין</w:t>
        </w:r>
      </w:hyperlink>
      <w:r>
        <w:rPr>
          <w:rFonts w:ascii="David" w:hAnsi="David" w:cs="David"/>
          <w:sz w:val="24"/>
          <w:szCs w:val="24"/>
          <w:rtl/>
        </w:rPr>
        <w:t>,</w:t>
      </w:r>
      <w:r w:rsidR="00E57CBC">
        <w:rPr>
          <w:rFonts w:ascii="David" w:hAnsi="David" w:cs="David"/>
          <w:sz w:val="24"/>
          <w:szCs w:val="24"/>
          <w:rtl/>
        </w:rPr>
        <w:t xml:space="preserve"> </w:t>
      </w:r>
      <w:r>
        <w:rPr>
          <w:rFonts w:ascii="David" w:hAnsi="David" w:cs="David"/>
          <w:sz w:val="24"/>
          <w:szCs w:val="24"/>
          <w:rtl/>
        </w:rPr>
        <w:t>והיא מהווה חריג לכלל, לפיו משהוכח ביצועה של עבירה יש להרשיע את הנאשם.</w:t>
      </w:r>
      <w:r w:rsidR="00E57CBC">
        <w:rPr>
          <w:rFonts w:ascii="David" w:hAnsi="David" w:cs="David"/>
          <w:sz w:val="24"/>
          <w:szCs w:val="24"/>
          <w:rtl/>
        </w:rPr>
        <w:t xml:space="preserve"> </w:t>
      </w:r>
      <w:r>
        <w:rPr>
          <w:rFonts w:ascii="David" w:hAnsi="David" w:cs="David"/>
          <w:sz w:val="24"/>
          <w:szCs w:val="24"/>
          <w:rtl/>
        </w:rPr>
        <w:t>במילים אחרות, תוצאה של הימנעות מהרשעה, חרף הקביעה כי הנאשם ביצע את העבירה, היא תוצאה חריגה, השמורה למקרים מיוחדים ויוצאי דופן. שני תנאים מצטברים נקבעו, על מנת להימנע מהרשעה: "ראשית, על ההרשעה לפגוע פגיעה חמורה בשיקום הנאשם, ושנית, סוג העבירה מאפשר לוותר בנסיבות המקרה המסוים על ההרשעה בלי לפגוע באופן מהותי בשיקולי הענישה האחרים" (</w:t>
      </w:r>
      <w:hyperlink r:id="rId23" w:history="1">
        <w:r w:rsidR="00E57CBC" w:rsidRPr="00E57CBC">
          <w:rPr>
            <w:rFonts w:ascii="David" w:hAnsi="David" w:cs="David"/>
            <w:color w:val="0000FF"/>
            <w:sz w:val="24"/>
            <w:szCs w:val="24"/>
            <w:u w:val="single"/>
            <w:rtl/>
          </w:rPr>
          <w:t>ע"פ 2083/96</w:t>
        </w:r>
      </w:hyperlink>
      <w:r>
        <w:rPr>
          <w:rFonts w:ascii="David" w:hAnsi="David" w:cs="David"/>
          <w:sz w:val="24"/>
          <w:szCs w:val="24"/>
          <w:rtl/>
        </w:rPr>
        <w:t xml:space="preserve"> כתב נ' מדינת ישראל, פ"ד נב(3) 337 (1997) פסקה 7 לפסק-דינה של השופטת</w:t>
      </w:r>
      <w:r w:rsidR="00E57CBC">
        <w:rPr>
          <w:rFonts w:ascii="David" w:hAnsi="David" w:cs="David"/>
          <w:sz w:val="24"/>
          <w:szCs w:val="24"/>
          <w:rtl/>
        </w:rPr>
        <w:t xml:space="preserve"> </w:t>
      </w:r>
      <w:r>
        <w:rPr>
          <w:rFonts w:ascii="David" w:hAnsi="David" w:cs="David"/>
          <w:sz w:val="24"/>
          <w:szCs w:val="24"/>
          <w:rtl/>
        </w:rPr>
        <w:t>ד' דורנר)" (ראו גם:</w:t>
      </w:r>
      <w:r w:rsidR="00E57CBC">
        <w:rPr>
          <w:rFonts w:ascii="David" w:hAnsi="David" w:cs="David"/>
          <w:sz w:val="24"/>
          <w:szCs w:val="24"/>
          <w:rtl/>
        </w:rPr>
        <w:t xml:space="preserve"> </w:t>
      </w:r>
      <w:hyperlink w:history="1">
        <w:r w:rsidRPr="00E57CBC">
          <w:rPr>
            <w:rFonts w:ascii="David" w:hAnsi="David" w:cs="David"/>
            <w:color w:val="000000"/>
            <w:sz w:val="24"/>
            <w:szCs w:val="24"/>
            <w:rtl/>
          </w:rPr>
          <w:t>רע"פ 7109/14</w:t>
        </w:r>
      </w:hyperlink>
      <w:r w:rsidR="00E57CBC">
        <w:rPr>
          <w:rFonts w:ascii="David" w:hAnsi="David" w:cs="David"/>
          <w:sz w:val="24"/>
          <w:szCs w:val="24"/>
          <w:rtl/>
        </w:rPr>
        <w:t xml:space="preserve"> </w:t>
      </w:r>
      <w:r>
        <w:rPr>
          <w:rFonts w:ascii="David" w:hAnsi="David" w:cs="David"/>
          <w:sz w:val="24"/>
          <w:szCs w:val="24"/>
          <w:rtl/>
        </w:rPr>
        <w:t>סייג נ' מדינת ישראל</w:t>
      </w:r>
      <w:r w:rsidR="00E57CBC">
        <w:rPr>
          <w:rFonts w:ascii="David" w:hAnsi="David" w:cs="David"/>
          <w:sz w:val="24"/>
          <w:szCs w:val="24"/>
          <w:rtl/>
        </w:rPr>
        <w:t xml:space="preserve"> </w:t>
      </w:r>
      <w:r>
        <w:rPr>
          <w:rFonts w:ascii="David" w:hAnsi="David" w:cs="David"/>
          <w:sz w:val="24"/>
          <w:szCs w:val="24"/>
          <w:rtl/>
        </w:rPr>
        <w:t>[פורסם בנבו]</w:t>
      </w:r>
      <w:r w:rsidR="00E57CBC">
        <w:rPr>
          <w:rFonts w:ascii="David" w:hAnsi="David" w:cs="David"/>
          <w:sz w:val="24"/>
          <w:szCs w:val="24"/>
          <w:rtl/>
        </w:rPr>
        <w:t xml:space="preserve"> </w:t>
      </w:r>
      <w:r>
        <w:rPr>
          <w:rFonts w:ascii="David" w:hAnsi="David" w:cs="David"/>
          <w:sz w:val="24"/>
          <w:szCs w:val="24"/>
          <w:rtl/>
        </w:rPr>
        <w:t>(20.11.2014);</w:t>
      </w:r>
      <w:r w:rsidR="00E57CBC">
        <w:rPr>
          <w:rFonts w:ascii="David" w:hAnsi="David" w:cs="David"/>
          <w:sz w:val="24"/>
          <w:szCs w:val="24"/>
          <w:rtl/>
        </w:rPr>
        <w:t xml:space="preserve"> </w:t>
      </w:r>
      <w:hyperlink w:history="1">
        <w:r w:rsidRPr="00E57CBC">
          <w:rPr>
            <w:rFonts w:ascii="David" w:hAnsi="David" w:cs="David"/>
            <w:color w:val="000000"/>
            <w:sz w:val="24"/>
            <w:szCs w:val="24"/>
            <w:rtl/>
          </w:rPr>
          <w:t>רע"פ</w:t>
        </w:r>
      </w:hyperlink>
      <w:r>
        <w:rPr>
          <w:rFonts w:ascii="David" w:hAnsi="David" w:cs="David"/>
          <w:sz w:val="24"/>
          <w:szCs w:val="24"/>
          <w:rtl/>
        </w:rPr>
        <w:t xml:space="preserve"> </w:t>
      </w:r>
      <w:hyperlink r:id="rId24" w:history="1">
        <w:r w:rsidR="00E958F2" w:rsidRPr="00E958F2">
          <w:rPr>
            <w:rFonts w:ascii="David" w:hAnsi="David" w:cs="David"/>
            <w:color w:val="0000FF"/>
            <w:sz w:val="24"/>
            <w:szCs w:val="24"/>
            <w:u w:val="single"/>
            <w:rtl/>
          </w:rPr>
          <w:t xml:space="preserve">7224/14 </w:t>
        </w:r>
      </w:hyperlink>
      <w:r w:rsidR="00E57CBC">
        <w:rPr>
          <w:rFonts w:ascii="David" w:hAnsi="David" w:cs="David"/>
          <w:sz w:val="24"/>
          <w:szCs w:val="24"/>
          <w:rtl/>
        </w:rPr>
        <w:t xml:space="preserve"> </w:t>
      </w:r>
      <w:r>
        <w:rPr>
          <w:rFonts w:ascii="David" w:hAnsi="David" w:cs="David"/>
          <w:sz w:val="24"/>
          <w:szCs w:val="24"/>
          <w:rtl/>
        </w:rPr>
        <w:t>פרנסקי נ' מדינת ישראל</w:t>
      </w:r>
      <w:r w:rsidR="00E57CBC">
        <w:rPr>
          <w:rFonts w:ascii="David" w:hAnsi="David" w:cs="David"/>
          <w:sz w:val="24"/>
          <w:szCs w:val="24"/>
          <w:rtl/>
        </w:rPr>
        <w:t xml:space="preserve"> </w:t>
      </w:r>
      <w:r>
        <w:rPr>
          <w:rFonts w:ascii="David" w:hAnsi="David" w:cs="David"/>
          <w:sz w:val="24"/>
          <w:szCs w:val="24"/>
          <w:rtl/>
        </w:rPr>
        <w:t>[פורסם בנבו]</w:t>
      </w:r>
      <w:r w:rsidR="00E57CBC">
        <w:rPr>
          <w:rFonts w:ascii="David" w:hAnsi="David" w:cs="David"/>
          <w:sz w:val="24"/>
          <w:szCs w:val="24"/>
          <w:rtl/>
        </w:rPr>
        <w:t xml:space="preserve"> </w:t>
      </w:r>
      <w:r>
        <w:rPr>
          <w:rFonts w:ascii="David" w:hAnsi="David" w:cs="David"/>
          <w:sz w:val="24"/>
          <w:szCs w:val="24"/>
          <w:rtl/>
        </w:rPr>
        <w:t>(10.11.2014))".</w:t>
      </w:r>
    </w:p>
    <w:p w14:paraId="00A8674F" w14:textId="77777777" w:rsidR="001D227A" w:rsidRDefault="001D227A" w:rsidP="001D227A">
      <w:pPr>
        <w:pStyle w:val="aa"/>
        <w:spacing w:line="360" w:lineRule="auto"/>
        <w:ind w:left="360"/>
        <w:jc w:val="both"/>
        <w:rPr>
          <w:rFonts w:ascii="David" w:hAnsi="David" w:cs="David"/>
          <w:sz w:val="24"/>
          <w:szCs w:val="24"/>
          <w:rtl/>
        </w:rPr>
      </w:pPr>
    </w:p>
    <w:p w14:paraId="578FE6F0" w14:textId="77777777" w:rsidR="001D227A" w:rsidRDefault="001D227A" w:rsidP="001D227A">
      <w:pPr>
        <w:numPr>
          <w:ilvl w:val="0"/>
          <w:numId w:val="1"/>
        </w:numPr>
        <w:spacing w:after="160" w:line="360" w:lineRule="auto"/>
        <w:contextualSpacing/>
        <w:jc w:val="both"/>
        <w:rPr>
          <w:rFonts w:ascii="David" w:hAnsi="David"/>
          <w:rtl/>
        </w:rPr>
      </w:pPr>
      <w:r>
        <w:rPr>
          <w:rFonts w:ascii="David" w:hAnsi="David"/>
          <w:rtl/>
        </w:rPr>
        <w:t xml:space="preserve">במקרה דנא, גם אם תמצא לומר כי הרשעה תפגע באופן משמעותי בשיקום הנאשם (דבר אשר לא הוכח בפני, מלבד טיעון כללי כי לנאשם שאיפות לעסוק בהוראה), הרי שסוג העבירה ונסיבות ביצועה אינם מאפשרים לוותר בנסיבות מקרה זה על הרשעתו של הנאשם מבלי לפגוע בשיקולי הענישה האחרים, וביניהם האינטרס הציבורי והרתעת עבריינים פוטנציאליים מביצוע עבירות דומות. </w:t>
      </w:r>
    </w:p>
    <w:p w14:paraId="469B6998" w14:textId="77777777" w:rsidR="001D227A" w:rsidRPr="001D227A" w:rsidRDefault="001D227A" w:rsidP="001D227A">
      <w:pPr>
        <w:pStyle w:val="aa"/>
        <w:spacing w:line="360" w:lineRule="auto"/>
        <w:ind w:left="360"/>
        <w:jc w:val="both"/>
        <w:rPr>
          <w:rFonts w:ascii="David" w:hAnsi="David"/>
          <w:rtl/>
        </w:rPr>
      </w:pPr>
      <w:r>
        <w:rPr>
          <w:rFonts w:ascii="David" w:hAnsi="David" w:cs="David"/>
          <w:sz w:val="24"/>
          <w:szCs w:val="24"/>
          <w:rtl/>
        </w:rPr>
        <w:t xml:space="preserve">הוסף לכך את העובדה כי שירות המבחן בתסקיריו לא מצא לנכון להמליץ על הליך טיפולי בעניינו של הנאשם, וכן לא סבר כי יש מקום לביטול הרשעתו, בין היתר בשל הימצאות שרידי סם מסוג קנבוס בבדיקות שבוצעו לו, וכן וחוסר פניותו להשתלב בהליך טיפולי. כן עמד שירות המבחן על הקושי שמגלה הנאשם בהבנת משמעות מעשיו. </w:t>
      </w:r>
    </w:p>
    <w:p w14:paraId="532EBA71" w14:textId="77777777" w:rsidR="001D227A" w:rsidRPr="001D227A" w:rsidRDefault="001D227A" w:rsidP="001D227A">
      <w:pPr>
        <w:pStyle w:val="aa"/>
        <w:spacing w:line="360" w:lineRule="auto"/>
        <w:ind w:left="360"/>
        <w:jc w:val="both"/>
        <w:rPr>
          <w:rFonts w:ascii="David" w:hAnsi="David"/>
          <w:rtl/>
        </w:rPr>
      </w:pPr>
    </w:p>
    <w:p w14:paraId="42B3732B" w14:textId="77777777" w:rsidR="001D227A" w:rsidRPr="001D227A" w:rsidRDefault="001D227A" w:rsidP="001D227A">
      <w:pPr>
        <w:pStyle w:val="aa"/>
        <w:numPr>
          <w:ilvl w:val="0"/>
          <w:numId w:val="3"/>
        </w:numPr>
        <w:spacing w:line="360" w:lineRule="auto"/>
        <w:jc w:val="both"/>
        <w:rPr>
          <w:rFonts w:ascii="David" w:hAnsi="David" w:cs="David"/>
          <w:sz w:val="24"/>
          <w:szCs w:val="24"/>
          <w:rtl/>
        </w:rPr>
      </w:pPr>
      <w:r w:rsidRPr="001D227A">
        <w:rPr>
          <w:rFonts w:ascii="David" w:hAnsi="David" w:cs="David"/>
          <w:sz w:val="24"/>
          <w:szCs w:val="24"/>
          <w:rtl/>
        </w:rPr>
        <w:t>לא נעלם מעיני כי הנאשם מגלה שאיפות נורמטיביות לעתיד, משקיע בלימודיו האקדמיים וניכר כי האירוע בו הורשע  מהווה חריג לאורחות חייו ונבע מהפעלת שיקול דעת מוטעה. בכך אף הכיר הנאשם. נתונים אלה מובילים למסקנה כי יש למקם את הנאשם ברף הנמוך של מתחם הענישה שנקבע.</w:t>
      </w:r>
    </w:p>
    <w:p w14:paraId="79560498" w14:textId="77777777" w:rsidR="001D227A" w:rsidRPr="001D227A" w:rsidRDefault="001D227A" w:rsidP="001D227A">
      <w:pPr>
        <w:pStyle w:val="aa"/>
        <w:spacing w:line="360" w:lineRule="auto"/>
        <w:ind w:left="360"/>
        <w:jc w:val="both"/>
        <w:rPr>
          <w:rFonts w:ascii="David" w:hAnsi="David" w:cs="David"/>
          <w:sz w:val="24"/>
          <w:szCs w:val="24"/>
        </w:rPr>
      </w:pPr>
    </w:p>
    <w:p w14:paraId="73FB4276" w14:textId="77777777" w:rsidR="001D227A" w:rsidRPr="001D227A" w:rsidRDefault="001D227A" w:rsidP="001D227A">
      <w:pPr>
        <w:pStyle w:val="aa"/>
        <w:numPr>
          <w:ilvl w:val="0"/>
          <w:numId w:val="3"/>
        </w:numPr>
        <w:spacing w:line="360" w:lineRule="auto"/>
        <w:jc w:val="both"/>
        <w:rPr>
          <w:rFonts w:ascii="David" w:hAnsi="David" w:cs="David"/>
          <w:sz w:val="24"/>
          <w:szCs w:val="24"/>
        </w:rPr>
      </w:pPr>
      <w:r w:rsidRPr="001D227A">
        <w:rPr>
          <w:rFonts w:ascii="David" w:hAnsi="David" w:cs="David"/>
          <w:sz w:val="24"/>
          <w:szCs w:val="24"/>
          <w:rtl/>
        </w:rPr>
        <w:t xml:space="preserve">עוד הבאתי בחשבון את חלוף הזמן הרב, כארבע שנים,  מאז ביצוע העבירה, והעדר הרשעות פליליות נוספות של הנאשם מאז. </w:t>
      </w:r>
    </w:p>
    <w:p w14:paraId="0931A3D4" w14:textId="77777777" w:rsidR="001D227A" w:rsidRPr="001D227A" w:rsidRDefault="001D227A" w:rsidP="001D227A">
      <w:pPr>
        <w:pStyle w:val="aa"/>
        <w:rPr>
          <w:rFonts w:ascii="David" w:hAnsi="David" w:cs="David"/>
          <w:sz w:val="24"/>
          <w:szCs w:val="24"/>
          <w:rtl/>
        </w:rPr>
      </w:pPr>
    </w:p>
    <w:p w14:paraId="5066B257" w14:textId="77777777" w:rsidR="001D227A" w:rsidRPr="001D227A" w:rsidRDefault="001D227A" w:rsidP="001D227A">
      <w:pPr>
        <w:pStyle w:val="aa"/>
        <w:spacing w:line="360" w:lineRule="auto"/>
        <w:ind w:left="360"/>
        <w:jc w:val="both"/>
        <w:rPr>
          <w:rFonts w:ascii="David" w:hAnsi="David" w:cs="David"/>
          <w:sz w:val="24"/>
          <w:szCs w:val="24"/>
        </w:rPr>
      </w:pPr>
    </w:p>
    <w:p w14:paraId="0ED48189" w14:textId="77777777" w:rsidR="001D227A" w:rsidRPr="001D227A" w:rsidRDefault="001D227A" w:rsidP="001D227A">
      <w:pPr>
        <w:spacing w:after="160" w:line="360" w:lineRule="auto"/>
        <w:ind w:left="360"/>
        <w:contextualSpacing/>
        <w:jc w:val="both"/>
        <w:rPr>
          <w:rFonts w:ascii="David" w:eastAsia="Calibri" w:hAnsi="David"/>
          <w:highlight w:val="yellow"/>
        </w:rPr>
      </w:pPr>
    </w:p>
    <w:p w14:paraId="097A14A7" w14:textId="77777777" w:rsidR="001D227A" w:rsidRPr="001D227A" w:rsidRDefault="001D227A" w:rsidP="001D227A">
      <w:pPr>
        <w:numPr>
          <w:ilvl w:val="0"/>
          <w:numId w:val="3"/>
        </w:numPr>
        <w:spacing w:after="160" w:line="360" w:lineRule="auto"/>
        <w:contextualSpacing/>
        <w:jc w:val="both"/>
        <w:rPr>
          <w:rFonts w:ascii="David" w:eastAsia="Calibri" w:hAnsi="David"/>
          <w:b/>
          <w:bCs/>
        </w:rPr>
      </w:pPr>
      <w:r w:rsidRPr="001D227A">
        <w:rPr>
          <w:rFonts w:ascii="David" w:eastAsia="Calibri" w:hAnsi="David"/>
          <w:b/>
          <w:bCs/>
          <w:rtl/>
        </w:rPr>
        <w:t>אשר על כן אני גוזר על הנאשם את העונשים הבאים:</w:t>
      </w:r>
    </w:p>
    <w:p w14:paraId="2B7700C5" w14:textId="77777777" w:rsidR="001D227A" w:rsidRPr="001D227A" w:rsidRDefault="001D227A" w:rsidP="001D227A">
      <w:pPr>
        <w:spacing w:after="160" w:line="254" w:lineRule="auto"/>
        <w:ind w:left="720"/>
        <w:contextualSpacing/>
        <w:jc w:val="both"/>
        <w:rPr>
          <w:rFonts w:ascii="David" w:eastAsia="Calibri" w:hAnsi="David"/>
        </w:rPr>
      </w:pPr>
    </w:p>
    <w:p w14:paraId="0F653E97" w14:textId="77777777" w:rsidR="001D227A" w:rsidRPr="001D227A" w:rsidRDefault="001D227A" w:rsidP="001D227A">
      <w:pPr>
        <w:numPr>
          <w:ilvl w:val="1"/>
          <w:numId w:val="4"/>
        </w:numPr>
        <w:spacing w:after="160" w:line="360" w:lineRule="auto"/>
        <w:contextualSpacing/>
        <w:jc w:val="both"/>
        <w:rPr>
          <w:rFonts w:ascii="David" w:eastAsia="Calibri" w:hAnsi="David"/>
        </w:rPr>
      </w:pPr>
      <w:r w:rsidRPr="001D227A">
        <w:rPr>
          <w:rFonts w:ascii="David" w:eastAsia="Calibri" w:hAnsi="David"/>
          <w:rtl/>
        </w:rPr>
        <w:t xml:space="preserve">4 חודשי  מאסר בפועל. המאסר ירוצה בדרך של עבודות שירות כפי שנקבע בחוות הדעת שהוגשה ביום 6.11.2022.  מאחר והמועד שצוין בחוות הדעת חלף,  הנאשם יחל בעבודות השירות ביום </w:t>
      </w:r>
      <w:r w:rsidRPr="001D227A">
        <w:rPr>
          <w:rFonts w:ascii="David" w:eastAsia="Calibri" w:hAnsi="David" w:hint="cs"/>
          <w:rtl/>
        </w:rPr>
        <w:t>19.3.2023.</w:t>
      </w:r>
      <w:r w:rsidRPr="001D227A">
        <w:rPr>
          <w:rFonts w:ascii="David" w:eastAsia="Calibri" w:hAnsi="David"/>
          <w:rtl/>
        </w:rPr>
        <w:t xml:space="preserve"> הנאשם מוזהר כי אי עמידה בתנאי עבודות השירות או חריגה מהכללים, יש בהן </w:t>
      </w:r>
      <w:r w:rsidRPr="001D227A">
        <w:rPr>
          <w:rFonts w:ascii="David" w:eastAsia="Calibri" w:hAnsi="David"/>
        </w:rPr>
        <w:t xml:space="preserve"> </w:t>
      </w:r>
      <w:r w:rsidRPr="001D227A">
        <w:rPr>
          <w:rFonts w:ascii="David" w:eastAsia="Calibri" w:hAnsi="David"/>
          <w:rtl/>
        </w:rPr>
        <w:t>כדי</w:t>
      </w:r>
      <w:r w:rsidRPr="001D227A">
        <w:rPr>
          <w:rFonts w:ascii="David" w:eastAsia="Calibri" w:hAnsi="David"/>
        </w:rPr>
        <w:t xml:space="preserve"> </w:t>
      </w:r>
      <w:r w:rsidRPr="001D227A">
        <w:rPr>
          <w:rFonts w:ascii="David" w:eastAsia="Calibri" w:hAnsi="David"/>
          <w:rtl/>
        </w:rPr>
        <w:t>להביא להפסקת</w:t>
      </w:r>
      <w:r w:rsidRPr="001D227A">
        <w:rPr>
          <w:rFonts w:ascii="David" w:eastAsia="Calibri" w:hAnsi="David"/>
        </w:rPr>
        <w:t xml:space="preserve"> </w:t>
      </w:r>
      <w:r w:rsidRPr="001D227A">
        <w:rPr>
          <w:rFonts w:ascii="David" w:eastAsia="Calibri" w:hAnsi="David"/>
          <w:rtl/>
        </w:rPr>
        <w:t>ריצוי</w:t>
      </w:r>
      <w:r w:rsidRPr="001D227A">
        <w:rPr>
          <w:rFonts w:ascii="David" w:eastAsia="Calibri" w:hAnsi="David"/>
        </w:rPr>
        <w:t xml:space="preserve"> </w:t>
      </w:r>
      <w:r w:rsidRPr="001D227A">
        <w:rPr>
          <w:rFonts w:ascii="David" w:eastAsia="Calibri" w:hAnsi="David"/>
          <w:rtl/>
        </w:rPr>
        <w:t>עונשו בדרך</w:t>
      </w:r>
      <w:r w:rsidRPr="001D227A">
        <w:rPr>
          <w:rFonts w:ascii="David" w:eastAsia="Calibri" w:hAnsi="David"/>
        </w:rPr>
        <w:t xml:space="preserve"> </w:t>
      </w:r>
      <w:r w:rsidRPr="001D227A">
        <w:rPr>
          <w:rFonts w:ascii="David" w:eastAsia="Calibri" w:hAnsi="David"/>
          <w:rtl/>
        </w:rPr>
        <w:t>זו</w:t>
      </w:r>
      <w:r w:rsidRPr="001D227A">
        <w:rPr>
          <w:rFonts w:ascii="David" w:eastAsia="Calibri" w:hAnsi="David"/>
        </w:rPr>
        <w:t xml:space="preserve"> </w:t>
      </w:r>
      <w:r w:rsidRPr="001D227A">
        <w:rPr>
          <w:rFonts w:ascii="David" w:eastAsia="Calibri" w:hAnsi="David"/>
          <w:rtl/>
        </w:rPr>
        <w:t>ונשיאת</w:t>
      </w:r>
      <w:r w:rsidRPr="001D227A">
        <w:rPr>
          <w:rFonts w:ascii="David" w:eastAsia="Calibri" w:hAnsi="David"/>
        </w:rPr>
        <w:t xml:space="preserve"> </w:t>
      </w:r>
      <w:r w:rsidRPr="001D227A">
        <w:rPr>
          <w:rFonts w:ascii="David" w:eastAsia="Calibri" w:hAnsi="David"/>
          <w:rtl/>
        </w:rPr>
        <w:t>יתרת</w:t>
      </w:r>
      <w:r w:rsidRPr="001D227A">
        <w:rPr>
          <w:rFonts w:ascii="David" w:eastAsia="Calibri" w:hAnsi="David"/>
        </w:rPr>
        <w:t xml:space="preserve"> </w:t>
      </w:r>
      <w:r w:rsidRPr="001D227A">
        <w:rPr>
          <w:rFonts w:ascii="David" w:eastAsia="Calibri" w:hAnsi="David"/>
          <w:rtl/>
        </w:rPr>
        <w:t>העונש</w:t>
      </w:r>
      <w:r w:rsidRPr="001D227A">
        <w:rPr>
          <w:rFonts w:ascii="David" w:eastAsia="Calibri" w:hAnsi="David"/>
        </w:rPr>
        <w:t xml:space="preserve"> </w:t>
      </w:r>
      <w:r w:rsidRPr="001D227A">
        <w:rPr>
          <w:rFonts w:ascii="David" w:eastAsia="Calibri" w:hAnsi="David"/>
          <w:rtl/>
        </w:rPr>
        <w:t>תחת</w:t>
      </w:r>
      <w:r w:rsidRPr="001D227A">
        <w:rPr>
          <w:rFonts w:ascii="David" w:eastAsia="Calibri" w:hAnsi="David"/>
        </w:rPr>
        <w:t xml:space="preserve"> </w:t>
      </w:r>
      <w:r w:rsidRPr="001D227A">
        <w:rPr>
          <w:rFonts w:ascii="David" w:eastAsia="Calibri" w:hAnsi="David"/>
          <w:rtl/>
        </w:rPr>
        <w:t>מאסר</w:t>
      </w:r>
      <w:r w:rsidRPr="001D227A">
        <w:rPr>
          <w:rFonts w:ascii="David" w:eastAsia="Calibri" w:hAnsi="David"/>
        </w:rPr>
        <w:t xml:space="preserve"> </w:t>
      </w:r>
      <w:r w:rsidRPr="001D227A">
        <w:rPr>
          <w:rFonts w:ascii="David" w:eastAsia="Calibri" w:hAnsi="David"/>
          <w:rtl/>
        </w:rPr>
        <w:t>בפועל</w:t>
      </w:r>
      <w:r w:rsidRPr="001D227A">
        <w:rPr>
          <w:rFonts w:ascii="David" w:eastAsia="Calibri" w:hAnsi="David"/>
        </w:rPr>
        <w:t>.</w:t>
      </w:r>
    </w:p>
    <w:p w14:paraId="3A1EE319" w14:textId="77777777" w:rsidR="001D227A" w:rsidRPr="001D227A" w:rsidRDefault="001D227A" w:rsidP="001D227A">
      <w:pPr>
        <w:spacing w:after="160" w:line="360" w:lineRule="auto"/>
        <w:ind w:left="1080"/>
        <w:contextualSpacing/>
        <w:jc w:val="both"/>
        <w:rPr>
          <w:rFonts w:ascii="David" w:eastAsia="Calibri" w:hAnsi="David"/>
        </w:rPr>
      </w:pPr>
    </w:p>
    <w:p w14:paraId="4DFB116B" w14:textId="77777777" w:rsidR="001D227A" w:rsidRPr="001D227A" w:rsidRDefault="001D227A" w:rsidP="001D227A">
      <w:pPr>
        <w:spacing w:after="160" w:line="360" w:lineRule="auto"/>
        <w:ind w:left="1080"/>
        <w:contextualSpacing/>
        <w:jc w:val="both"/>
        <w:rPr>
          <w:rFonts w:ascii="David" w:eastAsia="Calibri" w:hAnsi="David"/>
        </w:rPr>
      </w:pPr>
      <w:r w:rsidRPr="001D227A">
        <w:rPr>
          <w:rFonts w:ascii="David" w:eastAsia="Calibri" w:hAnsi="David"/>
          <w:rtl/>
        </w:rPr>
        <w:t xml:space="preserve">ככל שהממונה על עבודות שירות  יסבור כי חלוף הזמן מחייב שינוי במתווה עבודות השירות יודיע על כך לבית המשפט תוך 14 יום, וגזר הדין יתוקן בהתאם. </w:t>
      </w:r>
    </w:p>
    <w:p w14:paraId="33D81FD2" w14:textId="77777777" w:rsidR="001D227A" w:rsidRPr="001D227A" w:rsidRDefault="001D227A" w:rsidP="001D227A">
      <w:pPr>
        <w:spacing w:after="160" w:line="254" w:lineRule="auto"/>
        <w:ind w:left="720"/>
        <w:contextualSpacing/>
        <w:jc w:val="both"/>
        <w:rPr>
          <w:rFonts w:ascii="David" w:eastAsia="Calibri" w:hAnsi="David"/>
        </w:rPr>
      </w:pPr>
    </w:p>
    <w:p w14:paraId="05498EFD" w14:textId="77777777" w:rsidR="001D227A" w:rsidRDefault="001D227A" w:rsidP="001D227A">
      <w:pPr>
        <w:pStyle w:val="aa"/>
        <w:numPr>
          <w:ilvl w:val="1"/>
          <w:numId w:val="4"/>
        </w:numPr>
        <w:spacing w:line="360" w:lineRule="auto"/>
        <w:jc w:val="both"/>
        <w:rPr>
          <w:rFonts w:ascii="David" w:hAnsi="David" w:cs="David"/>
          <w:sz w:val="24"/>
          <w:szCs w:val="24"/>
        </w:rPr>
      </w:pPr>
      <w:r>
        <w:rPr>
          <w:rFonts w:ascii="David" w:hAnsi="David" w:cs="David"/>
          <w:sz w:val="24"/>
          <w:szCs w:val="24"/>
          <w:rtl/>
        </w:rPr>
        <w:t xml:space="preserve">מאסר למשך 5 חודשים, ואולם הנאשם לא יישא בעונש זה אלא אם יעבור עבירה לפי </w:t>
      </w:r>
      <w:hyperlink w:history="1">
        <w:r w:rsidRPr="00E57CBC">
          <w:rPr>
            <w:rFonts w:ascii="David" w:hAnsi="David" w:cs="David"/>
            <w:color w:val="000000"/>
            <w:sz w:val="24"/>
            <w:szCs w:val="24"/>
            <w:rtl/>
          </w:rPr>
          <w:t>-פקודת</w:t>
        </w:r>
      </w:hyperlink>
      <w:r>
        <w:rPr>
          <w:rFonts w:ascii="David" w:hAnsi="David" w:cs="David"/>
          <w:sz w:val="24"/>
          <w:szCs w:val="24"/>
          <w:rtl/>
        </w:rPr>
        <w:t xml:space="preserve"> הסמים המסוכנים, מסוג פשע, במשך 3שנים מהיום.  </w:t>
      </w:r>
    </w:p>
    <w:p w14:paraId="71FF2F43" w14:textId="77777777" w:rsidR="001D227A" w:rsidRDefault="001D227A" w:rsidP="001D227A">
      <w:pPr>
        <w:pStyle w:val="aa"/>
        <w:rPr>
          <w:rFonts w:ascii="David" w:hAnsi="David" w:cs="David"/>
          <w:sz w:val="24"/>
          <w:szCs w:val="24"/>
        </w:rPr>
      </w:pPr>
    </w:p>
    <w:p w14:paraId="65C515BF" w14:textId="77777777" w:rsidR="001D227A" w:rsidRDefault="001D227A" w:rsidP="001D227A">
      <w:pPr>
        <w:pStyle w:val="aa"/>
        <w:numPr>
          <w:ilvl w:val="1"/>
          <w:numId w:val="4"/>
        </w:numPr>
        <w:spacing w:line="360" w:lineRule="auto"/>
        <w:jc w:val="both"/>
        <w:rPr>
          <w:rFonts w:ascii="David" w:hAnsi="David" w:cs="David"/>
          <w:sz w:val="24"/>
          <w:szCs w:val="24"/>
          <w:rtl/>
        </w:rPr>
      </w:pPr>
      <w:r>
        <w:rPr>
          <w:rFonts w:ascii="David" w:hAnsi="David" w:cs="David"/>
          <w:b/>
          <w:bCs/>
          <w:sz w:val="24"/>
          <w:szCs w:val="24"/>
          <w:rtl/>
          <w:lang w:eastAsia="he-IL"/>
        </w:rPr>
        <w:t>קנס</w:t>
      </w:r>
      <w:r>
        <w:rPr>
          <w:rFonts w:ascii="David" w:hAnsi="David" w:cs="David"/>
          <w:sz w:val="24"/>
          <w:szCs w:val="24"/>
          <w:rtl/>
          <w:lang w:eastAsia="he-IL"/>
        </w:rPr>
        <w:t xml:space="preserve"> </w:t>
      </w:r>
      <w:r>
        <w:rPr>
          <w:rFonts w:ascii="David" w:hAnsi="David" w:cs="David"/>
          <w:b/>
          <w:bCs/>
          <w:sz w:val="24"/>
          <w:szCs w:val="24"/>
          <w:rtl/>
          <w:lang w:eastAsia="he-IL"/>
        </w:rPr>
        <w:t xml:space="preserve">- </w:t>
      </w:r>
      <w:r>
        <w:rPr>
          <w:rFonts w:ascii="David" w:hAnsi="David" w:cs="David"/>
          <w:sz w:val="24"/>
          <w:szCs w:val="24"/>
          <w:rtl/>
          <w:lang w:eastAsia="he-IL"/>
        </w:rPr>
        <w:t xml:space="preserve">קנס בסך של 1,500 ש"ח או מאסר למשך  5 ימים  תחתיו; הקנס ישולם </w:t>
      </w:r>
      <w:r>
        <w:rPr>
          <w:rFonts w:ascii="David" w:hAnsi="David" w:cs="David" w:hint="cs"/>
          <w:sz w:val="24"/>
          <w:szCs w:val="24"/>
          <w:rtl/>
          <w:lang w:eastAsia="he-IL"/>
        </w:rPr>
        <w:t>תוך 90 יום.</w:t>
      </w:r>
      <w:r>
        <w:rPr>
          <w:rFonts w:ascii="David" w:hAnsi="David" w:cs="David"/>
          <w:sz w:val="24"/>
          <w:szCs w:val="24"/>
          <w:rtl/>
          <w:lang w:eastAsia="he-IL"/>
        </w:rPr>
        <w:t xml:space="preserve"> פיגור בתשלום אחד מן התשלומים שנקבעו לעיל, יעמיד לפירעון מידי את יתרת הקנס שטרם שולמה ויחייב את הנאשם בתשלום תוספת פיגורים כחוק. </w:t>
      </w:r>
    </w:p>
    <w:p w14:paraId="54E03CB1" w14:textId="77777777" w:rsidR="001D227A" w:rsidRDefault="001D227A" w:rsidP="001D227A">
      <w:pPr>
        <w:pStyle w:val="aa"/>
        <w:rPr>
          <w:rFonts w:ascii="David" w:hAnsi="David" w:cs="David"/>
          <w:sz w:val="24"/>
          <w:szCs w:val="24"/>
        </w:rPr>
      </w:pPr>
    </w:p>
    <w:p w14:paraId="39853941" w14:textId="77777777" w:rsidR="001D227A" w:rsidRDefault="001D227A" w:rsidP="001D227A">
      <w:pPr>
        <w:pStyle w:val="aa"/>
        <w:numPr>
          <w:ilvl w:val="1"/>
          <w:numId w:val="4"/>
        </w:numPr>
        <w:spacing w:line="360" w:lineRule="auto"/>
        <w:jc w:val="both"/>
        <w:rPr>
          <w:rFonts w:ascii="David" w:hAnsi="David" w:cs="David"/>
          <w:sz w:val="24"/>
          <w:szCs w:val="24"/>
          <w:rtl/>
        </w:rPr>
      </w:pPr>
      <w:r>
        <w:rPr>
          <w:rFonts w:ascii="David" w:hAnsi="David" w:cs="David"/>
          <w:sz w:val="24"/>
          <w:szCs w:val="24"/>
          <w:rtl/>
          <w:lang w:eastAsia="he-IL"/>
        </w:rPr>
        <w:t xml:space="preserve">מאחר והעבירה בוצעה בדרך של שימוש ברכב ונהיגה בו, אני פוסל את הנאשם מלקבל או להחזיק רישיון נהיגה וזאת לתקופה של 6 חודשים. </w:t>
      </w:r>
      <w:r>
        <w:rPr>
          <w:rFonts w:ascii="David" w:hAnsi="David" w:cs="David"/>
          <w:sz w:val="24"/>
          <w:szCs w:val="24"/>
          <w:rtl/>
        </w:rPr>
        <w:t>הפסילה ת</w:t>
      </w:r>
      <w:r>
        <w:rPr>
          <w:rFonts w:ascii="David" w:hAnsi="David" w:cs="David" w:hint="cs"/>
          <w:sz w:val="24"/>
          <w:szCs w:val="24"/>
          <w:rtl/>
        </w:rPr>
        <w:t xml:space="preserve">חל עד ולא יאוחר מיום 20.8.2023 ועל הנאשם להפקיד את רישיון הנהיגה עד לשעה 12:00 בכל מזכירות של בית משפט לתעבורה. לא יפקיד את רישיון הנהיגה במועד תחל הפסילה אולם לא תמנה. </w:t>
      </w:r>
    </w:p>
    <w:p w14:paraId="46F23C1E" w14:textId="77777777" w:rsidR="001D227A" w:rsidRPr="001D227A" w:rsidRDefault="001D227A" w:rsidP="001D227A">
      <w:pPr>
        <w:pStyle w:val="aa"/>
        <w:rPr>
          <w:rFonts w:ascii="David" w:hAnsi="David" w:cs="David"/>
          <w:sz w:val="24"/>
          <w:szCs w:val="24"/>
        </w:rPr>
      </w:pPr>
    </w:p>
    <w:p w14:paraId="55F92C01" w14:textId="77777777" w:rsidR="001D227A" w:rsidRPr="001D227A" w:rsidRDefault="001D227A" w:rsidP="001D227A">
      <w:pPr>
        <w:pStyle w:val="aa"/>
        <w:numPr>
          <w:ilvl w:val="1"/>
          <w:numId w:val="4"/>
        </w:numPr>
        <w:spacing w:line="360" w:lineRule="auto"/>
        <w:jc w:val="both"/>
        <w:rPr>
          <w:rFonts w:ascii="David" w:hAnsi="David" w:cs="David"/>
          <w:sz w:val="24"/>
          <w:szCs w:val="24"/>
          <w:rtl/>
        </w:rPr>
      </w:pPr>
      <w:r w:rsidRPr="001D227A">
        <w:rPr>
          <w:rFonts w:ascii="David" w:hAnsi="David" w:cs="David"/>
          <w:sz w:val="24"/>
          <w:szCs w:val="24"/>
          <w:rtl/>
        </w:rPr>
        <w:t>פוסל את הנאשם מלהחזיק או לקבל רישיון נהיגה וזאת לתקופה של 4 חודשים וזאת על תנאי למשך 3 שנים, אם יעבור על עבירות בניגוד ל</w:t>
      </w:r>
      <w:hyperlink r:id="rId25" w:history="1">
        <w:r w:rsidR="00E57CBC" w:rsidRPr="00E57CBC">
          <w:rPr>
            <w:rFonts w:ascii="David" w:hAnsi="David" w:cs="David"/>
            <w:color w:val="0000FF"/>
            <w:sz w:val="24"/>
            <w:szCs w:val="24"/>
            <w:u w:val="single"/>
            <w:rtl/>
          </w:rPr>
          <w:t>פקודת הסמים המסוכנים</w:t>
        </w:r>
      </w:hyperlink>
      <w:r w:rsidRPr="001D227A">
        <w:rPr>
          <w:rFonts w:ascii="David" w:hAnsi="David" w:cs="David"/>
          <w:sz w:val="24"/>
          <w:szCs w:val="24"/>
          <w:rtl/>
        </w:rPr>
        <w:t xml:space="preserve">. </w:t>
      </w:r>
    </w:p>
    <w:p w14:paraId="531A0BC9" w14:textId="77777777" w:rsidR="001D227A" w:rsidRDefault="001D227A" w:rsidP="001D227A">
      <w:pPr>
        <w:spacing w:line="360" w:lineRule="auto"/>
        <w:ind w:left="510"/>
        <w:jc w:val="both"/>
        <w:rPr>
          <w:rtl/>
          <w:lang w:eastAsia="he-IL"/>
        </w:rPr>
      </w:pPr>
    </w:p>
    <w:p w14:paraId="29430DAA" w14:textId="77777777" w:rsidR="001D227A" w:rsidRPr="001D227A" w:rsidRDefault="001D227A" w:rsidP="001D227A">
      <w:pPr>
        <w:spacing w:line="360" w:lineRule="auto"/>
        <w:ind w:firstLine="360"/>
        <w:jc w:val="both"/>
        <w:rPr>
          <w:rFonts w:ascii="David" w:eastAsia="Calibri" w:hAnsi="David"/>
          <w:rtl/>
        </w:rPr>
      </w:pPr>
      <w:r>
        <w:rPr>
          <w:b/>
          <w:bCs/>
          <w:rtl/>
          <w:lang w:eastAsia="he-IL"/>
        </w:rPr>
        <w:t xml:space="preserve">מוצגים – </w:t>
      </w:r>
      <w:r>
        <w:rPr>
          <w:rtl/>
          <w:lang w:eastAsia="he-IL"/>
        </w:rPr>
        <w:t xml:space="preserve">כל המוצגים יושמדו/יחולטו/יושבו, לשיקול דעת המאשימה. </w:t>
      </w:r>
    </w:p>
    <w:p w14:paraId="0C6FFEF7" w14:textId="77777777" w:rsidR="001D227A" w:rsidRPr="00E57CBC" w:rsidRDefault="00E57CBC" w:rsidP="001D227A">
      <w:pPr>
        <w:spacing w:after="160" w:line="254" w:lineRule="auto"/>
        <w:ind w:left="720"/>
        <w:contextualSpacing/>
        <w:jc w:val="both"/>
        <w:rPr>
          <w:rFonts w:ascii="David" w:eastAsia="Calibri" w:hAnsi="David"/>
          <w:color w:val="FFFFFF"/>
          <w:sz w:val="2"/>
          <w:szCs w:val="2"/>
          <w:rtl/>
        </w:rPr>
      </w:pPr>
      <w:r w:rsidRPr="00E57CBC">
        <w:rPr>
          <w:rFonts w:ascii="David" w:eastAsia="Calibri" w:hAnsi="David"/>
          <w:color w:val="FFFFFF"/>
          <w:sz w:val="2"/>
          <w:szCs w:val="2"/>
          <w:rtl/>
        </w:rPr>
        <w:t>5129371</w:t>
      </w:r>
    </w:p>
    <w:p w14:paraId="3F94F2CB" w14:textId="77777777" w:rsidR="001D227A" w:rsidRPr="000F2247" w:rsidRDefault="00E57CBC" w:rsidP="001D227A">
      <w:pPr>
        <w:spacing w:after="160" w:line="360" w:lineRule="auto"/>
        <w:jc w:val="both"/>
        <w:rPr>
          <w:rFonts w:ascii="Arial" w:hAnsi="Arial"/>
          <w:b/>
          <w:bCs/>
          <w:sz w:val="26"/>
          <w:szCs w:val="26"/>
          <w:rtl/>
        </w:rPr>
      </w:pPr>
      <w:r w:rsidRPr="00E57CBC">
        <w:rPr>
          <w:rFonts w:ascii="David" w:eastAsia="Calibri" w:hAnsi="David"/>
          <w:b/>
          <w:bCs/>
          <w:color w:val="FFFFFF"/>
          <w:sz w:val="2"/>
          <w:szCs w:val="2"/>
          <w:rtl/>
        </w:rPr>
        <w:t>54678313</w:t>
      </w:r>
      <w:r w:rsidR="001D227A" w:rsidRPr="001D227A">
        <w:rPr>
          <w:rFonts w:ascii="David" w:eastAsia="Calibri" w:hAnsi="David"/>
          <w:b/>
          <w:bCs/>
          <w:rtl/>
        </w:rPr>
        <w:t xml:space="preserve">זכות ערעור לבית המשפט המחוזי בבאר שבע תוך 45 ימים. </w:t>
      </w:r>
    </w:p>
    <w:p w14:paraId="50331DE7" w14:textId="77777777" w:rsidR="001D227A" w:rsidRPr="000F2247" w:rsidRDefault="001D227A" w:rsidP="001D227A">
      <w:pPr>
        <w:rPr>
          <w:rFonts w:ascii="Arial" w:hAnsi="Arial"/>
          <w:b/>
          <w:bCs/>
          <w:sz w:val="26"/>
          <w:szCs w:val="26"/>
          <w:rtl/>
        </w:rPr>
      </w:pPr>
    </w:p>
    <w:p w14:paraId="540EFDAF" w14:textId="77777777" w:rsidR="001D227A" w:rsidRPr="000F2247" w:rsidRDefault="00E57CBC" w:rsidP="001D227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אדר תשפ"ג, 05 מרץ 2023, במעמד הצדדים. </w:t>
      </w:r>
      <w:bookmarkEnd w:id="8"/>
      <w:r w:rsidR="001D227A">
        <w:rPr>
          <w:rFonts w:ascii="Arial" w:hAnsi="Arial"/>
          <w:b/>
          <w:bCs/>
          <w:sz w:val="26"/>
          <w:szCs w:val="26"/>
          <w:rtl/>
        </w:rPr>
        <w:tab/>
      </w:r>
      <w:r w:rsidR="001D227A">
        <w:rPr>
          <w:rFonts w:ascii="Arial" w:hAnsi="Arial"/>
          <w:b/>
          <w:bCs/>
          <w:sz w:val="26"/>
          <w:szCs w:val="26"/>
          <w:rtl/>
        </w:rPr>
        <w:tab/>
      </w:r>
      <w:r w:rsidR="001D227A">
        <w:rPr>
          <w:rFonts w:ascii="Arial" w:hAnsi="Arial"/>
          <w:b/>
          <w:bCs/>
          <w:sz w:val="26"/>
          <w:szCs w:val="26"/>
          <w:rtl/>
        </w:rPr>
        <w:tab/>
      </w:r>
      <w:r w:rsidR="001D227A">
        <w:rPr>
          <w:rFonts w:ascii="Arial" w:hAnsi="Arial"/>
          <w:b/>
          <w:bCs/>
          <w:sz w:val="26"/>
          <w:szCs w:val="26"/>
          <w:rtl/>
        </w:rPr>
        <w:tab/>
      </w:r>
      <w:r w:rsidR="001D227A">
        <w:rPr>
          <w:rFonts w:ascii="Arial" w:hAnsi="Arial"/>
          <w:b/>
          <w:bCs/>
          <w:sz w:val="26"/>
          <w:szCs w:val="26"/>
          <w:rtl/>
        </w:rPr>
        <w:tab/>
      </w:r>
      <w:r w:rsidR="001D227A">
        <w:rPr>
          <w:rFonts w:ascii="Arial" w:hAnsi="Arial"/>
          <w:b/>
          <w:bCs/>
          <w:sz w:val="26"/>
          <w:szCs w:val="26"/>
          <w:rtl/>
        </w:rPr>
        <w:tab/>
      </w:r>
      <w:r w:rsidR="001D227A">
        <w:rPr>
          <w:rFonts w:ascii="Arial" w:hAnsi="Arial"/>
          <w:b/>
          <w:bCs/>
          <w:sz w:val="26"/>
          <w:szCs w:val="26"/>
          <w:rtl/>
        </w:rPr>
        <w:tab/>
      </w:r>
      <w:r w:rsidR="001D227A">
        <w:rPr>
          <w:rFonts w:ascii="Arial" w:hAnsi="Arial" w:hint="cs"/>
          <w:b/>
          <w:bCs/>
          <w:sz w:val="26"/>
          <w:szCs w:val="26"/>
          <w:rtl/>
        </w:rPr>
        <w:t xml:space="preserve">         </w:t>
      </w:r>
    </w:p>
    <w:p w14:paraId="5E270973" w14:textId="77777777" w:rsidR="00E57CBC" w:rsidRDefault="00E57CBC" w:rsidP="00E57CBC">
      <w:pPr>
        <w:rPr>
          <w:rtl/>
        </w:rPr>
      </w:pPr>
    </w:p>
    <w:p w14:paraId="1AA269AE" w14:textId="77777777" w:rsidR="00E57CBC" w:rsidRDefault="00E57CBC" w:rsidP="00E57CBC">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3BCF713" w14:textId="77777777" w:rsidR="00E32499" w:rsidRPr="00E32499" w:rsidRDefault="00E32499" w:rsidP="00E32499">
      <w:pPr>
        <w:keepNext/>
        <w:rPr>
          <w:rFonts w:ascii="David" w:hAnsi="David"/>
          <w:color w:val="000000"/>
          <w:sz w:val="22"/>
          <w:szCs w:val="22"/>
          <w:rtl/>
        </w:rPr>
      </w:pPr>
    </w:p>
    <w:p w14:paraId="635F7CF3" w14:textId="77777777" w:rsidR="00E32499" w:rsidRPr="00E32499" w:rsidRDefault="00E32499" w:rsidP="00E32499">
      <w:pPr>
        <w:keepNext/>
        <w:rPr>
          <w:rFonts w:ascii="David" w:hAnsi="David"/>
          <w:color w:val="000000"/>
          <w:sz w:val="22"/>
          <w:szCs w:val="22"/>
          <w:rtl/>
        </w:rPr>
      </w:pPr>
      <w:r w:rsidRPr="00E32499">
        <w:rPr>
          <w:rFonts w:ascii="David" w:hAnsi="David"/>
          <w:color w:val="000000"/>
          <w:sz w:val="22"/>
          <w:szCs w:val="22"/>
          <w:rtl/>
        </w:rPr>
        <w:t>גיל אדלמן 54678313-/</w:t>
      </w:r>
    </w:p>
    <w:p w14:paraId="61496971" w14:textId="77777777" w:rsidR="00E57CBC" w:rsidRPr="00E57CBC" w:rsidRDefault="00E32499" w:rsidP="00E32499">
      <w:pPr>
        <w:rPr>
          <w:color w:val="0000FF"/>
          <w:u w:val="single"/>
        </w:rPr>
      </w:pPr>
      <w:r w:rsidRPr="00E32499">
        <w:rPr>
          <w:color w:val="000000"/>
          <w:u w:val="single"/>
          <w:rtl/>
        </w:rPr>
        <w:t>נוסח מסמך זה כפוף לשינויי ניסוח ועריכה</w:t>
      </w:r>
    </w:p>
    <w:sectPr w:rsidR="00E57CBC" w:rsidRPr="00E57CBC" w:rsidSect="00E32499">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FEF62" w14:textId="77777777" w:rsidR="00622301" w:rsidRDefault="00622301" w:rsidP="00DA3C65">
      <w:r>
        <w:separator/>
      </w:r>
    </w:p>
  </w:endnote>
  <w:endnote w:type="continuationSeparator" w:id="0">
    <w:p w14:paraId="1FD7BED5" w14:textId="77777777" w:rsidR="00622301" w:rsidRDefault="00622301" w:rsidP="00DA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39642" w14:textId="77777777" w:rsidR="00E32499" w:rsidRDefault="00E32499" w:rsidP="00E3249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A8141C" w14:textId="77777777" w:rsidR="00AC6CE8" w:rsidRPr="00E32499" w:rsidRDefault="00E32499" w:rsidP="00E32499">
    <w:pPr>
      <w:pStyle w:val="a5"/>
      <w:pBdr>
        <w:top w:val="single" w:sz="4" w:space="1" w:color="auto"/>
        <w:between w:val="single" w:sz="4" w:space="0" w:color="auto"/>
      </w:pBdr>
      <w:spacing w:after="60"/>
      <w:jc w:val="center"/>
      <w:rPr>
        <w:rFonts w:ascii="FrankRuehl" w:hAnsi="FrankRuehl" w:cs="FrankRuehl"/>
        <w:color w:val="000000"/>
      </w:rPr>
    </w:pPr>
    <w:r w:rsidRPr="00E324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CA26B" w14:textId="77777777" w:rsidR="00E32499" w:rsidRDefault="00E32499" w:rsidP="00E3249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0901">
      <w:rPr>
        <w:rFonts w:ascii="FrankRuehl" w:hAnsi="FrankRuehl" w:cs="FrankRuehl"/>
        <w:noProof/>
        <w:rtl/>
      </w:rPr>
      <w:t>1</w:t>
    </w:r>
    <w:r>
      <w:rPr>
        <w:rFonts w:ascii="FrankRuehl" w:hAnsi="FrankRuehl" w:cs="FrankRuehl"/>
        <w:rtl/>
      </w:rPr>
      <w:fldChar w:fldCharType="end"/>
    </w:r>
  </w:p>
  <w:p w14:paraId="142FC85D" w14:textId="77777777" w:rsidR="00AC6CE8" w:rsidRPr="00E32499" w:rsidRDefault="00E32499" w:rsidP="00E32499">
    <w:pPr>
      <w:pStyle w:val="a5"/>
      <w:pBdr>
        <w:top w:val="single" w:sz="4" w:space="1" w:color="auto"/>
        <w:between w:val="single" w:sz="4" w:space="0" w:color="auto"/>
      </w:pBdr>
      <w:spacing w:after="60"/>
      <w:jc w:val="center"/>
      <w:rPr>
        <w:rFonts w:ascii="FrankRuehl" w:hAnsi="FrankRuehl" w:cs="FrankRuehl"/>
        <w:color w:val="000000"/>
      </w:rPr>
    </w:pPr>
    <w:r w:rsidRPr="00E32499">
      <w:rPr>
        <w:rFonts w:ascii="FrankRuehl" w:hAnsi="FrankRuehl" w:cs="FrankRuehl"/>
        <w:color w:val="000000"/>
      </w:rPr>
      <w:pict w14:anchorId="108A0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46979" w14:textId="77777777" w:rsidR="00622301" w:rsidRDefault="00622301" w:rsidP="00DA3C65">
      <w:r>
        <w:separator/>
      </w:r>
    </w:p>
  </w:footnote>
  <w:footnote w:type="continuationSeparator" w:id="0">
    <w:p w14:paraId="2F8723E9" w14:textId="77777777" w:rsidR="00622301" w:rsidRDefault="00622301" w:rsidP="00DA3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352A" w14:textId="77777777" w:rsidR="00E57CBC" w:rsidRPr="00E32499" w:rsidRDefault="00E32499" w:rsidP="00E324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61792-04-21</w:t>
    </w:r>
    <w:r>
      <w:rPr>
        <w:rFonts w:ascii="David" w:hAnsi="David"/>
        <w:color w:val="000000"/>
        <w:sz w:val="22"/>
        <w:szCs w:val="22"/>
        <w:rtl/>
      </w:rPr>
      <w:tab/>
      <w:t xml:space="preserve"> מדינת ישראל נ' עלא זעבוט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18F20" w14:textId="77777777" w:rsidR="00E57CBC" w:rsidRPr="00E32499" w:rsidRDefault="00E32499" w:rsidP="00E324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61792-04-21</w:t>
    </w:r>
    <w:r>
      <w:rPr>
        <w:rFonts w:ascii="David" w:hAnsi="David"/>
        <w:color w:val="000000"/>
        <w:sz w:val="22"/>
        <w:szCs w:val="22"/>
        <w:rtl/>
      </w:rPr>
      <w:tab/>
      <w:t xml:space="preserve"> מדינת ישראל נ' עלא זעבוט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7A29"/>
    <w:multiLevelType w:val="hybridMultilevel"/>
    <w:tmpl w:val="A3FA4C1E"/>
    <w:lvl w:ilvl="0" w:tplc="E98AD632">
      <w:start w:val="1"/>
      <w:numFmt w:val="bullet"/>
      <w:lvlText w:val=""/>
      <w:lvlJc w:val="left"/>
      <w:pPr>
        <w:ind w:left="360" w:hanging="360"/>
      </w:pPr>
      <w:rPr>
        <w:rFonts w:ascii="Wingdings" w:hAnsi="Wingdings" w:hint="default"/>
      </w:rPr>
    </w:lvl>
    <w:lvl w:ilvl="1" w:tplc="D5F0CECE">
      <w:start w:val="1"/>
      <w:numFmt w:val="bullet"/>
      <w:lvlText w:val="o"/>
      <w:lvlJc w:val="left"/>
      <w:pPr>
        <w:ind w:left="1080" w:hanging="360"/>
      </w:pPr>
      <w:rPr>
        <w:rFonts w:ascii="Courier New" w:hAnsi="Courier New" w:cs="Courier New" w:hint="default"/>
      </w:rPr>
    </w:lvl>
    <w:lvl w:ilvl="2" w:tplc="6A8E3726">
      <w:start w:val="1"/>
      <w:numFmt w:val="bullet"/>
      <w:lvlText w:val=""/>
      <w:lvlJc w:val="left"/>
      <w:pPr>
        <w:ind w:left="1800" w:hanging="360"/>
      </w:pPr>
      <w:rPr>
        <w:rFonts w:ascii="Wingdings" w:hAnsi="Wingdings" w:hint="default"/>
      </w:rPr>
    </w:lvl>
    <w:lvl w:ilvl="3" w:tplc="2E387330">
      <w:start w:val="1"/>
      <w:numFmt w:val="bullet"/>
      <w:lvlText w:val=""/>
      <w:lvlJc w:val="left"/>
      <w:pPr>
        <w:ind w:left="2520" w:hanging="360"/>
      </w:pPr>
      <w:rPr>
        <w:rFonts w:ascii="Symbol" w:hAnsi="Symbol" w:hint="default"/>
      </w:rPr>
    </w:lvl>
    <w:lvl w:ilvl="4" w:tplc="67081E1A">
      <w:start w:val="1"/>
      <w:numFmt w:val="bullet"/>
      <w:lvlText w:val="o"/>
      <w:lvlJc w:val="left"/>
      <w:pPr>
        <w:ind w:left="3240" w:hanging="360"/>
      </w:pPr>
      <w:rPr>
        <w:rFonts w:ascii="Courier New" w:hAnsi="Courier New" w:cs="Courier New" w:hint="default"/>
      </w:rPr>
    </w:lvl>
    <w:lvl w:ilvl="5" w:tplc="29BEA6D8">
      <w:start w:val="1"/>
      <w:numFmt w:val="bullet"/>
      <w:lvlText w:val=""/>
      <w:lvlJc w:val="left"/>
      <w:pPr>
        <w:ind w:left="3960" w:hanging="360"/>
      </w:pPr>
      <w:rPr>
        <w:rFonts w:ascii="Wingdings" w:hAnsi="Wingdings" w:hint="default"/>
      </w:rPr>
    </w:lvl>
    <w:lvl w:ilvl="6" w:tplc="2B20F6B6">
      <w:start w:val="1"/>
      <w:numFmt w:val="bullet"/>
      <w:lvlText w:val=""/>
      <w:lvlJc w:val="left"/>
      <w:pPr>
        <w:ind w:left="4680" w:hanging="360"/>
      </w:pPr>
      <w:rPr>
        <w:rFonts w:ascii="Symbol" w:hAnsi="Symbol" w:hint="default"/>
      </w:rPr>
    </w:lvl>
    <w:lvl w:ilvl="7" w:tplc="2F60E6DE">
      <w:start w:val="1"/>
      <w:numFmt w:val="bullet"/>
      <w:lvlText w:val="o"/>
      <w:lvlJc w:val="left"/>
      <w:pPr>
        <w:ind w:left="5400" w:hanging="360"/>
      </w:pPr>
      <w:rPr>
        <w:rFonts w:ascii="Courier New" w:hAnsi="Courier New" w:cs="Courier New" w:hint="default"/>
      </w:rPr>
    </w:lvl>
    <w:lvl w:ilvl="8" w:tplc="772C3548">
      <w:start w:val="1"/>
      <w:numFmt w:val="bullet"/>
      <w:lvlText w:val=""/>
      <w:lvlJc w:val="left"/>
      <w:pPr>
        <w:ind w:left="6120" w:hanging="360"/>
      </w:pPr>
      <w:rPr>
        <w:rFonts w:ascii="Wingdings" w:hAnsi="Wingdings" w:hint="default"/>
      </w:rPr>
    </w:lvl>
  </w:abstractNum>
  <w:abstractNum w:abstractNumId="1" w15:restartNumberingAfterBreak="0">
    <w:nsid w:val="11FE5FFA"/>
    <w:multiLevelType w:val="hybridMultilevel"/>
    <w:tmpl w:val="D5FCB88A"/>
    <w:lvl w:ilvl="0" w:tplc="3FCA82B0">
      <w:start w:val="1"/>
      <w:numFmt w:val="decimal"/>
      <w:lvlText w:val="%1."/>
      <w:lvlJc w:val="left"/>
      <w:pPr>
        <w:ind w:left="360" w:hanging="360"/>
      </w:pPr>
      <w:rPr>
        <w:rFonts w:ascii="David" w:hAnsi="David" w:cs="David" w:hint="default"/>
        <w:b w:val="0"/>
        <w:bCs w:val="0"/>
        <w:sz w:val="24"/>
        <w:szCs w:val="24"/>
      </w:rPr>
    </w:lvl>
    <w:lvl w:ilvl="1" w:tplc="009A7106">
      <w:start w:val="1"/>
      <w:numFmt w:val="hebrew1"/>
      <w:lvlText w:val="%2."/>
      <w:lvlJc w:val="center"/>
      <w:pPr>
        <w:ind w:left="1080" w:hanging="360"/>
      </w:pPr>
    </w:lvl>
    <w:lvl w:ilvl="2" w:tplc="688088A8">
      <w:start w:val="1"/>
      <w:numFmt w:val="lowerRoman"/>
      <w:lvlText w:val="%3."/>
      <w:lvlJc w:val="right"/>
      <w:pPr>
        <w:ind w:left="1800" w:hanging="180"/>
      </w:pPr>
    </w:lvl>
    <w:lvl w:ilvl="3" w:tplc="3BD6D76C">
      <w:start w:val="1"/>
      <w:numFmt w:val="decimal"/>
      <w:lvlText w:val="%4."/>
      <w:lvlJc w:val="left"/>
      <w:pPr>
        <w:ind w:left="2520" w:hanging="360"/>
      </w:pPr>
    </w:lvl>
    <w:lvl w:ilvl="4" w:tplc="D09EB908">
      <w:start w:val="1"/>
      <w:numFmt w:val="lowerLetter"/>
      <w:lvlText w:val="%5."/>
      <w:lvlJc w:val="left"/>
      <w:pPr>
        <w:ind w:left="3240" w:hanging="360"/>
      </w:pPr>
    </w:lvl>
    <w:lvl w:ilvl="5" w:tplc="DEEE1032">
      <w:start w:val="1"/>
      <w:numFmt w:val="lowerRoman"/>
      <w:lvlText w:val="%6."/>
      <w:lvlJc w:val="right"/>
      <w:pPr>
        <w:ind w:left="3960" w:hanging="180"/>
      </w:pPr>
    </w:lvl>
    <w:lvl w:ilvl="6" w:tplc="8D849A70">
      <w:start w:val="1"/>
      <w:numFmt w:val="decimal"/>
      <w:lvlText w:val="%7."/>
      <w:lvlJc w:val="left"/>
      <w:pPr>
        <w:ind w:left="4680" w:hanging="360"/>
      </w:pPr>
    </w:lvl>
    <w:lvl w:ilvl="7" w:tplc="413E33FE">
      <w:start w:val="1"/>
      <w:numFmt w:val="lowerLetter"/>
      <w:lvlText w:val="%8."/>
      <w:lvlJc w:val="left"/>
      <w:pPr>
        <w:ind w:left="5400" w:hanging="360"/>
      </w:pPr>
    </w:lvl>
    <w:lvl w:ilvl="8" w:tplc="0B82C888">
      <w:start w:val="1"/>
      <w:numFmt w:val="lowerRoman"/>
      <w:lvlText w:val="%9."/>
      <w:lvlJc w:val="right"/>
      <w:pPr>
        <w:ind w:left="6120" w:hanging="180"/>
      </w:pPr>
    </w:lvl>
  </w:abstractNum>
  <w:abstractNum w:abstractNumId="2" w15:restartNumberingAfterBreak="0">
    <w:nsid w:val="4FFE17ED"/>
    <w:multiLevelType w:val="hybridMultilevel"/>
    <w:tmpl w:val="39200316"/>
    <w:lvl w:ilvl="0" w:tplc="A2120314">
      <w:start w:val="20"/>
      <w:numFmt w:val="decimal"/>
      <w:lvlText w:val="%1."/>
      <w:lvlJc w:val="left"/>
      <w:pPr>
        <w:ind w:left="360" w:hanging="360"/>
      </w:pPr>
      <w:rPr>
        <w:sz w:val="24"/>
        <w:szCs w:val="24"/>
      </w:rPr>
    </w:lvl>
    <w:lvl w:ilvl="1" w:tplc="96FCBE98">
      <w:start w:val="1"/>
      <w:numFmt w:val="lowerLetter"/>
      <w:lvlText w:val="%2."/>
      <w:lvlJc w:val="left"/>
      <w:pPr>
        <w:ind w:left="1080" w:hanging="360"/>
      </w:pPr>
    </w:lvl>
    <w:lvl w:ilvl="2" w:tplc="82B6F1EE">
      <w:start w:val="1"/>
      <w:numFmt w:val="lowerRoman"/>
      <w:lvlText w:val="%3."/>
      <w:lvlJc w:val="right"/>
      <w:pPr>
        <w:ind w:left="1800" w:hanging="180"/>
      </w:pPr>
    </w:lvl>
    <w:lvl w:ilvl="3" w:tplc="DC0665EE">
      <w:start w:val="1"/>
      <w:numFmt w:val="decimal"/>
      <w:lvlText w:val="%4."/>
      <w:lvlJc w:val="left"/>
      <w:pPr>
        <w:ind w:left="2520" w:hanging="360"/>
      </w:pPr>
    </w:lvl>
    <w:lvl w:ilvl="4" w:tplc="C41626EA">
      <w:start w:val="1"/>
      <w:numFmt w:val="lowerLetter"/>
      <w:lvlText w:val="%5."/>
      <w:lvlJc w:val="left"/>
      <w:pPr>
        <w:ind w:left="3240" w:hanging="360"/>
      </w:pPr>
    </w:lvl>
    <w:lvl w:ilvl="5" w:tplc="66AA21F6">
      <w:start w:val="1"/>
      <w:numFmt w:val="lowerRoman"/>
      <w:lvlText w:val="%6."/>
      <w:lvlJc w:val="right"/>
      <w:pPr>
        <w:ind w:left="3960" w:hanging="180"/>
      </w:pPr>
    </w:lvl>
    <w:lvl w:ilvl="6" w:tplc="32AC7666">
      <w:start w:val="1"/>
      <w:numFmt w:val="decimal"/>
      <w:lvlText w:val="%7."/>
      <w:lvlJc w:val="left"/>
      <w:pPr>
        <w:ind w:left="4680" w:hanging="360"/>
      </w:pPr>
    </w:lvl>
    <w:lvl w:ilvl="7" w:tplc="A2F40C1C">
      <w:start w:val="1"/>
      <w:numFmt w:val="lowerLetter"/>
      <w:lvlText w:val="%8."/>
      <w:lvlJc w:val="left"/>
      <w:pPr>
        <w:ind w:left="5400" w:hanging="360"/>
      </w:pPr>
    </w:lvl>
    <w:lvl w:ilvl="8" w:tplc="E35E3150">
      <w:start w:val="1"/>
      <w:numFmt w:val="lowerRoman"/>
      <w:lvlText w:val="%9."/>
      <w:lvlJc w:val="right"/>
      <w:pPr>
        <w:ind w:left="6120" w:hanging="180"/>
      </w:pPr>
    </w:lvl>
  </w:abstractNum>
  <w:abstractNum w:abstractNumId="3" w15:restartNumberingAfterBreak="0">
    <w:nsid w:val="553A5228"/>
    <w:multiLevelType w:val="hybridMultilevel"/>
    <w:tmpl w:val="20FA7848"/>
    <w:lvl w:ilvl="0" w:tplc="A1EEBC56">
      <w:start w:val="1"/>
      <w:numFmt w:val="decimal"/>
      <w:lvlText w:val="%1."/>
      <w:lvlJc w:val="left"/>
      <w:pPr>
        <w:ind w:left="360" w:hanging="360"/>
      </w:pPr>
      <w:rPr>
        <w:rFonts w:ascii="David" w:hAnsi="David" w:cs="David" w:hint="default"/>
        <w:sz w:val="24"/>
        <w:szCs w:val="24"/>
        <w:lang w:bidi="he-IL"/>
      </w:rPr>
    </w:lvl>
    <w:lvl w:ilvl="1" w:tplc="A7A02D82">
      <w:start w:val="1"/>
      <w:numFmt w:val="hebrew1"/>
      <w:lvlText w:val="%2."/>
      <w:lvlJc w:val="center"/>
      <w:pPr>
        <w:ind w:left="1080" w:hanging="360"/>
      </w:pPr>
    </w:lvl>
    <w:lvl w:ilvl="2" w:tplc="5A500262">
      <w:start w:val="1"/>
      <w:numFmt w:val="lowerRoman"/>
      <w:lvlText w:val="%3."/>
      <w:lvlJc w:val="right"/>
      <w:pPr>
        <w:ind w:left="1800" w:hanging="180"/>
      </w:pPr>
    </w:lvl>
    <w:lvl w:ilvl="3" w:tplc="CD00F1F0">
      <w:start w:val="1"/>
      <w:numFmt w:val="decimal"/>
      <w:lvlText w:val="%4."/>
      <w:lvlJc w:val="left"/>
      <w:pPr>
        <w:ind w:left="2520" w:hanging="360"/>
      </w:pPr>
    </w:lvl>
    <w:lvl w:ilvl="4" w:tplc="4D146544">
      <w:start w:val="1"/>
      <w:numFmt w:val="lowerLetter"/>
      <w:lvlText w:val="%5."/>
      <w:lvlJc w:val="left"/>
      <w:pPr>
        <w:ind w:left="3240" w:hanging="360"/>
      </w:pPr>
    </w:lvl>
    <w:lvl w:ilvl="5" w:tplc="36A82F24">
      <w:start w:val="1"/>
      <w:numFmt w:val="lowerRoman"/>
      <w:lvlText w:val="%6."/>
      <w:lvlJc w:val="right"/>
      <w:pPr>
        <w:ind w:left="3960" w:hanging="180"/>
      </w:pPr>
    </w:lvl>
    <w:lvl w:ilvl="6" w:tplc="D4543994">
      <w:start w:val="1"/>
      <w:numFmt w:val="decimal"/>
      <w:lvlText w:val="%7."/>
      <w:lvlJc w:val="left"/>
      <w:pPr>
        <w:ind w:left="4680" w:hanging="360"/>
      </w:pPr>
    </w:lvl>
    <w:lvl w:ilvl="7" w:tplc="596C139A">
      <w:start w:val="1"/>
      <w:numFmt w:val="lowerLetter"/>
      <w:lvlText w:val="%8."/>
      <w:lvlJc w:val="left"/>
      <w:pPr>
        <w:ind w:left="5400" w:hanging="360"/>
      </w:pPr>
    </w:lvl>
    <w:lvl w:ilvl="8" w:tplc="3738CF18">
      <w:start w:val="1"/>
      <w:numFmt w:val="lowerRoman"/>
      <w:lvlText w:val="%9."/>
      <w:lvlJc w:val="right"/>
      <w:pPr>
        <w:ind w:left="6120" w:hanging="180"/>
      </w:pPr>
    </w:lvl>
  </w:abstractNum>
  <w:num w:numId="1" w16cid:durableId="2675917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8983978">
    <w:abstractNumId w:val="0"/>
  </w:num>
  <w:num w:numId="3" w16cid:durableId="926882684">
    <w:abstractNumId w:val="2"/>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9048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227A"/>
    <w:rsid w:val="000A605A"/>
    <w:rsid w:val="001B5A3B"/>
    <w:rsid w:val="001D227A"/>
    <w:rsid w:val="00622301"/>
    <w:rsid w:val="0088636B"/>
    <w:rsid w:val="008A5192"/>
    <w:rsid w:val="00A46465"/>
    <w:rsid w:val="00AC6CE8"/>
    <w:rsid w:val="00AC7522"/>
    <w:rsid w:val="00AD1982"/>
    <w:rsid w:val="00D50901"/>
    <w:rsid w:val="00DA3C65"/>
    <w:rsid w:val="00E32499"/>
    <w:rsid w:val="00E57CBC"/>
    <w:rsid w:val="00E958F2"/>
    <w:rsid w:val="00F62A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456123"/>
  <w15:chartTrackingRefBased/>
  <w15:docId w15:val="{322A2D91-883A-4056-909C-7DE5A87D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22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227A"/>
    <w:pPr>
      <w:tabs>
        <w:tab w:val="center" w:pos="4153"/>
        <w:tab w:val="right" w:pos="8306"/>
      </w:tabs>
    </w:pPr>
  </w:style>
  <w:style w:type="character" w:customStyle="1" w:styleId="a4">
    <w:name w:val="כותרת עליונה תו"/>
    <w:link w:val="a3"/>
    <w:rsid w:val="001D227A"/>
    <w:rPr>
      <w:rFonts w:ascii="Times New Roman" w:eastAsia="Times New Roman" w:hAnsi="Times New Roman" w:cs="David"/>
      <w:sz w:val="24"/>
      <w:szCs w:val="24"/>
    </w:rPr>
  </w:style>
  <w:style w:type="paragraph" w:styleId="a5">
    <w:name w:val="footer"/>
    <w:basedOn w:val="a"/>
    <w:link w:val="a6"/>
    <w:rsid w:val="001D227A"/>
    <w:pPr>
      <w:tabs>
        <w:tab w:val="center" w:pos="4153"/>
        <w:tab w:val="right" w:pos="8306"/>
      </w:tabs>
    </w:pPr>
  </w:style>
  <w:style w:type="character" w:customStyle="1" w:styleId="a6">
    <w:name w:val="כותרת תחתונה תו"/>
    <w:link w:val="a5"/>
    <w:rsid w:val="001D227A"/>
    <w:rPr>
      <w:rFonts w:ascii="Times New Roman" w:eastAsia="Times New Roman" w:hAnsi="Times New Roman" w:cs="David"/>
      <w:sz w:val="24"/>
      <w:szCs w:val="24"/>
    </w:rPr>
  </w:style>
  <w:style w:type="table" w:styleId="a7">
    <w:name w:val="Table Grid"/>
    <w:basedOn w:val="a1"/>
    <w:rsid w:val="001D22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227A"/>
  </w:style>
  <w:style w:type="character" w:customStyle="1" w:styleId="a9">
    <w:name w:val="פיסקת רשימה תו"/>
    <w:link w:val="aa"/>
    <w:locked/>
    <w:rsid w:val="001D227A"/>
  </w:style>
  <w:style w:type="paragraph" w:styleId="aa">
    <w:name w:val="List Paragraph"/>
    <w:basedOn w:val="a"/>
    <w:link w:val="a9"/>
    <w:qFormat/>
    <w:rsid w:val="001D227A"/>
    <w:pPr>
      <w:spacing w:after="160" w:line="252" w:lineRule="auto"/>
      <w:ind w:left="720"/>
      <w:contextualSpacing/>
    </w:pPr>
    <w:rPr>
      <w:rFonts w:ascii="Calibri" w:eastAsia="Calibri" w:hAnsi="Calibri" w:cs="Arial"/>
      <w:sz w:val="22"/>
      <w:szCs w:val="22"/>
    </w:rPr>
  </w:style>
  <w:style w:type="character" w:customStyle="1" w:styleId="ListParagraphChar">
    <w:name w:val="List Paragraph Char"/>
    <w:link w:val="1"/>
    <w:locked/>
    <w:rsid w:val="001D227A"/>
    <w:rPr>
      <w:rFonts w:ascii="David" w:hAnsi="David" w:cs="David"/>
      <w:sz w:val="24"/>
    </w:rPr>
  </w:style>
  <w:style w:type="paragraph" w:customStyle="1" w:styleId="1">
    <w:name w:val="פיסקת רשימה1"/>
    <w:basedOn w:val="a"/>
    <w:link w:val="ListParagraphChar"/>
    <w:rsid w:val="001D227A"/>
    <w:pPr>
      <w:spacing w:after="160" w:line="360" w:lineRule="auto"/>
      <w:ind w:left="720" w:hanging="357"/>
      <w:contextualSpacing/>
      <w:jc w:val="both"/>
    </w:pPr>
    <w:rPr>
      <w:rFonts w:ascii="David" w:eastAsia="Calibri" w:hAnsi="David"/>
      <w:szCs w:val="22"/>
    </w:rPr>
  </w:style>
  <w:style w:type="character" w:styleId="Hyperlink">
    <w:name w:val="Hyperlink"/>
    <w:rsid w:val="00E57C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18053784"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71a.b"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71a.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5" TargetMode="External"/><Relationship Id="rId20" Type="http://schemas.openxmlformats.org/officeDocument/2006/relationships/hyperlink" Target="http://www.nevo.co.il/case/2893839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case/18118854"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810781"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087220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2177</Words>
  <Characters>10886</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13037</CharactersWithSpaces>
  <SharedDoc>false</SharedDoc>
  <HLinks>
    <vt:vector size="120"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3997813</vt:i4>
      </vt:variant>
      <vt:variant>
        <vt:i4>60</vt:i4>
      </vt:variant>
      <vt:variant>
        <vt:i4>0</vt:i4>
      </vt:variant>
      <vt:variant>
        <vt:i4>5</vt:i4>
      </vt:variant>
      <vt:variant>
        <vt:lpwstr>http://www.nevo.co.il/case/18118854</vt:lpwstr>
      </vt:variant>
      <vt:variant>
        <vt:lpwstr/>
      </vt:variant>
      <vt:variant>
        <vt:i4>3276916</vt:i4>
      </vt:variant>
      <vt:variant>
        <vt:i4>51</vt:i4>
      </vt:variant>
      <vt:variant>
        <vt:i4>0</vt:i4>
      </vt:variant>
      <vt:variant>
        <vt:i4>5</vt:i4>
      </vt:variant>
      <vt:variant>
        <vt:lpwstr>http://www.nevo.co.il/case/5810781</vt:lpwstr>
      </vt:variant>
      <vt:variant>
        <vt:lpwstr/>
      </vt:variant>
      <vt:variant>
        <vt:i4>7995492</vt:i4>
      </vt:variant>
      <vt:variant>
        <vt:i4>48</vt:i4>
      </vt:variant>
      <vt:variant>
        <vt:i4>0</vt:i4>
      </vt:variant>
      <vt:variant>
        <vt:i4>5</vt:i4>
      </vt:variant>
      <vt:variant>
        <vt:lpwstr>http://www.nevo.co.il/law/70301</vt:lpwstr>
      </vt:variant>
      <vt:variant>
        <vt:lpwstr/>
      </vt:variant>
      <vt:variant>
        <vt:i4>4849667</vt:i4>
      </vt:variant>
      <vt:variant>
        <vt:i4>45</vt:i4>
      </vt:variant>
      <vt:variant>
        <vt:i4>0</vt:i4>
      </vt:variant>
      <vt:variant>
        <vt:i4>5</vt:i4>
      </vt:variant>
      <vt:variant>
        <vt:lpwstr>http://www.nevo.co.il/law/70301/71a.b</vt:lpwstr>
      </vt:variant>
      <vt:variant>
        <vt:lpwstr/>
      </vt:variant>
      <vt:variant>
        <vt:i4>3801212</vt:i4>
      </vt:variant>
      <vt:variant>
        <vt:i4>39</vt:i4>
      </vt:variant>
      <vt:variant>
        <vt:i4>0</vt:i4>
      </vt:variant>
      <vt:variant>
        <vt:i4>5</vt:i4>
      </vt:variant>
      <vt:variant>
        <vt:lpwstr>http://www.nevo.co.il/case/28938393</vt:lpwstr>
      </vt:variant>
      <vt:variant>
        <vt:lpwstr/>
      </vt:variant>
      <vt:variant>
        <vt:i4>3670129</vt:i4>
      </vt:variant>
      <vt:variant>
        <vt:i4>36</vt:i4>
      </vt:variant>
      <vt:variant>
        <vt:i4>0</vt:i4>
      </vt:variant>
      <vt:variant>
        <vt:i4>5</vt:i4>
      </vt:variant>
      <vt:variant>
        <vt:lpwstr>http://www.nevo.co.il/case/20872208</vt:lpwstr>
      </vt:variant>
      <vt:variant>
        <vt:lpwstr/>
      </vt:variant>
      <vt:variant>
        <vt:i4>3801214</vt:i4>
      </vt:variant>
      <vt:variant>
        <vt:i4>33</vt:i4>
      </vt:variant>
      <vt:variant>
        <vt:i4>0</vt:i4>
      </vt:variant>
      <vt:variant>
        <vt:i4>5</vt:i4>
      </vt:variant>
      <vt:variant>
        <vt:lpwstr>http://www.nevo.co.il/case/18053784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4849667</vt:i4>
      </vt:variant>
      <vt:variant>
        <vt:i4>15</vt:i4>
      </vt:variant>
      <vt:variant>
        <vt:i4>0</vt:i4>
      </vt:variant>
      <vt:variant>
        <vt:i4>5</vt:i4>
      </vt:variant>
      <vt:variant>
        <vt:lpwstr>http://www.nevo.co.il/law/70301/71a.b</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2025-04-23T01:01:00Z</dcterms:created>
  <dcterms:modified xsi:type="dcterms:W3CDTF">2025-04-23T01:01:00Z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61792</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עלא זעבוט</vt:lpwstr>
  </property>
  <property fmtid="{D5CDD505-2E9C-101B-9397-08002B2CF9AE}" pid="10" name="LAWYER">
    <vt:lpwstr>רעות נתאי;יונס אבו עסא</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20230305</vt:lpwstr>
  </property>
  <property fmtid="{D5CDD505-2E9C-101B-9397-08002B2CF9AE}" pid="14" name="TYPE_N_DATE">
    <vt:lpwstr>38020230305</vt:lpwstr>
  </property>
  <property fmtid="{D5CDD505-2E9C-101B-9397-08002B2CF9AE}" pid="15" name="ISABSTRACT">
    <vt:lpwstr>Y</vt:lpwstr>
  </property>
  <property fmtid="{D5CDD505-2E9C-101B-9397-08002B2CF9AE}" pid="16" name="WORDNUMPAGES">
    <vt:lpwstr>8</vt:lpwstr>
  </property>
  <property fmtid="{D5CDD505-2E9C-101B-9397-08002B2CF9AE}" pid="17" name="TYPE_ABS_DATE">
    <vt:lpwstr>380020230305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18053784;20872208;28938393;5810781;18118854</vt:lpwstr>
  </property>
  <property fmtid="{D5CDD505-2E9C-101B-9397-08002B2CF9AE}" pid="36" name="LAWLISTTMP1">
    <vt:lpwstr>4216/013;019a</vt:lpwstr>
  </property>
  <property fmtid="{D5CDD505-2E9C-101B-9397-08002B2CF9AE}" pid="37" name="LAWLISTTMP2">
    <vt:lpwstr>70301/025;071a.b</vt:lpwstr>
  </property>
</Properties>
</file>