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A5C39" w:rsidRPr="00982E2B" w14:paraId="4053CAC4" w14:textId="77777777" w:rsidTr="008673AB">
        <w:trPr>
          <w:trHeight w:hRule="exact" w:val="418"/>
          <w:jc w:val="center"/>
        </w:trPr>
        <w:tc>
          <w:tcPr>
            <w:tcW w:w="8721" w:type="dxa"/>
            <w:gridSpan w:val="2"/>
          </w:tcPr>
          <w:p w14:paraId="3E619311" w14:textId="77777777" w:rsidR="00EA5C39" w:rsidRPr="00982E2B" w:rsidRDefault="00EA5C39" w:rsidP="005F1459">
            <w:pPr>
              <w:pStyle w:val="a3"/>
              <w:jc w:val="center"/>
              <w:rPr>
                <w:rFonts w:ascii="David" w:hAnsi="David"/>
                <w:color w:val="000080"/>
                <w:sz w:val="26"/>
                <w:szCs w:val="26"/>
                <w:rtl/>
              </w:rPr>
            </w:pPr>
            <w:bookmarkStart w:id="0" w:name="FirstLawyer"/>
            <w:bookmarkStart w:id="1" w:name="LastJudge"/>
            <w:r w:rsidRPr="00982E2B">
              <w:rPr>
                <w:rFonts w:ascii="David" w:hAnsi="David"/>
                <w:b/>
                <w:bCs/>
                <w:color w:val="000080"/>
                <w:sz w:val="26"/>
                <w:szCs w:val="26"/>
                <w:rtl/>
              </w:rPr>
              <w:t>בית משפט השלום בירושלים</w:t>
            </w:r>
          </w:p>
        </w:tc>
      </w:tr>
      <w:tr w:rsidR="00EA5C39" w:rsidRPr="00982E2B" w14:paraId="17E20DE5" w14:textId="77777777" w:rsidTr="008673AB">
        <w:trPr>
          <w:trHeight w:val="337"/>
          <w:jc w:val="center"/>
        </w:trPr>
        <w:tc>
          <w:tcPr>
            <w:tcW w:w="5054" w:type="dxa"/>
          </w:tcPr>
          <w:p w14:paraId="6996A801" w14:textId="77777777" w:rsidR="00EA5C39" w:rsidRPr="00982E2B" w:rsidRDefault="00EA5C39" w:rsidP="005F1459">
            <w:pPr>
              <w:rPr>
                <w:rFonts w:ascii="David" w:hAnsi="David"/>
                <w:b/>
                <w:bCs/>
                <w:sz w:val="26"/>
                <w:szCs w:val="26"/>
                <w:rtl/>
              </w:rPr>
            </w:pPr>
            <w:r w:rsidRPr="00982E2B">
              <w:rPr>
                <w:rFonts w:ascii="David" w:hAnsi="David"/>
                <w:b/>
                <w:bCs/>
                <w:sz w:val="26"/>
                <w:szCs w:val="26"/>
                <w:rtl/>
              </w:rPr>
              <w:t>ת"פ 62814-04-21 מדינת ישראל נ' שלום</w:t>
            </w:r>
          </w:p>
          <w:p w14:paraId="53B8104B" w14:textId="77777777" w:rsidR="00EA5C39" w:rsidRPr="00982E2B" w:rsidRDefault="00EA5C39" w:rsidP="005F1459">
            <w:pPr>
              <w:pStyle w:val="a3"/>
              <w:rPr>
                <w:rFonts w:ascii="David" w:hAnsi="David"/>
                <w:sz w:val="26"/>
                <w:szCs w:val="26"/>
                <w:rtl/>
              </w:rPr>
            </w:pPr>
          </w:p>
        </w:tc>
        <w:tc>
          <w:tcPr>
            <w:tcW w:w="3667" w:type="dxa"/>
          </w:tcPr>
          <w:p w14:paraId="5755F698" w14:textId="77777777" w:rsidR="00EA5C39" w:rsidRPr="00982E2B" w:rsidRDefault="00EA5C39" w:rsidP="005F1459">
            <w:pPr>
              <w:pStyle w:val="a3"/>
              <w:jc w:val="right"/>
              <w:rPr>
                <w:rFonts w:ascii="David" w:hAnsi="David"/>
                <w:sz w:val="26"/>
                <w:szCs w:val="26"/>
                <w:rtl/>
              </w:rPr>
            </w:pPr>
          </w:p>
        </w:tc>
      </w:tr>
    </w:tbl>
    <w:p w14:paraId="563BDA83" w14:textId="77777777" w:rsidR="00EA5C39" w:rsidRPr="00982E2B" w:rsidRDefault="00EA5C39" w:rsidP="00EA5C39">
      <w:pPr>
        <w:pStyle w:val="a3"/>
        <w:rPr>
          <w:rtl/>
        </w:rPr>
      </w:pPr>
      <w:r w:rsidRPr="00982E2B">
        <w:rPr>
          <w:rFonts w:hint="cs"/>
          <w:rtl/>
        </w:rPr>
        <w:t xml:space="preserve"> </w:t>
      </w:r>
    </w:p>
    <w:p w14:paraId="513AC900" w14:textId="77777777" w:rsidR="00EA5C39" w:rsidRPr="00982E2B" w:rsidRDefault="00EA5C39" w:rsidP="00EA5C39">
      <w:pPr>
        <w:rPr>
          <w:rtl/>
        </w:rPr>
      </w:pPr>
    </w:p>
    <w:p w14:paraId="573DF70A" w14:textId="77777777" w:rsidR="00EA5C39" w:rsidRPr="00982E2B" w:rsidRDefault="00EA5C39" w:rsidP="00EA5C3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3211"/>
        <w:gridCol w:w="4664"/>
      </w:tblGrid>
      <w:tr w:rsidR="00EA5C39" w:rsidRPr="00982E2B" w14:paraId="777190D3" w14:textId="77777777" w:rsidTr="008673AB">
        <w:trPr>
          <w:trHeight w:val="295"/>
          <w:jc w:val="center"/>
        </w:trPr>
        <w:tc>
          <w:tcPr>
            <w:tcW w:w="945" w:type="dxa"/>
            <w:tcBorders>
              <w:top w:val="nil"/>
              <w:left w:val="nil"/>
              <w:bottom w:val="nil"/>
              <w:right w:val="nil"/>
            </w:tcBorders>
            <w:shd w:val="clear" w:color="auto" w:fill="auto"/>
          </w:tcPr>
          <w:p w14:paraId="7F3B2600" w14:textId="77777777" w:rsidR="00EA5C39" w:rsidRPr="00982E2B" w:rsidRDefault="00EA5C39" w:rsidP="00EA5C39">
            <w:pPr>
              <w:jc w:val="both"/>
              <w:rPr>
                <w:rFonts w:ascii="David" w:hAnsi="David"/>
                <w:b/>
                <w:bCs/>
                <w:sz w:val="28"/>
                <w:szCs w:val="28"/>
              </w:rPr>
            </w:pPr>
            <w:r w:rsidRPr="00982E2B">
              <w:rPr>
                <w:rFonts w:ascii="David" w:hAnsi="David" w:hint="cs"/>
                <w:b/>
                <w:bCs/>
                <w:sz w:val="28"/>
                <w:szCs w:val="28"/>
                <w:rtl/>
              </w:rPr>
              <w:t>ל</w:t>
            </w:r>
            <w:r w:rsidRPr="00982E2B">
              <w:rPr>
                <w:rFonts w:ascii="David" w:hAnsi="David"/>
                <w:b/>
                <w:bCs/>
                <w:sz w:val="28"/>
                <w:szCs w:val="28"/>
                <w:rtl/>
              </w:rPr>
              <w:t xml:space="preserve">פני </w:t>
            </w:r>
          </w:p>
        </w:tc>
        <w:tc>
          <w:tcPr>
            <w:tcW w:w="7875" w:type="dxa"/>
            <w:gridSpan w:val="2"/>
            <w:tcBorders>
              <w:top w:val="nil"/>
              <w:left w:val="nil"/>
              <w:bottom w:val="nil"/>
              <w:right w:val="nil"/>
            </w:tcBorders>
            <w:shd w:val="clear" w:color="auto" w:fill="auto"/>
          </w:tcPr>
          <w:p w14:paraId="1B2DD95F" w14:textId="77777777" w:rsidR="00EA5C39" w:rsidRPr="00982E2B" w:rsidRDefault="00EA5C39" w:rsidP="005F1459">
            <w:pPr>
              <w:rPr>
                <w:rFonts w:ascii="David" w:hAnsi="David"/>
                <w:b/>
                <w:bCs/>
                <w:sz w:val="28"/>
                <w:szCs w:val="28"/>
                <w:rtl/>
              </w:rPr>
            </w:pPr>
            <w:r w:rsidRPr="00982E2B">
              <w:rPr>
                <w:rFonts w:ascii="David" w:hAnsi="David"/>
                <w:b/>
                <w:bCs/>
                <w:sz w:val="28"/>
                <w:szCs w:val="28"/>
                <w:rtl/>
              </w:rPr>
              <w:t>כבוד השופט  דוד שאול גבאי ריכטר</w:t>
            </w:r>
          </w:p>
          <w:p w14:paraId="48F8BF4B" w14:textId="77777777" w:rsidR="00EA5C39" w:rsidRPr="00982E2B" w:rsidRDefault="00EA5C39" w:rsidP="005F1459">
            <w:pPr>
              <w:rPr>
                <w:rFonts w:ascii="David" w:hAnsi="David"/>
                <w:b/>
                <w:bCs/>
                <w:sz w:val="28"/>
                <w:szCs w:val="28"/>
                <w:rtl/>
              </w:rPr>
            </w:pPr>
          </w:p>
          <w:p w14:paraId="09CF796A" w14:textId="77777777" w:rsidR="00EA5C39" w:rsidRPr="00982E2B" w:rsidRDefault="00EA5C39" w:rsidP="00EA5C39">
            <w:pPr>
              <w:jc w:val="both"/>
              <w:rPr>
                <w:rFonts w:ascii="David" w:hAnsi="David"/>
                <w:b/>
                <w:bCs/>
                <w:sz w:val="28"/>
                <w:szCs w:val="28"/>
              </w:rPr>
            </w:pPr>
          </w:p>
        </w:tc>
      </w:tr>
      <w:tr w:rsidR="00EA5C39" w:rsidRPr="00982E2B" w14:paraId="1C14E6E8" w14:textId="77777777" w:rsidTr="008673AB">
        <w:trPr>
          <w:trHeight w:val="355"/>
          <w:jc w:val="center"/>
        </w:trPr>
        <w:tc>
          <w:tcPr>
            <w:tcW w:w="945" w:type="dxa"/>
            <w:tcBorders>
              <w:top w:val="nil"/>
              <w:left w:val="nil"/>
              <w:bottom w:val="nil"/>
              <w:right w:val="nil"/>
            </w:tcBorders>
            <w:shd w:val="clear" w:color="auto" w:fill="auto"/>
          </w:tcPr>
          <w:p w14:paraId="5ACDED21" w14:textId="77777777" w:rsidR="00EA5C39" w:rsidRPr="00982E2B" w:rsidRDefault="00EA5C39" w:rsidP="00EA5C39">
            <w:pPr>
              <w:jc w:val="both"/>
              <w:rPr>
                <w:rFonts w:ascii="David" w:hAnsi="David"/>
                <w:b/>
                <w:bCs/>
                <w:sz w:val="28"/>
                <w:szCs w:val="28"/>
              </w:rPr>
            </w:pPr>
            <w:bookmarkStart w:id="2" w:name="FirstAppellant"/>
            <w:r w:rsidRPr="00982E2B">
              <w:rPr>
                <w:rFonts w:ascii="David" w:hAnsi="David"/>
                <w:b/>
                <w:bCs/>
                <w:sz w:val="28"/>
                <w:szCs w:val="28"/>
                <w:rtl/>
              </w:rPr>
              <w:t>בעניין:</w:t>
            </w:r>
          </w:p>
        </w:tc>
        <w:tc>
          <w:tcPr>
            <w:tcW w:w="3211" w:type="dxa"/>
            <w:tcBorders>
              <w:top w:val="nil"/>
              <w:left w:val="nil"/>
              <w:bottom w:val="nil"/>
              <w:right w:val="nil"/>
            </w:tcBorders>
            <w:shd w:val="clear" w:color="auto" w:fill="auto"/>
          </w:tcPr>
          <w:p w14:paraId="290EFC35" w14:textId="77777777" w:rsidR="00EA5C39" w:rsidRPr="00982E2B" w:rsidRDefault="00EA5C39" w:rsidP="00EA5C39">
            <w:pPr>
              <w:suppressLineNumbers/>
              <w:rPr>
                <w:rFonts w:ascii="David" w:hAnsi="David"/>
                <w:b/>
                <w:bCs/>
                <w:sz w:val="28"/>
                <w:szCs w:val="28"/>
              </w:rPr>
            </w:pPr>
            <w:r w:rsidRPr="00982E2B">
              <w:rPr>
                <w:rFonts w:ascii="David" w:hAnsi="David"/>
                <w:b/>
                <w:bCs/>
                <w:sz w:val="28"/>
                <w:szCs w:val="28"/>
                <w:rtl/>
              </w:rPr>
              <w:t>המאשימה</w:t>
            </w:r>
          </w:p>
          <w:p w14:paraId="3EEE4257" w14:textId="77777777" w:rsidR="00EA5C39" w:rsidRPr="00982E2B" w:rsidRDefault="00EA5C39" w:rsidP="005F1459">
            <w:pPr>
              <w:rPr>
                <w:rFonts w:ascii="David" w:hAnsi="David"/>
                <w:b/>
                <w:bCs/>
                <w:sz w:val="28"/>
                <w:szCs w:val="28"/>
              </w:rPr>
            </w:pPr>
          </w:p>
        </w:tc>
        <w:tc>
          <w:tcPr>
            <w:tcW w:w="4664" w:type="dxa"/>
            <w:tcBorders>
              <w:top w:val="nil"/>
              <w:left w:val="nil"/>
              <w:bottom w:val="nil"/>
              <w:right w:val="nil"/>
            </w:tcBorders>
            <w:shd w:val="clear" w:color="auto" w:fill="auto"/>
            <w:vAlign w:val="center"/>
          </w:tcPr>
          <w:p w14:paraId="5573C936" w14:textId="77777777" w:rsidR="00EA5C39" w:rsidRPr="00982E2B" w:rsidRDefault="00EA5C39" w:rsidP="00EA5C39">
            <w:pPr>
              <w:suppressLineNumbers/>
              <w:rPr>
                <w:rFonts w:ascii="David" w:hAnsi="David"/>
                <w:b/>
                <w:bCs/>
                <w:sz w:val="28"/>
                <w:szCs w:val="28"/>
              </w:rPr>
            </w:pPr>
            <w:r w:rsidRPr="00982E2B">
              <w:rPr>
                <w:rFonts w:ascii="David" w:hAnsi="David"/>
                <w:b/>
                <w:bCs/>
                <w:sz w:val="28"/>
                <w:szCs w:val="28"/>
                <w:rtl/>
              </w:rPr>
              <w:t>מדינת ישראל</w:t>
            </w:r>
            <w:r w:rsidRPr="00982E2B">
              <w:rPr>
                <w:rFonts w:ascii="David" w:hAnsi="David"/>
                <w:b/>
                <w:bCs/>
                <w:sz w:val="28"/>
                <w:szCs w:val="28"/>
                <w:rtl/>
              </w:rPr>
              <w:br/>
              <w:t>ע"י</w:t>
            </w:r>
            <w:r w:rsidRPr="00982E2B">
              <w:rPr>
                <w:rFonts w:ascii="David" w:hAnsi="David" w:hint="cs"/>
                <w:b/>
                <w:bCs/>
                <w:sz w:val="28"/>
                <w:szCs w:val="28"/>
                <w:rtl/>
              </w:rPr>
              <w:t xml:space="preserve"> ב"כ מתמחה פיני סרי לוי, מ</w:t>
            </w:r>
            <w:r w:rsidRPr="00982E2B">
              <w:rPr>
                <w:rFonts w:ascii="David" w:hAnsi="David"/>
                <w:b/>
                <w:bCs/>
                <w:sz w:val="28"/>
                <w:szCs w:val="28"/>
                <w:rtl/>
              </w:rPr>
              <w:t>תביעות ירושלים</w:t>
            </w:r>
          </w:p>
          <w:p w14:paraId="55FB1301" w14:textId="77777777" w:rsidR="00EA5C39" w:rsidRPr="00982E2B" w:rsidRDefault="00EA5C39" w:rsidP="005F1459">
            <w:pPr>
              <w:rPr>
                <w:rFonts w:ascii="David" w:hAnsi="David"/>
                <w:b/>
                <w:bCs/>
                <w:sz w:val="28"/>
                <w:szCs w:val="28"/>
              </w:rPr>
            </w:pPr>
          </w:p>
        </w:tc>
      </w:tr>
      <w:bookmarkEnd w:id="2"/>
      <w:tr w:rsidR="00EA5C39" w:rsidRPr="00982E2B" w14:paraId="6E3F2484" w14:textId="77777777" w:rsidTr="008673AB">
        <w:trPr>
          <w:trHeight w:val="355"/>
          <w:jc w:val="center"/>
        </w:trPr>
        <w:tc>
          <w:tcPr>
            <w:tcW w:w="945" w:type="dxa"/>
            <w:tcBorders>
              <w:top w:val="nil"/>
              <w:left w:val="nil"/>
              <w:bottom w:val="nil"/>
              <w:right w:val="nil"/>
            </w:tcBorders>
            <w:shd w:val="clear" w:color="auto" w:fill="auto"/>
          </w:tcPr>
          <w:p w14:paraId="68EB0814" w14:textId="77777777" w:rsidR="00EA5C39" w:rsidRPr="00982E2B" w:rsidRDefault="00EA5C39" w:rsidP="00EA5C39">
            <w:pPr>
              <w:jc w:val="both"/>
              <w:rPr>
                <w:rFonts w:ascii="David" w:hAnsi="David"/>
                <w:b/>
                <w:bCs/>
                <w:sz w:val="28"/>
                <w:szCs w:val="28"/>
                <w:rtl/>
              </w:rPr>
            </w:pPr>
          </w:p>
        </w:tc>
        <w:tc>
          <w:tcPr>
            <w:tcW w:w="7875" w:type="dxa"/>
            <w:gridSpan w:val="2"/>
            <w:tcBorders>
              <w:top w:val="nil"/>
              <w:left w:val="nil"/>
              <w:bottom w:val="nil"/>
              <w:right w:val="nil"/>
            </w:tcBorders>
            <w:shd w:val="clear" w:color="auto" w:fill="auto"/>
          </w:tcPr>
          <w:p w14:paraId="1BA1D124" w14:textId="77777777" w:rsidR="00EA5C39" w:rsidRPr="00982E2B" w:rsidRDefault="00EA5C39" w:rsidP="00EA5C39">
            <w:pPr>
              <w:jc w:val="center"/>
              <w:rPr>
                <w:rFonts w:ascii="David" w:hAnsi="David"/>
                <w:b/>
                <w:bCs/>
                <w:sz w:val="28"/>
                <w:szCs w:val="28"/>
                <w:rtl/>
              </w:rPr>
            </w:pPr>
          </w:p>
          <w:p w14:paraId="29E11ECE" w14:textId="77777777" w:rsidR="00EA5C39" w:rsidRPr="00982E2B" w:rsidRDefault="00EA5C39" w:rsidP="00EA5C39">
            <w:pPr>
              <w:jc w:val="center"/>
              <w:rPr>
                <w:rFonts w:ascii="David" w:hAnsi="David"/>
                <w:b/>
                <w:bCs/>
                <w:sz w:val="28"/>
                <w:szCs w:val="28"/>
                <w:rtl/>
              </w:rPr>
            </w:pPr>
            <w:r w:rsidRPr="00982E2B">
              <w:rPr>
                <w:rFonts w:ascii="David" w:hAnsi="David"/>
                <w:b/>
                <w:bCs/>
                <w:sz w:val="28"/>
                <w:szCs w:val="28"/>
                <w:rtl/>
              </w:rPr>
              <w:t>נגד</w:t>
            </w:r>
          </w:p>
          <w:p w14:paraId="3C679EAD" w14:textId="77777777" w:rsidR="00EA5C39" w:rsidRPr="00982E2B" w:rsidRDefault="00EA5C39" w:rsidP="00EA5C39">
            <w:pPr>
              <w:jc w:val="both"/>
              <w:rPr>
                <w:rFonts w:ascii="David" w:hAnsi="David"/>
                <w:b/>
                <w:bCs/>
                <w:sz w:val="28"/>
                <w:szCs w:val="28"/>
              </w:rPr>
            </w:pPr>
          </w:p>
        </w:tc>
      </w:tr>
      <w:tr w:rsidR="00EA5C39" w:rsidRPr="00982E2B" w14:paraId="120B6759" w14:textId="77777777" w:rsidTr="008673AB">
        <w:trPr>
          <w:trHeight w:val="355"/>
          <w:jc w:val="center"/>
        </w:trPr>
        <w:tc>
          <w:tcPr>
            <w:tcW w:w="945" w:type="dxa"/>
            <w:tcBorders>
              <w:top w:val="nil"/>
              <w:left w:val="nil"/>
              <w:bottom w:val="nil"/>
              <w:right w:val="nil"/>
            </w:tcBorders>
            <w:shd w:val="clear" w:color="auto" w:fill="auto"/>
          </w:tcPr>
          <w:p w14:paraId="0768DBB6" w14:textId="77777777" w:rsidR="00EA5C39" w:rsidRPr="00982E2B" w:rsidRDefault="00EA5C39" w:rsidP="005F1459">
            <w:pPr>
              <w:rPr>
                <w:rFonts w:ascii="David" w:hAnsi="David"/>
                <w:b/>
                <w:bCs/>
                <w:sz w:val="28"/>
                <w:szCs w:val="28"/>
                <w:rtl/>
              </w:rPr>
            </w:pPr>
          </w:p>
        </w:tc>
        <w:tc>
          <w:tcPr>
            <w:tcW w:w="3211" w:type="dxa"/>
            <w:tcBorders>
              <w:top w:val="nil"/>
              <w:left w:val="nil"/>
              <w:bottom w:val="nil"/>
              <w:right w:val="nil"/>
            </w:tcBorders>
            <w:shd w:val="clear" w:color="auto" w:fill="auto"/>
          </w:tcPr>
          <w:p w14:paraId="5CC17D0D" w14:textId="77777777" w:rsidR="00EA5C39" w:rsidRPr="00982E2B" w:rsidRDefault="00EA5C39" w:rsidP="005F1459">
            <w:pPr>
              <w:rPr>
                <w:rFonts w:ascii="David" w:hAnsi="David"/>
                <w:b/>
                <w:bCs/>
                <w:sz w:val="28"/>
                <w:szCs w:val="28"/>
                <w:rtl/>
              </w:rPr>
            </w:pPr>
            <w:r w:rsidRPr="00982E2B">
              <w:rPr>
                <w:rFonts w:ascii="David" w:hAnsi="David"/>
                <w:b/>
                <w:bCs/>
                <w:sz w:val="28"/>
                <w:szCs w:val="28"/>
                <w:rtl/>
              </w:rPr>
              <w:t>הנאשם</w:t>
            </w:r>
          </w:p>
        </w:tc>
        <w:tc>
          <w:tcPr>
            <w:tcW w:w="4664" w:type="dxa"/>
            <w:tcBorders>
              <w:top w:val="nil"/>
              <w:left w:val="nil"/>
              <w:bottom w:val="nil"/>
              <w:right w:val="nil"/>
            </w:tcBorders>
            <w:shd w:val="clear" w:color="auto" w:fill="auto"/>
            <w:vAlign w:val="center"/>
          </w:tcPr>
          <w:p w14:paraId="05E754D0" w14:textId="77777777" w:rsidR="00EA5C39" w:rsidRPr="00982E2B" w:rsidRDefault="00EA5C39" w:rsidP="00EA5C39">
            <w:pPr>
              <w:suppressLineNumbers/>
              <w:rPr>
                <w:rFonts w:ascii="David" w:hAnsi="David"/>
                <w:b/>
                <w:bCs/>
                <w:sz w:val="28"/>
                <w:szCs w:val="28"/>
              </w:rPr>
            </w:pPr>
            <w:r w:rsidRPr="00982E2B">
              <w:rPr>
                <w:rFonts w:ascii="David" w:hAnsi="David"/>
                <w:b/>
                <w:bCs/>
                <w:sz w:val="28"/>
                <w:szCs w:val="28"/>
                <w:rtl/>
              </w:rPr>
              <w:t xml:space="preserve">אברהם יחזקאל שלום </w:t>
            </w:r>
            <w:r w:rsidRPr="00982E2B">
              <w:rPr>
                <w:rFonts w:ascii="David" w:hAnsi="David"/>
                <w:b/>
                <w:bCs/>
                <w:sz w:val="28"/>
                <w:szCs w:val="28"/>
                <w:rtl/>
              </w:rPr>
              <w:br/>
              <w:t>ע"י ב"כ עוה"ד עידן גמליאלי</w:t>
            </w:r>
            <w:r w:rsidRPr="00982E2B">
              <w:rPr>
                <w:rFonts w:ascii="David" w:hAnsi="David"/>
                <w:b/>
                <w:bCs/>
                <w:sz w:val="28"/>
                <w:szCs w:val="28"/>
                <w:rtl/>
              </w:rPr>
              <w:br/>
            </w:r>
            <w:r w:rsidRPr="00982E2B">
              <w:rPr>
                <w:rFonts w:ascii="David" w:hAnsi="David" w:hint="cs"/>
                <w:b/>
                <w:bCs/>
                <w:sz w:val="28"/>
                <w:szCs w:val="28"/>
                <w:rtl/>
              </w:rPr>
              <w:t>מטעם הסניגוריה הציבורית</w:t>
            </w:r>
          </w:p>
          <w:p w14:paraId="16AD510F" w14:textId="77777777" w:rsidR="00EA5C39" w:rsidRPr="00982E2B" w:rsidRDefault="00EA5C39" w:rsidP="005F1459">
            <w:pPr>
              <w:rPr>
                <w:rFonts w:ascii="David" w:hAnsi="David"/>
                <w:b/>
                <w:bCs/>
                <w:sz w:val="28"/>
                <w:szCs w:val="28"/>
              </w:rPr>
            </w:pPr>
          </w:p>
        </w:tc>
      </w:tr>
    </w:tbl>
    <w:p w14:paraId="5A886BF7" w14:textId="77777777" w:rsidR="00982E2B" w:rsidRPr="00982E2B" w:rsidRDefault="00982E2B" w:rsidP="00982E2B">
      <w:pPr>
        <w:spacing w:before="120" w:after="120" w:line="240" w:lineRule="exact"/>
        <w:ind w:left="283" w:hanging="283"/>
        <w:jc w:val="both"/>
        <w:rPr>
          <w:rFonts w:ascii="FrankRuehl" w:hAnsi="FrankRuehl" w:cs="FrankRuehl"/>
          <w:rtl/>
        </w:rPr>
      </w:pPr>
    </w:p>
    <w:p w14:paraId="3EA2CA22" w14:textId="77777777" w:rsidR="000B65A6" w:rsidRPr="000B65A6" w:rsidRDefault="000B65A6" w:rsidP="000B65A6">
      <w:pPr>
        <w:spacing w:before="120" w:after="120" w:line="240" w:lineRule="exact"/>
        <w:ind w:left="283" w:hanging="283"/>
        <w:jc w:val="both"/>
        <w:rPr>
          <w:rFonts w:ascii="FrankRuehl" w:hAnsi="FrankRuehl" w:cs="FrankRuehl"/>
          <w:rtl/>
        </w:rPr>
      </w:pPr>
    </w:p>
    <w:p w14:paraId="0631474F" w14:textId="77777777" w:rsidR="004417AE" w:rsidRDefault="004417AE" w:rsidP="004417AE">
      <w:pPr>
        <w:rPr>
          <w:rtl/>
        </w:rPr>
      </w:pPr>
      <w:bookmarkStart w:id="3" w:name="LawTable"/>
      <w:bookmarkEnd w:id="3"/>
    </w:p>
    <w:p w14:paraId="2B8943B8" w14:textId="77777777" w:rsidR="004417AE" w:rsidRPr="004417AE" w:rsidRDefault="004417AE" w:rsidP="004417AE">
      <w:pPr>
        <w:spacing w:before="120" w:after="120" w:line="240" w:lineRule="exact"/>
        <w:ind w:left="283" w:hanging="283"/>
        <w:jc w:val="both"/>
        <w:rPr>
          <w:rFonts w:ascii="FrankRuehl" w:hAnsi="FrankRuehl" w:cs="FrankRuehl"/>
          <w:rtl/>
        </w:rPr>
      </w:pPr>
    </w:p>
    <w:p w14:paraId="4BF7AF27" w14:textId="77777777" w:rsidR="004417AE" w:rsidRPr="004417AE" w:rsidRDefault="004417AE" w:rsidP="004417AE">
      <w:pPr>
        <w:spacing w:before="120" w:after="120" w:line="240" w:lineRule="exact"/>
        <w:ind w:left="283" w:hanging="283"/>
        <w:jc w:val="both"/>
        <w:rPr>
          <w:rFonts w:ascii="FrankRuehl" w:hAnsi="FrankRuehl" w:cs="FrankRuehl"/>
          <w:rtl/>
        </w:rPr>
      </w:pPr>
    </w:p>
    <w:p w14:paraId="780745AE" w14:textId="77777777" w:rsidR="004417AE" w:rsidRPr="004417AE" w:rsidRDefault="004417AE" w:rsidP="004417AE">
      <w:pPr>
        <w:spacing w:before="120" w:after="120" w:line="240" w:lineRule="exact"/>
        <w:ind w:left="283" w:hanging="283"/>
        <w:jc w:val="both"/>
        <w:rPr>
          <w:rFonts w:ascii="FrankRuehl" w:hAnsi="FrankRuehl" w:cs="FrankRuehl"/>
          <w:rtl/>
        </w:rPr>
      </w:pPr>
      <w:r w:rsidRPr="004417AE">
        <w:rPr>
          <w:rFonts w:ascii="FrankRuehl" w:hAnsi="FrankRuehl" w:cs="FrankRuehl"/>
          <w:rtl/>
        </w:rPr>
        <w:t xml:space="preserve">חקיקה שאוזכרה: </w:t>
      </w:r>
    </w:p>
    <w:p w14:paraId="4A090E3C" w14:textId="77777777" w:rsidR="004417AE" w:rsidRPr="004417AE" w:rsidRDefault="004417AE" w:rsidP="004417AE">
      <w:pPr>
        <w:spacing w:before="120" w:after="120" w:line="240" w:lineRule="exact"/>
        <w:ind w:left="283" w:hanging="283"/>
        <w:jc w:val="both"/>
        <w:rPr>
          <w:rFonts w:ascii="FrankRuehl" w:hAnsi="FrankRuehl" w:cs="FrankRuehl"/>
          <w:rtl/>
        </w:rPr>
      </w:pPr>
      <w:hyperlink r:id="rId7" w:history="1">
        <w:r w:rsidRPr="004417AE">
          <w:rPr>
            <w:rFonts w:ascii="FrankRuehl" w:hAnsi="FrankRuehl" w:cs="FrankRuehl"/>
            <w:color w:val="0000FF"/>
            <w:rtl/>
          </w:rPr>
          <w:t>פקודת הסמים המסוכנים [נוסח חדש], תשל"ג-1973</w:t>
        </w:r>
      </w:hyperlink>
      <w:r w:rsidRPr="004417AE">
        <w:rPr>
          <w:rFonts w:ascii="FrankRuehl" w:hAnsi="FrankRuehl" w:cs="FrankRuehl"/>
          <w:rtl/>
        </w:rPr>
        <w:t xml:space="preserve">: סע'  </w:t>
      </w:r>
      <w:hyperlink r:id="rId8" w:history="1">
        <w:r w:rsidRPr="004417AE">
          <w:rPr>
            <w:rFonts w:ascii="FrankRuehl" w:hAnsi="FrankRuehl" w:cs="FrankRuehl"/>
            <w:color w:val="0000FF"/>
            <w:rtl/>
          </w:rPr>
          <w:t>7(א)</w:t>
        </w:r>
      </w:hyperlink>
      <w:r w:rsidRPr="004417AE">
        <w:rPr>
          <w:rFonts w:ascii="FrankRuehl" w:hAnsi="FrankRuehl" w:cs="FrankRuehl"/>
          <w:rtl/>
        </w:rPr>
        <w:t xml:space="preserve">, </w:t>
      </w:r>
      <w:hyperlink r:id="rId9" w:history="1">
        <w:r w:rsidRPr="004417AE">
          <w:rPr>
            <w:rFonts w:ascii="FrankRuehl" w:hAnsi="FrankRuehl" w:cs="FrankRuehl"/>
            <w:color w:val="0000FF"/>
            <w:rtl/>
          </w:rPr>
          <w:t>7(ג)</w:t>
        </w:r>
      </w:hyperlink>
      <w:r w:rsidRPr="004417AE">
        <w:rPr>
          <w:rFonts w:ascii="FrankRuehl" w:hAnsi="FrankRuehl" w:cs="FrankRuehl"/>
          <w:rtl/>
        </w:rPr>
        <w:t xml:space="preserve">, </w:t>
      </w:r>
      <w:hyperlink r:id="rId10" w:history="1">
        <w:r w:rsidRPr="004417AE">
          <w:rPr>
            <w:rFonts w:ascii="FrankRuehl" w:hAnsi="FrankRuehl" w:cs="FrankRuehl"/>
            <w:color w:val="0000FF"/>
            <w:rtl/>
          </w:rPr>
          <w:t>10</w:t>
        </w:r>
      </w:hyperlink>
      <w:r w:rsidRPr="004417AE">
        <w:rPr>
          <w:rFonts w:ascii="FrankRuehl" w:hAnsi="FrankRuehl" w:cs="FrankRuehl"/>
          <w:rtl/>
        </w:rPr>
        <w:t xml:space="preserve">, </w:t>
      </w:r>
      <w:hyperlink r:id="rId11" w:history="1">
        <w:r w:rsidRPr="004417AE">
          <w:rPr>
            <w:rFonts w:ascii="FrankRuehl" w:hAnsi="FrankRuehl" w:cs="FrankRuehl"/>
            <w:color w:val="0000FF"/>
            <w:rtl/>
          </w:rPr>
          <w:t>13</w:t>
        </w:r>
      </w:hyperlink>
      <w:r w:rsidRPr="004417AE">
        <w:rPr>
          <w:rFonts w:ascii="FrankRuehl" w:hAnsi="FrankRuehl" w:cs="FrankRuehl"/>
          <w:rtl/>
        </w:rPr>
        <w:t xml:space="preserve">, </w:t>
      </w:r>
      <w:hyperlink r:id="rId12" w:history="1">
        <w:r w:rsidRPr="004417AE">
          <w:rPr>
            <w:rFonts w:ascii="FrankRuehl" w:hAnsi="FrankRuehl" w:cs="FrankRuehl"/>
            <w:color w:val="0000FF"/>
            <w:rtl/>
          </w:rPr>
          <w:t>19א</w:t>
        </w:r>
      </w:hyperlink>
    </w:p>
    <w:p w14:paraId="5873EE89" w14:textId="77777777" w:rsidR="004417AE" w:rsidRPr="004417AE" w:rsidRDefault="004417AE" w:rsidP="004417AE">
      <w:pPr>
        <w:rPr>
          <w:rtl/>
        </w:rPr>
      </w:pPr>
      <w:bookmarkStart w:id="4" w:name="LawTable_End"/>
      <w:bookmarkEnd w:id="4"/>
    </w:p>
    <w:p w14:paraId="7292D655" w14:textId="77777777" w:rsidR="00EA5C39" w:rsidRPr="000B65A6" w:rsidRDefault="00EA5C39" w:rsidP="000B65A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A5C39" w14:paraId="1902DE13" w14:textId="77777777" w:rsidTr="00EA5C39">
        <w:trPr>
          <w:trHeight w:val="355"/>
          <w:jc w:val="center"/>
        </w:trPr>
        <w:tc>
          <w:tcPr>
            <w:tcW w:w="8820" w:type="dxa"/>
            <w:tcBorders>
              <w:top w:val="nil"/>
              <w:left w:val="nil"/>
              <w:bottom w:val="nil"/>
              <w:right w:val="nil"/>
            </w:tcBorders>
            <w:shd w:val="clear" w:color="auto" w:fill="auto"/>
          </w:tcPr>
          <w:p w14:paraId="06356F8C" w14:textId="77777777" w:rsidR="00982E2B" w:rsidRPr="00982E2B" w:rsidRDefault="00982E2B" w:rsidP="00982E2B">
            <w:pPr>
              <w:jc w:val="center"/>
              <w:rPr>
                <w:rFonts w:ascii="David" w:hAnsi="David"/>
                <w:b/>
                <w:bCs/>
                <w:sz w:val="36"/>
                <w:szCs w:val="36"/>
                <w:u w:val="single"/>
                <w:rtl/>
              </w:rPr>
            </w:pPr>
            <w:bookmarkStart w:id="5" w:name="PsakDin" w:colFirst="0" w:colLast="0"/>
            <w:bookmarkEnd w:id="0"/>
            <w:bookmarkEnd w:id="1"/>
            <w:r w:rsidRPr="00982E2B">
              <w:rPr>
                <w:rFonts w:ascii="David" w:hAnsi="David"/>
                <w:b/>
                <w:bCs/>
                <w:sz w:val="36"/>
                <w:szCs w:val="36"/>
                <w:u w:val="single"/>
                <w:rtl/>
              </w:rPr>
              <w:t>גזר דין</w:t>
            </w:r>
          </w:p>
          <w:p w14:paraId="4B04FA4B" w14:textId="77777777" w:rsidR="00EA5C39" w:rsidRPr="00982E2B" w:rsidRDefault="00EA5C39" w:rsidP="00982E2B">
            <w:pPr>
              <w:jc w:val="center"/>
              <w:rPr>
                <w:rFonts w:ascii="David" w:hAnsi="David"/>
                <w:bCs/>
                <w:sz w:val="32"/>
                <w:szCs w:val="32"/>
                <w:u w:val="single"/>
              </w:rPr>
            </w:pPr>
          </w:p>
        </w:tc>
      </w:tr>
      <w:bookmarkEnd w:id="5"/>
    </w:tbl>
    <w:p w14:paraId="1E0E35AD" w14:textId="77777777" w:rsidR="00EA5C39" w:rsidRDefault="00EA5C39" w:rsidP="00EA5C39">
      <w:pPr>
        <w:rPr>
          <w:rFonts w:ascii="Arial" w:hAnsi="Arial"/>
          <w:rtl/>
        </w:rPr>
      </w:pPr>
    </w:p>
    <w:p w14:paraId="222DFF39" w14:textId="77777777" w:rsidR="00EA5C39" w:rsidRDefault="00EA5C39" w:rsidP="00EA5C39">
      <w:pPr>
        <w:rPr>
          <w:rFonts w:ascii="Arial" w:hAnsi="Arial"/>
          <w:rtl/>
        </w:rPr>
      </w:pPr>
    </w:p>
    <w:p w14:paraId="59A4EB39" w14:textId="77777777" w:rsidR="00EA5C39" w:rsidRDefault="00EA5C39" w:rsidP="00EA5C39">
      <w:pPr>
        <w:rPr>
          <w:sz w:val="26"/>
          <w:szCs w:val="26"/>
          <w:rtl/>
        </w:rPr>
      </w:pPr>
    </w:p>
    <w:p w14:paraId="26E0C86B" w14:textId="77777777" w:rsidR="00EA5C39" w:rsidRDefault="00EA5C39" w:rsidP="00EA5C39">
      <w:pPr>
        <w:spacing w:after="160" w:line="360" w:lineRule="auto"/>
        <w:jc w:val="both"/>
        <w:rPr>
          <w:rFonts w:ascii="David" w:hAnsi="David"/>
          <w:b/>
          <w:bCs/>
          <w:sz w:val="26"/>
          <w:szCs w:val="26"/>
          <w:u w:val="single"/>
          <w:rtl/>
        </w:rPr>
      </w:pPr>
      <w:r>
        <w:rPr>
          <w:rFonts w:ascii="David" w:hAnsi="David"/>
          <w:b/>
          <w:bCs/>
          <w:sz w:val="26"/>
          <w:szCs w:val="26"/>
          <w:u w:val="single"/>
          <w:rtl/>
        </w:rPr>
        <w:t>כתב האישום</w:t>
      </w:r>
    </w:p>
    <w:p w14:paraId="18757B21" w14:textId="77777777" w:rsidR="00EA5C39" w:rsidRPr="00616FA7" w:rsidRDefault="00EA5C39" w:rsidP="00EA5C39">
      <w:pPr>
        <w:pStyle w:val="a9"/>
        <w:numPr>
          <w:ilvl w:val="0"/>
          <w:numId w:val="2"/>
        </w:numPr>
        <w:spacing w:after="160" w:line="360" w:lineRule="auto"/>
        <w:jc w:val="both"/>
        <w:rPr>
          <w:rFonts w:ascii="David" w:hAnsi="David"/>
          <w:sz w:val="26"/>
          <w:szCs w:val="26"/>
          <w:rtl/>
        </w:rPr>
      </w:pPr>
      <w:bookmarkStart w:id="6" w:name="ABSTRACT_START"/>
      <w:bookmarkEnd w:id="6"/>
      <w:r w:rsidRPr="00616FA7">
        <w:rPr>
          <w:rFonts w:ascii="David" w:hAnsi="David"/>
          <w:sz w:val="26"/>
          <w:szCs w:val="26"/>
          <w:rtl/>
        </w:rPr>
        <w:t xml:space="preserve">הנאשם שלפניי הודה בביצוע עבירה של </w:t>
      </w:r>
      <w:r w:rsidRPr="00616FA7">
        <w:rPr>
          <w:rFonts w:ascii="David" w:hAnsi="David"/>
          <w:b/>
          <w:bCs/>
          <w:sz w:val="26"/>
          <w:szCs w:val="26"/>
          <w:rtl/>
        </w:rPr>
        <w:t>החזקת סמים שלא לצריכה עצמית</w:t>
      </w:r>
      <w:r w:rsidRPr="00616FA7">
        <w:rPr>
          <w:rFonts w:ascii="David" w:hAnsi="David"/>
          <w:sz w:val="26"/>
          <w:szCs w:val="26"/>
          <w:rtl/>
        </w:rPr>
        <w:t xml:space="preserve">, לפי </w:t>
      </w:r>
      <w:hyperlink r:id="rId13" w:history="1">
        <w:r w:rsidR="008673AB" w:rsidRPr="008673AB">
          <w:rPr>
            <w:rStyle w:val="Hyperlink"/>
            <w:rFonts w:ascii="David" w:hAnsi="David"/>
            <w:sz w:val="26"/>
            <w:szCs w:val="26"/>
            <w:rtl/>
          </w:rPr>
          <w:t>סעיף 7(א)</w:t>
        </w:r>
      </w:hyperlink>
      <w:r w:rsidRPr="00616FA7">
        <w:rPr>
          <w:rFonts w:ascii="David" w:hAnsi="David"/>
          <w:sz w:val="26"/>
          <w:szCs w:val="26"/>
          <w:rtl/>
        </w:rPr>
        <w:t xml:space="preserve"> +</w:t>
      </w:r>
      <w:hyperlink r:id="rId14" w:history="1">
        <w:r w:rsidR="008673AB" w:rsidRPr="008673AB">
          <w:rPr>
            <w:rStyle w:val="Hyperlink"/>
            <w:rFonts w:ascii="David" w:hAnsi="David"/>
            <w:sz w:val="26"/>
            <w:szCs w:val="26"/>
            <w:rtl/>
          </w:rPr>
          <w:t xml:space="preserve"> 7(ג)</w:t>
        </w:r>
      </w:hyperlink>
      <w:r w:rsidRPr="00616FA7">
        <w:rPr>
          <w:rFonts w:ascii="David" w:hAnsi="David"/>
          <w:sz w:val="26"/>
          <w:szCs w:val="26"/>
          <w:rtl/>
        </w:rPr>
        <w:t xml:space="preserve"> ל</w:t>
      </w:r>
      <w:hyperlink r:id="rId15" w:history="1">
        <w:r w:rsidR="00982E2B" w:rsidRPr="00982E2B">
          <w:rPr>
            <w:rFonts w:ascii="David" w:hAnsi="David"/>
            <w:color w:val="0000FF"/>
            <w:sz w:val="26"/>
            <w:szCs w:val="26"/>
            <w:u w:val="single"/>
            <w:rtl/>
          </w:rPr>
          <w:t>פקודת הסמים המסוכנים</w:t>
        </w:r>
      </w:hyperlink>
      <w:r w:rsidRPr="00616FA7">
        <w:rPr>
          <w:rFonts w:ascii="David" w:hAnsi="David"/>
          <w:sz w:val="26"/>
          <w:szCs w:val="26"/>
          <w:rtl/>
        </w:rPr>
        <w:t>; בביצוע עבירה של</w:t>
      </w:r>
      <w:r w:rsidRPr="00616FA7">
        <w:rPr>
          <w:rFonts w:ascii="David" w:hAnsi="David"/>
          <w:b/>
          <w:bCs/>
          <w:sz w:val="26"/>
          <w:szCs w:val="26"/>
          <w:rtl/>
        </w:rPr>
        <w:t xml:space="preserve"> החזקת כלים להכנת סם שלא לצריכה עצמית</w:t>
      </w:r>
      <w:r w:rsidRPr="00616FA7">
        <w:rPr>
          <w:rFonts w:ascii="David" w:hAnsi="David"/>
          <w:sz w:val="26"/>
          <w:szCs w:val="26"/>
          <w:rtl/>
        </w:rPr>
        <w:t xml:space="preserve">, לפי </w:t>
      </w:r>
      <w:hyperlink r:id="rId16" w:history="1">
        <w:r w:rsidR="008673AB" w:rsidRPr="008673AB">
          <w:rPr>
            <w:rStyle w:val="Hyperlink"/>
            <w:rFonts w:ascii="David" w:hAnsi="David"/>
            <w:sz w:val="26"/>
            <w:szCs w:val="26"/>
            <w:rtl/>
          </w:rPr>
          <w:t>סעיף 10</w:t>
        </w:r>
      </w:hyperlink>
      <w:r w:rsidRPr="00616FA7">
        <w:rPr>
          <w:rFonts w:ascii="David" w:hAnsi="David"/>
          <w:sz w:val="26"/>
          <w:szCs w:val="26"/>
          <w:rtl/>
        </w:rPr>
        <w:t xml:space="preserve"> רישא לפקוד</w:t>
      </w:r>
      <w:r w:rsidRPr="00616FA7">
        <w:rPr>
          <w:rFonts w:ascii="David" w:hAnsi="David" w:hint="cs"/>
          <w:sz w:val="26"/>
          <w:szCs w:val="26"/>
          <w:rtl/>
        </w:rPr>
        <w:t xml:space="preserve">ה, </w:t>
      </w:r>
      <w:r w:rsidRPr="00616FA7">
        <w:rPr>
          <w:rFonts w:ascii="David" w:hAnsi="David"/>
          <w:sz w:val="26"/>
          <w:szCs w:val="26"/>
          <w:rtl/>
        </w:rPr>
        <w:t>ובביצוע 7 עבירות</w:t>
      </w:r>
      <w:r w:rsidRPr="00616FA7">
        <w:rPr>
          <w:rFonts w:ascii="David" w:hAnsi="David"/>
          <w:b/>
          <w:bCs/>
          <w:sz w:val="26"/>
          <w:szCs w:val="26"/>
          <w:rtl/>
        </w:rPr>
        <w:t xml:space="preserve"> סחר בסם</w:t>
      </w:r>
      <w:r w:rsidRPr="00616FA7">
        <w:rPr>
          <w:rFonts w:ascii="David" w:hAnsi="David"/>
          <w:sz w:val="26"/>
          <w:szCs w:val="26"/>
          <w:rtl/>
        </w:rPr>
        <w:t xml:space="preserve">, לפי </w:t>
      </w:r>
      <w:hyperlink r:id="rId17" w:history="1">
        <w:r w:rsidR="008673AB" w:rsidRPr="008673AB">
          <w:rPr>
            <w:rStyle w:val="Hyperlink"/>
            <w:rFonts w:ascii="David" w:hAnsi="David"/>
            <w:sz w:val="26"/>
            <w:szCs w:val="26"/>
            <w:rtl/>
          </w:rPr>
          <w:t>סעיפים 13</w:t>
        </w:r>
      </w:hyperlink>
      <w:r w:rsidRPr="00616FA7">
        <w:rPr>
          <w:rFonts w:ascii="David" w:hAnsi="David"/>
          <w:sz w:val="26"/>
          <w:szCs w:val="26"/>
          <w:rtl/>
        </w:rPr>
        <w:t xml:space="preserve"> + </w:t>
      </w:r>
      <w:hyperlink r:id="rId18" w:history="1">
        <w:r w:rsidR="008673AB" w:rsidRPr="008673AB">
          <w:rPr>
            <w:rStyle w:val="Hyperlink"/>
            <w:rFonts w:ascii="David" w:hAnsi="David"/>
            <w:sz w:val="26"/>
            <w:szCs w:val="26"/>
            <w:rtl/>
          </w:rPr>
          <w:t>19א</w:t>
        </w:r>
      </w:hyperlink>
      <w:r w:rsidRPr="00616FA7">
        <w:rPr>
          <w:rFonts w:ascii="David" w:hAnsi="David"/>
          <w:sz w:val="26"/>
          <w:szCs w:val="26"/>
          <w:rtl/>
        </w:rPr>
        <w:t xml:space="preserve"> לפקודת הסמים</w:t>
      </w:r>
      <w:r w:rsidRPr="00616FA7">
        <w:rPr>
          <w:rFonts w:ascii="David" w:hAnsi="David" w:hint="cs"/>
          <w:sz w:val="26"/>
          <w:szCs w:val="26"/>
          <w:rtl/>
        </w:rPr>
        <w:t>.</w:t>
      </w:r>
      <w:r w:rsidRPr="00616FA7">
        <w:rPr>
          <w:rFonts w:ascii="David" w:hAnsi="David"/>
          <w:sz w:val="26"/>
          <w:szCs w:val="26"/>
          <w:rtl/>
        </w:rPr>
        <w:t xml:space="preserve"> </w:t>
      </w:r>
      <w:r w:rsidRPr="00616FA7">
        <w:rPr>
          <w:rFonts w:ascii="David" w:hAnsi="David"/>
          <w:b/>
          <w:bCs/>
          <w:sz w:val="26"/>
          <w:szCs w:val="26"/>
          <w:rtl/>
        </w:rPr>
        <w:t>מהאישום הראשון</w:t>
      </w:r>
      <w:r w:rsidRPr="00616FA7">
        <w:rPr>
          <w:rFonts w:ascii="David" w:hAnsi="David"/>
          <w:sz w:val="26"/>
          <w:szCs w:val="26"/>
          <w:rtl/>
        </w:rPr>
        <w:t xml:space="preserve"> עולה כי הנאשם החזיק בביתו, במקומות שונים, סך של 32.42 גרם קנביס. כן החזיק הנאשם שני משקלים דיגיטליים, </w:t>
      </w:r>
      <w:r w:rsidRPr="00616FA7">
        <w:rPr>
          <w:rFonts w:ascii="David" w:hAnsi="David"/>
          <w:sz w:val="26"/>
          <w:szCs w:val="26"/>
          <w:rtl/>
        </w:rPr>
        <w:lastRenderedPageBreak/>
        <w:t>שקיות חלוקה, כסף וטלפון.</w:t>
      </w:r>
      <w:r w:rsidRPr="00616FA7">
        <w:rPr>
          <w:rFonts w:ascii="David" w:hAnsi="David" w:hint="cs"/>
          <w:sz w:val="26"/>
          <w:szCs w:val="26"/>
          <w:rtl/>
        </w:rPr>
        <w:t xml:space="preserve"> </w:t>
      </w:r>
      <w:r w:rsidRPr="00616FA7">
        <w:rPr>
          <w:rFonts w:ascii="David" w:hAnsi="David"/>
          <w:b/>
          <w:bCs/>
          <w:sz w:val="26"/>
          <w:szCs w:val="26"/>
          <w:rtl/>
        </w:rPr>
        <w:t>מהאישום השני</w:t>
      </w:r>
      <w:r w:rsidRPr="00616FA7">
        <w:rPr>
          <w:rFonts w:ascii="David" w:hAnsi="David"/>
          <w:sz w:val="26"/>
          <w:szCs w:val="26"/>
          <w:rtl/>
        </w:rPr>
        <w:t xml:space="preserve"> עולה כי ביום 26.3.2021, לאחר תיאום טלפוני ושימוש ביישומון טלגרם, מכר הנאשם למ"ר 7 גרם קנביס תמורת 480 ₪.</w:t>
      </w:r>
      <w:r w:rsidRPr="00616FA7">
        <w:rPr>
          <w:rFonts w:ascii="David" w:hAnsi="David" w:hint="cs"/>
          <w:sz w:val="26"/>
          <w:szCs w:val="26"/>
          <w:rtl/>
        </w:rPr>
        <w:t xml:space="preserve"> </w:t>
      </w:r>
      <w:bookmarkStart w:id="7" w:name="ABSTRACT_END"/>
      <w:bookmarkEnd w:id="7"/>
      <w:r w:rsidRPr="00616FA7">
        <w:rPr>
          <w:rFonts w:ascii="David" w:hAnsi="David"/>
          <w:b/>
          <w:bCs/>
          <w:sz w:val="26"/>
          <w:szCs w:val="26"/>
          <w:rtl/>
        </w:rPr>
        <w:t>מהאישום השלישי</w:t>
      </w:r>
      <w:r w:rsidRPr="00616FA7">
        <w:rPr>
          <w:rFonts w:ascii="David" w:hAnsi="David"/>
          <w:sz w:val="26"/>
          <w:szCs w:val="26"/>
          <w:rtl/>
        </w:rPr>
        <w:t xml:space="preserve"> עולה כי ביום 31.3.2021, באותו דפוס פעולה, מכר הנאשם לג"א 40 גרם קנביס תמורת 500 ₪.</w:t>
      </w:r>
      <w:r w:rsidRPr="00616FA7">
        <w:rPr>
          <w:rFonts w:ascii="David" w:hAnsi="David" w:hint="cs"/>
          <w:sz w:val="26"/>
          <w:szCs w:val="26"/>
          <w:rtl/>
        </w:rPr>
        <w:t xml:space="preserve"> </w:t>
      </w:r>
      <w:r w:rsidRPr="00616FA7">
        <w:rPr>
          <w:rFonts w:ascii="David" w:hAnsi="David"/>
          <w:b/>
          <w:bCs/>
          <w:sz w:val="26"/>
          <w:szCs w:val="26"/>
          <w:rtl/>
        </w:rPr>
        <w:t>מהאישום החמישי</w:t>
      </w:r>
      <w:r w:rsidRPr="00616FA7">
        <w:rPr>
          <w:rFonts w:ascii="David" w:hAnsi="David"/>
          <w:sz w:val="26"/>
          <w:szCs w:val="26"/>
          <w:rtl/>
        </w:rPr>
        <w:t xml:space="preserve"> עולה כי ביום 3.4.2021 באותו דפוס פעולה, מכר הנאשם לפ"ס כ-15 גרם קנביס תמורת 600 ₪.</w:t>
      </w:r>
      <w:r w:rsidRPr="00616FA7">
        <w:rPr>
          <w:rFonts w:ascii="David" w:hAnsi="David" w:hint="cs"/>
          <w:sz w:val="26"/>
          <w:szCs w:val="26"/>
          <w:rtl/>
        </w:rPr>
        <w:t xml:space="preserve"> </w:t>
      </w:r>
      <w:r w:rsidRPr="00616FA7">
        <w:rPr>
          <w:rFonts w:ascii="David" w:hAnsi="David"/>
          <w:b/>
          <w:bCs/>
          <w:sz w:val="26"/>
          <w:szCs w:val="26"/>
          <w:rtl/>
        </w:rPr>
        <w:t>מהאישום השישי</w:t>
      </w:r>
      <w:r w:rsidRPr="00616FA7">
        <w:rPr>
          <w:rFonts w:ascii="David" w:hAnsi="David"/>
          <w:sz w:val="26"/>
          <w:szCs w:val="26"/>
          <w:rtl/>
        </w:rPr>
        <w:t xml:space="preserve"> עולה כי ביום 5.4.2021 באותו דפוס פעולה, מכר הנאשם לנ"ש כ- 16 גרם קנביס תמורת 550 ₪.</w:t>
      </w:r>
      <w:r w:rsidRPr="00616FA7">
        <w:rPr>
          <w:rFonts w:ascii="David" w:hAnsi="David" w:hint="cs"/>
          <w:sz w:val="26"/>
          <w:szCs w:val="26"/>
          <w:rtl/>
        </w:rPr>
        <w:t xml:space="preserve"> </w:t>
      </w:r>
      <w:r w:rsidRPr="00616FA7">
        <w:rPr>
          <w:rFonts w:ascii="David" w:hAnsi="David"/>
          <w:b/>
          <w:bCs/>
          <w:sz w:val="26"/>
          <w:szCs w:val="26"/>
          <w:rtl/>
        </w:rPr>
        <w:t>מהאישום השביעי</w:t>
      </w:r>
      <w:r w:rsidRPr="00616FA7">
        <w:rPr>
          <w:rFonts w:ascii="David" w:hAnsi="David"/>
          <w:sz w:val="26"/>
          <w:szCs w:val="26"/>
          <w:rtl/>
        </w:rPr>
        <w:t xml:space="preserve"> עולה כי ביום, 9.4.2021 באותו דפוס פעולה, מכר הנאשם לד"ש כ-20 גרם קנביס תמורת 800 ₪.</w:t>
      </w:r>
      <w:r w:rsidRPr="00616FA7">
        <w:rPr>
          <w:rFonts w:ascii="David" w:hAnsi="David" w:hint="cs"/>
          <w:sz w:val="26"/>
          <w:szCs w:val="26"/>
          <w:rtl/>
        </w:rPr>
        <w:t xml:space="preserve"> </w:t>
      </w:r>
      <w:r w:rsidRPr="00616FA7">
        <w:rPr>
          <w:rFonts w:ascii="David" w:hAnsi="David"/>
          <w:b/>
          <w:bCs/>
          <w:sz w:val="26"/>
          <w:szCs w:val="26"/>
          <w:rtl/>
        </w:rPr>
        <w:t>מהאישום השמיני</w:t>
      </w:r>
      <w:r w:rsidRPr="00616FA7">
        <w:rPr>
          <w:rFonts w:ascii="David" w:hAnsi="David"/>
          <w:sz w:val="26"/>
          <w:szCs w:val="26"/>
          <w:rtl/>
        </w:rPr>
        <w:t xml:space="preserve"> עולה כי ביום 10.4.2021 באותו דפוס פעולה, מכר הנאשם לד"ע כ-50 גרם קנביס תמורת 2,000 ₪.</w:t>
      </w:r>
      <w:r w:rsidRPr="00616FA7">
        <w:rPr>
          <w:rFonts w:ascii="David" w:hAnsi="David" w:hint="cs"/>
          <w:sz w:val="26"/>
          <w:szCs w:val="26"/>
          <w:rtl/>
        </w:rPr>
        <w:t xml:space="preserve"> </w:t>
      </w:r>
      <w:r w:rsidRPr="00616FA7">
        <w:rPr>
          <w:rFonts w:ascii="David" w:hAnsi="David"/>
          <w:b/>
          <w:bCs/>
          <w:sz w:val="26"/>
          <w:szCs w:val="26"/>
          <w:rtl/>
        </w:rPr>
        <w:t>מהאישום העשירי</w:t>
      </w:r>
      <w:r w:rsidRPr="00616FA7">
        <w:rPr>
          <w:rFonts w:ascii="David" w:hAnsi="David"/>
          <w:sz w:val="26"/>
          <w:szCs w:val="26"/>
          <w:rtl/>
        </w:rPr>
        <w:t xml:space="preserve"> עולה כי ביום 12.4.2021 באותו דפוס פעולה, מכר הנאשם לנ"ש כ- 10 גרם קנביס תמורת 450 ₪.</w:t>
      </w:r>
    </w:p>
    <w:p w14:paraId="6E0154B0" w14:textId="77777777" w:rsidR="00EA5C39" w:rsidRDefault="00EA5C39" w:rsidP="00EA5C39">
      <w:pPr>
        <w:spacing w:after="160" w:line="360" w:lineRule="auto"/>
        <w:jc w:val="both"/>
        <w:rPr>
          <w:rFonts w:ascii="David" w:hAnsi="David"/>
          <w:sz w:val="26"/>
          <w:szCs w:val="26"/>
          <w:rtl/>
        </w:rPr>
      </w:pPr>
    </w:p>
    <w:p w14:paraId="441ACA84" w14:textId="77777777" w:rsidR="00EA5C39" w:rsidRDefault="00EA5C39" w:rsidP="00EA5C39">
      <w:pPr>
        <w:spacing w:after="160" w:line="360" w:lineRule="auto"/>
        <w:jc w:val="both"/>
        <w:rPr>
          <w:rFonts w:ascii="David" w:hAnsi="David"/>
          <w:b/>
          <w:bCs/>
          <w:sz w:val="26"/>
          <w:szCs w:val="26"/>
          <w:u w:val="single"/>
          <w:rtl/>
        </w:rPr>
      </w:pPr>
      <w:r>
        <w:rPr>
          <w:rFonts w:ascii="David" w:hAnsi="David"/>
          <w:b/>
          <w:bCs/>
          <w:sz w:val="26"/>
          <w:szCs w:val="26"/>
          <w:u w:val="single"/>
          <w:rtl/>
        </w:rPr>
        <w:t>מהלך הדיון</w:t>
      </w:r>
    </w:p>
    <w:p w14:paraId="52D7F70E" w14:textId="77777777" w:rsidR="00EA5C39" w:rsidRPr="00616FA7" w:rsidRDefault="00EA5C39" w:rsidP="00EA5C39">
      <w:pPr>
        <w:pStyle w:val="a9"/>
        <w:numPr>
          <w:ilvl w:val="0"/>
          <w:numId w:val="2"/>
        </w:numPr>
        <w:spacing w:after="160" w:line="360" w:lineRule="auto"/>
        <w:jc w:val="both"/>
        <w:rPr>
          <w:rFonts w:ascii="David" w:hAnsi="David"/>
          <w:sz w:val="26"/>
          <w:szCs w:val="26"/>
          <w:rtl/>
        </w:rPr>
      </w:pPr>
      <w:r w:rsidRPr="00616FA7">
        <w:rPr>
          <w:rFonts w:ascii="David" w:hAnsi="David"/>
          <w:sz w:val="26"/>
          <w:szCs w:val="26"/>
          <w:rtl/>
        </w:rPr>
        <w:t xml:space="preserve">הנאשם נעצר בתיק זה ביום 13.4.2021, והוגש נגדו כתב אישום ביום 29.4.2021 יחד עם בקשה למעצרו עד תום ההליכים. הנאשם שוחרר למעצר בית מלא ביום 31.5.2021 כאשר מעת לעת הוקלו התנאים. ביום 19.7.2021 הודה והורשע הנאשם בכתב האישום המתוקן, במסגרת הסדר טיעון שלא כלל הסכמה עונשית ונשלח לשירות </w:t>
      </w:r>
      <w:r>
        <w:rPr>
          <w:rFonts w:ascii="David" w:hAnsi="David" w:hint="cs"/>
          <w:sz w:val="26"/>
          <w:szCs w:val="26"/>
          <w:rtl/>
        </w:rPr>
        <w:t>ה</w:t>
      </w:r>
      <w:r w:rsidRPr="00616FA7">
        <w:rPr>
          <w:rFonts w:ascii="David" w:hAnsi="David"/>
          <w:sz w:val="26"/>
          <w:szCs w:val="26"/>
          <w:rtl/>
        </w:rPr>
        <w:t>מבחן ולממונה לעבודות שירות.</w:t>
      </w:r>
    </w:p>
    <w:p w14:paraId="422DAA67" w14:textId="77777777" w:rsidR="00EA5C39" w:rsidRDefault="00EA5C39" w:rsidP="00EA5C39">
      <w:pPr>
        <w:spacing w:after="160" w:line="360" w:lineRule="auto"/>
        <w:jc w:val="both"/>
        <w:rPr>
          <w:rFonts w:ascii="David" w:hAnsi="David"/>
          <w:b/>
          <w:bCs/>
          <w:sz w:val="26"/>
          <w:szCs w:val="26"/>
          <w:u w:val="single"/>
          <w:rtl/>
        </w:rPr>
      </w:pPr>
    </w:p>
    <w:p w14:paraId="6CEF14D8" w14:textId="77777777" w:rsidR="00EA5C39" w:rsidRDefault="00EA5C39" w:rsidP="00EA5C39">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2AFFA419" w14:textId="77777777" w:rsidR="00EA5C39" w:rsidRPr="00616FA7" w:rsidRDefault="00EA5C39" w:rsidP="00EA5C39">
      <w:pPr>
        <w:pStyle w:val="a9"/>
        <w:numPr>
          <w:ilvl w:val="0"/>
          <w:numId w:val="2"/>
        </w:numPr>
        <w:spacing w:after="160" w:line="360" w:lineRule="auto"/>
        <w:jc w:val="both"/>
        <w:rPr>
          <w:rFonts w:ascii="David" w:hAnsi="David"/>
          <w:sz w:val="26"/>
          <w:szCs w:val="26"/>
          <w:rtl/>
        </w:rPr>
      </w:pPr>
      <w:r w:rsidRPr="00616FA7">
        <w:rPr>
          <w:rFonts w:ascii="David" w:hAnsi="David"/>
          <w:sz w:val="26"/>
          <w:szCs w:val="26"/>
          <w:rtl/>
        </w:rPr>
        <w:t xml:space="preserve">הצדדים לא הגיעו להסכמה עונשית. </w:t>
      </w:r>
      <w:r>
        <w:rPr>
          <w:rFonts w:ascii="David" w:hAnsi="David" w:hint="cs"/>
          <w:sz w:val="26"/>
          <w:szCs w:val="26"/>
          <w:rtl/>
        </w:rPr>
        <w:t xml:space="preserve">המאשימה עתרה להטיל עונש מאסר ממושך וענישה נלווית על בסיס מתחמים נפרדים לכל אישום. מנגד הסניגור ביקש שלא להחמיר עם הנאשם ושלא לשלוח אותו למאסר בפועל. </w:t>
      </w:r>
    </w:p>
    <w:p w14:paraId="2C470FDA" w14:textId="77777777" w:rsidR="00EA5C39" w:rsidRDefault="00EA5C39" w:rsidP="00EA5C39">
      <w:pPr>
        <w:spacing w:after="160" w:line="360" w:lineRule="auto"/>
        <w:jc w:val="both"/>
        <w:rPr>
          <w:rFonts w:ascii="David" w:hAnsi="David"/>
          <w:b/>
          <w:bCs/>
          <w:sz w:val="26"/>
          <w:szCs w:val="26"/>
          <w:u w:val="single"/>
          <w:rtl/>
        </w:rPr>
      </w:pPr>
    </w:p>
    <w:p w14:paraId="3D37DD96" w14:textId="77777777" w:rsidR="00EA5C39" w:rsidRDefault="00EA5C39" w:rsidP="00EA5C39">
      <w:pPr>
        <w:spacing w:after="160" w:line="360" w:lineRule="auto"/>
        <w:jc w:val="both"/>
        <w:rPr>
          <w:rFonts w:ascii="David" w:hAnsi="David"/>
          <w:b/>
          <w:bCs/>
          <w:sz w:val="26"/>
          <w:szCs w:val="26"/>
          <w:u w:val="single"/>
          <w:rtl/>
        </w:rPr>
      </w:pPr>
      <w:r>
        <w:rPr>
          <w:rFonts w:ascii="David" w:hAnsi="David"/>
          <w:b/>
          <w:bCs/>
          <w:sz w:val="26"/>
          <w:szCs w:val="26"/>
          <w:u w:val="single"/>
          <w:rtl/>
        </w:rPr>
        <w:t>תסקיר</w:t>
      </w:r>
      <w:r>
        <w:rPr>
          <w:rFonts w:ascii="David" w:hAnsi="David" w:hint="cs"/>
          <w:b/>
          <w:bCs/>
          <w:sz w:val="26"/>
          <w:szCs w:val="26"/>
          <w:u w:val="single"/>
          <w:rtl/>
        </w:rPr>
        <w:t>י שירות המבחן</w:t>
      </w:r>
    </w:p>
    <w:p w14:paraId="233C9098" w14:textId="77777777" w:rsidR="00EA5C39" w:rsidRPr="00AA554E" w:rsidRDefault="00EA5C39" w:rsidP="00EA5C39">
      <w:pPr>
        <w:pStyle w:val="a9"/>
        <w:numPr>
          <w:ilvl w:val="0"/>
          <w:numId w:val="2"/>
        </w:numPr>
        <w:spacing w:after="160" w:line="360" w:lineRule="auto"/>
        <w:jc w:val="both"/>
        <w:rPr>
          <w:rFonts w:ascii="David" w:hAnsi="David"/>
          <w:sz w:val="26"/>
          <w:szCs w:val="26"/>
          <w:rtl/>
        </w:rPr>
      </w:pPr>
      <w:r>
        <w:rPr>
          <w:rFonts w:ascii="David" w:hAnsi="David" w:hint="cs"/>
          <w:sz w:val="26"/>
          <w:szCs w:val="26"/>
          <w:rtl/>
        </w:rPr>
        <w:t xml:space="preserve">בעניינו של הנאשם הוגשו שלושה תסקירים, כאשר שירות המבחן ביקש דחיות לצורך מיצוי תהליך טיפולי. הנאשם באמצע שנות העשרים לחייו, רווק, ללא עבר פלילי קודם. הוא סיים 12 שנות לימוד במסלול מקצועי, שירת שירות צבאי מלא בו מצא סיפוק וכבר מהיותו נער, עבד לפרנסתו, לדבריו, כדי לחוש עצמאות כלכלית. הנאשם שמר על יציבות תעסוקתית לאורך השנים. הנאשם קיבל אחריות למעשים וטען שביצע אותם בשל </w:t>
      </w:r>
      <w:r>
        <w:rPr>
          <w:rFonts w:ascii="David" w:hAnsi="David" w:hint="cs"/>
          <w:sz w:val="26"/>
          <w:szCs w:val="26"/>
          <w:rtl/>
        </w:rPr>
        <w:lastRenderedPageBreak/>
        <w:t xml:space="preserve">הצורך במענה כלכלי מהיר לפיטוריו, בעקבות משבר הקורונה. לדבריו, שמח על כך שנעצר ימים ספורים בלבד לאחר שהחל לסחור בסמים, וזאת משום שלדבריו המעצר מנע את המשך התדרדרותו. </w:t>
      </w:r>
      <w:r w:rsidRPr="00AA554E">
        <w:rPr>
          <w:rFonts w:ascii="David" w:hAnsi="David" w:hint="cs"/>
          <w:sz w:val="26"/>
          <w:szCs w:val="26"/>
          <w:rtl/>
        </w:rPr>
        <w:t>שירות המבחן</w:t>
      </w:r>
      <w:r>
        <w:rPr>
          <w:rFonts w:ascii="David" w:hAnsi="David" w:hint="cs"/>
          <w:sz w:val="26"/>
          <w:szCs w:val="26"/>
          <w:rtl/>
        </w:rPr>
        <w:t xml:space="preserve"> שילב את הנאשם בקבוצה טיפולית אותה הוא סיים במסגרת צו פיקוח מעצרים, ונעשו מאמצים לשלבו במספר תחומי טיפול, והעיקרי שבהם, טיפול בהתמכרות להימורים שעלתה מאבחונו. גורמי הטיפול וגם שירות המבחן הגיעו לכלל מסקנה כי בנאשם התגבשו דפוסי התנהגות עברייניים וכי משפחתו אינה מהווה גורם מפחית סיכון בהקשר זה. הנאשם דחה את כל הניסיונות הטיפוליים בהקשר זה, ולאחרונה ביקש לסיים את ההליכים. לדבריו, משפחתו סייעה לו להסדיר חובותיו אליהם נקלע בשוק האפור בעקבות בעיית ההימורים, וכיום אינו חש צורך בטיפול בבעיה זו לאחר שלדבריו התייצב מצבו. שירות המבחן סבר שאין מקום להמליץ המלצה טיפולית בנסיבות אלו, אך סבר שאין מקום להטיל על הנאשם מאסר בפועל מאחורי סורג ובריח, שיהווה גורם מדרדר עבורו, וסבר שיש להסתפק במאסר בעבודות שירות.</w:t>
      </w:r>
    </w:p>
    <w:p w14:paraId="6583ED89" w14:textId="77777777" w:rsidR="00EA5C39" w:rsidRDefault="00EA5C39" w:rsidP="00EA5C39">
      <w:pPr>
        <w:spacing w:after="160" w:line="360" w:lineRule="auto"/>
        <w:jc w:val="both"/>
        <w:rPr>
          <w:rFonts w:ascii="David" w:hAnsi="David"/>
          <w:b/>
          <w:bCs/>
          <w:sz w:val="26"/>
          <w:szCs w:val="26"/>
          <w:u w:val="single"/>
          <w:rtl/>
        </w:rPr>
      </w:pPr>
    </w:p>
    <w:p w14:paraId="113C8434" w14:textId="77777777" w:rsidR="00EA5C39" w:rsidRDefault="00EA5C39" w:rsidP="00EA5C39">
      <w:pPr>
        <w:spacing w:after="160" w:line="360" w:lineRule="auto"/>
        <w:jc w:val="both"/>
        <w:rPr>
          <w:rFonts w:ascii="David" w:hAnsi="David"/>
          <w:b/>
          <w:bCs/>
          <w:sz w:val="26"/>
          <w:szCs w:val="26"/>
          <w:u w:val="single"/>
          <w:rtl/>
        </w:rPr>
      </w:pPr>
      <w:r>
        <w:rPr>
          <w:rFonts w:ascii="David" w:hAnsi="David"/>
          <w:b/>
          <w:bCs/>
          <w:sz w:val="26"/>
          <w:szCs w:val="26"/>
          <w:u w:val="single"/>
          <w:rtl/>
        </w:rPr>
        <w:t>חוות דעת הממונה על עבודות שירות</w:t>
      </w:r>
    </w:p>
    <w:p w14:paraId="59A873CA" w14:textId="77777777" w:rsidR="00EA5C39" w:rsidRPr="00AA554E" w:rsidRDefault="00EA5C39" w:rsidP="00EA5C39">
      <w:pPr>
        <w:pStyle w:val="a9"/>
        <w:numPr>
          <w:ilvl w:val="0"/>
          <w:numId w:val="2"/>
        </w:numPr>
        <w:spacing w:after="160" w:line="360" w:lineRule="auto"/>
        <w:jc w:val="both"/>
        <w:rPr>
          <w:rFonts w:ascii="David" w:hAnsi="David"/>
          <w:sz w:val="26"/>
          <w:szCs w:val="26"/>
          <w:rtl/>
        </w:rPr>
      </w:pPr>
      <w:r w:rsidRPr="00AA554E">
        <w:rPr>
          <w:rFonts w:ascii="David" w:hAnsi="David"/>
          <w:sz w:val="26"/>
          <w:szCs w:val="26"/>
          <w:rtl/>
        </w:rPr>
        <w:t xml:space="preserve">הממונה מצא את הנאשם כשיר לביצוע עבודות שירות בבית האבות "עידן הזהב" בירושלים החל </w:t>
      </w:r>
      <w:r>
        <w:rPr>
          <w:rFonts w:ascii="David" w:hAnsi="David" w:hint="cs"/>
          <w:sz w:val="26"/>
          <w:szCs w:val="26"/>
          <w:rtl/>
        </w:rPr>
        <w:t>מיום 1.5.2023.</w:t>
      </w:r>
    </w:p>
    <w:p w14:paraId="2E6EEF5D" w14:textId="77777777" w:rsidR="00EA5C39" w:rsidRDefault="00EA5C39" w:rsidP="00EA5C39">
      <w:pPr>
        <w:spacing w:after="160" w:line="360" w:lineRule="auto"/>
        <w:jc w:val="both"/>
        <w:rPr>
          <w:rFonts w:ascii="David" w:hAnsi="David"/>
          <w:b/>
          <w:bCs/>
          <w:sz w:val="26"/>
          <w:szCs w:val="26"/>
          <w:u w:val="single"/>
          <w:rtl/>
        </w:rPr>
      </w:pPr>
    </w:p>
    <w:p w14:paraId="70E19A99" w14:textId="77777777" w:rsidR="00EA5C39" w:rsidRDefault="00EA5C39" w:rsidP="00EA5C39">
      <w:pPr>
        <w:spacing w:after="160" w:line="360" w:lineRule="auto"/>
        <w:jc w:val="both"/>
        <w:rPr>
          <w:rFonts w:ascii="David" w:hAnsi="David"/>
          <w:b/>
          <w:bCs/>
          <w:sz w:val="26"/>
          <w:szCs w:val="26"/>
          <w:u w:val="single"/>
          <w:rtl/>
        </w:rPr>
      </w:pPr>
      <w:r>
        <w:rPr>
          <w:rFonts w:ascii="David" w:hAnsi="David" w:hint="cs"/>
          <w:b/>
          <w:bCs/>
          <w:sz w:val="26"/>
          <w:szCs w:val="26"/>
          <w:u w:val="single"/>
          <w:rtl/>
        </w:rPr>
        <w:t>טיפול במסגרת המכון הירושלמי לטיפול בבעיות סמים ותחלואה כפולה</w:t>
      </w:r>
    </w:p>
    <w:p w14:paraId="19F4DB4B" w14:textId="77777777" w:rsidR="00EA5C39" w:rsidRPr="005B250F" w:rsidRDefault="00EA5C39" w:rsidP="00EA5C39">
      <w:pPr>
        <w:pStyle w:val="a9"/>
        <w:numPr>
          <w:ilvl w:val="0"/>
          <w:numId w:val="2"/>
        </w:numPr>
        <w:spacing w:after="160" w:line="360" w:lineRule="auto"/>
        <w:jc w:val="both"/>
        <w:rPr>
          <w:rFonts w:ascii="David" w:hAnsi="David"/>
          <w:sz w:val="26"/>
          <w:szCs w:val="26"/>
          <w:rtl/>
        </w:rPr>
      </w:pPr>
      <w:r>
        <w:rPr>
          <w:rFonts w:ascii="David" w:hAnsi="David" w:hint="cs"/>
          <w:sz w:val="26"/>
          <w:szCs w:val="26"/>
          <w:rtl/>
        </w:rPr>
        <w:t>הנאשם שולב בטיפול במסגרת המכון הירושלמי לבעיות סמים ותחלואה כפולה ונמצא תחת פיקוחו של מדריך ההתמכרויות מר אבנר בר, שהגיש שני מכתבים. ממכתבו העדכני של מר בר מיום 4.9.2023 עולה, כי הנאשם השתלב בטיפול מאז מרץ 2023 כאשר הוא מגיע לפגישות טיפוליות 3 פעמים בשבוע, שומר על ניקיון מסמים, "מראה נכונות ומגלה מוטיבציה". עוד טען מר בר כי הנאשם מצטרף אליו לעתים לצורך העברת מסרים במקומות גמילה ומהווה דוגמה לצעירים רבים. מר בר טען, כי השמירה על מקום עבודתו בעלת חשיבות בתהליך החלמתו וביקש להתחשב בנאשם.</w:t>
      </w:r>
    </w:p>
    <w:p w14:paraId="618D7B86" w14:textId="77777777" w:rsidR="00EA5C39" w:rsidRDefault="00EA5C39" w:rsidP="00EA5C39">
      <w:pPr>
        <w:spacing w:after="160" w:line="360" w:lineRule="auto"/>
        <w:jc w:val="both"/>
        <w:rPr>
          <w:rFonts w:ascii="David" w:hAnsi="David"/>
          <w:b/>
          <w:bCs/>
          <w:sz w:val="26"/>
          <w:szCs w:val="26"/>
          <w:u w:val="single"/>
          <w:rtl/>
        </w:rPr>
      </w:pPr>
    </w:p>
    <w:p w14:paraId="0BC8B520" w14:textId="77777777" w:rsidR="00EA5C39" w:rsidRDefault="00EA5C39" w:rsidP="00EA5C39">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2DD94041" w14:textId="77777777" w:rsidR="00EA5C39" w:rsidRPr="00293A3D" w:rsidRDefault="00EA5C39" w:rsidP="00EA5C39">
      <w:pPr>
        <w:pStyle w:val="a9"/>
        <w:numPr>
          <w:ilvl w:val="0"/>
          <w:numId w:val="2"/>
        </w:numPr>
        <w:spacing w:after="160" w:line="360" w:lineRule="auto"/>
        <w:jc w:val="both"/>
        <w:rPr>
          <w:rFonts w:ascii="David" w:hAnsi="David"/>
          <w:b/>
          <w:bCs/>
          <w:sz w:val="26"/>
          <w:szCs w:val="26"/>
          <w:u w:val="single"/>
        </w:rPr>
      </w:pPr>
      <w:r w:rsidRPr="00293A3D">
        <w:rPr>
          <w:rFonts w:ascii="David" w:hAnsi="David"/>
          <w:sz w:val="26"/>
          <w:szCs w:val="26"/>
          <w:rtl/>
        </w:rPr>
        <w:t>מתחם הענישה צריך להתייחס לעקרון ההלימה, הנוגע ליחס לערך החברתי המוגן</w:t>
      </w:r>
      <w:r>
        <w:rPr>
          <w:rFonts w:ascii="David" w:hAnsi="David" w:hint="cs"/>
          <w:sz w:val="26"/>
          <w:szCs w:val="26"/>
          <w:rtl/>
        </w:rPr>
        <w:t xml:space="preserve"> ו</w:t>
      </w:r>
      <w:r w:rsidRPr="00293A3D">
        <w:rPr>
          <w:rFonts w:ascii="David" w:hAnsi="David"/>
          <w:sz w:val="26"/>
          <w:szCs w:val="26"/>
          <w:rtl/>
        </w:rPr>
        <w:t xml:space="preserve">מידת הפגיעה בו, </w:t>
      </w:r>
      <w:r>
        <w:rPr>
          <w:rFonts w:ascii="David" w:hAnsi="David" w:hint="cs"/>
          <w:sz w:val="26"/>
          <w:szCs w:val="26"/>
          <w:rtl/>
        </w:rPr>
        <w:t>לנסיבות ביצוע העבירה ומידת אשמו של הנאשם ול</w:t>
      </w:r>
      <w:r w:rsidRPr="00293A3D">
        <w:rPr>
          <w:rFonts w:ascii="David" w:hAnsi="David"/>
          <w:sz w:val="26"/>
          <w:szCs w:val="26"/>
          <w:rtl/>
        </w:rPr>
        <w:t xml:space="preserve">מדיניות הענישה הנוהגת. </w:t>
      </w:r>
    </w:p>
    <w:p w14:paraId="0282B6DD" w14:textId="77777777" w:rsidR="00EA5C39" w:rsidRPr="00293A3D" w:rsidRDefault="00EA5C39" w:rsidP="00EA5C39">
      <w:pPr>
        <w:pStyle w:val="a9"/>
        <w:spacing w:after="160" w:line="360" w:lineRule="auto"/>
        <w:ind w:left="360"/>
        <w:jc w:val="both"/>
        <w:rPr>
          <w:rFonts w:ascii="David" w:hAnsi="David"/>
          <w:b/>
          <w:bCs/>
          <w:sz w:val="26"/>
          <w:szCs w:val="26"/>
          <w:u w:val="single"/>
          <w:rtl/>
        </w:rPr>
      </w:pPr>
    </w:p>
    <w:p w14:paraId="6BADE711" w14:textId="77777777" w:rsidR="00EA5C39" w:rsidRDefault="00EA5C39" w:rsidP="00EA5C39">
      <w:pPr>
        <w:pStyle w:val="a9"/>
        <w:numPr>
          <w:ilvl w:val="0"/>
          <w:numId w:val="2"/>
        </w:numPr>
        <w:spacing w:after="160" w:line="360" w:lineRule="auto"/>
        <w:jc w:val="both"/>
        <w:rPr>
          <w:rFonts w:ascii="David" w:hAnsi="David"/>
          <w:sz w:val="26"/>
          <w:szCs w:val="26"/>
        </w:rPr>
      </w:pPr>
      <w:r w:rsidRPr="00293A3D">
        <w:rPr>
          <w:rFonts w:ascii="David" w:hAnsi="David"/>
          <w:b/>
          <w:bCs/>
          <w:sz w:val="26"/>
          <w:szCs w:val="26"/>
          <w:rtl/>
        </w:rPr>
        <w:t xml:space="preserve">אשר לערך המוגן </w:t>
      </w:r>
      <w:r w:rsidRPr="00293A3D">
        <w:rPr>
          <w:rFonts w:ascii="David" w:hAnsi="David"/>
          <w:sz w:val="26"/>
          <w:szCs w:val="26"/>
          <w:rtl/>
        </w:rPr>
        <w:t xml:space="preserve">– העבירות אותן עבר הנאשם פוגעות בערך המוגן של שמירה על שלום הציבור ובריאותו מפני נגע הסמים, שתוצאות השימוש בהם וההתמכרות אליהם קשות, ארוכות טווח ורחבות היקף וחורגות מעניינו של אדם אחד, ונוגעות לכלל החברה. סחר בסם "קל" המוגדר כסם מסוכן, כמוהו כסחר בסמים קשים יותר, ועצם הפצתו </w:t>
      </w:r>
      <w:r>
        <w:rPr>
          <w:rFonts w:ascii="David" w:hAnsi="David" w:hint="cs"/>
          <w:sz w:val="26"/>
          <w:szCs w:val="26"/>
          <w:rtl/>
        </w:rPr>
        <w:t>היא מעשה חמור</w:t>
      </w:r>
      <w:r w:rsidRPr="00293A3D">
        <w:rPr>
          <w:rFonts w:ascii="David" w:hAnsi="David"/>
          <w:sz w:val="26"/>
          <w:szCs w:val="26"/>
          <w:rtl/>
        </w:rPr>
        <w:t>. בעניינו הפגיעה בערך המוגן בינונית.</w:t>
      </w:r>
    </w:p>
    <w:p w14:paraId="09866C85" w14:textId="77777777" w:rsidR="00EA5C39" w:rsidRPr="00293A3D" w:rsidRDefault="00EA5C39" w:rsidP="00EA5C39">
      <w:pPr>
        <w:pStyle w:val="a9"/>
        <w:rPr>
          <w:rFonts w:ascii="David" w:hAnsi="David"/>
          <w:sz w:val="26"/>
          <w:szCs w:val="26"/>
          <w:rtl/>
        </w:rPr>
      </w:pPr>
    </w:p>
    <w:p w14:paraId="04FDDFBF" w14:textId="77777777" w:rsidR="00EA5C39" w:rsidRPr="00293A3D" w:rsidRDefault="00EA5C39" w:rsidP="00EA5C39">
      <w:pPr>
        <w:pStyle w:val="a9"/>
        <w:numPr>
          <w:ilvl w:val="0"/>
          <w:numId w:val="2"/>
        </w:numPr>
        <w:spacing w:after="160" w:line="360" w:lineRule="auto"/>
        <w:jc w:val="both"/>
        <w:rPr>
          <w:rFonts w:ascii="David" w:hAnsi="David"/>
          <w:sz w:val="26"/>
          <w:szCs w:val="26"/>
          <w:rtl/>
        </w:rPr>
      </w:pPr>
      <w:r>
        <w:rPr>
          <w:rFonts w:ascii="David" w:hAnsi="David" w:hint="cs"/>
          <w:b/>
          <w:bCs/>
          <w:sz w:val="26"/>
          <w:szCs w:val="26"/>
          <w:rtl/>
        </w:rPr>
        <w:t>נ</w:t>
      </w:r>
      <w:r w:rsidRPr="00293A3D">
        <w:rPr>
          <w:rFonts w:ascii="David" w:hAnsi="David"/>
          <w:b/>
          <w:bCs/>
          <w:sz w:val="26"/>
          <w:szCs w:val="26"/>
          <w:rtl/>
        </w:rPr>
        <w:t xml:space="preserve">סיבות הקשורות בעבירה </w:t>
      </w:r>
      <w:r>
        <w:rPr>
          <w:rFonts w:ascii="David" w:hAnsi="David"/>
          <w:b/>
          <w:bCs/>
          <w:sz w:val="26"/>
          <w:szCs w:val="26"/>
          <w:rtl/>
        </w:rPr>
        <w:t>–</w:t>
      </w:r>
      <w:r w:rsidRPr="00293A3D">
        <w:rPr>
          <w:rFonts w:ascii="David" w:hAnsi="David"/>
          <w:b/>
          <w:bCs/>
          <w:sz w:val="26"/>
          <w:szCs w:val="26"/>
          <w:rtl/>
        </w:rPr>
        <w:t xml:space="preserve"> </w:t>
      </w:r>
      <w:r w:rsidRPr="00293A3D">
        <w:rPr>
          <w:rFonts w:ascii="David" w:hAnsi="David"/>
          <w:sz w:val="26"/>
          <w:szCs w:val="26"/>
          <w:rtl/>
        </w:rPr>
        <w:t>בין</w:t>
      </w:r>
      <w:r>
        <w:rPr>
          <w:rFonts w:ascii="David" w:hAnsi="David" w:hint="cs"/>
          <w:sz w:val="26"/>
          <w:szCs w:val="26"/>
          <w:rtl/>
        </w:rPr>
        <w:t xml:space="preserve"> </w:t>
      </w:r>
      <w:r w:rsidRPr="00293A3D">
        <w:rPr>
          <w:rFonts w:ascii="David" w:hAnsi="David"/>
          <w:sz w:val="26"/>
          <w:szCs w:val="26"/>
          <w:rtl/>
        </w:rPr>
        <w:t>הנסיבות הקשורות בביצוע העבירה יש לשקול את אלה, לעניין קביעת המתחם: מדובר בשבע הזדמנויות של סחר בסם שתואמו באמצעות אפליקציית הטלגרם ובאמצעות הטלפון ובוצעו באופן מקצועי למען בצע כסף. אין מדובר בכמות קטנה</w:t>
      </w:r>
      <w:r>
        <w:rPr>
          <w:rFonts w:ascii="David" w:hAnsi="David" w:hint="cs"/>
          <w:sz w:val="26"/>
          <w:szCs w:val="26"/>
          <w:rtl/>
        </w:rPr>
        <w:t>,</w:t>
      </w:r>
      <w:r w:rsidRPr="00293A3D">
        <w:rPr>
          <w:rFonts w:ascii="David" w:hAnsi="David"/>
          <w:sz w:val="26"/>
          <w:szCs w:val="26"/>
          <w:rtl/>
        </w:rPr>
        <w:t xml:space="preserve"> אלא בכמות נכבד</w:t>
      </w:r>
      <w:r>
        <w:rPr>
          <w:rFonts w:ascii="David" w:hAnsi="David" w:hint="cs"/>
          <w:sz w:val="26"/>
          <w:szCs w:val="26"/>
          <w:rtl/>
        </w:rPr>
        <w:t>ה</w:t>
      </w:r>
      <w:r w:rsidRPr="00293A3D">
        <w:rPr>
          <w:rFonts w:ascii="David" w:hAnsi="David"/>
          <w:sz w:val="26"/>
          <w:szCs w:val="26"/>
          <w:rtl/>
        </w:rPr>
        <w:t xml:space="preserve"> של עשרות גרמים </w:t>
      </w:r>
      <w:r>
        <w:rPr>
          <w:rFonts w:ascii="David" w:hAnsi="David" w:hint="cs"/>
          <w:sz w:val="26"/>
          <w:szCs w:val="26"/>
          <w:rtl/>
        </w:rPr>
        <w:t xml:space="preserve">ברוב </w:t>
      </w:r>
      <w:r w:rsidRPr="00293A3D">
        <w:rPr>
          <w:rFonts w:ascii="David" w:hAnsi="David"/>
          <w:sz w:val="26"/>
          <w:szCs w:val="26"/>
          <w:rtl/>
        </w:rPr>
        <w:t xml:space="preserve">העסקאות. הסם הופץ לכל דורש, ומכאן שהנזק שנגרם הוא משמעותי ופוטנציאל הנזק אף רב יותר. הנאשם אחראי בלעדית לביצוע המעשים. </w:t>
      </w:r>
    </w:p>
    <w:p w14:paraId="1A7D430F" w14:textId="77777777" w:rsidR="00EA5C39" w:rsidRDefault="00EA5C39" w:rsidP="00EA5C39">
      <w:pPr>
        <w:spacing w:after="160" w:line="360" w:lineRule="auto"/>
        <w:jc w:val="both"/>
        <w:rPr>
          <w:rFonts w:ascii="David" w:hAnsi="David"/>
          <w:b/>
          <w:bCs/>
          <w:sz w:val="26"/>
          <w:szCs w:val="26"/>
          <w:rtl/>
        </w:rPr>
      </w:pPr>
    </w:p>
    <w:p w14:paraId="5282516B" w14:textId="77777777" w:rsidR="00EA5C39" w:rsidRPr="00293A3D" w:rsidRDefault="00EA5C39" w:rsidP="00EA5C39">
      <w:pPr>
        <w:pStyle w:val="a9"/>
        <w:numPr>
          <w:ilvl w:val="0"/>
          <w:numId w:val="2"/>
        </w:numPr>
        <w:spacing w:after="160" w:line="360" w:lineRule="auto"/>
        <w:jc w:val="both"/>
        <w:rPr>
          <w:rFonts w:ascii="David" w:hAnsi="David"/>
          <w:sz w:val="26"/>
          <w:szCs w:val="26"/>
          <w:rtl/>
        </w:rPr>
      </w:pPr>
      <w:r w:rsidRPr="00293A3D">
        <w:rPr>
          <w:rFonts w:ascii="David" w:hAnsi="David"/>
          <w:b/>
          <w:bCs/>
          <w:sz w:val="26"/>
          <w:szCs w:val="26"/>
          <w:rtl/>
        </w:rPr>
        <w:t xml:space="preserve">מדיניות הענישה הנוהגת – </w:t>
      </w:r>
      <w:r w:rsidRPr="00293A3D">
        <w:rPr>
          <w:rFonts w:ascii="David" w:hAnsi="David"/>
          <w:sz w:val="26"/>
          <w:szCs w:val="26"/>
          <w:rtl/>
        </w:rPr>
        <w:t xml:space="preserve">סקירת הפסיקה בנסיבות דומות (אותו סוג סם) מלמדת על ענישה של מאסר בפועל לחודשים ספורים. </w:t>
      </w:r>
    </w:p>
    <w:p w14:paraId="6C7A4DD6" w14:textId="77777777" w:rsidR="00EA5C39" w:rsidRDefault="00EA5C39" w:rsidP="00EA5C39">
      <w:pPr>
        <w:pStyle w:val="a9"/>
        <w:numPr>
          <w:ilvl w:val="0"/>
          <w:numId w:val="1"/>
        </w:numPr>
        <w:spacing w:after="160" w:line="360" w:lineRule="auto"/>
        <w:jc w:val="both"/>
        <w:rPr>
          <w:rFonts w:ascii="David" w:hAnsi="David"/>
          <w:sz w:val="26"/>
          <w:szCs w:val="26"/>
          <w:rtl/>
        </w:rPr>
      </w:pPr>
      <w:r>
        <w:rPr>
          <w:rFonts w:ascii="David" w:hAnsi="David"/>
          <w:sz w:val="26"/>
          <w:szCs w:val="26"/>
          <w:rtl/>
        </w:rPr>
        <w:t>ב</w:t>
      </w:r>
      <w:hyperlink r:id="rId19" w:history="1">
        <w:r w:rsidR="00982E2B" w:rsidRPr="00982E2B">
          <w:rPr>
            <w:rFonts w:ascii="David" w:hAnsi="David"/>
            <w:color w:val="0000FF"/>
            <w:sz w:val="26"/>
            <w:szCs w:val="26"/>
            <w:u w:val="single"/>
            <w:rtl/>
          </w:rPr>
          <w:t>רע"פ 5712/16</w:t>
        </w:r>
      </w:hyperlink>
      <w:r>
        <w:rPr>
          <w:rFonts w:ascii="David" w:hAnsi="David"/>
          <w:sz w:val="26"/>
          <w:szCs w:val="26"/>
          <w:rtl/>
        </w:rPr>
        <w:t xml:space="preserve"> </w:t>
      </w:r>
      <w:r w:rsidRPr="00616FA7">
        <w:rPr>
          <w:rFonts w:ascii="David" w:hAnsi="David"/>
          <w:b/>
          <w:bCs/>
          <w:sz w:val="26"/>
          <w:szCs w:val="26"/>
          <w:rtl/>
        </w:rPr>
        <w:t>אייזנבך נ' מ"י</w:t>
      </w:r>
      <w:r>
        <w:rPr>
          <w:rFonts w:ascii="David" w:hAnsi="David"/>
          <w:sz w:val="26"/>
          <w:szCs w:val="26"/>
          <w:rtl/>
        </w:rPr>
        <w:t xml:space="preserve"> (מיום 17.8.2016) בנסיבות של 4 עסקאות במשקל גדול יותר, נקבע מתחם ענישה בין 8 ל-24 חודשים ונגזר עונש מאסר בן 8 חודשים; </w:t>
      </w:r>
    </w:p>
    <w:p w14:paraId="2B08EE06" w14:textId="77777777" w:rsidR="00EA5C39" w:rsidRDefault="00EA5C39" w:rsidP="00EA5C39">
      <w:pPr>
        <w:pStyle w:val="a9"/>
        <w:numPr>
          <w:ilvl w:val="0"/>
          <w:numId w:val="1"/>
        </w:numPr>
        <w:spacing w:after="160" w:line="360" w:lineRule="auto"/>
        <w:jc w:val="both"/>
        <w:rPr>
          <w:rFonts w:ascii="David" w:hAnsi="David"/>
          <w:sz w:val="26"/>
          <w:szCs w:val="26"/>
        </w:rPr>
      </w:pPr>
      <w:r>
        <w:rPr>
          <w:rFonts w:ascii="David" w:hAnsi="David"/>
          <w:sz w:val="26"/>
          <w:szCs w:val="26"/>
          <w:rtl/>
        </w:rPr>
        <w:t>ב</w:t>
      </w:r>
      <w:hyperlink r:id="rId20" w:history="1">
        <w:r w:rsidR="00982E2B" w:rsidRPr="00982E2B">
          <w:rPr>
            <w:rFonts w:ascii="David" w:hAnsi="David"/>
            <w:color w:val="0000FF"/>
            <w:sz w:val="26"/>
            <w:szCs w:val="26"/>
            <w:u w:val="single"/>
            <w:rtl/>
          </w:rPr>
          <w:t>רע"פ 2139/16</w:t>
        </w:r>
      </w:hyperlink>
      <w:r>
        <w:rPr>
          <w:rFonts w:ascii="David" w:hAnsi="David"/>
          <w:sz w:val="26"/>
          <w:szCs w:val="26"/>
          <w:rtl/>
        </w:rPr>
        <w:t xml:space="preserve"> </w:t>
      </w:r>
      <w:r w:rsidRPr="00616FA7">
        <w:rPr>
          <w:rFonts w:ascii="David" w:hAnsi="David"/>
          <w:b/>
          <w:bCs/>
          <w:sz w:val="26"/>
          <w:szCs w:val="26"/>
          <w:rtl/>
        </w:rPr>
        <w:t>אברמס נ' מ"י</w:t>
      </w:r>
      <w:r>
        <w:rPr>
          <w:rFonts w:ascii="David" w:hAnsi="David"/>
          <w:sz w:val="26"/>
          <w:szCs w:val="26"/>
          <w:rtl/>
        </w:rPr>
        <w:t xml:space="preserve"> (מיום 18.5.2016) שם בוצעו 3 עסקאות בכמויות סם גדולות יותר, נקבע מתחם שבין 8 ל-27 חודשי מאסר ונגזרו 8 חודשי מאסר בפועל; </w:t>
      </w:r>
    </w:p>
    <w:p w14:paraId="10A02995" w14:textId="77777777" w:rsidR="00EA5C39" w:rsidRDefault="00EA5C39" w:rsidP="00EA5C39">
      <w:pPr>
        <w:pStyle w:val="a9"/>
        <w:numPr>
          <w:ilvl w:val="0"/>
          <w:numId w:val="1"/>
        </w:numPr>
        <w:spacing w:after="160" w:line="360" w:lineRule="auto"/>
        <w:jc w:val="both"/>
        <w:rPr>
          <w:rFonts w:ascii="David" w:hAnsi="David"/>
          <w:sz w:val="26"/>
          <w:szCs w:val="26"/>
        </w:rPr>
      </w:pPr>
      <w:r>
        <w:rPr>
          <w:rFonts w:ascii="David" w:hAnsi="David"/>
          <w:sz w:val="26"/>
          <w:szCs w:val="26"/>
          <w:rtl/>
        </w:rPr>
        <w:t xml:space="preserve">בעפ"ג (מחוזי י-ם) </w:t>
      </w:r>
      <w:r w:rsidRPr="00616FA7">
        <w:rPr>
          <w:rFonts w:ascii="David" w:hAnsi="David"/>
          <w:b/>
          <w:bCs/>
          <w:sz w:val="26"/>
          <w:szCs w:val="26"/>
          <w:rtl/>
        </w:rPr>
        <w:t>רוזנברג נ' מ"י</w:t>
      </w:r>
      <w:r>
        <w:rPr>
          <w:rFonts w:ascii="David" w:hAnsi="David"/>
          <w:sz w:val="26"/>
          <w:szCs w:val="26"/>
          <w:rtl/>
        </w:rPr>
        <w:t xml:space="preserve"> (מיום 26.6.2017) נקבע מתחם שבין מספר חודשי מאסר ל-10 חודשי מאסר בנסיבות של 2 מכירות אך בכמויות גדולות יותר שם הסתפק בית המשפט המחוזי ב-49 ימי מאסר (חלף חצי שנת מאסר ויום שנגזרה על-ידי) בשל נסיבות המקרה. </w:t>
      </w:r>
    </w:p>
    <w:p w14:paraId="6B6804F4" w14:textId="77777777" w:rsidR="00EA5C39" w:rsidRDefault="00EA5C39" w:rsidP="00EA5C39">
      <w:pPr>
        <w:pStyle w:val="a9"/>
        <w:spacing w:after="160" w:line="360" w:lineRule="auto"/>
        <w:jc w:val="both"/>
        <w:rPr>
          <w:rFonts w:ascii="David" w:hAnsi="David"/>
          <w:sz w:val="26"/>
          <w:szCs w:val="26"/>
        </w:rPr>
      </w:pPr>
    </w:p>
    <w:p w14:paraId="1092FDF4" w14:textId="77777777" w:rsidR="00EA5C39" w:rsidRPr="00293A3D" w:rsidRDefault="00EA5C39" w:rsidP="00EA5C39">
      <w:pPr>
        <w:pStyle w:val="a9"/>
        <w:numPr>
          <w:ilvl w:val="0"/>
          <w:numId w:val="2"/>
        </w:numPr>
        <w:spacing w:after="160" w:line="360" w:lineRule="auto"/>
        <w:jc w:val="both"/>
        <w:rPr>
          <w:rFonts w:ascii="David" w:hAnsi="David"/>
          <w:sz w:val="26"/>
          <w:szCs w:val="26"/>
          <w:rtl/>
        </w:rPr>
      </w:pPr>
      <w:r w:rsidRPr="00293A3D">
        <w:rPr>
          <w:rFonts w:ascii="David" w:hAnsi="David"/>
          <w:b/>
          <w:bCs/>
          <w:sz w:val="26"/>
          <w:szCs w:val="26"/>
          <w:rtl/>
        </w:rPr>
        <w:t>מתחם הענישה</w:t>
      </w:r>
      <w:r w:rsidRPr="00293A3D">
        <w:rPr>
          <w:rFonts w:ascii="David" w:hAnsi="David"/>
          <w:sz w:val="26"/>
          <w:szCs w:val="26"/>
          <w:rtl/>
        </w:rPr>
        <w:t xml:space="preserve"> – לפיכך, </w:t>
      </w:r>
      <w:r>
        <w:rPr>
          <w:rFonts w:ascii="David" w:hAnsi="David" w:hint="cs"/>
          <w:sz w:val="26"/>
          <w:szCs w:val="26"/>
          <w:rtl/>
        </w:rPr>
        <w:t xml:space="preserve">קובע </w:t>
      </w:r>
      <w:r w:rsidRPr="00293A3D">
        <w:rPr>
          <w:rFonts w:ascii="David" w:hAnsi="David"/>
          <w:sz w:val="26"/>
          <w:szCs w:val="26"/>
          <w:rtl/>
        </w:rPr>
        <w:t xml:space="preserve">מתחם עונש </w:t>
      </w:r>
      <w:r>
        <w:rPr>
          <w:rFonts w:ascii="David" w:hAnsi="David" w:hint="cs"/>
          <w:sz w:val="26"/>
          <w:szCs w:val="26"/>
          <w:rtl/>
        </w:rPr>
        <w:t>אחד לכלל האישומים, ש</w:t>
      </w:r>
      <w:r w:rsidRPr="00293A3D">
        <w:rPr>
          <w:rFonts w:ascii="David" w:hAnsi="David"/>
          <w:sz w:val="26"/>
          <w:szCs w:val="26"/>
          <w:rtl/>
        </w:rPr>
        <w:t xml:space="preserve">יעמוד על </w:t>
      </w:r>
      <w:r>
        <w:rPr>
          <w:rFonts w:ascii="David" w:hAnsi="David" w:hint="cs"/>
          <w:sz w:val="26"/>
          <w:szCs w:val="26"/>
          <w:rtl/>
        </w:rPr>
        <w:t>9</w:t>
      </w:r>
      <w:r w:rsidRPr="00293A3D">
        <w:rPr>
          <w:rFonts w:ascii="David" w:hAnsi="David"/>
          <w:sz w:val="26"/>
          <w:szCs w:val="26"/>
          <w:rtl/>
        </w:rPr>
        <w:t xml:space="preserve"> עד </w:t>
      </w:r>
      <w:r>
        <w:rPr>
          <w:rFonts w:ascii="David" w:hAnsi="David" w:hint="cs"/>
          <w:sz w:val="26"/>
          <w:szCs w:val="26"/>
          <w:rtl/>
        </w:rPr>
        <w:t>24</w:t>
      </w:r>
      <w:r w:rsidRPr="00293A3D">
        <w:rPr>
          <w:rFonts w:ascii="David" w:hAnsi="David"/>
          <w:sz w:val="26"/>
          <w:szCs w:val="26"/>
          <w:rtl/>
        </w:rPr>
        <w:t xml:space="preserve"> חודשי מאסר, כאשר מדובר במסכת עבריינית אחת, באותה שיטת פעולה ובסמיכות זמנים ביחס לאירועי הסחר, ולכן מתקיים מבחן הקשר ההדוק כפי שנקבע ב</w:t>
      </w:r>
      <w:hyperlink r:id="rId21" w:history="1">
        <w:r w:rsidR="00982E2B" w:rsidRPr="00982E2B">
          <w:rPr>
            <w:rFonts w:ascii="David" w:hAnsi="David"/>
            <w:color w:val="0000FF"/>
            <w:sz w:val="26"/>
            <w:szCs w:val="26"/>
            <w:u w:val="single"/>
            <w:rtl/>
          </w:rPr>
          <w:t>ע"פ 4910/13</w:t>
        </w:r>
      </w:hyperlink>
      <w:r w:rsidRPr="00293A3D">
        <w:rPr>
          <w:rFonts w:ascii="David" w:hAnsi="David"/>
          <w:sz w:val="26"/>
          <w:szCs w:val="26"/>
          <w:rtl/>
        </w:rPr>
        <w:t xml:space="preserve"> </w:t>
      </w:r>
      <w:r w:rsidRPr="00293A3D">
        <w:rPr>
          <w:rFonts w:ascii="David" w:hAnsi="David"/>
          <w:b/>
          <w:bCs/>
          <w:sz w:val="26"/>
          <w:szCs w:val="26"/>
          <w:rtl/>
        </w:rPr>
        <w:t>בני ג'אבר נ' מ"י</w:t>
      </w:r>
      <w:r w:rsidRPr="00293A3D">
        <w:rPr>
          <w:rFonts w:ascii="David" w:hAnsi="David"/>
          <w:sz w:val="26"/>
          <w:szCs w:val="26"/>
          <w:rtl/>
        </w:rPr>
        <w:t xml:space="preserve"> (מיום 29.10.2014).</w:t>
      </w:r>
    </w:p>
    <w:p w14:paraId="7225301C" w14:textId="77777777" w:rsidR="00EA5C39" w:rsidRDefault="00EA5C39" w:rsidP="00EA5C39">
      <w:pPr>
        <w:spacing w:after="160" w:line="360" w:lineRule="auto"/>
        <w:jc w:val="both"/>
        <w:rPr>
          <w:rFonts w:ascii="David" w:hAnsi="David"/>
          <w:b/>
          <w:bCs/>
          <w:sz w:val="26"/>
          <w:szCs w:val="26"/>
          <w:rtl/>
        </w:rPr>
      </w:pPr>
    </w:p>
    <w:p w14:paraId="17B3A466" w14:textId="77777777" w:rsidR="00EA5C39" w:rsidRPr="00293A3D" w:rsidRDefault="00EA5C39" w:rsidP="00EA5C39">
      <w:pPr>
        <w:spacing w:after="160" w:line="360" w:lineRule="auto"/>
        <w:jc w:val="both"/>
        <w:rPr>
          <w:rFonts w:ascii="David" w:hAnsi="David"/>
          <w:b/>
          <w:bCs/>
          <w:sz w:val="26"/>
          <w:szCs w:val="26"/>
          <w:u w:val="single"/>
          <w:rtl/>
        </w:rPr>
      </w:pPr>
      <w:r w:rsidRPr="00293A3D">
        <w:rPr>
          <w:rFonts w:ascii="David" w:hAnsi="David"/>
          <w:b/>
          <w:bCs/>
          <w:sz w:val="26"/>
          <w:szCs w:val="26"/>
          <w:u w:val="single"/>
          <w:rtl/>
        </w:rPr>
        <w:t xml:space="preserve">נסיבות שאינן קשורות בעבירה </w:t>
      </w:r>
      <w:r>
        <w:rPr>
          <w:rFonts w:ascii="David" w:hAnsi="David" w:hint="cs"/>
          <w:b/>
          <w:bCs/>
          <w:sz w:val="26"/>
          <w:szCs w:val="26"/>
          <w:u w:val="single"/>
          <w:rtl/>
        </w:rPr>
        <w:t>והמיקום</w:t>
      </w:r>
    </w:p>
    <w:p w14:paraId="61B6AB34" w14:textId="77777777" w:rsidR="00EA5C39" w:rsidRPr="00C74DAF" w:rsidRDefault="00EA5C39" w:rsidP="00EA5C39">
      <w:pPr>
        <w:pStyle w:val="a9"/>
        <w:numPr>
          <w:ilvl w:val="0"/>
          <w:numId w:val="2"/>
        </w:numPr>
        <w:spacing w:after="160" w:line="360" w:lineRule="auto"/>
        <w:jc w:val="both"/>
        <w:rPr>
          <w:rFonts w:ascii="David" w:hAnsi="David"/>
          <w:sz w:val="26"/>
          <w:szCs w:val="26"/>
          <w:rtl/>
        </w:rPr>
      </w:pPr>
      <w:r w:rsidRPr="00C74DAF">
        <w:rPr>
          <w:rFonts w:ascii="David" w:hAnsi="David" w:hint="cs"/>
          <w:sz w:val="26"/>
          <w:szCs w:val="26"/>
          <w:rtl/>
        </w:rPr>
        <w:t xml:space="preserve">הנאשם צעיר ללא כל עבר פלילי. הוא סיים לימודי תיכון, שירת צבאי מלא, ולאורך כל חייו גילה חריצות בעבודה רצופה. הוא קיבל אחריות מלאה למעשים והסביר אותם, והגם שאין בכך להכשיר את מעשיו, ניתן להבין שברגע שנפגע ציר מרכזי בחייו </w:t>
      </w:r>
      <w:r w:rsidRPr="00C74DAF">
        <w:rPr>
          <w:rFonts w:ascii="David" w:hAnsi="David"/>
          <w:sz w:val="26"/>
          <w:szCs w:val="26"/>
          <w:rtl/>
        </w:rPr>
        <w:t>–</w:t>
      </w:r>
      <w:r w:rsidRPr="00C74DAF">
        <w:rPr>
          <w:rFonts w:ascii="David" w:hAnsi="David" w:hint="cs"/>
          <w:sz w:val="26"/>
          <w:szCs w:val="26"/>
          <w:rtl/>
        </w:rPr>
        <w:t xml:space="preserve"> תעסוקה </w:t>
      </w:r>
      <w:r w:rsidRPr="00C74DAF">
        <w:rPr>
          <w:rFonts w:ascii="David" w:hAnsi="David"/>
          <w:sz w:val="26"/>
          <w:szCs w:val="26"/>
          <w:rtl/>
        </w:rPr>
        <w:t>–</w:t>
      </w:r>
      <w:r w:rsidRPr="00C74DAF">
        <w:rPr>
          <w:rFonts w:ascii="David" w:hAnsi="David" w:hint="cs"/>
          <w:sz w:val="26"/>
          <w:szCs w:val="26"/>
          <w:rtl/>
        </w:rPr>
        <w:t xml:space="preserve"> בעקבות משבר הקורונה, חש משבר משמעותי ופעל כפי שפעל. מאז לא פתח תיקים חדשים ולא נרשמו לחובתו הפרות תנאים. בנסיבות אלו, </w:t>
      </w:r>
      <w:r>
        <w:rPr>
          <w:rFonts w:ascii="David" w:hAnsi="David" w:hint="cs"/>
          <w:sz w:val="26"/>
          <w:szCs w:val="26"/>
          <w:rtl/>
        </w:rPr>
        <w:t xml:space="preserve">היה מקום </w:t>
      </w:r>
      <w:r w:rsidRPr="00C74DAF">
        <w:rPr>
          <w:rFonts w:ascii="David" w:hAnsi="David" w:hint="cs"/>
          <w:sz w:val="26"/>
          <w:szCs w:val="26"/>
          <w:rtl/>
        </w:rPr>
        <w:t>למקם את הנאשם בתחילת המתחם ולהטיל עליו עונש מאסר שירוצה בעבודות שירות לתרופה המרבית</w:t>
      </w:r>
      <w:r>
        <w:rPr>
          <w:rFonts w:ascii="David" w:hAnsi="David" w:hint="cs"/>
          <w:sz w:val="26"/>
          <w:szCs w:val="26"/>
          <w:rtl/>
        </w:rPr>
        <w:t xml:space="preserve"> מבלי לשלוח אותו למאסר בפועל, שיש בו לדרדרו לחיי פשע, כפי שעמדה על כך בהרחבה וועדת דורנר במסקנותיה [</w:t>
      </w:r>
      <w:r>
        <w:rPr>
          <w:rFonts w:ascii="David" w:hAnsi="David" w:hint="cs"/>
          <w:b/>
          <w:bCs/>
          <w:sz w:val="26"/>
          <w:szCs w:val="26"/>
          <w:rtl/>
        </w:rPr>
        <w:t xml:space="preserve">ר': </w:t>
      </w:r>
      <w:r w:rsidRPr="00AB69F1">
        <w:rPr>
          <w:rFonts w:ascii="David" w:hAnsi="David" w:hint="cs"/>
          <w:b/>
          <w:bCs/>
          <w:sz w:val="26"/>
          <w:szCs w:val="26"/>
          <w:rtl/>
        </w:rPr>
        <w:t>הוועדה הציבורית לבחינת מדיניות הענישה והטיפול בעבריינים</w:t>
      </w:r>
      <w:r>
        <w:rPr>
          <w:rFonts w:ascii="David" w:hAnsi="David" w:hint="cs"/>
          <w:sz w:val="26"/>
          <w:szCs w:val="26"/>
          <w:rtl/>
        </w:rPr>
        <w:t xml:space="preserve"> (</w:t>
      </w:r>
      <w:r w:rsidRPr="00AB69F1">
        <w:rPr>
          <w:rFonts w:ascii="David" w:hAnsi="David" w:hint="cs"/>
          <w:b/>
          <w:bCs/>
          <w:sz w:val="26"/>
          <w:szCs w:val="26"/>
          <w:rtl/>
        </w:rPr>
        <w:t>ועדת דורנר</w:t>
      </w:r>
      <w:r>
        <w:rPr>
          <w:rFonts w:ascii="David" w:hAnsi="David" w:hint="cs"/>
          <w:sz w:val="26"/>
          <w:szCs w:val="26"/>
          <w:rtl/>
        </w:rPr>
        <w:t xml:space="preserve">) (אוגוסט 2015) </w:t>
      </w:r>
      <w:r>
        <w:rPr>
          <w:rFonts w:ascii="David" w:hAnsi="David"/>
          <w:sz w:val="26"/>
          <w:szCs w:val="26"/>
          <w:rtl/>
        </w:rPr>
        <w:t>–</w:t>
      </w:r>
      <w:r>
        <w:rPr>
          <w:rFonts w:ascii="David" w:hAnsi="David" w:hint="cs"/>
          <w:sz w:val="26"/>
          <w:szCs w:val="26"/>
          <w:rtl/>
        </w:rPr>
        <w:t xml:space="preserve"> ר' עמ' 26 לדו"ח הוועדה והדיון בדבר ההשפעה הקרימינוגנית של מאסר למי שלא נשא עונש כזה בעברו]. אלא שסברתי שיש לנקוט דרך אחרת ולחרוג ממתחם העונש משיקולי שיקום. </w:t>
      </w:r>
    </w:p>
    <w:p w14:paraId="37D2D50A" w14:textId="77777777" w:rsidR="00EA5C39" w:rsidRDefault="00EA5C39" w:rsidP="00EA5C39">
      <w:pPr>
        <w:spacing w:after="160" w:line="360" w:lineRule="auto"/>
        <w:jc w:val="both"/>
        <w:rPr>
          <w:rFonts w:ascii="David" w:hAnsi="David"/>
          <w:b/>
          <w:bCs/>
          <w:sz w:val="26"/>
          <w:szCs w:val="26"/>
          <w:u w:val="single"/>
          <w:rtl/>
        </w:rPr>
      </w:pPr>
    </w:p>
    <w:p w14:paraId="2E43B0BC" w14:textId="77777777" w:rsidR="00EA5C39" w:rsidRDefault="00EA5C39" w:rsidP="00EA5C39">
      <w:pPr>
        <w:spacing w:after="160" w:line="360" w:lineRule="auto"/>
        <w:jc w:val="both"/>
        <w:rPr>
          <w:rFonts w:ascii="David" w:hAnsi="David"/>
          <w:b/>
          <w:bCs/>
          <w:sz w:val="26"/>
          <w:szCs w:val="26"/>
          <w:u w:val="single"/>
          <w:rtl/>
        </w:rPr>
      </w:pPr>
      <w:r>
        <w:rPr>
          <w:rFonts w:ascii="David" w:hAnsi="David" w:hint="cs"/>
          <w:b/>
          <w:bCs/>
          <w:sz w:val="26"/>
          <w:szCs w:val="26"/>
          <w:u w:val="single"/>
          <w:rtl/>
        </w:rPr>
        <w:t>חריגה מטעמי שיקום</w:t>
      </w:r>
    </w:p>
    <w:p w14:paraId="75DFD670" w14:textId="77777777" w:rsidR="00EA5C39" w:rsidRDefault="00EA5C39" w:rsidP="00EA5C39">
      <w:pPr>
        <w:pStyle w:val="a9"/>
        <w:numPr>
          <w:ilvl w:val="0"/>
          <w:numId w:val="2"/>
        </w:numPr>
        <w:spacing w:after="160" w:line="360" w:lineRule="auto"/>
        <w:jc w:val="both"/>
        <w:rPr>
          <w:rFonts w:ascii="David" w:hAnsi="David"/>
          <w:sz w:val="26"/>
          <w:szCs w:val="26"/>
        </w:rPr>
      </w:pPr>
      <w:r w:rsidRPr="000F3C3E">
        <w:rPr>
          <w:rFonts w:ascii="David" w:hAnsi="David" w:hint="cs"/>
          <w:sz w:val="26"/>
          <w:szCs w:val="26"/>
          <w:rtl/>
        </w:rPr>
        <w:t xml:space="preserve">בידוע, דרך המלך </w:t>
      </w:r>
      <w:r>
        <w:rPr>
          <w:rFonts w:ascii="David" w:hAnsi="David" w:hint="cs"/>
          <w:sz w:val="26"/>
          <w:szCs w:val="26"/>
          <w:rtl/>
        </w:rPr>
        <w:t>בטיפול במסגרת הליך פלילי היא באמצעות שירות המבחן. אלא שלעתים הדבר אינו מתנהל על-פי הדפוסים המוכרים ויש פעמים שיש "לחנוך לנער על-פי דרכו". בענייננו מזה כחצי שנה הנאשם נמצא בתהליך טיפולי אינטנסיבי אליו פנה לאחר שמהלכיו מול שירות המבחן לא הצליחו, ולאחר שהבהרתי לו את פני הדברים. המרכז הירושלמי הוא מרכז ידוע ומוכר שבו עושה שימוש גם שירות המבחן, והמלצתו של מר בר יש לה משקל משמעותי בעיניי. העובדה שהנאשם מתמיד באופן אינטנסיבי בקשר עם המרכז היא משמעותית בעיניי ומעידה על הרצינות שבה בחר ללכת.</w:t>
      </w:r>
    </w:p>
    <w:p w14:paraId="27328518" w14:textId="77777777" w:rsidR="00EA5C39" w:rsidRDefault="00EA5C39" w:rsidP="00EA5C39">
      <w:pPr>
        <w:pStyle w:val="a9"/>
        <w:numPr>
          <w:ilvl w:val="0"/>
          <w:numId w:val="2"/>
        </w:numPr>
        <w:spacing w:after="160" w:line="360" w:lineRule="auto"/>
        <w:jc w:val="both"/>
        <w:rPr>
          <w:rFonts w:ascii="David" w:hAnsi="David"/>
          <w:sz w:val="26"/>
          <w:szCs w:val="26"/>
        </w:rPr>
      </w:pPr>
      <w:r w:rsidRPr="008663D2">
        <w:rPr>
          <w:rFonts w:ascii="David" w:hAnsi="David" w:hint="cs"/>
          <w:sz w:val="26"/>
          <w:szCs w:val="26"/>
          <w:rtl/>
        </w:rPr>
        <w:t>ב</w:t>
      </w:r>
      <w:r w:rsidRPr="008663D2">
        <w:rPr>
          <w:rFonts w:ascii="David" w:hAnsi="David"/>
          <w:sz w:val="26"/>
          <w:szCs w:val="26"/>
          <w:rtl/>
        </w:rPr>
        <w:t xml:space="preserve">ע"פ 6337/17 </w:t>
      </w:r>
      <w:r w:rsidRPr="008663D2">
        <w:rPr>
          <w:rFonts w:ascii="David" w:hAnsi="David"/>
          <w:b/>
          <w:bCs/>
          <w:sz w:val="26"/>
          <w:szCs w:val="26"/>
          <w:rtl/>
        </w:rPr>
        <w:t>קרנדל נ' מ"י</w:t>
      </w:r>
      <w:r w:rsidRPr="008663D2">
        <w:rPr>
          <w:rFonts w:ascii="David" w:hAnsi="David"/>
          <w:sz w:val="26"/>
          <w:szCs w:val="26"/>
          <w:rtl/>
        </w:rPr>
        <w:t xml:space="preserve"> (מיום 18.4.2018) </w:t>
      </w:r>
      <w:r>
        <w:rPr>
          <w:rFonts w:ascii="David" w:hAnsi="David" w:hint="cs"/>
          <w:sz w:val="26"/>
          <w:szCs w:val="26"/>
          <w:rtl/>
        </w:rPr>
        <w:t>ב</w:t>
      </w:r>
      <w:r w:rsidRPr="008663D2">
        <w:rPr>
          <w:rFonts w:ascii="David" w:hAnsi="David"/>
          <w:sz w:val="26"/>
          <w:szCs w:val="26"/>
          <w:rtl/>
        </w:rPr>
        <w:t xml:space="preserve">סעיף 24 לפסק הדין של </w:t>
      </w:r>
      <w:r>
        <w:rPr>
          <w:rFonts w:ascii="David" w:hAnsi="David" w:hint="cs"/>
          <w:sz w:val="26"/>
          <w:szCs w:val="26"/>
          <w:rtl/>
        </w:rPr>
        <w:t xml:space="preserve">כב' </w:t>
      </w:r>
      <w:r w:rsidRPr="008663D2">
        <w:rPr>
          <w:rFonts w:ascii="David" w:hAnsi="David"/>
          <w:sz w:val="26"/>
          <w:szCs w:val="26"/>
          <w:rtl/>
        </w:rPr>
        <w:t xml:space="preserve">השופטת ברק ארז, </w:t>
      </w:r>
      <w:r>
        <w:rPr>
          <w:rFonts w:ascii="David" w:hAnsi="David" w:hint="cs"/>
          <w:sz w:val="26"/>
          <w:szCs w:val="26"/>
          <w:rtl/>
        </w:rPr>
        <w:t>עמד בית המשפט העליון על משמעותו של השיקום ועל השיקולים שיש לקחת בחשבון כשבית המשפט שוקל סטייה לקולה מטעמים אלו. סברתי שהטעמים מתקיימים בעניינו של הנאשם. בנוסף, מפנה ל</w:t>
      </w:r>
      <w:hyperlink r:id="rId22" w:history="1">
        <w:r w:rsidR="00982E2B" w:rsidRPr="00982E2B">
          <w:rPr>
            <w:rFonts w:ascii="David" w:hAnsi="David"/>
            <w:color w:val="0000FF"/>
            <w:sz w:val="26"/>
            <w:szCs w:val="26"/>
            <w:u w:val="single"/>
            <w:rtl/>
          </w:rPr>
          <w:t>ע"פ (ירושלים) 11045-09-18</w:t>
        </w:r>
      </w:hyperlink>
      <w:r>
        <w:rPr>
          <w:rFonts w:ascii="David" w:hAnsi="David" w:hint="cs"/>
          <w:sz w:val="26"/>
          <w:szCs w:val="26"/>
          <w:rtl/>
        </w:rPr>
        <w:t xml:space="preserve"> </w:t>
      </w:r>
      <w:r w:rsidRPr="00131123">
        <w:rPr>
          <w:rFonts w:ascii="David" w:hAnsi="David" w:hint="cs"/>
          <w:b/>
          <w:bCs/>
          <w:sz w:val="26"/>
          <w:szCs w:val="26"/>
          <w:rtl/>
        </w:rPr>
        <w:t>פלוני נ' מ"י</w:t>
      </w:r>
      <w:r>
        <w:rPr>
          <w:rFonts w:ascii="David" w:hAnsi="David" w:hint="cs"/>
          <w:sz w:val="26"/>
          <w:szCs w:val="26"/>
          <w:rtl/>
        </w:rPr>
        <w:t xml:space="preserve"> (מיום 3.3.2019) ול</w:t>
      </w:r>
      <w:hyperlink r:id="rId23" w:history="1">
        <w:r w:rsidR="00982E2B" w:rsidRPr="00982E2B">
          <w:rPr>
            <w:rFonts w:ascii="David" w:hAnsi="David"/>
            <w:color w:val="0000FF"/>
            <w:sz w:val="26"/>
            <w:szCs w:val="26"/>
            <w:u w:val="single"/>
            <w:rtl/>
          </w:rPr>
          <w:t>ע"פ (י-ם) 33947-10-17</w:t>
        </w:r>
      </w:hyperlink>
      <w:r>
        <w:rPr>
          <w:rFonts w:ascii="David" w:hAnsi="David" w:hint="cs"/>
          <w:sz w:val="26"/>
          <w:szCs w:val="26"/>
          <w:rtl/>
        </w:rPr>
        <w:t xml:space="preserve"> מ</w:t>
      </w:r>
      <w:r w:rsidRPr="00131123">
        <w:rPr>
          <w:rFonts w:ascii="David" w:hAnsi="David" w:hint="cs"/>
          <w:b/>
          <w:bCs/>
          <w:sz w:val="26"/>
          <w:szCs w:val="26"/>
          <w:rtl/>
        </w:rPr>
        <w:t>"י נ' קרוקוצקי</w:t>
      </w:r>
      <w:r>
        <w:rPr>
          <w:rFonts w:ascii="David" w:hAnsi="David" w:hint="cs"/>
          <w:sz w:val="26"/>
          <w:szCs w:val="26"/>
          <w:rtl/>
        </w:rPr>
        <w:t xml:space="preserve"> (מיום 20.3.2018), שני מקרים של ריבוי סחר בסמים בכמויות לא קטנות שהסתיימות אף בביטול הרשעה ובהטלת של"ץ נרחב נוכח תהליך שיקומי. אני סבור שתוצאה זו יכולה לעמוד גם בענייננו נוכח הדרך שעבר הנאשם, שהגם שלא הייתה מושלמת בתחילתה, בחצי השנה האחרונה הוא הוכיח  רצינות וביסס את הסיכוי הממשי לשיקום ארוך טווח. </w:t>
      </w:r>
    </w:p>
    <w:p w14:paraId="5828ADAD" w14:textId="77777777" w:rsidR="00EA5C39" w:rsidRDefault="00EA5C39" w:rsidP="00EA5C39">
      <w:pPr>
        <w:pStyle w:val="a9"/>
        <w:numPr>
          <w:ilvl w:val="0"/>
          <w:numId w:val="2"/>
        </w:numPr>
        <w:spacing w:after="160" w:line="360" w:lineRule="auto"/>
        <w:jc w:val="both"/>
        <w:rPr>
          <w:rFonts w:ascii="David" w:hAnsi="David"/>
          <w:sz w:val="26"/>
          <w:szCs w:val="26"/>
        </w:rPr>
      </w:pPr>
      <w:r>
        <w:rPr>
          <w:rFonts w:ascii="David" w:hAnsi="David" w:hint="cs"/>
          <w:sz w:val="26"/>
          <w:szCs w:val="26"/>
          <w:rtl/>
        </w:rPr>
        <w:t>סברתי שהטלת מאסר ולו בעבודות שירות, ישמוט תחת רגליו את הבסיס היחיד לקיומו היציב ולתקווה שיוכל להיפרע מחובותיו ולפתוח דף חדש באמת, ללא "גבנון" עברו והסתבכותו. מעבר לכך נתתי משקל לכך שהנאשם כבר שהה במעצר ממש כחודש וחצי, ויש בכך כדי ללמדו את טעם בית האסורים, משל לקח לעתיד.</w:t>
      </w:r>
    </w:p>
    <w:p w14:paraId="2B9BBC63" w14:textId="77777777" w:rsidR="00EA5C39" w:rsidRDefault="00EA5C39" w:rsidP="00EA5C39">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לכן יש מקום לסטות ממתחם העונש שקבעתי מטעמי שיקום ולהסתפק בעונש של של"ץ משמעותי כגמול הולם למעשים בנוסף לרכיבי עונשי נוספים. </w:t>
      </w:r>
    </w:p>
    <w:p w14:paraId="1096E315" w14:textId="77777777" w:rsidR="00EA5C39" w:rsidRDefault="00EA5C39" w:rsidP="00EA5C39">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07924A30" w14:textId="77777777" w:rsidR="00EA5C39" w:rsidRPr="00AB69F1" w:rsidRDefault="00EA5C39" w:rsidP="00EA5C39">
      <w:pPr>
        <w:pStyle w:val="a9"/>
        <w:numPr>
          <w:ilvl w:val="0"/>
          <w:numId w:val="2"/>
        </w:numPr>
        <w:spacing w:after="160" w:line="360" w:lineRule="auto"/>
        <w:jc w:val="both"/>
        <w:rPr>
          <w:rFonts w:ascii="David" w:hAnsi="David"/>
          <w:sz w:val="26"/>
          <w:szCs w:val="26"/>
          <w:rtl/>
        </w:rPr>
      </w:pPr>
      <w:r w:rsidRPr="00AB69F1">
        <w:rPr>
          <w:rFonts w:ascii="David" w:hAnsi="David"/>
          <w:sz w:val="26"/>
          <w:szCs w:val="26"/>
          <w:rtl/>
        </w:rPr>
        <w:t>לפיכך, אני מחליט לגזור על הנאשם את העונשים הבאים:</w:t>
      </w:r>
    </w:p>
    <w:p w14:paraId="1234D7B3" w14:textId="77777777" w:rsidR="00EA5C39" w:rsidRDefault="00EA5C39" w:rsidP="00EA5C39">
      <w:pPr>
        <w:pStyle w:val="a9"/>
        <w:numPr>
          <w:ilvl w:val="0"/>
          <w:numId w:val="3"/>
        </w:numPr>
        <w:spacing w:line="360" w:lineRule="auto"/>
        <w:jc w:val="both"/>
        <w:rPr>
          <w:rFonts w:ascii="Arial" w:hAnsi="Arial"/>
          <w:sz w:val="26"/>
          <w:szCs w:val="26"/>
        </w:rPr>
      </w:pPr>
      <w:r>
        <w:rPr>
          <w:rFonts w:ascii="Arial" w:hAnsi="Arial" w:hint="cs"/>
          <w:sz w:val="26"/>
          <w:szCs w:val="26"/>
          <w:rtl/>
        </w:rPr>
        <w:t>450 שעות של"ץ לביצוע ע"פ תוכנית שיגיש שירות המבחן בתוך 60 יום. הובהר לנאשם שאם לא יבצע כראוי את השל"ץ ניתן יהיה להטיל עליו כל עונש חלופי לרבות מאסר. במהלך השל"ץ רשאי שירות המבחן ליטול בדיקות שתן;</w:t>
      </w:r>
    </w:p>
    <w:p w14:paraId="1043B3B7" w14:textId="77777777" w:rsidR="00EA5C39" w:rsidRDefault="00EA5C39" w:rsidP="00EA5C39">
      <w:pPr>
        <w:pStyle w:val="a9"/>
        <w:numPr>
          <w:ilvl w:val="0"/>
          <w:numId w:val="3"/>
        </w:numPr>
        <w:spacing w:line="360" w:lineRule="auto"/>
        <w:jc w:val="both"/>
        <w:rPr>
          <w:rFonts w:ascii="Arial" w:hAnsi="Arial"/>
          <w:sz w:val="26"/>
          <w:szCs w:val="26"/>
        </w:rPr>
      </w:pPr>
      <w:r>
        <w:rPr>
          <w:rFonts w:ascii="Arial" w:hAnsi="Arial"/>
          <w:sz w:val="26"/>
          <w:szCs w:val="26"/>
          <w:rtl/>
        </w:rPr>
        <w:t xml:space="preserve">מאסר על תנאי של </w:t>
      </w:r>
      <w:r>
        <w:rPr>
          <w:rFonts w:ascii="Arial" w:hAnsi="Arial" w:hint="cs"/>
          <w:sz w:val="26"/>
          <w:szCs w:val="26"/>
          <w:rtl/>
        </w:rPr>
        <w:t xml:space="preserve">8 </w:t>
      </w:r>
      <w:r>
        <w:rPr>
          <w:rFonts w:ascii="Arial" w:hAnsi="Arial"/>
          <w:sz w:val="26"/>
          <w:szCs w:val="26"/>
          <w:rtl/>
        </w:rPr>
        <w:t xml:space="preserve">חודשים, שלא </w:t>
      </w:r>
      <w:r>
        <w:rPr>
          <w:rFonts w:ascii="Arial" w:hAnsi="Arial" w:hint="cs"/>
          <w:sz w:val="26"/>
          <w:szCs w:val="26"/>
          <w:rtl/>
        </w:rPr>
        <w:t>יעבור הנאשם כל עבירת פשע לפי פקודת הסמים בתוך שלוש שנים מהיום;</w:t>
      </w:r>
    </w:p>
    <w:p w14:paraId="1052241D" w14:textId="77777777" w:rsidR="00EA5C39" w:rsidRDefault="00EA5C39" w:rsidP="00EA5C39">
      <w:pPr>
        <w:pStyle w:val="a9"/>
        <w:numPr>
          <w:ilvl w:val="0"/>
          <w:numId w:val="3"/>
        </w:numPr>
        <w:spacing w:line="360" w:lineRule="auto"/>
        <w:jc w:val="both"/>
        <w:rPr>
          <w:rFonts w:ascii="Arial" w:hAnsi="Arial"/>
          <w:sz w:val="26"/>
          <w:szCs w:val="26"/>
        </w:rPr>
      </w:pPr>
      <w:r>
        <w:rPr>
          <w:rFonts w:ascii="Arial" w:hAnsi="Arial"/>
          <w:sz w:val="26"/>
          <w:szCs w:val="26"/>
          <w:rtl/>
        </w:rPr>
        <w:t xml:space="preserve">מאסר על תנאי של </w:t>
      </w:r>
      <w:r>
        <w:rPr>
          <w:rFonts w:ascii="Arial" w:hAnsi="Arial" w:hint="cs"/>
          <w:sz w:val="26"/>
          <w:szCs w:val="26"/>
          <w:rtl/>
        </w:rPr>
        <w:t>חודשיים</w:t>
      </w:r>
      <w:r>
        <w:rPr>
          <w:rFonts w:ascii="Arial" w:hAnsi="Arial"/>
          <w:sz w:val="26"/>
          <w:szCs w:val="26"/>
          <w:rtl/>
        </w:rPr>
        <w:t xml:space="preserve">, שלא </w:t>
      </w:r>
      <w:r>
        <w:rPr>
          <w:rFonts w:ascii="Arial" w:hAnsi="Arial" w:hint="cs"/>
          <w:sz w:val="26"/>
          <w:szCs w:val="26"/>
          <w:rtl/>
        </w:rPr>
        <w:t>יעבור הנאשם כל עבירת עוון לפי פקודת הסמים בתוך שלוש שנים מהיום;</w:t>
      </w:r>
    </w:p>
    <w:p w14:paraId="3A401B97" w14:textId="77777777" w:rsidR="00EA5C39" w:rsidRDefault="00EA5C39" w:rsidP="00EA5C39">
      <w:pPr>
        <w:pStyle w:val="a9"/>
        <w:numPr>
          <w:ilvl w:val="0"/>
          <w:numId w:val="3"/>
        </w:numPr>
        <w:spacing w:line="360" w:lineRule="auto"/>
        <w:jc w:val="both"/>
        <w:rPr>
          <w:rFonts w:ascii="Arial" w:hAnsi="Arial"/>
          <w:sz w:val="26"/>
          <w:szCs w:val="26"/>
          <w:rtl/>
        </w:rPr>
      </w:pPr>
      <w:r>
        <w:rPr>
          <w:rFonts w:ascii="Arial" w:hAnsi="Arial" w:hint="cs"/>
          <w:sz w:val="26"/>
          <w:szCs w:val="26"/>
          <w:rtl/>
        </w:rPr>
        <w:t>12 חודשי פסילה מלקבל או מלהחזיק ברישיון נהיגה, וזאת על-תנאי למשך 3 שנים מהיום, שלא יעבור הנאשם כל עבירה לפי פקודת הסמים;</w:t>
      </w:r>
    </w:p>
    <w:p w14:paraId="486F4C64" w14:textId="77777777" w:rsidR="00EA5C39" w:rsidRDefault="00EA5C39" w:rsidP="00EA5C39">
      <w:pPr>
        <w:pStyle w:val="a9"/>
        <w:numPr>
          <w:ilvl w:val="0"/>
          <w:numId w:val="3"/>
        </w:numPr>
        <w:spacing w:line="360" w:lineRule="auto"/>
        <w:jc w:val="both"/>
        <w:rPr>
          <w:rFonts w:ascii="Arial" w:hAnsi="Arial"/>
          <w:sz w:val="26"/>
          <w:szCs w:val="26"/>
        </w:rPr>
      </w:pPr>
      <w:r>
        <w:rPr>
          <w:rFonts w:ascii="Arial" w:hAnsi="Arial"/>
          <w:sz w:val="26"/>
          <w:szCs w:val="26"/>
          <w:rtl/>
        </w:rPr>
        <w:t xml:space="preserve">קנס בסך </w:t>
      </w:r>
      <w:r>
        <w:rPr>
          <w:rFonts w:ascii="Arial" w:hAnsi="Arial" w:hint="cs"/>
          <w:sz w:val="26"/>
          <w:szCs w:val="26"/>
          <w:rtl/>
        </w:rPr>
        <w:t>5,000</w:t>
      </w:r>
      <w:r>
        <w:rPr>
          <w:rFonts w:ascii="Arial" w:hAnsi="Arial"/>
          <w:sz w:val="26"/>
          <w:szCs w:val="26"/>
          <w:rtl/>
        </w:rPr>
        <w:t xml:space="preserve"> ₪ או </w:t>
      </w:r>
      <w:r>
        <w:rPr>
          <w:rFonts w:ascii="Arial" w:hAnsi="Arial" w:hint="cs"/>
          <w:sz w:val="26"/>
          <w:szCs w:val="26"/>
          <w:rtl/>
        </w:rPr>
        <w:t xml:space="preserve">20 </w:t>
      </w:r>
      <w:r>
        <w:rPr>
          <w:rFonts w:ascii="Arial" w:hAnsi="Arial"/>
          <w:sz w:val="26"/>
          <w:szCs w:val="26"/>
          <w:rtl/>
        </w:rPr>
        <w:t xml:space="preserve">ימי מאסר תמורתו אם לא ישולם. הקנס ישולם </w:t>
      </w:r>
      <w:r>
        <w:rPr>
          <w:rFonts w:ascii="Arial" w:hAnsi="Arial" w:hint="cs"/>
          <w:sz w:val="26"/>
          <w:szCs w:val="26"/>
          <w:rtl/>
        </w:rPr>
        <w:t>ב-10 תשלומים שווים ורצופים החל מיום 1.12.2023 ובכל 1 לחודש רציף ועוקב</w:t>
      </w:r>
      <w:r>
        <w:rPr>
          <w:rFonts w:ascii="Arial" w:hAnsi="Arial"/>
          <w:sz w:val="26"/>
          <w:szCs w:val="26"/>
          <w:rtl/>
        </w:rPr>
        <w:t>;</w:t>
      </w:r>
    </w:p>
    <w:p w14:paraId="70D27EAD" w14:textId="77777777" w:rsidR="00EA5C39" w:rsidRDefault="00EA5C39" w:rsidP="00EA5C39">
      <w:pPr>
        <w:pStyle w:val="a9"/>
        <w:numPr>
          <w:ilvl w:val="0"/>
          <w:numId w:val="3"/>
        </w:numPr>
        <w:spacing w:line="360" w:lineRule="auto"/>
        <w:jc w:val="both"/>
        <w:rPr>
          <w:rFonts w:ascii="Arial" w:hAnsi="Arial"/>
          <w:sz w:val="26"/>
          <w:szCs w:val="26"/>
        </w:rPr>
      </w:pPr>
      <w:r>
        <w:rPr>
          <w:rFonts w:ascii="Arial" w:hAnsi="Arial"/>
          <w:sz w:val="26"/>
          <w:szCs w:val="26"/>
          <w:rtl/>
        </w:rPr>
        <w:t xml:space="preserve">התחייבות בסך </w:t>
      </w:r>
      <w:r>
        <w:rPr>
          <w:rFonts w:ascii="Arial" w:hAnsi="Arial" w:hint="cs"/>
          <w:sz w:val="26"/>
          <w:szCs w:val="26"/>
          <w:rtl/>
        </w:rPr>
        <w:t xml:space="preserve">20,000 </w:t>
      </w:r>
      <w:r>
        <w:rPr>
          <w:rFonts w:ascii="Arial" w:hAnsi="Arial"/>
          <w:sz w:val="26"/>
          <w:szCs w:val="26"/>
          <w:rtl/>
        </w:rPr>
        <w:t xml:space="preserve">₪ שלא לעבור </w:t>
      </w:r>
      <w:r>
        <w:rPr>
          <w:rFonts w:ascii="Arial" w:hAnsi="Arial" w:hint="cs"/>
          <w:sz w:val="26"/>
          <w:szCs w:val="26"/>
          <w:rtl/>
        </w:rPr>
        <w:t>כל עבירת פשע לפי פקודת הסמים בתוך שנתיים מהיום;</w:t>
      </w:r>
    </w:p>
    <w:p w14:paraId="5652B7B2" w14:textId="77777777" w:rsidR="00EA5C39" w:rsidRDefault="00EA5C39" w:rsidP="00EA5C39">
      <w:pPr>
        <w:pStyle w:val="a9"/>
        <w:numPr>
          <w:ilvl w:val="0"/>
          <w:numId w:val="3"/>
        </w:numPr>
        <w:spacing w:line="360" w:lineRule="auto"/>
        <w:jc w:val="both"/>
        <w:rPr>
          <w:rFonts w:ascii="Arial" w:hAnsi="Arial"/>
          <w:sz w:val="26"/>
          <w:szCs w:val="26"/>
        </w:rPr>
      </w:pPr>
      <w:r>
        <w:rPr>
          <w:rFonts w:ascii="Arial" w:hAnsi="Arial" w:hint="cs"/>
          <w:sz w:val="26"/>
          <w:szCs w:val="26"/>
          <w:rtl/>
        </w:rPr>
        <w:t>מכריז על הנאשם "סוחר סמים" ומורה על חילוט כל הרכוש שנתפס לרבות הכספים ומורה על השמדת הסמים.</w:t>
      </w:r>
    </w:p>
    <w:p w14:paraId="3E5E0374" w14:textId="77777777" w:rsidR="00EA5C39" w:rsidRPr="00490633" w:rsidRDefault="00EA5C39" w:rsidP="00EA5C39">
      <w:pPr>
        <w:spacing w:line="360" w:lineRule="auto"/>
        <w:jc w:val="both"/>
        <w:rPr>
          <w:rFonts w:ascii="Arial" w:hAnsi="Arial"/>
          <w:sz w:val="26"/>
          <w:szCs w:val="26"/>
        </w:rPr>
      </w:pPr>
    </w:p>
    <w:p w14:paraId="37B7402C" w14:textId="77777777" w:rsidR="00EA5C39" w:rsidRDefault="00EA5C39" w:rsidP="00EA5C39">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0C25B952" w14:textId="77777777" w:rsidR="00EA5C39" w:rsidRDefault="00EA5C39" w:rsidP="00EA5C39">
      <w:pPr>
        <w:pStyle w:val="a9"/>
        <w:numPr>
          <w:ilvl w:val="0"/>
          <w:numId w:val="4"/>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24"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1E433065" w14:textId="77777777" w:rsidR="00EA5C39" w:rsidRDefault="00EA5C39" w:rsidP="00EA5C39">
      <w:pPr>
        <w:pStyle w:val="a9"/>
        <w:numPr>
          <w:ilvl w:val="0"/>
          <w:numId w:val="4"/>
        </w:numPr>
        <w:spacing w:line="360" w:lineRule="auto"/>
        <w:jc w:val="both"/>
        <w:rPr>
          <w:rFonts w:ascii="David" w:hAnsi="David"/>
          <w:b/>
          <w:bCs/>
          <w:sz w:val="26"/>
          <w:szCs w:val="26"/>
          <w:rtl/>
        </w:rPr>
      </w:pPr>
      <w:r>
        <w:rPr>
          <w:rFonts w:ascii="David" w:hAnsi="David"/>
          <w:b/>
          <w:bCs/>
          <w:sz w:val="26"/>
          <w:szCs w:val="26"/>
          <w:rtl/>
        </w:rPr>
        <w:t>בטלפון: 35592* או 073-2055000</w:t>
      </w:r>
    </w:p>
    <w:p w14:paraId="12A44F9C" w14:textId="77777777" w:rsidR="00EA5C39" w:rsidRDefault="00EA5C39" w:rsidP="00EA5C39">
      <w:pPr>
        <w:pStyle w:val="a9"/>
        <w:numPr>
          <w:ilvl w:val="0"/>
          <w:numId w:val="4"/>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448EE0FF" w14:textId="77777777" w:rsidR="00EA5C39" w:rsidRDefault="00EA5C39" w:rsidP="00EA5C39">
      <w:pPr>
        <w:spacing w:line="360" w:lineRule="auto"/>
        <w:jc w:val="both"/>
        <w:rPr>
          <w:rFonts w:ascii="David" w:hAnsi="David"/>
          <w:b/>
          <w:bCs/>
          <w:sz w:val="26"/>
          <w:szCs w:val="26"/>
        </w:rPr>
      </w:pPr>
      <w:r>
        <w:rPr>
          <w:rFonts w:ascii="David" w:hAnsi="David"/>
          <w:b/>
          <w:bCs/>
          <w:sz w:val="26"/>
          <w:szCs w:val="26"/>
          <w:rtl/>
        </w:rPr>
        <w:t>לא יונפקו שוברי תשלום.</w:t>
      </w:r>
    </w:p>
    <w:p w14:paraId="385A81DC" w14:textId="77777777" w:rsidR="00EA5C39" w:rsidRDefault="00EA5C39" w:rsidP="00EA5C39">
      <w:pPr>
        <w:spacing w:line="360" w:lineRule="auto"/>
        <w:jc w:val="both"/>
        <w:rPr>
          <w:b/>
          <w:bCs/>
          <w:sz w:val="26"/>
          <w:szCs w:val="26"/>
          <w:rtl/>
        </w:rPr>
      </w:pPr>
      <w:r>
        <w:rPr>
          <w:b/>
          <w:bCs/>
          <w:sz w:val="26"/>
          <w:szCs w:val="26"/>
          <w:rtl/>
        </w:rPr>
        <w:t>תשלומים ניתן לקזז מכל הפקדה שבתיק או בתיק קשור על אף הודעת עיקול, וככל שקיימת יתרת זכות ולא קיים עיקול, ניתן להשיב ההפקדה למפקידים.</w:t>
      </w:r>
    </w:p>
    <w:p w14:paraId="0334ABFE" w14:textId="77777777" w:rsidR="00EA5C39" w:rsidRDefault="00EA5C39" w:rsidP="00EA5C39">
      <w:pPr>
        <w:rPr>
          <w:sz w:val="26"/>
          <w:szCs w:val="26"/>
        </w:rPr>
      </w:pPr>
    </w:p>
    <w:p w14:paraId="16B6E54D" w14:textId="77777777" w:rsidR="00EA5C39" w:rsidRDefault="00EA5C39" w:rsidP="00EA5C39">
      <w:pPr>
        <w:rPr>
          <w:b/>
          <w:bCs/>
          <w:sz w:val="26"/>
          <w:szCs w:val="26"/>
          <w:rtl/>
        </w:rPr>
      </w:pPr>
      <w:r>
        <w:rPr>
          <w:b/>
          <w:bCs/>
          <w:sz w:val="26"/>
          <w:szCs w:val="26"/>
          <w:rtl/>
        </w:rPr>
        <w:t>יש לשלוח לשירות המבחן</w:t>
      </w:r>
      <w:r>
        <w:rPr>
          <w:rFonts w:hint="cs"/>
          <w:b/>
          <w:bCs/>
          <w:sz w:val="26"/>
          <w:szCs w:val="26"/>
          <w:rtl/>
        </w:rPr>
        <w:t xml:space="preserve"> ולממונה על עבודות השירות</w:t>
      </w:r>
      <w:r>
        <w:rPr>
          <w:b/>
          <w:bCs/>
          <w:sz w:val="26"/>
          <w:szCs w:val="26"/>
          <w:rtl/>
        </w:rPr>
        <w:t>.</w:t>
      </w:r>
    </w:p>
    <w:p w14:paraId="01876D08" w14:textId="77777777" w:rsidR="00EA5C39" w:rsidRDefault="00EA5C39" w:rsidP="00EA5C39">
      <w:pPr>
        <w:rPr>
          <w:b/>
          <w:bCs/>
          <w:sz w:val="26"/>
          <w:szCs w:val="26"/>
          <w:rtl/>
        </w:rPr>
      </w:pPr>
    </w:p>
    <w:p w14:paraId="436E7CE9" w14:textId="77777777" w:rsidR="00EA5C39" w:rsidRDefault="00EA5C39" w:rsidP="00EA5C39">
      <w:pPr>
        <w:rPr>
          <w:b/>
          <w:bCs/>
          <w:sz w:val="26"/>
          <w:szCs w:val="26"/>
          <w:rtl/>
        </w:rPr>
      </w:pPr>
      <w:r>
        <w:rPr>
          <w:b/>
          <w:bCs/>
          <w:sz w:val="26"/>
          <w:szCs w:val="26"/>
          <w:rtl/>
        </w:rPr>
        <w:t>זכות ערעור כחוק.</w:t>
      </w:r>
    </w:p>
    <w:p w14:paraId="00BAC88C" w14:textId="77777777" w:rsidR="00EA5C39" w:rsidRPr="00490D21" w:rsidRDefault="00EA5C39" w:rsidP="00EA5C39"/>
    <w:p w14:paraId="18AC4FE5" w14:textId="77777777" w:rsidR="00EA5C39" w:rsidRDefault="00EA5C39" w:rsidP="00EA5C39">
      <w:pPr>
        <w:spacing w:after="160" w:line="360" w:lineRule="auto"/>
        <w:contextualSpacing/>
        <w:jc w:val="both"/>
        <w:rPr>
          <w:rFonts w:ascii="David" w:hAnsi="David"/>
          <w:sz w:val="26"/>
          <w:szCs w:val="26"/>
          <w:rtl/>
        </w:rPr>
      </w:pPr>
    </w:p>
    <w:p w14:paraId="2581BE0A" w14:textId="77777777" w:rsidR="00EA5C39" w:rsidRDefault="00EA5C39" w:rsidP="00EA5C39">
      <w:pPr>
        <w:spacing w:after="160" w:line="360" w:lineRule="auto"/>
        <w:contextualSpacing/>
        <w:jc w:val="both"/>
        <w:rPr>
          <w:rFonts w:ascii="David" w:hAnsi="David"/>
          <w:sz w:val="26"/>
          <w:szCs w:val="26"/>
          <w:rtl/>
        </w:rPr>
      </w:pPr>
    </w:p>
    <w:p w14:paraId="7D644D4C" w14:textId="77777777" w:rsidR="00EA5C39" w:rsidRPr="00982E2B" w:rsidRDefault="00982E2B" w:rsidP="00EA5C39">
      <w:pPr>
        <w:spacing w:after="160" w:line="360" w:lineRule="auto"/>
        <w:contextualSpacing/>
        <w:jc w:val="both"/>
        <w:rPr>
          <w:rFonts w:ascii="David" w:hAnsi="David"/>
          <w:b/>
          <w:bCs/>
          <w:color w:val="FFFFFF"/>
          <w:sz w:val="2"/>
          <w:szCs w:val="2"/>
          <w:u w:val="single"/>
          <w:rtl/>
        </w:rPr>
      </w:pPr>
      <w:r w:rsidRPr="00982E2B">
        <w:rPr>
          <w:rFonts w:ascii="David" w:hAnsi="David"/>
          <w:b/>
          <w:bCs/>
          <w:color w:val="FFFFFF"/>
          <w:sz w:val="2"/>
          <w:szCs w:val="2"/>
          <w:u w:val="single"/>
          <w:rtl/>
        </w:rPr>
        <w:t>5129371</w:t>
      </w:r>
    </w:p>
    <w:p w14:paraId="0BF665FE" w14:textId="77777777" w:rsidR="00EA5C39" w:rsidRDefault="00982E2B" w:rsidP="00EA5C39">
      <w:pPr>
        <w:spacing w:after="160" w:line="360" w:lineRule="auto"/>
        <w:jc w:val="both"/>
        <w:rPr>
          <w:rFonts w:ascii="David" w:hAnsi="David"/>
          <w:sz w:val="26"/>
          <w:szCs w:val="26"/>
          <w:rtl/>
        </w:rPr>
      </w:pPr>
      <w:r w:rsidRPr="00982E2B">
        <w:rPr>
          <w:rFonts w:ascii="David" w:hAnsi="David"/>
          <w:color w:val="FFFFFF"/>
          <w:sz w:val="2"/>
          <w:szCs w:val="2"/>
          <w:rtl/>
        </w:rPr>
        <w:t>54678313</w:t>
      </w:r>
      <w:r w:rsidR="00EA5C39">
        <w:rPr>
          <w:rFonts w:ascii="David" w:hAnsi="David"/>
          <w:sz w:val="26"/>
          <w:szCs w:val="26"/>
          <w:rtl/>
        </w:rPr>
        <w:t>זכות ערעור לבית המשפט המחוזי בירושלים בתוך 45 יום מהיום.</w:t>
      </w:r>
    </w:p>
    <w:p w14:paraId="06B3896F" w14:textId="77777777" w:rsidR="00EA5C39" w:rsidRPr="000F2247" w:rsidRDefault="00EA5C39" w:rsidP="00EA5C39">
      <w:pPr>
        <w:rPr>
          <w:rFonts w:ascii="Arial" w:hAnsi="Arial"/>
          <w:b/>
          <w:bCs/>
          <w:sz w:val="26"/>
          <w:szCs w:val="26"/>
          <w:rtl/>
        </w:rPr>
      </w:pPr>
    </w:p>
    <w:p w14:paraId="30AC17BB" w14:textId="77777777" w:rsidR="00EA5C39" w:rsidRPr="000F2247" w:rsidRDefault="00982E2B" w:rsidP="00EA5C39">
      <w:pPr>
        <w:rPr>
          <w:rFonts w:ascii="Arial" w:hAnsi="Arial"/>
          <w:b/>
          <w:bCs/>
          <w:sz w:val="26"/>
          <w:szCs w:val="26"/>
          <w:rtl/>
        </w:rPr>
      </w:pPr>
      <w:bookmarkStart w:id="8" w:name="Nitan"/>
      <w:r>
        <w:rPr>
          <w:rFonts w:ascii="Arial" w:hAnsi="Arial"/>
          <w:b/>
          <w:bCs/>
          <w:sz w:val="26"/>
          <w:szCs w:val="26"/>
          <w:rtl/>
        </w:rPr>
        <w:t xml:space="preserve">ניתן היום,  כ' אלול כ' אלול תשפ"ג, 06 ספטמבר 2023, במעמד הצדדים. </w:t>
      </w:r>
      <w:bookmarkEnd w:id="8"/>
    </w:p>
    <w:p w14:paraId="55172172" w14:textId="77777777" w:rsidR="00EA5C39" w:rsidRPr="000F2247" w:rsidRDefault="00EA5C39" w:rsidP="00982E2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36AFB50" w14:textId="77777777" w:rsidR="00EA5C39" w:rsidRPr="000F2247" w:rsidRDefault="00EA5C39" w:rsidP="00EA5C39">
      <w:pPr>
        <w:jc w:val="center"/>
        <w:rPr>
          <w:rFonts w:ascii="Arial" w:hAnsi="Arial"/>
          <w:b/>
          <w:bCs/>
          <w:sz w:val="26"/>
          <w:szCs w:val="26"/>
          <w:rtl/>
        </w:rPr>
      </w:pPr>
    </w:p>
    <w:p w14:paraId="6A38114A" w14:textId="77777777" w:rsidR="00443222" w:rsidRPr="00982E2B" w:rsidRDefault="00443222" w:rsidP="00982E2B">
      <w:pPr>
        <w:keepNext/>
        <w:rPr>
          <w:rFonts w:ascii="David" w:hAnsi="David"/>
          <w:color w:val="000000"/>
          <w:sz w:val="22"/>
          <w:szCs w:val="22"/>
          <w:rtl/>
        </w:rPr>
      </w:pPr>
    </w:p>
    <w:p w14:paraId="03FC2D03" w14:textId="77777777" w:rsidR="00982E2B" w:rsidRPr="00982E2B" w:rsidRDefault="00982E2B" w:rsidP="00982E2B">
      <w:pPr>
        <w:keepNext/>
        <w:rPr>
          <w:rFonts w:ascii="David" w:hAnsi="David"/>
          <w:color w:val="000000"/>
          <w:sz w:val="22"/>
          <w:szCs w:val="22"/>
          <w:rtl/>
        </w:rPr>
      </w:pPr>
      <w:r w:rsidRPr="00982E2B">
        <w:rPr>
          <w:rFonts w:ascii="David" w:hAnsi="David"/>
          <w:color w:val="000000"/>
          <w:sz w:val="22"/>
          <w:szCs w:val="22"/>
          <w:rtl/>
        </w:rPr>
        <w:t>דוד שאול גבאי ריכטר 54678313</w:t>
      </w:r>
    </w:p>
    <w:p w14:paraId="7C57797E" w14:textId="77777777" w:rsidR="00982E2B" w:rsidRDefault="00982E2B" w:rsidP="00982E2B">
      <w:r w:rsidRPr="00982E2B">
        <w:rPr>
          <w:color w:val="000000"/>
          <w:rtl/>
        </w:rPr>
        <w:t>נוסח מסמך זה כפוף לשינויי ניסוח ועריכה</w:t>
      </w:r>
    </w:p>
    <w:p w14:paraId="42DCD9D3" w14:textId="77777777" w:rsidR="00982E2B" w:rsidRDefault="00982E2B" w:rsidP="00982E2B">
      <w:pPr>
        <w:rPr>
          <w:rtl/>
        </w:rPr>
      </w:pPr>
    </w:p>
    <w:p w14:paraId="2D9D41A7" w14:textId="77777777" w:rsidR="00982E2B" w:rsidRDefault="00982E2B" w:rsidP="00982E2B">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04EC80E2" w14:textId="77777777" w:rsidR="00982E2B" w:rsidRPr="00982E2B" w:rsidRDefault="00982E2B" w:rsidP="00982E2B">
      <w:pPr>
        <w:jc w:val="center"/>
        <w:rPr>
          <w:color w:val="0000FF"/>
          <w:u w:val="single"/>
        </w:rPr>
      </w:pPr>
    </w:p>
    <w:sectPr w:rsidR="00982E2B" w:rsidRPr="00982E2B" w:rsidSect="00982E2B">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3F8FF" w14:textId="77777777" w:rsidR="005B571F" w:rsidRDefault="005B571F" w:rsidP="00A06824">
      <w:r>
        <w:separator/>
      </w:r>
    </w:p>
  </w:endnote>
  <w:endnote w:type="continuationSeparator" w:id="0">
    <w:p w14:paraId="6F8AE53D" w14:textId="77777777" w:rsidR="005B571F" w:rsidRDefault="005B571F" w:rsidP="00A06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EBCEB" w14:textId="77777777" w:rsidR="00982E2B" w:rsidRDefault="00982E2B" w:rsidP="00982E2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A0264EF" w14:textId="77777777" w:rsidR="005F1459" w:rsidRPr="00982E2B" w:rsidRDefault="00982E2B" w:rsidP="00982E2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71C2D" w14:textId="77777777" w:rsidR="00982E2B" w:rsidRDefault="00982E2B" w:rsidP="00982E2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7698A">
      <w:rPr>
        <w:rFonts w:ascii="FrankRuehl" w:hAnsi="FrankRuehl" w:cs="FrankRuehl"/>
        <w:noProof/>
        <w:rtl/>
      </w:rPr>
      <w:t>1</w:t>
    </w:r>
    <w:r>
      <w:rPr>
        <w:rFonts w:ascii="FrankRuehl" w:hAnsi="FrankRuehl" w:cs="FrankRuehl"/>
        <w:rtl/>
      </w:rPr>
      <w:fldChar w:fldCharType="end"/>
    </w:r>
  </w:p>
  <w:p w14:paraId="1510ED8D" w14:textId="77777777" w:rsidR="005F1459" w:rsidRPr="00982E2B" w:rsidRDefault="00982E2B" w:rsidP="00982E2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729E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AAF06" w14:textId="77777777" w:rsidR="005B571F" w:rsidRDefault="005B571F" w:rsidP="00A06824">
      <w:r>
        <w:separator/>
      </w:r>
    </w:p>
  </w:footnote>
  <w:footnote w:type="continuationSeparator" w:id="0">
    <w:p w14:paraId="176BFD13" w14:textId="77777777" w:rsidR="005B571F" w:rsidRDefault="005B571F" w:rsidP="00A06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C6C9F" w14:textId="77777777" w:rsidR="00982E2B" w:rsidRPr="00982E2B" w:rsidRDefault="00982E2B" w:rsidP="00982E2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62814-04-21</w:t>
    </w:r>
    <w:r>
      <w:rPr>
        <w:rFonts w:ascii="David" w:hAnsi="David"/>
        <w:color w:val="000000"/>
        <w:sz w:val="22"/>
        <w:szCs w:val="22"/>
        <w:rtl/>
      </w:rPr>
      <w:tab/>
      <w:t xml:space="preserve"> מדינת ישראל נ' אברהם יחזקאל שלום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9887D" w14:textId="77777777" w:rsidR="00982E2B" w:rsidRPr="00982E2B" w:rsidRDefault="00982E2B" w:rsidP="00982E2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62814-04-21</w:t>
    </w:r>
    <w:r>
      <w:rPr>
        <w:rFonts w:ascii="David" w:hAnsi="David"/>
        <w:color w:val="000000"/>
        <w:sz w:val="22"/>
        <w:szCs w:val="22"/>
        <w:rtl/>
      </w:rPr>
      <w:tab/>
      <w:t xml:space="preserve"> מדינת ישראל נ' אברהם יחזקאל שלום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F52B1"/>
    <w:multiLevelType w:val="hybridMultilevel"/>
    <w:tmpl w:val="30E2DE8C"/>
    <w:lvl w:ilvl="0" w:tplc="25F8E21E">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BC35EE"/>
    <w:multiLevelType w:val="hybridMultilevel"/>
    <w:tmpl w:val="A3EABABE"/>
    <w:lvl w:ilvl="0" w:tplc="F27AE026">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8AD4B78"/>
    <w:multiLevelType w:val="hybridMultilevel"/>
    <w:tmpl w:val="D4DA3A2C"/>
    <w:lvl w:ilvl="0" w:tplc="5DF87CC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070549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4538462">
    <w:abstractNumId w:val="0"/>
  </w:num>
  <w:num w:numId="3" w16cid:durableId="5644195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34790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5C39"/>
    <w:rsid w:val="000B65A6"/>
    <w:rsid w:val="00100CF3"/>
    <w:rsid w:val="00322869"/>
    <w:rsid w:val="004417AE"/>
    <w:rsid w:val="00443222"/>
    <w:rsid w:val="005A443D"/>
    <w:rsid w:val="005B571F"/>
    <w:rsid w:val="005F1459"/>
    <w:rsid w:val="008673AB"/>
    <w:rsid w:val="008C5EEC"/>
    <w:rsid w:val="00982E2B"/>
    <w:rsid w:val="00A06824"/>
    <w:rsid w:val="00C7698A"/>
    <w:rsid w:val="00E26992"/>
    <w:rsid w:val="00E658C8"/>
    <w:rsid w:val="00EA5C39"/>
    <w:rsid w:val="00F97E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B5F12A"/>
  <w15:chartTrackingRefBased/>
  <w15:docId w15:val="{033A4D0D-9F68-45DB-A211-1ACFAA5D8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5C3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A5C39"/>
    <w:pPr>
      <w:tabs>
        <w:tab w:val="center" w:pos="4153"/>
        <w:tab w:val="right" w:pos="8306"/>
      </w:tabs>
    </w:pPr>
  </w:style>
  <w:style w:type="character" w:customStyle="1" w:styleId="a4">
    <w:name w:val="כותרת עליונה תו"/>
    <w:link w:val="a3"/>
    <w:rsid w:val="00EA5C39"/>
    <w:rPr>
      <w:rFonts w:ascii="Times New Roman" w:eastAsia="Times New Roman" w:hAnsi="Times New Roman" w:cs="David"/>
      <w:sz w:val="24"/>
      <w:szCs w:val="24"/>
    </w:rPr>
  </w:style>
  <w:style w:type="paragraph" w:styleId="a5">
    <w:name w:val="footer"/>
    <w:basedOn w:val="a"/>
    <w:link w:val="a6"/>
    <w:rsid w:val="00EA5C39"/>
    <w:pPr>
      <w:tabs>
        <w:tab w:val="center" w:pos="4153"/>
        <w:tab w:val="right" w:pos="8306"/>
      </w:tabs>
    </w:pPr>
  </w:style>
  <w:style w:type="character" w:customStyle="1" w:styleId="a6">
    <w:name w:val="כותרת תחתונה תו"/>
    <w:link w:val="a5"/>
    <w:rsid w:val="00EA5C39"/>
    <w:rPr>
      <w:rFonts w:ascii="Times New Roman" w:eastAsia="Times New Roman" w:hAnsi="Times New Roman" w:cs="David"/>
      <w:sz w:val="24"/>
      <w:szCs w:val="24"/>
    </w:rPr>
  </w:style>
  <w:style w:type="table" w:styleId="a7">
    <w:name w:val="Table Grid"/>
    <w:basedOn w:val="a1"/>
    <w:rsid w:val="00EA5C3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A5C39"/>
  </w:style>
  <w:style w:type="paragraph" w:styleId="a9">
    <w:name w:val="List Paragraph"/>
    <w:basedOn w:val="a"/>
    <w:qFormat/>
    <w:rsid w:val="00EA5C39"/>
    <w:pPr>
      <w:ind w:left="720"/>
      <w:contextualSpacing/>
    </w:pPr>
  </w:style>
  <w:style w:type="character" w:styleId="Hyperlink">
    <w:name w:val="Hyperlink"/>
    <w:rsid w:val="00EA5C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 TargetMode="External"/><Relationship Id="rId18" Type="http://schemas.openxmlformats.org/officeDocument/2006/relationships/hyperlink" Target="http://www.nevo.co.il/law/4216/19a"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13093721"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4216/13"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10" TargetMode="External"/><Relationship Id="rId20" Type="http://schemas.openxmlformats.org/officeDocument/2006/relationships/hyperlink" Target="http://www.nevo.co.il/case/21035570"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eca.gov.il"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3158178" TargetMode="External"/><Relationship Id="rId28" Type="http://schemas.openxmlformats.org/officeDocument/2006/relationships/footer" Target="footer1.xml"/><Relationship Id="rId10" Type="http://schemas.openxmlformats.org/officeDocument/2006/relationships/hyperlink" Target="http://www.nevo.co.il/law/4216/10" TargetMode="External"/><Relationship Id="rId19" Type="http://schemas.openxmlformats.org/officeDocument/2006/relationships/hyperlink" Target="http://www.nevo.co.il/case/2147747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4971234"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1785</Words>
  <Characters>8930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10694</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7864368</vt:i4>
      </vt:variant>
      <vt:variant>
        <vt:i4>51</vt:i4>
      </vt:variant>
      <vt:variant>
        <vt:i4>0</vt:i4>
      </vt:variant>
      <vt:variant>
        <vt:i4>5</vt:i4>
      </vt:variant>
      <vt:variant>
        <vt:lpwstr>http://www.eca.gov.il/</vt:lpwstr>
      </vt:variant>
      <vt:variant>
        <vt:lpwstr/>
      </vt:variant>
      <vt:variant>
        <vt:i4>3932275</vt:i4>
      </vt:variant>
      <vt:variant>
        <vt:i4>48</vt:i4>
      </vt:variant>
      <vt:variant>
        <vt:i4>0</vt:i4>
      </vt:variant>
      <vt:variant>
        <vt:i4>5</vt:i4>
      </vt:variant>
      <vt:variant>
        <vt:lpwstr>http://www.nevo.co.il/case/23158178</vt:lpwstr>
      </vt:variant>
      <vt:variant>
        <vt:lpwstr/>
      </vt:variant>
      <vt:variant>
        <vt:i4>3735669</vt:i4>
      </vt:variant>
      <vt:variant>
        <vt:i4>45</vt:i4>
      </vt:variant>
      <vt:variant>
        <vt:i4>0</vt:i4>
      </vt:variant>
      <vt:variant>
        <vt:i4>5</vt:i4>
      </vt:variant>
      <vt:variant>
        <vt:lpwstr>http://www.nevo.co.il/case/24971234</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3145843</vt:i4>
      </vt:variant>
      <vt:variant>
        <vt:i4>39</vt:i4>
      </vt:variant>
      <vt:variant>
        <vt:i4>0</vt:i4>
      </vt:variant>
      <vt:variant>
        <vt:i4>5</vt:i4>
      </vt:variant>
      <vt:variant>
        <vt:lpwstr>http://www.nevo.co.il/case/21035570</vt:lpwstr>
      </vt:variant>
      <vt:variant>
        <vt:lpwstr/>
      </vt:variant>
      <vt:variant>
        <vt:i4>3539062</vt:i4>
      </vt:variant>
      <vt:variant>
        <vt:i4>36</vt:i4>
      </vt:variant>
      <vt:variant>
        <vt:i4>0</vt:i4>
      </vt:variant>
      <vt:variant>
        <vt:i4>5</vt:i4>
      </vt:variant>
      <vt:variant>
        <vt:lpwstr>http://www.nevo.co.il/case/21477472</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5177418</vt:i4>
      </vt:variant>
      <vt:variant>
        <vt:i4>27</vt:i4>
      </vt:variant>
      <vt:variant>
        <vt:i4>0</vt:i4>
      </vt:variant>
      <vt:variant>
        <vt:i4>5</vt:i4>
      </vt:variant>
      <vt:variant>
        <vt:lpwstr>http://www.nevo.co.il/law/4216/10</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2025-04-23T01:01:00Z</dcterms:created>
  <dcterms:modified xsi:type="dcterms:W3CDTF">2025-04-23T01:01:00Z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62814</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אברהם יחזקאל שלום</vt:lpwstr>
  </property>
  <property fmtid="{D5CDD505-2E9C-101B-9397-08002B2CF9AE}" pid="10" name="LAWYER">
    <vt:lpwstr>פיני סרי לוי;עידן גמליאלי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20230906</vt:lpwstr>
  </property>
  <property fmtid="{D5CDD505-2E9C-101B-9397-08002B2CF9AE}" pid="14" name="TYPE_N_DATE">
    <vt:lpwstr>38020230906</vt:lpwstr>
  </property>
  <property fmtid="{D5CDD505-2E9C-101B-9397-08002B2CF9AE}" pid="15" name="WORDNUMPAGES">
    <vt:lpwstr>7</vt:lpwstr>
  </property>
  <property fmtid="{D5CDD505-2E9C-101B-9397-08002B2CF9AE}" pid="16" name="TYPE_ABS_DATE">
    <vt:lpwstr>380020230906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21477472;21035570;13093721;24971234;23158178</vt:lpwstr>
  </property>
  <property fmtid="{D5CDD505-2E9C-101B-9397-08002B2CF9AE}" pid="36" name="LAWLISTTMP1">
    <vt:lpwstr>4216/007.a;007.c;010;013;019a</vt:lpwstr>
  </property>
</Properties>
</file>