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37CDE" w:rsidRPr="00FA6D3B" w14:paraId="4CFD957B" w14:textId="77777777" w:rsidTr="00F551A6">
        <w:trPr>
          <w:trHeight w:hRule="exact" w:val="418"/>
          <w:jc w:val="center"/>
        </w:trPr>
        <w:tc>
          <w:tcPr>
            <w:tcW w:w="8721" w:type="dxa"/>
            <w:gridSpan w:val="2"/>
          </w:tcPr>
          <w:p w14:paraId="577F62C9" w14:textId="77777777" w:rsidR="00C37CDE" w:rsidRPr="00FA6D3B" w:rsidRDefault="00C37CDE" w:rsidP="00341348">
            <w:pPr>
              <w:pStyle w:val="a3"/>
              <w:jc w:val="center"/>
              <w:rPr>
                <w:rFonts w:ascii="Tahoma" w:hAnsi="Tahoma" w:cs="Tahoma"/>
                <w:color w:val="000080"/>
                <w:rtl/>
              </w:rPr>
            </w:pPr>
            <w:bookmarkStart w:id="0" w:name="FirstLawyer"/>
            <w:bookmarkStart w:id="1" w:name="LastJudge"/>
            <w:r w:rsidRPr="00FA6D3B">
              <w:rPr>
                <w:rFonts w:ascii="Tahoma" w:hAnsi="Tahoma" w:cs="Tahoma"/>
                <w:b/>
                <w:bCs/>
                <w:color w:val="000080"/>
                <w:rtl/>
              </w:rPr>
              <w:t>בית משפט השלום בראשון לציון</w:t>
            </w:r>
          </w:p>
        </w:tc>
      </w:tr>
      <w:tr w:rsidR="00C37CDE" w:rsidRPr="00FA6D3B" w14:paraId="52ED2A4C" w14:textId="77777777" w:rsidTr="00F551A6">
        <w:trPr>
          <w:trHeight w:val="337"/>
          <w:jc w:val="center"/>
        </w:trPr>
        <w:tc>
          <w:tcPr>
            <w:tcW w:w="5054" w:type="dxa"/>
          </w:tcPr>
          <w:p w14:paraId="375C6F11" w14:textId="77777777" w:rsidR="00C37CDE" w:rsidRPr="00FA6D3B" w:rsidRDefault="00C37CDE" w:rsidP="00341348">
            <w:pPr>
              <w:rPr>
                <w:rFonts w:cs="FrankRuehl"/>
                <w:sz w:val="28"/>
                <w:szCs w:val="28"/>
                <w:rtl/>
              </w:rPr>
            </w:pPr>
            <w:r w:rsidRPr="00FA6D3B">
              <w:rPr>
                <w:rFonts w:cs="FrankRuehl"/>
                <w:sz w:val="28"/>
                <w:szCs w:val="28"/>
                <w:rtl/>
              </w:rPr>
              <w:t>ת"פ</w:t>
            </w:r>
            <w:r w:rsidRPr="00FA6D3B">
              <w:rPr>
                <w:rFonts w:cs="FrankRuehl" w:hint="cs"/>
                <w:sz w:val="28"/>
                <w:szCs w:val="28"/>
                <w:rtl/>
              </w:rPr>
              <w:t xml:space="preserve"> </w:t>
            </w:r>
            <w:r w:rsidRPr="00FA6D3B">
              <w:rPr>
                <w:rFonts w:cs="FrankRuehl"/>
                <w:sz w:val="28"/>
                <w:szCs w:val="28"/>
                <w:rtl/>
              </w:rPr>
              <w:t>64269-04-21</w:t>
            </w:r>
            <w:r w:rsidRPr="00FA6D3B">
              <w:rPr>
                <w:rFonts w:cs="FrankRuehl" w:hint="cs"/>
                <w:sz w:val="28"/>
                <w:szCs w:val="28"/>
                <w:rtl/>
              </w:rPr>
              <w:t xml:space="preserve"> </w:t>
            </w:r>
            <w:r w:rsidRPr="00FA6D3B">
              <w:rPr>
                <w:rFonts w:cs="FrankRuehl"/>
                <w:sz w:val="28"/>
                <w:szCs w:val="28"/>
                <w:rtl/>
              </w:rPr>
              <w:t>מדינת ישראל נ' היבה</w:t>
            </w:r>
          </w:p>
          <w:p w14:paraId="701DC1C7" w14:textId="77777777" w:rsidR="00C37CDE" w:rsidRPr="00FA6D3B" w:rsidRDefault="00C37CDE" w:rsidP="00341348">
            <w:pPr>
              <w:pStyle w:val="a3"/>
              <w:rPr>
                <w:rFonts w:cs="FrankRuehl"/>
                <w:sz w:val="28"/>
                <w:szCs w:val="28"/>
                <w:rtl/>
              </w:rPr>
            </w:pPr>
          </w:p>
        </w:tc>
        <w:tc>
          <w:tcPr>
            <w:tcW w:w="3667" w:type="dxa"/>
          </w:tcPr>
          <w:p w14:paraId="409FF0FE" w14:textId="77777777" w:rsidR="00C37CDE" w:rsidRPr="00FA6D3B" w:rsidRDefault="00C37CDE" w:rsidP="00341348">
            <w:pPr>
              <w:pStyle w:val="a3"/>
              <w:jc w:val="right"/>
              <w:rPr>
                <w:rFonts w:cs="FrankRuehl"/>
                <w:sz w:val="28"/>
                <w:szCs w:val="28"/>
                <w:rtl/>
              </w:rPr>
            </w:pPr>
          </w:p>
        </w:tc>
      </w:tr>
    </w:tbl>
    <w:p w14:paraId="6F7C8045" w14:textId="77777777" w:rsidR="00C37CDE" w:rsidRPr="00FA6D3B" w:rsidRDefault="00C37CDE" w:rsidP="00C37CDE">
      <w:pPr>
        <w:pStyle w:val="a3"/>
        <w:rPr>
          <w:rtl/>
        </w:rPr>
      </w:pPr>
      <w:r w:rsidRPr="00FA6D3B">
        <w:rPr>
          <w:rFonts w:hint="cs"/>
          <w:rtl/>
        </w:rPr>
        <w:t xml:space="preserve"> </w:t>
      </w:r>
    </w:p>
    <w:p w14:paraId="1651CF08" w14:textId="77777777" w:rsidR="00C37CDE" w:rsidRPr="00FA6D3B" w:rsidRDefault="00C37CDE" w:rsidP="00C37CDE">
      <w:pPr>
        <w:rPr>
          <w:rtl/>
        </w:rPr>
      </w:pPr>
    </w:p>
    <w:p w14:paraId="5B80120A" w14:textId="77777777" w:rsidR="00C37CDE" w:rsidRPr="00FA6D3B" w:rsidRDefault="00C37CDE" w:rsidP="00C37CD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37CDE" w:rsidRPr="00FA6D3B" w14:paraId="61CD038B" w14:textId="77777777" w:rsidTr="00C37CDE">
        <w:trPr>
          <w:trHeight w:val="295"/>
          <w:jc w:val="center"/>
        </w:trPr>
        <w:tc>
          <w:tcPr>
            <w:tcW w:w="923" w:type="dxa"/>
            <w:tcBorders>
              <w:top w:val="nil"/>
              <w:left w:val="nil"/>
              <w:bottom w:val="nil"/>
              <w:right w:val="nil"/>
            </w:tcBorders>
            <w:shd w:val="clear" w:color="auto" w:fill="auto"/>
          </w:tcPr>
          <w:p w14:paraId="5B40E2F2" w14:textId="77777777" w:rsidR="00C37CDE" w:rsidRPr="00FA6D3B" w:rsidRDefault="00C37CDE" w:rsidP="00C37CDE">
            <w:pPr>
              <w:jc w:val="both"/>
              <w:rPr>
                <w:rFonts w:ascii="David" w:hAnsi="David"/>
                <w:sz w:val="26"/>
                <w:szCs w:val="26"/>
              </w:rPr>
            </w:pPr>
            <w:r w:rsidRPr="00FA6D3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34F4B88" w14:textId="77777777" w:rsidR="00C37CDE" w:rsidRPr="00FA6D3B" w:rsidRDefault="00C37CDE" w:rsidP="00341348">
            <w:pPr>
              <w:rPr>
                <w:rFonts w:ascii="David" w:hAnsi="David"/>
                <w:sz w:val="26"/>
                <w:szCs w:val="26"/>
                <w:rtl/>
              </w:rPr>
            </w:pPr>
            <w:r w:rsidRPr="00FA6D3B">
              <w:rPr>
                <w:rFonts w:ascii="David" w:hAnsi="David"/>
                <w:b/>
                <w:bCs/>
                <w:sz w:val="26"/>
                <w:szCs w:val="26"/>
                <w:rtl/>
              </w:rPr>
              <w:t>כבוד ה</w:t>
            </w:r>
            <w:r w:rsidRPr="00FA6D3B">
              <w:rPr>
                <w:rFonts w:ascii="David" w:hAnsi="David" w:hint="cs"/>
                <w:b/>
                <w:bCs/>
                <w:sz w:val="26"/>
                <w:szCs w:val="26"/>
                <w:rtl/>
              </w:rPr>
              <w:t>שופטת הבכירה,</w:t>
            </w:r>
            <w:r w:rsidRPr="00FA6D3B">
              <w:rPr>
                <w:rFonts w:ascii="David" w:hAnsi="David"/>
                <w:b/>
                <w:bCs/>
                <w:sz w:val="26"/>
                <w:szCs w:val="26"/>
                <w:rtl/>
              </w:rPr>
              <w:t xml:space="preserve"> טל אוסטפלד נאוי</w:t>
            </w:r>
          </w:p>
          <w:p w14:paraId="741196A4" w14:textId="77777777" w:rsidR="00C37CDE" w:rsidRPr="00FA6D3B" w:rsidRDefault="00C37CDE" w:rsidP="00C37CDE">
            <w:pPr>
              <w:jc w:val="both"/>
              <w:rPr>
                <w:rFonts w:ascii="David" w:hAnsi="David"/>
                <w:sz w:val="26"/>
                <w:szCs w:val="26"/>
              </w:rPr>
            </w:pPr>
          </w:p>
        </w:tc>
      </w:tr>
      <w:tr w:rsidR="00C37CDE" w:rsidRPr="00FA6D3B" w14:paraId="6FD3C312" w14:textId="77777777" w:rsidTr="00C37CDE">
        <w:trPr>
          <w:trHeight w:val="355"/>
          <w:jc w:val="center"/>
        </w:trPr>
        <w:tc>
          <w:tcPr>
            <w:tcW w:w="923" w:type="dxa"/>
            <w:tcBorders>
              <w:top w:val="nil"/>
              <w:left w:val="nil"/>
              <w:bottom w:val="nil"/>
              <w:right w:val="nil"/>
            </w:tcBorders>
            <w:shd w:val="clear" w:color="auto" w:fill="auto"/>
          </w:tcPr>
          <w:p w14:paraId="110DCFFA" w14:textId="77777777" w:rsidR="00C37CDE" w:rsidRPr="00FA6D3B" w:rsidRDefault="00C37CDE" w:rsidP="00C37CDE">
            <w:pPr>
              <w:jc w:val="both"/>
              <w:rPr>
                <w:rFonts w:ascii="David" w:hAnsi="David"/>
                <w:sz w:val="26"/>
                <w:szCs w:val="26"/>
              </w:rPr>
            </w:pPr>
            <w:bookmarkStart w:id="2" w:name="FirstAppellant"/>
          </w:p>
        </w:tc>
        <w:tc>
          <w:tcPr>
            <w:tcW w:w="4126" w:type="dxa"/>
            <w:tcBorders>
              <w:top w:val="nil"/>
              <w:left w:val="nil"/>
              <w:bottom w:val="nil"/>
              <w:right w:val="nil"/>
            </w:tcBorders>
            <w:shd w:val="clear" w:color="auto" w:fill="auto"/>
          </w:tcPr>
          <w:p w14:paraId="59F0738C" w14:textId="77777777" w:rsidR="00C37CDE" w:rsidRPr="00FA6D3B" w:rsidRDefault="00C37CDE" w:rsidP="00341348">
            <w:pPr>
              <w:rPr>
                <w:rFonts w:ascii="David" w:hAnsi="David"/>
                <w:sz w:val="26"/>
                <w:szCs w:val="26"/>
                <w:rtl/>
              </w:rPr>
            </w:pPr>
            <w:r w:rsidRPr="00FA6D3B">
              <w:rPr>
                <w:rFonts w:ascii="David" w:hAnsi="David"/>
                <w:sz w:val="26"/>
                <w:szCs w:val="26"/>
                <w:rtl/>
              </w:rPr>
              <w:t>המאשימה</w:t>
            </w:r>
          </w:p>
        </w:tc>
        <w:tc>
          <w:tcPr>
            <w:tcW w:w="3771" w:type="dxa"/>
            <w:tcBorders>
              <w:top w:val="nil"/>
              <w:left w:val="nil"/>
              <w:bottom w:val="nil"/>
              <w:right w:val="nil"/>
            </w:tcBorders>
            <w:shd w:val="clear" w:color="auto" w:fill="auto"/>
          </w:tcPr>
          <w:p w14:paraId="788DB7DE" w14:textId="77777777" w:rsidR="00C37CDE" w:rsidRPr="00FA6D3B" w:rsidRDefault="00C37CDE" w:rsidP="00341348">
            <w:pPr>
              <w:rPr>
                <w:rFonts w:ascii="David" w:hAnsi="David"/>
                <w:sz w:val="26"/>
                <w:szCs w:val="26"/>
              </w:rPr>
            </w:pPr>
            <w:r w:rsidRPr="00FA6D3B">
              <w:rPr>
                <w:rFonts w:ascii="David" w:hAnsi="David"/>
                <w:sz w:val="26"/>
                <w:szCs w:val="26"/>
                <w:rtl/>
              </w:rPr>
              <w:t>מדינת ישראל</w:t>
            </w:r>
            <w:r w:rsidRPr="00FA6D3B">
              <w:rPr>
                <w:rFonts w:ascii="David" w:hAnsi="David"/>
                <w:sz w:val="26"/>
                <w:szCs w:val="26"/>
                <w:rtl/>
              </w:rPr>
              <w:br/>
            </w:r>
            <w:r w:rsidRPr="00FA6D3B">
              <w:rPr>
                <w:rFonts w:ascii="David" w:hAnsi="David" w:hint="cs"/>
                <w:sz w:val="26"/>
                <w:szCs w:val="26"/>
                <w:rtl/>
              </w:rPr>
              <w:t>באמצעות שלוחת תביעות ראשל"צ</w:t>
            </w:r>
          </w:p>
        </w:tc>
      </w:tr>
      <w:bookmarkEnd w:id="2"/>
      <w:tr w:rsidR="00C37CDE" w:rsidRPr="00FA6D3B" w14:paraId="5F2FE5BE" w14:textId="77777777" w:rsidTr="00C37CDE">
        <w:trPr>
          <w:trHeight w:val="355"/>
          <w:jc w:val="center"/>
        </w:trPr>
        <w:tc>
          <w:tcPr>
            <w:tcW w:w="923" w:type="dxa"/>
            <w:tcBorders>
              <w:top w:val="nil"/>
              <w:left w:val="nil"/>
              <w:bottom w:val="nil"/>
              <w:right w:val="nil"/>
            </w:tcBorders>
            <w:shd w:val="clear" w:color="auto" w:fill="auto"/>
          </w:tcPr>
          <w:p w14:paraId="29EF7A75" w14:textId="77777777" w:rsidR="00C37CDE" w:rsidRPr="00FA6D3B" w:rsidRDefault="00C37CDE" w:rsidP="00C37CD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339AA27" w14:textId="77777777" w:rsidR="00C37CDE" w:rsidRPr="00FA6D3B" w:rsidRDefault="00C37CDE" w:rsidP="00C37CDE">
            <w:pPr>
              <w:jc w:val="center"/>
              <w:rPr>
                <w:rFonts w:ascii="David" w:hAnsi="David"/>
                <w:b/>
                <w:bCs/>
                <w:sz w:val="26"/>
                <w:szCs w:val="26"/>
                <w:rtl/>
              </w:rPr>
            </w:pPr>
          </w:p>
          <w:p w14:paraId="3641773B" w14:textId="77777777" w:rsidR="00C37CDE" w:rsidRPr="00FA6D3B" w:rsidRDefault="00C37CDE" w:rsidP="00C37CDE">
            <w:pPr>
              <w:jc w:val="center"/>
              <w:rPr>
                <w:rFonts w:ascii="David" w:hAnsi="David"/>
                <w:b/>
                <w:bCs/>
                <w:sz w:val="26"/>
                <w:szCs w:val="26"/>
                <w:rtl/>
              </w:rPr>
            </w:pPr>
            <w:r w:rsidRPr="00FA6D3B">
              <w:rPr>
                <w:rFonts w:ascii="David" w:hAnsi="David"/>
                <w:b/>
                <w:bCs/>
                <w:sz w:val="26"/>
                <w:szCs w:val="26"/>
                <w:rtl/>
              </w:rPr>
              <w:t>נגד</w:t>
            </w:r>
          </w:p>
          <w:p w14:paraId="0887DCD7" w14:textId="77777777" w:rsidR="00C37CDE" w:rsidRPr="00FA6D3B" w:rsidRDefault="00C37CDE" w:rsidP="00C37CDE">
            <w:pPr>
              <w:jc w:val="both"/>
              <w:rPr>
                <w:rFonts w:ascii="David" w:hAnsi="David"/>
                <w:sz w:val="26"/>
                <w:szCs w:val="26"/>
              </w:rPr>
            </w:pPr>
          </w:p>
        </w:tc>
      </w:tr>
      <w:tr w:rsidR="00C37CDE" w:rsidRPr="00FA6D3B" w14:paraId="6EBD5B43" w14:textId="77777777" w:rsidTr="00C37CDE">
        <w:trPr>
          <w:trHeight w:val="355"/>
          <w:jc w:val="center"/>
        </w:trPr>
        <w:tc>
          <w:tcPr>
            <w:tcW w:w="923" w:type="dxa"/>
            <w:tcBorders>
              <w:top w:val="nil"/>
              <w:left w:val="nil"/>
              <w:bottom w:val="nil"/>
              <w:right w:val="nil"/>
            </w:tcBorders>
            <w:shd w:val="clear" w:color="auto" w:fill="auto"/>
          </w:tcPr>
          <w:p w14:paraId="4B8D885C" w14:textId="77777777" w:rsidR="00C37CDE" w:rsidRPr="00FA6D3B" w:rsidRDefault="00C37CDE" w:rsidP="00341348">
            <w:pPr>
              <w:rPr>
                <w:rFonts w:ascii="David" w:hAnsi="David"/>
                <w:sz w:val="26"/>
                <w:szCs w:val="26"/>
                <w:rtl/>
              </w:rPr>
            </w:pPr>
          </w:p>
        </w:tc>
        <w:tc>
          <w:tcPr>
            <w:tcW w:w="4126" w:type="dxa"/>
            <w:tcBorders>
              <w:top w:val="nil"/>
              <w:left w:val="nil"/>
              <w:bottom w:val="nil"/>
              <w:right w:val="nil"/>
            </w:tcBorders>
            <w:shd w:val="clear" w:color="auto" w:fill="auto"/>
          </w:tcPr>
          <w:p w14:paraId="0FB4FF33" w14:textId="77777777" w:rsidR="00C37CDE" w:rsidRPr="00FA6D3B" w:rsidRDefault="00C37CDE" w:rsidP="00341348">
            <w:pPr>
              <w:rPr>
                <w:rFonts w:ascii="David" w:hAnsi="David"/>
                <w:sz w:val="26"/>
                <w:szCs w:val="26"/>
                <w:rtl/>
              </w:rPr>
            </w:pPr>
            <w:r w:rsidRPr="00FA6D3B">
              <w:rPr>
                <w:rFonts w:ascii="David" w:hAnsi="David"/>
                <w:sz w:val="26"/>
                <w:szCs w:val="26"/>
                <w:rtl/>
              </w:rPr>
              <w:t>הנאש</w:t>
            </w:r>
            <w:r w:rsidRPr="00FA6D3B">
              <w:rPr>
                <w:rFonts w:ascii="David" w:hAnsi="David" w:hint="cs"/>
                <w:sz w:val="26"/>
                <w:szCs w:val="26"/>
                <w:rtl/>
              </w:rPr>
              <w:t>מת</w:t>
            </w:r>
          </w:p>
        </w:tc>
        <w:tc>
          <w:tcPr>
            <w:tcW w:w="3771" w:type="dxa"/>
            <w:tcBorders>
              <w:top w:val="nil"/>
              <w:left w:val="nil"/>
              <w:bottom w:val="nil"/>
              <w:right w:val="nil"/>
            </w:tcBorders>
            <w:shd w:val="clear" w:color="auto" w:fill="auto"/>
          </w:tcPr>
          <w:p w14:paraId="2DAF0FD6" w14:textId="77777777" w:rsidR="00C37CDE" w:rsidRPr="00FA6D3B" w:rsidRDefault="00C37CDE" w:rsidP="00341348">
            <w:r w:rsidRPr="00FA6D3B">
              <w:rPr>
                <w:rFonts w:ascii="David" w:hAnsi="David"/>
                <w:sz w:val="26"/>
                <w:szCs w:val="26"/>
                <w:rtl/>
              </w:rPr>
              <w:t>מעין היבה</w:t>
            </w:r>
            <w:r w:rsidRPr="00FA6D3B">
              <w:rPr>
                <w:rFonts w:ascii="David" w:hAnsi="David"/>
                <w:sz w:val="26"/>
                <w:szCs w:val="26"/>
                <w:rtl/>
              </w:rPr>
              <w:br/>
            </w:r>
            <w:r w:rsidRPr="00FA6D3B">
              <w:rPr>
                <w:rFonts w:ascii="David" w:hAnsi="David" w:hint="cs"/>
                <w:sz w:val="26"/>
                <w:szCs w:val="26"/>
                <w:rtl/>
              </w:rPr>
              <w:t>ע"י ב"כ עו"ד אלי מסטרמן</w:t>
            </w:r>
          </w:p>
          <w:p w14:paraId="2FFF4315" w14:textId="77777777" w:rsidR="00C37CDE" w:rsidRPr="00FA6D3B" w:rsidRDefault="00C37CDE" w:rsidP="00341348">
            <w:pPr>
              <w:rPr>
                <w:rFonts w:ascii="David" w:hAnsi="David"/>
                <w:sz w:val="26"/>
                <w:szCs w:val="26"/>
              </w:rPr>
            </w:pPr>
          </w:p>
        </w:tc>
      </w:tr>
    </w:tbl>
    <w:p w14:paraId="716302FC" w14:textId="77777777" w:rsidR="00E103BF" w:rsidRPr="00E103BF" w:rsidRDefault="00E103BF" w:rsidP="00E103BF">
      <w:pPr>
        <w:spacing w:before="120" w:after="120" w:line="240" w:lineRule="exact"/>
        <w:ind w:left="283" w:hanging="283"/>
        <w:jc w:val="both"/>
        <w:rPr>
          <w:rFonts w:ascii="FrankRuehl" w:hAnsi="FrankRuehl" w:cs="FrankRuehl"/>
          <w:rtl/>
        </w:rPr>
      </w:pPr>
    </w:p>
    <w:p w14:paraId="7E76823E" w14:textId="77777777" w:rsidR="0013634E" w:rsidRDefault="0013634E" w:rsidP="0013634E">
      <w:pPr>
        <w:rPr>
          <w:sz w:val="26"/>
          <w:szCs w:val="26"/>
          <w:rtl/>
        </w:rPr>
      </w:pPr>
      <w:bookmarkStart w:id="3" w:name="LawTable"/>
      <w:bookmarkEnd w:id="3"/>
    </w:p>
    <w:p w14:paraId="236F78BD" w14:textId="77777777" w:rsidR="0013634E" w:rsidRPr="0013634E" w:rsidRDefault="0013634E" w:rsidP="0013634E">
      <w:pPr>
        <w:spacing w:before="120" w:after="120" w:line="240" w:lineRule="exact"/>
        <w:ind w:left="283" w:hanging="283"/>
        <w:jc w:val="both"/>
        <w:rPr>
          <w:rFonts w:ascii="FrankRuehl" w:hAnsi="FrankRuehl" w:cs="FrankRuehl"/>
          <w:rtl/>
        </w:rPr>
      </w:pPr>
    </w:p>
    <w:p w14:paraId="0677BA03" w14:textId="77777777" w:rsidR="0013634E" w:rsidRPr="0013634E" w:rsidRDefault="0013634E" w:rsidP="0013634E">
      <w:pPr>
        <w:spacing w:before="120" w:after="120" w:line="240" w:lineRule="exact"/>
        <w:ind w:left="283" w:hanging="283"/>
        <w:jc w:val="both"/>
        <w:rPr>
          <w:rFonts w:ascii="FrankRuehl" w:hAnsi="FrankRuehl" w:cs="FrankRuehl"/>
          <w:rtl/>
        </w:rPr>
      </w:pPr>
    </w:p>
    <w:p w14:paraId="3A27C647" w14:textId="77777777" w:rsidR="0013634E" w:rsidRPr="0013634E" w:rsidRDefault="0013634E" w:rsidP="0013634E">
      <w:pPr>
        <w:spacing w:before="120" w:after="120" w:line="240" w:lineRule="exact"/>
        <w:ind w:left="283" w:hanging="283"/>
        <w:jc w:val="both"/>
        <w:rPr>
          <w:rFonts w:ascii="FrankRuehl" w:hAnsi="FrankRuehl" w:cs="FrankRuehl"/>
          <w:rtl/>
        </w:rPr>
      </w:pPr>
      <w:r w:rsidRPr="0013634E">
        <w:rPr>
          <w:rFonts w:ascii="FrankRuehl" w:hAnsi="FrankRuehl" w:cs="FrankRuehl"/>
          <w:rtl/>
        </w:rPr>
        <w:t xml:space="preserve">חקיקה שאוזכרה: </w:t>
      </w:r>
    </w:p>
    <w:p w14:paraId="22EE6CAF" w14:textId="77777777" w:rsidR="0013634E" w:rsidRPr="0013634E" w:rsidRDefault="0013634E" w:rsidP="0013634E">
      <w:pPr>
        <w:spacing w:before="120" w:after="120" w:line="240" w:lineRule="exact"/>
        <w:ind w:left="283" w:hanging="283"/>
        <w:jc w:val="both"/>
        <w:rPr>
          <w:rFonts w:ascii="FrankRuehl" w:hAnsi="FrankRuehl" w:cs="FrankRuehl"/>
          <w:rtl/>
        </w:rPr>
      </w:pPr>
      <w:hyperlink r:id="rId7" w:history="1">
        <w:r w:rsidRPr="0013634E">
          <w:rPr>
            <w:rFonts w:ascii="FrankRuehl" w:hAnsi="FrankRuehl" w:cs="FrankRuehl"/>
            <w:color w:val="0000FF"/>
            <w:rtl/>
          </w:rPr>
          <w:t>פקודת הסמים המסוכנים [נוסח חדש], תשל"ג-1973</w:t>
        </w:r>
      </w:hyperlink>
      <w:r w:rsidRPr="0013634E">
        <w:rPr>
          <w:rFonts w:ascii="FrankRuehl" w:hAnsi="FrankRuehl" w:cs="FrankRuehl"/>
          <w:rtl/>
        </w:rPr>
        <w:t xml:space="preserve">: סע'  </w:t>
      </w:r>
      <w:hyperlink r:id="rId8" w:history="1">
        <w:r w:rsidRPr="0013634E">
          <w:rPr>
            <w:rFonts w:ascii="FrankRuehl" w:hAnsi="FrankRuehl" w:cs="FrankRuehl"/>
            <w:color w:val="0000FF"/>
            <w:rtl/>
          </w:rPr>
          <w:t>7(א)</w:t>
        </w:r>
      </w:hyperlink>
      <w:r w:rsidRPr="0013634E">
        <w:rPr>
          <w:rFonts w:ascii="FrankRuehl" w:hAnsi="FrankRuehl" w:cs="FrankRuehl"/>
          <w:rtl/>
        </w:rPr>
        <w:t xml:space="preserve">, </w:t>
      </w:r>
      <w:hyperlink r:id="rId9" w:history="1">
        <w:r w:rsidRPr="0013634E">
          <w:rPr>
            <w:rFonts w:ascii="FrankRuehl" w:hAnsi="FrankRuehl" w:cs="FrankRuehl"/>
            <w:color w:val="0000FF"/>
            <w:rtl/>
          </w:rPr>
          <w:t>7(ג)</w:t>
        </w:r>
      </w:hyperlink>
      <w:r w:rsidRPr="0013634E">
        <w:rPr>
          <w:rFonts w:ascii="FrankRuehl" w:hAnsi="FrankRuehl" w:cs="FrankRuehl"/>
          <w:rtl/>
        </w:rPr>
        <w:t xml:space="preserve">, </w:t>
      </w:r>
      <w:hyperlink r:id="rId10" w:history="1">
        <w:r w:rsidRPr="0013634E">
          <w:rPr>
            <w:rFonts w:ascii="FrankRuehl" w:hAnsi="FrankRuehl" w:cs="FrankRuehl"/>
            <w:color w:val="0000FF"/>
            <w:rtl/>
          </w:rPr>
          <w:t>13</w:t>
        </w:r>
      </w:hyperlink>
      <w:r w:rsidRPr="0013634E">
        <w:rPr>
          <w:rFonts w:ascii="FrankRuehl" w:hAnsi="FrankRuehl" w:cs="FrankRuehl"/>
          <w:rtl/>
        </w:rPr>
        <w:t xml:space="preserve">, </w:t>
      </w:r>
      <w:hyperlink r:id="rId11" w:history="1">
        <w:r w:rsidRPr="0013634E">
          <w:rPr>
            <w:rFonts w:ascii="FrankRuehl" w:hAnsi="FrankRuehl" w:cs="FrankRuehl"/>
            <w:color w:val="0000FF"/>
            <w:rtl/>
          </w:rPr>
          <w:t>19א</w:t>
        </w:r>
      </w:hyperlink>
    </w:p>
    <w:p w14:paraId="2FCC35B7" w14:textId="77777777" w:rsidR="0013634E" w:rsidRPr="0013634E" w:rsidRDefault="0013634E" w:rsidP="0013634E">
      <w:pPr>
        <w:spacing w:before="120" w:after="120" w:line="240" w:lineRule="exact"/>
        <w:ind w:left="283" w:hanging="283"/>
        <w:jc w:val="both"/>
        <w:rPr>
          <w:rFonts w:ascii="FrankRuehl" w:hAnsi="FrankRuehl" w:cs="FrankRuehl"/>
          <w:rtl/>
        </w:rPr>
      </w:pPr>
      <w:hyperlink r:id="rId12" w:history="1">
        <w:r w:rsidRPr="0013634E">
          <w:rPr>
            <w:rFonts w:ascii="FrankRuehl" w:hAnsi="FrankRuehl" w:cs="FrankRuehl"/>
            <w:color w:val="0000FF"/>
            <w:rtl/>
          </w:rPr>
          <w:t>חוק העונשין, תשל"ז-1977</w:t>
        </w:r>
      </w:hyperlink>
      <w:r w:rsidRPr="0013634E">
        <w:rPr>
          <w:rFonts w:ascii="FrankRuehl" w:hAnsi="FrankRuehl" w:cs="FrankRuehl"/>
          <w:rtl/>
        </w:rPr>
        <w:t xml:space="preserve">: סע'  </w:t>
      </w:r>
      <w:hyperlink r:id="rId13" w:history="1">
        <w:r w:rsidRPr="0013634E">
          <w:rPr>
            <w:rFonts w:ascii="FrankRuehl" w:hAnsi="FrankRuehl" w:cs="FrankRuehl"/>
            <w:color w:val="0000FF"/>
            <w:rtl/>
          </w:rPr>
          <w:t>40 ד'</w:t>
        </w:r>
      </w:hyperlink>
    </w:p>
    <w:p w14:paraId="4835738A" w14:textId="77777777" w:rsidR="0013634E" w:rsidRPr="0013634E" w:rsidRDefault="0013634E" w:rsidP="0013634E">
      <w:pPr>
        <w:rPr>
          <w:sz w:val="26"/>
          <w:szCs w:val="26"/>
          <w:rtl/>
        </w:rPr>
      </w:pPr>
      <w:bookmarkStart w:id="4" w:name="LawTable_End"/>
      <w:bookmarkEnd w:id="4"/>
    </w:p>
    <w:p w14:paraId="459E489A" w14:textId="77777777" w:rsidR="00C37CDE" w:rsidRPr="00E103BF" w:rsidRDefault="00C37CDE" w:rsidP="00E103B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7CDE" w14:paraId="0ADBAD3B" w14:textId="77777777" w:rsidTr="00C37CDE">
        <w:trPr>
          <w:trHeight w:val="355"/>
          <w:jc w:val="center"/>
        </w:trPr>
        <w:tc>
          <w:tcPr>
            <w:tcW w:w="8820" w:type="dxa"/>
            <w:tcBorders>
              <w:top w:val="nil"/>
              <w:left w:val="nil"/>
              <w:bottom w:val="nil"/>
              <w:right w:val="nil"/>
            </w:tcBorders>
            <w:shd w:val="clear" w:color="auto" w:fill="auto"/>
          </w:tcPr>
          <w:p w14:paraId="6454231F" w14:textId="77777777" w:rsidR="00FA6D3B" w:rsidRPr="00FA6D3B" w:rsidRDefault="00FA6D3B" w:rsidP="00FA6D3B">
            <w:pPr>
              <w:jc w:val="center"/>
              <w:rPr>
                <w:rFonts w:ascii="David" w:hAnsi="David"/>
                <w:b/>
                <w:bCs/>
                <w:sz w:val="32"/>
                <w:szCs w:val="32"/>
                <w:u w:val="single"/>
                <w:rtl/>
              </w:rPr>
            </w:pPr>
            <w:bookmarkStart w:id="5" w:name="PsakDin" w:colFirst="0" w:colLast="0"/>
            <w:bookmarkEnd w:id="0"/>
            <w:bookmarkEnd w:id="1"/>
            <w:r w:rsidRPr="00FA6D3B">
              <w:rPr>
                <w:rFonts w:ascii="David" w:hAnsi="David"/>
                <w:b/>
                <w:bCs/>
                <w:sz w:val="32"/>
                <w:szCs w:val="32"/>
                <w:u w:val="single"/>
                <w:rtl/>
              </w:rPr>
              <w:t>גזר דין</w:t>
            </w:r>
          </w:p>
          <w:p w14:paraId="0AD43AAD" w14:textId="77777777" w:rsidR="00C37CDE" w:rsidRPr="00FA6D3B" w:rsidRDefault="00C37CDE" w:rsidP="00FA6D3B">
            <w:pPr>
              <w:jc w:val="center"/>
              <w:rPr>
                <w:rFonts w:ascii="David" w:hAnsi="David"/>
                <w:bCs/>
                <w:sz w:val="32"/>
                <w:szCs w:val="32"/>
                <w:u w:val="single"/>
                <w:rtl/>
              </w:rPr>
            </w:pPr>
          </w:p>
        </w:tc>
      </w:tr>
    </w:tbl>
    <w:bookmarkEnd w:id="5"/>
    <w:p w14:paraId="2891749F" w14:textId="77777777" w:rsidR="00C37CDE" w:rsidRDefault="00C37CDE" w:rsidP="00C37CDE">
      <w:pPr>
        <w:spacing w:line="360" w:lineRule="auto"/>
        <w:ind w:firstLine="360"/>
        <w:rPr>
          <w:rtl/>
        </w:rPr>
      </w:pPr>
      <w:r>
        <w:rPr>
          <w:b/>
          <w:bCs/>
          <w:u w:val="single"/>
          <w:rtl/>
        </w:rPr>
        <w:t>עובדות כתב האישום</w:t>
      </w:r>
      <w:r>
        <w:rPr>
          <w:rtl/>
        </w:rPr>
        <w:t xml:space="preserve"> </w:t>
      </w:r>
    </w:p>
    <w:p w14:paraId="6F33B679" w14:textId="77777777" w:rsidR="00C37CDE" w:rsidRDefault="00C37CDE" w:rsidP="00C37CDE">
      <w:pPr>
        <w:pStyle w:val="a9"/>
        <w:numPr>
          <w:ilvl w:val="0"/>
          <w:numId w:val="1"/>
        </w:numPr>
        <w:rPr>
          <w:sz w:val="24"/>
          <w:szCs w:val="24"/>
          <w:rtl/>
        </w:rPr>
      </w:pPr>
      <w:bookmarkStart w:id="6" w:name="ABSTRACT_START"/>
      <w:bookmarkEnd w:id="6"/>
      <w:r>
        <w:rPr>
          <w:sz w:val="24"/>
          <w:szCs w:val="24"/>
          <w:rtl/>
        </w:rPr>
        <w:t>הנאשמת הורשעה על פי הודאתה, בעובדות כתב אישום מתוקן, האוחז בשלושה אישומים, בעבירות כדלקמן:</w:t>
      </w:r>
    </w:p>
    <w:p w14:paraId="2DEC416F" w14:textId="77777777" w:rsidR="00C37CDE" w:rsidRDefault="00C37CDE" w:rsidP="00C37CDE">
      <w:pPr>
        <w:pStyle w:val="a9"/>
        <w:numPr>
          <w:ilvl w:val="0"/>
          <w:numId w:val="2"/>
        </w:numPr>
        <w:ind w:left="1080" w:right="0"/>
        <w:rPr>
          <w:sz w:val="24"/>
          <w:szCs w:val="24"/>
        </w:rPr>
      </w:pPr>
      <w:r>
        <w:rPr>
          <w:b/>
          <w:bCs/>
          <w:sz w:val="24"/>
          <w:szCs w:val="24"/>
          <w:rtl/>
        </w:rPr>
        <w:t>החזקה, שימוש בסמים שלא לצריכה עצמית</w:t>
      </w:r>
      <w:r>
        <w:rPr>
          <w:sz w:val="24"/>
          <w:szCs w:val="24"/>
          <w:rtl/>
        </w:rPr>
        <w:t xml:space="preserve"> - עבירה לפי </w:t>
      </w:r>
      <w:hyperlink r:id="rId14" w:history="1">
        <w:r w:rsidR="00F551A6" w:rsidRPr="00F551A6">
          <w:rPr>
            <w:rStyle w:val="Hyperlink"/>
            <w:sz w:val="24"/>
            <w:szCs w:val="24"/>
            <w:rtl/>
          </w:rPr>
          <w:t>סעיף 7(א)</w:t>
        </w:r>
      </w:hyperlink>
      <w:r>
        <w:rPr>
          <w:sz w:val="24"/>
          <w:szCs w:val="24"/>
          <w:rtl/>
        </w:rPr>
        <w:t xml:space="preserve"> + </w:t>
      </w:r>
      <w:hyperlink r:id="rId15" w:history="1">
        <w:r w:rsidR="00F551A6" w:rsidRPr="00F551A6">
          <w:rPr>
            <w:rStyle w:val="Hyperlink"/>
            <w:sz w:val="24"/>
            <w:szCs w:val="24"/>
            <w:rtl/>
          </w:rPr>
          <w:t>7(ג)</w:t>
        </w:r>
      </w:hyperlink>
      <w:r>
        <w:rPr>
          <w:sz w:val="24"/>
          <w:szCs w:val="24"/>
          <w:rtl/>
        </w:rPr>
        <w:t xml:space="preserve"> רישא ל</w:t>
      </w:r>
      <w:hyperlink r:id="rId16" w:history="1">
        <w:r w:rsidR="00FA6D3B" w:rsidRPr="00FA6D3B">
          <w:rPr>
            <w:rFonts w:hint="cs"/>
            <w:color w:val="0000FF"/>
            <w:sz w:val="24"/>
            <w:szCs w:val="24"/>
            <w:u w:val="single"/>
            <w:rtl/>
          </w:rPr>
          <w:t>פקודת</w:t>
        </w:r>
        <w:r w:rsidR="00FA6D3B" w:rsidRPr="00FA6D3B">
          <w:rPr>
            <w:color w:val="0000FF"/>
            <w:sz w:val="24"/>
            <w:szCs w:val="24"/>
            <w:u w:val="single"/>
            <w:rtl/>
          </w:rPr>
          <w:t xml:space="preserve"> </w:t>
        </w:r>
        <w:r w:rsidR="00FA6D3B" w:rsidRPr="00FA6D3B">
          <w:rPr>
            <w:rFonts w:hint="cs"/>
            <w:color w:val="0000FF"/>
            <w:sz w:val="24"/>
            <w:szCs w:val="24"/>
            <w:u w:val="single"/>
            <w:rtl/>
          </w:rPr>
          <w:t>הסמים</w:t>
        </w:r>
        <w:r w:rsidR="00FA6D3B" w:rsidRPr="00FA6D3B">
          <w:rPr>
            <w:color w:val="0000FF"/>
            <w:sz w:val="24"/>
            <w:szCs w:val="24"/>
            <w:u w:val="single"/>
            <w:rtl/>
          </w:rPr>
          <w:t xml:space="preserve"> </w:t>
        </w:r>
        <w:r w:rsidR="00FA6D3B" w:rsidRPr="00FA6D3B">
          <w:rPr>
            <w:rFonts w:hint="cs"/>
            <w:color w:val="0000FF"/>
            <w:sz w:val="24"/>
            <w:szCs w:val="24"/>
            <w:u w:val="single"/>
            <w:rtl/>
          </w:rPr>
          <w:t>המסוכנים</w:t>
        </w:r>
      </w:hyperlink>
      <w:r>
        <w:rPr>
          <w:sz w:val="24"/>
          <w:szCs w:val="24"/>
          <w:rtl/>
        </w:rPr>
        <w:t xml:space="preserve">, התשל"ג – 1973 (להלן: </w:t>
      </w:r>
      <w:r>
        <w:rPr>
          <w:b/>
          <w:bCs/>
          <w:sz w:val="24"/>
          <w:szCs w:val="24"/>
          <w:rtl/>
        </w:rPr>
        <w:t>"פקודת הסמים המסוכנים"</w:t>
      </w:r>
      <w:r>
        <w:rPr>
          <w:sz w:val="24"/>
          <w:szCs w:val="24"/>
          <w:rtl/>
        </w:rPr>
        <w:t>);</w:t>
      </w:r>
    </w:p>
    <w:p w14:paraId="5B97145E" w14:textId="77777777" w:rsidR="00C37CDE" w:rsidRDefault="00C37CDE" w:rsidP="00C37CDE">
      <w:pPr>
        <w:pStyle w:val="a9"/>
        <w:numPr>
          <w:ilvl w:val="0"/>
          <w:numId w:val="2"/>
        </w:numPr>
        <w:ind w:left="1080" w:right="0"/>
        <w:rPr>
          <w:sz w:val="24"/>
          <w:szCs w:val="24"/>
        </w:rPr>
      </w:pPr>
      <w:r>
        <w:rPr>
          <w:b/>
          <w:bCs/>
          <w:sz w:val="24"/>
          <w:szCs w:val="24"/>
          <w:rtl/>
        </w:rPr>
        <w:t>שתי עבירות</w:t>
      </w:r>
      <w:r>
        <w:rPr>
          <w:sz w:val="24"/>
          <w:szCs w:val="24"/>
          <w:rtl/>
        </w:rPr>
        <w:t xml:space="preserve"> של </w:t>
      </w:r>
      <w:r>
        <w:rPr>
          <w:b/>
          <w:bCs/>
          <w:sz w:val="24"/>
          <w:szCs w:val="24"/>
          <w:rtl/>
        </w:rPr>
        <w:t>יצוא, יבוא, מסחר, הספקה סמים מסוכנים</w:t>
      </w:r>
      <w:r>
        <w:rPr>
          <w:sz w:val="24"/>
          <w:szCs w:val="24"/>
          <w:rtl/>
        </w:rPr>
        <w:t xml:space="preserve"> - עבירות לפי </w:t>
      </w:r>
      <w:hyperlink r:id="rId17" w:history="1">
        <w:r w:rsidR="00F551A6" w:rsidRPr="00F551A6">
          <w:rPr>
            <w:rStyle w:val="Hyperlink"/>
            <w:sz w:val="24"/>
            <w:szCs w:val="24"/>
            <w:rtl/>
          </w:rPr>
          <w:t>סעיף 19+13א</w:t>
        </w:r>
      </w:hyperlink>
      <w:r>
        <w:rPr>
          <w:sz w:val="24"/>
          <w:szCs w:val="24"/>
          <w:rtl/>
        </w:rPr>
        <w:t xml:space="preserve"> </w:t>
      </w:r>
      <w:hyperlink r:id="rId18" w:history="1">
        <w:r w:rsidR="00FA6D3B" w:rsidRPr="00FA6D3B">
          <w:rPr>
            <w:rFonts w:hint="cs"/>
            <w:color w:val="0000FF"/>
            <w:sz w:val="24"/>
            <w:szCs w:val="24"/>
            <w:u w:val="single"/>
            <w:rtl/>
          </w:rPr>
          <w:t>פקודת</w:t>
        </w:r>
        <w:r w:rsidR="00FA6D3B" w:rsidRPr="00FA6D3B">
          <w:rPr>
            <w:color w:val="0000FF"/>
            <w:sz w:val="24"/>
            <w:szCs w:val="24"/>
            <w:u w:val="single"/>
            <w:rtl/>
          </w:rPr>
          <w:t xml:space="preserve"> </w:t>
        </w:r>
        <w:r w:rsidR="00FA6D3B" w:rsidRPr="00FA6D3B">
          <w:rPr>
            <w:rFonts w:hint="cs"/>
            <w:color w:val="0000FF"/>
            <w:sz w:val="24"/>
            <w:szCs w:val="24"/>
            <w:u w:val="single"/>
            <w:rtl/>
          </w:rPr>
          <w:t>הסמים</w:t>
        </w:r>
        <w:r w:rsidR="00FA6D3B" w:rsidRPr="00FA6D3B">
          <w:rPr>
            <w:color w:val="0000FF"/>
            <w:sz w:val="24"/>
            <w:szCs w:val="24"/>
            <w:u w:val="single"/>
            <w:rtl/>
          </w:rPr>
          <w:t xml:space="preserve"> </w:t>
        </w:r>
        <w:r w:rsidR="00FA6D3B" w:rsidRPr="00FA6D3B">
          <w:rPr>
            <w:rFonts w:hint="cs"/>
            <w:color w:val="0000FF"/>
            <w:sz w:val="24"/>
            <w:szCs w:val="24"/>
            <w:u w:val="single"/>
            <w:rtl/>
          </w:rPr>
          <w:t>המסוכנים</w:t>
        </w:r>
      </w:hyperlink>
      <w:r>
        <w:rPr>
          <w:sz w:val="24"/>
          <w:szCs w:val="24"/>
          <w:rtl/>
        </w:rPr>
        <w:t xml:space="preserve">; </w:t>
      </w:r>
    </w:p>
    <w:p w14:paraId="4DF53A35" w14:textId="77777777" w:rsidR="00C37CDE" w:rsidRDefault="00C37CDE" w:rsidP="00C37CDE">
      <w:pPr>
        <w:spacing w:line="360" w:lineRule="auto"/>
        <w:rPr>
          <w:rtl/>
        </w:rPr>
      </w:pPr>
      <w:bookmarkStart w:id="7" w:name="ABSTRACT_END"/>
      <w:bookmarkEnd w:id="7"/>
    </w:p>
    <w:p w14:paraId="53C6D7D9" w14:textId="77777777" w:rsidR="00C37CDE" w:rsidRDefault="00C37CDE" w:rsidP="00C37CDE">
      <w:pPr>
        <w:pStyle w:val="a9"/>
        <w:numPr>
          <w:ilvl w:val="0"/>
          <w:numId w:val="1"/>
        </w:numPr>
        <w:rPr>
          <w:sz w:val="24"/>
          <w:szCs w:val="24"/>
          <w:rtl/>
        </w:rPr>
      </w:pPr>
      <w:r>
        <w:rPr>
          <w:sz w:val="24"/>
          <w:szCs w:val="24"/>
          <w:rtl/>
        </w:rPr>
        <w:t xml:space="preserve">על פי </w:t>
      </w:r>
      <w:r>
        <w:rPr>
          <w:b/>
          <w:bCs/>
          <w:sz w:val="24"/>
          <w:szCs w:val="24"/>
          <w:rtl/>
        </w:rPr>
        <w:t>החלק הכללי</w:t>
      </w:r>
      <w:r>
        <w:rPr>
          <w:sz w:val="24"/>
          <w:szCs w:val="24"/>
          <w:rtl/>
        </w:rPr>
        <w:t xml:space="preserve"> לכתב האישום המתוקן, במועדים הרלוונטיים, התגוררה הנאשמת בעיר בת ים (להלן: "</w:t>
      </w:r>
      <w:r>
        <w:rPr>
          <w:b/>
          <w:bCs/>
          <w:sz w:val="24"/>
          <w:szCs w:val="24"/>
          <w:rtl/>
        </w:rPr>
        <w:t>הבית</w:t>
      </w:r>
      <w:r>
        <w:rPr>
          <w:sz w:val="24"/>
          <w:szCs w:val="24"/>
          <w:rtl/>
        </w:rPr>
        <w:t xml:space="preserve">") ועשתה שימוש ברכב שכור מסוג ניסאן (להלן: </w:t>
      </w:r>
      <w:r>
        <w:rPr>
          <w:b/>
          <w:bCs/>
          <w:sz w:val="24"/>
          <w:szCs w:val="24"/>
          <w:rtl/>
        </w:rPr>
        <w:t>"הרכב"</w:t>
      </w:r>
      <w:r>
        <w:rPr>
          <w:sz w:val="24"/>
          <w:szCs w:val="24"/>
          <w:rtl/>
        </w:rPr>
        <w:t xml:space="preserve">). עוד בהתאם לכתב האישום, באותם המועדים, עסק אחר שזהותו ידועה למאשימה, בסחר בסם והעסיק את הנאשמת כשלוחה מטעמו. </w:t>
      </w:r>
    </w:p>
    <w:p w14:paraId="0E537C72" w14:textId="77777777" w:rsidR="00C37CDE" w:rsidRDefault="00C37CDE" w:rsidP="00C37CDE">
      <w:pPr>
        <w:spacing w:line="360" w:lineRule="auto"/>
        <w:rPr>
          <w:rtl/>
        </w:rPr>
      </w:pPr>
    </w:p>
    <w:p w14:paraId="33D9E85F" w14:textId="77777777" w:rsidR="00C37CDE" w:rsidRDefault="00C37CDE" w:rsidP="00C37CDE">
      <w:pPr>
        <w:pStyle w:val="a9"/>
        <w:numPr>
          <w:ilvl w:val="0"/>
          <w:numId w:val="1"/>
        </w:numPr>
        <w:rPr>
          <w:sz w:val="24"/>
          <w:szCs w:val="24"/>
          <w:rtl/>
        </w:rPr>
      </w:pPr>
      <w:r>
        <w:rPr>
          <w:sz w:val="24"/>
          <w:szCs w:val="24"/>
          <w:rtl/>
        </w:rPr>
        <w:t xml:space="preserve">כמתואר </w:t>
      </w:r>
      <w:r>
        <w:rPr>
          <w:b/>
          <w:bCs/>
          <w:sz w:val="24"/>
          <w:szCs w:val="24"/>
          <w:rtl/>
        </w:rPr>
        <w:t>באישום הראשון</w:t>
      </w:r>
      <w:r>
        <w:rPr>
          <w:sz w:val="24"/>
          <w:szCs w:val="24"/>
          <w:rtl/>
        </w:rPr>
        <w:t>, ביום 11.4.21 בשעה 10:00 או בסמוך לכך, החזיקה הנאשמת בביתה וברכב, סמים מסוכנים שלא לצריכה עצמית, כאשר הם מחולקים למנות וזאת שלא כדין וללא היתר מאת המנהל, כדלקמן:</w:t>
      </w:r>
    </w:p>
    <w:p w14:paraId="49B45EE0" w14:textId="77777777" w:rsidR="00C37CDE" w:rsidRDefault="00C37CDE" w:rsidP="00C37CDE">
      <w:pPr>
        <w:pStyle w:val="a9"/>
        <w:numPr>
          <w:ilvl w:val="0"/>
          <w:numId w:val="3"/>
        </w:numPr>
        <w:ind w:left="1080" w:right="0"/>
        <w:rPr>
          <w:sz w:val="24"/>
          <w:szCs w:val="24"/>
          <w:rtl/>
        </w:rPr>
      </w:pPr>
      <w:r>
        <w:rPr>
          <w:sz w:val="24"/>
          <w:szCs w:val="24"/>
          <w:rtl/>
        </w:rPr>
        <w:t xml:space="preserve">בשידה שבחדרה החזיקה הנאשמת סם מסוכן מסוג קנאביס במשקל של 7.27 גרם נטו, אשר היה מחולק לשתי מנות. </w:t>
      </w:r>
    </w:p>
    <w:p w14:paraId="27A89377" w14:textId="77777777" w:rsidR="00C37CDE" w:rsidRDefault="00C37CDE" w:rsidP="00C37CDE">
      <w:pPr>
        <w:pStyle w:val="a9"/>
        <w:numPr>
          <w:ilvl w:val="0"/>
          <w:numId w:val="3"/>
        </w:numPr>
        <w:ind w:left="1080" w:right="0"/>
        <w:rPr>
          <w:sz w:val="24"/>
          <w:szCs w:val="24"/>
        </w:rPr>
      </w:pPr>
      <w:r>
        <w:rPr>
          <w:sz w:val="24"/>
          <w:szCs w:val="24"/>
          <w:rtl/>
        </w:rPr>
        <w:t xml:space="preserve">בתיק שחור בחדרה החזיקה הנאשמת סם מסוכן מסוג קנאביס במשקל של 2.58 גרם אשר היה מחולק לשתי מנות. </w:t>
      </w:r>
    </w:p>
    <w:p w14:paraId="092DF8C7" w14:textId="77777777" w:rsidR="00C37CDE" w:rsidRDefault="00C37CDE" w:rsidP="00C37CDE">
      <w:pPr>
        <w:pStyle w:val="a9"/>
        <w:numPr>
          <w:ilvl w:val="0"/>
          <w:numId w:val="3"/>
        </w:numPr>
        <w:ind w:left="1080" w:right="0"/>
        <w:rPr>
          <w:sz w:val="24"/>
          <w:szCs w:val="24"/>
        </w:rPr>
      </w:pPr>
      <w:r>
        <w:rPr>
          <w:sz w:val="24"/>
          <w:szCs w:val="24"/>
          <w:rtl/>
        </w:rPr>
        <w:t xml:space="preserve">ברכב, החזיקה הנאשמת סם מסוכן מסוג חשיש במשקל 14.43 גרם נטו אשר היה מחולק לשתי מנות, ובנוסף סם מסוכן מסוג קנאביס במשקל 392.36 גרם נטו אשר היה מחולק ל-36 מנות. </w:t>
      </w:r>
    </w:p>
    <w:p w14:paraId="43AD94C7" w14:textId="77777777" w:rsidR="00C37CDE" w:rsidRDefault="00C37CDE" w:rsidP="00C37CDE">
      <w:pPr>
        <w:spacing w:line="360" w:lineRule="auto"/>
        <w:ind w:left="360" w:firstLine="360"/>
        <w:contextualSpacing/>
      </w:pPr>
      <w:r>
        <w:rPr>
          <w:rtl/>
        </w:rPr>
        <w:t xml:space="preserve">עוד, החזיקה הנאשמת ברכב קופסאות לאחסון סמים. </w:t>
      </w:r>
    </w:p>
    <w:p w14:paraId="75316FC1" w14:textId="77777777" w:rsidR="00C37CDE" w:rsidRDefault="00C37CDE" w:rsidP="00C37CDE">
      <w:pPr>
        <w:spacing w:line="360" w:lineRule="auto"/>
        <w:ind w:left="720"/>
        <w:contextualSpacing/>
        <w:rPr>
          <w:rtl/>
        </w:rPr>
      </w:pPr>
    </w:p>
    <w:p w14:paraId="04993AAD" w14:textId="77777777" w:rsidR="00C37CDE" w:rsidRDefault="00C37CDE" w:rsidP="00C37CDE">
      <w:pPr>
        <w:spacing w:line="360" w:lineRule="auto"/>
        <w:ind w:left="720"/>
        <w:contextualSpacing/>
        <w:rPr>
          <w:rtl/>
        </w:rPr>
      </w:pPr>
      <w:r>
        <w:rPr>
          <w:rtl/>
        </w:rPr>
        <w:t xml:space="preserve">סך כל הסמים שהחזיקה הנאשמת בביתה וברכב הסתכם בכמות של 402.21 גרם קנאביס ו- 14.43 גרם חשיש. </w:t>
      </w:r>
    </w:p>
    <w:p w14:paraId="056CA032" w14:textId="77777777" w:rsidR="00C37CDE" w:rsidRDefault="00C37CDE" w:rsidP="00C37CDE">
      <w:pPr>
        <w:spacing w:line="360" w:lineRule="auto"/>
        <w:rPr>
          <w:rtl/>
        </w:rPr>
      </w:pPr>
    </w:p>
    <w:p w14:paraId="334A4B1F" w14:textId="77777777" w:rsidR="00C37CDE" w:rsidRDefault="00C37CDE" w:rsidP="00C37CDE">
      <w:pPr>
        <w:pStyle w:val="a9"/>
        <w:numPr>
          <w:ilvl w:val="0"/>
          <w:numId w:val="1"/>
        </w:numPr>
        <w:rPr>
          <w:sz w:val="24"/>
          <w:szCs w:val="24"/>
          <w:rtl/>
        </w:rPr>
      </w:pPr>
      <w:r>
        <w:rPr>
          <w:sz w:val="24"/>
          <w:szCs w:val="24"/>
          <w:rtl/>
        </w:rPr>
        <w:t xml:space="preserve">על פי עובדות </w:t>
      </w:r>
      <w:r>
        <w:rPr>
          <w:b/>
          <w:bCs/>
          <w:sz w:val="24"/>
          <w:szCs w:val="24"/>
          <w:rtl/>
        </w:rPr>
        <w:t>האישום השני,</w:t>
      </w:r>
      <w:r>
        <w:rPr>
          <w:sz w:val="24"/>
          <w:szCs w:val="24"/>
          <w:rtl/>
        </w:rPr>
        <w:t xml:space="preserve"> ביום 15.3.21 בשעה 14:31 קיבלה הנאשמת הודעה מאחר שזהותו אינה ידועה במדויק למאשימה, ובה נכתב "היוזמה 3 כ"ס 0542593959 זהב 600 2". בסמוך לשעה 16.02 נפגשה הנאשמת עם הגר פילרסדורף שפרטיה נכתבו בהודעה, בעיר כפר סבא, ומכרה לה סם מסוג קנאביס בתמורה ל-600 ₪. </w:t>
      </w:r>
    </w:p>
    <w:p w14:paraId="4430BD80" w14:textId="77777777" w:rsidR="00C37CDE" w:rsidRDefault="00C37CDE" w:rsidP="00C37CDE">
      <w:pPr>
        <w:spacing w:line="360" w:lineRule="auto"/>
        <w:rPr>
          <w:rtl/>
        </w:rPr>
      </w:pPr>
    </w:p>
    <w:p w14:paraId="1CE2BE27" w14:textId="77777777" w:rsidR="00C37CDE" w:rsidRDefault="00C37CDE" w:rsidP="00C37CDE">
      <w:pPr>
        <w:pStyle w:val="a9"/>
        <w:numPr>
          <w:ilvl w:val="0"/>
          <w:numId w:val="1"/>
        </w:numPr>
        <w:rPr>
          <w:sz w:val="24"/>
          <w:szCs w:val="24"/>
          <w:rtl/>
        </w:rPr>
      </w:pPr>
      <w:r>
        <w:rPr>
          <w:sz w:val="24"/>
          <w:szCs w:val="24"/>
          <w:rtl/>
        </w:rPr>
        <w:t xml:space="preserve">על פי עובדות </w:t>
      </w:r>
      <w:r>
        <w:rPr>
          <w:b/>
          <w:bCs/>
          <w:sz w:val="24"/>
          <w:szCs w:val="24"/>
          <w:rtl/>
        </w:rPr>
        <w:t>האישום השלישי</w:t>
      </w:r>
      <w:r>
        <w:rPr>
          <w:sz w:val="24"/>
          <w:szCs w:val="24"/>
          <w:rtl/>
        </w:rPr>
        <w:t xml:space="preserve">, ביום 15.3.21 בשעה 14:46 קיבלה הנאשמת הודעה מאחר שזהותו אינה ידועה במדויק למאשימה, ובה נכתב "פיקוס 5 מודיעין 0503366357 זהב 300". בסמוך לשעה 17.59 נפגשה הנאשמת עם ניקול סהר, שפרטיה נכתבו בהודעה, בעיר מודיעין ומכרה לה סם מסוג קנאביס בתמורה ל-300 ₪. </w:t>
      </w:r>
    </w:p>
    <w:p w14:paraId="41A5B22A" w14:textId="77777777" w:rsidR="00C37CDE" w:rsidRDefault="00C37CDE" w:rsidP="00C37CDE">
      <w:pPr>
        <w:spacing w:line="360" w:lineRule="auto"/>
        <w:rPr>
          <w:rtl/>
        </w:rPr>
      </w:pPr>
    </w:p>
    <w:p w14:paraId="0CB0C07D" w14:textId="77777777" w:rsidR="00C37CDE" w:rsidRDefault="00C37CDE" w:rsidP="00C37CDE">
      <w:pPr>
        <w:spacing w:line="360" w:lineRule="auto"/>
        <w:ind w:firstLine="360"/>
        <w:rPr>
          <w:b/>
          <w:bCs/>
          <w:u w:val="single"/>
          <w:rtl/>
        </w:rPr>
      </w:pPr>
      <w:r>
        <w:rPr>
          <w:b/>
          <w:bCs/>
          <w:u w:val="single"/>
          <w:rtl/>
        </w:rPr>
        <w:t>רישום בפלילים</w:t>
      </w:r>
    </w:p>
    <w:p w14:paraId="73D53CF8" w14:textId="77777777" w:rsidR="00C37CDE" w:rsidRDefault="00C37CDE" w:rsidP="00C37CDE">
      <w:pPr>
        <w:pStyle w:val="a9"/>
        <w:numPr>
          <w:ilvl w:val="0"/>
          <w:numId w:val="1"/>
        </w:numPr>
        <w:rPr>
          <w:sz w:val="24"/>
          <w:szCs w:val="24"/>
          <w:rtl/>
        </w:rPr>
      </w:pPr>
      <w:r>
        <w:rPr>
          <w:sz w:val="24"/>
          <w:szCs w:val="24"/>
          <w:rtl/>
        </w:rPr>
        <w:t xml:space="preserve">אין לחובת הנאשמת הרשעות קודמות בפלילים. </w:t>
      </w:r>
    </w:p>
    <w:p w14:paraId="5690F3D3" w14:textId="77777777" w:rsidR="00C37CDE" w:rsidRDefault="00C37CDE" w:rsidP="00C37CDE">
      <w:pPr>
        <w:spacing w:line="360" w:lineRule="auto"/>
        <w:rPr>
          <w:b/>
          <w:bCs/>
          <w:rtl/>
        </w:rPr>
      </w:pPr>
    </w:p>
    <w:p w14:paraId="11E6B7B4" w14:textId="77777777" w:rsidR="00C37CDE" w:rsidRDefault="00C37CDE" w:rsidP="00C37CDE">
      <w:pPr>
        <w:spacing w:line="360" w:lineRule="auto"/>
        <w:ind w:firstLine="360"/>
        <w:rPr>
          <w:b/>
          <w:bCs/>
          <w:u w:val="single"/>
          <w:rtl/>
        </w:rPr>
      </w:pPr>
      <w:r>
        <w:rPr>
          <w:b/>
          <w:bCs/>
          <w:u w:val="single"/>
          <w:rtl/>
        </w:rPr>
        <w:t xml:space="preserve">תסקיר שירות המבחן </w:t>
      </w:r>
    </w:p>
    <w:p w14:paraId="5B2223E5" w14:textId="77777777" w:rsidR="00C37CDE" w:rsidRDefault="00C37CDE" w:rsidP="00C37CDE">
      <w:pPr>
        <w:spacing w:line="360" w:lineRule="auto"/>
        <w:ind w:firstLine="360"/>
        <w:rPr>
          <w:rtl/>
        </w:rPr>
      </w:pPr>
      <w:r>
        <w:rPr>
          <w:rtl/>
        </w:rPr>
        <w:t xml:space="preserve">בעניינה של הנאשמת הוגשו 2 תסקירים: </w:t>
      </w:r>
    </w:p>
    <w:p w14:paraId="47C7E82D" w14:textId="77777777" w:rsidR="00C37CDE" w:rsidRDefault="00C37CDE" w:rsidP="00C37CDE">
      <w:pPr>
        <w:pStyle w:val="a9"/>
        <w:numPr>
          <w:ilvl w:val="0"/>
          <w:numId w:val="1"/>
        </w:numPr>
        <w:rPr>
          <w:sz w:val="24"/>
          <w:szCs w:val="24"/>
          <w:rtl/>
        </w:rPr>
      </w:pPr>
      <w:r>
        <w:rPr>
          <w:sz w:val="24"/>
          <w:szCs w:val="24"/>
          <w:rtl/>
        </w:rPr>
        <w:lastRenderedPageBreak/>
        <w:t xml:space="preserve">התסקיר מיום 17.7.22 התבסס על מידע שנאסף במסגרת הליך המעצר, לאחר שהנאשמת הגיעה למפגש באיחור ולא עלה בידי שירות המבחן לקבוע מועד נוסף חלופי. </w:t>
      </w:r>
    </w:p>
    <w:p w14:paraId="5B22D3F9" w14:textId="77777777" w:rsidR="00C37CDE" w:rsidRDefault="00C37CDE" w:rsidP="00C37CDE">
      <w:pPr>
        <w:spacing w:line="360" w:lineRule="auto"/>
        <w:ind w:left="720"/>
        <w:contextualSpacing/>
        <w:jc w:val="both"/>
        <w:rPr>
          <w:rtl/>
        </w:rPr>
      </w:pPr>
      <w:r>
        <w:rPr>
          <w:rtl/>
        </w:rPr>
        <w:t xml:space="preserve">בתסקיר צוין כי הנאשמת כבת 25, רווקה, בת למשפחה המקיימת אורח חיים דתי כאשר בגיל 16 עזבה את מסגרת לימודיה נוכח ספק באשר לרצונה בניהול אורח חיים דתי אדוק, השתלבה במסגרות חינוך חילוניות והשלימה 12 שנות לימוד. עם סיום לימודיה גויסה לצה"ל, שובצה כפקידה, בהמשך תפקדה כמאבטחת מתקנים וסיימה שירותה כנדרש. </w:t>
      </w:r>
    </w:p>
    <w:p w14:paraId="622AD830" w14:textId="77777777" w:rsidR="00C37CDE" w:rsidRDefault="00C37CDE" w:rsidP="00C37CDE">
      <w:pPr>
        <w:spacing w:line="360" w:lineRule="auto"/>
        <w:ind w:firstLine="720"/>
        <w:jc w:val="both"/>
        <w:rPr>
          <w:rtl/>
        </w:rPr>
      </w:pPr>
      <w:r>
        <w:rPr>
          <w:rtl/>
        </w:rPr>
        <w:t xml:space="preserve">עם שחרורה מהצבא, השתלבה בעבודה במסעדה, שם עבדה עד שנעצרה. </w:t>
      </w:r>
    </w:p>
    <w:p w14:paraId="20B49663" w14:textId="77777777" w:rsidR="00C37CDE" w:rsidRDefault="00C37CDE" w:rsidP="00C37CDE">
      <w:pPr>
        <w:spacing w:line="360" w:lineRule="auto"/>
        <w:jc w:val="both"/>
        <w:rPr>
          <w:rtl/>
        </w:rPr>
      </w:pPr>
    </w:p>
    <w:p w14:paraId="4AFA0B7D" w14:textId="77777777" w:rsidR="00C37CDE" w:rsidRDefault="00C37CDE" w:rsidP="00C37CDE">
      <w:pPr>
        <w:spacing w:line="360" w:lineRule="auto"/>
        <w:ind w:left="720"/>
        <w:contextualSpacing/>
        <w:jc w:val="both"/>
        <w:rPr>
          <w:rtl/>
        </w:rPr>
      </w:pPr>
      <w:r>
        <w:rPr>
          <w:rtl/>
        </w:rPr>
        <w:t xml:space="preserve">במסגרת הפגישות עם שירות המבחן בהליך המעצר, מסרה הנאשמת כי נחשפה לשימוש בסמים בסביבת חבריה, מספר שנים קודם. את השימוש בקנאביס החלה בגיל 18 כאמצעי להרגעה וכן בנסיבות חברתיות, כשלא ראתה בכך בעייתיות או פגיעה בתפקודה, עד למעצרה. </w:t>
      </w:r>
    </w:p>
    <w:p w14:paraId="759784BC" w14:textId="77777777" w:rsidR="00C37CDE" w:rsidRDefault="00C37CDE" w:rsidP="00C37CDE">
      <w:pPr>
        <w:spacing w:line="360" w:lineRule="auto"/>
        <w:ind w:left="720"/>
        <w:contextualSpacing/>
        <w:jc w:val="both"/>
        <w:rPr>
          <w:rtl/>
        </w:rPr>
      </w:pPr>
      <w:r>
        <w:rPr>
          <w:rtl/>
        </w:rPr>
        <w:t xml:space="preserve">הנאשמת מסרה כי לא העמיקה אז במשמעות בחירותיה, ומדבריה עלה קושי לזיהוי סיכונים והשלכותיהם. לצד התנהלות על פי נורמות פורצות גבול, נקטה גם בעמדות מקלות כלפי שימוש בסם מסוג קנאביס. </w:t>
      </w:r>
    </w:p>
    <w:p w14:paraId="50CC27B1" w14:textId="77777777" w:rsidR="00C37CDE" w:rsidRDefault="00C37CDE" w:rsidP="00C37CDE">
      <w:pPr>
        <w:spacing w:line="360" w:lineRule="auto"/>
        <w:ind w:left="720"/>
        <w:contextualSpacing/>
        <w:jc w:val="both"/>
        <w:rPr>
          <w:rtl/>
        </w:rPr>
      </w:pPr>
      <w:r>
        <w:rPr>
          <w:rtl/>
        </w:rPr>
        <w:t xml:space="preserve">הנאשמת ביטאה תחושות בושה ואכזבה עצמית, הדגישה כי היא מכירה בהתנהלותה הבעייתית וביטאה את רצונה בניהול אורח חיים תקין ונעדר מעורבות עם החוק. </w:t>
      </w:r>
    </w:p>
    <w:p w14:paraId="431B93D5" w14:textId="77777777" w:rsidR="00C37CDE" w:rsidRDefault="00C37CDE" w:rsidP="00C37CDE">
      <w:pPr>
        <w:spacing w:line="360" w:lineRule="auto"/>
        <w:jc w:val="both"/>
        <w:rPr>
          <w:rtl/>
        </w:rPr>
      </w:pPr>
    </w:p>
    <w:p w14:paraId="140326C0" w14:textId="77777777" w:rsidR="00C37CDE" w:rsidRDefault="00C37CDE" w:rsidP="00C37CDE">
      <w:pPr>
        <w:spacing w:line="360" w:lineRule="auto"/>
        <w:ind w:left="720"/>
        <w:contextualSpacing/>
        <w:jc w:val="both"/>
        <w:rPr>
          <w:rtl/>
        </w:rPr>
      </w:pPr>
      <w:r>
        <w:rPr>
          <w:rtl/>
        </w:rPr>
        <w:t xml:space="preserve">שירות המבחן התרשם כי מדובר בצעירה שהתמודדה עם קשיים רגשיים שהגבירו את הסיכון במצבה, כשנראה כי בתקופה שקדמה למעצרה, הייתה מעורבת בקשרים בעייתיים והתנהלה באופן בעייתי תוך טשטוש משמעות החוק. </w:t>
      </w:r>
    </w:p>
    <w:p w14:paraId="57F25B75" w14:textId="77777777" w:rsidR="00C37CDE" w:rsidRDefault="00C37CDE" w:rsidP="00C37CDE">
      <w:pPr>
        <w:spacing w:line="360" w:lineRule="auto"/>
        <w:ind w:left="720"/>
        <w:contextualSpacing/>
        <w:jc w:val="both"/>
        <w:rPr>
          <w:rtl/>
        </w:rPr>
      </w:pPr>
      <w:r>
        <w:rPr>
          <w:rtl/>
        </w:rPr>
        <w:t xml:space="preserve">שירות המבחן העריך כי חלה הפחתה בסיכון להישנות הבעייתיות כאשר במהלך תקופת פיקוח המעצר, הנאשמת שיתפה פעולה כנדרש ומסרה בדיקות שתן נקיות מסם. </w:t>
      </w:r>
    </w:p>
    <w:p w14:paraId="07AB6AD4" w14:textId="77777777" w:rsidR="00C37CDE" w:rsidRDefault="00C37CDE" w:rsidP="00C37CDE">
      <w:pPr>
        <w:spacing w:line="360" w:lineRule="auto"/>
        <w:ind w:left="720"/>
        <w:contextualSpacing/>
        <w:jc w:val="both"/>
        <w:rPr>
          <w:rtl/>
        </w:rPr>
      </w:pPr>
      <w:r>
        <w:rPr>
          <w:rtl/>
        </w:rPr>
        <w:t xml:space="preserve">שירות המבחן התרשם עוד כי הנאשמת אינה מאופיינת בקווים שוליים או בדפוסים עברייניים מתמשכים וכי להליכים שננקטו כנגדה - השפעה מרתיעה. </w:t>
      </w:r>
    </w:p>
    <w:p w14:paraId="562DF9E4" w14:textId="77777777" w:rsidR="00C37CDE" w:rsidRDefault="00C37CDE" w:rsidP="00C37CDE">
      <w:pPr>
        <w:spacing w:line="360" w:lineRule="auto"/>
        <w:rPr>
          <w:rtl/>
        </w:rPr>
      </w:pPr>
    </w:p>
    <w:p w14:paraId="3CD8867B" w14:textId="77777777" w:rsidR="00C37CDE" w:rsidRDefault="00C37CDE" w:rsidP="00C37CDE">
      <w:pPr>
        <w:pStyle w:val="a9"/>
        <w:numPr>
          <w:ilvl w:val="0"/>
          <w:numId w:val="1"/>
        </w:numPr>
        <w:rPr>
          <w:sz w:val="24"/>
          <w:szCs w:val="24"/>
          <w:rtl/>
        </w:rPr>
      </w:pPr>
      <w:r>
        <w:rPr>
          <w:sz w:val="24"/>
          <w:szCs w:val="24"/>
          <w:rtl/>
        </w:rPr>
        <w:t xml:space="preserve">בתסקיר השני, מיום 11.7.23, ציין שירות המבחן כי הנאשמת ממשיכה להתגורר בבית הוריה ועובדת במסעדה כאחראית ניהול הזמנות, חשבונות וסחורה. הנאשמת הציגה אישור לשימוש בקנאביס רפואי ואישור עדכני כי היא מטופלת על ידי פסיכיאטרית בטיפול תרופתי ומלווה על ידי רופא משפחה. עוד הציגה הנאשמת אישור הרשמה ותשלום ללימודים בתחום חשבות שכר. </w:t>
      </w:r>
    </w:p>
    <w:p w14:paraId="59ABF0AD" w14:textId="77777777" w:rsidR="00C37CDE" w:rsidRDefault="00C37CDE" w:rsidP="00C37CDE">
      <w:pPr>
        <w:spacing w:line="360" w:lineRule="auto"/>
        <w:rPr>
          <w:rtl/>
        </w:rPr>
      </w:pPr>
    </w:p>
    <w:p w14:paraId="343D0E71" w14:textId="77777777" w:rsidR="00C37CDE" w:rsidRDefault="00C37CDE" w:rsidP="00C37CDE">
      <w:pPr>
        <w:spacing w:line="360" w:lineRule="auto"/>
        <w:ind w:left="720"/>
        <w:contextualSpacing/>
        <w:jc w:val="both"/>
        <w:rPr>
          <w:rtl/>
        </w:rPr>
      </w:pPr>
      <w:r>
        <w:rPr>
          <w:rtl/>
        </w:rPr>
        <w:t xml:space="preserve">שירות המבחן התרשם כי הנאשמת נבונה אחראית ומצפונית בד"כ, שכשלה בבחירותיה בתקופה מסוימת ובהמשך גילתה נכונות לבחון את המורכבות הנפשית שעמדה בבסיס השימוש האינטנסיבי שלה בעבר בסמים. </w:t>
      </w:r>
    </w:p>
    <w:p w14:paraId="255FC69D" w14:textId="77777777" w:rsidR="00C37CDE" w:rsidRDefault="00C37CDE" w:rsidP="00C37CDE">
      <w:pPr>
        <w:spacing w:line="360" w:lineRule="auto"/>
        <w:ind w:left="720"/>
        <w:contextualSpacing/>
        <w:jc w:val="both"/>
        <w:rPr>
          <w:rtl/>
        </w:rPr>
      </w:pPr>
      <w:r>
        <w:rPr>
          <w:rtl/>
        </w:rPr>
        <w:t xml:space="preserve">הנאשמת עובדת ביציבות, מתאמצת לנהל שגרת חיים תקינה ויצרנית ומחזיקה בשאיפות נורמטיביות לקידום עתידה המקצועי. </w:t>
      </w:r>
    </w:p>
    <w:p w14:paraId="66534C66" w14:textId="77777777" w:rsidR="00C37CDE" w:rsidRDefault="00C37CDE" w:rsidP="00C37CDE">
      <w:pPr>
        <w:spacing w:line="360" w:lineRule="auto"/>
        <w:ind w:left="720"/>
        <w:contextualSpacing/>
        <w:jc w:val="both"/>
        <w:rPr>
          <w:rtl/>
        </w:rPr>
      </w:pPr>
      <w:r>
        <w:rPr>
          <w:rtl/>
        </w:rPr>
        <w:t xml:space="preserve">עוד התרשם שירות המבחן מהחרטה העמוקה שביטאה הנאשמת, מהבנתה את חומרת מעשיה, מההרתעה הגבוהה שנלוותה להליך המשפטי, ומכך שאינה מתאפיינת בקווים אנטי סוציאליים. </w:t>
      </w:r>
    </w:p>
    <w:p w14:paraId="24A6DD51" w14:textId="77777777" w:rsidR="00C37CDE" w:rsidRDefault="00C37CDE" w:rsidP="00C37CDE">
      <w:pPr>
        <w:spacing w:line="360" w:lineRule="auto"/>
        <w:ind w:left="720"/>
        <w:contextualSpacing/>
        <w:jc w:val="both"/>
        <w:rPr>
          <w:rtl/>
        </w:rPr>
      </w:pPr>
      <w:r>
        <w:rPr>
          <w:rtl/>
        </w:rPr>
        <w:t xml:space="preserve">נוכח כלל הנתונים בעניינה, בפרט מצבה המאוזן כיום מבחינה נפשית, שירות המבחן העריך כי הסיכון להישנות ביצוע עבירות- נמוך מאוד. </w:t>
      </w:r>
    </w:p>
    <w:p w14:paraId="3085345C" w14:textId="77777777" w:rsidR="00C37CDE" w:rsidRDefault="00C37CDE" w:rsidP="00C37CDE">
      <w:pPr>
        <w:spacing w:line="360" w:lineRule="auto"/>
        <w:rPr>
          <w:rtl/>
        </w:rPr>
      </w:pPr>
    </w:p>
    <w:p w14:paraId="01366F4A" w14:textId="77777777" w:rsidR="00C37CDE" w:rsidRDefault="00C37CDE" w:rsidP="00C37CDE">
      <w:pPr>
        <w:spacing w:line="360" w:lineRule="auto"/>
        <w:ind w:left="720"/>
        <w:contextualSpacing/>
        <w:jc w:val="both"/>
        <w:rPr>
          <w:rtl/>
        </w:rPr>
      </w:pPr>
      <w:r>
        <w:rPr>
          <w:rtl/>
        </w:rPr>
        <w:t>סופו של דבר שירות המבחן ביקש לשוב ולשקול את סוגיית הרשעתה של הנאשמת מתוך חשש כי שיש בכך כדי להוות אבן נגף משמעותית בהמשך דרכה, ומכל מקום המליץ על העמדת הנאשמת תחת צו מבחן למשך שנה, לצד צו של"צ בהיקף של 200 שעות כענישה קונקרטית וחינוכית.</w:t>
      </w:r>
    </w:p>
    <w:p w14:paraId="20581066" w14:textId="77777777" w:rsidR="00C37CDE" w:rsidRDefault="00C37CDE" w:rsidP="00C37CDE">
      <w:pPr>
        <w:spacing w:line="360" w:lineRule="auto"/>
        <w:jc w:val="both"/>
        <w:rPr>
          <w:rtl/>
        </w:rPr>
      </w:pPr>
    </w:p>
    <w:p w14:paraId="6D79DA77" w14:textId="77777777" w:rsidR="00C37CDE" w:rsidRDefault="00C37CDE" w:rsidP="00C37CDE">
      <w:pPr>
        <w:spacing w:line="360" w:lineRule="auto"/>
        <w:rPr>
          <w:rtl/>
        </w:rPr>
      </w:pPr>
    </w:p>
    <w:p w14:paraId="76BF0286" w14:textId="77777777" w:rsidR="00C37CDE" w:rsidRDefault="00C37CDE" w:rsidP="00C37CDE">
      <w:pPr>
        <w:spacing w:line="360" w:lineRule="auto"/>
        <w:ind w:firstLine="360"/>
        <w:rPr>
          <w:b/>
          <w:bCs/>
          <w:u w:val="single"/>
          <w:rtl/>
        </w:rPr>
      </w:pPr>
      <w:r>
        <w:rPr>
          <w:b/>
          <w:bCs/>
          <w:u w:val="single"/>
          <w:rtl/>
        </w:rPr>
        <w:t xml:space="preserve">טיעוני הצדדים לעונש בתמצית </w:t>
      </w:r>
    </w:p>
    <w:p w14:paraId="18D0B782" w14:textId="77777777" w:rsidR="00C37CDE" w:rsidRDefault="00C37CDE" w:rsidP="00C37CDE">
      <w:pPr>
        <w:spacing w:line="360" w:lineRule="auto"/>
        <w:ind w:firstLine="360"/>
        <w:rPr>
          <w:b/>
          <w:bCs/>
          <w:rtl/>
        </w:rPr>
      </w:pPr>
      <w:r>
        <w:rPr>
          <w:b/>
          <w:bCs/>
          <w:rtl/>
        </w:rPr>
        <w:t>תמצית טיעוני התביעה</w:t>
      </w:r>
    </w:p>
    <w:p w14:paraId="1A1CAE33" w14:textId="77777777" w:rsidR="00C37CDE" w:rsidRDefault="00C37CDE" w:rsidP="00C37CDE">
      <w:pPr>
        <w:pStyle w:val="a9"/>
        <w:numPr>
          <w:ilvl w:val="0"/>
          <w:numId w:val="1"/>
        </w:numPr>
        <w:rPr>
          <w:sz w:val="24"/>
          <w:szCs w:val="24"/>
          <w:rtl/>
        </w:rPr>
      </w:pPr>
      <w:r>
        <w:rPr>
          <w:sz w:val="24"/>
          <w:szCs w:val="24"/>
          <w:rtl/>
        </w:rPr>
        <w:t>בטיעוניה עמדה המאשימה על הערכים המוגנים שנפגעו וציינה את הפגיעה בהגנה על שלום הציבור ובריאותו וכן את הפגיעה בביטחון הציבור בגין ביצוע עבירות פליליות. עוד ציינה המאשימה את הנזקים החברתיים- ישירים ועקיפים שנגרמים כתוצאה מעבירות סמים.</w:t>
      </w:r>
    </w:p>
    <w:p w14:paraId="5953A84D" w14:textId="77777777" w:rsidR="00C37CDE" w:rsidRDefault="00C37CDE" w:rsidP="00C37CDE">
      <w:pPr>
        <w:pStyle w:val="a9"/>
        <w:rPr>
          <w:sz w:val="24"/>
          <w:szCs w:val="24"/>
        </w:rPr>
      </w:pPr>
      <w:r>
        <w:rPr>
          <w:sz w:val="24"/>
          <w:szCs w:val="24"/>
          <w:rtl/>
        </w:rPr>
        <w:t xml:space="preserve">בהתייחס לנסיבות ביצוע העבירה, ציינה המאשימה את כמויות הסמים שנתפסו, האופן בו נתפסו - מחולקים ומוכנים להפצה, כשלשיטתה אין לייחס משמעות מקילה לכך שמדובר בסם מסוכן מסוג קנאביס. המאשימה הדגישה כי הנאשמת החזיקה את הסמים ברכבה ובביתה, כשהיא נפגשת עם הקונים במקומות שונים ומספקת להם את הסמים ויש בכך כדי להעיד על תכנון וארגון מוקפדים. </w:t>
      </w:r>
    </w:p>
    <w:p w14:paraId="796C80A3" w14:textId="77777777" w:rsidR="00C37CDE" w:rsidRDefault="00C37CDE" w:rsidP="00C37CDE">
      <w:pPr>
        <w:pStyle w:val="a9"/>
        <w:rPr>
          <w:sz w:val="24"/>
          <w:szCs w:val="24"/>
          <w:rtl/>
        </w:rPr>
      </w:pPr>
      <w:r>
        <w:rPr>
          <w:sz w:val="24"/>
          <w:szCs w:val="24"/>
          <w:rtl/>
        </w:rPr>
        <w:t xml:space="preserve">המאשימה הפנתה לפסיקה ועתרה להעמיד את מתחם הענישה ההולם הכולל בגין שלושת האישומים, בין 15 ל-30 חודשי מאסר, לצד ענישה נלווית. </w:t>
      </w:r>
    </w:p>
    <w:p w14:paraId="528FF848" w14:textId="77777777" w:rsidR="00C37CDE" w:rsidRDefault="00C37CDE" w:rsidP="00C37CDE">
      <w:pPr>
        <w:pStyle w:val="a9"/>
        <w:rPr>
          <w:sz w:val="24"/>
          <w:szCs w:val="24"/>
          <w:rtl/>
        </w:rPr>
      </w:pPr>
      <w:r>
        <w:rPr>
          <w:sz w:val="24"/>
          <w:szCs w:val="24"/>
          <w:rtl/>
        </w:rPr>
        <w:t xml:space="preserve">בהתייחס המאשימה לנסיבות הנאשמת עצמה, ציינה את תסקיר שירות המבחן, שם צוין כי הנאשמת משתפת פעולה תקופה ממושכת, מנהלת שגרת חיים תקינה, מביעה חרטה כך שבסופו של דבר הומלץ להשית על הנאשמת צו של"צ. המאשימה הדגישה כי אין המדובר בהליך המצדיק סטייה משיקולי שיקום והדגישה כי הנאשמת לא עומדת במבחני "הלכת כתב" משלא הצביעה על נזק קונקרטי ומדובר בעבירות חמורות. בשים לב למכלול השיקולים, ובכלל זה נטילת האחריות, עתרה המאשימה לגזור על הנאשמת מאסר של 15 חודשים בפועל, לצד מאסר על תנאי וקנס. </w:t>
      </w:r>
    </w:p>
    <w:p w14:paraId="7834C0CA" w14:textId="77777777" w:rsidR="00C37CDE" w:rsidRDefault="00C37CDE" w:rsidP="00C37CDE">
      <w:pPr>
        <w:spacing w:line="360" w:lineRule="auto"/>
        <w:rPr>
          <w:b/>
          <w:bCs/>
          <w:rtl/>
        </w:rPr>
      </w:pPr>
    </w:p>
    <w:p w14:paraId="1AD4EF09" w14:textId="77777777" w:rsidR="00C37CDE" w:rsidRDefault="00C37CDE" w:rsidP="00C37CDE">
      <w:pPr>
        <w:spacing w:line="360" w:lineRule="auto"/>
        <w:ind w:firstLine="360"/>
        <w:rPr>
          <w:b/>
          <w:bCs/>
          <w:rtl/>
        </w:rPr>
      </w:pPr>
      <w:r>
        <w:rPr>
          <w:b/>
          <w:bCs/>
          <w:rtl/>
        </w:rPr>
        <w:t>תמצית טיעוני ההגנה</w:t>
      </w:r>
    </w:p>
    <w:p w14:paraId="75E2E43D" w14:textId="77777777" w:rsidR="00C37CDE" w:rsidRDefault="00C37CDE" w:rsidP="00C37CDE">
      <w:pPr>
        <w:pStyle w:val="a9"/>
        <w:numPr>
          <w:ilvl w:val="0"/>
          <w:numId w:val="1"/>
        </w:numPr>
        <w:rPr>
          <w:rFonts w:ascii="David" w:eastAsia="Times New Roman" w:hAnsi="David"/>
          <w:sz w:val="24"/>
          <w:szCs w:val="24"/>
          <w:rtl/>
        </w:rPr>
      </w:pPr>
      <w:r>
        <w:rPr>
          <w:rFonts w:ascii="David" w:eastAsia="Times New Roman" w:hAnsi="David"/>
          <w:sz w:val="24"/>
          <w:szCs w:val="24"/>
          <w:rtl/>
        </w:rPr>
        <w:t xml:space="preserve">בטיעוניה הדגישה ההגנה את נסיבות ביצוע העבירה החריגות ואת העובדה כי הנאשמת הייתה נתונה בתנאים מגבילים לתקופה ממושכת בת כשנתיים ושלושה חודשים במהלכם לא נרשמה כל הפרה של התנאים המגבילים. לדברי הסנגור, מדובר במי שהייתה שליחה לביצוע עבירת הסחר ולא הסוחרת עצמה, היא נטלה אחריות מלאה למעשיה, כתב האישום תוקן לקולה באופן משמעותי, המשקף את הנסיבות החריגות בעניינה. </w:t>
      </w:r>
    </w:p>
    <w:p w14:paraId="1C5AEC4D" w14:textId="77777777" w:rsidR="00C37CDE" w:rsidRDefault="00C37CDE" w:rsidP="00C37CDE">
      <w:pPr>
        <w:pStyle w:val="a9"/>
        <w:rPr>
          <w:rFonts w:ascii="David" w:eastAsia="Times New Roman" w:hAnsi="David"/>
          <w:sz w:val="24"/>
          <w:szCs w:val="24"/>
        </w:rPr>
      </w:pPr>
    </w:p>
    <w:p w14:paraId="67280E6D" w14:textId="77777777" w:rsidR="00C37CDE" w:rsidRDefault="00C37CDE" w:rsidP="00C37CDE">
      <w:pPr>
        <w:pStyle w:val="a9"/>
        <w:rPr>
          <w:rFonts w:ascii="David" w:eastAsia="Times New Roman" w:hAnsi="David"/>
          <w:sz w:val="24"/>
          <w:szCs w:val="24"/>
          <w:rtl/>
        </w:rPr>
      </w:pPr>
      <w:r>
        <w:rPr>
          <w:rFonts w:ascii="David" w:eastAsia="Times New Roman" w:hAnsi="David"/>
          <w:sz w:val="24"/>
          <w:szCs w:val="24"/>
          <w:rtl/>
        </w:rPr>
        <w:t xml:space="preserve">ההגנה ציינה כי מאז שחרורה החלה הנאשמת בהליך שיקום מול שירות המבחן, כאשר עוד בראשיתו נדרשה להפסיק את צריכת הסמים, וכך פעלה. בהמשך, הופנתה למרפאה לבריאות הנפש, שם קיבלה רישיון לצריכת קנאביס רפואי. בהמשך, בליווי ופיקוח שירות המבחן החלה הנאשמת לעבוד ומאז שומרת על רצף תעסוקתי במסגרתו אף קודמה בתפקידה, דבר המלמד על מסירותה והיותה אזרחית נורמטיבית. הנאשמת אף נרשמה ללימודי חשבות שכר, מקצוע אשר לו תיוותר הרשעתה, סביר כי יימנע ממנה לעסוק בו. </w:t>
      </w:r>
    </w:p>
    <w:p w14:paraId="06BE5E3E" w14:textId="77777777" w:rsidR="00C37CDE" w:rsidRDefault="00C37CDE" w:rsidP="00C37CDE">
      <w:pPr>
        <w:pStyle w:val="a9"/>
        <w:rPr>
          <w:rFonts w:ascii="David" w:eastAsia="Times New Roman" w:hAnsi="David"/>
          <w:sz w:val="24"/>
          <w:szCs w:val="24"/>
          <w:rtl/>
        </w:rPr>
      </w:pPr>
      <w:r>
        <w:rPr>
          <w:rFonts w:ascii="David" w:eastAsia="Times New Roman" w:hAnsi="David"/>
          <w:sz w:val="24"/>
          <w:szCs w:val="24"/>
          <w:rtl/>
        </w:rPr>
        <w:t xml:space="preserve">הסנגור הוסיף כי הנאשמת בליווי ופיקוח שירות המבחן למדה לנהל את חייה באופן תקין ובמקרה זה ראוי לסיים את ההליך בהיעדר הרשעה, משמאסר ולו בדרך של עבודות שירות, יגדע את ההליך החיובי באבו ויסיג את הנאשמת אחור. </w:t>
      </w:r>
    </w:p>
    <w:p w14:paraId="5032208D" w14:textId="77777777" w:rsidR="00C37CDE" w:rsidRDefault="00C37CDE" w:rsidP="00C37CDE">
      <w:pPr>
        <w:pStyle w:val="a9"/>
        <w:rPr>
          <w:rFonts w:ascii="David" w:eastAsia="Times New Roman" w:hAnsi="David"/>
          <w:sz w:val="24"/>
          <w:szCs w:val="24"/>
          <w:rtl/>
        </w:rPr>
      </w:pPr>
      <w:r>
        <w:rPr>
          <w:rFonts w:ascii="David" w:eastAsia="Times New Roman" w:hAnsi="David"/>
          <w:sz w:val="24"/>
          <w:szCs w:val="24"/>
          <w:rtl/>
        </w:rPr>
        <w:t xml:space="preserve">ההגנה הדגישה כי מדובר בתהליך משמעותי אותו עברה הנאשמת בליווי של שירות המבחן והרשעה תפגע באפשרותה לשקם את חייה. </w:t>
      </w:r>
    </w:p>
    <w:p w14:paraId="2E17AB9F" w14:textId="77777777" w:rsidR="00C37CDE" w:rsidRDefault="00C37CDE" w:rsidP="00C37CDE">
      <w:pPr>
        <w:pStyle w:val="a9"/>
        <w:rPr>
          <w:rFonts w:ascii="David" w:eastAsia="Times New Roman" w:hAnsi="David"/>
          <w:sz w:val="24"/>
          <w:szCs w:val="24"/>
        </w:rPr>
      </w:pPr>
      <w:r>
        <w:rPr>
          <w:rFonts w:ascii="David" w:eastAsia="Times New Roman" w:hAnsi="David"/>
          <w:sz w:val="24"/>
          <w:szCs w:val="24"/>
          <w:rtl/>
        </w:rPr>
        <w:t xml:space="preserve">לפיכך, ההגנה עתרה לביטול הרשעתה של הנאשמת ולהטלת צו מבחן לצד ענישה כלכלית, משבעניינה של הנאשמת , האינטרס הציבורי הוא לאפשר לה להמשיך ולשקם את חייה. </w:t>
      </w:r>
    </w:p>
    <w:p w14:paraId="5D1FC9E7" w14:textId="77777777" w:rsidR="00C37CDE" w:rsidRDefault="00C37CDE" w:rsidP="00C37CDE">
      <w:pPr>
        <w:spacing w:line="360" w:lineRule="auto"/>
        <w:ind w:firstLine="360"/>
        <w:rPr>
          <w:rFonts w:ascii="David" w:hAnsi="David"/>
          <w:b/>
          <w:bCs/>
          <w:rtl/>
        </w:rPr>
      </w:pPr>
    </w:p>
    <w:p w14:paraId="27918646" w14:textId="77777777" w:rsidR="00C37CDE" w:rsidRDefault="00C37CDE" w:rsidP="00C37CDE">
      <w:pPr>
        <w:spacing w:line="360" w:lineRule="auto"/>
        <w:ind w:firstLine="360"/>
        <w:rPr>
          <w:rFonts w:ascii="David" w:hAnsi="David"/>
          <w:b/>
          <w:bCs/>
          <w:rtl/>
        </w:rPr>
      </w:pPr>
      <w:r>
        <w:rPr>
          <w:rFonts w:ascii="David" w:hAnsi="David"/>
          <w:b/>
          <w:bCs/>
          <w:rtl/>
        </w:rPr>
        <w:t>דברי הנאשמת</w:t>
      </w:r>
    </w:p>
    <w:p w14:paraId="14D8FFBA" w14:textId="77777777" w:rsidR="00C37CDE" w:rsidRDefault="00C37CDE" w:rsidP="00C37CDE">
      <w:pPr>
        <w:pStyle w:val="a9"/>
        <w:numPr>
          <w:ilvl w:val="0"/>
          <w:numId w:val="1"/>
        </w:numPr>
        <w:rPr>
          <w:rFonts w:ascii="David" w:eastAsia="Times New Roman" w:hAnsi="David"/>
          <w:b/>
          <w:bCs/>
          <w:sz w:val="24"/>
          <w:szCs w:val="24"/>
          <w:rtl/>
        </w:rPr>
      </w:pPr>
      <w:r>
        <w:rPr>
          <w:rFonts w:ascii="David" w:eastAsia="Times New Roman" w:hAnsi="David"/>
          <w:sz w:val="24"/>
          <w:szCs w:val="24"/>
          <w:rtl/>
        </w:rPr>
        <w:t xml:space="preserve">בדבריה הביעה הנאשמת חרטה עמוקה וכנה על ביצוע העבירות, הצביעה על השינוי המשמעותי החיובי בחייה, הן הרפואי והן התעסוקתי, וביקשה כי בית המשפט יאפשר לה להמשיך בפועלה החיובי.  </w:t>
      </w:r>
    </w:p>
    <w:p w14:paraId="63D7434E" w14:textId="77777777" w:rsidR="00C37CDE" w:rsidRDefault="00C37CDE" w:rsidP="00C37CDE">
      <w:pPr>
        <w:spacing w:line="360" w:lineRule="auto"/>
        <w:ind w:firstLine="360"/>
        <w:rPr>
          <w:rFonts w:ascii="David" w:hAnsi="David"/>
          <w:b/>
          <w:bCs/>
          <w:u w:val="single"/>
          <w:rtl/>
        </w:rPr>
      </w:pPr>
    </w:p>
    <w:p w14:paraId="543E0524" w14:textId="77777777" w:rsidR="00C37CDE" w:rsidRDefault="00C37CDE" w:rsidP="00C37CDE">
      <w:pPr>
        <w:spacing w:line="360" w:lineRule="auto"/>
        <w:ind w:firstLine="360"/>
        <w:rPr>
          <w:rFonts w:ascii="David" w:hAnsi="David"/>
          <w:b/>
          <w:bCs/>
          <w:u w:val="single"/>
          <w:rtl/>
        </w:rPr>
      </w:pPr>
      <w:r>
        <w:rPr>
          <w:rFonts w:ascii="David" w:hAnsi="David"/>
          <w:b/>
          <w:bCs/>
          <w:u w:val="single"/>
          <w:rtl/>
        </w:rPr>
        <w:t>דיון והכרעה</w:t>
      </w:r>
    </w:p>
    <w:p w14:paraId="6A580EF1" w14:textId="77777777" w:rsidR="00C37CDE" w:rsidRDefault="00C37CDE" w:rsidP="00C37CDE">
      <w:pPr>
        <w:spacing w:line="360" w:lineRule="auto"/>
        <w:ind w:firstLine="360"/>
        <w:contextualSpacing/>
        <w:rPr>
          <w:rFonts w:ascii="David" w:hAnsi="David"/>
          <w:b/>
          <w:bCs/>
          <w:rtl/>
        </w:rPr>
      </w:pPr>
      <w:r>
        <w:rPr>
          <w:rFonts w:ascii="David" w:hAnsi="David"/>
          <w:b/>
          <w:bCs/>
          <w:rtl/>
        </w:rPr>
        <w:t xml:space="preserve">שאלת ההרשעה בדין </w:t>
      </w:r>
    </w:p>
    <w:p w14:paraId="4F421DB9" w14:textId="77777777" w:rsidR="00C37CDE" w:rsidRDefault="00C37CDE" w:rsidP="00C37CDE">
      <w:pPr>
        <w:pStyle w:val="a9"/>
        <w:numPr>
          <w:ilvl w:val="0"/>
          <w:numId w:val="1"/>
        </w:numPr>
        <w:spacing w:after="0"/>
        <w:rPr>
          <w:rFonts w:ascii="David" w:eastAsia="Times New Roman" w:hAnsi="David"/>
          <w:sz w:val="24"/>
          <w:szCs w:val="24"/>
          <w:rtl/>
        </w:rPr>
      </w:pPr>
      <w:r>
        <w:rPr>
          <w:rFonts w:ascii="David" w:eastAsia="Times New Roman" w:hAnsi="David"/>
          <w:sz w:val="24"/>
          <w:szCs w:val="24"/>
          <w:rtl/>
        </w:rPr>
        <w:t>לאחר שנתתי דעתי לטיעוני הצדדים, נחה דעתי כי אין עסקינן במקרה המצדיק הימנעות מהרשעה. אנמק בקצרה.</w:t>
      </w:r>
    </w:p>
    <w:p w14:paraId="367B2ACF" w14:textId="77777777" w:rsidR="00C37CDE" w:rsidRDefault="00C37CDE" w:rsidP="00C37CDE">
      <w:pPr>
        <w:spacing w:line="360" w:lineRule="auto"/>
        <w:contextualSpacing/>
        <w:rPr>
          <w:rFonts w:ascii="David" w:hAnsi="David"/>
        </w:rPr>
      </w:pPr>
    </w:p>
    <w:p w14:paraId="2E26108E" w14:textId="77777777" w:rsidR="00C37CDE" w:rsidRDefault="00C37CDE" w:rsidP="00C37CDE">
      <w:pPr>
        <w:spacing w:line="360" w:lineRule="auto"/>
        <w:ind w:left="720"/>
        <w:contextualSpacing/>
        <w:jc w:val="both"/>
        <w:rPr>
          <w:rFonts w:ascii="David" w:hAnsi="David"/>
          <w:b/>
          <w:bCs/>
        </w:rPr>
      </w:pPr>
      <w:r>
        <w:rPr>
          <w:rFonts w:ascii="David" w:hAnsi="David"/>
          <w:rtl/>
        </w:rPr>
        <w:t xml:space="preserve">כידוע, כלל יסוד הוא כי מי שנקבע שביצע עבירה פלילית-יורשע בדין, ורק נסיבות מיוחדות ויוצאות דופן יכול שיביאו לתוצאה של סיום ההליכים ללא הרשעה. על עמדה זו חזר בית המשפט העליון פעמים רבות לאורך השנים, תוך הדגשה כי סיום ההליכים ללא הרשעה הנו בגדר חריג מצומצם בלבד. ראו למשל </w:t>
      </w:r>
      <w:hyperlink r:id="rId19" w:history="1">
        <w:r w:rsidR="00FA6D3B" w:rsidRPr="00FA6D3B">
          <w:rPr>
            <w:rFonts w:ascii="David" w:hAnsi="David"/>
            <w:color w:val="0000FF"/>
            <w:u w:val="single"/>
            <w:rtl/>
          </w:rPr>
          <w:t>ע"פ 9150/08</w:t>
        </w:r>
      </w:hyperlink>
      <w:r>
        <w:rPr>
          <w:rFonts w:ascii="David" w:hAnsi="David"/>
          <w:rtl/>
        </w:rPr>
        <w:t xml:space="preserve"> </w:t>
      </w:r>
      <w:r>
        <w:rPr>
          <w:rFonts w:ascii="David" w:hAnsi="David"/>
          <w:b/>
          <w:bCs/>
          <w:rtl/>
        </w:rPr>
        <w:t>מ"י נ' ביטון</w:t>
      </w:r>
      <w:r>
        <w:rPr>
          <w:rFonts w:ascii="David" w:hAnsi="David"/>
          <w:rtl/>
        </w:rPr>
        <w:t xml:space="preserve"> (23.7.09) שם נקבע כי: </w:t>
      </w:r>
    </w:p>
    <w:p w14:paraId="0555EAC3" w14:textId="77777777" w:rsidR="00C37CDE" w:rsidRDefault="00C37CDE" w:rsidP="00C37CDE">
      <w:pPr>
        <w:spacing w:line="360" w:lineRule="auto"/>
        <w:ind w:left="720"/>
        <w:contextualSpacing/>
        <w:jc w:val="both"/>
        <w:rPr>
          <w:rFonts w:ascii="David" w:hAnsi="David"/>
          <w:rtl/>
        </w:rPr>
      </w:pPr>
      <w:r>
        <w:rPr>
          <w:rFonts w:ascii="David" w:hAnsi="David"/>
          <w:b/>
          <w:bCs/>
          <w:rtl/>
        </w:rPr>
        <w:t>"שורת הדין מחייבת כי מי שהובא לדין ונמצא אשם, יורשע בעבירות שיוחסו לו. זהו הכלל. הסמכות הנתונה לבית-המשפט להסתפק בהעמדת נאשם במבחן בלי להרשיעו בדין, יפה למקרים מיוחדים ויוצאי דופן. שימוש בסמכות הזאת כאשר אין צידוק ממשי להימנע מהרשעה מפרה את הכלל. בכך נפגעת גם שורת השוויון בפני החוק".</w:t>
      </w:r>
    </w:p>
    <w:p w14:paraId="4C1BDFC7" w14:textId="77777777" w:rsidR="00C37CDE" w:rsidRDefault="00C37CDE" w:rsidP="00C37CDE">
      <w:pPr>
        <w:spacing w:line="360" w:lineRule="auto"/>
        <w:contextualSpacing/>
        <w:rPr>
          <w:rFonts w:ascii="David" w:hAnsi="David"/>
          <w:rtl/>
        </w:rPr>
      </w:pPr>
    </w:p>
    <w:p w14:paraId="6464C42F" w14:textId="77777777" w:rsidR="00C37CDE" w:rsidRDefault="00C37CDE" w:rsidP="00C37CDE">
      <w:pPr>
        <w:pStyle w:val="a9"/>
        <w:numPr>
          <w:ilvl w:val="0"/>
          <w:numId w:val="1"/>
        </w:numPr>
        <w:spacing w:after="0"/>
        <w:rPr>
          <w:rFonts w:ascii="David" w:eastAsia="Times New Roman" w:hAnsi="David"/>
          <w:sz w:val="24"/>
          <w:szCs w:val="24"/>
          <w:rtl/>
        </w:rPr>
      </w:pPr>
      <w:r>
        <w:rPr>
          <w:rFonts w:ascii="David" w:eastAsia="Times New Roman" w:hAnsi="David"/>
          <w:sz w:val="24"/>
          <w:szCs w:val="24"/>
          <w:rtl/>
        </w:rPr>
        <w:t>הכללים המנחים לבחינת סוגיית אי ההרשעה נקבעו ב</w:t>
      </w:r>
      <w:hyperlink r:id="rId20" w:history="1">
        <w:r w:rsidR="00FA6D3B" w:rsidRPr="00FA6D3B">
          <w:rPr>
            <w:rFonts w:ascii="David" w:eastAsia="Times New Roman" w:hAnsi="David"/>
            <w:color w:val="0000FF"/>
            <w:sz w:val="24"/>
            <w:szCs w:val="24"/>
            <w:u w:val="single"/>
            <w:rtl/>
          </w:rPr>
          <w:t>ע"פ 2083/96</w:t>
        </w:r>
      </w:hyperlink>
      <w:r>
        <w:rPr>
          <w:rFonts w:ascii="David" w:eastAsia="Times New Roman" w:hAnsi="David"/>
          <w:sz w:val="24"/>
          <w:szCs w:val="24"/>
          <w:rtl/>
        </w:rPr>
        <w:t xml:space="preserve"> </w:t>
      </w:r>
      <w:r>
        <w:rPr>
          <w:rFonts w:ascii="David" w:eastAsia="Times New Roman" w:hAnsi="David"/>
          <w:b/>
          <w:bCs/>
          <w:sz w:val="24"/>
          <w:szCs w:val="24"/>
          <w:rtl/>
        </w:rPr>
        <w:t>תמר כתב נ' מ"י,</w:t>
      </w:r>
      <w:r>
        <w:rPr>
          <w:rFonts w:ascii="David" w:eastAsia="Times New Roman" w:hAnsi="David"/>
          <w:sz w:val="24"/>
          <w:szCs w:val="24"/>
          <w:rtl/>
        </w:rPr>
        <w:t xml:space="preserve"> פד"י נב (3) 337 (להלן: </w:t>
      </w:r>
      <w:r>
        <w:rPr>
          <w:rFonts w:ascii="David" w:eastAsia="Times New Roman" w:hAnsi="David"/>
          <w:b/>
          <w:bCs/>
          <w:sz w:val="24"/>
          <w:szCs w:val="24"/>
          <w:rtl/>
        </w:rPr>
        <w:t>"הלכת כתב"</w:t>
      </w:r>
      <w:r>
        <w:rPr>
          <w:rFonts w:ascii="David" w:eastAsia="Times New Roman" w:hAnsi="David"/>
          <w:sz w:val="24"/>
          <w:szCs w:val="24"/>
          <w:rtl/>
        </w:rPr>
        <w:t xml:space="preserve">), ולפיהם: </w:t>
      </w:r>
    </w:p>
    <w:p w14:paraId="08C738B0" w14:textId="77777777" w:rsidR="00C37CDE" w:rsidRDefault="00C37CDE" w:rsidP="00C37CDE">
      <w:pPr>
        <w:spacing w:line="360" w:lineRule="auto"/>
        <w:ind w:left="720"/>
        <w:contextualSpacing/>
        <w:jc w:val="both"/>
        <w:rPr>
          <w:rFonts w:ascii="David" w:hAnsi="David"/>
          <w:b/>
          <w:bCs/>
          <w:rtl/>
        </w:rPr>
      </w:pPr>
      <w:r>
        <w:rPr>
          <w:rFonts w:ascii="David" w:hAnsi="David"/>
          <w:b/>
          <w:bCs/>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p>
    <w:p w14:paraId="5DD663D8" w14:textId="77777777" w:rsidR="00C37CDE" w:rsidRDefault="00C37CDE" w:rsidP="00C37CDE">
      <w:pPr>
        <w:spacing w:line="360" w:lineRule="auto"/>
        <w:contextualSpacing/>
        <w:rPr>
          <w:rFonts w:ascii="David" w:hAnsi="David"/>
          <w:b/>
          <w:bCs/>
          <w:rtl/>
        </w:rPr>
      </w:pPr>
    </w:p>
    <w:p w14:paraId="04C1403F" w14:textId="77777777" w:rsidR="00C37CDE" w:rsidRDefault="00C37CDE" w:rsidP="00C37CDE">
      <w:pPr>
        <w:pStyle w:val="a9"/>
        <w:numPr>
          <w:ilvl w:val="0"/>
          <w:numId w:val="1"/>
        </w:numPr>
        <w:spacing w:after="0"/>
        <w:rPr>
          <w:rFonts w:ascii="David" w:eastAsia="Times New Roman" w:hAnsi="David"/>
          <w:sz w:val="24"/>
          <w:szCs w:val="24"/>
          <w:rtl/>
        </w:rPr>
      </w:pPr>
      <w:r>
        <w:rPr>
          <w:rFonts w:ascii="David" w:eastAsia="Times New Roman" w:hAnsi="David"/>
          <w:sz w:val="24"/>
          <w:szCs w:val="24"/>
          <w:rtl/>
        </w:rPr>
        <w:t xml:space="preserve">בטרם אדון בפגיעה שתגרם לנאשמת כתוצאה מהרשעתה בדין, אבהיר כי אותה פגיעה אינה חזות הכל. ההיפך, נקודת המוצא חייבת להיות מעוגנת בטיב המעשים שבוצעו, בחומרתם, בערכים שנפגעו, במידת הפגיעה בהם ובעצמתו של האינטרס הציבורי בדבר מיצוי הדין. רק אם בשים לב למכלול שיקולים אלה, ניתן להשלים עם סיום ההליכים ללא הרשעה, יש מקום לבחון את מידת הפגיעה הצפויה בשיקומה של הנאשמת ולאזן בינה לבין יתר שיקולי הענישה. </w:t>
      </w:r>
    </w:p>
    <w:p w14:paraId="04CA5E26" w14:textId="77777777" w:rsidR="00C37CDE" w:rsidRDefault="00C37CDE" w:rsidP="00C37CDE">
      <w:pPr>
        <w:spacing w:line="360" w:lineRule="auto"/>
        <w:contextualSpacing/>
        <w:rPr>
          <w:rFonts w:ascii="David" w:hAnsi="David"/>
        </w:rPr>
      </w:pPr>
    </w:p>
    <w:p w14:paraId="628A8030" w14:textId="77777777" w:rsidR="00C37CDE" w:rsidRDefault="00C37CDE" w:rsidP="00C37CDE">
      <w:pPr>
        <w:pStyle w:val="a9"/>
        <w:numPr>
          <w:ilvl w:val="0"/>
          <w:numId w:val="1"/>
        </w:numPr>
        <w:spacing w:after="0"/>
        <w:rPr>
          <w:rFonts w:ascii="David" w:eastAsia="Times New Roman" w:hAnsi="David"/>
          <w:b/>
          <w:sz w:val="24"/>
          <w:szCs w:val="24"/>
          <w:rtl/>
        </w:rPr>
      </w:pPr>
      <w:r>
        <w:rPr>
          <w:rFonts w:ascii="David" w:eastAsia="Times New Roman" w:hAnsi="David"/>
          <w:sz w:val="24"/>
          <w:szCs w:val="24"/>
          <w:rtl/>
        </w:rPr>
        <w:t>עבירות הסחר בסם חמורה ובעת האחרונה מחריפה תופעה זו ויש למגרה. יפים לעניין זה דברי בית המשפט העליון</w:t>
      </w:r>
      <w:r>
        <w:rPr>
          <w:rFonts w:ascii="David" w:eastAsia="Times New Roman" w:hAnsi="David"/>
          <w:sz w:val="24"/>
          <w:szCs w:val="24"/>
        </w:rPr>
        <w:t>:</w:t>
      </w:r>
      <w:r>
        <w:rPr>
          <w:rFonts w:ascii="David" w:eastAsia="Times New Roman" w:hAnsi="David"/>
          <w:sz w:val="24"/>
          <w:szCs w:val="24"/>
          <w:rtl/>
        </w:rPr>
        <w:t xml:space="preserve"> </w:t>
      </w:r>
      <w:r>
        <w:rPr>
          <w:rFonts w:ascii="David" w:eastAsia="Times New Roman" w:hAnsi="David"/>
          <w:b/>
          <w:sz w:val="24"/>
          <w:szCs w:val="24"/>
          <w:rtl/>
        </w:rPr>
        <w:t xml:space="preserve"> </w:t>
      </w:r>
    </w:p>
    <w:p w14:paraId="7664ADF7" w14:textId="77777777" w:rsidR="00C37CDE" w:rsidRDefault="00C37CDE" w:rsidP="00C37CDE">
      <w:pPr>
        <w:spacing w:line="360" w:lineRule="auto"/>
        <w:ind w:left="720"/>
        <w:contextualSpacing/>
        <w:jc w:val="both"/>
        <w:rPr>
          <w:rFonts w:ascii="David" w:hAnsi="David"/>
          <w:rtl/>
        </w:rPr>
      </w:pPr>
      <w:r>
        <w:rPr>
          <w:rFonts w:ascii="David" w:hAnsi="David"/>
          <w:b/>
          <w:rtl/>
        </w:rPr>
        <w:t>"</w:t>
      </w:r>
      <w:r>
        <w:rPr>
          <w:rFonts w:ascii="David" w:hAnsi="David"/>
          <w:bCs/>
          <w:rtl/>
        </w:rPr>
        <w:t>בית משפט זה שב והדגיש כי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w:t>
      </w:r>
      <w:r>
        <w:rPr>
          <w:rFonts w:ascii="David" w:hAnsi="David"/>
          <w:b/>
          <w:rtl/>
        </w:rPr>
        <w:t xml:space="preserve"> (</w:t>
      </w:r>
      <w:hyperlink r:id="rId21" w:history="1">
        <w:r w:rsidR="00FA6D3B" w:rsidRPr="00FA6D3B">
          <w:rPr>
            <w:rFonts w:ascii="David" w:hAnsi="David"/>
            <w:b/>
            <w:color w:val="0000FF"/>
            <w:u w:val="single"/>
            <w:rtl/>
          </w:rPr>
          <w:t>רע"פ 8695/19</w:t>
        </w:r>
      </w:hyperlink>
      <w:r>
        <w:rPr>
          <w:rFonts w:ascii="David" w:hAnsi="David"/>
          <w:b/>
          <w:rtl/>
        </w:rPr>
        <w:t xml:space="preserve"> </w:t>
      </w:r>
      <w:r>
        <w:rPr>
          <w:rFonts w:ascii="David" w:hAnsi="David"/>
          <w:bCs/>
          <w:rtl/>
        </w:rPr>
        <w:t>פסו נ' מ"י</w:t>
      </w:r>
      <w:r>
        <w:rPr>
          <w:rFonts w:ascii="David" w:hAnsi="David"/>
          <w:b/>
          <w:rtl/>
        </w:rPr>
        <w:t xml:space="preserve"> (5.1.20)).</w:t>
      </w:r>
    </w:p>
    <w:p w14:paraId="0F72D897" w14:textId="77777777" w:rsidR="00C37CDE" w:rsidRDefault="00C37CDE" w:rsidP="00C37CDE">
      <w:pPr>
        <w:spacing w:line="360" w:lineRule="auto"/>
        <w:contextualSpacing/>
        <w:rPr>
          <w:rFonts w:ascii="David" w:hAnsi="David"/>
        </w:rPr>
      </w:pPr>
    </w:p>
    <w:p w14:paraId="43EBD612" w14:textId="77777777" w:rsidR="00C37CDE" w:rsidRDefault="00C37CDE" w:rsidP="00C37CDE">
      <w:pPr>
        <w:pStyle w:val="a9"/>
        <w:numPr>
          <w:ilvl w:val="0"/>
          <w:numId w:val="1"/>
        </w:numPr>
        <w:spacing w:after="0"/>
        <w:rPr>
          <w:rFonts w:ascii="David" w:eastAsia="Times New Roman" w:hAnsi="David"/>
          <w:sz w:val="24"/>
          <w:szCs w:val="24"/>
          <w:rtl/>
        </w:rPr>
      </w:pPr>
      <w:r>
        <w:rPr>
          <w:rFonts w:ascii="David" w:eastAsia="Times New Roman" w:hAnsi="David"/>
          <w:sz w:val="24"/>
          <w:szCs w:val="24"/>
          <w:rtl/>
        </w:rPr>
        <w:t xml:space="preserve">בענייננו, חומרתו הרבה של האירוע נובעת בעיקר מכך שהנאשמת ביצעה שתי עבירות של סחר בסם מסוכן, והחזיקה כמות מכבידה של סמים - 402.21 גרם </w:t>
      </w:r>
      <w:r>
        <w:rPr>
          <w:rFonts w:ascii="David" w:eastAsia="Times New Roman" w:hAnsi="David" w:hint="cs"/>
          <w:sz w:val="24"/>
          <w:szCs w:val="24"/>
          <w:rtl/>
        </w:rPr>
        <w:t>קנאביס</w:t>
      </w:r>
      <w:r>
        <w:rPr>
          <w:rFonts w:ascii="David" w:eastAsia="Times New Roman" w:hAnsi="David"/>
          <w:sz w:val="24"/>
          <w:szCs w:val="24"/>
          <w:rtl/>
        </w:rPr>
        <w:t xml:space="preserve"> ו- 14.43 גרם חשיש, כאשר הסמים היו מחולקים למנות. </w:t>
      </w:r>
    </w:p>
    <w:p w14:paraId="498059BD" w14:textId="77777777" w:rsidR="00C37CDE" w:rsidRDefault="00C37CDE" w:rsidP="00C37CDE">
      <w:pPr>
        <w:pStyle w:val="a9"/>
        <w:spacing w:after="0"/>
        <w:rPr>
          <w:rFonts w:ascii="David" w:eastAsia="Times New Roman" w:hAnsi="David"/>
          <w:sz w:val="24"/>
          <w:szCs w:val="24"/>
        </w:rPr>
      </w:pPr>
    </w:p>
    <w:p w14:paraId="5BFF8266" w14:textId="77777777" w:rsidR="00C37CDE" w:rsidRDefault="00C37CDE" w:rsidP="00C37CDE">
      <w:pPr>
        <w:pStyle w:val="a9"/>
        <w:numPr>
          <w:ilvl w:val="0"/>
          <w:numId w:val="1"/>
        </w:numPr>
        <w:spacing w:after="0"/>
        <w:rPr>
          <w:rFonts w:ascii="David" w:eastAsia="Times New Roman" w:hAnsi="David"/>
          <w:sz w:val="24"/>
          <w:szCs w:val="24"/>
          <w:rtl/>
        </w:rPr>
      </w:pPr>
      <w:r>
        <w:rPr>
          <w:rFonts w:ascii="David" w:eastAsia="Times New Roman" w:hAnsi="David"/>
          <w:sz w:val="24"/>
          <w:szCs w:val="24"/>
          <w:rtl/>
        </w:rPr>
        <w:t xml:space="preserve">על דרך הכלל, לא ניתן להימנע מהרשעה מקום בו אין מדובר בעבירה יחידה של סחר בסם. הכמות שנתפסה המחולקת למנות והאינטרס הציבורי בעבירות הסם, אינו מאפשר זאת. </w:t>
      </w:r>
    </w:p>
    <w:p w14:paraId="743A5B9E" w14:textId="77777777" w:rsidR="00C37CDE" w:rsidRDefault="00C37CDE" w:rsidP="00C37CDE">
      <w:pPr>
        <w:spacing w:line="360" w:lineRule="auto"/>
        <w:ind w:left="720"/>
        <w:contextualSpacing/>
        <w:rPr>
          <w:rFonts w:ascii="David" w:hAnsi="David"/>
        </w:rPr>
      </w:pPr>
    </w:p>
    <w:p w14:paraId="7DD9B10F" w14:textId="77777777" w:rsidR="00C37CDE" w:rsidRDefault="00C37CDE" w:rsidP="00C37CDE">
      <w:pPr>
        <w:spacing w:line="360" w:lineRule="auto"/>
        <w:ind w:left="720"/>
        <w:contextualSpacing/>
        <w:jc w:val="both"/>
        <w:rPr>
          <w:rFonts w:ascii="David" w:hAnsi="David"/>
          <w:rtl/>
        </w:rPr>
      </w:pPr>
      <w:r>
        <w:rPr>
          <w:rFonts w:ascii="David" w:hAnsi="David"/>
          <w:rtl/>
        </w:rPr>
        <w:t xml:space="preserve">עם זאת, גם אם תמצי לומר כי האינטרס הציבורי מאפשר הימנעות מהרשעה בהתחשב במאפייניה האישיים של הנאשמת, ובכלל זה התרשמותו החיובית של שירות המבחן, היעדר דפוסי התנהלות עברייניים וקיומם של כישורים תפקודיים תקינים בכל מישורי חייה השונים, הרי שבענייננו לא מתקיים כלל ועיקר התנאי השני - שעיקרו קיומו של נזק קונקרטי. </w:t>
      </w:r>
    </w:p>
    <w:p w14:paraId="236A859C" w14:textId="77777777" w:rsidR="00C37CDE" w:rsidRDefault="00C37CDE" w:rsidP="00C37CDE">
      <w:pPr>
        <w:spacing w:line="360" w:lineRule="auto"/>
        <w:ind w:left="720"/>
        <w:contextualSpacing/>
        <w:jc w:val="both"/>
        <w:rPr>
          <w:rFonts w:ascii="David" w:hAnsi="David"/>
          <w:rtl/>
        </w:rPr>
      </w:pPr>
      <w:r>
        <w:rPr>
          <w:rFonts w:ascii="David" w:hAnsi="David"/>
          <w:rtl/>
        </w:rPr>
        <w:t>משמדובר בתנאים מצטברים די באי קיומו של אחד, כדי להותיר את ההרשעה על כנה.</w:t>
      </w:r>
    </w:p>
    <w:p w14:paraId="48948092" w14:textId="77777777" w:rsidR="00C37CDE" w:rsidRDefault="00C37CDE" w:rsidP="00C37CDE">
      <w:pPr>
        <w:spacing w:line="360" w:lineRule="auto"/>
        <w:ind w:left="360"/>
        <w:contextualSpacing/>
        <w:rPr>
          <w:rFonts w:ascii="David" w:hAnsi="David"/>
        </w:rPr>
      </w:pPr>
    </w:p>
    <w:p w14:paraId="04154526" w14:textId="77777777" w:rsidR="00C37CDE" w:rsidRDefault="00C37CDE" w:rsidP="00C37CDE">
      <w:pPr>
        <w:pStyle w:val="a9"/>
        <w:numPr>
          <w:ilvl w:val="0"/>
          <w:numId w:val="1"/>
        </w:numPr>
        <w:spacing w:after="0"/>
        <w:rPr>
          <w:rFonts w:ascii="David" w:eastAsia="Times New Roman" w:hAnsi="David"/>
          <w:sz w:val="24"/>
          <w:szCs w:val="24"/>
          <w:rtl/>
        </w:rPr>
      </w:pPr>
      <w:r>
        <w:rPr>
          <w:rFonts w:ascii="David" w:eastAsia="Times New Roman" w:hAnsi="David"/>
          <w:sz w:val="24"/>
          <w:szCs w:val="24"/>
          <w:rtl/>
        </w:rPr>
        <w:t xml:space="preserve">לא מצאתי כי הונחה תשתית ראייתית של ממש, כזו המעידה על פגיעה וודאית שעלולה להיגרם לנאשמת כתוצאה מהרשעתה. לטענת ההגנה צפויה הנאשמת להיפגע ככל שתעמוד ההרשעה על כנה, אך הנאשמת טרם החלה בלימודיה, אין המדובר בפגיעה וודאית ואין באפשרות תיאורטית שתתרחש משום הצדקה להימנע מהרשעתה. </w:t>
      </w:r>
    </w:p>
    <w:p w14:paraId="3F0A69B1" w14:textId="77777777" w:rsidR="00C37CDE" w:rsidRDefault="00C37CDE" w:rsidP="00C37CDE">
      <w:pPr>
        <w:spacing w:line="360" w:lineRule="auto"/>
        <w:ind w:left="360"/>
        <w:contextualSpacing/>
        <w:rPr>
          <w:rFonts w:ascii="David" w:hAnsi="David"/>
          <w:rtl/>
        </w:rPr>
      </w:pPr>
    </w:p>
    <w:p w14:paraId="0D858F8F" w14:textId="77777777" w:rsidR="00C37CDE" w:rsidRDefault="00C37CDE" w:rsidP="00C37CDE">
      <w:pPr>
        <w:pStyle w:val="a9"/>
        <w:numPr>
          <w:ilvl w:val="0"/>
          <w:numId w:val="1"/>
        </w:numPr>
        <w:spacing w:after="0"/>
        <w:rPr>
          <w:rFonts w:ascii="David" w:eastAsia="Times New Roman" w:hAnsi="David"/>
          <w:sz w:val="24"/>
          <w:szCs w:val="24"/>
          <w:rtl/>
        </w:rPr>
      </w:pPr>
      <w:r>
        <w:rPr>
          <w:rFonts w:ascii="David" w:eastAsia="Times New Roman" w:hAnsi="David"/>
          <w:sz w:val="24"/>
          <w:szCs w:val="24"/>
          <w:rtl/>
        </w:rPr>
        <w:t xml:space="preserve">מכל האמור לא מצאתי לבטל את הרשעת הנאשמת בדין. </w:t>
      </w:r>
    </w:p>
    <w:p w14:paraId="57E115C6" w14:textId="77777777" w:rsidR="00C37CDE" w:rsidRDefault="00C37CDE" w:rsidP="00C37CDE">
      <w:pPr>
        <w:spacing w:line="360" w:lineRule="auto"/>
        <w:contextualSpacing/>
        <w:rPr>
          <w:rFonts w:ascii="David" w:hAnsi="David"/>
          <w:rtl/>
        </w:rPr>
      </w:pPr>
    </w:p>
    <w:p w14:paraId="710D28F0" w14:textId="77777777" w:rsidR="00C37CDE" w:rsidRDefault="00C37CDE" w:rsidP="00C37CDE">
      <w:pPr>
        <w:spacing w:line="360" w:lineRule="auto"/>
        <w:ind w:firstLine="360"/>
        <w:contextualSpacing/>
        <w:rPr>
          <w:rFonts w:ascii="David" w:hAnsi="David"/>
          <w:b/>
          <w:bCs/>
          <w:rtl/>
        </w:rPr>
      </w:pPr>
      <w:r>
        <w:rPr>
          <w:rFonts w:ascii="David" w:hAnsi="David"/>
          <w:b/>
          <w:bCs/>
          <w:rtl/>
        </w:rPr>
        <w:t>מתחם העונש ההולם</w:t>
      </w:r>
    </w:p>
    <w:p w14:paraId="20E8817D" w14:textId="77777777" w:rsidR="00C37CDE" w:rsidRDefault="00C37CDE" w:rsidP="00C37CDE">
      <w:pPr>
        <w:pStyle w:val="a9"/>
        <w:numPr>
          <w:ilvl w:val="0"/>
          <w:numId w:val="1"/>
        </w:numPr>
        <w:spacing w:after="0"/>
        <w:rPr>
          <w:rFonts w:ascii="Times New Roman" w:eastAsia="Times New Roman" w:hAnsi="Times New Roman"/>
          <w:sz w:val="24"/>
          <w:szCs w:val="24"/>
          <w:rtl/>
        </w:rPr>
      </w:pPr>
      <w:r>
        <w:rPr>
          <w:rFonts w:ascii="David" w:eastAsia="Times New Roman" w:hAnsi="David"/>
          <w:sz w:val="24"/>
          <w:szCs w:val="24"/>
          <w:rtl/>
        </w:rPr>
        <w:t xml:space="preserve">המעשים המיוחסים לנאשמת - חמורים ופוגעים בבריאות הציבור, בסדר הציבורי וביכולת הסדרת השימוש בקנבוס רפואי ברישיון. עבירת הסחר בסם והחזקת הסמים בכמות גדולה, יוצרת סביבה עבריינית וקרקע למגוון בעיות חברתיות קשות כגון התמכרות וירידה בתפקודה הפיזי והמנטלי של החברה. </w:t>
      </w:r>
    </w:p>
    <w:p w14:paraId="12BC6D75" w14:textId="77777777" w:rsidR="00C37CDE" w:rsidRDefault="00C37CDE" w:rsidP="00C37CDE">
      <w:pPr>
        <w:spacing w:line="360" w:lineRule="auto"/>
        <w:contextualSpacing/>
        <w:rPr>
          <w:rtl/>
        </w:rPr>
      </w:pPr>
    </w:p>
    <w:p w14:paraId="61BFDB32" w14:textId="77777777" w:rsidR="00C37CDE" w:rsidRDefault="00C37CDE" w:rsidP="00C37CDE">
      <w:pPr>
        <w:pStyle w:val="a9"/>
        <w:numPr>
          <w:ilvl w:val="0"/>
          <w:numId w:val="1"/>
        </w:numPr>
        <w:spacing w:after="0"/>
        <w:rPr>
          <w:rFonts w:ascii="Times New Roman" w:eastAsia="Times New Roman" w:hAnsi="Times New Roman"/>
          <w:sz w:val="24"/>
          <w:szCs w:val="24"/>
          <w:rtl/>
        </w:rPr>
      </w:pPr>
      <w:r>
        <w:rPr>
          <w:rFonts w:ascii="Times New Roman" w:eastAsia="Times New Roman" w:hAnsi="Times New Roman"/>
          <w:sz w:val="24"/>
          <w:szCs w:val="24"/>
          <w:rtl/>
        </w:rPr>
        <w:t xml:space="preserve">הפסיקה הדגישה את הצורך להילחם בנגע הסמים, אשר נזקיו החברתיים, האישיים והכלכליים קשים ומשמעותיים. </w:t>
      </w:r>
    </w:p>
    <w:p w14:paraId="18490820" w14:textId="77777777" w:rsidR="00C37CDE" w:rsidRDefault="00C37CDE" w:rsidP="00C37CDE">
      <w:pPr>
        <w:spacing w:line="360" w:lineRule="auto"/>
        <w:ind w:firstLine="720"/>
        <w:contextualSpacing/>
        <w:jc w:val="both"/>
        <w:rPr>
          <w:rFonts w:ascii="David" w:hAnsi="David"/>
          <w:rtl/>
        </w:rPr>
      </w:pPr>
      <w:r>
        <w:rPr>
          <w:rFonts w:ascii="David" w:hAnsi="David"/>
          <w:rtl/>
        </w:rPr>
        <w:t>יפים לעניין זה דברי כב' השופט הנדל ב</w:t>
      </w:r>
      <w:hyperlink r:id="rId22" w:history="1">
        <w:r w:rsidR="00FA6D3B" w:rsidRPr="00FA6D3B">
          <w:rPr>
            <w:rFonts w:ascii="David" w:hAnsi="David"/>
            <w:color w:val="0000FF"/>
            <w:u w:val="single"/>
            <w:rtl/>
          </w:rPr>
          <w:t>ע"פ 972/11</w:t>
        </w:r>
      </w:hyperlink>
      <w:r>
        <w:rPr>
          <w:rFonts w:ascii="David" w:hAnsi="David"/>
          <w:rtl/>
        </w:rPr>
        <w:t xml:space="preserve"> </w:t>
      </w:r>
      <w:r>
        <w:rPr>
          <w:rFonts w:ascii="David" w:hAnsi="David"/>
          <w:b/>
          <w:bCs/>
          <w:rtl/>
        </w:rPr>
        <w:t>מדינת ישראל נ' יניב יונה</w:t>
      </w:r>
      <w:r>
        <w:rPr>
          <w:rFonts w:ascii="David" w:hAnsi="David"/>
          <w:rtl/>
        </w:rPr>
        <w:t>:</w:t>
      </w:r>
    </w:p>
    <w:p w14:paraId="44C969E0" w14:textId="77777777" w:rsidR="00C37CDE" w:rsidRDefault="00C37CDE" w:rsidP="00C37CDE">
      <w:pPr>
        <w:spacing w:line="360" w:lineRule="auto"/>
        <w:ind w:left="720"/>
        <w:contextualSpacing/>
        <w:jc w:val="both"/>
        <w:rPr>
          <w:rFonts w:ascii="David" w:hAnsi="David"/>
          <w:b/>
          <w:bCs/>
          <w:rtl/>
        </w:rPr>
      </w:pPr>
      <w:r>
        <w:rPr>
          <w:rFonts w:ascii="David"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7DEF7D54" w14:textId="77777777" w:rsidR="00C37CDE" w:rsidRDefault="00C37CDE" w:rsidP="00C37CDE">
      <w:pPr>
        <w:spacing w:line="360" w:lineRule="auto"/>
        <w:contextualSpacing/>
        <w:rPr>
          <w:rFonts w:ascii="David" w:hAnsi="David"/>
          <w:b/>
          <w:bCs/>
          <w:rtl/>
        </w:rPr>
      </w:pPr>
    </w:p>
    <w:p w14:paraId="67A8003E" w14:textId="77777777" w:rsidR="00C37CDE" w:rsidRDefault="00C37CDE" w:rsidP="00C37CDE">
      <w:pPr>
        <w:spacing w:line="360" w:lineRule="auto"/>
        <w:ind w:left="720"/>
        <w:contextualSpacing/>
        <w:rPr>
          <w:rFonts w:ascii="David" w:hAnsi="David"/>
          <w:rtl/>
        </w:rPr>
      </w:pPr>
      <w:r>
        <w:rPr>
          <w:rFonts w:ascii="David" w:hAnsi="David"/>
          <w:rtl/>
        </w:rPr>
        <w:t xml:space="preserve">עוד יש להזכיר את שנאמר במסגרת </w:t>
      </w:r>
      <w:hyperlink r:id="rId23" w:history="1">
        <w:r w:rsidR="00FA6D3B" w:rsidRPr="00FA6D3B">
          <w:rPr>
            <w:rFonts w:ascii="David" w:hAnsi="David"/>
            <w:b/>
            <w:color w:val="0000FF"/>
            <w:u w:val="single"/>
            <w:rtl/>
          </w:rPr>
          <w:t>ע"פ 5807/17</w:t>
        </w:r>
      </w:hyperlink>
      <w:r>
        <w:rPr>
          <w:rFonts w:ascii="David" w:hAnsi="David"/>
          <w:b/>
          <w:rtl/>
        </w:rPr>
        <w:t xml:space="preserve"> </w:t>
      </w:r>
      <w:r>
        <w:rPr>
          <w:rFonts w:ascii="David" w:hAnsi="David"/>
          <w:bCs/>
          <w:rtl/>
        </w:rPr>
        <w:t>משה דרחי נ' מ"י</w:t>
      </w:r>
      <w:r>
        <w:rPr>
          <w:rFonts w:ascii="David" w:hAnsi="David"/>
          <w:b/>
          <w:rtl/>
        </w:rPr>
        <w:t xml:space="preserve"> ( 18.6.18 ) אשר קבע  כך:</w:t>
      </w:r>
    </w:p>
    <w:p w14:paraId="331E26C3" w14:textId="77777777" w:rsidR="00C37CDE" w:rsidRDefault="00C37CDE" w:rsidP="00C37CDE">
      <w:pPr>
        <w:spacing w:line="360" w:lineRule="auto"/>
        <w:ind w:left="720"/>
        <w:contextualSpacing/>
        <w:jc w:val="both"/>
        <w:rPr>
          <w:rFonts w:ascii="David" w:hAnsi="David"/>
          <w:b/>
          <w:rtl/>
        </w:rPr>
      </w:pPr>
      <w:r>
        <w:rPr>
          <w:rFonts w:ascii="David" w:hAnsi="David"/>
          <w:b/>
          <w:rtl/>
        </w:rPr>
        <w:t>"</w:t>
      </w:r>
      <w:r>
        <w:rPr>
          <w:rFonts w:ascii="David" w:hAnsi="David"/>
          <w:bCs/>
          <w:rtl/>
        </w:rPr>
        <w:t>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26C1D152" w14:textId="77777777" w:rsidR="00C37CDE" w:rsidRDefault="00C37CDE" w:rsidP="00C37CDE">
      <w:pPr>
        <w:spacing w:line="360" w:lineRule="auto"/>
        <w:contextualSpacing/>
        <w:rPr>
          <w:rFonts w:ascii="David" w:hAnsi="David"/>
          <w:b/>
          <w:rtl/>
        </w:rPr>
      </w:pPr>
    </w:p>
    <w:p w14:paraId="7487FF64" w14:textId="77777777" w:rsidR="00C37CDE" w:rsidRDefault="00C37CDE" w:rsidP="00C37CDE">
      <w:pPr>
        <w:spacing w:line="360" w:lineRule="auto"/>
        <w:ind w:firstLine="720"/>
        <w:contextualSpacing/>
        <w:rPr>
          <w:rFonts w:ascii="David" w:hAnsi="David"/>
          <w:b/>
          <w:rtl/>
        </w:rPr>
      </w:pPr>
      <w:r>
        <w:rPr>
          <w:rFonts w:ascii="David" w:hAnsi="David"/>
          <w:b/>
          <w:rtl/>
        </w:rPr>
        <w:t>לבסוף אזכיר את דברי בית המשפט העליון ב</w:t>
      </w:r>
      <w:hyperlink r:id="rId24" w:history="1">
        <w:r w:rsidR="00FA6D3B" w:rsidRPr="00FA6D3B">
          <w:rPr>
            <w:rFonts w:ascii="David" w:hAnsi="David"/>
            <w:b/>
            <w:color w:val="0000FF"/>
            <w:u w:val="single"/>
            <w:rtl/>
          </w:rPr>
          <w:t>ע"פ 2596/18</w:t>
        </w:r>
      </w:hyperlink>
      <w:r>
        <w:rPr>
          <w:rFonts w:ascii="David" w:hAnsi="David"/>
          <w:b/>
          <w:rtl/>
        </w:rPr>
        <w:t xml:space="preserve"> זנזורי נ' מ"י (12.8.18):</w:t>
      </w:r>
    </w:p>
    <w:p w14:paraId="205D9FE8" w14:textId="77777777" w:rsidR="00C37CDE" w:rsidRDefault="00C37CDE" w:rsidP="00C37CDE">
      <w:pPr>
        <w:spacing w:line="360" w:lineRule="auto"/>
        <w:ind w:left="720"/>
        <w:contextualSpacing/>
        <w:jc w:val="both"/>
        <w:rPr>
          <w:rFonts w:ascii="David" w:hAnsi="David"/>
          <w:bCs/>
          <w:rtl/>
        </w:rPr>
      </w:pPr>
      <w:r>
        <w:rPr>
          <w:rFonts w:ascii="David" w:hAnsi="David"/>
          <w:bCs/>
          <w:rtl/>
        </w:rPr>
        <w:t xml:space="preserve">"סחר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 </w:t>
      </w:r>
    </w:p>
    <w:p w14:paraId="42CC556E" w14:textId="77777777" w:rsidR="00C37CDE" w:rsidRDefault="00C37CDE" w:rsidP="00C37CDE">
      <w:pPr>
        <w:spacing w:line="360" w:lineRule="auto"/>
        <w:contextualSpacing/>
        <w:rPr>
          <w:rFonts w:ascii="David" w:hAnsi="David"/>
          <w:b/>
        </w:rPr>
      </w:pPr>
    </w:p>
    <w:p w14:paraId="33F6481C" w14:textId="77777777" w:rsidR="00C37CDE" w:rsidRDefault="00C37CDE" w:rsidP="00C37CDE">
      <w:pPr>
        <w:pStyle w:val="a9"/>
        <w:numPr>
          <w:ilvl w:val="0"/>
          <w:numId w:val="1"/>
        </w:numPr>
        <w:spacing w:after="0"/>
        <w:rPr>
          <w:rFonts w:ascii="Times New Roman" w:eastAsia="Times New Roman" w:hAnsi="Times New Roman"/>
          <w:sz w:val="24"/>
          <w:szCs w:val="24"/>
          <w:rtl/>
        </w:rPr>
      </w:pPr>
      <w:r>
        <w:rPr>
          <w:rFonts w:ascii="Times New Roman" w:eastAsia="Times New Roman" w:hAnsi="Times New Roman"/>
          <w:sz w:val="24"/>
          <w:szCs w:val="24"/>
          <w:rtl/>
        </w:rPr>
        <w:t xml:space="preserve">הנאשמת ביצעה שתי עסקאות סחר בסם מסוכן, אגב תכנון מוקדם והצטיידות. לראיה, כמויות הסם המשמעותיות שנמצאו ברכבה ובביתה, כ"מלאי", ומבלי שעצרה לבחון את השלכות מעשיה לאחר כל אחת מהמכירות. אכן מדובר בסם מסוכן מסוג קנאביס, אך אין בכך כדי להפחית מחומרת המעשים משמדובר בעבירת סחר. </w:t>
      </w:r>
    </w:p>
    <w:p w14:paraId="0A392A46" w14:textId="77777777" w:rsidR="00C37CDE" w:rsidRDefault="00C37CDE" w:rsidP="00C37CDE">
      <w:pPr>
        <w:pStyle w:val="a9"/>
        <w:spacing w:after="0"/>
        <w:rPr>
          <w:rFonts w:ascii="Times New Roman" w:eastAsia="Times New Roman" w:hAnsi="Times New Roman"/>
          <w:sz w:val="24"/>
          <w:szCs w:val="24"/>
        </w:rPr>
      </w:pPr>
      <w:r>
        <w:rPr>
          <w:rFonts w:ascii="Times New Roman" w:eastAsia="Times New Roman" w:hAnsi="Times New Roman"/>
          <w:sz w:val="24"/>
          <w:szCs w:val="24"/>
          <w:rtl/>
        </w:rPr>
        <w:t xml:space="preserve">כן, בביתה וברכבה של הנאשמת נמצאה כמות מכבידה של סמים- 402.21 גרם קנאביס ו- 14.43 גרם חשיש, כאשר הסמים שנמצאו היו מחולקים למנות. </w:t>
      </w:r>
    </w:p>
    <w:p w14:paraId="4E177993" w14:textId="77777777" w:rsidR="00C37CDE" w:rsidRDefault="00C37CDE" w:rsidP="00C37CDE">
      <w:pPr>
        <w:spacing w:line="360" w:lineRule="auto"/>
        <w:rPr>
          <w:rtl/>
        </w:rPr>
      </w:pPr>
    </w:p>
    <w:p w14:paraId="759FD471" w14:textId="77777777" w:rsidR="00C37CDE" w:rsidRDefault="00C37CDE" w:rsidP="00C37CDE">
      <w:pPr>
        <w:pStyle w:val="a9"/>
        <w:spacing w:after="0"/>
        <w:rPr>
          <w:rFonts w:ascii="Times New Roman" w:eastAsia="Times New Roman" w:hAnsi="Times New Roman"/>
          <w:sz w:val="24"/>
          <w:szCs w:val="24"/>
          <w:rtl/>
        </w:rPr>
      </w:pPr>
      <w:r>
        <w:rPr>
          <w:rFonts w:ascii="Times New Roman" w:eastAsia="Times New Roman" w:hAnsi="Times New Roman"/>
          <w:sz w:val="24"/>
          <w:szCs w:val="24"/>
          <w:rtl/>
        </w:rPr>
        <w:t>לקולה אציין כי כעולה מעובדות כתב האישום, אין הנאשמת היא היוזמת את עבירות הסחר, אלא שליחה של אחר.</w:t>
      </w:r>
    </w:p>
    <w:p w14:paraId="0FA5DD4D" w14:textId="77777777" w:rsidR="00C37CDE" w:rsidRDefault="00C37CDE" w:rsidP="00C37CDE">
      <w:pPr>
        <w:spacing w:line="360" w:lineRule="auto"/>
        <w:contextualSpacing/>
        <w:rPr>
          <w:rFonts w:ascii="David" w:hAnsi="David"/>
          <w:rtl/>
          <w:lang w:eastAsia="he-IL"/>
        </w:rPr>
      </w:pPr>
    </w:p>
    <w:p w14:paraId="69279C53" w14:textId="77777777" w:rsidR="00C37CDE" w:rsidRDefault="00C37CDE" w:rsidP="00C37CDE">
      <w:pPr>
        <w:pStyle w:val="a9"/>
        <w:numPr>
          <w:ilvl w:val="0"/>
          <w:numId w:val="1"/>
        </w:numPr>
        <w:rPr>
          <w:sz w:val="24"/>
          <w:szCs w:val="24"/>
          <w:rtl/>
        </w:rPr>
      </w:pPr>
      <w:r>
        <w:rPr>
          <w:sz w:val="24"/>
          <w:szCs w:val="24"/>
          <w:rtl/>
        </w:rPr>
        <w:t>עיינתי בפסיקה שהוצגה לעיוני מטעם הצדדים ובפסיקה נוספת. מדיניות הענישה הנהוגה בעבירה בה הורשעה הנאשמת רחבה ונסמכת על חומרת המעשים וכלל הנסיבות. ראו למשל:</w:t>
      </w:r>
    </w:p>
    <w:p w14:paraId="2FA515B0" w14:textId="77777777" w:rsidR="00C37CDE" w:rsidRDefault="00FA6D3B" w:rsidP="00C37CDE">
      <w:pPr>
        <w:pStyle w:val="a9"/>
        <w:numPr>
          <w:ilvl w:val="0"/>
          <w:numId w:val="4"/>
        </w:numPr>
        <w:ind w:left="1080" w:right="0"/>
        <w:rPr>
          <w:sz w:val="24"/>
          <w:szCs w:val="24"/>
          <w:rtl/>
        </w:rPr>
      </w:pPr>
      <w:hyperlink r:id="rId25" w:history="1">
        <w:r w:rsidRPr="00FA6D3B">
          <w:rPr>
            <w:rFonts w:hint="cs"/>
            <w:color w:val="0000FF"/>
            <w:sz w:val="24"/>
            <w:szCs w:val="24"/>
            <w:u w:val="single"/>
            <w:rtl/>
          </w:rPr>
          <w:t>רע</w:t>
        </w:r>
        <w:r w:rsidRPr="00FA6D3B">
          <w:rPr>
            <w:color w:val="0000FF"/>
            <w:sz w:val="24"/>
            <w:szCs w:val="24"/>
            <w:u w:val="single"/>
            <w:rtl/>
          </w:rPr>
          <w:t>"</w:t>
        </w:r>
        <w:r w:rsidRPr="00FA6D3B">
          <w:rPr>
            <w:rFonts w:hint="cs"/>
            <w:color w:val="0000FF"/>
            <w:sz w:val="24"/>
            <w:szCs w:val="24"/>
            <w:u w:val="single"/>
            <w:rtl/>
          </w:rPr>
          <w:t>פ</w:t>
        </w:r>
        <w:r w:rsidRPr="00FA6D3B">
          <w:rPr>
            <w:color w:val="0000FF"/>
            <w:sz w:val="24"/>
            <w:szCs w:val="24"/>
            <w:u w:val="single"/>
            <w:rtl/>
          </w:rPr>
          <w:t xml:space="preserve"> 8759/21</w:t>
        </w:r>
      </w:hyperlink>
      <w:r w:rsidR="00C37CDE">
        <w:rPr>
          <w:sz w:val="24"/>
          <w:szCs w:val="24"/>
          <w:rtl/>
        </w:rPr>
        <w:t xml:space="preserve"> </w:t>
      </w:r>
      <w:r w:rsidR="00C37CDE">
        <w:rPr>
          <w:b/>
          <w:bCs/>
          <w:sz w:val="24"/>
          <w:szCs w:val="24"/>
          <w:rtl/>
        </w:rPr>
        <w:t>קסלר נ' מ"י</w:t>
      </w:r>
      <w:r w:rsidR="00C37CDE">
        <w:rPr>
          <w:sz w:val="24"/>
          <w:szCs w:val="24"/>
          <w:rtl/>
        </w:rPr>
        <w:t xml:space="preserve"> (23.12.21) המבקש הורשע בעובדות כתב אישום בביצוע עבירה של החזקת סם מסוג קנאביס, שלא לצריכה עצמית, בכמות של 229.35 גרם בביתו, וכן בעובדות כתב אישום נוסף, בביצוע עבירה של החזקת אגרופן. </w:t>
      </w:r>
    </w:p>
    <w:p w14:paraId="6B3DCC3D" w14:textId="77777777" w:rsidR="00C37CDE" w:rsidRDefault="00C37CDE" w:rsidP="00C37CDE">
      <w:pPr>
        <w:pStyle w:val="a9"/>
        <w:ind w:left="1080"/>
        <w:rPr>
          <w:color w:val="FF0000"/>
          <w:sz w:val="24"/>
          <w:szCs w:val="24"/>
        </w:rPr>
      </w:pPr>
      <w:r>
        <w:rPr>
          <w:sz w:val="24"/>
          <w:szCs w:val="24"/>
          <w:rtl/>
        </w:rPr>
        <w:t>בית משפט השלום קבע שני מתחמי ענישה נפרדים לשני כתבי האישום, כאשר בגין עבירת החזקת הסמים נקבע מתחם הנע בין מאסר על תנאי לצד צו של"צ לבין 8 חודשי מאסר בפועל. על המבקש נגזר עונש כולל של 30 ימי מאסר בדרך של עבודות שירות. ערעור שהגיש המבקש לבית המשפט המחוזי נדחה, וכך גם בקשת רשות ערעור שהוגשה לבית המשפט העליון</w:t>
      </w:r>
      <w:r>
        <w:rPr>
          <w:color w:val="FF0000"/>
          <w:sz w:val="24"/>
          <w:szCs w:val="24"/>
          <w:rtl/>
        </w:rPr>
        <w:t xml:space="preserve">. </w:t>
      </w:r>
    </w:p>
    <w:p w14:paraId="3CD12F0E" w14:textId="77777777" w:rsidR="00C37CDE" w:rsidRDefault="00C37CDE" w:rsidP="00C37CDE">
      <w:pPr>
        <w:pStyle w:val="a9"/>
        <w:ind w:left="1080"/>
        <w:rPr>
          <w:sz w:val="24"/>
          <w:szCs w:val="24"/>
          <w:rtl/>
        </w:rPr>
      </w:pPr>
    </w:p>
    <w:p w14:paraId="4006FF55" w14:textId="77777777" w:rsidR="00C37CDE" w:rsidRDefault="00FA6D3B" w:rsidP="00C37CDE">
      <w:pPr>
        <w:pStyle w:val="a9"/>
        <w:numPr>
          <w:ilvl w:val="0"/>
          <w:numId w:val="4"/>
        </w:numPr>
        <w:ind w:left="1080" w:right="0"/>
        <w:rPr>
          <w:sz w:val="24"/>
          <w:szCs w:val="24"/>
          <w:rtl/>
        </w:rPr>
      </w:pPr>
      <w:hyperlink r:id="rId26" w:history="1">
        <w:r w:rsidRPr="00FA6D3B">
          <w:rPr>
            <w:rFonts w:hint="cs"/>
            <w:color w:val="0000FF"/>
            <w:sz w:val="24"/>
            <w:szCs w:val="24"/>
            <w:u w:val="single"/>
            <w:rtl/>
          </w:rPr>
          <w:t>רע</w:t>
        </w:r>
        <w:r w:rsidRPr="00FA6D3B">
          <w:rPr>
            <w:color w:val="0000FF"/>
            <w:sz w:val="24"/>
            <w:szCs w:val="24"/>
            <w:u w:val="single"/>
            <w:rtl/>
          </w:rPr>
          <w:t>"</w:t>
        </w:r>
        <w:r w:rsidRPr="00FA6D3B">
          <w:rPr>
            <w:rFonts w:hint="cs"/>
            <w:color w:val="0000FF"/>
            <w:sz w:val="24"/>
            <w:szCs w:val="24"/>
            <w:u w:val="single"/>
            <w:rtl/>
          </w:rPr>
          <w:t>פ</w:t>
        </w:r>
        <w:r w:rsidRPr="00FA6D3B">
          <w:rPr>
            <w:color w:val="0000FF"/>
            <w:sz w:val="24"/>
            <w:szCs w:val="24"/>
            <w:u w:val="single"/>
            <w:rtl/>
          </w:rPr>
          <w:t xml:space="preserve"> 3059/21</w:t>
        </w:r>
      </w:hyperlink>
      <w:r w:rsidR="00C37CDE">
        <w:rPr>
          <w:sz w:val="24"/>
          <w:szCs w:val="24"/>
          <w:rtl/>
        </w:rPr>
        <w:t xml:space="preserve"> </w:t>
      </w:r>
      <w:r w:rsidR="00C37CDE">
        <w:rPr>
          <w:b/>
          <w:bCs/>
          <w:sz w:val="24"/>
          <w:szCs w:val="24"/>
          <w:rtl/>
        </w:rPr>
        <w:t>ימין נ' מ"י</w:t>
      </w:r>
      <w:r w:rsidR="00C37CDE">
        <w:rPr>
          <w:sz w:val="24"/>
          <w:szCs w:val="24"/>
          <w:rtl/>
        </w:rPr>
        <w:t xml:space="preserve"> (5.5.21) המבקש הורשע בביצוע חמש עבירות סחר בסמים בצוותא, בעבירות החזקת סמים שלא לצריכה עצמית ובהחזקת כלים להכנת סם שלא לצריכה עצמית.</w:t>
      </w:r>
      <w:r w:rsidR="00C37CDE">
        <w:rPr>
          <w:rFonts w:hint="cs"/>
          <w:sz w:val="24"/>
          <w:szCs w:val="24"/>
        </w:rPr>
        <w:t xml:space="preserve"> </w:t>
      </w:r>
      <w:r w:rsidR="00C37CDE">
        <w:rPr>
          <w:sz w:val="24"/>
          <w:szCs w:val="24"/>
          <w:rtl/>
        </w:rPr>
        <w:t>המבקש, קשר עם אדם אחר קשר, על מנת למכור ולהפיץ סמים מסוג קנאביס. אותו אחר פרסם את הסמים למכירה באמצעות יישומון ה"טלגראס", ותיאם עם המתעניינים את כמות הסם, מחירו ומקום ההספקה. אז שלח האחר את פרטי הלקוחות למבקש, וזה יצר עמם קשר, הגיע למקום המפגש וביצע בפועל את העסקאות. המבקש קיבל שכר יומי של 500 ש"ח בעד ביצוע העסקאות. כתב האישום המתוקן פירט חמש עסקאות אשר בוצעו במתווה זה בשנת 2018. בנוסף, המבקש החזיק ברכב- סם מסוג קנאביס במשקל של 50 גרם, מחולק למנות. כן החזיק שקיות חלוקה, משקל וסכום כסף מזומן בסך 25,155 ש"ח.</w:t>
      </w:r>
    </w:p>
    <w:p w14:paraId="677E3226" w14:textId="77777777" w:rsidR="00C37CDE" w:rsidRDefault="00C37CDE" w:rsidP="00C37CDE">
      <w:pPr>
        <w:pStyle w:val="a9"/>
        <w:ind w:left="1080"/>
        <w:rPr>
          <w:color w:val="FF0000"/>
          <w:sz w:val="24"/>
          <w:szCs w:val="24"/>
        </w:rPr>
      </w:pPr>
      <w:r>
        <w:rPr>
          <w:sz w:val="24"/>
          <w:szCs w:val="24"/>
          <w:u w:val="single"/>
          <w:rtl/>
        </w:rPr>
        <w:t>בית המשפט קבע כי מתחם העונש ההולם בעבירות הסחר בסם נע בין 10 חודשי מאסר ל-20 חודשים</w:t>
      </w:r>
      <w:r>
        <w:rPr>
          <w:sz w:val="24"/>
          <w:szCs w:val="24"/>
          <w:rtl/>
        </w:rPr>
        <w:t xml:space="preserve"> ובאשר לאישום שעניינו החזקת סמים וכלים להכנת סם שלא לצריכה עצמית, קבע בית משפט השלום מתחם ענישה של מספר חודשי מאסר ועד 12 חודשים. בית משפט השלום חרג ממתחם הענישה משיקולי שיקום, לאור שיתוף הפעולה עם שירות המבחן, ניתוק הקשרים השוליים, היעדר עבר בפלילים, ובשים לב לגילו הצעיר, וגזר על המבקש 8 חודשי מאסר בעבודות שירות. ערעור לבית המשפט המחוזי נדחה. בקשת רשות ערעור לבית המשפט העליון נדחתה אף היא. </w:t>
      </w:r>
    </w:p>
    <w:p w14:paraId="6F56C693" w14:textId="77777777" w:rsidR="00C37CDE" w:rsidRDefault="00C37CDE" w:rsidP="00C37CDE">
      <w:pPr>
        <w:pStyle w:val="a9"/>
        <w:ind w:left="1080"/>
        <w:rPr>
          <w:sz w:val="24"/>
          <w:szCs w:val="24"/>
          <w:rtl/>
        </w:rPr>
      </w:pPr>
    </w:p>
    <w:p w14:paraId="6F0CEF62" w14:textId="77777777" w:rsidR="00C37CDE" w:rsidRDefault="00FA6D3B" w:rsidP="00C37CDE">
      <w:pPr>
        <w:pStyle w:val="a9"/>
        <w:numPr>
          <w:ilvl w:val="0"/>
          <w:numId w:val="4"/>
        </w:numPr>
        <w:ind w:left="1080" w:right="0"/>
        <w:rPr>
          <w:sz w:val="24"/>
          <w:szCs w:val="24"/>
          <w:rtl/>
        </w:rPr>
      </w:pPr>
      <w:hyperlink r:id="rId27" w:history="1">
        <w:r w:rsidRPr="00FA6D3B">
          <w:rPr>
            <w:rFonts w:hint="cs"/>
            <w:color w:val="0000FF"/>
            <w:sz w:val="24"/>
            <w:szCs w:val="24"/>
            <w:u w:val="single"/>
            <w:rtl/>
          </w:rPr>
          <w:t>רע</w:t>
        </w:r>
        <w:r w:rsidRPr="00FA6D3B">
          <w:rPr>
            <w:color w:val="0000FF"/>
            <w:sz w:val="24"/>
            <w:szCs w:val="24"/>
            <w:u w:val="single"/>
            <w:rtl/>
          </w:rPr>
          <w:t>"</w:t>
        </w:r>
        <w:r w:rsidRPr="00FA6D3B">
          <w:rPr>
            <w:rFonts w:hint="cs"/>
            <w:color w:val="0000FF"/>
            <w:sz w:val="24"/>
            <w:szCs w:val="24"/>
            <w:u w:val="single"/>
            <w:rtl/>
          </w:rPr>
          <w:t>פ</w:t>
        </w:r>
        <w:r w:rsidRPr="00FA6D3B">
          <w:rPr>
            <w:color w:val="0000FF"/>
            <w:sz w:val="24"/>
            <w:szCs w:val="24"/>
            <w:u w:val="single"/>
            <w:rtl/>
          </w:rPr>
          <w:t xml:space="preserve"> 8632/19</w:t>
        </w:r>
      </w:hyperlink>
      <w:r w:rsidR="00C37CDE">
        <w:rPr>
          <w:sz w:val="24"/>
          <w:szCs w:val="24"/>
          <w:rtl/>
        </w:rPr>
        <w:t xml:space="preserve"> </w:t>
      </w:r>
      <w:r w:rsidR="00C37CDE">
        <w:rPr>
          <w:b/>
          <w:bCs/>
          <w:sz w:val="24"/>
          <w:szCs w:val="24"/>
          <w:rtl/>
        </w:rPr>
        <w:t>כהן נ' מ"י</w:t>
      </w:r>
      <w:r w:rsidR="00C37CDE">
        <w:rPr>
          <w:sz w:val="24"/>
          <w:szCs w:val="24"/>
          <w:rtl/>
        </w:rPr>
        <w:t xml:space="preserve"> (5.1.20) המבקש הורשע בביצוע שלוש עבירות של סחר בסמים, בביצוע עבירה של החזקת סם שלא לצריכה עצמית וכן בביצוע עבירה של החזקת כלים להכנת סם, בכך שמכר סם מסוכן מסוג קנאביס במשקל של 2 גרם ב-13 הזדמנויות שונות. עבור כל עסקה קיבל המבקש תשלום על סך של 100 ש"ח.</w:t>
      </w:r>
      <w:r>
        <w:rPr>
          <w:sz w:val="24"/>
          <w:szCs w:val="24"/>
          <w:rtl/>
        </w:rPr>
        <w:t xml:space="preserve"> </w:t>
      </w:r>
      <w:r w:rsidR="00C37CDE">
        <w:rPr>
          <w:sz w:val="24"/>
          <w:szCs w:val="24"/>
          <w:rtl/>
        </w:rPr>
        <w:t xml:space="preserve"> בנוסף, במספר מועדים נוספים, מכר סם מסוכן מסוג מריחואנה בכמות שאינה ידועה למשיבה, ובתמורה קיבל בכל פעם תשלום העומד על סך של 100-80 ש"ח. עוד, בחיפוש בבית המבקש, נמצאו סם מסוכן מסוג קנאביס במשקל של כ-71 גרם, ומשקל אלקטרוני שעליו שרידי סם. בית המשפט התחשב בהליך השיקומי בו נטל המבקש חלק, האריך את המאסר המותנה בן 8 חודשים וגזר צו מבחן לצד צו של"צ. ואולם, לאחר שלא ביצע ולו שעה מהשעות בהן היה מחויב, נגזרו 9 חודשי מאסר בעבודות שירות והופעל בחופף עונש מאסר מותנה שעמד כנגדו. בית המשפט המחוזי דחה את הערעור. בית המשפט העליון דחה את בקשת רשות הערעור תוך שציין כי העונש שנגזר מלכתחילה - מקל נוכח חומרת המעשים. </w:t>
      </w:r>
    </w:p>
    <w:p w14:paraId="5E4877B7" w14:textId="77777777" w:rsidR="00C37CDE" w:rsidRDefault="00C37CDE" w:rsidP="00C37CDE">
      <w:pPr>
        <w:spacing w:line="360" w:lineRule="auto"/>
        <w:rPr>
          <w:rFonts w:ascii="Calibri" w:eastAsia="Calibri" w:hAnsi="Calibri"/>
          <w:rtl/>
        </w:rPr>
      </w:pPr>
    </w:p>
    <w:p w14:paraId="1D257DBA" w14:textId="77777777" w:rsidR="00C37CDE" w:rsidRDefault="00C37CDE" w:rsidP="00C37CDE">
      <w:pPr>
        <w:pStyle w:val="a9"/>
        <w:numPr>
          <w:ilvl w:val="0"/>
          <w:numId w:val="4"/>
        </w:numPr>
        <w:ind w:left="1080" w:right="0"/>
        <w:rPr>
          <w:sz w:val="24"/>
          <w:szCs w:val="24"/>
          <w:rtl/>
        </w:rPr>
      </w:pPr>
      <w:r>
        <w:rPr>
          <w:sz w:val="24"/>
          <w:szCs w:val="24"/>
          <w:rtl/>
        </w:rPr>
        <w:t xml:space="preserve">רע"פ </w:t>
      </w:r>
      <w:hyperlink r:id="rId28" w:history="1">
        <w:r w:rsidR="00E103BF" w:rsidRPr="00E103BF">
          <w:rPr>
            <w:color w:val="0000FF"/>
            <w:sz w:val="24"/>
            <w:szCs w:val="24"/>
            <w:u w:val="single"/>
            <w:rtl/>
          </w:rPr>
          <w:t xml:space="preserve">5712/16‏ </w:t>
        </w:r>
      </w:hyperlink>
      <w:r>
        <w:rPr>
          <w:sz w:val="24"/>
          <w:szCs w:val="24"/>
          <w:rtl/>
        </w:rPr>
        <w:t xml:space="preserve"> </w:t>
      </w:r>
      <w:r>
        <w:rPr>
          <w:b/>
          <w:bCs/>
          <w:sz w:val="24"/>
          <w:szCs w:val="24"/>
          <w:rtl/>
        </w:rPr>
        <w:t>אייזנבאך נ' מ"י</w:t>
      </w:r>
      <w:r>
        <w:rPr>
          <w:sz w:val="24"/>
          <w:szCs w:val="24"/>
          <w:rtl/>
        </w:rPr>
        <w:t xml:space="preserve"> (17.8.16)  המבקש הורשע בביצוע 4 עבירות של סחר בסם מסוכן מסוג קנאביס. בית המשפט קבע את מתחם העונש ההולם בין 8 חודשי מאסר ל-24 חודשים וגזר 8 חודשי מאסר. ערעור לבית המשפט המחוזי ובקשת ערעור לבית המשפט העליון נדחו. </w:t>
      </w:r>
    </w:p>
    <w:p w14:paraId="4254FEAB" w14:textId="77777777" w:rsidR="00C37CDE" w:rsidRDefault="00C37CDE" w:rsidP="00C37CDE">
      <w:pPr>
        <w:spacing w:line="360" w:lineRule="auto"/>
        <w:rPr>
          <w:rFonts w:ascii="Calibri" w:eastAsia="Calibri" w:hAnsi="Calibri"/>
        </w:rPr>
      </w:pPr>
    </w:p>
    <w:p w14:paraId="51BAC581" w14:textId="77777777" w:rsidR="00C37CDE" w:rsidRDefault="00FA6D3B" w:rsidP="00C37CDE">
      <w:pPr>
        <w:pStyle w:val="a9"/>
        <w:numPr>
          <w:ilvl w:val="0"/>
          <w:numId w:val="4"/>
        </w:numPr>
        <w:ind w:left="1080" w:right="0"/>
        <w:rPr>
          <w:sz w:val="24"/>
          <w:szCs w:val="24"/>
          <w:rtl/>
        </w:rPr>
      </w:pPr>
      <w:hyperlink r:id="rId29" w:history="1">
        <w:r w:rsidRPr="00FA6D3B">
          <w:rPr>
            <w:rFonts w:hint="cs"/>
            <w:color w:val="0000FF"/>
            <w:sz w:val="24"/>
            <w:szCs w:val="24"/>
            <w:u w:val="single"/>
            <w:rtl/>
          </w:rPr>
          <w:t>ת</w:t>
        </w:r>
        <w:r w:rsidRPr="00FA6D3B">
          <w:rPr>
            <w:color w:val="0000FF"/>
            <w:sz w:val="24"/>
            <w:szCs w:val="24"/>
            <w:u w:val="single"/>
            <w:rtl/>
          </w:rPr>
          <w:t>"</w:t>
        </w:r>
        <w:r w:rsidRPr="00FA6D3B">
          <w:rPr>
            <w:rFonts w:hint="cs"/>
            <w:color w:val="0000FF"/>
            <w:sz w:val="24"/>
            <w:szCs w:val="24"/>
            <w:u w:val="single"/>
            <w:rtl/>
          </w:rPr>
          <w:t>פ</w:t>
        </w:r>
        <w:r w:rsidRPr="00FA6D3B">
          <w:rPr>
            <w:color w:val="0000FF"/>
            <w:sz w:val="24"/>
            <w:szCs w:val="24"/>
            <w:u w:val="single"/>
            <w:rtl/>
          </w:rPr>
          <w:t xml:space="preserve"> (</w:t>
        </w:r>
        <w:r w:rsidRPr="00FA6D3B">
          <w:rPr>
            <w:rFonts w:hint="cs"/>
            <w:color w:val="0000FF"/>
            <w:sz w:val="24"/>
            <w:szCs w:val="24"/>
            <w:u w:val="single"/>
            <w:rtl/>
          </w:rPr>
          <w:t>ראשל</w:t>
        </w:r>
        <w:r w:rsidRPr="00FA6D3B">
          <w:rPr>
            <w:color w:val="0000FF"/>
            <w:sz w:val="24"/>
            <w:szCs w:val="24"/>
            <w:u w:val="single"/>
            <w:rtl/>
          </w:rPr>
          <w:t>"</w:t>
        </w:r>
        <w:r w:rsidRPr="00FA6D3B">
          <w:rPr>
            <w:rFonts w:hint="cs"/>
            <w:color w:val="0000FF"/>
            <w:sz w:val="24"/>
            <w:szCs w:val="24"/>
            <w:u w:val="single"/>
            <w:rtl/>
          </w:rPr>
          <w:t>צ</w:t>
        </w:r>
        <w:r w:rsidRPr="00FA6D3B">
          <w:rPr>
            <w:color w:val="0000FF"/>
            <w:sz w:val="24"/>
            <w:szCs w:val="24"/>
            <w:u w:val="single"/>
            <w:rtl/>
          </w:rPr>
          <w:t>) 44279-06-21</w:t>
        </w:r>
      </w:hyperlink>
      <w:r w:rsidR="00C37CDE">
        <w:rPr>
          <w:sz w:val="24"/>
          <w:szCs w:val="24"/>
          <w:rtl/>
        </w:rPr>
        <w:t xml:space="preserve"> </w:t>
      </w:r>
      <w:r w:rsidR="00C37CDE">
        <w:rPr>
          <w:b/>
          <w:bCs/>
          <w:sz w:val="24"/>
          <w:szCs w:val="24"/>
          <w:rtl/>
        </w:rPr>
        <w:t>מ"י נ' נגוסה</w:t>
      </w:r>
      <w:r w:rsidR="00C37CDE">
        <w:rPr>
          <w:sz w:val="24"/>
          <w:szCs w:val="24"/>
          <w:rtl/>
        </w:rPr>
        <w:t xml:space="preserve"> (15.2.22) הנאשם הורשע הנאשם בעובדות שלושה אישומים, בביצוע עבירות של סחר בסם ו/או הספקת סמים מסוכנים. בית המשפט קבע כי מתחם העונש ההולם נע בין 8 חודשי מאסר לבין 20 חודשים וגזר על הנאשם 12 חודשי מאסר בפועל, בשים לב לעברו הפלילי. </w:t>
      </w:r>
    </w:p>
    <w:p w14:paraId="0537C879" w14:textId="77777777" w:rsidR="00C37CDE" w:rsidRDefault="00C37CDE" w:rsidP="00C37CDE">
      <w:pPr>
        <w:spacing w:line="360" w:lineRule="auto"/>
        <w:rPr>
          <w:rFonts w:ascii="Calibri" w:eastAsia="Calibri" w:hAnsi="Calibri"/>
          <w:rtl/>
        </w:rPr>
      </w:pPr>
    </w:p>
    <w:p w14:paraId="48127EEE" w14:textId="77777777" w:rsidR="00C37CDE" w:rsidRDefault="00FA6D3B" w:rsidP="00C37CDE">
      <w:pPr>
        <w:pStyle w:val="a9"/>
        <w:numPr>
          <w:ilvl w:val="0"/>
          <w:numId w:val="4"/>
        </w:numPr>
        <w:ind w:left="1080" w:right="0"/>
        <w:rPr>
          <w:sz w:val="24"/>
          <w:szCs w:val="24"/>
          <w:rtl/>
        </w:rPr>
      </w:pPr>
      <w:hyperlink r:id="rId30" w:history="1">
        <w:r w:rsidRPr="00FA6D3B">
          <w:rPr>
            <w:rFonts w:hint="cs"/>
            <w:color w:val="0000FF"/>
            <w:sz w:val="24"/>
            <w:szCs w:val="24"/>
            <w:u w:val="single"/>
            <w:rtl/>
          </w:rPr>
          <w:t>ת</w:t>
        </w:r>
        <w:r w:rsidRPr="00FA6D3B">
          <w:rPr>
            <w:color w:val="0000FF"/>
            <w:sz w:val="24"/>
            <w:szCs w:val="24"/>
            <w:u w:val="single"/>
            <w:rtl/>
          </w:rPr>
          <w:t>"</w:t>
        </w:r>
        <w:r w:rsidRPr="00FA6D3B">
          <w:rPr>
            <w:rFonts w:hint="cs"/>
            <w:color w:val="0000FF"/>
            <w:sz w:val="24"/>
            <w:szCs w:val="24"/>
            <w:u w:val="single"/>
            <w:rtl/>
          </w:rPr>
          <w:t>פ</w:t>
        </w:r>
        <w:r w:rsidRPr="00FA6D3B">
          <w:rPr>
            <w:color w:val="0000FF"/>
            <w:sz w:val="24"/>
            <w:szCs w:val="24"/>
            <w:u w:val="single"/>
            <w:rtl/>
          </w:rPr>
          <w:t xml:space="preserve"> (</w:t>
        </w:r>
        <w:r w:rsidRPr="00FA6D3B">
          <w:rPr>
            <w:rFonts w:hint="cs"/>
            <w:color w:val="0000FF"/>
            <w:sz w:val="24"/>
            <w:szCs w:val="24"/>
            <w:u w:val="single"/>
            <w:rtl/>
          </w:rPr>
          <w:t>שלום</w:t>
        </w:r>
        <w:r w:rsidRPr="00FA6D3B">
          <w:rPr>
            <w:color w:val="0000FF"/>
            <w:sz w:val="24"/>
            <w:szCs w:val="24"/>
            <w:u w:val="single"/>
            <w:rtl/>
          </w:rPr>
          <w:t xml:space="preserve"> </w:t>
        </w:r>
        <w:r w:rsidRPr="00FA6D3B">
          <w:rPr>
            <w:rFonts w:hint="cs"/>
            <w:color w:val="0000FF"/>
            <w:sz w:val="24"/>
            <w:szCs w:val="24"/>
            <w:u w:val="single"/>
            <w:rtl/>
          </w:rPr>
          <w:t>ת</w:t>
        </w:r>
        <w:r w:rsidRPr="00FA6D3B">
          <w:rPr>
            <w:color w:val="0000FF"/>
            <w:sz w:val="24"/>
            <w:szCs w:val="24"/>
            <w:u w:val="single"/>
            <w:rtl/>
          </w:rPr>
          <w:t>"</w:t>
        </w:r>
        <w:r w:rsidRPr="00FA6D3B">
          <w:rPr>
            <w:rFonts w:hint="cs"/>
            <w:color w:val="0000FF"/>
            <w:sz w:val="24"/>
            <w:szCs w:val="24"/>
            <w:u w:val="single"/>
            <w:rtl/>
          </w:rPr>
          <w:t>א</w:t>
        </w:r>
        <w:r w:rsidRPr="00FA6D3B">
          <w:rPr>
            <w:color w:val="0000FF"/>
            <w:sz w:val="24"/>
            <w:szCs w:val="24"/>
            <w:u w:val="single"/>
            <w:rtl/>
          </w:rPr>
          <w:t>) 49273-09-20</w:t>
        </w:r>
      </w:hyperlink>
      <w:r w:rsidR="00C37CDE">
        <w:rPr>
          <w:sz w:val="24"/>
          <w:szCs w:val="24"/>
          <w:rtl/>
        </w:rPr>
        <w:t xml:space="preserve"> </w:t>
      </w:r>
      <w:r w:rsidR="00C37CDE">
        <w:rPr>
          <w:b/>
          <w:bCs/>
          <w:sz w:val="24"/>
          <w:szCs w:val="24"/>
          <w:rtl/>
        </w:rPr>
        <w:t>מ"י נ' בן שושן</w:t>
      </w:r>
      <w:r w:rsidR="00C37CDE">
        <w:rPr>
          <w:sz w:val="24"/>
          <w:szCs w:val="24"/>
          <w:rtl/>
        </w:rPr>
        <w:t xml:space="preserve"> (18.10.21) הנאשם הורשע בביצוע עבירות של החזקת סם שלא לצריכה עצמית, שלוש עבירות של סחר בסם ועבירה של עסקה אחרת בסם. בית המשפט קבע את מתחם הענישה ההולם בין 12 חודשי מאסר  בפועל ל-24 חודשים. בשים לב לעברו הנקי של הנאשם והיותו נתון במעצר של ממש לתקופה בת חודש, נגזרו על הנאשם 12 חודשי מאסר בפועל. </w:t>
      </w:r>
    </w:p>
    <w:p w14:paraId="089C5A6A" w14:textId="77777777" w:rsidR="00C37CDE" w:rsidRDefault="00C37CDE" w:rsidP="00C37CDE">
      <w:pPr>
        <w:spacing w:line="360" w:lineRule="auto"/>
        <w:rPr>
          <w:rFonts w:ascii="Calibri" w:eastAsia="Calibri" w:hAnsi="Calibri"/>
          <w:rtl/>
        </w:rPr>
      </w:pPr>
    </w:p>
    <w:p w14:paraId="714541D6" w14:textId="77777777" w:rsidR="00C37CDE" w:rsidRDefault="00FA6D3B" w:rsidP="00C37CDE">
      <w:pPr>
        <w:pStyle w:val="a9"/>
        <w:numPr>
          <w:ilvl w:val="0"/>
          <w:numId w:val="4"/>
        </w:numPr>
        <w:ind w:left="1080" w:right="0"/>
        <w:rPr>
          <w:sz w:val="24"/>
          <w:szCs w:val="24"/>
          <w:rtl/>
        </w:rPr>
      </w:pPr>
      <w:hyperlink r:id="rId31" w:history="1">
        <w:r w:rsidRPr="00FA6D3B">
          <w:rPr>
            <w:rFonts w:hint="cs"/>
            <w:color w:val="0000FF"/>
            <w:sz w:val="24"/>
            <w:szCs w:val="24"/>
            <w:u w:val="single"/>
            <w:rtl/>
          </w:rPr>
          <w:t>ת</w:t>
        </w:r>
        <w:r w:rsidRPr="00FA6D3B">
          <w:rPr>
            <w:color w:val="0000FF"/>
            <w:sz w:val="24"/>
            <w:szCs w:val="24"/>
            <w:u w:val="single"/>
            <w:rtl/>
          </w:rPr>
          <w:t>"</w:t>
        </w:r>
        <w:r w:rsidRPr="00FA6D3B">
          <w:rPr>
            <w:rFonts w:hint="cs"/>
            <w:color w:val="0000FF"/>
            <w:sz w:val="24"/>
            <w:szCs w:val="24"/>
            <w:u w:val="single"/>
            <w:rtl/>
          </w:rPr>
          <w:t>פ</w:t>
        </w:r>
        <w:r w:rsidRPr="00FA6D3B">
          <w:rPr>
            <w:color w:val="0000FF"/>
            <w:sz w:val="24"/>
            <w:szCs w:val="24"/>
            <w:u w:val="single"/>
            <w:rtl/>
          </w:rPr>
          <w:t xml:space="preserve"> (</w:t>
        </w:r>
        <w:r w:rsidRPr="00FA6D3B">
          <w:rPr>
            <w:rFonts w:hint="cs"/>
            <w:color w:val="0000FF"/>
            <w:sz w:val="24"/>
            <w:szCs w:val="24"/>
            <w:u w:val="single"/>
            <w:rtl/>
          </w:rPr>
          <w:t>אילת</w:t>
        </w:r>
        <w:r w:rsidRPr="00FA6D3B">
          <w:rPr>
            <w:color w:val="0000FF"/>
            <w:sz w:val="24"/>
            <w:szCs w:val="24"/>
            <w:u w:val="single"/>
            <w:rtl/>
          </w:rPr>
          <w:t>) 45446-10-20</w:t>
        </w:r>
      </w:hyperlink>
      <w:r w:rsidR="00C37CDE">
        <w:rPr>
          <w:sz w:val="24"/>
          <w:szCs w:val="24"/>
          <w:rtl/>
        </w:rPr>
        <w:t xml:space="preserve"> </w:t>
      </w:r>
      <w:r w:rsidR="00C37CDE">
        <w:rPr>
          <w:b/>
          <w:bCs/>
          <w:sz w:val="24"/>
          <w:szCs w:val="24"/>
          <w:rtl/>
        </w:rPr>
        <w:t>מ"י נ' בוחבוט</w:t>
      </w:r>
      <w:r w:rsidR="00C37CDE">
        <w:rPr>
          <w:sz w:val="24"/>
          <w:szCs w:val="24"/>
          <w:rtl/>
        </w:rPr>
        <w:t xml:space="preserve"> (24.5.21) הנאשם הורשע בעובדות שלושה אישומים, בביצוע עבירות של סחר בסם וניסיון לסחר בסם, כמו כן הורשע בעבירה של קשירת קשר לעשות פשע. בית המשפט קבע מתחם ענישה הולם הנע בין 10 חודשי מאסר לבין 30 חודשי מאסר. בסופו של דבר נגזרו על הנאשם 14 חודשי מאסר בפועל בגין עבירות אלה, התנאי שחל בעניינו הופעל חלקו בחופף וחלקו במצטבר כך שסה"כ נגזרו על הנאשם 22 חודשי מאסר בפועל</w:t>
      </w:r>
      <w:r w:rsidR="00C37CDE">
        <w:rPr>
          <w:color w:val="FF0000"/>
          <w:sz w:val="24"/>
          <w:szCs w:val="24"/>
          <w:rtl/>
        </w:rPr>
        <w:t>.</w:t>
      </w:r>
      <w:r w:rsidR="00C37CDE">
        <w:rPr>
          <w:sz w:val="24"/>
          <w:szCs w:val="24"/>
          <w:rtl/>
        </w:rPr>
        <w:t xml:space="preserve"> </w:t>
      </w:r>
    </w:p>
    <w:p w14:paraId="08FBAAD4" w14:textId="77777777" w:rsidR="00C37CDE" w:rsidRDefault="00C37CDE" w:rsidP="00C37CDE">
      <w:pPr>
        <w:pStyle w:val="a9"/>
        <w:rPr>
          <w:sz w:val="24"/>
          <w:szCs w:val="24"/>
        </w:rPr>
      </w:pPr>
    </w:p>
    <w:p w14:paraId="39D532B3" w14:textId="77777777" w:rsidR="00C37CDE" w:rsidRDefault="00FA6D3B" w:rsidP="00C37CDE">
      <w:pPr>
        <w:pStyle w:val="a9"/>
        <w:numPr>
          <w:ilvl w:val="0"/>
          <w:numId w:val="4"/>
        </w:numPr>
        <w:ind w:left="1080" w:right="0"/>
        <w:rPr>
          <w:sz w:val="24"/>
          <w:szCs w:val="24"/>
          <w:rtl/>
        </w:rPr>
      </w:pPr>
      <w:hyperlink r:id="rId32" w:history="1">
        <w:r w:rsidRPr="00FA6D3B">
          <w:rPr>
            <w:rFonts w:hint="cs"/>
            <w:color w:val="0000FF"/>
            <w:sz w:val="24"/>
            <w:szCs w:val="24"/>
            <w:u w:val="single"/>
            <w:rtl/>
          </w:rPr>
          <w:t>ת</w:t>
        </w:r>
        <w:r w:rsidRPr="00FA6D3B">
          <w:rPr>
            <w:color w:val="0000FF"/>
            <w:sz w:val="24"/>
            <w:szCs w:val="24"/>
            <w:u w:val="single"/>
            <w:rtl/>
          </w:rPr>
          <w:t>"</w:t>
        </w:r>
        <w:r w:rsidRPr="00FA6D3B">
          <w:rPr>
            <w:rFonts w:hint="cs"/>
            <w:color w:val="0000FF"/>
            <w:sz w:val="24"/>
            <w:szCs w:val="24"/>
            <w:u w:val="single"/>
            <w:rtl/>
          </w:rPr>
          <w:t>פ</w:t>
        </w:r>
        <w:r w:rsidRPr="00FA6D3B">
          <w:rPr>
            <w:color w:val="0000FF"/>
            <w:sz w:val="24"/>
            <w:szCs w:val="24"/>
            <w:u w:val="single"/>
            <w:rtl/>
          </w:rPr>
          <w:t xml:space="preserve"> (</w:t>
        </w:r>
        <w:r w:rsidRPr="00FA6D3B">
          <w:rPr>
            <w:rFonts w:hint="cs"/>
            <w:color w:val="0000FF"/>
            <w:sz w:val="24"/>
            <w:szCs w:val="24"/>
            <w:u w:val="single"/>
            <w:rtl/>
          </w:rPr>
          <w:t>י</w:t>
        </w:r>
        <w:r w:rsidRPr="00FA6D3B">
          <w:rPr>
            <w:color w:val="0000FF"/>
            <w:sz w:val="24"/>
            <w:szCs w:val="24"/>
            <w:u w:val="single"/>
            <w:rtl/>
          </w:rPr>
          <w:t>-</w:t>
        </w:r>
        <w:r w:rsidRPr="00FA6D3B">
          <w:rPr>
            <w:rFonts w:hint="cs"/>
            <w:color w:val="0000FF"/>
            <w:sz w:val="24"/>
            <w:szCs w:val="24"/>
            <w:u w:val="single"/>
            <w:rtl/>
          </w:rPr>
          <w:t>ם</w:t>
        </w:r>
        <w:r w:rsidRPr="00FA6D3B">
          <w:rPr>
            <w:color w:val="0000FF"/>
            <w:sz w:val="24"/>
            <w:szCs w:val="24"/>
            <w:u w:val="single"/>
            <w:rtl/>
          </w:rPr>
          <w:t>) 27467-02-18</w:t>
        </w:r>
      </w:hyperlink>
      <w:r w:rsidR="00C37CDE">
        <w:rPr>
          <w:sz w:val="24"/>
          <w:szCs w:val="24"/>
          <w:rtl/>
        </w:rPr>
        <w:t xml:space="preserve">‏ ‏ </w:t>
      </w:r>
      <w:r w:rsidR="00C37CDE">
        <w:rPr>
          <w:b/>
          <w:bCs/>
          <w:sz w:val="24"/>
          <w:szCs w:val="24"/>
          <w:rtl/>
        </w:rPr>
        <w:t>מ"י נ' מור</w:t>
      </w:r>
      <w:r w:rsidR="00C37CDE">
        <w:rPr>
          <w:sz w:val="24"/>
          <w:szCs w:val="24"/>
          <w:rtl/>
        </w:rPr>
        <w:t xml:space="preserve"> (28.4.19) הנאשם הורשע בביצוע 3 עבירות סחר בסם מסוכן בגין מכירת סם בכמויות של כ-5 גרמים בכל פעם, ובביצוע עבירה של החזקת סם שלא לצריכה עצמית - בגין החזקת כ-5 גרם סם מסוכן מסוג קנאביס. בית המשפט קבע את מתחם הענישה ההולם בין 3 חודשי מאסר שיכול וירוצו בעבודות שירות לבין 15 חודשי מאסר בפועל. בשים לב להיעדר עברו הפלילי והיות הנאשם נתון במעצר במשך כשבועיים, נגזרו על הנאשם 3 חודשי מאסר בדרך של עבודות שירות. </w:t>
      </w:r>
    </w:p>
    <w:p w14:paraId="4306D2E5" w14:textId="77777777" w:rsidR="00C37CDE" w:rsidRDefault="00C37CDE" w:rsidP="00C37CDE">
      <w:pPr>
        <w:pStyle w:val="a9"/>
        <w:rPr>
          <w:sz w:val="24"/>
          <w:szCs w:val="24"/>
          <w:rtl/>
        </w:rPr>
      </w:pPr>
    </w:p>
    <w:p w14:paraId="77D57B2C" w14:textId="77777777" w:rsidR="00C37CDE" w:rsidRDefault="00C37CDE" w:rsidP="00C37CDE">
      <w:pPr>
        <w:pStyle w:val="a9"/>
        <w:numPr>
          <w:ilvl w:val="0"/>
          <w:numId w:val="1"/>
        </w:numPr>
        <w:rPr>
          <w:sz w:val="24"/>
          <w:szCs w:val="24"/>
        </w:rPr>
      </w:pPr>
      <w:r>
        <w:rPr>
          <w:sz w:val="24"/>
          <w:szCs w:val="24"/>
          <w:rtl/>
        </w:rPr>
        <w:t>עיינתי בפסקי הדין שהוגשו לעיוני מטעם ההגנה ואולם לא מצאתי כי ניתן ללמוד מהם על הענישה הנוהגת בנסיבות הדומות לעניין שלפניי. כך למשל: ב</w:t>
      </w:r>
      <w:hyperlink r:id="rId33" w:history="1">
        <w:r w:rsidR="00FA6D3B" w:rsidRPr="00FA6D3B">
          <w:rPr>
            <w:rFonts w:hint="cs"/>
            <w:color w:val="0000FF"/>
            <w:sz w:val="24"/>
            <w:szCs w:val="24"/>
            <w:u w:val="single"/>
            <w:rtl/>
          </w:rPr>
          <w:t>ת</w:t>
        </w:r>
        <w:r w:rsidR="00FA6D3B" w:rsidRPr="00FA6D3B">
          <w:rPr>
            <w:color w:val="0000FF"/>
            <w:sz w:val="24"/>
            <w:szCs w:val="24"/>
            <w:u w:val="single"/>
            <w:rtl/>
          </w:rPr>
          <w:t>"</w:t>
        </w:r>
        <w:r w:rsidR="00FA6D3B" w:rsidRPr="00FA6D3B">
          <w:rPr>
            <w:rFonts w:hint="cs"/>
            <w:color w:val="0000FF"/>
            <w:sz w:val="24"/>
            <w:szCs w:val="24"/>
            <w:u w:val="single"/>
            <w:rtl/>
          </w:rPr>
          <w:t>פ</w:t>
        </w:r>
        <w:r w:rsidR="00FA6D3B" w:rsidRPr="00FA6D3B">
          <w:rPr>
            <w:color w:val="0000FF"/>
            <w:sz w:val="24"/>
            <w:szCs w:val="24"/>
            <w:u w:val="single"/>
            <w:rtl/>
          </w:rPr>
          <w:t xml:space="preserve"> (</w:t>
        </w:r>
        <w:r w:rsidR="00FA6D3B" w:rsidRPr="00FA6D3B">
          <w:rPr>
            <w:rFonts w:hint="cs"/>
            <w:color w:val="0000FF"/>
            <w:sz w:val="24"/>
            <w:szCs w:val="24"/>
            <w:u w:val="single"/>
            <w:rtl/>
          </w:rPr>
          <w:t>שלום</w:t>
        </w:r>
        <w:r w:rsidR="00FA6D3B" w:rsidRPr="00FA6D3B">
          <w:rPr>
            <w:color w:val="0000FF"/>
            <w:sz w:val="24"/>
            <w:szCs w:val="24"/>
            <w:u w:val="single"/>
            <w:rtl/>
          </w:rPr>
          <w:t xml:space="preserve">  </w:t>
        </w:r>
        <w:r w:rsidR="00FA6D3B" w:rsidRPr="00FA6D3B">
          <w:rPr>
            <w:rFonts w:hint="cs"/>
            <w:color w:val="0000FF"/>
            <w:sz w:val="24"/>
            <w:szCs w:val="24"/>
            <w:u w:val="single"/>
            <w:rtl/>
          </w:rPr>
          <w:t>ת</w:t>
        </w:r>
        <w:r w:rsidR="00FA6D3B" w:rsidRPr="00FA6D3B">
          <w:rPr>
            <w:color w:val="0000FF"/>
            <w:sz w:val="24"/>
            <w:szCs w:val="24"/>
            <w:u w:val="single"/>
            <w:rtl/>
          </w:rPr>
          <w:t>"</w:t>
        </w:r>
        <w:r w:rsidR="00FA6D3B" w:rsidRPr="00FA6D3B">
          <w:rPr>
            <w:rFonts w:hint="cs"/>
            <w:color w:val="0000FF"/>
            <w:sz w:val="24"/>
            <w:szCs w:val="24"/>
            <w:u w:val="single"/>
            <w:rtl/>
          </w:rPr>
          <w:t>א</w:t>
        </w:r>
        <w:r w:rsidR="00FA6D3B" w:rsidRPr="00FA6D3B">
          <w:rPr>
            <w:color w:val="0000FF"/>
            <w:sz w:val="24"/>
            <w:szCs w:val="24"/>
            <w:u w:val="single"/>
            <w:rtl/>
          </w:rPr>
          <w:t>) 42378-11-19</w:t>
        </w:r>
      </w:hyperlink>
      <w:r>
        <w:rPr>
          <w:sz w:val="24"/>
          <w:szCs w:val="24"/>
          <w:rtl/>
        </w:rPr>
        <w:t xml:space="preserve"> </w:t>
      </w:r>
      <w:r>
        <w:rPr>
          <w:b/>
          <w:bCs/>
          <w:sz w:val="24"/>
          <w:szCs w:val="24"/>
          <w:rtl/>
        </w:rPr>
        <w:t>מ"י נ' שטרית</w:t>
      </w:r>
      <w:r>
        <w:rPr>
          <w:sz w:val="24"/>
          <w:szCs w:val="24"/>
          <w:rtl/>
        </w:rPr>
        <w:t xml:space="preserve"> (26.4.21), </w:t>
      </w:r>
      <w:hyperlink r:id="rId34" w:history="1">
        <w:r w:rsidR="00FA6D3B" w:rsidRPr="00FA6D3B">
          <w:rPr>
            <w:rFonts w:hint="cs"/>
            <w:color w:val="0000FF"/>
            <w:sz w:val="24"/>
            <w:szCs w:val="24"/>
            <w:u w:val="single"/>
            <w:rtl/>
          </w:rPr>
          <w:t>ת</w:t>
        </w:r>
        <w:r w:rsidR="00FA6D3B" w:rsidRPr="00FA6D3B">
          <w:rPr>
            <w:color w:val="0000FF"/>
            <w:sz w:val="24"/>
            <w:szCs w:val="24"/>
            <w:u w:val="single"/>
            <w:rtl/>
          </w:rPr>
          <w:t>"</w:t>
        </w:r>
        <w:r w:rsidR="00FA6D3B" w:rsidRPr="00FA6D3B">
          <w:rPr>
            <w:rFonts w:hint="cs"/>
            <w:color w:val="0000FF"/>
            <w:sz w:val="24"/>
            <w:szCs w:val="24"/>
            <w:u w:val="single"/>
            <w:rtl/>
          </w:rPr>
          <w:t>פ</w:t>
        </w:r>
        <w:r w:rsidR="00FA6D3B" w:rsidRPr="00FA6D3B">
          <w:rPr>
            <w:color w:val="0000FF"/>
            <w:sz w:val="24"/>
            <w:szCs w:val="24"/>
            <w:u w:val="single"/>
            <w:rtl/>
          </w:rPr>
          <w:t xml:space="preserve"> (</w:t>
        </w:r>
        <w:r w:rsidR="00FA6D3B" w:rsidRPr="00FA6D3B">
          <w:rPr>
            <w:rFonts w:hint="cs"/>
            <w:color w:val="0000FF"/>
            <w:sz w:val="24"/>
            <w:szCs w:val="24"/>
            <w:u w:val="single"/>
            <w:rtl/>
          </w:rPr>
          <w:t>ק</w:t>
        </w:r>
        <w:r w:rsidR="00FA6D3B" w:rsidRPr="00FA6D3B">
          <w:rPr>
            <w:color w:val="0000FF"/>
            <w:sz w:val="24"/>
            <w:szCs w:val="24"/>
            <w:u w:val="single"/>
            <w:rtl/>
          </w:rPr>
          <w:t>"</w:t>
        </w:r>
        <w:r w:rsidR="00FA6D3B" w:rsidRPr="00FA6D3B">
          <w:rPr>
            <w:rFonts w:hint="cs"/>
            <w:color w:val="0000FF"/>
            <w:sz w:val="24"/>
            <w:szCs w:val="24"/>
            <w:u w:val="single"/>
            <w:rtl/>
          </w:rPr>
          <w:t>ש</w:t>
        </w:r>
        <w:r w:rsidR="00FA6D3B" w:rsidRPr="00FA6D3B">
          <w:rPr>
            <w:color w:val="0000FF"/>
            <w:sz w:val="24"/>
            <w:szCs w:val="24"/>
            <w:u w:val="single"/>
            <w:rtl/>
          </w:rPr>
          <w:t>) 34607-03-17</w:t>
        </w:r>
      </w:hyperlink>
      <w:r>
        <w:rPr>
          <w:sz w:val="24"/>
          <w:szCs w:val="24"/>
          <w:rtl/>
        </w:rPr>
        <w:t xml:space="preserve"> </w:t>
      </w:r>
      <w:r>
        <w:rPr>
          <w:b/>
          <w:bCs/>
          <w:sz w:val="24"/>
          <w:szCs w:val="24"/>
          <w:rtl/>
        </w:rPr>
        <w:t>מ"י נ' דגאישה</w:t>
      </w:r>
      <w:r>
        <w:rPr>
          <w:sz w:val="24"/>
          <w:szCs w:val="24"/>
          <w:rtl/>
        </w:rPr>
        <w:t xml:space="preserve"> (28.11.17) וב</w:t>
      </w:r>
      <w:hyperlink r:id="rId35" w:history="1">
        <w:r w:rsidR="00FA6D3B" w:rsidRPr="00FA6D3B">
          <w:rPr>
            <w:rFonts w:hint="cs"/>
            <w:color w:val="0000FF"/>
            <w:sz w:val="24"/>
            <w:szCs w:val="24"/>
            <w:u w:val="single"/>
            <w:rtl/>
          </w:rPr>
          <w:t>ת</w:t>
        </w:r>
        <w:r w:rsidR="00FA6D3B" w:rsidRPr="00FA6D3B">
          <w:rPr>
            <w:color w:val="0000FF"/>
            <w:sz w:val="24"/>
            <w:szCs w:val="24"/>
            <w:u w:val="single"/>
            <w:rtl/>
          </w:rPr>
          <w:t>"</w:t>
        </w:r>
        <w:r w:rsidR="00FA6D3B" w:rsidRPr="00FA6D3B">
          <w:rPr>
            <w:rFonts w:hint="cs"/>
            <w:color w:val="0000FF"/>
            <w:sz w:val="24"/>
            <w:szCs w:val="24"/>
            <w:u w:val="single"/>
            <w:rtl/>
          </w:rPr>
          <w:t>פ</w:t>
        </w:r>
        <w:r w:rsidR="00FA6D3B" w:rsidRPr="00FA6D3B">
          <w:rPr>
            <w:color w:val="0000FF"/>
            <w:sz w:val="24"/>
            <w:szCs w:val="24"/>
            <w:u w:val="single"/>
            <w:rtl/>
          </w:rPr>
          <w:t xml:space="preserve"> (</w:t>
        </w:r>
        <w:r w:rsidR="00FA6D3B" w:rsidRPr="00FA6D3B">
          <w:rPr>
            <w:rFonts w:hint="cs"/>
            <w:color w:val="0000FF"/>
            <w:sz w:val="24"/>
            <w:szCs w:val="24"/>
            <w:u w:val="single"/>
            <w:rtl/>
          </w:rPr>
          <w:t>שלום</w:t>
        </w:r>
        <w:r w:rsidR="00FA6D3B" w:rsidRPr="00FA6D3B">
          <w:rPr>
            <w:color w:val="0000FF"/>
            <w:sz w:val="24"/>
            <w:szCs w:val="24"/>
            <w:u w:val="single"/>
            <w:rtl/>
          </w:rPr>
          <w:t xml:space="preserve"> – </w:t>
        </w:r>
        <w:r w:rsidR="00FA6D3B" w:rsidRPr="00FA6D3B">
          <w:rPr>
            <w:rFonts w:hint="cs"/>
            <w:color w:val="0000FF"/>
            <w:sz w:val="24"/>
            <w:szCs w:val="24"/>
            <w:u w:val="single"/>
            <w:rtl/>
          </w:rPr>
          <w:t>ים</w:t>
        </w:r>
        <w:r w:rsidR="00FA6D3B" w:rsidRPr="00FA6D3B">
          <w:rPr>
            <w:color w:val="0000FF"/>
            <w:sz w:val="24"/>
            <w:szCs w:val="24"/>
            <w:u w:val="single"/>
            <w:rtl/>
          </w:rPr>
          <w:t>) 25852-02-20</w:t>
        </w:r>
      </w:hyperlink>
      <w:r>
        <w:rPr>
          <w:sz w:val="24"/>
          <w:szCs w:val="24"/>
          <w:rtl/>
        </w:rPr>
        <w:t xml:space="preserve"> </w:t>
      </w:r>
      <w:r>
        <w:rPr>
          <w:b/>
          <w:bCs/>
          <w:sz w:val="24"/>
          <w:szCs w:val="24"/>
          <w:rtl/>
        </w:rPr>
        <w:t>מ"י נ' ברכה</w:t>
      </w:r>
      <w:r>
        <w:rPr>
          <w:sz w:val="24"/>
          <w:szCs w:val="24"/>
          <w:rtl/>
        </w:rPr>
        <w:t xml:space="preserve"> (3.8.22) מדובר בעבירת סחר יחידה כאשר </w:t>
      </w:r>
      <w:r>
        <w:rPr>
          <w:b/>
          <w:bCs/>
          <w:sz w:val="24"/>
          <w:szCs w:val="24"/>
          <w:rtl/>
        </w:rPr>
        <w:t>בעניין שטרית</w:t>
      </w:r>
      <w:r>
        <w:rPr>
          <w:sz w:val="24"/>
          <w:szCs w:val="24"/>
          <w:rtl/>
        </w:rPr>
        <w:t xml:space="preserve"> מדובר בכמות מזערית, כמו כן הוכחו קיומן של נסיבות ייחודיות וכן הוכח שביצוע העבירה לא נועד להפקת רווח. עוד הוכחה פגיעה קונקרטית בנאשם.</w:t>
      </w:r>
    </w:p>
    <w:p w14:paraId="53E33AF9" w14:textId="77777777" w:rsidR="00C37CDE" w:rsidRDefault="00C37CDE" w:rsidP="00C37CDE">
      <w:pPr>
        <w:spacing w:line="360" w:lineRule="auto"/>
        <w:ind w:left="720"/>
        <w:contextualSpacing/>
        <w:jc w:val="both"/>
        <w:rPr>
          <w:rFonts w:ascii="Calibri" w:eastAsia="Calibri" w:hAnsi="Calibri"/>
          <w:rtl/>
        </w:rPr>
      </w:pPr>
      <w:r>
        <w:rPr>
          <w:rFonts w:ascii="Calibri" w:eastAsia="Calibri" w:hAnsi="Calibri"/>
          <w:rtl/>
        </w:rPr>
        <w:t>ב</w:t>
      </w:r>
      <w:hyperlink r:id="rId36"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שלום</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י</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ם</w:t>
        </w:r>
        <w:r w:rsidR="00FA6D3B" w:rsidRPr="00FA6D3B">
          <w:rPr>
            <w:rFonts w:ascii="Calibri" w:eastAsia="Calibri" w:hAnsi="Calibri"/>
            <w:color w:val="0000FF"/>
            <w:u w:val="single"/>
            <w:rtl/>
          </w:rPr>
          <w:t>) 11267-01-18</w:t>
        </w:r>
      </w:hyperlink>
      <w:r>
        <w:rPr>
          <w:rFonts w:ascii="Calibri" w:eastAsia="Calibri" w:hAnsi="Calibri"/>
          <w:rtl/>
        </w:rPr>
        <w:t xml:space="preserve"> </w:t>
      </w:r>
      <w:r>
        <w:rPr>
          <w:rFonts w:ascii="Calibri" w:eastAsia="Calibri" w:hAnsi="Calibri"/>
          <w:b/>
          <w:bCs/>
          <w:rtl/>
        </w:rPr>
        <w:t>מ"י נ' וונדה</w:t>
      </w:r>
      <w:r>
        <w:rPr>
          <w:rFonts w:ascii="Calibri" w:eastAsia="Calibri" w:hAnsi="Calibri"/>
          <w:rtl/>
        </w:rPr>
        <w:t xml:space="preserve"> (3.11.19), ב</w:t>
      </w:r>
      <w:hyperlink r:id="rId37"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שלום</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י</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ם</w:t>
        </w:r>
        <w:r w:rsidR="00FA6D3B" w:rsidRPr="00FA6D3B">
          <w:rPr>
            <w:rFonts w:ascii="Calibri" w:eastAsia="Calibri" w:hAnsi="Calibri"/>
            <w:color w:val="0000FF"/>
            <w:u w:val="single"/>
            <w:rtl/>
          </w:rPr>
          <w:t>) 54750-01-19</w:t>
        </w:r>
      </w:hyperlink>
      <w:r>
        <w:rPr>
          <w:rFonts w:ascii="Calibri" w:eastAsia="Calibri" w:hAnsi="Calibri"/>
          <w:rtl/>
        </w:rPr>
        <w:t xml:space="preserve"> </w:t>
      </w:r>
      <w:r>
        <w:rPr>
          <w:rFonts w:ascii="Calibri" w:eastAsia="Calibri" w:hAnsi="Calibri"/>
          <w:b/>
          <w:bCs/>
          <w:rtl/>
        </w:rPr>
        <w:t>מ"י נ' בן שבת</w:t>
      </w:r>
      <w:r>
        <w:rPr>
          <w:rFonts w:ascii="Calibri" w:eastAsia="Calibri" w:hAnsi="Calibri"/>
          <w:rtl/>
        </w:rPr>
        <w:t xml:space="preserve"> (2.4.23), ב</w:t>
      </w:r>
      <w:hyperlink r:id="rId38"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 11951-01-14</w:t>
        </w:r>
      </w:hyperlink>
      <w:r>
        <w:rPr>
          <w:rFonts w:ascii="Calibri" w:eastAsia="Calibri" w:hAnsi="Calibri"/>
          <w:rtl/>
        </w:rPr>
        <w:t xml:space="preserve"> </w:t>
      </w:r>
      <w:r>
        <w:rPr>
          <w:rFonts w:ascii="Calibri" w:eastAsia="Calibri" w:hAnsi="Calibri"/>
          <w:b/>
          <w:bCs/>
          <w:rtl/>
        </w:rPr>
        <w:t>מ"י נ' חוברה</w:t>
      </w:r>
      <w:r>
        <w:rPr>
          <w:rFonts w:ascii="Calibri" w:eastAsia="Calibri" w:hAnsi="Calibri"/>
          <w:rtl/>
        </w:rPr>
        <w:t xml:space="preserve"> (17.11.15), ב</w:t>
      </w:r>
      <w:hyperlink r:id="rId39"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אש</w:t>
        </w:r>
        <w:r w:rsidR="00FA6D3B" w:rsidRPr="00FA6D3B">
          <w:rPr>
            <w:rFonts w:ascii="Calibri" w:eastAsia="Calibri" w:hAnsi="Calibri"/>
            <w:color w:val="0000FF"/>
            <w:u w:val="single"/>
            <w:rtl/>
          </w:rPr>
          <w:t>') 43935-05-15</w:t>
        </w:r>
      </w:hyperlink>
      <w:r>
        <w:rPr>
          <w:rFonts w:ascii="Calibri" w:eastAsia="Calibri" w:hAnsi="Calibri"/>
          <w:rtl/>
        </w:rPr>
        <w:t xml:space="preserve"> </w:t>
      </w:r>
      <w:r>
        <w:rPr>
          <w:rFonts w:ascii="Calibri" w:eastAsia="Calibri" w:hAnsi="Calibri"/>
          <w:b/>
          <w:bCs/>
          <w:rtl/>
        </w:rPr>
        <w:t>מ"י נ' אלמוג</w:t>
      </w:r>
      <w:r>
        <w:rPr>
          <w:rFonts w:ascii="Calibri" w:eastAsia="Calibri" w:hAnsi="Calibri"/>
          <w:rtl/>
        </w:rPr>
        <w:t xml:space="preserve"> (20.12.15) - הוכח קיומו של נזק קונקרטי המצדיק ביטול ההרשעה וכן הוכח הליך שיקומי מרשים. עוד אעיר בקשר </w:t>
      </w:r>
      <w:r>
        <w:rPr>
          <w:rFonts w:ascii="Calibri" w:eastAsia="Calibri" w:hAnsi="Calibri"/>
          <w:b/>
          <w:bCs/>
          <w:rtl/>
        </w:rPr>
        <w:t>לעניין וונדה</w:t>
      </w:r>
      <w:r>
        <w:rPr>
          <w:rFonts w:ascii="Calibri" w:eastAsia="Calibri" w:hAnsi="Calibri"/>
          <w:rtl/>
        </w:rPr>
        <w:t xml:space="preserve"> כי שם עתרה המאשימה עצמה לחריגה ממתחם העונש ההולם משיקולי שיקום. במסגרת </w:t>
      </w:r>
      <w:hyperlink r:id="rId40"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שלום</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י</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ם</w:t>
        </w:r>
        <w:r w:rsidR="00FA6D3B" w:rsidRPr="00FA6D3B">
          <w:rPr>
            <w:rFonts w:ascii="Calibri" w:eastAsia="Calibri" w:hAnsi="Calibri"/>
            <w:color w:val="0000FF"/>
            <w:u w:val="single"/>
            <w:rtl/>
          </w:rPr>
          <w:t>) 53375-03-18</w:t>
        </w:r>
      </w:hyperlink>
      <w:r>
        <w:rPr>
          <w:rFonts w:ascii="Calibri" w:eastAsia="Calibri" w:hAnsi="Calibri"/>
          <w:rtl/>
        </w:rPr>
        <w:t xml:space="preserve"> </w:t>
      </w:r>
      <w:r>
        <w:rPr>
          <w:rFonts w:ascii="Calibri" w:eastAsia="Calibri" w:hAnsi="Calibri"/>
          <w:b/>
          <w:bCs/>
          <w:rtl/>
        </w:rPr>
        <w:t>מ"י נ' כהן ואח'</w:t>
      </w:r>
      <w:r>
        <w:rPr>
          <w:rFonts w:ascii="Calibri" w:eastAsia="Calibri" w:hAnsi="Calibri"/>
          <w:rtl/>
        </w:rPr>
        <w:t xml:space="preserve"> (25.9.19), </w:t>
      </w:r>
      <w:hyperlink r:id="rId41"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שלום</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י</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ם</w:t>
        </w:r>
        <w:r w:rsidR="00FA6D3B" w:rsidRPr="00FA6D3B">
          <w:rPr>
            <w:rFonts w:ascii="Calibri" w:eastAsia="Calibri" w:hAnsi="Calibri"/>
            <w:color w:val="0000FF"/>
            <w:u w:val="single"/>
            <w:rtl/>
          </w:rPr>
          <w:t>) 8537-01-18</w:t>
        </w:r>
      </w:hyperlink>
      <w:r>
        <w:rPr>
          <w:rFonts w:ascii="Calibri" w:eastAsia="Calibri" w:hAnsi="Calibri"/>
          <w:rtl/>
        </w:rPr>
        <w:t xml:space="preserve">  </w:t>
      </w:r>
      <w:r>
        <w:rPr>
          <w:rFonts w:ascii="Calibri" w:eastAsia="Calibri" w:hAnsi="Calibri"/>
          <w:b/>
          <w:bCs/>
          <w:rtl/>
        </w:rPr>
        <w:t>מ"י נ' גוסטפסון</w:t>
      </w:r>
      <w:r>
        <w:rPr>
          <w:rFonts w:ascii="Calibri" w:eastAsia="Calibri" w:hAnsi="Calibri"/>
          <w:rtl/>
        </w:rPr>
        <w:t xml:space="preserve"> (15.12.19), </w:t>
      </w:r>
      <w:hyperlink r:id="rId42"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ק</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ש</w:t>
        </w:r>
        <w:r w:rsidR="00FA6D3B" w:rsidRPr="00FA6D3B">
          <w:rPr>
            <w:rFonts w:ascii="Calibri" w:eastAsia="Calibri" w:hAnsi="Calibri"/>
            <w:color w:val="0000FF"/>
            <w:u w:val="single"/>
            <w:rtl/>
          </w:rPr>
          <w:t>) 46914-06-18</w:t>
        </w:r>
      </w:hyperlink>
      <w:r>
        <w:rPr>
          <w:rFonts w:ascii="Calibri" w:eastAsia="Calibri" w:hAnsi="Calibri"/>
          <w:rtl/>
        </w:rPr>
        <w:t xml:space="preserve"> </w:t>
      </w:r>
      <w:r>
        <w:rPr>
          <w:rFonts w:ascii="Calibri" w:eastAsia="Calibri" w:hAnsi="Calibri"/>
          <w:b/>
          <w:bCs/>
          <w:rtl/>
        </w:rPr>
        <w:t xml:space="preserve">מ"י נ' חג'אזי </w:t>
      </w:r>
      <w:r>
        <w:rPr>
          <w:rFonts w:ascii="Calibri" w:eastAsia="Calibri" w:hAnsi="Calibri"/>
          <w:rtl/>
        </w:rPr>
        <w:t xml:space="preserve">(23.9.19) </w:t>
      </w:r>
      <w:hyperlink r:id="rId43" w:history="1">
        <w:r w:rsidR="00FA6D3B" w:rsidRPr="00FA6D3B">
          <w:rPr>
            <w:rFonts w:ascii="Calibri" w:eastAsia="Calibri" w:hAnsi="Calibri" w:hint="cs"/>
            <w:color w:val="0000FF"/>
            <w:u w:val="single"/>
            <w:rtl/>
          </w:rPr>
          <w:t>ת</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פ</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שלום</w:t>
        </w:r>
        <w:r w:rsidR="00FA6D3B" w:rsidRPr="00FA6D3B">
          <w:rPr>
            <w:rFonts w:ascii="Calibri" w:eastAsia="Calibri" w:hAnsi="Calibri"/>
            <w:color w:val="0000FF"/>
            <w:u w:val="single"/>
            <w:rtl/>
          </w:rPr>
          <w:t xml:space="preserve"> </w:t>
        </w:r>
        <w:r w:rsidR="00FA6D3B" w:rsidRPr="00FA6D3B">
          <w:rPr>
            <w:rFonts w:ascii="Calibri" w:eastAsia="Calibri" w:hAnsi="Calibri" w:hint="cs"/>
            <w:color w:val="0000FF"/>
            <w:u w:val="single"/>
            <w:rtl/>
          </w:rPr>
          <w:t>י</w:t>
        </w:r>
        <w:r w:rsidR="00FA6D3B" w:rsidRPr="00FA6D3B">
          <w:rPr>
            <w:rFonts w:ascii="Calibri" w:eastAsia="Calibri" w:hAnsi="Calibri"/>
            <w:color w:val="0000FF"/>
            <w:u w:val="single"/>
            <w:rtl/>
          </w:rPr>
          <w:t>-</w:t>
        </w:r>
        <w:r w:rsidR="00FA6D3B" w:rsidRPr="00FA6D3B">
          <w:rPr>
            <w:rFonts w:ascii="Calibri" w:eastAsia="Calibri" w:hAnsi="Calibri" w:hint="cs"/>
            <w:color w:val="0000FF"/>
            <w:u w:val="single"/>
            <w:rtl/>
          </w:rPr>
          <w:t>ם</w:t>
        </w:r>
        <w:r w:rsidR="00FA6D3B" w:rsidRPr="00FA6D3B">
          <w:rPr>
            <w:rFonts w:ascii="Calibri" w:eastAsia="Calibri" w:hAnsi="Calibri"/>
            <w:color w:val="0000FF"/>
            <w:u w:val="single"/>
            <w:rtl/>
          </w:rPr>
          <w:t>) 18320-05-19</w:t>
        </w:r>
      </w:hyperlink>
      <w:r>
        <w:rPr>
          <w:rFonts w:ascii="Calibri" w:eastAsia="Calibri" w:hAnsi="Calibri"/>
          <w:rtl/>
        </w:rPr>
        <w:t xml:space="preserve"> </w:t>
      </w:r>
      <w:r>
        <w:rPr>
          <w:rFonts w:ascii="Calibri" w:eastAsia="Calibri" w:hAnsi="Calibri"/>
          <w:b/>
          <w:bCs/>
          <w:rtl/>
        </w:rPr>
        <w:t>מ"י נ' אביקזר</w:t>
      </w:r>
      <w:r>
        <w:rPr>
          <w:rFonts w:ascii="Calibri" w:eastAsia="Calibri" w:hAnsi="Calibri"/>
          <w:rtl/>
        </w:rPr>
        <w:t xml:space="preserve"> (5.11.20) מתקיימים שיקולי שיקום המצדיקים חריגה ממתחם הענישה ההולם. </w:t>
      </w:r>
    </w:p>
    <w:p w14:paraId="4F5A4330" w14:textId="77777777" w:rsidR="00C37CDE" w:rsidRDefault="00C37CDE" w:rsidP="00C37CDE">
      <w:pPr>
        <w:spacing w:line="360" w:lineRule="auto"/>
        <w:rPr>
          <w:rFonts w:ascii="Calibri" w:eastAsia="Calibri" w:hAnsi="Calibri"/>
          <w:rtl/>
        </w:rPr>
      </w:pPr>
    </w:p>
    <w:p w14:paraId="54D07562" w14:textId="77777777" w:rsidR="00C37CDE" w:rsidRDefault="00C37CDE" w:rsidP="00C37CDE">
      <w:pPr>
        <w:pStyle w:val="a9"/>
        <w:numPr>
          <w:ilvl w:val="0"/>
          <w:numId w:val="1"/>
        </w:numPr>
        <w:rPr>
          <w:sz w:val="24"/>
          <w:szCs w:val="24"/>
          <w:rtl/>
        </w:rPr>
      </w:pPr>
      <w:r>
        <w:rPr>
          <w:sz w:val="24"/>
          <w:szCs w:val="24"/>
          <w:rtl/>
        </w:rPr>
        <w:t xml:space="preserve">בעניינינו מצאתי כי מתקיים "מבחן הקשר ההדוק" בין העבירות שביצעה הנאשמת, בשל סמיכות הזמנים בין האירועים, הדמיון בעבירה ומכך שהמעשים נובעים מתוכנית עבריינית אחת. אציין כי אף הצדדים טענו לקיומו של מתחם עונש הולם אחד. </w:t>
      </w:r>
    </w:p>
    <w:p w14:paraId="5C340E7C" w14:textId="77777777" w:rsidR="00C37CDE" w:rsidRDefault="00C37CDE" w:rsidP="00C37CDE">
      <w:pPr>
        <w:pStyle w:val="a9"/>
        <w:rPr>
          <w:sz w:val="24"/>
          <w:szCs w:val="24"/>
        </w:rPr>
      </w:pPr>
      <w:r>
        <w:rPr>
          <w:sz w:val="24"/>
          <w:szCs w:val="24"/>
          <w:rtl/>
        </w:rPr>
        <w:t xml:space="preserve">בנסיבות אלה, אקבע מתחם ענישה יחיד. </w:t>
      </w:r>
    </w:p>
    <w:p w14:paraId="541C9BBD" w14:textId="77777777" w:rsidR="00C37CDE" w:rsidRDefault="00C37CDE" w:rsidP="00C37CDE">
      <w:pPr>
        <w:spacing w:line="360" w:lineRule="auto"/>
        <w:rPr>
          <w:rFonts w:ascii="Calibri" w:eastAsia="Calibri" w:hAnsi="Calibri"/>
          <w:b/>
          <w:bCs/>
          <w:rtl/>
        </w:rPr>
      </w:pPr>
    </w:p>
    <w:p w14:paraId="688F82B1" w14:textId="77777777" w:rsidR="00C37CDE" w:rsidRDefault="00C37CDE" w:rsidP="00C37CDE">
      <w:pPr>
        <w:pStyle w:val="a9"/>
        <w:numPr>
          <w:ilvl w:val="0"/>
          <w:numId w:val="1"/>
        </w:numPr>
        <w:rPr>
          <w:b/>
          <w:bCs/>
          <w:sz w:val="24"/>
          <w:szCs w:val="24"/>
          <w:rtl/>
        </w:rPr>
      </w:pPr>
      <w:r>
        <w:rPr>
          <w:b/>
          <w:bCs/>
          <w:sz w:val="24"/>
          <w:szCs w:val="24"/>
          <w:rtl/>
        </w:rPr>
        <w:t xml:space="preserve">בשים לב למכלול הנתונים והשיקולים שפורטו לעיל, אני סבורה כי מתחם העונש ההולם,  בגין שלושת האישומים יחד, נע בין מספר חודשי מאסר בדרך של עבודות שירות לבין 20 חודשי מאסר בפועל, לצד ענישה נלווית. </w:t>
      </w:r>
    </w:p>
    <w:p w14:paraId="6495A2C1" w14:textId="77777777" w:rsidR="00C37CDE" w:rsidRDefault="00C37CDE" w:rsidP="00C37CDE">
      <w:pPr>
        <w:spacing w:line="360" w:lineRule="auto"/>
        <w:rPr>
          <w:rFonts w:ascii="Calibri" w:eastAsia="Calibri" w:hAnsi="Calibri"/>
          <w:b/>
          <w:bCs/>
        </w:rPr>
      </w:pPr>
    </w:p>
    <w:p w14:paraId="5B91B9E0" w14:textId="77777777" w:rsidR="00C37CDE" w:rsidRDefault="00C37CDE" w:rsidP="00C37CDE">
      <w:pPr>
        <w:spacing w:line="360" w:lineRule="auto"/>
        <w:ind w:firstLine="360"/>
        <w:rPr>
          <w:rFonts w:ascii="Calibri" w:eastAsia="Calibri" w:hAnsi="Calibri"/>
          <w:b/>
          <w:bCs/>
          <w:rtl/>
        </w:rPr>
      </w:pPr>
      <w:r>
        <w:rPr>
          <w:rFonts w:ascii="Calibri" w:eastAsia="Calibri" w:hAnsi="Calibri"/>
          <w:b/>
          <w:bCs/>
          <w:rtl/>
        </w:rPr>
        <w:t xml:space="preserve">עונשה של הנאשמת </w:t>
      </w:r>
    </w:p>
    <w:p w14:paraId="0094B892" w14:textId="77777777" w:rsidR="00C37CDE" w:rsidRDefault="00C37CDE" w:rsidP="00C37CDE">
      <w:pPr>
        <w:pStyle w:val="a9"/>
        <w:numPr>
          <w:ilvl w:val="0"/>
          <w:numId w:val="1"/>
        </w:numPr>
        <w:rPr>
          <w:sz w:val="24"/>
          <w:szCs w:val="24"/>
          <w:rtl/>
        </w:rPr>
      </w:pPr>
      <w:r>
        <w:rPr>
          <w:sz w:val="24"/>
          <w:szCs w:val="24"/>
          <w:rtl/>
        </w:rPr>
        <w:t>ההגנה עתרה כי בית המשפט יחרוג לקולה ממתחם העונש ההולם, מטעמי שיקום, עד כדי הסתפקות בהשתת עונש של עבודות שרות. לא מצאתי הצדק להיעתר לעתירה זו. ואנמק.</w:t>
      </w:r>
    </w:p>
    <w:p w14:paraId="6479659F" w14:textId="77777777" w:rsidR="00C37CDE" w:rsidRDefault="00C37CDE" w:rsidP="00C37CDE">
      <w:pPr>
        <w:spacing w:line="360" w:lineRule="auto"/>
        <w:rPr>
          <w:rFonts w:ascii="Calibri" w:eastAsia="Calibri" w:hAnsi="Calibri"/>
          <w:rtl/>
        </w:rPr>
      </w:pPr>
    </w:p>
    <w:p w14:paraId="203C6187" w14:textId="77777777" w:rsidR="00C37CDE" w:rsidRDefault="00C37CDE" w:rsidP="00C37CDE">
      <w:pPr>
        <w:pStyle w:val="a9"/>
        <w:numPr>
          <w:ilvl w:val="0"/>
          <w:numId w:val="1"/>
        </w:numPr>
        <w:rPr>
          <w:sz w:val="24"/>
          <w:szCs w:val="24"/>
          <w:rtl/>
        </w:rPr>
      </w:pPr>
      <w:r>
        <w:rPr>
          <w:sz w:val="24"/>
          <w:szCs w:val="24"/>
          <w:rtl/>
        </w:rPr>
        <w:t>כידוע, מוסמך בית המשפט לסטות לקולה ממתחם הענישה ההולם אם "</w:t>
      </w:r>
      <w:r>
        <w:rPr>
          <w:b/>
          <w:bCs/>
          <w:sz w:val="24"/>
          <w:szCs w:val="24"/>
          <w:rtl/>
        </w:rPr>
        <w:t>מצא כי הנאשם השתקם או שיש סיכוי של ממש שישתקם</w:t>
      </w:r>
      <w:r>
        <w:rPr>
          <w:sz w:val="24"/>
          <w:szCs w:val="24"/>
          <w:rtl/>
        </w:rPr>
        <w:t xml:space="preserve">", כאמור בסעיף </w:t>
      </w:r>
      <w:hyperlink r:id="rId44" w:history="1">
        <w:r w:rsidR="00F551A6" w:rsidRPr="00F551A6">
          <w:rPr>
            <w:rStyle w:val="Hyperlink"/>
            <w:sz w:val="24"/>
            <w:szCs w:val="24"/>
            <w:rtl/>
          </w:rPr>
          <w:t>40 ד'</w:t>
        </w:r>
      </w:hyperlink>
      <w:r>
        <w:rPr>
          <w:sz w:val="24"/>
          <w:szCs w:val="24"/>
          <w:rtl/>
        </w:rPr>
        <w:t xml:space="preserve"> ל</w:t>
      </w:r>
      <w:hyperlink r:id="rId45" w:history="1">
        <w:r w:rsidR="00FA6D3B" w:rsidRPr="00FA6D3B">
          <w:rPr>
            <w:rFonts w:hint="cs"/>
            <w:color w:val="0000FF"/>
            <w:sz w:val="24"/>
            <w:szCs w:val="24"/>
            <w:u w:val="single"/>
            <w:rtl/>
          </w:rPr>
          <w:t>חוק</w:t>
        </w:r>
        <w:r w:rsidR="00FA6D3B" w:rsidRPr="00FA6D3B">
          <w:rPr>
            <w:color w:val="0000FF"/>
            <w:sz w:val="24"/>
            <w:szCs w:val="24"/>
            <w:u w:val="single"/>
            <w:rtl/>
          </w:rPr>
          <w:t xml:space="preserve"> </w:t>
        </w:r>
        <w:r w:rsidR="00FA6D3B" w:rsidRPr="00FA6D3B">
          <w:rPr>
            <w:rFonts w:hint="cs"/>
            <w:color w:val="0000FF"/>
            <w:sz w:val="24"/>
            <w:szCs w:val="24"/>
            <w:u w:val="single"/>
            <w:rtl/>
          </w:rPr>
          <w:t>העונשין</w:t>
        </w:r>
      </w:hyperlink>
      <w:r>
        <w:rPr>
          <w:sz w:val="24"/>
          <w:szCs w:val="24"/>
          <w:rtl/>
        </w:rPr>
        <w:t xml:space="preserve">. </w:t>
      </w:r>
    </w:p>
    <w:p w14:paraId="4776320A" w14:textId="77777777" w:rsidR="00C37CDE" w:rsidRDefault="00C37CDE" w:rsidP="00C37CDE">
      <w:pPr>
        <w:spacing w:line="360" w:lineRule="auto"/>
        <w:rPr>
          <w:rFonts w:ascii="Calibri" w:eastAsia="Calibri" w:hAnsi="Calibri"/>
          <w:rtl/>
        </w:rPr>
      </w:pPr>
    </w:p>
    <w:p w14:paraId="1C6A73BD" w14:textId="77777777" w:rsidR="00C37CDE" w:rsidRDefault="00C37CDE" w:rsidP="00C37CDE">
      <w:pPr>
        <w:pStyle w:val="a9"/>
        <w:numPr>
          <w:ilvl w:val="0"/>
          <w:numId w:val="1"/>
        </w:numPr>
        <w:rPr>
          <w:sz w:val="24"/>
          <w:szCs w:val="24"/>
          <w:rtl/>
        </w:rPr>
      </w:pPr>
      <w:r>
        <w:rPr>
          <w:sz w:val="24"/>
          <w:szCs w:val="24"/>
          <w:rtl/>
        </w:rPr>
        <w:t xml:space="preserve">אינני מקלה ראש בכך שהנאשמת שולבה, לאחר שהופנתה לעשות כן על ידי שירות המבחן, בהליך תרופתי לאיזון מצבה הנפשי. טיפול רפואי זה מצדיק התחשבות ממשית, וכך גם כלל נסיבותיה האישיות של הנאשמת. עם זאת, בענייננו לא מצאתי כי יש בכך כדי להוות הליך שיקומי במובנו </w:t>
      </w:r>
      <w:hyperlink r:id="rId46" w:history="1">
        <w:r w:rsidR="00F551A6" w:rsidRPr="00F551A6">
          <w:rPr>
            <w:rStyle w:val="Hyperlink"/>
            <w:sz w:val="24"/>
            <w:szCs w:val="24"/>
            <w:rtl/>
          </w:rPr>
          <w:t>בסעיף 40ד'</w:t>
        </w:r>
      </w:hyperlink>
      <w:r>
        <w:rPr>
          <w:sz w:val="24"/>
          <w:szCs w:val="24"/>
          <w:rtl/>
        </w:rPr>
        <w:t xml:space="preserve"> ל</w:t>
      </w:r>
      <w:hyperlink r:id="rId47" w:history="1">
        <w:r w:rsidR="00FA6D3B" w:rsidRPr="00FA6D3B">
          <w:rPr>
            <w:rFonts w:hint="cs"/>
            <w:color w:val="0000FF"/>
            <w:sz w:val="24"/>
            <w:szCs w:val="24"/>
            <w:u w:val="single"/>
            <w:rtl/>
          </w:rPr>
          <w:t>חוק</w:t>
        </w:r>
        <w:r w:rsidR="00FA6D3B" w:rsidRPr="00FA6D3B">
          <w:rPr>
            <w:color w:val="0000FF"/>
            <w:sz w:val="24"/>
            <w:szCs w:val="24"/>
            <w:u w:val="single"/>
            <w:rtl/>
          </w:rPr>
          <w:t xml:space="preserve"> </w:t>
        </w:r>
        <w:r w:rsidR="00FA6D3B" w:rsidRPr="00FA6D3B">
          <w:rPr>
            <w:rFonts w:hint="cs"/>
            <w:color w:val="0000FF"/>
            <w:sz w:val="24"/>
            <w:szCs w:val="24"/>
            <w:u w:val="single"/>
            <w:rtl/>
          </w:rPr>
          <w:t>העונשין</w:t>
        </w:r>
      </w:hyperlink>
      <w:r>
        <w:rPr>
          <w:sz w:val="24"/>
          <w:szCs w:val="24"/>
          <w:rtl/>
        </w:rPr>
        <w:t>, באופן שיש בו להצדיק חריגה ממתחם העונש ההולם כעתירת ההגנה. בנסיבות אלה, לא ניתן לומר כי קיימת הצדקה לחריגה ממתחם העונש ההולם.</w:t>
      </w:r>
    </w:p>
    <w:p w14:paraId="3AE6E5CA" w14:textId="77777777" w:rsidR="00C37CDE" w:rsidRDefault="00C37CDE" w:rsidP="00C37CDE">
      <w:pPr>
        <w:pStyle w:val="a9"/>
        <w:rPr>
          <w:sz w:val="24"/>
          <w:szCs w:val="24"/>
          <w:rtl/>
        </w:rPr>
      </w:pPr>
    </w:p>
    <w:p w14:paraId="470A3ED7" w14:textId="77777777" w:rsidR="00C37CDE" w:rsidRDefault="00C37CDE" w:rsidP="00C37CDE">
      <w:pPr>
        <w:pStyle w:val="a9"/>
        <w:numPr>
          <w:ilvl w:val="0"/>
          <w:numId w:val="1"/>
        </w:numPr>
        <w:rPr>
          <w:sz w:val="24"/>
          <w:szCs w:val="24"/>
          <w:rtl/>
        </w:rPr>
      </w:pPr>
      <w:r>
        <w:rPr>
          <w:sz w:val="24"/>
          <w:szCs w:val="24"/>
          <w:rtl/>
        </w:rPr>
        <w:t xml:space="preserve">יחד עם זאת, יש לזקוף לזכות הנאשמת את נתוניה החיוביים, תיקונו של כתב האישום לקולה באופן משמעותי, גילה הצעיר- כבת 25 ונטילת האחריות. שיקול משמעותי נוסף שיש לתת עליו את הדעת, הוא הפחתת הסיכון הנשקף מהנאשמת בעקבות הטיפול הנפשי אליו פנתה, וקבלת היתר השימוש בקנאביס הרפואי. </w:t>
      </w:r>
    </w:p>
    <w:p w14:paraId="6F198A61" w14:textId="77777777" w:rsidR="00C37CDE" w:rsidRDefault="00C37CDE" w:rsidP="00C37CDE">
      <w:pPr>
        <w:pStyle w:val="a9"/>
        <w:rPr>
          <w:sz w:val="24"/>
          <w:szCs w:val="24"/>
        </w:rPr>
      </w:pPr>
    </w:p>
    <w:p w14:paraId="41DEA7FE" w14:textId="77777777" w:rsidR="00C37CDE" w:rsidRDefault="00C37CDE" w:rsidP="00C37CDE">
      <w:pPr>
        <w:pStyle w:val="a9"/>
        <w:rPr>
          <w:sz w:val="24"/>
          <w:szCs w:val="24"/>
          <w:rtl/>
        </w:rPr>
      </w:pPr>
    </w:p>
    <w:p w14:paraId="15DFA5C0" w14:textId="77777777" w:rsidR="00C37CDE" w:rsidRDefault="00C37CDE" w:rsidP="00C37CDE">
      <w:pPr>
        <w:pStyle w:val="a9"/>
        <w:rPr>
          <w:sz w:val="24"/>
          <w:szCs w:val="24"/>
          <w:rtl/>
        </w:rPr>
      </w:pPr>
      <w:r>
        <w:rPr>
          <w:sz w:val="24"/>
          <w:szCs w:val="24"/>
          <w:rtl/>
        </w:rPr>
        <w:t>כן יש להתחשב גם בהבעת החרטה הכנה ונטילת האחריות למעשיה, להתרשמות החיובית של שירות המבחן, מהבנתה והפנמתה של הנאשמת את חומרת מעשיה, מההרתעה הגבוהה שנלוותה להליך המשפטי, מכך שאינה מתאפיינת בקווים אנטי סוציאליים, מיציבותה  ומאמציה לנהל שגרת חיים תקינה ויצרנית, ובהיותה מחזיקה בשאיפות נורמטיביות לקידום עתידה המקצועי.</w:t>
      </w:r>
    </w:p>
    <w:p w14:paraId="3FE66E7F" w14:textId="77777777" w:rsidR="00C37CDE" w:rsidRDefault="00C37CDE" w:rsidP="00C37CDE">
      <w:pPr>
        <w:spacing w:line="360" w:lineRule="auto"/>
        <w:rPr>
          <w:rFonts w:ascii="Calibri" w:eastAsia="Calibri" w:hAnsi="Calibri"/>
          <w:rtl/>
        </w:rPr>
      </w:pPr>
    </w:p>
    <w:p w14:paraId="0629DD60" w14:textId="77777777" w:rsidR="00C37CDE" w:rsidRDefault="00C37CDE" w:rsidP="00C37CDE">
      <w:pPr>
        <w:spacing w:line="360" w:lineRule="auto"/>
        <w:ind w:left="720"/>
        <w:contextualSpacing/>
        <w:rPr>
          <w:rFonts w:ascii="Calibri" w:eastAsia="Calibri" w:hAnsi="Calibri"/>
          <w:rtl/>
        </w:rPr>
      </w:pPr>
      <w:r>
        <w:rPr>
          <w:rFonts w:ascii="Calibri" w:eastAsia="Calibri" w:hAnsi="Calibri"/>
          <w:rtl/>
        </w:rPr>
        <w:t>עוד, ערה אני לכך כי הנאשמת שהתה תקופה ממושכת בתנאים מגבילים מבלי שהפרה את תנאי שחרורה.</w:t>
      </w:r>
    </w:p>
    <w:p w14:paraId="0F1E5A2F" w14:textId="77777777" w:rsidR="00C37CDE" w:rsidRDefault="00C37CDE" w:rsidP="00C37CDE">
      <w:pPr>
        <w:spacing w:line="360" w:lineRule="auto"/>
        <w:ind w:left="720"/>
        <w:contextualSpacing/>
        <w:rPr>
          <w:rFonts w:ascii="Calibri" w:eastAsia="Calibri" w:hAnsi="Calibri"/>
          <w:rtl/>
        </w:rPr>
      </w:pPr>
    </w:p>
    <w:p w14:paraId="1A767A4B" w14:textId="77777777" w:rsidR="00C37CDE" w:rsidRDefault="00C37CDE" w:rsidP="00C37CDE">
      <w:pPr>
        <w:spacing w:line="360" w:lineRule="auto"/>
        <w:ind w:left="720"/>
        <w:contextualSpacing/>
        <w:rPr>
          <w:rFonts w:ascii="Calibri" w:eastAsia="Calibri" w:hAnsi="Calibri"/>
          <w:rtl/>
        </w:rPr>
      </w:pPr>
      <w:r>
        <w:rPr>
          <w:rFonts w:ascii="Calibri" w:eastAsia="Calibri" w:hAnsi="Calibri"/>
          <w:rtl/>
        </w:rPr>
        <w:t xml:space="preserve">סיכומו של דבר, נוכח כלל הנסיבות מצאתי כי יש להעמיד את עונשה של הנאשמת בתחתית מתחם הענישה ההולם שנקבע, מתוך תקווה כי יהיה די בכך כדי להרתיעה ואחרים כמותה, מביצוע מעשים דומים בעתיד. </w:t>
      </w:r>
    </w:p>
    <w:p w14:paraId="4E3E5215" w14:textId="77777777" w:rsidR="00C37CDE" w:rsidRDefault="00C37CDE" w:rsidP="00C37CDE">
      <w:pPr>
        <w:spacing w:line="360" w:lineRule="auto"/>
        <w:rPr>
          <w:rFonts w:ascii="Calibri" w:eastAsia="Calibri" w:hAnsi="Calibri"/>
          <w:rtl/>
        </w:rPr>
      </w:pPr>
    </w:p>
    <w:p w14:paraId="47DFCA5E" w14:textId="77777777" w:rsidR="00C37CDE" w:rsidRDefault="00C37CDE" w:rsidP="00C37CDE">
      <w:pPr>
        <w:spacing w:line="360" w:lineRule="auto"/>
        <w:ind w:firstLine="360"/>
        <w:rPr>
          <w:rFonts w:ascii="Calibri" w:eastAsia="Calibri" w:hAnsi="Calibri"/>
          <w:b/>
          <w:bCs/>
          <w:u w:val="single"/>
          <w:rtl/>
        </w:rPr>
      </w:pPr>
      <w:r>
        <w:rPr>
          <w:rFonts w:ascii="Calibri" w:eastAsia="Calibri" w:hAnsi="Calibri"/>
          <w:b/>
          <w:bCs/>
          <w:u w:val="single"/>
          <w:rtl/>
        </w:rPr>
        <w:t>סוף דבר</w:t>
      </w:r>
    </w:p>
    <w:p w14:paraId="6F6350B6" w14:textId="77777777" w:rsidR="00C37CDE" w:rsidRDefault="00C37CDE" w:rsidP="00C37CDE">
      <w:pPr>
        <w:pStyle w:val="a9"/>
        <w:numPr>
          <w:ilvl w:val="0"/>
          <w:numId w:val="1"/>
        </w:numPr>
        <w:rPr>
          <w:sz w:val="24"/>
          <w:szCs w:val="24"/>
          <w:rtl/>
        </w:rPr>
      </w:pPr>
      <w:r>
        <w:rPr>
          <w:sz w:val="24"/>
          <w:szCs w:val="24"/>
          <w:rtl/>
        </w:rPr>
        <w:t>נוכח כל האמור עד כה, אני גוזרת על הנאשמת את העונשים הבאים:</w:t>
      </w:r>
    </w:p>
    <w:p w14:paraId="501C4AC8" w14:textId="77777777" w:rsidR="00C37CDE" w:rsidRDefault="00C37CDE" w:rsidP="00C37CDE">
      <w:pPr>
        <w:numPr>
          <w:ilvl w:val="0"/>
          <w:numId w:val="5"/>
        </w:numPr>
        <w:spacing w:after="160" w:line="360" w:lineRule="auto"/>
        <w:ind w:left="1080" w:right="0"/>
        <w:contextualSpacing/>
        <w:jc w:val="both"/>
        <w:rPr>
          <w:rtl/>
        </w:rPr>
      </w:pPr>
      <w:r>
        <w:rPr>
          <w:rtl/>
        </w:rPr>
        <w:t>מאסר לתקופה של 9 חודשים . עונש המאסר ירוצה בדרך של עבודות שירות.</w:t>
      </w:r>
    </w:p>
    <w:p w14:paraId="686DAD73" w14:textId="77777777" w:rsidR="00C37CDE" w:rsidRDefault="00C37CDE" w:rsidP="00C37CDE">
      <w:pPr>
        <w:spacing w:line="360" w:lineRule="auto"/>
        <w:ind w:left="1080"/>
        <w:contextualSpacing/>
        <w:jc w:val="both"/>
        <w:rPr>
          <w:rtl/>
        </w:rPr>
      </w:pPr>
      <w:r>
        <w:rPr>
          <w:rtl/>
        </w:rPr>
        <w:t xml:space="preserve">על הנאשמת להתייצב לתחילת ריצוי העונש ביום 29.2.24 בשעה 08:00 בבוקר ביחידת ברקאי-עבודות שירות-שלוחת מרכז, רחוב לוחמי בית"ר 6, רמלה. </w:t>
      </w:r>
    </w:p>
    <w:p w14:paraId="52A409F7" w14:textId="77777777" w:rsidR="00C37CDE" w:rsidRDefault="00C37CDE" w:rsidP="00C37CDE">
      <w:pPr>
        <w:spacing w:line="360" w:lineRule="auto"/>
        <w:ind w:left="1080"/>
        <w:contextualSpacing/>
        <w:jc w:val="both"/>
      </w:pPr>
      <w:r>
        <w:rPr>
          <w:rFonts w:hint="cs"/>
          <w:rtl/>
        </w:rPr>
        <w:t xml:space="preserve">מובהר לנאשמת כי היה ולא תשלים מכל סיבה שהיא את עבודות השירות, תמשיך ותרצה את העונש מאחורי סורג ובריח. </w:t>
      </w:r>
    </w:p>
    <w:p w14:paraId="7A1F25DD" w14:textId="77777777" w:rsidR="00C37CDE" w:rsidRDefault="00C37CDE" w:rsidP="00C37CDE">
      <w:pPr>
        <w:spacing w:line="360" w:lineRule="auto"/>
        <w:ind w:left="1080"/>
        <w:contextualSpacing/>
        <w:jc w:val="both"/>
        <w:rPr>
          <w:rtl/>
        </w:rPr>
      </w:pPr>
    </w:p>
    <w:p w14:paraId="17FC8706" w14:textId="77777777" w:rsidR="00C37CDE" w:rsidRDefault="00C37CDE" w:rsidP="00C37CDE">
      <w:pPr>
        <w:numPr>
          <w:ilvl w:val="0"/>
          <w:numId w:val="5"/>
        </w:numPr>
        <w:spacing w:after="160" w:line="360" w:lineRule="auto"/>
        <w:ind w:left="1080" w:right="0"/>
        <w:contextualSpacing/>
        <w:jc w:val="both"/>
        <w:rPr>
          <w:rtl/>
        </w:rPr>
      </w:pPr>
      <w:r>
        <w:rPr>
          <w:rtl/>
        </w:rPr>
        <w:t xml:space="preserve">מאסר למשך 8 חודשים והנאשמת לא תשא עונש זה אלא אם תעבור בתוך 3 שנים מהיום כל עבירה לפי </w:t>
      </w:r>
      <w:hyperlink r:id="rId48" w:history="1">
        <w:r w:rsidR="00FA6D3B" w:rsidRPr="00FA6D3B">
          <w:rPr>
            <w:color w:val="0000FF"/>
            <w:u w:val="single"/>
            <w:rtl/>
          </w:rPr>
          <w:t>פקודת הסמים המסוכנים</w:t>
        </w:r>
      </w:hyperlink>
      <w:r>
        <w:rPr>
          <w:rtl/>
        </w:rPr>
        <w:t xml:space="preserve"> מסוג פשע. </w:t>
      </w:r>
    </w:p>
    <w:p w14:paraId="4DD4AED8" w14:textId="77777777" w:rsidR="00C37CDE" w:rsidRDefault="00C37CDE" w:rsidP="00C37CDE">
      <w:pPr>
        <w:spacing w:line="360" w:lineRule="auto"/>
      </w:pPr>
    </w:p>
    <w:p w14:paraId="7344811D" w14:textId="77777777" w:rsidR="00C37CDE" w:rsidRDefault="00C37CDE" w:rsidP="00C37CDE">
      <w:pPr>
        <w:numPr>
          <w:ilvl w:val="0"/>
          <w:numId w:val="5"/>
        </w:numPr>
        <w:spacing w:after="160" w:line="360" w:lineRule="auto"/>
        <w:ind w:left="1080" w:right="0"/>
        <w:contextualSpacing/>
        <w:jc w:val="both"/>
      </w:pPr>
      <w:r>
        <w:rPr>
          <w:rtl/>
        </w:rPr>
        <w:t xml:space="preserve">מאסר למשך 5 חודשים והנאשמת לא תשא עונש זה אלא אם תעבור בתוך 3 שנים מהיום כל עבירה לפי </w:t>
      </w:r>
      <w:hyperlink r:id="rId49" w:history="1">
        <w:r w:rsidR="00FA6D3B" w:rsidRPr="00FA6D3B">
          <w:rPr>
            <w:color w:val="0000FF"/>
            <w:u w:val="single"/>
            <w:rtl/>
          </w:rPr>
          <w:t>פקודת הסמים המסוכנים</w:t>
        </w:r>
      </w:hyperlink>
      <w:r>
        <w:rPr>
          <w:rtl/>
        </w:rPr>
        <w:t xml:space="preserve"> מסוג עוון.</w:t>
      </w:r>
    </w:p>
    <w:p w14:paraId="261A1DEA" w14:textId="77777777" w:rsidR="00C37CDE" w:rsidRDefault="00C37CDE" w:rsidP="00C37CDE">
      <w:pPr>
        <w:spacing w:line="360" w:lineRule="auto"/>
        <w:rPr>
          <w:rtl/>
        </w:rPr>
      </w:pPr>
    </w:p>
    <w:p w14:paraId="52FA4E88" w14:textId="77777777" w:rsidR="00C37CDE" w:rsidRDefault="00C37CDE" w:rsidP="00C37CDE">
      <w:pPr>
        <w:numPr>
          <w:ilvl w:val="0"/>
          <w:numId w:val="5"/>
        </w:numPr>
        <w:spacing w:after="160" w:line="360" w:lineRule="auto"/>
        <w:ind w:left="1080" w:right="0"/>
        <w:contextualSpacing/>
        <w:jc w:val="both"/>
        <w:rPr>
          <w:rtl/>
        </w:rPr>
      </w:pPr>
      <w:r>
        <w:rPr>
          <w:rtl/>
        </w:rPr>
        <w:t>קנס בסך 3500 ₪ או 60 ימי מאסר תמורתו.</w:t>
      </w:r>
    </w:p>
    <w:p w14:paraId="67A39DE8" w14:textId="77777777" w:rsidR="00C37CDE" w:rsidRDefault="00C37CDE" w:rsidP="00C37CDE">
      <w:pPr>
        <w:spacing w:line="360" w:lineRule="auto"/>
        <w:ind w:left="1080"/>
        <w:contextualSpacing/>
        <w:rPr>
          <w:rtl/>
        </w:rPr>
      </w:pPr>
      <w:r>
        <w:rPr>
          <w:rtl/>
        </w:rPr>
        <w:t>הקנס ישולם ב-7 תשלומים שווים ורצופים, החל מיום 1.</w:t>
      </w:r>
      <w:r>
        <w:rPr>
          <w:rFonts w:hint="cs"/>
          <w:rtl/>
        </w:rPr>
        <w:t>1</w:t>
      </w:r>
      <w:r>
        <w:rPr>
          <w:rtl/>
        </w:rPr>
        <w:t>.</w:t>
      </w:r>
      <w:r>
        <w:rPr>
          <w:rFonts w:hint="cs"/>
          <w:rtl/>
        </w:rPr>
        <w:t>24</w:t>
      </w:r>
      <w:r>
        <w:rPr>
          <w:rtl/>
        </w:rPr>
        <w:t xml:space="preserve"> וב-1 לכל חודש שלאחריו.  </w:t>
      </w:r>
    </w:p>
    <w:p w14:paraId="0AEDB9B5" w14:textId="77777777" w:rsidR="00C37CDE" w:rsidRDefault="00C37CDE" w:rsidP="00C37CDE">
      <w:pPr>
        <w:spacing w:line="360" w:lineRule="auto"/>
        <w:ind w:left="1080"/>
        <w:contextualSpacing/>
        <w:rPr>
          <w:rtl/>
        </w:rPr>
      </w:pPr>
      <w:r>
        <w:rPr>
          <w:rtl/>
        </w:rPr>
        <w:t xml:space="preserve">באם תשלום אחד מן התשלומים לא יפרע במועדו, תעמוד היתרה לפירעון מידי ותועבר לגבייה באמצעות המרכז לגביית קנסות. הנאשם מתבקש לגשת למזכירות בית המשפט לקבלת הוראות בעניין התשלום.  </w:t>
      </w:r>
    </w:p>
    <w:p w14:paraId="5CFA01DC" w14:textId="77777777" w:rsidR="00C37CDE" w:rsidRDefault="00C37CDE" w:rsidP="00C37CDE">
      <w:pPr>
        <w:spacing w:line="360" w:lineRule="auto"/>
        <w:rPr>
          <w:rtl/>
        </w:rPr>
      </w:pPr>
    </w:p>
    <w:p w14:paraId="7E263C18" w14:textId="77777777" w:rsidR="00C37CDE" w:rsidRDefault="00C37CDE" w:rsidP="00C37CDE">
      <w:pPr>
        <w:spacing w:line="360" w:lineRule="auto"/>
        <w:rPr>
          <w:b/>
          <w:bCs/>
          <w:u w:val="single"/>
          <w:rtl/>
        </w:rPr>
      </w:pPr>
    </w:p>
    <w:p w14:paraId="1BDC697F" w14:textId="77777777" w:rsidR="00C37CDE" w:rsidRDefault="00C37CDE" w:rsidP="00C37CDE">
      <w:pPr>
        <w:spacing w:line="360" w:lineRule="auto"/>
        <w:rPr>
          <w:b/>
          <w:bCs/>
          <w:u w:val="single"/>
          <w:rtl/>
        </w:rPr>
      </w:pPr>
      <w:r>
        <w:rPr>
          <w:b/>
          <w:bCs/>
          <w:u w:val="single"/>
          <w:rtl/>
        </w:rPr>
        <w:t xml:space="preserve">צו להשמדת הסמים והמוצגים. </w:t>
      </w:r>
    </w:p>
    <w:p w14:paraId="71C7DB84" w14:textId="77777777" w:rsidR="00C37CDE" w:rsidRDefault="00C37CDE" w:rsidP="00C37CDE">
      <w:pPr>
        <w:spacing w:line="360" w:lineRule="auto"/>
        <w:rPr>
          <w:rtl/>
        </w:rPr>
      </w:pPr>
    </w:p>
    <w:p w14:paraId="1B3D4181" w14:textId="77777777" w:rsidR="00C37CDE" w:rsidRDefault="00C37CDE" w:rsidP="00C37CDE">
      <w:pPr>
        <w:spacing w:line="360" w:lineRule="auto"/>
        <w:rPr>
          <w:rtl/>
        </w:rPr>
      </w:pPr>
      <w:r>
        <w:rPr>
          <w:rFonts w:hint="cs"/>
          <w:rtl/>
        </w:rPr>
        <w:t xml:space="preserve">המזכירות תשלח עותק גזר הדין לממונה על עבודות השירות ולשירות המבחן. </w:t>
      </w:r>
    </w:p>
    <w:p w14:paraId="1806B0BB" w14:textId="77777777" w:rsidR="00C37CDE" w:rsidRPr="00FA6D3B" w:rsidRDefault="00FA6D3B" w:rsidP="00C37CDE">
      <w:pPr>
        <w:spacing w:line="360" w:lineRule="auto"/>
        <w:rPr>
          <w:color w:val="FFFFFF"/>
          <w:sz w:val="2"/>
          <w:szCs w:val="2"/>
          <w:rtl/>
        </w:rPr>
      </w:pPr>
      <w:r w:rsidRPr="00FA6D3B">
        <w:rPr>
          <w:color w:val="FFFFFF"/>
          <w:sz w:val="2"/>
          <w:szCs w:val="2"/>
          <w:rtl/>
        </w:rPr>
        <w:t>5129371</w:t>
      </w:r>
    </w:p>
    <w:p w14:paraId="53B6B89E" w14:textId="77777777" w:rsidR="00C37CDE" w:rsidRDefault="00FA6D3B" w:rsidP="00C37CDE">
      <w:pPr>
        <w:spacing w:line="360" w:lineRule="auto"/>
        <w:rPr>
          <w:b/>
          <w:bCs/>
          <w:u w:val="single"/>
          <w:rtl/>
        </w:rPr>
      </w:pPr>
      <w:r w:rsidRPr="00FA6D3B">
        <w:rPr>
          <w:b/>
          <w:bCs/>
          <w:color w:val="FFFFFF"/>
          <w:sz w:val="2"/>
          <w:szCs w:val="2"/>
          <w:u w:val="single"/>
          <w:rtl/>
        </w:rPr>
        <w:t>54678313</w:t>
      </w:r>
      <w:r w:rsidR="00C37CDE">
        <w:rPr>
          <w:b/>
          <w:bCs/>
          <w:u w:val="single"/>
          <w:rtl/>
        </w:rPr>
        <w:t>זכות ערעור כחוק בתוך 45 יום מהיום.</w:t>
      </w:r>
    </w:p>
    <w:p w14:paraId="23D57891" w14:textId="77777777" w:rsidR="00C37CDE" w:rsidRPr="002B7D23" w:rsidRDefault="00C37CDE" w:rsidP="00C37CDE">
      <w:pPr>
        <w:spacing w:line="360" w:lineRule="auto"/>
        <w:rPr>
          <w:rFonts w:ascii="David" w:hAnsi="David"/>
          <w:sz w:val="26"/>
          <w:szCs w:val="26"/>
          <w:rtl/>
        </w:rPr>
      </w:pPr>
    </w:p>
    <w:p w14:paraId="4F7F0D1F" w14:textId="77777777" w:rsidR="00C37CDE" w:rsidRPr="002B7D23" w:rsidRDefault="00FA6D3B" w:rsidP="00C37CDE">
      <w:pPr>
        <w:rPr>
          <w:rFonts w:ascii="David" w:hAnsi="David"/>
          <w:sz w:val="26"/>
          <w:szCs w:val="26"/>
          <w:rtl/>
        </w:rPr>
      </w:pPr>
      <w:bookmarkStart w:id="8" w:name="Nitan"/>
      <w:r>
        <w:rPr>
          <w:rFonts w:ascii="David" w:hAnsi="David"/>
          <w:sz w:val="26"/>
          <w:szCs w:val="26"/>
          <w:rtl/>
        </w:rPr>
        <w:t xml:space="preserve">ניתן היום,  א' טבת תשפ"ד, 13 דצמבר 2023, בנוכחות ב"כ הצדדים והנאשמת. </w:t>
      </w:r>
      <w:bookmarkEnd w:id="8"/>
    </w:p>
    <w:p w14:paraId="58272BD0" w14:textId="77777777" w:rsidR="00C37CDE" w:rsidRPr="002B7D23" w:rsidRDefault="00C37CDE" w:rsidP="00FA6D3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1C8A453" w14:textId="77777777" w:rsidR="00C37CDE" w:rsidRPr="00F551A6" w:rsidRDefault="00F551A6" w:rsidP="00C37CDE">
      <w:pPr>
        <w:jc w:val="center"/>
        <w:rPr>
          <w:rFonts w:ascii="David" w:hAnsi="David"/>
          <w:color w:val="FFFFFF"/>
          <w:sz w:val="2"/>
          <w:szCs w:val="2"/>
          <w:rtl/>
        </w:rPr>
      </w:pPr>
      <w:r w:rsidRPr="00F551A6">
        <w:rPr>
          <w:rFonts w:ascii="David" w:hAnsi="David"/>
          <w:color w:val="FFFFFF"/>
          <w:sz w:val="2"/>
          <w:szCs w:val="2"/>
          <w:rtl/>
        </w:rPr>
        <w:t>5129371</w:t>
      </w:r>
    </w:p>
    <w:p w14:paraId="3954F538" w14:textId="77777777" w:rsidR="00144280" w:rsidRPr="00F551A6" w:rsidRDefault="00F551A6" w:rsidP="00FA6D3B">
      <w:pPr>
        <w:keepNext/>
        <w:rPr>
          <w:rFonts w:ascii="David" w:hAnsi="David"/>
          <w:color w:val="FFFFFF"/>
          <w:sz w:val="2"/>
          <w:szCs w:val="2"/>
          <w:rtl/>
        </w:rPr>
      </w:pPr>
      <w:r w:rsidRPr="00F551A6">
        <w:rPr>
          <w:rFonts w:ascii="David" w:hAnsi="David"/>
          <w:color w:val="FFFFFF"/>
          <w:sz w:val="2"/>
          <w:szCs w:val="2"/>
          <w:rtl/>
        </w:rPr>
        <w:t>54678313</w:t>
      </w:r>
    </w:p>
    <w:p w14:paraId="0B5042EF" w14:textId="77777777" w:rsidR="00FA6D3B" w:rsidRPr="00FA6D3B" w:rsidRDefault="00FA6D3B" w:rsidP="00FA6D3B">
      <w:pPr>
        <w:keepNext/>
        <w:rPr>
          <w:rFonts w:ascii="David" w:hAnsi="David"/>
          <w:color w:val="000000"/>
          <w:sz w:val="22"/>
          <w:szCs w:val="22"/>
          <w:rtl/>
        </w:rPr>
      </w:pPr>
      <w:r w:rsidRPr="00FA6D3B">
        <w:rPr>
          <w:rFonts w:ascii="David" w:hAnsi="David"/>
          <w:color w:val="000000"/>
          <w:sz w:val="22"/>
          <w:szCs w:val="22"/>
          <w:rtl/>
        </w:rPr>
        <w:t>טל אוסטפלד נאוי 54678313</w:t>
      </w:r>
    </w:p>
    <w:p w14:paraId="21247948" w14:textId="77777777" w:rsidR="00FA6D3B" w:rsidRDefault="00FA6D3B" w:rsidP="00FA6D3B">
      <w:r w:rsidRPr="00FA6D3B">
        <w:rPr>
          <w:color w:val="000000"/>
          <w:rtl/>
        </w:rPr>
        <w:t>נוסח מסמך זה כפוף לשינויי ניסוח ועריכה</w:t>
      </w:r>
    </w:p>
    <w:p w14:paraId="0F4D8A50" w14:textId="77777777" w:rsidR="00FA6D3B" w:rsidRDefault="00FA6D3B" w:rsidP="00FA6D3B">
      <w:pPr>
        <w:rPr>
          <w:rtl/>
        </w:rPr>
      </w:pPr>
    </w:p>
    <w:p w14:paraId="2CBFD9A8" w14:textId="77777777" w:rsidR="00FA6D3B" w:rsidRDefault="00FA6D3B" w:rsidP="00FA6D3B">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570DDD85" w14:textId="77777777" w:rsidR="00F551A6" w:rsidRPr="00F551A6" w:rsidRDefault="00F551A6" w:rsidP="00F551A6">
      <w:pPr>
        <w:keepNext/>
        <w:rPr>
          <w:rFonts w:ascii="David" w:hAnsi="David"/>
          <w:color w:val="000000"/>
          <w:sz w:val="22"/>
          <w:szCs w:val="22"/>
          <w:rtl/>
        </w:rPr>
      </w:pPr>
    </w:p>
    <w:sectPr w:rsidR="00F551A6" w:rsidRPr="00F551A6" w:rsidSect="00F551A6">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6346B" w14:textId="77777777" w:rsidR="00722533" w:rsidRDefault="00722533" w:rsidP="00A87AB3">
      <w:r>
        <w:separator/>
      </w:r>
    </w:p>
  </w:endnote>
  <w:endnote w:type="continuationSeparator" w:id="0">
    <w:p w14:paraId="68CBD32B" w14:textId="77777777" w:rsidR="00722533" w:rsidRDefault="00722533" w:rsidP="00A8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6C851" w14:textId="77777777" w:rsidR="00F551A6" w:rsidRDefault="00F551A6" w:rsidP="00F551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DF7786" w14:textId="77777777" w:rsidR="00341348" w:rsidRPr="00F551A6" w:rsidRDefault="00F551A6" w:rsidP="00F551A6">
    <w:pPr>
      <w:pStyle w:val="a5"/>
      <w:pBdr>
        <w:top w:val="single" w:sz="4" w:space="1" w:color="auto"/>
        <w:between w:val="single" w:sz="4" w:space="0" w:color="auto"/>
      </w:pBdr>
      <w:spacing w:after="60"/>
      <w:jc w:val="center"/>
      <w:rPr>
        <w:rFonts w:ascii="FrankRuehl" w:hAnsi="FrankRuehl" w:cs="FrankRuehl"/>
        <w:color w:val="000000"/>
      </w:rPr>
    </w:pPr>
    <w:r w:rsidRPr="00F551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0FD04" w14:textId="77777777" w:rsidR="00F551A6" w:rsidRDefault="00F551A6" w:rsidP="00F551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751A">
      <w:rPr>
        <w:rFonts w:ascii="FrankRuehl" w:hAnsi="FrankRuehl" w:cs="FrankRuehl"/>
        <w:noProof/>
        <w:rtl/>
      </w:rPr>
      <w:t>1</w:t>
    </w:r>
    <w:r>
      <w:rPr>
        <w:rFonts w:ascii="FrankRuehl" w:hAnsi="FrankRuehl" w:cs="FrankRuehl"/>
        <w:rtl/>
      </w:rPr>
      <w:fldChar w:fldCharType="end"/>
    </w:r>
  </w:p>
  <w:p w14:paraId="5537522D" w14:textId="77777777" w:rsidR="00341348" w:rsidRPr="00F551A6" w:rsidRDefault="00F551A6" w:rsidP="00F551A6">
    <w:pPr>
      <w:pStyle w:val="a5"/>
      <w:pBdr>
        <w:top w:val="single" w:sz="4" w:space="1" w:color="auto"/>
        <w:between w:val="single" w:sz="4" w:space="0" w:color="auto"/>
      </w:pBdr>
      <w:spacing w:after="60"/>
      <w:jc w:val="center"/>
      <w:rPr>
        <w:rFonts w:ascii="FrankRuehl" w:hAnsi="FrankRuehl" w:cs="FrankRuehl"/>
        <w:color w:val="000000"/>
      </w:rPr>
    </w:pPr>
    <w:r w:rsidRPr="00F551A6">
      <w:rPr>
        <w:rFonts w:ascii="FrankRuehl" w:hAnsi="FrankRuehl" w:cs="FrankRuehl"/>
        <w:color w:val="000000"/>
      </w:rPr>
      <w:pict w14:anchorId="18EF5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7EB8F" w14:textId="77777777" w:rsidR="00722533" w:rsidRDefault="00722533" w:rsidP="00A87AB3">
      <w:r>
        <w:separator/>
      </w:r>
    </w:p>
  </w:footnote>
  <w:footnote w:type="continuationSeparator" w:id="0">
    <w:p w14:paraId="2B4E0AE0" w14:textId="77777777" w:rsidR="00722533" w:rsidRDefault="00722533" w:rsidP="00A87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B8687" w14:textId="77777777" w:rsidR="00FA6D3B" w:rsidRPr="00F551A6" w:rsidRDefault="00F551A6" w:rsidP="00F551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64269-04-21</w:t>
    </w:r>
    <w:r>
      <w:rPr>
        <w:rFonts w:ascii="David" w:hAnsi="David"/>
        <w:color w:val="000000"/>
        <w:sz w:val="22"/>
        <w:szCs w:val="22"/>
        <w:rtl/>
      </w:rPr>
      <w:tab/>
      <w:t xml:space="preserve"> מדינת ישראל נ' מעין היבה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0BE24" w14:textId="77777777" w:rsidR="00FA6D3B" w:rsidRPr="00F551A6" w:rsidRDefault="00F551A6" w:rsidP="00F551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64269-04-21</w:t>
    </w:r>
    <w:r>
      <w:rPr>
        <w:rFonts w:ascii="David" w:hAnsi="David"/>
        <w:color w:val="000000"/>
        <w:sz w:val="22"/>
        <w:szCs w:val="22"/>
        <w:rtl/>
      </w:rPr>
      <w:tab/>
      <w:t xml:space="preserve"> מדינת ישראל נ' מעין היבה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20533"/>
    <w:multiLevelType w:val="hybridMultilevel"/>
    <w:tmpl w:val="53DC7460"/>
    <w:lvl w:ilvl="0" w:tplc="04090013">
      <w:start w:val="1"/>
      <w:numFmt w:val="hebrew1"/>
      <w:lvlText w:val="%1."/>
      <w:lvlJc w:val="center"/>
      <w:pPr>
        <w:ind w:left="720" w:right="1080" w:hanging="360"/>
      </w:pPr>
      <w:rPr>
        <w:rFonts w:cs="Times New Roman"/>
      </w:rPr>
    </w:lvl>
    <w:lvl w:ilvl="1" w:tplc="04090019">
      <w:start w:val="1"/>
      <w:numFmt w:val="lowerLetter"/>
      <w:lvlText w:val="%2."/>
      <w:lvlJc w:val="left"/>
      <w:pPr>
        <w:ind w:left="1440" w:right="1800" w:hanging="360"/>
      </w:pPr>
      <w:rPr>
        <w:rFonts w:cs="Times New Roman"/>
      </w:rPr>
    </w:lvl>
    <w:lvl w:ilvl="2" w:tplc="0409001B">
      <w:start w:val="1"/>
      <w:numFmt w:val="lowerRoman"/>
      <w:lvlText w:val="%3."/>
      <w:lvlJc w:val="right"/>
      <w:pPr>
        <w:ind w:left="2160" w:right="2520" w:hanging="180"/>
      </w:pPr>
      <w:rPr>
        <w:rFonts w:cs="Times New Roman"/>
      </w:rPr>
    </w:lvl>
    <w:lvl w:ilvl="3" w:tplc="0409000F">
      <w:start w:val="1"/>
      <w:numFmt w:val="decimal"/>
      <w:lvlText w:val="%4."/>
      <w:lvlJc w:val="left"/>
      <w:pPr>
        <w:ind w:left="2880" w:right="3240" w:hanging="360"/>
      </w:pPr>
      <w:rPr>
        <w:rFonts w:cs="Times New Roman"/>
      </w:rPr>
    </w:lvl>
    <w:lvl w:ilvl="4" w:tplc="04090019">
      <w:start w:val="1"/>
      <w:numFmt w:val="lowerLetter"/>
      <w:lvlText w:val="%5."/>
      <w:lvlJc w:val="left"/>
      <w:pPr>
        <w:ind w:left="3600" w:right="3960" w:hanging="360"/>
      </w:pPr>
      <w:rPr>
        <w:rFonts w:cs="Times New Roman"/>
      </w:rPr>
    </w:lvl>
    <w:lvl w:ilvl="5" w:tplc="0409001B">
      <w:start w:val="1"/>
      <w:numFmt w:val="lowerRoman"/>
      <w:lvlText w:val="%6."/>
      <w:lvlJc w:val="right"/>
      <w:pPr>
        <w:ind w:left="4320" w:right="4680" w:hanging="180"/>
      </w:pPr>
      <w:rPr>
        <w:rFonts w:cs="Times New Roman"/>
      </w:rPr>
    </w:lvl>
    <w:lvl w:ilvl="6" w:tplc="0409000F">
      <w:start w:val="1"/>
      <w:numFmt w:val="decimal"/>
      <w:lvlText w:val="%7."/>
      <w:lvlJc w:val="left"/>
      <w:pPr>
        <w:ind w:left="5040" w:right="5400" w:hanging="360"/>
      </w:pPr>
      <w:rPr>
        <w:rFonts w:cs="Times New Roman"/>
      </w:rPr>
    </w:lvl>
    <w:lvl w:ilvl="7" w:tplc="04090019">
      <w:start w:val="1"/>
      <w:numFmt w:val="lowerLetter"/>
      <w:lvlText w:val="%8."/>
      <w:lvlJc w:val="left"/>
      <w:pPr>
        <w:ind w:left="5760" w:right="6120" w:hanging="360"/>
      </w:pPr>
      <w:rPr>
        <w:rFonts w:cs="Times New Roman"/>
      </w:rPr>
    </w:lvl>
    <w:lvl w:ilvl="8" w:tplc="0409001B">
      <w:start w:val="1"/>
      <w:numFmt w:val="lowerRoman"/>
      <w:lvlText w:val="%9."/>
      <w:lvlJc w:val="right"/>
      <w:pPr>
        <w:ind w:left="6480" w:right="6840" w:hanging="180"/>
      </w:pPr>
      <w:rPr>
        <w:rFonts w:cs="Times New Roman"/>
      </w:rPr>
    </w:lvl>
  </w:abstractNum>
  <w:abstractNum w:abstractNumId="1" w15:restartNumberingAfterBreak="0">
    <w:nsid w:val="32B74163"/>
    <w:multiLevelType w:val="hybridMultilevel"/>
    <w:tmpl w:val="9A5E7EE4"/>
    <w:lvl w:ilvl="0" w:tplc="57BE6FE8">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2" w15:restartNumberingAfterBreak="0">
    <w:nsid w:val="48C1660E"/>
    <w:multiLevelType w:val="hybridMultilevel"/>
    <w:tmpl w:val="28A24C76"/>
    <w:lvl w:ilvl="0" w:tplc="62B2CA58">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3" w15:restartNumberingAfterBreak="0">
    <w:nsid w:val="5F992D95"/>
    <w:multiLevelType w:val="hybridMultilevel"/>
    <w:tmpl w:val="45AAE190"/>
    <w:lvl w:ilvl="0" w:tplc="FDDA54E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F1D6AF8"/>
    <w:multiLevelType w:val="hybridMultilevel"/>
    <w:tmpl w:val="DF4854FC"/>
    <w:lvl w:ilvl="0" w:tplc="BA886276">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num w:numId="1" w16cid:durableId="4969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6932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23239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6971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164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7CDE"/>
    <w:rsid w:val="0013634E"/>
    <w:rsid w:val="00144280"/>
    <w:rsid w:val="001B5A3B"/>
    <w:rsid w:val="00255B78"/>
    <w:rsid w:val="00341348"/>
    <w:rsid w:val="00483B5F"/>
    <w:rsid w:val="00494F7E"/>
    <w:rsid w:val="005F732A"/>
    <w:rsid w:val="00722533"/>
    <w:rsid w:val="009A1A1A"/>
    <w:rsid w:val="009D751A"/>
    <w:rsid w:val="00A87AB3"/>
    <w:rsid w:val="00C37CDE"/>
    <w:rsid w:val="00C37DD2"/>
    <w:rsid w:val="00E103BF"/>
    <w:rsid w:val="00F551A6"/>
    <w:rsid w:val="00FA6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703213"/>
  <w15:chartTrackingRefBased/>
  <w15:docId w15:val="{99C9D4F4-75A1-4A40-A772-B55E9BE9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7CD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7CDE"/>
    <w:pPr>
      <w:tabs>
        <w:tab w:val="center" w:pos="4153"/>
        <w:tab w:val="right" w:pos="8306"/>
      </w:tabs>
    </w:pPr>
  </w:style>
  <w:style w:type="character" w:customStyle="1" w:styleId="a4">
    <w:name w:val="כותרת עליונה תו"/>
    <w:link w:val="a3"/>
    <w:rsid w:val="00C37CDE"/>
    <w:rPr>
      <w:rFonts w:ascii="Times New Roman" w:eastAsia="Times New Roman" w:hAnsi="Times New Roman" w:cs="David"/>
      <w:sz w:val="24"/>
      <w:szCs w:val="24"/>
    </w:rPr>
  </w:style>
  <w:style w:type="paragraph" w:styleId="a5">
    <w:name w:val="footer"/>
    <w:basedOn w:val="a"/>
    <w:link w:val="a6"/>
    <w:rsid w:val="00C37CDE"/>
    <w:pPr>
      <w:tabs>
        <w:tab w:val="center" w:pos="4153"/>
        <w:tab w:val="right" w:pos="8306"/>
      </w:tabs>
    </w:pPr>
  </w:style>
  <w:style w:type="character" w:customStyle="1" w:styleId="a6">
    <w:name w:val="כותרת תחתונה תו"/>
    <w:link w:val="a5"/>
    <w:rsid w:val="00C37CDE"/>
    <w:rPr>
      <w:rFonts w:ascii="Times New Roman" w:eastAsia="Times New Roman" w:hAnsi="Times New Roman" w:cs="David"/>
      <w:sz w:val="24"/>
      <w:szCs w:val="24"/>
    </w:rPr>
  </w:style>
  <w:style w:type="table" w:styleId="a7">
    <w:name w:val="Table Grid"/>
    <w:basedOn w:val="a1"/>
    <w:rsid w:val="00C37CD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7CDE"/>
  </w:style>
  <w:style w:type="paragraph" w:styleId="a9">
    <w:name w:val="List Paragraph"/>
    <w:basedOn w:val="a"/>
    <w:qFormat/>
    <w:rsid w:val="00C37CDE"/>
    <w:pPr>
      <w:spacing w:after="160" w:line="360" w:lineRule="auto"/>
      <w:ind w:left="720"/>
      <w:contextualSpacing/>
      <w:jc w:val="both"/>
    </w:pPr>
    <w:rPr>
      <w:rFonts w:ascii="Calibri" w:eastAsia="Calibri" w:hAnsi="Calibri"/>
      <w:sz w:val="22"/>
      <w:szCs w:val="26"/>
    </w:rPr>
  </w:style>
  <w:style w:type="character" w:styleId="Hyperlink">
    <w:name w:val="Hyperlink"/>
    <w:rsid w:val="00FA6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592536" TargetMode="External"/><Relationship Id="rId39" Type="http://schemas.openxmlformats.org/officeDocument/2006/relationships/hyperlink" Target="http://www.nevo.co.il/case/20305474" TargetMode="External"/><Relationship Id="rId21" Type="http://schemas.openxmlformats.org/officeDocument/2006/relationships/hyperlink" Target="http://www.nevo.co.il/case/26318040" TargetMode="External"/><Relationship Id="rId34" Type="http://schemas.openxmlformats.org/officeDocument/2006/relationships/hyperlink" Target="http://www.nevo.co.il/case/22331295" TargetMode="External"/><Relationship Id="rId42" Type="http://schemas.openxmlformats.org/officeDocument/2006/relationships/hyperlink" Target="http://www.nevo.co.il/case/24319534" TargetMode="External"/><Relationship Id="rId47" Type="http://schemas.openxmlformats.org/officeDocument/2006/relationships/hyperlink" Target="http://www.nevo.co.il/law/7030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720202"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3637937" TargetMode="External"/><Relationship Id="rId37" Type="http://schemas.openxmlformats.org/officeDocument/2006/relationships/hyperlink" Target="http://www.nevo.co.il/case/25351853" TargetMode="External"/><Relationship Id="rId40" Type="http://schemas.openxmlformats.org/officeDocument/2006/relationships/hyperlink" Target="http://www.nevo.co.il/case/23814688"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case/6146169" TargetMode="External"/><Relationship Id="rId31" Type="http://schemas.openxmlformats.org/officeDocument/2006/relationships/hyperlink" Target="http://www.nevo.co.il/case/27093494" TargetMode="External"/><Relationship Id="rId44" Type="http://schemas.openxmlformats.org/officeDocument/2006/relationships/hyperlink" Target="http://www.nevo.co.il/law/70301/40d"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6314376" TargetMode="External"/><Relationship Id="rId30" Type="http://schemas.openxmlformats.org/officeDocument/2006/relationships/hyperlink" Target="http://www.nevo.co.il/case/27020984" TargetMode="External"/><Relationship Id="rId35" Type="http://schemas.openxmlformats.org/officeDocument/2006/relationships/hyperlink" Target="http://www.nevo.co.il/case/26444680" TargetMode="External"/><Relationship Id="rId43" Type="http://schemas.openxmlformats.org/officeDocument/2006/relationships/hyperlink" Target="http://www.nevo.co.il/case/25676342"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28190928" TargetMode="External"/><Relationship Id="rId33" Type="http://schemas.openxmlformats.org/officeDocument/2006/relationships/hyperlink" Target="http://www.nevo.co.il/case/26197029" TargetMode="External"/><Relationship Id="rId38" Type="http://schemas.openxmlformats.org/officeDocument/2006/relationships/hyperlink" Target="http://www.nevo.co.il/case/11226498" TargetMode="External"/><Relationship Id="rId46" Type="http://schemas.openxmlformats.org/officeDocument/2006/relationships/hyperlink" Target="http://www.nevo.co.il/law/70301/40d" TargetMode="External"/><Relationship Id="rId20" Type="http://schemas.openxmlformats.org/officeDocument/2006/relationships/hyperlink" Target="http://www.nevo.co.il/case/5810781" TargetMode="External"/><Relationship Id="rId41" Type="http://schemas.openxmlformats.org/officeDocument/2006/relationships/hyperlink" Target="http://www.nevo.co.il/case/23519993"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1477472" TargetMode="External"/><Relationship Id="rId36" Type="http://schemas.openxmlformats.org/officeDocument/2006/relationships/hyperlink" Target="http://www.nevo.co.il/case/23523083"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3953</Words>
  <Characters>19769</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23675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3539061</vt:i4>
      </vt:variant>
      <vt:variant>
        <vt:i4>108</vt:i4>
      </vt:variant>
      <vt:variant>
        <vt:i4>0</vt:i4>
      </vt:variant>
      <vt:variant>
        <vt:i4>5</vt:i4>
      </vt:variant>
      <vt:variant>
        <vt:lpwstr>http://www.nevo.co.il/case/25676342</vt:lpwstr>
      </vt:variant>
      <vt:variant>
        <vt:lpwstr/>
      </vt:variant>
      <vt:variant>
        <vt:i4>3866740</vt:i4>
      </vt:variant>
      <vt:variant>
        <vt:i4>105</vt:i4>
      </vt:variant>
      <vt:variant>
        <vt:i4>0</vt:i4>
      </vt:variant>
      <vt:variant>
        <vt:i4>5</vt:i4>
      </vt:variant>
      <vt:variant>
        <vt:lpwstr>http://www.nevo.co.il/case/24319534</vt:lpwstr>
      </vt:variant>
      <vt:variant>
        <vt:lpwstr/>
      </vt:variant>
      <vt:variant>
        <vt:i4>3604607</vt:i4>
      </vt:variant>
      <vt:variant>
        <vt:i4>102</vt:i4>
      </vt:variant>
      <vt:variant>
        <vt:i4>0</vt:i4>
      </vt:variant>
      <vt:variant>
        <vt:i4>5</vt:i4>
      </vt:variant>
      <vt:variant>
        <vt:lpwstr>http://www.nevo.co.il/case/23519993</vt:lpwstr>
      </vt:variant>
      <vt:variant>
        <vt:lpwstr/>
      </vt:variant>
      <vt:variant>
        <vt:i4>3539056</vt:i4>
      </vt:variant>
      <vt:variant>
        <vt:i4>99</vt:i4>
      </vt:variant>
      <vt:variant>
        <vt:i4>0</vt:i4>
      </vt:variant>
      <vt:variant>
        <vt:i4>5</vt:i4>
      </vt:variant>
      <vt:variant>
        <vt:lpwstr>http://www.nevo.co.il/case/23814688</vt:lpwstr>
      </vt:variant>
      <vt:variant>
        <vt:lpwstr/>
      </vt:variant>
      <vt:variant>
        <vt:i4>3342448</vt:i4>
      </vt:variant>
      <vt:variant>
        <vt:i4>96</vt:i4>
      </vt:variant>
      <vt:variant>
        <vt:i4>0</vt:i4>
      </vt:variant>
      <vt:variant>
        <vt:i4>5</vt:i4>
      </vt:variant>
      <vt:variant>
        <vt:lpwstr>http://www.nevo.co.il/case/20305474</vt:lpwstr>
      </vt:variant>
      <vt:variant>
        <vt:lpwstr/>
      </vt:variant>
      <vt:variant>
        <vt:i4>3932275</vt:i4>
      </vt:variant>
      <vt:variant>
        <vt:i4>93</vt:i4>
      </vt:variant>
      <vt:variant>
        <vt:i4>0</vt:i4>
      </vt:variant>
      <vt:variant>
        <vt:i4>5</vt:i4>
      </vt:variant>
      <vt:variant>
        <vt:lpwstr>http://www.nevo.co.il/case/11226498</vt:lpwstr>
      </vt:variant>
      <vt:variant>
        <vt:lpwstr/>
      </vt:variant>
      <vt:variant>
        <vt:i4>3473532</vt:i4>
      </vt:variant>
      <vt:variant>
        <vt:i4>90</vt:i4>
      </vt:variant>
      <vt:variant>
        <vt:i4>0</vt:i4>
      </vt:variant>
      <vt:variant>
        <vt:i4>5</vt:i4>
      </vt:variant>
      <vt:variant>
        <vt:lpwstr>http://www.nevo.co.il/case/25351853</vt:lpwstr>
      </vt:variant>
      <vt:variant>
        <vt:lpwstr/>
      </vt:variant>
      <vt:variant>
        <vt:i4>3932277</vt:i4>
      </vt:variant>
      <vt:variant>
        <vt:i4>87</vt:i4>
      </vt:variant>
      <vt:variant>
        <vt:i4>0</vt:i4>
      </vt:variant>
      <vt:variant>
        <vt:i4>5</vt:i4>
      </vt:variant>
      <vt:variant>
        <vt:lpwstr>http://www.nevo.co.il/case/23523083</vt:lpwstr>
      </vt:variant>
      <vt:variant>
        <vt:lpwstr/>
      </vt:variant>
      <vt:variant>
        <vt:i4>3801200</vt:i4>
      </vt:variant>
      <vt:variant>
        <vt:i4>84</vt:i4>
      </vt:variant>
      <vt:variant>
        <vt:i4>0</vt:i4>
      </vt:variant>
      <vt:variant>
        <vt:i4>5</vt:i4>
      </vt:variant>
      <vt:variant>
        <vt:lpwstr>http://www.nevo.co.il/case/26444680</vt:lpwstr>
      </vt:variant>
      <vt:variant>
        <vt:lpwstr/>
      </vt:variant>
      <vt:variant>
        <vt:i4>3735671</vt:i4>
      </vt:variant>
      <vt:variant>
        <vt:i4>81</vt:i4>
      </vt:variant>
      <vt:variant>
        <vt:i4>0</vt:i4>
      </vt:variant>
      <vt:variant>
        <vt:i4>5</vt:i4>
      </vt:variant>
      <vt:variant>
        <vt:lpwstr>http://www.nevo.co.il/case/22331295</vt:lpwstr>
      </vt:variant>
      <vt:variant>
        <vt:lpwstr/>
      </vt:variant>
      <vt:variant>
        <vt:i4>3539067</vt:i4>
      </vt:variant>
      <vt:variant>
        <vt:i4>78</vt:i4>
      </vt:variant>
      <vt:variant>
        <vt:i4>0</vt:i4>
      </vt:variant>
      <vt:variant>
        <vt:i4>5</vt:i4>
      </vt:variant>
      <vt:variant>
        <vt:lpwstr>http://www.nevo.co.il/case/26197029</vt:lpwstr>
      </vt:variant>
      <vt:variant>
        <vt:lpwstr/>
      </vt:variant>
      <vt:variant>
        <vt:i4>3145853</vt:i4>
      </vt:variant>
      <vt:variant>
        <vt:i4>75</vt:i4>
      </vt:variant>
      <vt:variant>
        <vt:i4>0</vt:i4>
      </vt:variant>
      <vt:variant>
        <vt:i4>5</vt:i4>
      </vt:variant>
      <vt:variant>
        <vt:lpwstr>http://www.nevo.co.il/case/23637937</vt:lpwstr>
      </vt:variant>
      <vt:variant>
        <vt:lpwstr/>
      </vt:variant>
      <vt:variant>
        <vt:i4>3670142</vt:i4>
      </vt:variant>
      <vt:variant>
        <vt:i4>72</vt:i4>
      </vt:variant>
      <vt:variant>
        <vt:i4>0</vt:i4>
      </vt:variant>
      <vt:variant>
        <vt:i4>5</vt:i4>
      </vt:variant>
      <vt:variant>
        <vt:lpwstr>http://www.nevo.co.il/case/27093494</vt:lpwstr>
      </vt:variant>
      <vt:variant>
        <vt:lpwstr/>
      </vt:variant>
      <vt:variant>
        <vt:i4>3801208</vt:i4>
      </vt:variant>
      <vt:variant>
        <vt:i4>69</vt:i4>
      </vt:variant>
      <vt:variant>
        <vt:i4>0</vt:i4>
      </vt:variant>
      <vt:variant>
        <vt:i4>5</vt:i4>
      </vt:variant>
      <vt:variant>
        <vt:lpwstr>http://www.nevo.co.il/case/27020984</vt:lpwstr>
      </vt:variant>
      <vt:variant>
        <vt:lpwstr/>
      </vt:variant>
      <vt:variant>
        <vt:i4>3473523</vt:i4>
      </vt:variant>
      <vt:variant>
        <vt:i4>66</vt:i4>
      </vt:variant>
      <vt:variant>
        <vt:i4>0</vt:i4>
      </vt:variant>
      <vt:variant>
        <vt:i4>5</vt:i4>
      </vt:variant>
      <vt:variant>
        <vt:lpwstr>http://www.nevo.co.il/case/27720202</vt:lpwstr>
      </vt:variant>
      <vt:variant>
        <vt:lpwstr/>
      </vt:variant>
      <vt:variant>
        <vt:i4>3539062</vt:i4>
      </vt:variant>
      <vt:variant>
        <vt:i4>63</vt:i4>
      </vt:variant>
      <vt:variant>
        <vt:i4>0</vt:i4>
      </vt:variant>
      <vt:variant>
        <vt:i4>5</vt:i4>
      </vt:variant>
      <vt:variant>
        <vt:lpwstr>http://www.nevo.co.il/case/21477472</vt:lpwstr>
      </vt:variant>
      <vt:variant>
        <vt:lpwstr/>
      </vt:variant>
      <vt:variant>
        <vt:i4>3276912</vt:i4>
      </vt:variant>
      <vt:variant>
        <vt:i4>60</vt:i4>
      </vt:variant>
      <vt:variant>
        <vt:i4>0</vt:i4>
      </vt:variant>
      <vt:variant>
        <vt:i4>5</vt:i4>
      </vt:variant>
      <vt:variant>
        <vt:lpwstr>http://www.nevo.co.il/case/26314376</vt:lpwstr>
      </vt:variant>
      <vt:variant>
        <vt:lpwstr/>
      </vt:variant>
      <vt:variant>
        <vt:i4>3539071</vt:i4>
      </vt:variant>
      <vt:variant>
        <vt:i4>57</vt:i4>
      </vt:variant>
      <vt:variant>
        <vt:i4>0</vt:i4>
      </vt:variant>
      <vt:variant>
        <vt:i4>5</vt:i4>
      </vt:variant>
      <vt:variant>
        <vt:lpwstr>http://www.nevo.co.il/case/27592536</vt:lpwstr>
      </vt:variant>
      <vt:variant>
        <vt:lpwstr/>
      </vt:variant>
      <vt:variant>
        <vt:i4>3211388</vt:i4>
      </vt:variant>
      <vt:variant>
        <vt:i4>54</vt:i4>
      </vt:variant>
      <vt:variant>
        <vt:i4>0</vt:i4>
      </vt:variant>
      <vt:variant>
        <vt:i4>5</vt:i4>
      </vt:variant>
      <vt:variant>
        <vt:lpwstr>http://www.nevo.co.il/case/28190928</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3997811</vt:i4>
      </vt:variant>
      <vt:variant>
        <vt:i4>42</vt:i4>
      </vt:variant>
      <vt:variant>
        <vt:i4>0</vt:i4>
      </vt:variant>
      <vt:variant>
        <vt:i4>5</vt:i4>
      </vt:variant>
      <vt:variant>
        <vt:lpwstr>http://www.nevo.co.il/case/26318040</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3801205</vt:i4>
      </vt:variant>
      <vt:variant>
        <vt:i4>36</vt:i4>
      </vt:variant>
      <vt:variant>
        <vt:i4>0</vt:i4>
      </vt:variant>
      <vt:variant>
        <vt:i4>5</vt:i4>
      </vt:variant>
      <vt:variant>
        <vt:lpwstr>http://www.nevo.co.il/case/6146169</vt:lpwstr>
      </vt:variant>
      <vt:variant>
        <vt:lpwstr/>
      </vt:variant>
      <vt:variant>
        <vt:i4>8257637</vt:i4>
      </vt:variant>
      <vt:variant>
        <vt:i4>33</vt:i4>
      </vt:variant>
      <vt:variant>
        <vt:i4>0</vt:i4>
      </vt:variant>
      <vt:variant>
        <vt:i4>5</vt:i4>
      </vt:variant>
      <vt:variant>
        <vt:lpwstr>http://www.nevo.co.il/law/4216</vt:lpwstr>
      </vt:variant>
      <vt:variant>
        <vt:lpwstr/>
      </vt:variant>
      <vt:variant>
        <vt:i4>5046344</vt:i4>
      </vt:variant>
      <vt:variant>
        <vt:i4>30</vt:i4>
      </vt:variant>
      <vt:variant>
        <vt:i4>0</vt:i4>
      </vt:variant>
      <vt:variant>
        <vt:i4>5</vt:i4>
      </vt:variant>
      <vt:variant>
        <vt:lpwstr>http://www.nevo.co.il/law/4216/13;19a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64269</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מעין היבה</vt:lpwstr>
  </property>
  <property fmtid="{D5CDD505-2E9C-101B-9397-08002B2CF9AE}" pid="10" name="LAWYER">
    <vt:lpwstr>אלי מסטרמן</vt:lpwstr>
  </property>
  <property fmtid="{D5CDD505-2E9C-101B-9397-08002B2CF9AE}" pid="11" name="JUDGE">
    <vt:lpwstr>טל אוסטפלד נאוי</vt:lpwstr>
  </property>
  <property fmtid="{D5CDD505-2E9C-101B-9397-08002B2CF9AE}" pid="12" name="CITY">
    <vt:lpwstr>ראשל"צ</vt:lpwstr>
  </property>
  <property fmtid="{D5CDD505-2E9C-101B-9397-08002B2CF9AE}" pid="13" name="DATE">
    <vt:lpwstr>20231213</vt:lpwstr>
  </property>
  <property fmtid="{D5CDD505-2E9C-101B-9397-08002B2CF9AE}" pid="14" name="TYPE_N_DATE">
    <vt:lpwstr>38020231213</vt:lpwstr>
  </property>
  <property fmtid="{D5CDD505-2E9C-101B-9397-08002B2CF9AE}" pid="15" name="WORDNUMPAGES">
    <vt:lpwstr>13</vt:lpwstr>
  </property>
  <property fmtid="{D5CDD505-2E9C-101B-9397-08002B2CF9AE}" pid="16" name="TYPE_ABS_DATE">
    <vt:lpwstr>380020231213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6146169;5810781;26318040;5738608;22841413;23827604;28190928;27592536;26314376;21477472;27720202;27020984;27093494;23637937;26197029;22331295;26444680;23523083;25351853;11226498;20305474;23814688;23519993;24319534;25676342</vt:lpwstr>
  </property>
  <property fmtid="{D5CDD505-2E9C-101B-9397-08002B2CF9AE}" pid="36" name="LAWLISTTMP1">
    <vt:lpwstr>4216/007.a;007.c;013;019a</vt:lpwstr>
  </property>
  <property fmtid="{D5CDD505-2E9C-101B-9397-08002B2CF9AE}" pid="37" name="LAWLISTTMP2">
    <vt:lpwstr>70301/040d:2</vt:lpwstr>
  </property>
</Properties>
</file>