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53573" w:rsidRPr="00931E3C" w14:paraId="75542415" w14:textId="77777777" w:rsidTr="00DC4DF8">
        <w:trPr>
          <w:trHeight w:hRule="exact" w:val="418"/>
          <w:jc w:val="center"/>
        </w:trPr>
        <w:tc>
          <w:tcPr>
            <w:tcW w:w="8721" w:type="dxa"/>
            <w:gridSpan w:val="2"/>
          </w:tcPr>
          <w:p w14:paraId="49E8716C" w14:textId="77777777" w:rsidR="00053573" w:rsidRPr="00931E3C" w:rsidRDefault="00053573" w:rsidP="009302B7">
            <w:pPr>
              <w:pStyle w:val="a3"/>
              <w:jc w:val="center"/>
              <w:rPr>
                <w:rFonts w:ascii="Tahoma" w:hAnsi="Tahoma" w:cs="Tahoma"/>
                <w:color w:val="000080"/>
                <w:rtl/>
              </w:rPr>
            </w:pPr>
            <w:r w:rsidRPr="00931E3C">
              <w:rPr>
                <w:rFonts w:ascii="Tahoma" w:hAnsi="Tahoma" w:cs="Tahoma"/>
                <w:b/>
                <w:bCs/>
                <w:color w:val="000080"/>
                <w:rtl/>
              </w:rPr>
              <w:t>בית משפט השלום בקריות</w:t>
            </w:r>
          </w:p>
        </w:tc>
      </w:tr>
      <w:tr w:rsidR="00053573" w:rsidRPr="00931E3C" w14:paraId="187FB51B" w14:textId="77777777" w:rsidTr="00DC4DF8">
        <w:trPr>
          <w:trHeight w:val="337"/>
          <w:jc w:val="center"/>
        </w:trPr>
        <w:tc>
          <w:tcPr>
            <w:tcW w:w="5054" w:type="dxa"/>
          </w:tcPr>
          <w:p w14:paraId="37F93064" w14:textId="77777777" w:rsidR="00053573" w:rsidRPr="00931E3C" w:rsidRDefault="00053573" w:rsidP="009302B7">
            <w:pPr>
              <w:rPr>
                <w:rFonts w:cs="FrankRuehl"/>
                <w:sz w:val="28"/>
                <w:szCs w:val="28"/>
                <w:rtl/>
              </w:rPr>
            </w:pPr>
            <w:r w:rsidRPr="00931E3C">
              <w:rPr>
                <w:rFonts w:cs="FrankRuehl"/>
                <w:sz w:val="28"/>
                <w:szCs w:val="28"/>
                <w:rtl/>
              </w:rPr>
              <w:t>ת"פ</w:t>
            </w:r>
            <w:r w:rsidRPr="00931E3C">
              <w:rPr>
                <w:rFonts w:cs="FrankRuehl" w:hint="cs"/>
                <w:sz w:val="28"/>
                <w:szCs w:val="28"/>
                <w:rtl/>
              </w:rPr>
              <w:t xml:space="preserve"> </w:t>
            </w:r>
            <w:hyperlink r:id="rId7" w:history="1">
              <w:r w:rsidR="0005609B" w:rsidRPr="0005609B">
                <w:rPr>
                  <w:rFonts w:cs="FrankRuehl"/>
                  <w:color w:val="0000FF"/>
                  <w:sz w:val="28"/>
                  <w:szCs w:val="28"/>
                  <w:u w:val="single"/>
                  <w:rtl/>
                </w:rPr>
                <w:t xml:space="preserve">8689-04-21 </w:t>
              </w:r>
            </w:hyperlink>
            <w:r w:rsidRPr="00931E3C">
              <w:rPr>
                <w:rFonts w:cs="FrankRuehl" w:hint="cs"/>
                <w:sz w:val="28"/>
                <w:szCs w:val="28"/>
                <w:rtl/>
              </w:rPr>
              <w:t xml:space="preserve"> </w:t>
            </w:r>
            <w:r w:rsidRPr="00931E3C">
              <w:rPr>
                <w:rFonts w:cs="FrankRuehl"/>
                <w:sz w:val="28"/>
                <w:szCs w:val="28"/>
                <w:rtl/>
              </w:rPr>
              <w:t>מדינת ישראל נ' אספוב</w:t>
            </w:r>
          </w:p>
          <w:p w14:paraId="6DC2426B" w14:textId="77777777" w:rsidR="00053573" w:rsidRPr="00931E3C" w:rsidRDefault="00053573" w:rsidP="009302B7">
            <w:pPr>
              <w:pStyle w:val="a3"/>
              <w:rPr>
                <w:rFonts w:cs="FrankRuehl"/>
                <w:sz w:val="28"/>
                <w:szCs w:val="28"/>
                <w:rtl/>
              </w:rPr>
            </w:pPr>
          </w:p>
        </w:tc>
        <w:tc>
          <w:tcPr>
            <w:tcW w:w="3667" w:type="dxa"/>
          </w:tcPr>
          <w:p w14:paraId="507AF7C2" w14:textId="77777777" w:rsidR="00053573" w:rsidRPr="00931E3C" w:rsidRDefault="00053573" w:rsidP="009302B7">
            <w:pPr>
              <w:pStyle w:val="a3"/>
              <w:jc w:val="right"/>
              <w:rPr>
                <w:rFonts w:cs="FrankRuehl"/>
                <w:sz w:val="28"/>
                <w:szCs w:val="28"/>
                <w:rtl/>
              </w:rPr>
            </w:pPr>
          </w:p>
        </w:tc>
      </w:tr>
    </w:tbl>
    <w:p w14:paraId="7653884C" w14:textId="77777777" w:rsidR="00053573" w:rsidRPr="00931E3C" w:rsidRDefault="00053573" w:rsidP="00053573">
      <w:pPr>
        <w:pStyle w:val="a3"/>
        <w:rPr>
          <w:rtl/>
        </w:rPr>
      </w:pPr>
      <w:r w:rsidRPr="00931E3C">
        <w:rPr>
          <w:rFonts w:hint="cs"/>
          <w:rtl/>
        </w:rPr>
        <w:t xml:space="preserve"> </w:t>
      </w:r>
    </w:p>
    <w:p w14:paraId="7DA0D45A" w14:textId="77777777" w:rsidR="00053573" w:rsidRPr="00931E3C" w:rsidRDefault="00053573" w:rsidP="00053573">
      <w:pPr>
        <w:rPr>
          <w:b/>
          <w:bCs/>
          <w:rtl/>
        </w:rPr>
      </w:pPr>
    </w:p>
    <w:p w14:paraId="1DFF6D92" w14:textId="77777777" w:rsidR="00053573" w:rsidRPr="00931E3C" w:rsidRDefault="00053573" w:rsidP="0005357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53573" w:rsidRPr="00931E3C" w14:paraId="29CE05AC" w14:textId="77777777" w:rsidTr="00053573">
        <w:trPr>
          <w:trHeight w:val="295"/>
          <w:jc w:val="center"/>
        </w:trPr>
        <w:tc>
          <w:tcPr>
            <w:tcW w:w="923" w:type="dxa"/>
            <w:tcBorders>
              <w:top w:val="nil"/>
              <w:left w:val="nil"/>
              <w:bottom w:val="nil"/>
              <w:right w:val="nil"/>
            </w:tcBorders>
            <w:shd w:val="clear" w:color="auto" w:fill="auto"/>
          </w:tcPr>
          <w:p w14:paraId="6B1B2AAA" w14:textId="77777777" w:rsidR="00053573" w:rsidRPr="00931E3C" w:rsidRDefault="00053573" w:rsidP="00053573">
            <w:pPr>
              <w:jc w:val="both"/>
              <w:rPr>
                <w:rFonts w:ascii="David" w:hAnsi="David"/>
                <w:b/>
                <w:bCs/>
              </w:rPr>
            </w:pPr>
            <w:r w:rsidRPr="00931E3C">
              <w:rPr>
                <w:rFonts w:ascii="David" w:hAnsi="David"/>
                <w:b/>
                <w:bCs/>
                <w:rtl/>
              </w:rPr>
              <w:t xml:space="preserve">בפני </w:t>
            </w:r>
          </w:p>
        </w:tc>
        <w:tc>
          <w:tcPr>
            <w:tcW w:w="7897" w:type="dxa"/>
            <w:gridSpan w:val="2"/>
            <w:tcBorders>
              <w:top w:val="nil"/>
              <w:left w:val="nil"/>
              <w:bottom w:val="nil"/>
              <w:right w:val="nil"/>
            </w:tcBorders>
            <w:shd w:val="clear" w:color="auto" w:fill="auto"/>
          </w:tcPr>
          <w:p w14:paraId="0C40B78B" w14:textId="77777777" w:rsidR="00053573" w:rsidRPr="00931E3C" w:rsidRDefault="00053573" w:rsidP="009302B7">
            <w:pPr>
              <w:rPr>
                <w:rFonts w:ascii="David" w:hAnsi="David"/>
                <w:b/>
                <w:bCs/>
              </w:rPr>
            </w:pPr>
            <w:r w:rsidRPr="00931E3C">
              <w:rPr>
                <w:rFonts w:ascii="Arial" w:hAnsi="Arial"/>
                <w:b/>
                <w:bCs/>
                <w:rtl/>
              </w:rPr>
              <w:t>כב' השופט יוסי טורס , סגן הנשיאה</w:t>
            </w:r>
          </w:p>
        </w:tc>
      </w:tr>
      <w:tr w:rsidR="00053573" w:rsidRPr="00931E3C" w14:paraId="46F53444" w14:textId="77777777" w:rsidTr="00053573">
        <w:trPr>
          <w:trHeight w:val="355"/>
          <w:jc w:val="center"/>
        </w:trPr>
        <w:tc>
          <w:tcPr>
            <w:tcW w:w="923" w:type="dxa"/>
            <w:tcBorders>
              <w:top w:val="nil"/>
              <w:left w:val="nil"/>
              <w:bottom w:val="nil"/>
              <w:right w:val="nil"/>
            </w:tcBorders>
            <w:shd w:val="clear" w:color="auto" w:fill="auto"/>
          </w:tcPr>
          <w:p w14:paraId="5FBC5779" w14:textId="77777777" w:rsidR="00053573" w:rsidRPr="00931E3C" w:rsidRDefault="00053573" w:rsidP="00053573">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57749B71" w14:textId="77777777" w:rsidR="00053573" w:rsidRPr="00931E3C" w:rsidRDefault="00053573" w:rsidP="009302B7">
            <w:pPr>
              <w:rPr>
                <w:rFonts w:ascii="David" w:hAnsi="David"/>
                <w:b/>
                <w:bCs/>
              </w:rPr>
            </w:pPr>
          </w:p>
        </w:tc>
        <w:tc>
          <w:tcPr>
            <w:tcW w:w="3771" w:type="dxa"/>
            <w:tcBorders>
              <w:top w:val="nil"/>
              <w:left w:val="nil"/>
              <w:bottom w:val="nil"/>
              <w:right w:val="nil"/>
            </w:tcBorders>
            <w:shd w:val="clear" w:color="auto" w:fill="auto"/>
          </w:tcPr>
          <w:p w14:paraId="2F7C19C4" w14:textId="77777777" w:rsidR="00053573" w:rsidRPr="00931E3C" w:rsidRDefault="00053573" w:rsidP="00053573">
            <w:pPr>
              <w:jc w:val="both"/>
              <w:rPr>
                <w:rFonts w:ascii="David" w:hAnsi="David"/>
                <w:b/>
                <w:bCs/>
              </w:rPr>
            </w:pPr>
          </w:p>
        </w:tc>
      </w:tr>
      <w:tr w:rsidR="00053573" w:rsidRPr="00931E3C" w14:paraId="27BE0BBF" w14:textId="77777777" w:rsidTr="00053573">
        <w:trPr>
          <w:trHeight w:val="355"/>
          <w:jc w:val="center"/>
        </w:trPr>
        <w:tc>
          <w:tcPr>
            <w:tcW w:w="923" w:type="dxa"/>
            <w:tcBorders>
              <w:top w:val="nil"/>
              <w:left w:val="nil"/>
              <w:bottom w:val="nil"/>
              <w:right w:val="nil"/>
            </w:tcBorders>
            <w:shd w:val="clear" w:color="auto" w:fill="auto"/>
          </w:tcPr>
          <w:p w14:paraId="47E2FA28" w14:textId="77777777" w:rsidR="00053573" w:rsidRPr="00931E3C" w:rsidRDefault="00053573" w:rsidP="00053573">
            <w:pPr>
              <w:jc w:val="both"/>
              <w:rPr>
                <w:rFonts w:ascii="David" w:hAnsi="David"/>
                <w:b/>
                <w:bCs/>
              </w:rPr>
            </w:pPr>
            <w:bookmarkStart w:id="1" w:name="FirstAppellant"/>
            <w:r w:rsidRPr="00931E3C">
              <w:rPr>
                <w:rFonts w:ascii="David" w:hAnsi="David"/>
                <w:b/>
                <w:bCs/>
                <w:rtl/>
              </w:rPr>
              <w:t>בעניין:</w:t>
            </w:r>
          </w:p>
        </w:tc>
        <w:tc>
          <w:tcPr>
            <w:tcW w:w="4126" w:type="dxa"/>
            <w:tcBorders>
              <w:top w:val="nil"/>
              <w:left w:val="nil"/>
              <w:bottom w:val="nil"/>
              <w:right w:val="nil"/>
            </w:tcBorders>
            <w:shd w:val="clear" w:color="auto" w:fill="auto"/>
          </w:tcPr>
          <w:p w14:paraId="69A3A81F" w14:textId="77777777" w:rsidR="00053573" w:rsidRPr="00931E3C" w:rsidRDefault="00053573" w:rsidP="009302B7">
            <w:pPr>
              <w:rPr>
                <w:rFonts w:ascii="David" w:hAnsi="David"/>
                <w:b/>
                <w:bCs/>
              </w:rPr>
            </w:pPr>
            <w:r w:rsidRPr="00931E3C">
              <w:rPr>
                <w:rFonts w:ascii="David" w:hAnsi="David"/>
                <w:b/>
                <w:bCs/>
                <w:rtl/>
              </w:rPr>
              <w:t>מדינת ישראל</w:t>
            </w:r>
          </w:p>
        </w:tc>
        <w:tc>
          <w:tcPr>
            <w:tcW w:w="3771" w:type="dxa"/>
            <w:tcBorders>
              <w:top w:val="nil"/>
              <w:left w:val="nil"/>
              <w:bottom w:val="nil"/>
              <w:right w:val="nil"/>
            </w:tcBorders>
            <w:shd w:val="clear" w:color="auto" w:fill="auto"/>
          </w:tcPr>
          <w:p w14:paraId="46759410" w14:textId="77777777" w:rsidR="00053573" w:rsidRPr="00931E3C" w:rsidRDefault="00053573" w:rsidP="00053573">
            <w:pPr>
              <w:jc w:val="right"/>
              <w:rPr>
                <w:rFonts w:ascii="David" w:hAnsi="David"/>
                <w:b/>
                <w:bCs/>
                <w:rtl/>
              </w:rPr>
            </w:pPr>
            <w:r w:rsidRPr="00931E3C">
              <w:rPr>
                <w:rFonts w:ascii="David" w:hAnsi="David"/>
                <w:b/>
                <w:bCs/>
                <w:rtl/>
              </w:rPr>
              <w:t>המאשימה</w:t>
            </w:r>
          </w:p>
        </w:tc>
      </w:tr>
      <w:bookmarkEnd w:id="1"/>
      <w:tr w:rsidR="00053573" w:rsidRPr="00931E3C" w14:paraId="209A3482" w14:textId="77777777" w:rsidTr="00053573">
        <w:trPr>
          <w:trHeight w:val="355"/>
          <w:jc w:val="center"/>
        </w:trPr>
        <w:tc>
          <w:tcPr>
            <w:tcW w:w="923" w:type="dxa"/>
            <w:tcBorders>
              <w:top w:val="nil"/>
              <w:left w:val="nil"/>
              <w:bottom w:val="nil"/>
              <w:right w:val="nil"/>
            </w:tcBorders>
            <w:shd w:val="clear" w:color="auto" w:fill="auto"/>
          </w:tcPr>
          <w:p w14:paraId="40D5615F" w14:textId="77777777" w:rsidR="00053573" w:rsidRPr="00931E3C" w:rsidRDefault="00053573" w:rsidP="00053573">
            <w:pPr>
              <w:jc w:val="both"/>
              <w:rPr>
                <w:rFonts w:ascii="David" w:hAnsi="David"/>
                <w:b/>
                <w:bCs/>
                <w:rtl/>
              </w:rPr>
            </w:pPr>
          </w:p>
        </w:tc>
        <w:tc>
          <w:tcPr>
            <w:tcW w:w="7897" w:type="dxa"/>
            <w:gridSpan w:val="2"/>
            <w:tcBorders>
              <w:top w:val="nil"/>
              <w:left w:val="nil"/>
              <w:bottom w:val="nil"/>
              <w:right w:val="nil"/>
            </w:tcBorders>
            <w:shd w:val="clear" w:color="auto" w:fill="auto"/>
          </w:tcPr>
          <w:p w14:paraId="55056230" w14:textId="77777777" w:rsidR="00053573" w:rsidRPr="00931E3C" w:rsidRDefault="00053573" w:rsidP="00053573">
            <w:pPr>
              <w:jc w:val="center"/>
              <w:rPr>
                <w:rFonts w:ascii="David" w:hAnsi="David"/>
                <w:b/>
                <w:bCs/>
                <w:rtl/>
              </w:rPr>
            </w:pPr>
          </w:p>
          <w:p w14:paraId="4A949BC3" w14:textId="77777777" w:rsidR="00053573" w:rsidRPr="00931E3C" w:rsidRDefault="00053573" w:rsidP="00053573">
            <w:pPr>
              <w:jc w:val="center"/>
              <w:rPr>
                <w:rFonts w:ascii="David" w:hAnsi="David"/>
                <w:b/>
                <w:bCs/>
                <w:rtl/>
              </w:rPr>
            </w:pPr>
            <w:r w:rsidRPr="00931E3C">
              <w:rPr>
                <w:rFonts w:ascii="David" w:hAnsi="David"/>
                <w:b/>
                <w:bCs/>
                <w:rtl/>
              </w:rPr>
              <w:t>נגד</w:t>
            </w:r>
          </w:p>
          <w:p w14:paraId="422856E4" w14:textId="77777777" w:rsidR="00053573" w:rsidRPr="00931E3C" w:rsidRDefault="00053573" w:rsidP="00053573">
            <w:pPr>
              <w:jc w:val="both"/>
              <w:rPr>
                <w:rFonts w:ascii="David" w:hAnsi="David"/>
                <w:b/>
                <w:bCs/>
              </w:rPr>
            </w:pPr>
          </w:p>
        </w:tc>
      </w:tr>
      <w:tr w:rsidR="00053573" w:rsidRPr="00931E3C" w14:paraId="1D3888A4" w14:textId="77777777" w:rsidTr="00053573">
        <w:trPr>
          <w:trHeight w:val="355"/>
          <w:jc w:val="center"/>
        </w:trPr>
        <w:tc>
          <w:tcPr>
            <w:tcW w:w="923" w:type="dxa"/>
            <w:tcBorders>
              <w:top w:val="nil"/>
              <w:left w:val="nil"/>
              <w:bottom w:val="nil"/>
              <w:right w:val="nil"/>
            </w:tcBorders>
            <w:shd w:val="clear" w:color="auto" w:fill="auto"/>
          </w:tcPr>
          <w:p w14:paraId="56DD243C" w14:textId="77777777" w:rsidR="00053573" w:rsidRPr="00931E3C" w:rsidRDefault="00053573" w:rsidP="009302B7">
            <w:pPr>
              <w:rPr>
                <w:rFonts w:ascii="David" w:hAnsi="David"/>
                <w:b/>
                <w:bCs/>
                <w:rtl/>
              </w:rPr>
            </w:pPr>
          </w:p>
        </w:tc>
        <w:tc>
          <w:tcPr>
            <w:tcW w:w="4126" w:type="dxa"/>
            <w:tcBorders>
              <w:top w:val="nil"/>
              <w:left w:val="nil"/>
              <w:bottom w:val="nil"/>
              <w:right w:val="nil"/>
            </w:tcBorders>
            <w:shd w:val="clear" w:color="auto" w:fill="auto"/>
          </w:tcPr>
          <w:p w14:paraId="7CC3F6CC" w14:textId="77777777" w:rsidR="00053573" w:rsidRPr="00931E3C" w:rsidRDefault="00053573" w:rsidP="009302B7">
            <w:pPr>
              <w:rPr>
                <w:rFonts w:ascii="David" w:hAnsi="David"/>
                <w:b/>
                <w:bCs/>
                <w:rtl/>
              </w:rPr>
            </w:pPr>
          </w:p>
        </w:tc>
        <w:tc>
          <w:tcPr>
            <w:tcW w:w="3771" w:type="dxa"/>
            <w:tcBorders>
              <w:top w:val="nil"/>
              <w:left w:val="nil"/>
              <w:bottom w:val="nil"/>
              <w:right w:val="nil"/>
            </w:tcBorders>
            <w:shd w:val="clear" w:color="auto" w:fill="auto"/>
          </w:tcPr>
          <w:p w14:paraId="04DFEA9F" w14:textId="77777777" w:rsidR="00053573" w:rsidRPr="00931E3C" w:rsidRDefault="00053573" w:rsidP="00053573">
            <w:pPr>
              <w:jc w:val="right"/>
              <w:rPr>
                <w:rFonts w:ascii="David" w:hAnsi="David"/>
                <w:b/>
                <w:bCs/>
              </w:rPr>
            </w:pPr>
          </w:p>
        </w:tc>
      </w:tr>
      <w:tr w:rsidR="00053573" w:rsidRPr="00931E3C" w14:paraId="03CD298D" w14:textId="77777777" w:rsidTr="00053573">
        <w:trPr>
          <w:trHeight w:val="355"/>
          <w:jc w:val="center"/>
        </w:trPr>
        <w:tc>
          <w:tcPr>
            <w:tcW w:w="923" w:type="dxa"/>
            <w:tcBorders>
              <w:top w:val="nil"/>
              <w:left w:val="nil"/>
              <w:bottom w:val="nil"/>
              <w:right w:val="nil"/>
            </w:tcBorders>
            <w:shd w:val="clear" w:color="auto" w:fill="auto"/>
          </w:tcPr>
          <w:p w14:paraId="1CDEBBDE" w14:textId="77777777" w:rsidR="00053573" w:rsidRPr="00931E3C" w:rsidRDefault="00053573" w:rsidP="00053573">
            <w:pPr>
              <w:jc w:val="both"/>
              <w:rPr>
                <w:rFonts w:ascii="David" w:hAnsi="David"/>
                <w:b/>
                <w:bCs/>
                <w:rtl/>
              </w:rPr>
            </w:pPr>
          </w:p>
        </w:tc>
        <w:tc>
          <w:tcPr>
            <w:tcW w:w="4126" w:type="dxa"/>
            <w:tcBorders>
              <w:top w:val="nil"/>
              <w:left w:val="nil"/>
              <w:bottom w:val="nil"/>
              <w:right w:val="nil"/>
            </w:tcBorders>
            <w:shd w:val="clear" w:color="auto" w:fill="auto"/>
          </w:tcPr>
          <w:p w14:paraId="27DA07A5" w14:textId="77777777" w:rsidR="00053573" w:rsidRPr="00931E3C" w:rsidRDefault="00053573" w:rsidP="00053573">
            <w:pPr>
              <w:jc w:val="both"/>
              <w:rPr>
                <w:rFonts w:ascii="David" w:hAnsi="David"/>
                <w:b/>
                <w:bCs/>
                <w:rtl/>
              </w:rPr>
            </w:pPr>
            <w:r w:rsidRPr="00931E3C">
              <w:rPr>
                <w:rFonts w:ascii="David" w:hAnsi="David"/>
                <w:b/>
                <w:bCs/>
                <w:rtl/>
              </w:rPr>
              <w:t>ניר אספוב</w:t>
            </w:r>
          </w:p>
        </w:tc>
        <w:tc>
          <w:tcPr>
            <w:tcW w:w="3771" w:type="dxa"/>
            <w:tcBorders>
              <w:top w:val="nil"/>
              <w:left w:val="nil"/>
              <w:bottom w:val="nil"/>
              <w:right w:val="nil"/>
            </w:tcBorders>
            <w:shd w:val="clear" w:color="auto" w:fill="auto"/>
          </w:tcPr>
          <w:p w14:paraId="7264102B" w14:textId="77777777" w:rsidR="00053573" w:rsidRPr="00931E3C" w:rsidRDefault="00053573" w:rsidP="00053573">
            <w:pPr>
              <w:jc w:val="right"/>
              <w:rPr>
                <w:rFonts w:ascii="David" w:hAnsi="David"/>
                <w:b/>
                <w:bCs/>
              </w:rPr>
            </w:pPr>
            <w:r w:rsidRPr="00931E3C">
              <w:rPr>
                <w:rFonts w:ascii="David" w:hAnsi="David"/>
                <w:b/>
                <w:bCs/>
                <w:rtl/>
              </w:rPr>
              <w:t>הנא</w:t>
            </w:r>
            <w:r w:rsidRPr="00931E3C">
              <w:rPr>
                <w:rFonts w:ascii="David" w:hAnsi="David" w:hint="cs"/>
                <w:b/>
                <w:bCs/>
                <w:rtl/>
              </w:rPr>
              <w:t>שם</w:t>
            </w:r>
          </w:p>
        </w:tc>
      </w:tr>
    </w:tbl>
    <w:p w14:paraId="70BFB74C" w14:textId="77777777" w:rsidR="0005609B" w:rsidRPr="0005609B" w:rsidRDefault="0005609B" w:rsidP="0005609B">
      <w:pPr>
        <w:spacing w:before="120" w:after="120" w:line="240" w:lineRule="exact"/>
        <w:ind w:left="283" w:hanging="283"/>
        <w:jc w:val="both"/>
        <w:rPr>
          <w:rFonts w:ascii="FrankRuehl" w:hAnsi="FrankRuehl" w:cs="FrankRuehl"/>
          <w:rtl/>
        </w:rPr>
      </w:pPr>
    </w:p>
    <w:p w14:paraId="05E7DDD7" w14:textId="77777777" w:rsidR="00096C9E" w:rsidRDefault="00096C9E" w:rsidP="00096C9E">
      <w:pPr>
        <w:rPr>
          <w:rFonts w:ascii="David" w:hAnsi="David"/>
          <w:rtl/>
        </w:rPr>
      </w:pPr>
      <w:bookmarkStart w:id="2" w:name="LawTable"/>
      <w:bookmarkEnd w:id="2"/>
    </w:p>
    <w:p w14:paraId="2B364511" w14:textId="77777777" w:rsidR="00096C9E" w:rsidRPr="00096C9E" w:rsidRDefault="00096C9E" w:rsidP="00096C9E">
      <w:pPr>
        <w:spacing w:before="120" w:after="120" w:line="240" w:lineRule="exact"/>
        <w:ind w:left="283" w:hanging="283"/>
        <w:jc w:val="both"/>
        <w:rPr>
          <w:rFonts w:ascii="FrankRuehl" w:hAnsi="FrankRuehl" w:cs="FrankRuehl"/>
          <w:rtl/>
        </w:rPr>
      </w:pPr>
    </w:p>
    <w:p w14:paraId="5C046D59" w14:textId="77777777" w:rsidR="00096C9E" w:rsidRPr="00096C9E" w:rsidRDefault="00096C9E" w:rsidP="00096C9E">
      <w:pPr>
        <w:spacing w:before="120" w:after="120" w:line="240" w:lineRule="exact"/>
        <w:ind w:left="283" w:hanging="283"/>
        <w:jc w:val="both"/>
        <w:rPr>
          <w:rFonts w:ascii="FrankRuehl" w:hAnsi="FrankRuehl" w:cs="FrankRuehl"/>
          <w:rtl/>
        </w:rPr>
      </w:pPr>
    </w:p>
    <w:p w14:paraId="30E3D6CF" w14:textId="77777777" w:rsidR="00096C9E" w:rsidRPr="00096C9E" w:rsidRDefault="00096C9E" w:rsidP="00096C9E">
      <w:pPr>
        <w:spacing w:before="120" w:after="120" w:line="240" w:lineRule="exact"/>
        <w:ind w:left="283" w:hanging="283"/>
        <w:jc w:val="both"/>
        <w:rPr>
          <w:rFonts w:ascii="FrankRuehl" w:hAnsi="FrankRuehl" w:cs="FrankRuehl"/>
          <w:rtl/>
        </w:rPr>
      </w:pPr>
      <w:r w:rsidRPr="00096C9E">
        <w:rPr>
          <w:rFonts w:ascii="FrankRuehl" w:hAnsi="FrankRuehl" w:cs="FrankRuehl"/>
          <w:rtl/>
        </w:rPr>
        <w:t xml:space="preserve">חקיקה שאוזכרה: </w:t>
      </w:r>
    </w:p>
    <w:p w14:paraId="2FB4971F" w14:textId="77777777" w:rsidR="00096C9E" w:rsidRPr="00096C9E" w:rsidRDefault="00096C9E" w:rsidP="00096C9E">
      <w:pPr>
        <w:spacing w:before="120" w:after="120" w:line="240" w:lineRule="exact"/>
        <w:ind w:left="283" w:hanging="283"/>
        <w:jc w:val="both"/>
        <w:rPr>
          <w:rFonts w:ascii="FrankRuehl" w:hAnsi="FrankRuehl" w:cs="FrankRuehl"/>
          <w:rtl/>
        </w:rPr>
      </w:pPr>
      <w:hyperlink r:id="rId8" w:history="1">
        <w:r w:rsidRPr="00096C9E">
          <w:rPr>
            <w:rFonts w:ascii="FrankRuehl" w:hAnsi="FrankRuehl" w:cs="FrankRuehl"/>
            <w:color w:val="0000FF"/>
            <w:rtl/>
          </w:rPr>
          <w:t>פקודת הסמים המסוכנים [נוסח חדש], תשל"ג-1973</w:t>
        </w:r>
      </w:hyperlink>
      <w:r w:rsidRPr="00096C9E">
        <w:rPr>
          <w:rFonts w:ascii="FrankRuehl" w:hAnsi="FrankRuehl" w:cs="FrankRuehl"/>
          <w:rtl/>
        </w:rPr>
        <w:t xml:space="preserve">: סע'  </w:t>
      </w:r>
      <w:hyperlink r:id="rId9" w:history="1">
        <w:r w:rsidRPr="00096C9E">
          <w:rPr>
            <w:rFonts w:ascii="FrankRuehl" w:hAnsi="FrankRuehl" w:cs="FrankRuehl"/>
            <w:color w:val="0000FF"/>
            <w:rtl/>
          </w:rPr>
          <w:t>6</w:t>
        </w:r>
      </w:hyperlink>
    </w:p>
    <w:p w14:paraId="3E164486" w14:textId="77777777" w:rsidR="00096C9E" w:rsidRPr="00096C9E" w:rsidRDefault="00096C9E" w:rsidP="00096C9E">
      <w:pPr>
        <w:spacing w:before="120" w:after="120" w:line="240" w:lineRule="exact"/>
        <w:ind w:left="283" w:hanging="283"/>
        <w:jc w:val="both"/>
        <w:rPr>
          <w:rFonts w:ascii="FrankRuehl" w:hAnsi="FrankRuehl" w:cs="FrankRuehl"/>
          <w:rtl/>
        </w:rPr>
      </w:pPr>
      <w:hyperlink r:id="rId10" w:history="1">
        <w:r w:rsidRPr="00096C9E">
          <w:rPr>
            <w:rFonts w:ascii="FrankRuehl" w:hAnsi="FrankRuehl" w:cs="FrankRuehl"/>
            <w:color w:val="0000FF"/>
            <w:rtl/>
          </w:rPr>
          <w:t>חוק העונשין, תשל"ז-1977</w:t>
        </w:r>
      </w:hyperlink>
      <w:r w:rsidRPr="00096C9E">
        <w:rPr>
          <w:rFonts w:ascii="FrankRuehl" w:hAnsi="FrankRuehl" w:cs="FrankRuehl"/>
          <w:rtl/>
        </w:rPr>
        <w:t xml:space="preserve">: סע'  </w:t>
      </w:r>
      <w:hyperlink r:id="rId11" w:history="1">
        <w:r w:rsidRPr="00096C9E">
          <w:rPr>
            <w:rFonts w:ascii="FrankRuehl" w:hAnsi="FrankRuehl" w:cs="FrankRuehl"/>
            <w:color w:val="0000FF"/>
            <w:rtl/>
          </w:rPr>
          <w:t>34ח</w:t>
        </w:r>
      </w:hyperlink>
      <w:r w:rsidRPr="00096C9E">
        <w:rPr>
          <w:rFonts w:ascii="FrankRuehl" w:hAnsi="FrankRuehl" w:cs="FrankRuehl"/>
          <w:rtl/>
        </w:rPr>
        <w:t xml:space="preserve">, </w:t>
      </w:r>
      <w:hyperlink r:id="rId12" w:history="1">
        <w:r w:rsidRPr="00096C9E">
          <w:rPr>
            <w:rFonts w:ascii="FrankRuehl" w:hAnsi="FrankRuehl" w:cs="FrankRuehl"/>
            <w:color w:val="0000FF"/>
            <w:rtl/>
          </w:rPr>
          <w:t>40ט'</w:t>
        </w:r>
      </w:hyperlink>
      <w:r w:rsidRPr="00096C9E">
        <w:rPr>
          <w:rFonts w:ascii="FrankRuehl" w:hAnsi="FrankRuehl" w:cs="FrankRuehl"/>
          <w:rtl/>
        </w:rPr>
        <w:t xml:space="preserve">, </w:t>
      </w:r>
      <w:hyperlink r:id="rId13" w:history="1">
        <w:r w:rsidRPr="00096C9E">
          <w:rPr>
            <w:rFonts w:ascii="FrankRuehl" w:hAnsi="FrankRuehl" w:cs="FrankRuehl"/>
            <w:color w:val="0000FF"/>
            <w:rtl/>
          </w:rPr>
          <w:t>40ט.6.</w:t>
        </w:r>
      </w:hyperlink>
      <w:r w:rsidRPr="00096C9E">
        <w:rPr>
          <w:rFonts w:ascii="FrankRuehl" w:hAnsi="FrankRuehl" w:cs="FrankRuehl"/>
          <w:rtl/>
        </w:rPr>
        <w:t xml:space="preserve">, </w:t>
      </w:r>
      <w:hyperlink r:id="rId14" w:history="1">
        <w:r w:rsidRPr="00096C9E">
          <w:rPr>
            <w:rFonts w:ascii="FrankRuehl" w:hAnsi="FrankRuehl" w:cs="FrankRuehl"/>
            <w:color w:val="0000FF"/>
            <w:rtl/>
          </w:rPr>
          <w:t>40ט.7</w:t>
        </w:r>
      </w:hyperlink>
    </w:p>
    <w:p w14:paraId="774F8E5C" w14:textId="77777777" w:rsidR="00096C9E" w:rsidRPr="00096C9E" w:rsidRDefault="00096C9E" w:rsidP="00096C9E">
      <w:pPr>
        <w:rPr>
          <w:rFonts w:ascii="David" w:hAnsi="David"/>
          <w:rtl/>
        </w:rPr>
      </w:pPr>
      <w:bookmarkStart w:id="3" w:name="LawTable_End"/>
      <w:bookmarkEnd w:id="3"/>
    </w:p>
    <w:p w14:paraId="42155CC7" w14:textId="77777777" w:rsidR="00053573" w:rsidRPr="0005609B" w:rsidRDefault="00053573" w:rsidP="0005609B">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3573" w:rsidRPr="0093079B" w14:paraId="151F9BEA" w14:textId="77777777" w:rsidTr="00053573">
        <w:trPr>
          <w:trHeight w:val="355"/>
          <w:jc w:val="center"/>
        </w:trPr>
        <w:tc>
          <w:tcPr>
            <w:tcW w:w="8820" w:type="dxa"/>
            <w:tcBorders>
              <w:top w:val="nil"/>
              <w:left w:val="nil"/>
              <w:bottom w:val="nil"/>
              <w:right w:val="nil"/>
            </w:tcBorders>
            <w:shd w:val="clear" w:color="auto" w:fill="auto"/>
          </w:tcPr>
          <w:p w14:paraId="489513C9" w14:textId="77777777" w:rsidR="00931E3C" w:rsidRPr="00931E3C" w:rsidRDefault="00931E3C" w:rsidP="00931E3C">
            <w:pPr>
              <w:jc w:val="center"/>
              <w:rPr>
                <w:rFonts w:ascii="David" w:hAnsi="David"/>
                <w:b/>
                <w:bCs/>
                <w:sz w:val="28"/>
                <w:szCs w:val="28"/>
                <w:u w:val="single"/>
                <w:rtl/>
              </w:rPr>
            </w:pPr>
            <w:bookmarkStart w:id="4" w:name="PsakDin" w:colFirst="0" w:colLast="0"/>
            <w:r w:rsidRPr="00931E3C">
              <w:rPr>
                <w:rFonts w:ascii="David" w:hAnsi="David"/>
                <w:b/>
                <w:bCs/>
                <w:sz w:val="28"/>
                <w:szCs w:val="28"/>
                <w:u w:val="single"/>
                <w:rtl/>
              </w:rPr>
              <w:t>גזר דין</w:t>
            </w:r>
          </w:p>
          <w:p w14:paraId="1A24E987" w14:textId="77777777" w:rsidR="00053573" w:rsidRPr="00931E3C" w:rsidRDefault="00053573" w:rsidP="00931E3C">
            <w:pPr>
              <w:jc w:val="center"/>
              <w:rPr>
                <w:rFonts w:ascii="David" w:hAnsi="David"/>
                <w:b/>
                <w:bCs/>
                <w:u w:val="single"/>
                <w:rtl/>
              </w:rPr>
            </w:pPr>
          </w:p>
        </w:tc>
      </w:tr>
      <w:bookmarkEnd w:id="4"/>
    </w:tbl>
    <w:p w14:paraId="78AD1880" w14:textId="77777777" w:rsidR="00053573" w:rsidRPr="0093079B" w:rsidRDefault="00053573" w:rsidP="00053573">
      <w:pPr>
        <w:rPr>
          <w:rFonts w:ascii="David" w:hAnsi="David"/>
          <w:rtl/>
        </w:rPr>
      </w:pPr>
    </w:p>
    <w:p w14:paraId="2391E50E" w14:textId="77777777" w:rsidR="00053573" w:rsidRDefault="00053573" w:rsidP="00053573">
      <w:pPr>
        <w:rPr>
          <w:rFonts w:ascii="David" w:hAnsi="David"/>
          <w:rtl/>
        </w:rPr>
      </w:pPr>
    </w:p>
    <w:p w14:paraId="2F0D1BFC" w14:textId="77777777" w:rsidR="00053573" w:rsidRDefault="00053573" w:rsidP="00053573">
      <w:pPr>
        <w:spacing w:line="360" w:lineRule="auto"/>
        <w:jc w:val="both"/>
        <w:rPr>
          <w:rFonts w:ascii="David" w:hAnsi="David"/>
          <w:b/>
          <w:bCs/>
          <w:u w:val="single"/>
          <w:rtl/>
        </w:rPr>
      </w:pPr>
      <w:r>
        <w:rPr>
          <w:rFonts w:ascii="David" w:hAnsi="David" w:hint="cs"/>
          <w:b/>
          <w:bCs/>
          <w:u w:val="single"/>
          <w:rtl/>
        </w:rPr>
        <w:t>כתב האישום וההליכים</w:t>
      </w:r>
    </w:p>
    <w:p w14:paraId="24F75A7B" w14:textId="77777777" w:rsidR="00053573" w:rsidRDefault="00053573" w:rsidP="00053573">
      <w:pPr>
        <w:spacing w:line="360" w:lineRule="auto"/>
        <w:jc w:val="both"/>
        <w:rPr>
          <w:rFonts w:ascii="David" w:hAnsi="David"/>
          <w:b/>
          <w:bCs/>
          <w:u w:val="single"/>
          <w:rtl/>
        </w:rPr>
      </w:pPr>
    </w:p>
    <w:p w14:paraId="4056E28C" w14:textId="77777777" w:rsidR="00053573" w:rsidRDefault="00053573" w:rsidP="00053573">
      <w:pPr>
        <w:pStyle w:val="a9"/>
        <w:numPr>
          <w:ilvl w:val="0"/>
          <w:numId w:val="1"/>
        </w:numPr>
        <w:spacing w:line="360" w:lineRule="auto"/>
        <w:jc w:val="both"/>
        <w:rPr>
          <w:rFonts w:ascii="David" w:hAnsi="David"/>
          <w:b/>
          <w:bCs/>
          <w:u w:val="single"/>
        </w:rPr>
      </w:pPr>
      <w:bookmarkStart w:id="5" w:name="ABSTRACT_START"/>
      <w:bookmarkEnd w:id="5"/>
      <w:r>
        <w:rPr>
          <w:rFonts w:ascii="David" w:hAnsi="David" w:hint="cs"/>
          <w:rtl/>
        </w:rPr>
        <w:t xml:space="preserve">הנאשם הורשע על פי הודאתו בכתב אישום מתוקן בעבירה של </w:t>
      </w:r>
      <w:r>
        <w:rPr>
          <w:rtl/>
        </w:rPr>
        <w:t xml:space="preserve">גידול, ייצור והכנת סמים מסוכנים, לפי </w:t>
      </w:r>
      <w:hyperlink r:id="rId15" w:history="1">
        <w:r w:rsidR="00DC4DF8" w:rsidRPr="00DC4DF8">
          <w:rPr>
            <w:rStyle w:val="Hyperlink"/>
            <w:rFonts w:cs="David"/>
            <w:rtl/>
          </w:rPr>
          <w:t>סעיף 6</w:t>
        </w:r>
      </w:hyperlink>
      <w:r>
        <w:rPr>
          <w:rtl/>
        </w:rPr>
        <w:t xml:space="preserve"> ל</w:t>
      </w:r>
      <w:hyperlink r:id="rId16" w:history="1">
        <w:r w:rsidR="00931E3C" w:rsidRPr="00931E3C">
          <w:rPr>
            <w:color w:val="0000FF"/>
            <w:u w:val="single"/>
            <w:rtl/>
          </w:rPr>
          <w:t>פקודת הסמים המסוכנים</w:t>
        </w:r>
      </w:hyperlink>
      <w:r>
        <w:rPr>
          <w:rtl/>
        </w:rPr>
        <w:t xml:space="preserve"> [נוסח חדש], תשל"ג- 1973 (להלן –  </w:t>
      </w:r>
      <w:r>
        <w:rPr>
          <w:rFonts w:cs="Miriam"/>
          <w:rtl/>
        </w:rPr>
        <w:t>פקודת הסמים</w:t>
      </w:r>
      <w:r>
        <w:rPr>
          <w:rFonts w:hint="cs"/>
          <w:rtl/>
        </w:rPr>
        <w:t xml:space="preserve">). </w:t>
      </w:r>
      <w:r>
        <w:rPr>
          <w:rtl/>
        </w:rPr>
        <w:t xml:space="preserve">על פי עובדות כתב האישום המתוקן, הנאשם שכר דירה לשם גידול הסמים (להלן – </w:t>
      </w:r>
      <w:r w:rsidRPr="00046524">
        <w:rPr>
          <w:rFonts w:ascii="Stencil" w:hAnsi="Stencil" w:cs="Miriam" w:hint="eastAsia"/>
          <w:rtl/>
        </w:rPr>
        <w:t>הדירה</w:t>
      </w:r>
      <w:r>
        <w:rPr>
          <w:rtl/>
        </w:rPr>
        <w:t xml:space="preserve">), </w:t>
      </w:r>
      <w:r>
        <w:rPr>
          <w:rFonts w:hint="cs"/>
          <w:rtl/>
        </w:rPr>
        <w:t>וביום 29.2.21 גידל בה 52 שתילים של סם מסוכן מסוג קנבוס במשקל 13.74 ק"ג. בדירה החזיק הנאשם</w:t>
      </w:r>
      <w:r>
        <w:rPr>
          <w:rtl/>
        </w:rPr>
        <w:t xml:space="preserve"> בכלים לגידול </w:t>
      </w:r>
      <w:r>
        <w:rPr>
          <w:rFonts w:hint="cs"/>
          <w:rtl/>
        </w:rPr>
        <w:t>ה</w:t>
      </w:r>
      <w:r>
        <w:rPr>
          <w:rtl/>
        </w:rPr>
        <w:t>סמים ובכלל ז</w:t>
      </w:r>
      <w:r>
        <w:rPr>
          <w:rFonts w:hint="cs"/>
          <w:rtl/>
        </w:rPr>
        <w:t xml:space="preserve">ה 6 מנורות חימום, 8 שנאים, חומר דישון, שני מדי טמפרטורה וכן משקל אלקטרוני ושקיות חלוקה שקופות. </w:t>
      </w:r>
    </w:p>
    <w:p w14:paraId="603DE1BC" w14:textId="77777777" w:rsidR="00053573" w:rsidRDefault="00053573" w:rsidP="00053573">
      <w:pPr>
        <w:pStyle w:val="a9"/>
        <w:ind w:left="0"/>
        <w:jc w:val="both"/>
        <w:rPr>
          <w:rFonts w:ascii="David" w:hAnsi="David"/>
          <w:b/>
          <w:bCs/>
          <w:u w:val="single"/>
        </w:rPr>
      </w:pPr>
      <w:bookmarkStart w:id="6" w:name="ABSTRACT_END"/>
      <w:bookmarkEnd w:id="6"/>
    </w:p>
    <w:p w14:paraId="4109D113" w14:textId="77777777" w:rsidR="00053573" w:rsidRDefault="00053573" w:rsidP="00053573">
      <w:pPr>
        <w:pStyle w:val="a9"/>
        <w:numPr>
          <w:ilvl w:val="0"/>
          <w:numId w:val="1"/>
        </w:numPr>
        <w:spacing w:line="360" w:lineRule="auto"/>
        <w:jc w:val="both"/>
        <w:rPr>
          <w:rFonts w:ascii="David" w:hAnsi="David"/>
          <w:b/>
          <w:bCs/>
          <w:u w:val="single"/>
        </w:rPr>
      </w:pPr>
      <w:r w:rsidRPr="00046524">
        <w:rPr>
          <w:rFonts w:ascii="David" w:hAnsi="David"/>
          <w:rtl/>
        </w:rPr>
        <w:t xml:space="preserve">הודאת </w:t>
      </w:r>
      <w:r>
        <w:rPr>
          <w:rFonts w:ascii="David" w:hAnsi="David"/>
          <w:rtl/>
        </w:rPr>
        <w:t>הנאשם</w:t>
      </w:r>
      <w:r w:rsidRPr="00046524">
        <w:rPr>
          <w:rFonts w:ascii="David" w:hAnsi="David"/>
          <w:rtl/>
        </w:rPr>
        <w:t xml:space="preserve"> באה </w:t>
      </w:r>
      <w:r>
        <w:rPr>
          <w:rFonts w:ascii="David" w:hAnsi="David" w:hint="cs"/>
          <w:rtl/>
        </w:rPr>
        <w:t>לאחר הליך גישור שהתנהל בפני מותב זה. בין הצדדים גובש</w:t>
      </w:r>
      <w:r w:rsidRPr="00046524">
        <w:rPr>
          <w:rFonts w:ascii="David" w:hAnsi="David"/>
          <w:rtl/>
        </w:rPr>
        <w:t xml:space="preserve"> הסדר טיעון שכלל תיקון כתב האישום וכן הסכמה עונשית לפיה תעתור המאשימה </w:t>
      </w:r>
      <w:r w:rsidRPr="001C5B33">
        <w:rPr>
          <w:rFonts w:ascii="David" w:hAnsi="David"/>
          <w:rtl/>
        </w:rPr>
        <w:t>לעונש</w:t>
      </w:r>
      <w:r w:rsidRPr="001C5B33">
        <w:rPr>
          <w:rFonts w:ascii="David" w:hAnsi="David" w:hint="cs"/>
          <w:rtl/>
        </w:rPr>
        <w:t xml:space="preserve"> </w:t>
      </w:r>
      <w:r>
        <w:rPr>
          <w:rFonts w:ascii="David" w:hAnsi="David" w:hint="cs"/>
          <w:rtl/>
        </w:rPr>
        <w:t xml:space="preserve">מאסר </w:t>
      </w:r>
      <w:r w:rsidRPr="001C5B33">
        <w:rPr>
          <w:rFonts w:ascii="David" w:hAnsi="David" w:hint="cs"/>
          <w:rtl/>
        </w:rPr>
        <w:t>בן 9 חודשים, אשר ניתן יהיה לרצותו בדרך של עבודות שירות ככל שהנאשם יימצא מתאים, ו</w:t>
      </w:r>
      <w:r>
        <w:rPr>
          <w:rFonts w:ascii="David" w:hAnsi="David" w:hint="cs"/>
          <w:rtl/>
        </w:rPr>
        <w:t xml:space="preserve">כן </w:t>
      </w:r>
      <w:r w:rsidRPr="001C5B33">
        <w:rPr>
          <w:rFonts w:ascii="David" w:hAnsi="David" w:hint="cs"/>
          <w:rtl/>
        </w:rPr>
        <w:t>ענישה נלווית</w:t>
      </w:r>
      <w:r>
        <w:rPr>
          <w:rFonts w:ascii="David" w:hAnsi="David" w:hint="cs"/>
          <w:rtl/>
        </w:rPr>
        <w:t xml:space="preserve">. </w:t>
      </w:r>
      <w:r>
        <w:rPr>
          <w:rFonts w:ascii="David" w:hAnsi="David" w:hint="cs"/>
          <w:rtl/>
        </w:rPr>
        <w:lastRenderedPageBreak/>
        <w:t>ההגנה מצידה תטען באופן חופשי. עוד הוסכם שיוגשו על ידי המאשימה תמונות המעבדה וכי הצדדים לא יטענו דבר בעניין מטרת גידול הסמים.</w:t>
      </w:r>
    </w:p>
    <w:p w14:paraId="30A68F55" w14:textId="77777777" w:rsidR="00053573" w:rsidRPr="00C17FB0" w:rsidRDefault="00053573" w:rsidP="00053573">
      <w:pPr>
        <w:pStyle w:val="a9"/>
        <w:ind w:left="0"/>
        <w:jc w:val="both"/>
        <w:rPr>
          <w:rFonts w:ascii="David" w:hAnsi="David"/>
          <w:b/>
          <w:bCs/>
          <w:u w:val="single"/>
          <w:rtl/>
        </w:rPr>
      </w:pPr>
    </w:p>
    <w:p w14:paraId="00D58A06" w14:textId="77777777" w:rsidR="00053573" w:rsidRDefault="00053573" w:rsidP="00053573">
      <w:pPr>
        <w:pStyle w:val="a9"/>
        <w:spacing w:line="360" w:lineRule="auto"/>
        <w:ind w:left="0"/>
        <w:jc w:val="both"/>
        <w:rPr>
          <w:rFonts w:ascii="David" w:hAnsi="David"/>
          <w:b/>
          <w:bCs/>
          <w:u w:val="single"/>
        </w:rPr>
      </w:pPr>
      <w:r w:rsidRPr="003164AC">
        <w:rPr>
          <w:rFonts w:ascii="David" w:hAnsi="David"/>
          <w:b/>
          <w:bCs/>
          <w:u w:val="single"/>
          <w:rtl/>
        </w:rPr>
        <w:t>חוות דעת פסיכיאטרית</w:t>
      </w:r>
    </w:p>
    <w:p w14:paraId="1B1CA900" w14:textId="77777777" w:rsidR="00053573" w:rsidRPr="00171802" w:rsidRDefault="00053573" w:rsidP="00053573">
      <w:pPr>
        <w:pStyle w:val="a9"/>
        <w:ind w:left="0"/>
        <w:jc w:val="both"/>
        <w:rPr>
          <w:rFonts w:ascii="David" w:hAnsi="David"/>
          <w:b/>
          <w:bCs/>
          <w:u w:val="single"/>
        </w:rPr>
      </w:pPr>
    </w:p>
    <w:p w14:paraId="358C2DE8" w14:textId="77777777" w:rsidR="00053573" w:rsidRDefault="00053573" w:rsidP="00053573">
      <w:pPr>
        <w:pStyle w:val="a9"/>
        <w:numPr>
          <w:ilvl w:val="0"/>
          <w:numId w:val="1"/>
        </w:numPr>
        <w:spacing w:line="360" w:lineRule="auto"/>
        <w:jc w:val="both"/>
        <w:rPr>
          <w:rFonts w:ascii="David" w:hAnsi="David"/>
          <w:b/>
          <w:bCs/>
          <w:u w:val="single"/>
        </w:rPr>
      </w:pPr>
      <w:r>
        <w:rPr>
          <w:rFonts w:ascii="David" w:hAnsi="David" w:hint="cs"/>
          <w:rtl/>
        </w:rPr>
        <w:t xml:space="preserve">בעניינו </w:t>
      </w:r>
      <w:r w:rsidRPr="00767609">
        <w:rPr>
          <w:rFonts w:ascii="David" w:hAnsi="David"/>
          <w:rtl/>
        </w:rPr>
        <w:t>של הנאשם הוגשה חוות דעת פסיכיאטרית.</w:t>
      </w:r>
      <w:r>
        <w:rPr>
          <w:rFonts w:ascii="David" w:hAnsi="David" w:hint="cs"/>
          <w:rtl/>
        </w:rPr>
        <w:t xml:space="preserve"> </w:t>
      </w:r>
      <w:r w:rsidRPr="00767609">
        <w:rPr>
          <w:rFonts w:ascii="David" w:hAnsi="David"/>
          <w:rtl/>
        </w:rPr>
        <w:t xml:space="preserve">צוין </w:t>
      </w:r>
      <w:r>
        <w:rPr>
          <w:rFonts w:ascii="David" w:hAnsi="David"/>
          <w:rtl/>
        </w:rPr>
        <w:t>כי הנאשם מוכר למערכת הפסיכיאטרי</w:t>
      </w:r>
      <w:r>
        <w:rPr>
          <w:rFonts w:ascii="David" w:hAnsi="David" w:hint="cs"/>
          <w:rtl/>
        </w:rPr>
        <w:t xml:space="preserve">ת מטיפול אמבולטורי וכי הוא נמצא במעקב. הנאשם אובחן כלוקה בסכיזופרניה פרנואידית הנמצאת בהפוגה טיפולית קלה, ללא אשפוזים פסיכיאטריים. בחוות הדעת צוין כי הנאשם מגלה סימנים פסיכוטיים, מחשבות שווא והזיות כרוניות, אך מחלתו לא גרמה לו שלא להבין את הפסול שבמעשיו ולא מנעה ממנו את היכולת להימנע מלבצע את העבירה. סיכומו של דבר צוין כי הנאשם נמצא כשיר לעמוד לדין אך הוא זקוק להמשך טיפול ומעקב מרפאתי.   </w:t>
      </w:r>
    </w:p>
    <w:p w14:paraId="5DC9F881" w14:textId="77777777" w:rsidR="00053573" w:rsidRDefault="00053573" w:rsidP="00053573">
      <w:pPr>
        <w:pStyle w:val="a9"/>
        <w:spacing w:line="360" w:lineRule="auto"/>
        <w:ind w:left="0"/>
        <w:jc w:val="both"/>
        <w:rPr>
          <w:rFonts w:ascii="David" w:hAnsi="David"/>
          <w:b/>
          <w:bCs/>
          <w:u w:val="single"/>
          <w:rtl/>
        </w:rPr>
      </w:pPr>
    </w:p>
    <w:p w14:paraId="284F5F81" w14:textId="77777777" w:rsidR="00053573" w:rsidRDefault="00053573" w:rsidP="00053573">
      <w:pPr>
        <w:pStyle w:val="a9"/>
        <w:spacing w:line="360" w:lineRule="auto"/>
        <w:ind w:left="0"/>
        <w:jc w:val="both"/>
        <w:rPr>
          <w:rFonts w:ascii="David" w:hAnsi="David"/>
          <w:b/>
          <w:bCs/>
          <w:u w:val="single"/>
          <w:rtl/>
        </w:rPr>
      </w:pPr>
    </w:p>
    <w:p w14:paraId="080FAE42" w14:textId="77777777" w:rsidR="00053573" w:rsidRDefault="00053573" w:rsidP="00053573">
      <w:pPr>
        <w:pStyle w:val="a9"/>
        <w:spacing w:line="360" w:lineRule="auto"/>
        <w:ind w:left="0"/>
        <w:jc w:val="both"/>
        <w:rPr>
          <w:rFonts w:ascii="David" w:hAnsi="David"/>
          <w:b/>
          <w:bCs/>
          <w:u w:val="single"/>
          <w:rtl/>
        </w:rPr>
      </w:pPr>
      <w:r w:rsidRPr="007A0C0B">
        <w:rPr>
          <w:rFonts w:ascii="David" w:hAnsi="David"/>
          <w:b/>
          <w:bCs/>
          <w:u w:val="single"/>
          <w:rtl/>
        </w:rPr>
        <w:t>טיעוני הצדדים לעונש וראיותיהם</w:t>
      </w:r>
    </w:p>
    <w:p w14:paraId="5C9CDE03" w14:textId="77777777" w:rsidR="00053573" w:rsidRDefault="00053573" w:rsidP="00053573">
      <w:pPr>
        <w:pStyle w:val="a9"/>
        <w:ind w:left="0"/>
        <w:jc w:val="both"/>
        <w:rPr>
          <w:rFonts w:ascii="David" w:hAnsi="David"/>
          <w:b/>
          <w:bCs/>
          <w:u w:val="single"/>
        </w:rPr>
      </w:pPr>
    </w:p>
    <w:p w14:paraId="08FDF03C" w14:textId="77777777" w:rsidR="00053573" w:rsidRDefault="00053573" w:rsidP="00053573">
      <w:pPr>
        <w:pStyle w:val="a9"/>
        <w:numPr>
          <w:ilvl w:val="0"/>
          <w:numId w:val="1"/>
        </w:numPr>
        <w:spacing w:line="360" w:lineRule="auto"/>
        <w:jc w:val="both"/>
        <w:rPr>
          <w:rFonts w:ascii="Arial" w:hAnsi="Arial"/>
        </w:rPr>
      </w:pPr>
      <w:r>
        <w:rPr>
          <w:rtl/>
        </w:rPr>
        <w:t>ב"כ המאשימה הפנ</w:t>
      </w:r>
      <w:r>
        <w:rPr>
          <w:rFonts w:hint="cs"/>
          <w:rtl/>
        </w:rPr>
        <w:t>ת</w:t>
      </w:r>
      <w:r>
        <w:rPr>
          <w:rtl/>
        </w:rPr>
        <w:t>ה לעובדות כתב האישום והדגיש</w:t>
      </w:r>
      <w:r>
        <w:rPr>
          <w:rFonts w:hint="cs"/>
          <w:rtl/>
        </w:rPr>
        <w:t>ה</w:t>
      </w:r>
      <w:r>
        <w:rPr>
          <w:rtl/>
        </w:rPr>
        <w:t xml:space="preserve"> את חומרת העביר</w:t>
      </w:r>
      <w:r>
        <w:rPr>
          <w:rFonts w:hint="cs"/>
          <w:rtl/>
        </w:rPr>
        <w:t xml:space="preserve">ה. </w:t>
      </w:r>
      <w:r>
        <w:rPr>
          <w:rtl/>
        </w:rPr>
        <w:t>נטען כי מדובר בדירה ששכר הנאשם לצורך גידול הסמי</w:t>
      </w:r>
      <w:r>
        <w:rPr>
          <w:rFonts w:hint="cs"/>
          <w:rtl/>
        </w:rPr>
        <w:t xml:space="preserve">ם וכי גודלו בה עשרות שתילים במשקל רב וכן נתפסו כלים. נטען כי הערך המוגן שנפגע הוא שלום הציבור וכי בעבירה זו קיים פוטנציאל נזק ממשי. המאשימה הפנתה לפסיקה וטענה למתחם הנע בין 9 חודשי מאסר בפועל ועד 24 חודשי מאסר בפועל. ביחס לעונש שיש להטיל על הנאשם </w:t>
      </w:r>
      <w:r>
        <w:rPr>
          <w:rtl/>
        </w:rPr>
        <w:t xml:space="preserve">עתרה </w:t>
      </w:r>
      <w:r>
        <w:rPr>
          <w:rFonts w:hint="cs"/>
          <w:rtl/>
        </w:rPr>
        <w:t xml:space="preserve">המאשימה למקמו </w:t>
      </w:r>
      <w:r>
        <w:rPr>
          <w:rtl/>
        </w:rPr>
        <w:t xml:space="preserve">בחלקו התחתון של המתחם, </w:t>
      </w:r>
      <w:r>
        <w:rPr>
          <w:rFonts w:hint="cs"/>
          <w:rtl/>
        </w:rPr>
        <w:t xml:space="preserve">היינו </w:t>
      </w:r>
      <w:r>
        <w:rPr>
          <w:rtl/>
        </w:rPr>
        <w:t xml:space="preserve"> מאסר</w:t>
      </w:r>
      <w:r>
        <w:rPr>
          <w:rFonts w:hint="cs"/>
          <w:rtl/>
        </w:rPr>
        <w:t xml:space="preserve"> </w:t>
      </w:r>
      <w:r>
        <w:rPr>
          <w:rtl/>
        </w:rPr>
        <w:t xml:space="preserve">למשך </w:t>
      </w:r>
      <w:r>
        <w:rPr>
          <w:rFonts w:hint="cs"/>
          <w:rtl/>
        </w:rPr>
        <w:t>9</w:t>
      </w:r>
      <w:r>
        <w:rPr>
          <w:rtl/>
        </w:rPr>
        <w:t xml:space="preserve"> חודשים</w:t>
      </w:r>
      <w:r>
        <w:rPr>
          <w:rFonts w:hint="cs"/>
          <w:rtl/>
        </w:rPr>
        <w:t xml:space="preserve"> לריצוי בדרך של עבודות שירות. כן עתרה להטיל </w:t>
      </w:r>
      <w:r>
        <w:rPr>
          <w:rtl/>
        </w:rPr>
        <w:t>מאסר על תנאי, קנס</w:t>
      </w:r>
      <w:r>
        <w:rPr>
          <w:rFonts w:hint="cs"/>
          <w:rtl/>
        </w:rPr>
        <w:t xml:space="preserve">, התחייבות וחילוט הציוד המפורט בכתב האישום. </w:t>
      </w:r>
    </w:p>
    <w:p w14:paraId="10F5EACB" w14:textId="77777777" w:rsidR="00053573" w:rsidRDefault="00053573" w:rsidP="00053573">
      <w:pPr>
        <w:pStyle w:val="a9"/>
        <w:ind w:left="0"/>
        <w:jc w:val="both"/>
        <w:rPr>
          <w:rFonts w:ascii="Arial" w:hAnsi="Arial"/>
        </w:rPr>
      </w:pPr>
    </w:p>
    <w:p w14:paraId="453D1BAD" w14:textId="77777777" w:rsidR="00053573" w:rsidRDefault="00053573" w:rsidP="00053573">
      <w:pPr>
        <w:pStyle w:val="a9"/>
        <w:numPr>
          <w:ilvl w:val="0"/>
          <w:numId w:val="1"/>
        </w:numPr>
        <w:spacing w:line="360" w:lineRule="auto"/>
        <w:jc w:val="both"/>
        <w:rPr>
          <w:rFonts w:ascii="David" w:hAnsi="David"/>
        </w:rPr>
      </w:pPr>
      <w:r>
        <w:rPr>
          <w:rFonts w:hint="cs"/>
          <w:rtl/>
        </w:rPr>
        <w:t xml:space="preserve"> </w:t>
      </w:r>
      <w:r>
        <w:rPr>
          <w:rFonts w:ascii="David" w:hAnsi="David" w:hint="cs"/>
          <w:rtl/>
        </w:rPr>
        <w:t xml:space="preserve">ההגנה טענה כי מדובר בנאשם שהודה בהזדמנות הראשונה וקיבל אחריות למעשיו. הוגשו מסמכים רפואיים  ונטען כי הנאשם סובל ממצב נפשי מורכב, מטופל באופן קבוע ובעברו פציעה בתאונת דרכים. ביחס למתחם העונש ההולם הפנתה ההגנה לפסיקה ונטען כי בנסיבות עניינו יש לקבוע מתחם הנע בין 3 חודשי מאסר לריצוי בדרך של עבודות שירות ועד 18 חודשי מאסר בפועל וזאת בשים לב למצבו הנפשי של הנאשם והסכמת הצדדים שלא לטעון בעניין מטרת הגידול. ההגנה עתרה למקם את הנאשם בחלקו התחתון של המתחם, ולחילופין טען הסנגור כי על אף היעדר הליך טיפולי ניתן להביא בחשבון שיקולי שיקום לאור כך שהנאשם מסר לאחרונה בדיקת שתן נקיה משרידי סם. </w:t>
      </w:r>
    </w:p>
    <w:p w14:paraId="545BA2F3" w14:textId="77777777" w:rsidR="00053573" w:rsidRDefault="00053573" w:rsidP="00053573">
      <w:pPr>
        <w:pStyle w:val="a9"/>
        <w:ind w:left="0"/>
        <w:jc w:val="both"/>
        <w:rPr>
          <w:rFonts w:ascii="David" w:hAnsi="David"/>
        </w:rPr>
      </w:pPr>
    </w:p>
    <w:p w14:paraId="5A871BB8" w14:textId="77777777" w:rsidR="00053573" w:rsidRPr="008B6867" w:rsidRDefault="00053573" w:rsidP="00053573">
      <w:pPr>
        <w:pStyle w:val="a9"/>
        <w:numPr>
          <w:ilvl w:val="0"/>
          <w:numId w:val="1"/>
        </w:numPr>
        <w:spacing w:line="360" w:lineRule="auto"/>
        <w:jc w:val="both"/>
        <w:rPr>
          <w:rFonts w:ascii="David" w:hAnsi="David"/>
        </w:rPr>
      </w:pPr>
      <w:r w:rsidRPr="008B6867">
        <w:rPr>
          <w:rFonts w:ascii="Arial" w:hAnsi="Arial"/>
          <w:rtl/>
        </w:rPr>
        <w:t xml:space="preserve">הנאשם בדברו האחרון הביע חרטה, קיבל אחריות למעשיו וציין שלא ישוב עליהם. </w:t>
      </w:r>
    </w:p>
    <w:p w14:paraId="0C3F3AB6" w14:textId="77777777" w:rsidR="00053573" w:rsidRPr="008B6867" w:rsidRDefault="00053573" w:rsidP="00053573">
      <w:pPr>
        <w:pStyle w:val="a9"/>
        <w:ind w:left="0"/>
        <w:jc w:val="both"/>
        <w:rPr>
          <w:rFonts w:ascii="David" w:hAnsi="David"/>
          <w:rtl/>
        </w:rPr>
      </w:pPr>
    </w:p>
    <w:p w14:paraId="70BC1BED" w14:textId="77777777" w:rsidR="00053573" w:rsidRPr="005D0A5D" w:rsidRDefault="00053573" w:rsidP="00053573">
      <w:pPr>
        <w:spacing w:line="360" w:lineRule="auto"/>
        <w:contextualSpacing/>
        <w:jc w:val="both"/>
        <w:rPr>
          <w:b/>
          <w:bCs/>
          <w:u w:val="single"/>
          <w:rtl/>
        </w:rPr>
      </w:pPr>
      <w:r w:rsidRPr="005D0A5D">
        <w:rPr>
          <w:b/>
          <w:bCs/>
          <w:u w:val="single"/>
          <w:rtl/>
        </w:rPr>
        <w:t>דיון והכרעה</w:t>
      </w:r>
    </w:p>
    <w:p w14:paraId="7B883BB2" w14:textId="77777777" w:rsidR="00053573" w:rsidRDefault="00053573" w:rsidP="00053573">
      <w:pPr>
        <w:rPr>
          <w:b/>
          <w:bCs/>
          <w:u w:val="single"/>
          <w:rtl/>
        </w:rPr>
      </w:pPr>
      <w:r>
        <w:rPr>
          <w:b/>
          <w:bCs/>
          <w:u w:val="single"/>
          <w:rtl/>
        </w:rPr>
        <w:t>קביעת מתחם הענישה</w:t>
      </w:r>
    </w:p>
    <w:p w14:paraId="34670B62" w14:textId="77777777" w:rsidR="00053573" w:rsidRDefault="00053573" w:rsidP="00053573">
      <w:pPr>
        <w:pStyle w:val="a9"/>
        <w:spacing w:line="360" w:lineRule="auto"/>
        <w:ind w:left="0"/>
        <w:jc w:val="both"/>
        <w:rPr>
          <w:rFonts w:ascii="David" w:hAnsi="David"/>
        </w:rPr>
      </w:pPr>
    </w:p>
    <w:p w14:paraId="702C81D8" w14:textId="77777777" w:rsidR="00053573" w:rsidRDefault="00053573" w:rsidP="00053573">
      <w:pPr>
        <w:pStyle w:val="a9"/>
        <w:numPr>
          <w:ilvl w:val="0"/>
          <w:numId w:val="1"/>
        </w:numPr>
        <w:spacing w:line="360" w:lineRule="auto"/>
        <w:jc w:val="both"/>
        <w:rPr>
          <w:rFonts w:ascii="David" w:hAnsi="David"/>
        </w:rPr>
      </w:pPr>
      <w:r w:rsidRPr="00083FA7">
        <w:rPr>
          <w:rtl/>
        </w:rPr>
        <w:lastRenderedPageBreak/>
        <w:t>בהתאם לתיקון 113 ל</w:t>
      </w:r>
      <w:hyperlink r:id="rId17" w:history="1">
        <w:r w:rsidR="00931E3C" w:rsidRPr="00931E3C">
          <w:rPr>
            <w:color w:val="0000FF"/>
            <w:u w:val="single"/>
            <w:rtl/>
          </w:rPr>
          <w:t>חוק העונשין</w:t>
        </w:r>
      </w:hyperlink>
      <w:r w:rsidRPr="00083FA7">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w:t>
      </w:r>
      <w:r>
        <w:rPr>
          <w:rtl/>
        </w:rPr>
        <w:t xml:space="preserve">מתחם </w:t>
      </w:r>
      <w:r w:rsidRPr="00083FA7">
        <w:rPr>
          <w:rtl/>
        </w:rPr>
        <w:t xml:space="preserve">העונש ההולם מתחשב בית המשפט </w:t>
      </w:r>
      <w:r>
        <w:rPr>
          <w:rtl/>
        </w:rPr>
        <w:t xml:space="preserve">בעקרון המנחה בענישה – הלימה, </w:t>
      </w:r>
      <w:r w:rsidRPr="00083FA7">
        <w:rPr>
          <w:rtl/>
        </w:rPr>
        <w:t xml:space="preserve">בערך החברתי שנפגע, במידת הפגיעה בו, במדיניות הענישה הנוהגת ובנסיבות הקשורות בביצוע העבירה, על פי </w:t>
      </w:r>
      <w:hyperlink r:id="rId18" w:history="1">
        <w:r w:rsidR="00DC4DF8" w:rsidRPr="00DC4DF8">
          <w:rPr>
            <w:rStyle w:val="Hyperlink"/>
            <w:rFonts w:cs="David"/>
            <w:rtl/>
          </w:rPr>
          <w:t>סעיף 40ט'</w:t>
        </w:r>
      </w:hyperlink>
      <w:r w:rsidRPr="00083FA7">
        <w:rPr>
          <w:rtl/>
        </w:rPr>
        <w:t xml:space="preserve"> ל</w:t>
      </w:r>
      <w:hyperlink r:id="rId19" w:history="1">
        <w:r w:rsidR="00931E3C" w:rsidRPr="00931E3C">
          <w:rPr>
            <w:color w:val="0000FF"/>
            <w:u w:val="single"/>
            <w:rtl/>
          </w:rPr>
          <w:t>חוק העונשין</w:t>
        </w:r>
      </w:hyperlink>
      <w:r w:rsidRPr="00083FA7">
        <w:rPr>
          <w:rtl/>
        </w:rPr>
        <w:t>.</w:t>
      </w:r>
    </w:p>
    <w:p w14:paraId="767E341A" w14:textId="77777777" w:rsidR="00053573" w:rsidRDefault="00053573" w:rsidP="00053573">
      <w:pPr>
        <w:pStyle w:val="a9"/>
        <w:ind w:left="0"/>
        <w:jc w:val="both"/>
        <w:rPr>
          <w:rFonts w:ascii="David" w:hAnsi="David"/>
        </w:rPr>
      </w:pPr>
    </w:p>
    <w:p w14:paraId="62A1B45E" w14:textId="77777777" w:rsidR="00053573" w:rsidRDefault="00053573" w:rsidP="00053573">
      <w:pPr>
        <w:pStyle w:val="a9"/>
        <w:numPr>
          <w:ilvl w:val="0"/>
          <w:numId w:val="1"/>
        </w:numPr>
        <w:spacing w:line="360" w:lineRule="auto"/>
        <w:jc w:val="both"/>
        <w:rPr>
          <w:rFonts w:ascii="Arial" w:hAnsi="Arial"/>
        </w:rPr>
      </w:pPr>
      <w:r w:rsidRPr="000365C0">
        <w:rPr>
          <w:b/>
          <w:bCs/>
          <w:rtl/>
        </w:rPr>
        <w:t>הערכים המוגנים בבסיס עביר</w:t>
      </w:r>
      <w:r w:rsidRPr="000365C0">
        <w:rPr>
          <w:rFonts w:hint="cs"/>
          <w:b/>
          <w:bCs/>
          <w:rtl/>
        </w:rPr>
        <w:t>ה זו</w:t>
      </w:r>
      <w:r w:rsidRPr="007B3AC4">
        <w:rPr>
          <w:rFonts w:hint="cs"/>
          <w:rtl/>
        </w:rPr>
        <w:t xml:space="preserve"> ברורים והם </w:t>
      </w:r>
      <w:r w:rsidRPr="007B3AC4">
        <w:rPr>
          <w:rFonts w:ascii="David" w:hAnsi="David"/>
          <w:rtl/>
        </w:rPr>
        <w:t>בטחון</w:t>
      </w:r>
      <w:r w:rsidRPr="00BF3082">
        <w:rPr>
          <w:rFonts w:ascii="David" w:hAnsi="David"/>
          <w:rtl/>
        </w:rPr>
        <w:t xml:space="preserve"> הציבור וש</w:t>
      </w:r>
      <w:r>
        <w:rPr>
          <w:rFonts w:ascii="David" w:hAnsi="David"/>
          <w:rtl/>
        </w:rPr>
        <w:t>לומו. הסכנות הטמונות בהחזקת סם</w:t>
      </w:r>
      <w:r>
        <w:rPr>
          <w:rFonts w:ascii="David" w:hAnsi="David" w:hint="cs"/>
          <w:rtl/>
        </w:rPr>
        <w:t xml:space="preserve"> </w:t>
      </w:r>
      <w:r w:rsidRPr="00BF3082">
        <w:rPr>
          <w:rFonts w:ascii="David" w:hAnsi="David"/>
          <w:rtl/>
        </w:rPr>
        <w:t>לצורך גידולו ידועות ואין צורך להכביר מילים על הנזקים שעלולים להיגרם לחברה ולפרט ממעשים אלו.</w:t>
      </w:r>
      <w:r w:rsidRPr="00816D81">
        <w:rPr>
          <w:rFonts w:ascii="David" w:hAnsi="David"/>
          <w:rtl/>
        </w:rPr>
        <w:t xml:space="preserve"> פעם אחר פעם נפסק </w:t>
      </w:r>
      <w:r>
        <w:rPr>
          <w:rFonts w:ascii="David" w:hAnsi="David"/>
          <w:rtl/>
        </w:rPr>
        <w:t>ש</w:t>
      </w:r>
      <w:r w:rsidRPr="00816D81">
        <w:rPr>
          <w:rFonts w:ascii="David" w:hAnsi="David"/>
          <w:rtl/>
        </w:rPr>
        <w:t xml:space="preserve">יש לראות בחומרה רבה את עבירות הסמים אשר הפכו מכת מדינה וכי תוצאותיהן הישירות והעקיפות הן הרות אסון לשלומה של החברה, לבריאותה ולביטחונה.  </w:t>
      </w:r>
    </w:p>
    <w:p w14:paraId="70915BC7" w14:textId="77777777" w:rsidR="00053573" w:rsidRDefault="00053573" w:rsidP="00053573">
      <w:pPr>
        <w:pStyle w:val="a9"/>
        <w:spacing w:line="360" w:lineRule="auto"/>
        <w:ind w:left="0"/>
        <w:jc w:val="both"/>
        <w:rPr>
          <w:rFonts w:ascii="Arial" w:hAnsi="Arial"/>
        </w:rPr>
      </w:pPr>
    </w:p>
    <w:p w14:paraId="137AD523" w14:textId="77777777" w:rsidR="00053573" w:rsidRPr="007B3AC4" w:rsidRDefault="00053573" w:rsidP="00053573">
      <w:pPr>
        <w:pStyle w:val="a9"/>
        <w:numPr>
          <w:ilvl w:val="0"/>
          <w:numId w:val="1"/>
        </w:numPr>
        <w:spacing w:line="360" w:lineRule="auto"/>
        <w:jc w:val="both"/>
        <w:rPr>
          <w:rFonts w:ascii="Arial" w:hAnsi="Arial"/>
        </w:rPr>
      </w:pPr>
      <w:r>
        <w:rPr>
          <w:rFonts w:hint="cs"/>
          <w:b/>
          <w:bCs/>
          <w:rtl/>
        </w:rPr>
        <w:t xml:space="preserve">בעניין </w:t>
      </w:r>
      <w:r w:rsidRPr="003D1A50">
        <w:rPr>
          <w:b/>
          <w:bCs/>
          <w:rtl/>
        </w:rPr>
        <w:t xml:space="preserve">נסיבות </w:t>
      </w:r>
      <w:r>
        <w:rPr>
          <w:rFonts w:hint="cs"/>
          <w:b/>
          <w:bCs/>
          <w:rtl/>
        </w:rPr>
        <w:t>הקשורות ל</w:t>
      </w:r>
      <w:r w:rsidRPr="003D1A50">
        <w:rPr>
          <w:b/>
          <w:bCs/>
          <w:rtl/>
        </w:rPr>
        <w:t>ביצוע העבירה</w:t>
      </w:r>
      <w:r w:rsidRPr="0083183C">
        <w:rPr>
          <w:rtl/>
        </w:rPr>
        <w:t xml:space="preserve"> </w:t>
      </w:r>
      <w:r>
        <w:rPr>
          <w:rFonts w:hint="cs"/>
          <w:rtl/>
        </w:rPr>
        <w:t xml:space="preserve">אציין כי מדובר בעבירה המלמדת </w:t>
      </w:r>
      <w:r w:rsidRPr="0083183C">
        <w:rPr>
          <w:rtl/>
        </w:rPr>
        <w:t>על תכנון מוקדם, שהתבטא</w:t>
      </w:r>
      <w:r w:rsidRPr="00BB3125">
        <w:rPr>
          <w:b/>
          <w:bCs/>
          <w:rtl/>
        </w:rPr>
        <w:t xml:space="preserve"> </w:t>
      </w:r>
      <w:r w:rsidRPr="0083183C">
        <w:rPr>
          <w:rtl/>
        </w:rPr>
        <w:t>ב</w:t>
      </w:r>
      <w:r>
        <w:rPr>
          <w:rtl/>
        </w:rPr>
        <w:t>שכירת הדירה וב</w:t>
      </w:r>
      <w:r w:rsidRPr="0083183C">
        <w:rPr>
          <w:rtl/>
        </w:rPr>
        <w:t xml:space="preserve">הצטיידות בכלים </w:t>
      </w:r>
      <w:r>
        <w:rPr>
          <w:rFonts w:hint="cs"/>
          <w:rtl/>
        </w:rPr>
        <w:t xml:space="preserve">וידע </w:t>
      </w:r>
      <w:r w:rsidRPr="0083183C">
        <w:rPr>
          <w:rtl/>
        </w:rPr>
        <w:t>מתאימים לצורך גידול השתילים. מדובר בשיטת גידול משוכללת יחסית שיש בה להעיד על השקעה מחשבתית וכספית</w:t>
      </w:r>
      <w:r>
        <w:rPr>
          <w:rFonts w:hint="cs"/>
          <w:rtl/>
        </w:rPr>
        <w:t>, ומעיון בתמונות מתחזקת מסקנה זו</w:t>
      </w:r>
      <w:r w:rsidRPr="00DE73A7">
        <w:rPr>
          <w:rtl/>
        </w:rPr>
        <w:t>.</w:t>
      </w:r>
      <w:r w:rsidRPr="003D1A50">
        <w:rPr>
          <w:rFonts w:ascii="Arial" w:hAnsi="Arial" w:hint="cs"/>
          <w:b/>
          <w:bCs/>
          <w:rtl/>
        </w:rPr>
        <w:t xml:space="preserve"> </w:t>
      </w:r>
    </w:p>
    <w:p w14:paraId="6A4F4C4C" w14:textId="77777777" w:rsidR="00053573" w:rsidRPr="007B3AC4" w:rsidRDefault="00053573" w:rsidP="00053573">
      <w:pPr>
        <w:pStyle w:val="a9"/>
        <w:rPr>
          <w:rFonts w:ascii="Arial" w:hAnsi="Arial"/>
          <w:b/>
          <w:bCs/>
          <w:rtl/>
        </w:rPr>
      </w:pPr>
    </w:p>
    <w:p w14:paraId="7F2EDC5E" w14:textId="77777777" w:rsidR="00053573" w:rsidRPr="003D1A50" w:rsidRDefault="00053573" w:rsidP="00053573">
      <w:pPr>
        <w:pStyle w:val="a9"/>
        <w:spacing w:line="360" w:lineRule="auto"/>
        <w:ind w:left="0" w:firstLine="720"/>
        <w:jc w:val="both"/>
        <w:rPr>
          <w:rFonts w:ascii="Arial" w:hAnsi="Arial"/>
        </w:rPr>
      </w:pPr>
      <w:r w:rsidRPr="00036F73">
        <w:rPr>
          <w:rFonts w:ascii="Arial" w:hAnsi="Arial" w:hint="cs"/>
          <w:rtl/>
        </w:rPr>
        <w:t>ביחס ל</w:t>
      </w:r>
      <w:r w:rsidRPr="00036F73">
        <w:rPr>
          <w:rtl/>
        </w:rPr>
        <w:t>נזק שנגרם ושהיה צפוי להיגרם מביצוע העבירה</w:t>
      </w:r>
      <w:r w:rsidRPr="00036F73">
        <w:rPr>
          <w:rFonts w:hint="cs"/>
          <w:rtl/>
        </w:rPr>
        <w:t>, כמו גם הסיבות שהביאו את</w:t>
      </w:r>
      <w:r>
        <w:rPr>
          <w:rFonts w:hint="cs"/>
          <w:rtl/>
        </w:rPr>
        <w:t xml:space="preserve"> הנאשם לבצע את העבירה, אציין כי</w:t>
      </w:r>
      <w:r>
        <w:rPr>
          <w:rtl/>
        </w:rPr>
        <w:t xml:space="preserve"> </w:t>
      </w:r>
      <w:r w:rsidRPr="0083183C">
        <w:rPr>
          <w:rtl/>
        </w:rPr>
        <w:t>כמות הסמים שגידל</w:t>
      </w:r>
      <w:r>
        <w:rPr>
          <w:rtl/>
        </w:rPr>
        <w:t xml:space="preserve"> הנאשם אינה מבוטלת. מדובר ב-</w:t>
      </w:r>
      <w:r>
        <w:rPr>
          <w:rFonts w:hint="cs"/>
          <w:rtl/>
        </w:rPr>
        <w:t>52</w:t>
      </w:r>
      <w:r w:rsidRPr="0083183C">
        <w:rPr>
          <w:rtl/>
        </w:rPr>
        <w:t xml:space="preserve"> שתילים אשר שקלו במועד התפיסה מעל</w:t>
      </w:r>
      <w:r>
        <w:rPr>
          <w:rtl/>
        </w:rPr>
        <w:t xml:space="preserve"> 13</w:t>
      </w:r>
      <w:r w:rsidRPr="0083183C">
        <w:rPr>
          <w:rtl/>
        </w:rPr>
        <w:t xml:space="preserve"> ק"ג</w:t>
      </w:r>
      <w:r>
        <w:rPr>
          <w:rFonts w:ascii="Arial" w:hAnsi="Arial" w:hint="cs"/>
          <w:rtl/>
        </w:rPr>
        <w:t>. בהקשר זה אציין כי לעיתים כמות הסם ומשקלו עשויים להעיד על מטרת גידול הסמים ולהוביל למסקנה שמדובר בגידול לשימוש עצמי בלבד, או להיפך, היינו שלא לשימוש עצמי בלבד (</w:t>
      </w:r>
      <w:r w:rsidRPr="000369D2">
        <w:rPr>
          <w:rFonts w:ascii="Arial" w:hAnsi="Arial"/>
          <w:rtl/>
        </w:rPr>
        <w:t xml:space="preserve">ראו למשל: </w:t>
      </w:r>
      <w:hyperlink r:id="rId20" w:history="1">
        <w:r w:rsidR="00931E3C" w:rsidRPr="00931E3C">
          <w:rPr>
            <w:rFonts w:ascii="Arial" w:hAnsi="Arial"/>
            <w:color w:val="0000FF"/>
            <w:u w:val="single"/>
            <w:rtl/>
          </w:rPr>
          <w:t>דנ"פ 10402/07</w:t>
        </w:r>
      </w:hyperlink>
      <w:r w:rsidRPr="000369D2">
        <w:rPr>
          <w:rFonts w:ascii="Arial" w:hAnsi="Arial"/>
          <w:rtl/>
        </w:rPr>
        <w:t xml:space="preserve"> </w:t>
      </w:r>
      <w:r w:rsidRPr="000369D2">
        <w:rPr>
          <w:rFonts w:ascii="Arial" w:hAnsi="Arial"/>
          <w:b/>
          <w:bCs/>
          <w:rtl/>
        </w:rPr>
        <w:t xml:space="preserve">מטיס נ' מדינת ישראל </w:t>
      </w:r>
      <w:r>
        <w:rPr>
          <w:rFonts w:ascii="Arial" w:hAnsi="Arial"/>
          <w:rtl/>
        </w:rPr>
        <w:t xml:space="preserve">(29.1.2008); (ת"פ </w:t>
      </w:r>
      <w:hyperlink r:id="rId21" w:history="1">
        <w:r w:rsidR="0005609B" w:rsidRPr="0005609B">
          <w:rPr>
            <w:rFonts w:ascii="Arial" w:hAnsi="Arial"/>
            <w:color w:val="0000FF"/>
            <w:u w:val="single"/>
            <w:rtl/>
          </w:rPr>
          <w:t xml:space="preserve">4720/02 </w:t>
        </w:r>
      </w:hyperlink>
      <w:r w:rsidRPr="000369D2">
        <w:rPr>
          <w:rFonts w:ascii="Arial" w:hAnsi="Arial"/>
          <w:rtl/>
        </w:rPr>
        <w:t xml:space="preserve"> </w:t>
      </w:r>
      <w:r w:rsidRPr="000369D2">
        <w:rPr>
          <w:rFonts w:ascii="Arial" w:hAnsi="Arial"/>
          <w:b/>
          <w:bCs/>
          <w:rtl/>
        </w:rPr>
        <w:t>מדינת ישראל נ' עבד אל רחמן תאפל</w:t>
      </w:r>
      <w:r w:rsidRPr="000369D2">
        <w:rPr>
          <w:rFonts w:ascii="Arial" w:hAnsi="Arial"/>
          <w:rtl/>
        </w:rPr>
        <w:t xml:space="preserve"> (16.5.2005); כב' השופט עמית</w:t>
      </w:r>
      <w:r>
        <w:rPr>
          <w:rFonts w:ascii="Arial" w:hAnsi="Arial" w:hint="cs"/>
          <w:rtl/>
        </w:rPr>
        <w:t xml:space="preserve">; </w:t>
      </w:r>
      <w:hyperlink r:id="rId22" w:history="1">
        <w:r w:rsidR="00931E3C" w:rsidRPr="00931E3C">
          <w:rPr>
            <w:rFonts w:ascii="Arial" w:hAnsi="Arial"/>
            <w:color w:val="0000FF"/>
            <w:u w:val="single"/>
            <w:rtl/>
          </w:rPr>
          <w:t>רע"פ 314/16</w:t>
        </w:r>
      </w:hyperlink>
      <w:r w:rsidRPr="005A323D">
        <w:rPr>
          <w:rFonts w:ascii="Arial" w:hAnsi="Arial"/>
          <w:rtl/>
        </w:rPr>
        <w:t xml:space="preserve"> </w:t>
      </w:r>
      <w:r w:rsidRPr="005A323D">
        <w:rPr>
          <w:rFonts w:ascii="Arial" w:hAnsi="Arial"/>
          <w:b/>
          <w:bCs/>
          <w:rtl/>
        </w:rPr>
        <w:t>בן צבי נ' מדינת ישראל</w:t>
      </w:r>
      <w:r>
        <w:rPr>
          <w:rFonts w:ascii="Arial" w:hAnsi="Arial"/>
          <w:rtl/>
        </w:rPr>
        <w:t xml:space="preserve"> (22.02.2016)</w:t>
      </w:r>
      <w:r>
        <w:rPr>
          <w:rFonts w:ascii="Arial" w:hAnsi="Arial" w:hint="cs"/>
          <w:rtl/>
        </w:rPr>
        <w:t xml:space="preserve">). עם זאת, במקרה דנן הסכימו הצדדים שלא יטענו טענות בעניין מטרת גידול הסמים, ואביא הסכמה זו בחשבון בקביעת המתחם. </w:t>
      </w:r>
    </w:p>
    <w:p w14:paraId="43C8FD68" w14:textId="77777777" w:rsidR="00053573" w:rsidRPr="0062229B" w:rsidRDefault="00053573" w:rsidP="00053573">
      <w:pPr>
        <w:pStyle w:val="a9"/>
        <w:ind w:left="0"/>
        <w:jc w:val="both"/>
        <w:rPr>
          <w:rFonts w:ascii="Arial" w:hAnsi="Arial"/>
        </w:rPr>
      </w:pPr>
    </w:p>
    <w:p w14:paraId="10AE50FB" w14:textId="77777777" w:rsidR="00053573" w:rsidRDefault="00053573" w:rsidP="00053573">
      <w:pPr>
        <w:pStyle w:val="a9"/>
        <w:numPr>
          <w:ilvl w:val="0"/>
          <w:numId w:val="1"/>
        </w:numPr>
        <w:spacing w:line="360" w:lineRule="auto"/>
        <w:jc w:val="both"/>
        <w:rPr>
          <w:rFonts w:ascii="David" w:hAnsi="David"/>
        </w:rPr>
      </w:pPr>
      <w:r>
        <w:rPr>
          <w:rFonts w:ascii="David" w:hAnsi="David" w:hint="cs"/>
          <w:rtl/>
        </w:rPr>
        <w:t xml:space="preserve">נושא נוסף שיש להביאו בחשבון לצורך קביעת המתחם הוא מצבו הנפשי של הנאשם. </w:t>
      </w:r>
      <w:r w:rsidRPr="000E7997">
        <w:rPr>
          <w:rFonts w:ascii="David" w:hAnsi="David"/>
          <w:rtl/>
        </w:rPr>
        <w:t>מהמסמכים שהוגשו</w:t>
      </w:r>
      <w:r>
        <w:rPr>
          <w:rFonts w:ascii="David" w:hAnsi="David" w:hint="cs"/>
          <w:rtl/>
        </w:rPr>
        <w:t xml:space="preserve"> וכן מעיון בחוות הדעת הפסיכיאטרית, </w:t>
      </w:r>
      <w:r w:rsidRPr="000E7997">
        <w:rPr>
          <w:rFonts w:ascii="David" w:hAnsi="David"/>
          <w:rtl/>
        </w:rPr>
        <w:t xml:space="preserve">עולה שהנאשם סובל </w:t>
      </w:r>
      <w:r>
        <w:rPr>
          <w:rFonts w:ascii="David" w:hAnsi="David" w:hint="cs"/>
          <w:rtl/>
        </w:rPr>
        <w:t>ממחלת נפש פעילה שנים רבות. בחוות הדעת צוין שהנאשם מגלה מחשבות שווא פרנואידיות כרוניות ותכנים פסיכוטיים, אך אלו לא גרמו לו שלא להבין את הפסול שבמעשיו ולהימנע מכך. עם זאת, דעתי היא שיש לראות במצבו הנפשי כנתון רלוונטי לצורך קביעת המתחם</w:t>
      </w:r>
      <w:r w:rsidRPr="000E7997">
        <w:rPr>
          <w:rFonts w:ascii="David" w:hAnsi="David"/>
          <w:rtl/>
        </w:rPr>
        <w:t xml:space="preserve"> </w:t>
      </w:r>
      <w:r>
        <w:rPr>
          <w:rFonts w:ascii="David" w:hAnsi="David"/>
          <w:rtl/>
        </w:rPr>
        <w:t>(</w:t>
      </w:r>
      <w:hyperlink r:id="rId23" w:history="1">
        <w:r w:rsidR="00DC4DF8" w:rsidRPr="00DC4DF8">
          <w:rPr>
            <w:rStyle w:val="Hyperlink"/>
            <w:rFonts w:ascii="David" w:hAnsi="David" w:cs="David"/>
            <w:rtl/>
          </w:rPr>
          <w:t>סעיף 40ט(6)+(7)</w:t>
        </w:r>
      </w:hyperlink>
      <w:r>
        <w:rPr>
          <w:rFonts w:ascii="David" w:hAnsi="David"/>
          <w:rtl/>
        </w:rPr>
        <w:t xml:space="preserve"> ל</w:t>
      </w:r>
      <w:hyperlink r:id="rId24" w:history="1">
        <w:r w:rsidR="00931E3C" w:rsidRPr="00931E3C">
          <w:rPr>
            <w:rFonts w:ascii="David" w:hAnsi="David"/>
            <w:color w:val="0000FF"/>
            <w:u w:val="single"/>
            <w:rtl/>
          </w:rPr>
          <w:t>חוק העונשין</w:t>
        </w:r>
      </w:hyperlink>
      <w:r>
        <w:rPr>
          <w:rFonts w:ascii="David" w:hAnsi="David" w:hint="cs"/>
          <w:rtl/>
        </w:rPr>
        <w:t xml:space="preserve">; </w:t>
      </w:r>
      <w:hyperlink r:id="rId25" w:history="1">
        <w:r w:rsidR="00931E3C" w:rsidRPr="00931E3C">
          <w:rPr>
            <w:rFonts w:ascii="David" w:hAnsi="David"/>
            <w:color w:val="0000FF"/>
            <w:u w:val="single"/>
            <w:rtl/>
          </w:rPr>
          <w:t>רע"פ 6640/14</w:t>
        </w:r>
      </w:hyperlink>
      <w:r w:rsidRPr="000E7997">
        <w:rPr>
          <w:rFonts w:ascii="David" w:hAnsi="David"/>
          <w:rtl/>
        </w:rPr>
        <w:t xml:space="preserve"> </w:t>
      </w:r>
      <w:r w:rsidRPr="007A1346">
        <w:rPr>
          <w:rFonts w:ascii="David" w:hAnsi="David"/>
          <w:b/>
          <w:bCs/>
          <w:rtl/>
        </w:rPr>
        <w:t>פלוני נ' מדינת ישראל</w:t>
      </w:r>
      <w:r w:rsidRPr="000E7997">
        <w:rPr>
          <w:rFonts w:ascii="David" w:hAnsi="David"/>
          <w:rtl/>
        </w:rPr>
        <w:t xml:space="preserve"> (13.1.</w:t>
      </w:r>
      <w:r>
        <w:rPr>
          <w:rFonts w:ascii="David" w:hAnsi="David" w:hint="cs"/>
          <w:rtl/>
        </w:rPr>
        <w:t>2014</w:t>
      </w:r>
      <w:r w:rsidRPr="000E7997">
        <w:rPr>
          <w:rFonts w:ascii="David" w:hAnsi="David"/>
          <w:rtl/>
        </w:rPr>
        <w:t xml:space="preserve">); </w:t>
      </w:r>
      <w:hyperlink r:id="rId26" w:history="1">
        <w:r w:rsidR="00931E3C" w:rsidRPr="00931E3C">
          <w:rPr>
            <w:rFonts w:ascii="David" w:hAnsi="David"/>
            <w:color w:val="0000FF"/>
            <w:u w:val="single"/>
            <w:rtl/>
          </w:rPr>
          <w:t>ע"פ 1727/14</w:t>
        </w:r>
      </w:hyperlink>
      <w:r w:rsidRPr="000E7997">
        <w:rPr>
          <w:rFonts w:ascii="David" w:hAnsi="David"/>
          <w:rtl/>
        </w:rPr>
        <w:t xml:space="preserve"> </w:t>
      </w:r>
      <w:r w:rsidRPr="007A1346">
        <w:rPr>
          <w:rFonts w:ascii="David" w:hAnsi="David"/>
          <w:b/>
          <w:bCs/>
          <w:rtl/>
        </w:rPr>
        <w:t>מימון נ' מדינת ישראל</w:t>
      </w:r>
      <w:r w:rsidRPr="000E7997">
        <w:rPr>
          <w:rFonts w:ascii="David" w:hAnsi="David"/>
          <w:rtl/>
        </w:rPr>
        <w:t xml:space="preserve"> (6.1.</w:t>
      </w:r>
      <w:r>
        <w:rPr>
          <w:rFonts w:ascii="David" w:hAnsi="David" w:hint="cs"/>
          <w:rtl/>
        </w:rPr>
        <w:t>2015</w:t>
      </w:r>
      <w:r w:rsidRPr="000E7997">
        <w:rPr>
          <w:rFonts w:ascii="David" w:hAnsi="David"/>
          <w:rtl/>
        </w:rPr>
        <w:t xml:space="preserve">); </w:t>
      </w:r>
      <w:hyperlink r:id="rId27" w:history="1">
        <w:r w:rsidR="00931E3C" w:rsidRPr="00931E3C">
          <w:rPr>
            <w:rFonts w:ascii="David" w:hAnsi="David"/>
            <w:color w:val="0000FF"/>
            <w:u w:val="single"/>
            <w:rtl/>
          </w:rPr>
          <w:t>ע"פ 1865/14</w:t>
        </w:r>
      </w:hyperlink>
      <w:r w:rsidRPr="000E7997">
        <w:rPr>
          <w:rFonts w:ascii="David" w:hAnsi="David"/>
          <w:rtl/>
        </w:rPr>
        <w:t xml:space="preserve"> </w:t>
      </w:r>
      <w:r w:rsidRPr="007A1346">
        <w:rPr>
          <w:rFonts w:ascii="David" w:hAnsi="David"/>
          <w:b/>
          <w:bCs/>
          <w:rtl/>
        </w:rPr>
        <w:t>יצחק רוזנצוויג נ' מדינת ישראל</w:t>
      </w:r>
      <w:r w:rsidRPr="000E7997">
        <w:rPr>
          <w:rFonts w:ascii="David" w:hAnsi="David"/>
          <w:rtl/>
        </w:rPr>
        <w:t xml:space="preserve"> (4.1.</w:t>
      </w:r>
      <w:r>
        <w:rPr>
          <w:rFonts w:ascii="David" w:hAnsi="David" w:hint="cs"/>
          <w:rtl/>
        </w:rPr>
        <w:t>2016</w:t>
      </w:r>
      <w:r w:rsidRPr="000E7997">
        <w:rPr>
          <w:rFonts w:ascii="David" w:hAnsi="David"/>
          <w:rtl/>
        </w:rPr>
        <w:t>))</w:t>
      </w:r>
      <w:r>
        <w:rPr>
          <w:rFonts w:ascii="David" w:hAnsi="David" w:hint="cs"/>
          <w:rtl/>
        </w:rPr>
        <w:t xml:space="preserve">. </w:t>
      </w:r>
    </w:p>
    <w:p w14:paraId="0A656AA1" w14:textId="77777777" w:rsidR="00053573" w:rsidRPr="008403EA" w:rsidRDefault="00053573" w:rsidP="00053573">
      <w:pPr>
        <w:pStyle w:val="a9"/>
        <w:ind w:left="0"/>
        <w:jc w:val="both"/>
        <w:rPr>
          <w:rFonts w:ascii="David" w:hAnsi="David"/>
        </w:rPr>
      </w:pPr>
    </w:p>
    <w:p w14:paraId="6FB853DD" w14:textId="77777777" w:rsidR="00053573" w:rsidRPr="007A1346" w:rsidRDefault="00053573" w:rsidP="00053573">
      <w:pPr>
        <w:pStyle w:val="a9"/>
        <w:numPr>
          <w:ilvl w:val="0"/>
          <w:numId w:val="1"/>
        </w:numPr>
        <w:spacing w:line="360" w:lineRule="auto"/>
        <w:jc w:val="both"/>
        <w:rPr>
          <w:rFonts w:ascii="David" w:hAnsi="David"/>
        </w:rPr>
      </w:pPr>
      <w:r w:rsidRPr="007A1346">
        <w:rPr>
          <w:rFonts w:ascii="David" w:hAnsi="David"/>
          <w:b/>
          <w:bCs/>
          <w:rtl/>
        </w:rPr>
        <w:t>מדיניות הענישה</w:t>
      </w:r>
      <w:r w:rsidRPr="007A1346">
        <w:rPr>
          <w:rFonts w:ascii="David" w:hAnsi="David"/>
          <w:rtl/>
        </w:rPr>
        <w:t>: הענישה המוטלת בעבירות מסוג זה משתנה ממקרה למקרה והיא תלויה בין היתר בכמות הסם (מספר השתילים והמשקל) ובנסיבותיו האישיות של הנאשם (עבר פלילי, שיקום, תסקיר חיובי וכיוצב'). נקבע לא אחת כי "</w:t>
      </w:r>
      <w:r w:rsidRPr="007A1346">
        <w:rPr>
          <w:rFonts w:ascii="Miriam" w:hAnsi="Miriam" w:cs="Miriam" w:hint="eastAsia"/>
          <w:spacing w:val="10"/>
          <w:rtl/>
        </w:rPr>
        <w:t>על</w:t>
      </w:r>
      <w:r w:rsidRPr="007A1346">
        <w:rPr>
          <w:rFonts w:ascii="Miriam" w:hAnsi="Miriam" w:cs="Miriam"/>
          <w:spacing w:val="10"/>
          <w:rtl/>
        </w:rPr>
        <w:t xml:space="preserve"> </w:t>
      </w:r>
      <w:r w:rsidRPr="007A1346">
        <w:rPr>
          <w:rFonts w:ascii="Miriam" w:hAnsi="Miriam" w:cs="Miriam" w:hint="eastAsia"/>
          <w:spacing w:val="10"/>
          <w:rtl/>
        </w:rPr>
        <w:t>מנת</w:t>
      </w:r>
      <w:r w:rsidRPr="007A1346">
        <w:rPr>
          <w:rFonts w:ascii="Miriam" w:hAnsi="Miriam" w:cs="Miriam"/>
          <w:spacing w:val="10"/>
          <w:rtl/>
        </w:rPr>
        <w:t xml:space="preserve"> </w:t>
      </w:r>
      <w:r w:rsidRPr="007A1346">
        <w:rPr>
          <w:rFonts w:ascii="Miriam" w:hAnsi="Miriam" w:cs="Miriam" w:hint="eastAsia"/>
          <w:spacing w:val="10"/>
          <w:rtl/>
        </w:rPr>
        <w:t>להילחם</w:t>
      </w:r>
      <w:r w:rsidRPr="007A1346">
        <w:rPr>
          <w:rFonts w:ascii="Miriam" w:hAnsi="Miriam" w:cs="Miriam"/>
          <w:spacing w:val="10"/>
          <w:rtl/>
        </w:rPr>
        <w:t xml:space="preserve"> </w:t>
      </w:r>
      <w:r w:rsidRPr="007A1346">
        <w:rPr>
          <w:rFonts w:ascii="Miriam" w:hAnsi="Miriam" w:cs="Miriam" w:hint="eastAsia"/>
          <w:spacing w:val="10"/>
          <w:rtl/>
        </w:rPr>
        <w:t>נגד</w:t>
      </w:r>
      <w:r w:rsidRPr="007A1346">
        <w:rPr>
          <w:rFonts w:ascii="Miriam" w:hAnsi="Miriam" w:cs="Miriam"/>
          <w:spacing w:val="10"/>
          <w:rtl/>
        </w:rPr>
        <w:t xml:space="preserve"> </w:t>
      </w:r>
      <w:r w:rsidRPr="007A1346">
        <w:rPr>
          <w:rFonts w:ascii="Miriam" w:hAnsi="Miriam" w:cs="Miriam" w:hint="eastAsia"/>
          <w:spacing w:val="10"/>
          <w:rtl/>
        </w:rPr>
        <w:t>תופעת</w:t>
      </w:r>
      <w:r w:rsidRPr="007A1346">
        <w:rPr>
          <w:rFonts w:ascii="Miriam" w:hAnsi="Miriam" w:cs="Miriam"/>
          <w:spacing w:val="10"/>
          <w:rtl/>
        </w:rPr>
        <w:t xml:space="preserve"> </w:t>
      </w:r>
      <w:r w:rsidRPr="007A1346">
        <w:rPr>
          <w:rFonts w:ascii="Miriam" w:hAnsi="Miriam" w:cs="Miriam" w:hint="eastAsia"/>
          <w:spacing w:val="10"/>
          <w:rtl/>
        </w:rPr>
        <w:t>הפצת</w:t>
      </w:r>
      <w:r w:rsidRPr="007A1346">
        <w:rPr>
          <w:rFonts w:ascii="Miriam" w:hAnsi="Miriam" w:cs="Miriam"/>
          <w:spacing w:val="10"/>
          <w:rtl/>
        </w:rPr>
        <w:t xml:space="preserve"> </w:t>
      </w:r>
      <w:r w:rsidRPr="007A1346">
        <w:rPr>
          <w:rFonts w:ascii="Miriam" w:hAnsi="Miriam" w:cs="Miriam" w:hint="eastAsia"/>
          <w:spacing w:val="10"/>
          <w:rtl/>
        </w:rPr>
        <w:t>סמים</w:t>
      </w:r>
      <w:r w:rsidRPr="007A1346">
        <w:rPr>
          <w:rFonts w:ascii="Miriam" w:hAnsi="Miriam" w:cs="Miriam"/>
          <w:spacing w:val="10"/>
          <w:rtl/>
        </w:rPr>
        <w:t xml:space="preserve"> </w:t>
      </w:r>
      <w:r w:rsidRPr="007A1346">
        <w:rPr>
          <w:rFonts w:ascii="Miriam" w:hAnsi="Miriam" w:cs="Miriam" w:hint="eastAsia"/>
          <w:spacing w:val="10"/>
          <w:rtl/>
        </w:rPr>
        <w:t>מסוכנים</w:t>
      </w:r>
      <w:r w:rsidRPr="007A1346">
        <w:rPr>
          <w:rFonts w:ascii="Miriam" w:hAnsi="Miriam" w:cs="Miriam"/>
          <w:spacing w:val="10"/>
          <w:rtl/>
        </w:rPr>
        <w:t xml:space="preserve">, </w:t>
      </w:r>
      <w:r w:rsidRPr="007A1346">
        <w:rPr>
          <w:rFonts w:ascii="Miriam" w:hAnsi="Miriam" w:cs="Miriam" w:hint="eastAsia"/>
          <w:spacing w:val="10"/>
          <w:rtl/>
        </w:rPr>
        <w:t>המוצאת</w:t>
      </w:r>
      <w:r w:rsidRPr="007A1346">
        <w:rPr>
          <w:rFonts w:ascii="Miriam" w:hAnsi="Miriam" w:cs="Miriam"/>
          <w:spacing w:val="10"/>
          <w:rtl/>
        </w:rPr>
        <w:t xml:space="preserve"> </w:t>
      </w:r>
      <w:r w:rsidRPr="007A1346">
        <w:rPr>
          <w:rFonts w:ascii="Miriam" w:hAnsi="Miriam" w:cs="Miriam" w:hint="eastAsia"/>
          <w:spacing w:val="10"/>
          <w:rtl/>
        </w:rPr>
        <w:t>ביטויה</w:t>
      </w:r>
      <w:r w:rsidRPr="007A1346">
        <w:rPr>
          <w:rFonts w:ascii="Miriam" w:hAnsi="Miriam" w:cs="Miriam"/>
          <w:spacing w:val="10"/>
          <w:rtl/>
        </w:rPr>
        <w:t xml:space="preserve"> </w:t>
      </w:r>
      <w:r w:rsidRPr="007A1346">
        <w:rPr>
          <w:rFonts w:ascii="Miriam" w:hAnsi="Miriam" w:cs="Miriam" w:hint="eastAsia"/>
          <w:spacing w:val="10"/>
          <w:rtl/>
        </w:rPr>
        <w:t>בקבוצות</w:t>
      </w:r>
      <w:r w:rsidRPr="007A1346">
        <w:rPr>
          <w:rFonts w:ascii="Miriam" w:hAnsi="Miriam" w:cs="Miriam"/>
          <w:spacing w:val="10"/>
          <w:rtl/>
        </w:rPr>
        <w:t xml:space="preserve"> </w:t>
      </w:r>
      <w:r w:rsidRPr="007A1346">
        <w:rPr>
          <w:rFonts w:ascii="Miriam" w:hAnsi="Miriam" w:cs="Miriam" w:hint="eastAsia"/>
          <w:spacing w:val="10"/>
          <w:rtl/>
        </w:rPr>
        <w:t>חברתיות</w:t>
      </w:r>
      <w:r w:rsidRPr="007A1346">
        <w:rPr>
          <w:rFonts w:ascii="Miriam" w:hAnsi="Miriam" w:cs="Miriam"/>
          <w:spacing w:val="10"/>
          <w:rtl/>
        </w:rPr>
        <w:t xml:space="preserve"> </w:t>
      </w:r>
      <w:r w:rsidRPr="007A1346">
        <w:rPr>
          <w:rFonts w:ascii="Miriam" w:hAnsi="Miriam" w:cs="Miriam" w:hint="eastAsia"/>
          <w:spacing w:val="10"/>
          <w:rtl/>
        </w:rPr>
        <w:t>רבות</w:t>
      </w:r>
      <w:r w:rsidRPr="007A1346">
        <w:rPr>
          <w:rFonts w:ascii="Miriam" w:hAnsi="Miriam" w:cs="Miriam"/>
          <w:spacing w:val="10"/>
          <w:rtl/>
        </w:rPr>
        <w:t xml:space="preserve"> </w:t>
      </w:r>
      <w:r w:rsidRPr="007A1346">
        <w:rPr>
          <w:rFonts w:ascii="Miriam" w:hAnsi="Miriam" w:cs="Miriam" w:hint="eastAsia"/>
          <w:spacing w:val="10"/>
          <w:rtl/>
        </w:rPr>
        <w:t>ומגוונות</w:t>
      </w:r>
      <w:r w:rsidRPr="007A1346">
        <w:rPr>
          <w:rFonts w:ascii="Miriam" w:hAnsi="Miriam" w:cs="Miriam"/>
          <w:spacing w:val="10"/>
          <w:rtl/>
        </w:rPr>
        <w:t xml:space="preserve"> – </w:t>
      </w:r>
      <w:r w:rsidRPr="007A1346">
        <w:rPr>
          <w:rFonts w:ascii="Miriam" w:hAnsi="Miriam" w:cs="Miriam" w:hint="eastAsia"/>
          <w:spacing w:val="10"/>
          <w:rtl/>
        </w:rPr>
        <w:t>נדרש</w:t>
      </w:r>
      <w:r w:rsidRPr="007A1346">
        <w:rPr>
          <w:rFonts w:ascii="Miriam" w:hAnsi="Miriam" w:cs="Miriam"/>
          <w:spacing w:val="10"/>
          <w:rtl/>
        </w:rPr>
        <w:t xml:space="preserve"> </w:t>
      </w:r>
      <w:r w:rsidRPr="007A1346">
        <w:rPr>
          <w:rFonts w:ascii="Miriam" w:hAnsi="Miriam" w:cs="Miriam" w:hint="eastAsia"/>
          <w:spacing w:val="10"/>
          <w:rtl/>
        </w:rPr>
        <w:t>עונש</w:t>
      </w:r>
      <w:r w:rsidRPr="007A1346">
        <w:rPr>
          <w:rFonts w:ascii="Miriam" w:hAnsi="Miriam" w:cs="Miriam"/>
          <w:spacing w:val="10"/>
          <w:rtl/>
        </w:rPr>
        <w:t xml:space="preserve"> </w:t>
      </w:r>
      <w:r w:rsidRPr="007A1346">
        <w:rPr>
          <w:rFonts w:ascii="Miriam" w:hAnsi="Miriam" w:cs="Miriam" w:hint="eastAsia"/>
          <w:spacing w:val="10"/>
          <w:rtl/>
        </w:rPr>
        <w:t>שכולל</w:t>
      </w:r>
      <w:r w:rsidRPr="007A1346">
        <w:rPr>
          <w:rFonts w:ascii="Miriam" w:hAnsi="Miriam" w:cs="Miriam"/>
          <w:spacing w:val="10"/>
          <w:rtl/>
        </w:rPr>
        <w:t xml:space="preserve"> </w:t>
      </w:r>
      <w:r w:rsidRPr="007A1346">
        <w:rPr>
          <w:rFonts w:ascii="Miriam" w:hAnsi="Miriam" w:cs="Miriam" w:hint="eastAsia"/>
          <w:spacing w:val="10"/>
          <w:rtl/>
        </w:rPr>
        <w:t>ממד</w:t>
      </w:r>
      <w:r w:rsidRPr="007A1346">
        <w:rPr>
          <w:rFonts w:ascii="Miriam" w:hAnsi="Miriam" w:cs="Miriam"/>
          <w:spacing w:val="10"/>
          <w:rtl/>
        </w:rPr>
        <w:t xml:space="preserve"> </w:t>
      </w:r>
      <w:r w:rsidRPr="007A1346">
        <w:rPr>
          <w:rFonts w:ascii="Miriam" w:hAnsi="Miriam" w:cs="Miriam" w:hint="eastAsia"/>
          <w:spacing w:val="10"/>
          <w:rtl/>
        </w:rPr>
        <w:t>הרתעתי</w:t>
      </w:r>
      <w:r w:rsidRPr="007A1346">
        <w:rPr>
          <w:rFonts w:ascii="Miriam" w:hAnsi="Miriam" w:cs="Miriam"/>
          <w:spacing w:val="10"/>
          <w:rtl/>
        </w:rPr>
        <w:t xml:space="preserve">. </w:t>
      </w:r>
      <w:r w:rsidRPr="007A1346">
        <w:rPr>
          <w:rFonts w:ascii="Miriam" w:hAnsi="Miriam" w:cs="Miriam" w:hint="eastAsia"/>
          <w:spacing w:val="10"/>
          <w:rtl/>
        </w:rPr>
        <w:t>לצד</w:t>
      </w:r>
      <w:r w:rsidRPr="007A1346">
        <w:rPr>
          <w:rFonts w:ascii="Miriam" w:hAnsi="Miriam" w:cs="Miriam"/>
          <w:spacing w:val="10"/>
          <w:rtl/>
        </w:rPr>
        <w:t xml:space="preserve"> </w:t>
      </w:r>
      <w:r w:rsidRPr="007A1346">
        <w:rPr>
          <w:rFonts w:ascii="Miriam" w:hAnsi="Miriam" w:cs="Miriam" w:hint="eastAsia"/>
          <w:spacing w:val="10"/>
          <w:rtl/>
        </w:rPr>
        <w:t>זאת</w:t>
      </w:r>
      <w:r w:rsidRPr="007A1346">
        <w:rPr>
          <w:rFonts w:ascii="Miriam" w:hAnsi="Miriam" w:cs="Miriam"/>
          <w:spacing w:val="10"/>
          <w:rtl/>
        </w:rPr>
        <w:t xml:space="preserve">, </w:t>
      </w:r>
      <w:r w:rsidRPr="007A1346">
        <w:rPr>
          <w:rFonts w:ascii="Miriam" w:hAnsi="Miriam" w:cs="Miriam" w:hint="eastAsia"/>
          <w:spacing w:val="10"/>
          <w:rtl/>
        </w:rPr>
        <w:t>הגישה</w:t>
      </w:r>
      <w:r w:rsidRPr="007A1346">
        <w:rPr>
          <w:rFonts w:ascii="Miriam" w:hAnsi="Miriam" w:cs="Miriam"/>
          <w:spacing w:val="10"/>
          <w:rtl/>
        </w:rPr>
        <w:t xml:space="preserve"> </w:t>
      </w:r>
      <w:r w:rsidRPr="007A1346">
        <w:rPr>
          <w:rFonts w:ascii="Miriam" w:hAnsi="Miriam" w:cs="Miriam" w:hint="eastAsia"/>
          <w:spacing w:val="10"/>
          <w:rtl/>
        </w:rPr>
        <w:t>האינדיבידואלית</w:t>
      </w:r>
      <w:r w:rsidRPr="007A1346">
        <w:rPr>
          <w:rFonts w:ascii="Miriam" w:hAnsi="Miriam" w:cs="Miriam"/>
          <w:spacing w:val="10"/>
          <w:rtl/>
        </w:rPr>
        <w:t xml:space="preserve"> </w:t>
      </w:r>
      <w:r w:rsidRPr="007A1346">
        <w:rPr>
          <w:rFonts w:ascii="Miriam" w:hAnsi="Miriam" w:cs="Miriam" w:hint="eastAsia"/>
          <w:spacing w:val="10"/>
          <w:rtl/>
        </w:rPr>
        <w:t>בענישה</w:t>
      </w:r>
      <w:r w:rsidRPr="007A1346">
        <w:rPr>
          <w:rFonts w:ascii="Miriam" w:hAnsi="Miriam" w:cs="Miriam"/>
          <w:spacing w:val="10"/>
          <w:rtl/>
        </w:rPr>
        <w:t xml:space="preserve"> </w:t>
      </w:r>
      <w:r w:rsidRPr="007A1346">
        <w:rPr>
          <w:rFonts w:ascii="Miriam" w:hAnsi="Miriam" w:cs="Miriam" w:hint="eastAsia"/>
          <w:spacing w:val="10"/>
          <w:rtl/>
        </w:rPr>
        <w:t>היא</w:t>
      </w:r>
      <w:r w:rsidRPr="007A1346">
        <w:rPr>
          <w:rFonts w:ascii="Miriam" w:hAnsi="Miriam" w:cs="Miriam"/>
          <w:spacing w:val="10"/>
          <w:rtl/>
        </w:rPr>
        <w:t xml:space="preserve"> </w:t>
      </w:r>
      <w:r w:rsidRPr="007A1346">
        <w:rPr>
          <w:rFonts w:ascii="Miriam" w:hAnsi="Miriam" w:cs="Miriam" w:hint="eastAsia"/>
          <w:spacing w:val="10"/>
          <w:rtl/>
        </w:rPr>
        <w:t>השולטת</w:t>
      </w:r>
      <w:r w:rsidRPr="007A1346">
        <w:rPr>
          <w:rFonts w:ascii="Miriam" w:hAnsi="Miriam" w:cs="Miriam"/>
          <w:spacing w:val="10"/>
          <w:rtl/>
        </w:rPr>
        <w:t xml:space="preserve"> </w:t>
      </w:r>
      <w:r w:rsidRPr="007A1346">
        <w:rPr>
          <w:rFonts w:ascii="Miriam" w:hAnsi="Miriam" w:cs="Miriam" w:hint="eastAsia"/>
          <w:spacing w:val="10"/>
          <w:rtl/>
        </w:rPr>
        <w:t>בשיטת</w:t>
      </w:r>
      <w:r w:rsidRPr="007A1346">
        <w:rPr>
          <w:rFonts w:ascii="Miriam" w:hAnsi="Miriam" w:cs="Miriam"/>
          <w:spacing w:val="10"/>
          <w:rtl/>
        </w:rPr>
        <w:t xml:space="preserve"> </w:t>
      </w:r>
      <w:r w:rsidRPr="007A1346">
        <w:rPr>
          <w:rFonts w:ascii="Miriam" w:hAnsi="Miriam" w:cs="Miriam" w:hint="eastAsia"/>
          <w:spacing w:val="10"/>
          <w:rtl/>
        </w:rPr>
        <w:t>משפטנו</w:t>
      </w:r>
      <w:r w:rsidRPr="007A1346">
        <w:rPr>
          <w:rFonts w:ascii="David" w:hAnsi="David"/>
          <w:spacing w:val="10"/>
          <w:rtl/>
        </w:rPr>
        <w:t>" (</w:t>
      </w:r>
      <w:hyperlink r:id="rId28" w:history="1">
        <w:r w:rsidR="00931E3C" w:rsidRPr="00931E3C">
          <w:rPr>
            <w:rFonts w:ascii="David" w:hAnsi="David" w:cs="Times New Roman"/>
            <w:color w:val="0000FF"/>
            <w:spacing w:val="10"/>
            <w:u w:val="single"/>
            <w:rtl/>
          </w:rPr>
          <w:t>ע"פ 5807/17</w:t>
        </w:r>
      </w:hyperlink>
      <w:r w:rsidRPr="007A1346">
        <w:rPr>
          <w:rFonts w:ascii="David" w:hAnsi="David"/>
          <w:spacing w:val="10"/>
          <w:rtl/>
        </w:rPr>
        <w:t xml:space="preserve"> </w:t>
      </w:r>
      <w:r w:rsidRPr="007A1346">
        <w:rPr>
          <w:rFonts w:ascii="David" w:hAnsi="David"/>
          <w:b/>
          <w:bCs/>
          <w:rtl/>
        </w:rPr>
        <w:t>דרחי ואח' נ' מדינת ישראל</w:t>
      </w:r>
      <w:r w:rsidRPr="007A1346">
        <w:rPr>
          <w:rFonts w:ascii="David" w:hAnsi="David"/>
          <w:rtl/>
        </w:rPr>
        <w:t xml:space="preserve"> (18.6.2018)). ביחס לעבירות גידול נקבע כי: </w:t>
      </w:r>
    </w:p>
    <w:p w14:paraId="0D763A07" w14:textId="77777777" w:rsidR="00053573" w:rsidRPr="007A1346" w:rsidRDefault="00053573" w:rsidP="00053573">
      <w:pPr>
        <w:pStyle w:val="a9"/>
        <w:spacing w:after="160"/>
        <w:ind w:left="0" w:right="1134"/>
        <w:jc w:val="both"/>
        <w:rPr>
          <w:rFonts w:ascii="David" w:hAnsi="David"/>
        </w:rPr>
      </w:pPr>
    </w:p>
    <w:p w14:paraId="0B9CD206" w14:textId="77777777" w:rsidR="00053573" w:rsidRPr="007A1346" w:rsidRDefault="00053573" w:rsidP="00053573">
      <w:pPr>
        <w:pStyle w:val="a9"/>
        <w:ind w:left="1134" w:right="1134"/>
        <w:jc w:val="both"/>
        <w:rPr>
          <w:rFonts w:ascii="David" w:hAnsi="David"/>
          <w:rtl/>
        </w:rPr>
      </w:pPr>
      <w:r w:rsidRPr="007A1346">
        <w:rPr>
          <w:rFonts w:ascii="David" w:hAnsi="David"/>
          <w:rtl/>
        </w:rPr>
        <w:t>"</w:t>
      </w:r>
      <w:r w:rsidRPr="007A1346">
        <w:rPr>
          <w:rFonts w:ascii="Miriam" w:hAnsi="Miriam" w:cs="Miriam" w:hint="eastAsia"/>
          <w:rtl/>
        </w:rPr>
        <w:t>דומה</w:t>
      </w:r>
      <w:r w:rsidRPr="007A1346">
        <w:rPr>
          <w:rFonts w:ascii="Miriam" w:hAnsi="Miriam" w:cs="Miriam"/>
          <w:rtl/>
        </w:rPr>
        <w:t xml:space="preserve"> </w:t>
      </w:r>
      <w:r w:rsidRPr="007A1346">
        <w:rPr>
          <w:rFonts w:ascii="Miriam" w:hAnsi="Miriam" w:cs="Miriam" w:hint="eastAsia"/>
          <w:rtl/>
        </w:rPr>
        <w:t>שמעבדות</w:t>
      </w:r>
      <w:r w:rsidRPr="007A1346">
        <w:rPr>
          <w:rFonts w:ascii="Miriam" w:hAnsi="Miriam" w:cs="Miriam"/>
          <w:rtl/>
        </w:rPr>
        <w:t xml:space="preserve"> </w:t>
      </w:r>
      <w:r w:rsidRPr="007A1346">
        <w:rPr>
          <w:rFonts w:ascii="Miriam" w:hAnsi="Miriam" w:cs="Miriam" w:hint="eastAsia"/>
          <w:rtl/>
        </w:rPr>
        <w:t>הסם</w:t>
      </w:r>
      <w:r w:rsidRPr="007A1346">
        <w:rPr>
          <w:rFonts w:ascii="Miriam" w:hAnsi="Miriam" w:cs="Miriam"/>
          <w:rtl/>
        </w:rPr>
        <w:t xml:space="preserve"> </w:t>
      </w:r>
      <w:r w:rsidRPr="007A1346">
        <w:rPr>
          <w:rFonts w:ascii="Miriam" w:hAnsi="Miriam" w:cs="Miriam" w:hint="eastAsia"/>
          <w:rtl/>
        </w:rPr>
        <w:t>הפכו</w:t>
      </w:r>
      <w:r w:rsidRPr="007A1346">
        <w:rPr>
          <w:rFonts w:ascii="Miriam" w:hAnsi="Miriam" w:cs="Miriam"/>
          <w:rtl/>
        </w:rPr>
        <w:t xml:space="preserve"> </w:t>
      </w:r>
      <w:r w:rsidRPr="007A1346">
        <w:rPr>
          <w:rFonts w:ascii="Miriam" w:hAnsi="Miriam" w:cs="Miriam" w:hint="eastAsia"/>
          <w:rtl/>
        </w:rPr>
        <w:t>למכת</w:t>
      </w:r>
      <w:r w:rsidRPr="007A1346">
        <w:rPr>
          <w:rFonts w:ascii="Miriam" w:hAnsi="Miriam" w:cs="Miriam"/>
          <w:rtl/>
        </w:rPr>
        <w:t xml:space="preserve"> </w:t>
      </w:r>
      <w:r w:rsidRPr="007A1346">
        <w:rPr>
          <w:rFonts w:ascii="Miriam" w:hAnsi="Miriam" w:cs="Miriam" w:hint="eastAsia"/>
          <w:rtl/>
        </w:rPr>
        <w:t>מדינה</w:t>
      </w:r>
      <w:r w:rsidRPr="007A1346">
        <w:rPr>
          <w:rFonts w:ascii="Miriam" w:hAnsi="Miriam" w:cs="Miriam"/>
          <w:rtl/>
        </w:rPr>
        <w:t xml:space="preserve">. </w:t>
      </w:r>
      <w:r w:rsidRPr="007A1346">
        <w:rPr>
          <w:rFonts w:ascii="Miriam" w:hAnsi="Miriam" w:cs="Miriam" w:hint="eastAsia"/>
          <w:rtl/>
        </w:rPr>
        <w:t>נראה</w:t>
      </w:r>
      <w:r w:rsidRPr="007A1346">
        <w:rPr>
          <w:rFonts w:ascii="Miriam" w:hAnsi="Miriam" w:cs="Miriam"/>
          <w:rtl/>
        </w:rPr>
        <w:t xml:space="preserve"> </w:t>
      </w:r>
      <w:r w:rsidRPr="007A1346">
        <w:rPr>
          <w:rFonts w:ascii="Miriam" w:hAnsi="Miriam" w:cs="Miriam" w:hint="eastAsia"/>
          <w:rtl/>
        </w:rPr>
        <w:t>שהקלות</w:t>
      </w:r>
      <w:r w:rsidRPr="007A1346">
        <w:rPr>
          <w:rFonts w:ascii="Miriam" w:hAnsi="Miriam" w:cs="Miriam"/>
          <w:rtl/>
        </w:rPr>
        <w:t xml:space="preserve"> </w:t>
      </w:r>
      <w:r w:rsidRPr="007A1346">
        <w:rPr>
          <w:rFonts w:ascii="Miriam" w:hAnsi="Miriam" w:cs="Miriam" w:hint="eastAsia"/>
          <w:rtl/>
        </w:rPr>
        <w:t>שבגידול</w:t>
      </w:r>
      <w:r w:rsidRPr="007A1346">
        <w:rPr>
          <w:rFonts w:ascii="Miriam" w:hAnsi="Miriam" w:cs="Miriam"/>
          <w:rtl/>
        </w:rPr>
        <w:t xml:space="preserve"> </w:t>
      </w:r>
      <w:r w:rsidRPr="007A1346">
        <w:rPr>
          <w:rFonts w:ascii="Miriam" w:hAnsi="Miriam" w:cs="Miriam" w:hint="eastAsia"/>
          <w:rtl/>
        </w:rPr>
        <w:t>הסם</w:t>
      </w:r>
      <w:r w:rsidRPr="007A1346">
        <w:rPr>
          <w:rFonts w:ascii="Miriam" w:hAnsi="Miriam" w:cs="Miriam"/>
          <w:rtl/>
        </w:rPr>
        <w:t xml:space="preserve">, </w:t>
      </w:r>
      <w:r w:rsidRPr="007A1346">
        <w:rPr>
          <w:rFonts w:ascii="Miriam" w:hAnsi="Miriam" w:cs="Miriam" w:hint="eastAsia"/>
          <w:rtl/>
        </w:rPr>
        <w:t>הבטחון</w:t>
      </w:r>
      <w:r w:rsidRPr="007A1346">
        <w:rPr>
          <w:rFonts w:ascii="Miriam" w:hAnsi="Miriam" w:cs="Miriam"/>
          <w:rtl/>
        </w:rPr>
        <w:t xml:space="preserve"> </w:t>
      </w:r>
      <w:r w:rsidRPr="007A1346">
        <w:rPr>
          <w:rFonts w:ascii="Miriam" w:hAnsi="Miriam" w:cs="Miriam" w:hint="eastAsia"/>
          <w:rtl/>
        </w:rPr>
        <w:t>היחסי</w:t>
      </w:r>
      <w:r w:rsidRPr="007A1346">
        <w:rPr>
          <w:rFonts w:ascii="Miriam" w:hAnsi="Miriam" w:cs="Miriam"/>
          <w:rtl/>
        </w:rPr>
        <w:t xml:space="preserve"> </w:t>
      </w:r>
      <w:r w:rsidRPr="007A1346">
        <w:rPr>
          <w:rFonts w:ascii="Miriam" w:hAnsi="Miriam" w:cs="Miriam" w:hint="eastAsia"/>
          <w:rtl/>
        </w:rPr>
        <w:t>באי</w:t>
      </w:r>
      <w:r w:rsidRPr="007A1346">
        <w:rPr>
          <w:rFonts w:ascii="Miriam" w:hAnsi="Miriam" w:cs="Miriam"/>
          <w:rtl/>
        </w:rPr>
        <w:t xml:space="preserve"> </w:t>
      </w:r>
      <w:r w:rsidRPr="007A1346">
        <w:rPr>
          <w:rFonts w:ascii="Miriam" w:hAnsi="Miriam" w:cs="Miriam" w:hint="eastAsia"/>
          <w:rtl/>
        </w:rPr>
        <w:t>חשיפת</w:t>
      </w:r>
      <w:r w:rsidRPr="007A1346">
        <w:rPr>
          <w:rFonts w:ascii="Miriam" w:hAnsi="Miriam" w:cs="Miriam"/>
          <w:rtl/>
        </w:rPr>
        <w:t xml:space="preserve"> </w:t>
      </w:r>
      <w:r w:rsidRPr="007A1346">
        <w:rPr>
          <w:rFonts w:ascii="Miriam" w:hAnsi="Miriam" w:cs="Miriam" w:hint="eastAsia"/>
          <w:rtl/>
        </w:rPr>
        <w:t>העבירה</w:t>
      </w:r>
      <w:r w:rsidRPr="007A1346">
        <w:rPr>
          <w:rFonts w:ascii="Miriam" w:hAnsi="Miriam" w:cs="Miriam"/>
          <w:rtl/>
        </w:rPr>
        <w:t xml:space="preserve"> </w:t>
      </w:r>
      <w:r w:rsidRPr="007A1346">
        <w:rPr>
          <w:rFonts w:ascii="Miriam" w:hAnsi="Miriam" w:cs="Miriam" w:hint="eastAsia"/>
          <w:rtl/>
        </w:rPr>
        <w:t>כאשר</w:t>
      </w:r>
      <w:r w:rsidRPr="007A1346">
        <w:rPr>
          <w:rFonts w:ascii="Miriam" w:hAnsi="Miriam" w:cs="Miriam"/>
          <w:rtl/>
        </w:rPr>
        <w:t xml:space="preserve"> </w:t>
      </w:r>
      <w:r w:rsidRPr="007A1346">
        <w:rPr>
          <w:rFonts w:ascii="Miriam" w:hAnsi="Miriam" w:cs="Miriam" w:hint="eastAsia"/>
          <w:rtl/>
        </w:rPr>
        <w:t>מדובר</w:t>
      </w:r>
      <w:r w:rsidRPr="007A1346">
        <w:rPr>
          <w:rFonts w:ascii="Miriam" w:hAnsi="Miriam" w:cs="Miriam"/>
          <w:rtl/>
        </w:rPr>
        <w:t xml:space="preserve"> </w:t>
      </w:r>
      <w:r w:rsidRPr="007A1346">
        <w:rPr>
          <w:rFonts w:ascii="Miriam" w:hAnsi="Miriam" w:cs="Miriam" w:hint="eastAsia"/>
          <w:rtl/>
        </w:rPr>
        <w:t>בפעילות</w:t>
      </w:r>
      <w:r w:rsidRPr="007A1346">
        <w:rPr>
          <w:rFonts w:ascii="Miriam" w:hAnsi="Miriam" w:cs="Miriam"/>
          <w:rtl/>
        </w:rPr>
        <w:t xml:space="preserve"> </w:t>
      </w:r>
      <w:r w:rsidRPr="007A1346">
        <w:rPr>
          <w:rFonts w:ascii="Miriam" w:hAnsi="Miriam" w:cs="Miriam" w:hint="eastAsia"/>
          <w:rtl/>
        </w:rPr>
        <w:t>בתוך</w:t>
      </w:r>
      <w:r w:rsidRPr="007A1346">
        <w:rPr>
          <w:rFonts w:ascii="Miriam" w:hAnsi="Miriam" w:cs="Miriam"/>
          <w:rtl/>
        </w:rPr>
        <w:t xml:space="preserve"> </w:t>
      </w:r>
      <w:r w:rsidRPr="007A1346">
        <w:rPr>
          <w:rFonts w:ascii="Miriam" w:hAnsi="Miriam" w:cs="Miriam" w:hint="eastAsia"/>
          <w:rtl/>
        </w:rPr>
        <w:t>תחומי</w:t>
      </w:r>
      <w:r w:rsidRPr="007A1346">
        <w:rPr>
          <w:rFonts w:ascii="Miriam" w:hAnsi="Miriam" w:cs="Miriam"/>
          <w:rtl/>
        </w:rPr>
        <w:t xml:space="preserve"> </w:t>
      </w:r>
      <w:r w:rsidRPr="007A1346">
        <w:rPr>
          <w:rFonts w:ascii="Miriam" w:hAnsi="Miriam" w:cs="Miriam" w:hint="eastAsia"/>
          <w:rtl/>
        </w:rPr>
        <w:t>הבית</w:t>
      </w:r>
      <w:r w:rsidRPr="007A1346">
        <w:rPr>
          <w:rFonts w:ascii="Miriam" w:hAnsi="Miriam" w:cs="Miriam"/>
          <w:rtl/>
        </w:rPr>
        <w:t xml:space="preserve"> </w:t>
      </w:r>
      <w:r w:rsidRPr="007A1346">
        <w:rPr>
          <w:rFonts w:ascii="Miriam" w:hAnsi="Miriam" w:cs="Miriam" w:hint="eastAsia"/>
          <w:rtl/>
        </w:rPr>
        <w:t>והפוטנציאל</w:t>
      </w:r>
      <w:r w:rsidRPr="007A1346">
        <w:rPr>
          <w:rFonts w:ascii="Miriam" w:hAnsi="Miriam" w:cs="Miriam"/>
          <w:rtl/>
        </w:rPr>
        <w:t xml:space="preserve"> </w:t>
      </w:r>
      <w:r w:rsidRPr="007A1346">
        <w:rPr>
          <w:rFonts w:ascii="Miriam" w:hAnsi="Miriam" w:cs="Miriam" w:hint="eastAsia"/>
          <w:rtl/>
        </w:rPr>
        <w:t>הגלום</w:t>
      </w:r>
      <w:r w:rsidRPr="007A1346">
        <w:rPr>
          <w:rFonts w:ascii="Miriam" w:hAnsi="Miriam" w:cs="Miriam"/>
          <w:rtl/>
        </w:rPr>
        <w:t xml:space="preserve"> </w:t>
      </w:r>
      <w:r w:rsidRPr="007A1346">
        <w:rPr>
          <w:rFonts w:ascii="Miriam" w:hAnsi="Miriam" w:cs="Miriam" w:hint="eastAsia"/>
          <w:rtl/>
        </w:rPr>
        <w:t>בה</w:t>
      </w:r>
      <w:r w:rsidRPr="007A1346">
        <w:rPr>
          <w:rFonts w:ascii="Miriam" w:hAnsi="Miriam" w:cs="Miriam"/>
          <w:rtl/>
        </w:rPr>
        <w:t xml:space="preserve"> </w:t>
      </w:r>
      <w:r w:rsidRPr="007A1346">
        <w:rPr>
          <w:rFonts w:ascii="Miriam" w:hAnsi="Miriam" w:cs="Miriam" w:hint="eastAsia"/>
          <w:rtl/>
        </w:rPr>
        <w:t>משמשים</w:t>
      </w:r>
      <w:r w:rsidRPr="007A1346">
        <w:rPr>
          <w:rFonts w:ascii="Miriam" w:hAnsi="Miriam" w:cs="Miriam"/>
          <w:rtl/>
        </w:rPr>
        <w:t xml:space="preserve"> </w:t>
      </w:r>
      <w:r w:rsidRPr="007A1346">
        <w:rPr>
          <w:rFonts w:ascii="Miriam" w:hAnsi="Miriam" w:cs="Miriam" w:hint="eastAsia"/>
          <w:rtl/>
        </w:rPr>
        <w:t>קרקע</w:t>
      </w:r>
      <w:r w:rsidRPr="007A1346">
        <w:rPr>
          <w:rFonts w:ascii="Miriam" w:hAnsi="Miriam" w:cs="Miriam"/>
          <w:rtl/>
        </w:rPr>
        <w:t xml:space="preserve"> </w:t>
      </w:r>
      <w:r w:rsidRPr="007A1346">
        <w:rPr>
          <w:rFonts w:ascii="Miriam" w:hAnsi="Miriam" w:cs="Miriam" w:hint="eastAsia"/>
          <w:rtl/>
        </w:rPr>
        <w:t>נוחה</w:t>
      </w:r>
      <w:r w:rsidRPr="007A1346">
        <w:rPr>
          <w:rFonts w:ascii="Miriam" w:hAnsi="Miriam" w:cs="Miriam"/>
          <w:rtl/>
        </w:rPr>
        <w:t xml:space="preserve"> </w:t>
      </w:r>
      <w:r w:rsidRPr="007A1346">
        <w:rPr>
          <w:rFonts w:ascii="Miriam" w:hAnsi="Miriam" w:cs="Miriam" w:hint="eastAsia"/>
          <w:rtl/>
        </w:rPr>
        <w:t>להפיכתה</w:t>
      </w:r>
      <w:r w:rsidRPr="007A1346">
        <w:rPr>
          <w:rFonts w:ascii="Miriam" w:hAnsi="Miriam" w:cs="Miriam"/>
          <w:rtl/>
        </w:rPr>
        <w:t xml:space="preserve"> </w:t>
      </w:r>
      <w:r w:rsidRPr="007A1346">
        <w:rPr>
          <w:rFonts w:ascii="Miriam" w:hAnsi="Miriam" w:cs="Miriam" w:hint="eastAsia"/>
          <w:rtl/>
        </w:rPr>
        <w:t>לנפוצה</w:t>
      </w:r>
      <w:r w:rsidRPr="007A1346">
        <w:rPr>
          <w:rFonts w:ascii="Miriam" w:hAnsi="Miriam" w:cs="Miriam"/>
          <w:rtl/>
        </w:rPr>
        <w:t xml:space="preserve">. </w:t>
      </w:r>
      <w:r w:rsidRPr="007A1346">
        <w:rPr>
          <w:rFonts w:ascii="Miriam" w:hAnsi="Miriam" w:cs="Miriam" w:hint="eastAsia"/>
          <w:rtl/>
        </w:rPr>
        <w:t>נפוצות</w:t>
      </w:r>
      <w:r w:rsidRPr="007A1346">
        <w:rPr>
          <w:rFonts w:ascii="Miriam" w:hAnsi="Miriam" w:cs="Miriam"/>
          <w:rtl/>
        </w:rPr>
        <w:t xml:space="preserve"> </w:t>
      </w:r>
      <w:r w:rsidRPr="007A1346">
        <w:rPr>
          <w:rFonts w:ascii="Miriam" w:hAnsi="Miriam" w:cs="Miriam" w:hint="eastAsia"/>
          <w:rtl/>
        </w:rPr>
        <w:t>העבירה</w:t>
      </w:r>
      <w:r w:rsidRPr="007A1346">
        <w:rPr>
          <w:rFonts w:ascii="Miriam" w:hAnsi="Miriam" w:cs="Miriam"/>
          <w:rtl/>
        </w:rPr>
        <w:t xml:space="preserve"> </w:t>
      </w:r>
      <w:r w:rsidRPr="007A1346">
        <w:rPr>
          <w:rFonts w:ascii="Miriam" w:hAnsi="Miriam" w:cs="Miriam" w:hint="eastAsia"/>
          <w:rtl/>
        </w:rPr>
        <w:t>מחייבת</w:t>
      </w:r>
      <w:r w:rsidRPr="007A1346">
        <w:rPr>
          <w:rFonts w:ascii="Miriam" w:hAnsi="Miriam" w:cs="Miriam"/>
          <w:rtl/>
        </w:rPr>
        <w:t xml:space="preserve"> </w:t>
      </w:r>
      <w:r w:rsidRPr="007A1346">
        <w:rPr>
          <w:rFonts w:ascii="Miriam" w:hAnsi="Miriam" w:cs="Miriam" w:hint="eastAsia"/>
          <w:rtl/>
        </w:rPr>
        <w:t>אמירה</w:t>
      </w:r>
      <w:r w:rsidRPr="007A1346">
        <w:rPr>
          <w:rFonts w:ascii="Miriam" w:hAnsi="Miriam" w:cs="Miriam"/>
          <w:rtl/>
        </w:rPr>
        <w:t xml:space="preserve"> </w:t>
      </w:r>
      <w:r w:rsidRPr="007A1346">
        <w:rPr>
          <w:rFonts w:ascii="Miriam" w:hAnsi="Miriam" w:cs="Miriam" w:hint="eastAsia"/>
          <w:rtl/>
        </w:rPr>
        <w:t>ברורה</w:t>
      </w:r>
      <w:r w:rsidRPr="007A1346">
        <w:rPr>
          <w:rFonts w:ascii="Miriam" w:hAnsi="Miriam" w:cs="Miriam"/>
          <w:rtl/>
        </w:rPr>
        <w:t xml:space="preserve"> </w:t>
      </w:r>
      <w:r w:rsidRPr="007A1346">
        <w:rPr>
          <w:rFonts w:ascii="Miriam" w:hAnsi="Miriam" w:cs="Miriam" w:hint="eastAsia"/>
          <w:rtl/>
        </w:rPr>
        <w:t>ונורמטיבית</w:t>
      </w:r>
      <w:r w:rsidRPr="007A1346">
        <w:rPr>
          <w:rFonts w:ascii="Miriam" w:hAnsi="Miriam" w:cs="Miriam"/>
          <w:rtl/>
        </w:rPr>
        <w:t xml:space="preserve"> </w:t>
      </w:r>
      <w:r w:rsidRPr="007A1346">
        <w:rPr>
          <w:rFonts w:ascii="Miriam" w:hAnsi="Miriam" w:cs="Miriam" w:hint="eastAsia"/>
          <w:rtl/>
        </w:rPr>
        <w:t>של</w:t>
      </w:r>
      <w:r w:rsidRPr="007A1346">
        <w:rPr>
          <w:rFonts w:ascii="Miriam" w:hAnsi="Miriam" w:cs="Miriam"/>
          <w:rtl/>
        </w:rPr>
        <w:t xml:space="preserve"> </w:t>
      </w:r>
      <w:r w:rsidRPr="007A1346">
        <w:rPr>
          <w:rFonts w:ascii="Miriam" w:hAnsi="Miriam" w:cs="Miriam" w:hint="eastAsia"/>
          <w:rtl/>
        </w:rPr>
        <w:t>בתי</w:t>
      </w:r>
      <w:r w:rsidRPr="007A1346">
        <w:rPr>
          <w:rFonts w:ascii="Miriam" w:hAnsi="Miriam" w:cs="Miriam"/>
          <w:rtl/>
        </w:rPr>
        <w:t xml:space="preserve"> </w:t>
      </w:r>
      <w:r w:rsidRPr="007A1346">
        <w:rPr>
          <w:rFonts w:ascii="Miriam" w:hAnsi="Miriam" w:cs="Miriam" w:hint="eastAsia"/>
          <w:rtl/>
        </w:rPr>
        <w:t>המשפט</w:t>
      </w:r>
      <w:r w:rsidRPr="007A1346">
        <w:rPr>
          <w:rFonts w:ascii="Miriam" w:hAnsi="Miriam" w:cs="Miriam"/>
          <w:rtl/>
        </w:rPr>
        <w:t xml:space="preserve"> </w:t>
      </w:r>
      <w:r w:rsidRPr="007A1346">
        <w:rPr>
          <w:rFonts w:ascii="Miriam" w:hAnsi="Miriam" w:cs="Miriam" w:hint="eastAsia"/>
          <w:rtl/>
        </w:rPr>
        <w:t>העוסקים</w:t>
      </w:r>
      <w:r w:rsidRPr="007A1346">
        <w:rPr>
          <w:rFonts w:ascii="Miriam" w:hAnsi="Miriam" w:cs="Miriam"/>
          <w:rtl/>
        </w:rPr>
        <w:t xml:space="preserve"> </w:t>
      </w:r>
      <w:r w:rsidRPr="007A1346">
        <w:rPr>
          <w:rFonts w:ascii="Miriam" w:hAnsi="Miriam" w:cs="Miriam" w:hint="eastAsia"/>
          <w:rtl/>
        </w:rPr>
        <w:t>בתחום</w:t>
      </w:r>
      <w:r w:rsidRPr="007A1346">
        <w:rPr>
          <w:rFonts w:ascii="Miriam" w:hAnsi="Miriam" w:cs="Miriam"/>
          <w:rtl/>
        </w:rPr>
        <w:t xml:space="preserve"> </w:t>
      </w:r>
      <w:r w:rsidRPr="007A1346">
        <w:rPr>
          <w:rFonts w:ascii="Miriam" w:hAnsi="Miriam" w:cs="Miriam" w:hint="eastAsia"/>
          <w:rtl/>
        </w:rPr>
        <w:t>זה</w:t>
      </w:r>
      <w:r w:rsidRPr="007A1346">
        <w:rPr>
          <w:rFonts w:ascii="Miriam" w:hAnsi="Miriam" w:cs="Miriam"/>
          <w:rtl/>
        </w:rPr>
        <w:t>."</w:t>
      </w:r>
      <w:r w:rsidRPr="000365C0">
        <w:rPr>
          <w:rFonts w:ascii="David" w:hAnsi="David"/>
          <w:rtl/>
        </w:rPr>
        <w:t xml:space="preserve"> (</w:t>
      </w:r>
      <w:hyperlink r:id="rId29" w:history="1">
        <w:r w:rsidR="00931E3C" w:rsidRPr="00931E3C">
          <w:rPr>
            <w:rFonts w:ascii="David" w:hAnsi="David" w:cs="Times New Roman"/>
            <w:color w:val="0000FF"/>
            <w:u w:val="single"/>
            <w:rtl/>
          </w:rPr>
          <w:t>עפ"ג 42358-10-14</w:t>
        </w:r>
      </w:hyperlink>
      <w:r w:rsidRPr="007A1346">
        <w:rPr>
          <w:rFonts w:ascii="David" w:hAnsi="David"/>
          <w:rtl/>
        </w:rPr>
        <w:t xml:space="preserve"> </w:t>
      </w:r>
      <w:r w:rsidRPr="007A1346">
        <w:rPr>
          <w:rFonts w:ascii="David" w:hAnsi="David"/>
          <w:b/>
          <w:bCs/>
          <w:rtl/>
        </w:rPr>
        <w:t xml:space="preserve">גיא נ' מדינת ישראל </w:t>
      </w:r>
      <w:r w:rsidRPr="007A1346">
        <w:rPr>
          <w:rFonts w:ascii="David" w:hAnsi="David"/>
          <w:rtl/>
        </w:rPr>
        <w:t>(18.2.2015)).</w:t>
      </w:r>
    </w:p>
    <w:p w14:paraId="1A31DB7E" w14:textId="77777777" w:rsidR="00053573" w:rsidRPr="00C704C6" w:rsidRDefault="00053573" w:rsidP="00053573">
      <w:pPr>
        <w:pStyle w:val="a9"/>
        <w:ind w:left="1134" w:right="1134"/>
        <w:jc w:val="both"/>
        <w:rPr>
          <w:rFonts w:ascii="David" w:hAnsi="David"/>
          <w:rtl/>
        </w:rPr>
      </w:pPr>
    </w:p>
    <w:p w14:paraId="05BE23CE" w14:textId="77777777" w:rsidR="00053573" w:rsidRPr="00A03FA0" w:rsidRDefault="00053573" w:rsidP="00053573">
      <w:pPr>
        <w:pStyle w:val="a9"/>
        <w:numPr>
          <w:ilvl w:val="0"/>
          <w:numId w:val="1"/>
        </w:numPr>
        <w:spacing w:line="360" w:lineRule="auto"/>
        <w:jc w:val="both"/>
        <w:rPr>
          <w:rFonts w:ascii="David" w:hAnsi="David"/>
          <w:b/>
          <w:bCs/>
        </w:rPr>
      </w:pPr>
      <w:r w:rsidRPr="00A03FA0">
        <w:rPr>
          <w:rFonts w:ascii="David" w:hAnsi="David"/>
          <w:rtl/>
        </w:rPr>
        <w:t xml:space="preserve">לצורך בחינת מדיניות הענישה הנוהגת בעבירות דומות ניתן להפנות לפסקי הדין הבאים: </w:t>
      </w:r>
      <w:hyperlink r:id="rId30" w:history="1">
        <w:r w:rsidR="00931E3C" w:rsidRPr="00931E3C">
          <w:rPr>
            <w:rFonts w:ascii="David" w:hAnsi="David" w:cs="Times New Roman"/>
            <w:color w:val="0000FF"/>
            <w:u w:val="single"/>
            <w:rtl/>
          </w:rPr>
          <w:t>רע"פ 314/16</w:t>
        </w:r>
      </w:hyperlink>
      <w:r w:rsidRPr="00A03FA0">
        <w:rPr>
          <w:rFonts w:ascii="David" w:hAnsi="David"/>
          <w:rtl/>
        </w:rPr>
        <w:t xml:space="preserve"> </w:t>
      </w:r>
      <w:r w:rsidRPr="00A03FA0">
        <w:rPr>
          <w:rFonts w:ascii="David" w:hAnsi="David"/>
          <w:b/>
          <w:bCs/>
          <w:rtl/>
        </w:rPr>
        <w:t>בן</w:t>
      </w:r>
      <w:r w:rsidRPr="00A03FA0">
        <w:rPr>
          <w:rFonts w:ascii="David" w:hAnsi="David"/>
          <w:rtl/>
        </w:rPr>
        <w:t xml:space="preserve"> </w:t>
      </w:r>
      <w:r w:rsidRPr="00A03FA0">
        <w:rPr>
          <w:rFonts w:ascii="David" w:hAnsi="David"/>
          <w:b/>
          <w:bCs/>
          <w:rtl/>
        </w:rPr>
        <w:t>צבי נ' מדינת ישראל</w:t>
      </w:r>
      <w:r w:rsidRPr="00A03FA0">
        <w:rPr>
          <w:rFonts w:ascii="David" w:hAnsi="David"/>
          <w:rtl/>
        </w:rPr>
        <w:t xml:space="preserve"> (22.2.2016), בו הוחמר עונשו של נאשם ל-10 חודשי מאסר בשל גידול תשעה שתילי קנבוס במשקל של 2.5 קילו; </w:t>
      </w:r>
      <w:r w:rsidRPr="00A03FA0">
        <w:rPr>
          <w:rFonts w:ascii="David" w:hAnsi="David"/>
          <w:b/>
          <w:bCs/>
          <w:rtl/>
        </w:rPr>
        <w:t>מדינת ישראל נגד טולידו</w:t>
      </w:r>
      <w:r w:rsidRPr="00A03FA0">
        <w:rPr>
          <w:rFonts w:ascii="David" w:hAnsi="David"/>
          <w:rtl/>
        </w:rPr>
        <w:t xml:space="preserve"> (17.1.2017), בו הוטלו על נאשם 4 חודשי מאסר בעבודות שירות בגין גידול 93 שתילים של קנבוס וזאת לאחר שהנאשם עבר הליך טיפול משמעותי; </w:t>
      </w:r>
      <w:hyperlink r:id="rId31" w:history="1">
        <w:r w:rsidR="00931E3C" w:rsidRPr="00931E3C">
          <w:rPr>
            <w:rFonts w:ascii="David" w:hAnsi="David" w:cs="Times New Roman"/>
            <w:color w:val="0000FF"/>
            <w:u w:val="single"/>
            <w:rtl/>
          </w:rPr>
          <w:t>עפ"ג 62171-05-17</w:t>
        </w:r>
      </w:hyperlink>
      <w:r w:rsidRPr="00A03FA0">
        <w:rPr>
          <w:rFonts w:ascii="David" w:hAnsi="David"/>
          <w:rtl/>
        </w:rPr>
        <w:t xml:space="preserve"> </w:t>
      </w:r>
      <w:r w:rsidRPr="00A03FA0">
        <w:rPr>
          <w:rFonts w:ascii="David" w:hAnsi="David"/>
          <w:b/>
          <w:bCs/>
          <w:rtl/>
        </w:rPr>
        <w:t>חן נ' מדינת ישראל</w:t>
      </w:r>
      <w:r w:rsidRPr="00A03FA0">
        <w:rPr>
          <w:rFonts w:ascii="David" w:hAnsi="David"/>
          <w:rtl/>
        </w:rPr>
        <w:t xml:space="preserve"> (10.7.2017),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32" w:history="1">
        <w:r w:rsidR="00931E3C" w:rsidRPr="00931E3C">
          <w:rPr>
            <w:rFonts w:ascii="David" w:hAnsi="David" w:cs="Times New Roman"/>
            <w:color w:val="0000FF"/>
            <w:u w:val="single"/>
            <w:rtl/>
          </w:rPr>
          <w:t>ע"פ 6180/16</w:t>
        </w:r>
      </w:hyperlink>
      <w:r w:rsidRPr="00A03FA0">
        <w:rPr>
          <w:rFonts w:ascii="David" w:hAnsi="David"/>
          <w:rtl/>
        </w:rPr>
        <w:t xml:space="preserve"> </w:t>
      </w:r>
      <w:r w:rsidRPr="00A03FA0">
        <w:rPr>
          <w:rFonts w:ascii="David" w:hAnsi="David"/>
          <w:b/>
          <w:bCs/>
          <w:rtl/>
        </w:rPr>
        <w:t>אלחרוני נ' מדינת ישראל</w:t>
      </w:r>
      <w:r w:rsidRPr="00A03FA0">
        <w:rPr>
          <w:rFonts w:ascii="David" w:hAnsi="David"/>
          <w:rtl/>
        </w:rPr>
        <w:t xml:space="preserve"> (26.10.2016), שם נקבע מתחם ענישה שבין 12 חודשי מאסר ועד 24 חודשי מאסר לעבירה של גידול סם בהיקף של 275 שתילים במשקל של כ-80 ק"ג. על הנאשם הוטל עונש מאסר בן 20 חודשים (וכן הופעל מע"ת במצטבר). הערעור לבית המשפט העליון נדחה; </w:t>
      </w:r>
      <w:hyperlink r:id="rId33" w:history="1">
        <w:r w:rsidR="00931E3C" w:rsidRPr="00931E3C">
          <w:rPr>
            <w:rFonts w:ascii="David" w:hAnsi="David" w:cs="Times New Roman"/>
            <w:color w:val="0000FF"/>
            <w:u w:val="single"/>
            <w:rtl/>
          </w:rPr>
          <w:t>רע"פ 7819/15</w:t>
        </w:r>
      </w:hyperlink>
      <w:r w:rsidRPr="00A03FA0">
        <w:rPr>
          <w:rFonts w:ascii="David" w:hAnsi="David"/>
          <w:rtl/>
        </w:rPr>
        <w:t xml:space="preserve"> </w:t>
      </w:r>
      <w:r w:rsidRPr="00A03FA0">
        <w:rPr>
          <w:rFonts w:ascii="David" w:hAnsi="David"/>
          <w:b/>
          <w:bCs/>
          <w:rtl/>
        </w:rPr>
        <w:t>סלור נ' מדינת ישראל</w:t>
      </w:r>
      <w:r w:rsidRPr="00A03FA0">
        <w:rPr>
          <w:rFonts w:ascii="David" w:hAnsi="David"/>
          <w:rtl/>
        </w:rPr>
        <w:t xml:space="preserve"> (22.5.2016), בו הוטלו על הנאשם 9 חודשי מאסר בפועל בשל גידול 45 שתילי קנבוס במשקל של 7.4 ק"ג. בית משפט השלום קבע כי מתחם העונש ההולם נע בין 7 לבין 18 חודשי מאסר בפועל. ערעור הנאשם על חומרת העונש נדחה הן בבית המשפט המחוזי והן בבית המשפט העליון; </w:t>
      </w:r>
      <w:hyperlink r:id="rId34" w:history="1">
        <w:r w:rsidR="00931E3C" w:rsidRPr="00931E3C">
          <w:rPr>
            <w:rFonts w:ascii="David" w:hAnsi="David" w:cs="Times New Roman"/>
            <w:color w:val="0000FF"/>
            <w:u w:val="single"/>
            <w:rtl/>
          </w:rPr>
          <w:t>רע"פ 6987/13</w:t>
        </w:r>
      </w:hyperlink>
      <w:r w:rsidRPr="00A03FA0">
        <w:rPr>
          <w:rFonts w:ascii="David" w:hAnsi="David"/>
          <w:rtl/>
        </w:rPr>
        <w:t xml:space="preserve"> </w:t>
      </w:r>
      <w:r w:rsidRPr="00A03FA0">
        <w:rPr>
          <w:rFonts w:ascii="David" w:hAnsi="David"/>
          <w:b/>
          <w:bCs/>
          <w:rtl/>
        </w:rPr>
        <w:t>אברמוב נ' מדינת ישראל</w:t>
      </w:r>
      <w:r w:rsidRPr="00A03FA0">
        <w:rPr>
          <w:rFonts w:ascii="David" w:hAnsi="David"/>
          <w:rtl/>
        </w:rPr>
        <w:t xml:space="preserve"> (21.10.2013), בו הוטלו על הנאשם 12 חודשי מאסר בפועל בשל גידול  סם מסוג קנביס במשקל כולל של 10 ק"ג; </w:t>
      </w:r>
      <w:hyperlink r:id="rId35" w:history="1">
        <w:r w:rsidR="00931E3C" w:rsidRPr="00931E3C">
          <w:rPr>
            <w:rFonts w:ascii="David" w:hAnsi="David"/>
            <w:color w:val="0000FF"/>
            <w:u w:val="single"/>
            <w:rtl/>
          </w:rPr>
          <w:t>ת"פ 1788-06-17</w:t>
        </w:r>
      </w:hyperlink>
      <w:r w:rsidRPr="00A03FA0">
        <w:rPr>
          <w:rFonts w:ascii="David" w:hAnsi="David"/>
          <w:rtl/>
        </w:rPr>
        <w:t xml:space="preserve"> </w:t>
      </w:r>
      <w:r w:rsidRPr="00A03FA0">
        <w:rPr>
          <w:rFonts w:ascii="David" w:hAnsi="David"/>
          <w:b/>
          <w:bCs/>
          <w:rtl/>
        </w:rPr>
        <w:t>מדינת ישראל נ' אברהם אבירם גבאי</w:t>
      </w:r>
      <w:r w:rsidRPr="00A03FA0">
        <w:rPr>
          <w:rFonts w:ascii="David" w:hAnsi="David"/>
          <w:rtl/>
        </w:rPr>
        <w:t xml:space="preserve"> (21.5.2018), בו הוטלו על נאשם 6 חודשי מאסר בעבודות שירות בגין גידול קנבוס במשקל 4.8 ק"ג; </w:t>
      </w:r>
      <w:hyperlink r:id="rId36" w:history="1">
        <w:r w:rsidR="00931E3C" w:rsidRPr="00931E3C">
          <w:rPr>
            <w:rFonts w:ascii="David" w:hAnsi="David"/>
            <w:color w:val="0000FF"/>
            <w:u w:val="single"/>
            <w:rtl/>
          </w:rPr>
          <w:t>ת"פ 1969-02-17</w:t>
        </w:r>
      </w:hyperlink>
      <w:r w:rsidRPr="00A03FA0">
        <w:rPr>
          <w:rFonts w:ascii="David" w:hAnsi="David"/>
          <w:rtl/>
        </w:rPr>
        <w:t xml:space="preserve"> </w:t>
      </w:r>
      <w:r w:rsidRPr="00A03FA0">
        <w:rPr>
          <w:rFonts w:ascii="David" w:hAnsi="David"/>
          <w:b/>
          <w:bCs/>
          <w:rtl/>
        </w:rPr>
        <w:t>מדינת ישראל נ' אלישייב</w:t>
      </w:r>
      <w:r w:rsidRPr="00A03FA0">
        <w:rPr>
          <w:rFonts w:ascii="David" w:hAnsi="David"/>
          <w:rtl/>
        </w:rPr>
        <w:t xml:space="preserve"> (21.2.2018), בו הוטלו על נאשם 6 חודשי מאסר בעבודות שירות בגין גידול 52 שתילי קנבוס במשקל 1.2 ק"ג, וכן החזקת כלים להכנת סם שלא לצריכה עצמית; </w:t>
      </w:r>
      <w:hyperlink r:id="rId37" w:history="1">
        <w:r w:rsidR="00931E3C" w:rsidRPr="00931E3C">
          <w:rPr>
            <w:rFonts w:ascii="David" w:hAnsi="David"/>
            <w:color w:val="0000FF"/>
            <w:u w:val="single"/>
            <w:rtl/>
          </w:rPr>
          <w:t>עפ"ג 22919-08-18</w:t>
        </w:r>
      </w:hyperlink>
      <w:r w:rsidRPr="00A03FA0">
        <w:rPr>
          <w:rFonts w:ascii="David" w:hAnsi="David"/>
          <w:rtl/>
        </w:rPr>
        <w:t xml:space="preserve"> </w:t>
      </w:r>
      <w:r w:rsidRPr="00A03FA0">
        <w:rPr>
          <w:rFonts w:ascii="David" w:hAnsi="David"/>
          <w:b/>
          <w:bCs/>
          <w:rtl/>
        </w:rPr>
        <w:t>מדינת ישראל נ' חכים</w:t>
      </w:r>
      <w:r w:rsidRPr="00A03FA0">
        <w:rPr>
          <w:rFonts w:ascii="David" w:hAnsi="David"/>
          <w:rtl/>
        </w:rPr>
        <w:t xml:space="preserve"> (29.5.2018), </w:t>
      </w:r>
      <w:r>
        <w:rPr>
          <w:rFonts w:ascii="David" w:hAnsi="David" w:hint="cs"/>
          <w:rtl/>
        </w:rPr>
        <w:t xml:space="preserve">בו </w:t>
      </w:r>
      <w:r w:rsidRPr="00A03FA0">
        <w:rPr>
          <w:rFonts w:ascii="David" w:hAnsi="David"/>
          <w:rtl/>
        </w:rPr>
        <w:t xml:space="preserve">הוטלו על נאשם 6 חודשי מאסר בעבודות שירות בגין גידול קנבוס במשקל של 33.2 ק"ג. בית המשפט המחוזי ציין כי העונש חורג במידה ניכרת מהמתחם וזאת לנוכח נסיבות חריגות ומיוחדות.  </w:t>
      </w:r>
    </w:p>
    <w:p w14:paraId="6A703DB2" w14:textId="77777777" w:rsidR="00053573" w:rsidRDefault="00053573" w:rsidP="00053573">
      <w:pPr>
        <w:pStyle w:val="a9"/>
        <w:ind w:left="0"/>
        <w:jc w:val="both"/>
        <w:rPr>
          <w:rFonts w:ascii="Arial" w:hAnsi="Arial"/>
          <w:b/>
          <w:bCs/>
        </w:rPr>
      </w:pPr>
    </w:p>
    <w:p w14:paraId="6EFBC7C7" w14:textId="77777777" w:rsidR="00053573" w:rsidRDefault="00053573" w:rsidP="00053573">
      <w:pPr>
        <w:numPr>
          <w:ilvl w:val="0"/>
          <w:numId w:val="1"/>
        </w:numPr>
        <w:spacing w:line="360" w:lineRule="auto"/>
        <w:jc w:val="both"/>
        <w:rPr>
          <w:rFonts w:ascii="David" w:hAnsi="David"/>
        </w:rPr>
      </w:pPr>
      <w:r>
        <w:rPr>
          <w:rFonts w:ascii="David" w:hAnsi="David"/>
          <w:rtl/>
        </w:rPr>
        <w:t xml:space="preserve">לאור כל זאת, אני בדעה כי מתחם הענישה ההולם את העבירות בנסיבותיו של מקרה זה, נע בין </w:t>
      </w:r>
      <w:r>
        <w:rPr>
          <w:rFonts w:ascii="David" w:hAnsi="David" w:hint="cs"/>
          <w:rtl/>
        </w:rPr>
        <w:t>6</w:t>
      </w:r>
      <w:r>
        <w:rPr>
          <w:rFonts w:ascii="David" w:hAnsi="David"/>
          <w:rtl/>
        </w:rPr>
        <w:t xml:space="preserve"> חודשי מאסר בפועל ועד </w:t>
      </w:r>
      <w:r>
        <w:rPr>
          <w:rFonts w:ascii="David" w:hAnsi="David" w:hint="cs"/>
          <w:rtl/>
        </w:rPr>
        <w:t>18</w:t>
      </w:r>
      <w:r>
        <w:rPr>
          <w:rFonts w:ascii="David" w:hAnsi="David"/>
          <w:rtl/>
        </w:rPr>
        <w:t xml:space="preserve"> חודשי מאסר בפועל.</w:t>
      </w:r>
    </w:p>
    <w:p w14:paraId="4C2C0FA2" w14:textId="77777777" w:rsidR="00053573" w:rsidRDefault="00053573" w:rsidP="00053573">
      <w:pPr>
        <w:jc w:val="both"/>
        <w:rPr>
          <w:rFonts w:ascii="David" w:hAnsi="David"/>
          <w:rtl/>
        </w:rPr>
      </w:pPr>
    </w:p>
    <w:p w14:paraId="51609AE2" w14:textId="77777777" w:rsidR="00053573" w:rsidRPr="00A03FA0" w:rsidRDefault="00053573" w:rsidP="00053573">
      <w:pPr>
        <w:spacing w:after="160" w:line="360" w:lineRule="auto"/>
        <w:jc w:val="both"/>
        <w:rPr>
          <w:rFonts w:ascii="David" w:hAnsi="David"/>
          <w:b/>
          <w:bCs/>
          <w:u w:val="single"/>
        </w:rPr>
      </w:pPr>
      <w:r>
        <w:rPr>
          <w:rFonts w:ascii="David" w:hAnsi="David"/>
          <w:b/>
          <w:bCs/>
          <w:u w:val="single"/>
          <w:rtl/>
        </w:rPr>
        <w:t>קביעת עונשו של הנאשם</w:t>
      </w:r>
    </w:p>
    <w:p w14:paraId="0222B290" w14:textId="77777777" w:rsidR="00053573" w:rsidRDefault="00053573" w:rsidP="00053573">
      <w:pPr>
        <w:pStyle w:val="a9"/>
        <w:numPr>
          <w:ilvl w:val="0"/>
          <w:numId w:val="1"/>
        </w:numPr>
        <w:spacing w:line="360" w:lineRule="auto"/>
        <w:jc w:val="both"/>
        <w:rPr>
          <w:rFonts w:ascii="Arial" w:hAnsi="Arial"/>
        </w:rPr>
      </w:pPr>
      <w:r>
        <w:rPr>
          <w:rFonts w:ascii="David" w:hAnsi="David" w:hint="cs"/>
          <w:rtl/>
        </w:rPr>
        <w:t>דומה ש</w:t>
      </w:r>
      <w:r>
        <w:rPr>
          <w:rFonts w:ascii="David" w:hAnsi="David"/>
          <w:rtl/>
        </w:rPr>
        <w:t xml:space="preserve">לא הייתה מחלוקת </w:t>
      </w:r>
      <w:r>
        <w:rPr>
          <w:rFonts w:ascii="David" w:hAnsi="David" w:hint="cs"/>
          <w:rtl/>
        </w:rPr>
        <w:t>אמיתית בין הצדדים ש</w:t>
      </w:r>
      <w:r>
        <w:rPr>
          <w:rFonts w:ascii="David" w:hAnsi="David"/>
          <w:rtl/>
        </w:rPr>
        <w:t>העונש אמור להיגזר בגדרי מתחמי הענישה</w:t>
      </w:r>
      <w:r>
        <w:rPr>
          <w:rFonts w:ascii="David" w:hAnsi="David" w:hint="cs"/>
          <w:rtl/>
        </w:rPr>
        <w:t>, ושני הצדדים עתרו לעונש שניתן לשאת בדרך של עבודות שירות, אך בהיקף שונה</w:t>
      </w:r>
      <w:r>
        <w:rPr>
          <w:rFonts w:ascii="David" w:hAnsi="David"/>
          <w:rtl/>
        </w:rPr>
        <w:t xml:space="preserve">. לא נטען דבר בעניין סיכויי השיקום של הנאשם, </w:t>
      </w:r>
      <w:r>
        <w:rPr>
          <w:rFonts w:ascii="David" w:hAnsi="David" w:hint="cs"/>
          <w:rtl/>
        </w:rPr>
        <w:t xml:space="preserve">זולת טענה בדבר בדיקת שתן נקיה, אשר אינני סבור שניתן להסיק ממנה סיכויי שיקום ממשיים, קל וחומר בהיעדר תסקיר. </w:t>
      </w:r>
    </w:p>
    <w:p w14:paraId="0828E55B" w14:textId="77777777" w:rsidR="00053573" w:rsidRDefault="00053573" w:rsidP="00053573">
      <w:pPr>
        <w:pStyle w:val="a9"/>
        <w:ind w:left="0"/>
        <w:jc w:val="both"/>
        <w:rPr>
          <w:rFonts w:ascii="Arial" w:hAnsi="Arial"/>
        </w:rPr>
      </w:pPr>
    </w:p>
    <w:p w14:paraId="23F37987" w14:textId="77777777" w:rsidR="00053573" w:rsidRDefault="00053573" w:rsidP="00053573">
      <w:pPr>
        <w:pStyle w:val="a9"/>
        <w:numPr>
          <w:ilvl w:val="0"/>
          <w:numId w:val="1"/>
        </w:numPr>
        <w:spacing w:line="360" w:lineRule="auto"/>
        <w:jc w:val="both"/>
        <w:rPr>
          <w:rFonts w:ascii="David" w:hAnsi="David"/>
        </w:rPr>
      </w:pPr>
      <w:r>
        <w:rPr>
          <w:rtl/>
        </w:rPr>
        <w:t>לצורך קביעת עונשו של הנאשם הבאתי בחשבון לקולה את הודאתו בעביר</w:t>
      </w:r>
      <w:r>
        <w:rPr>
          <w:rFonts w:hint="cs"/>
          <w:rtl/>
        </w:rPr>
        <w:t>ה</w:t>
      </w:r>
      <w:r>
        <w:rPr>
          <w:rtl/>
        </w:rPr>
        <w:t xml:space="preserve"> ואת החרטה כפי שביטא בפני.</w:t>
      </w:r>
      <w:r>
        <w:rPr>
          <w:rFonts w:ascii="Arial" w:hAnsi="Arial"/>
          <w:rtl/>
        </w:rPr>
        <w:t xml:space="preserve"> הבאתי בחשבון את גילו</w:t>
      </w:r>
      <w:r>
        <w:rPr>
          <w:rFonts w:ascii="Arial" w:hAnsi="Arial" w:hint="cs"/>
          <w:rtl/>
        </w:rPr>
        <w:t xml:space="preserve"> הצעיר יחסית (כבן 30)</w:t>
      </w:r>
      <w:r>
        <w:rPr>
          <w:rFonts w:ascii="Arial" w:hAnsi="Arial"/>
          <w:rtl/>
        </w:rPr>
        <w:t xml:space="preserve">, נסיבותיו האישיות ומצבו </w:t>
      </w:r>
      <w:r>
        <w:rPr>
          <w:rFonts w:ascii="Arial" w:hAnsi="Arial" w:hint="cs"/>
          <w:rtl/>
        </w:rPr>
        <w:t xml:space="preserve">הבריאותי והנפשי כפי שפורטו במסמכים הרפואיים </w:t>
      </w:r>
      <w:r>
        <w:rPr>
          <w:rFonts w:ascii="David" w:hAnsi="David" w:hint="cs"/>
          <w:rtl/>
        </w:rPr>
        <w:t xml:space="preserve">ובחוות הדעת. כן הבאתי בחשבון את עברו הפלילי, </w:t>
      </w:r>
      <w:r>
        <w:rPr>
          <w:rFonts w:ascii="Arial" w:hAnsi="Arial" w:hint="cs"/>
          <w:rtl/>
        </w:rPr>
        <w:t xml:space="preserve">שאינו מכביד (וכולל גם רישום אחד בו זוכה בהתאם </w:t>
      </w:r>
      <w:hyperlink r:id="rId38" w:history="1">
        <w:r w:rsidR="00DC4DF8" w:rsidRPr="00DC4DF8">
          <w:rPr>
            <w:rStyle w:val="Hyperlink"/>
            <w:rFonts w:ascii="Arial" w:hAnsi="Arial" w:cs="David" w:hint="eastAsia"/>
            <w:rtl/>
          </w:rPr>
          <w:t>לסעיף</w:t>
        </w:r>
        <w:r w:rsidR="00DC4DF8" w:rsidRPr="00DC4DF8">
          <w:rPr>
            <w:rStyle w:val="Hyperlink"/>
            <w:rFonts w:ascii="Arial" w:hAnsi="Arial" w:cs="David"/>
            <w:rtl/>
          </w:rPr>
          <w:t xml:space="preserve"> 34ח</w:t>
        </w:r>
      </w:hyperlink>
      <w:r>
        <w:rPr>
          <w:rFonts w:ascii="Arial" w:hAnsi="Arial" w:hint="cs"/>
          <w:rtl/>
        </w:rPr>
        <w:t xml:space="preserve"> ל</w:t>
      </w:r>
      <w:hyperlink r:id="rId39" w:history="1">
        <w:r w:rsidR="00931E3C" w:rsidRPr="00931E3C">
          <w:rPr>
            <w:rFonts w:ascii="Arial" w:hAnsi="Arial"/>
            <w:color w:val="0000FF"/>
            <w:u w:val="single"/>
            <w:rtl/>
          </w:rPr>
          <w:t>חוק העונשין</w:t>
        </w:r>
      </w:hyperlink>
      <w:r>
        <w:rPr>
          <w:rFonts w:ascii="David" w:hAnsi="David" w:hint="cs"/>
          <w:rtl/>
        </w:rPr>
        <w:t xml:space="preserve">). הבאתי עוד בחשבון את התקופה בה שהה במעצר (חמישה ימים) והתקופה בה שהה בתנאים מגבילים. </w:t>
      </w:r>
    </w:p>
    <w:p w14:paraId="4E89F39E" w14:textId="77777777" w:rsidR="00053573" w:rsidRDefault="00053573" w:rsidP="00053573">
      <w:pPr>
        <w:pStyle w:val="a9"/>
        <w:ind w:left="0"/>
        <w:jc w:val="both"/>
        <w:rPr>
          <w:rFonts w:ascii="David" w:hAnsi="David"/>
        </w:rPr>
      </w:pPr>
    </w:p>
    <w:p w14:paraId="1D53DF36" w14:textId="77777777" w:rsidR="00053573" w:rsidRDefault="00053573" w:rsidP="00053573">
      <w:pPr>
        <w:pStyle w:val="a9"/>
        <w:numPr>
          <w:ilvl w:val="0"/>
          <w:numId w:val="1"/>
        </w:numPr>
        <w:spacing w:line="360" w:lineRule="auto"/>
        <w:jc w:val="both"/>
        <w:rPr>
          <w:rFonts w:ascii="David" w:hAnsi="David"/>
        </w:rPr>
      </w:pPr>
      <w:r>
        <w:rPr>
          <w:rFonts w:hint="cs"/>
          <w:rtl/>
        </w:rPr>
        <w:t>לאור כל זאת, דעתי היא ש</w:t>
      </w:r>
      <w:r>
        <w:rPr>
          <w:rtl/>
        </w:rPr>
        <w:t>ראוי</w:t>
      </w:r>
      <w:r>
        <w:rPr>
          <w:rFonts w:hint="cs"/>
          <w:rtl/>
        </w:rPr>
        <w:t xml:space="preserve"> להקל עם הנאשם ולמקם את עונשו בתחתית המתחם. למעשה אף המאשימה מסכימה שכך יש לעשות, אם כי המתחם לו עתרה היה שונה. בכל מקרה אציין שיש להקפיד שלא להטיל על הנאשם עונש ארוך מידי בעבודות שירות, וזאת בשל מצבו הנפשי שעלול להקשות עליו לבצען לאורך זמן </w:t>
      </w:r>
      <w:r>
        <w:rPr>
          <w:rFonts w:ascii="David" w:hAnsi="David" w:hint="cs"/>
          <w:rtl/>
        </w:rPr>
        <w:t>(</w:t>
      </w:r>
      <w:r>
        <w:rPr>
          <w:rtl/>
        </w:rPr>
        <w:t>ראו</w:t>
      </w:r>
      <w:r>
        <w:rPr>
          <w:rFonts w:hint="cs"/>
          <w:rtl/>
        </w:rPr>
        <w:t xml:space="preserve"> בהשוואה: </w:t>
      </w:r>
      <w:hyperlink r:id="rId40" w:history="1">
        <w:r w:rsidR="00931E3C" w:rsidRPr="00931E3C">
          <w:rPr>
            <w:color w:val="0000FF"/>
            <w:u w:val="single"/>
            <w:rtl/>
          </w:rPr>
          <w:t>ע"פ 79535-01-19</w:t>
        </w:r>
      </w:hyperlink>
      <w:r>
        <w:rPr>
          <w:rtl/>
        </w:rPr>
        <w:t xml:space="preserve"> </w:t>
      </w:r>
      <w:r w:rsidRPr="00797E2C">
        <w:rPr>
          <w:b/>
          <w:bCs/>
          <w:rtl/>
        </w:rPr>
        <w:t>ואכד נ' מדינת ישראל</w:t>
      </w:r>
      <w:r>
        <w:rPr>
          <w:rtl/>
        </w:rPr>
        <w:t xml:space="preserve"> (14.3.</w:t>
      </w:r>
      <w:r>
        <w:rPr>
          <w:rFonts w:hint="cs"/>
          <w:rtl/>
        </w:rPr>
        <w:t>2019</w:t>
      </w:r>
      <w:r>
        <w:rPr>
          <w:rtl/>
        </w:rPr>
        <w:t>); הרכב כב' הנשיא שפירא).</w:t>
      </w:r>
      <w:r>
        <w:rPr>
          <w:rFonts w:ascii="David" w:hAnsi="David" w:hint="cs"/>
          <w:rtl/>
        </w:rPr>
        <w:t xml:space="preserve"> </w:t>
      </w:r>
    </w:p>
    <w:p w14:paraId="35A6DE81" w14:textId="77777777" w:rsidR="00053573" w:rsidRPr="00D24DDE" w:rsidRDefault="00053573" w:rsidP="00053573">
      <w:pPr>
        <w:pStyle w:val="a9"/>
        <w:ind w:left="0"/>
        <w:jc w:val="both"/>
        <w:rPr>
          <w:rFonts w:ascii="David" w:hAnsi="David"/>
        </w:rPr>
      </w:pPr>
    </w:p>
    <w:p w14:paraId="5DB2C411" w14:textId="77777777" w:rsidR="00053573" w:rsidRDefault="00053573" w:rsidP="00053573">
      <w:pPr>
        <w:pStyle w:val="a9"/>
        <w:numPr>
          <w:ilvl w:val="0"/>
          <w:numId w:val="1"/>
        </w:numPr>
        <w:spacing w:line="360" w:lineRule="auto"/>
        <w:jc w:val="both"/>
        <w:rPr>
          <w:rFonts w:ascii="Arial" w:hAnsi="Arial"/>
        </w:rPr>
      </w:pPr>
      <w:r>
        <w:rPr>
          <w:rFonts w:ascii="David" w:hAnsi="David"/>
          <w:rtl/>
        </w:rPr>
        <w:t>לאור כל האמור לעיל, לאחר שבחנתי את מכלול השיקולים לקולה ולחומרה, אני גוזר על הנאשם את העונשים הבאים:</w:t>
      </w:r>
    </w:p>
    <w:p w14:paraId="2E18ABC6" w14:textId="77777777" w:rsidR="00053573" w:rsidRDefault="00053573" w:rsidP="00053573">
      <w:pPr>
        <w:pStyle w:val="a9"/>
        <w:ind w:left="0"/>
        <w:jc w:val="both"/>
        <w:rPr>
          <w:rFonts w:ascii="Arial" w:hAnsi="Arial"/>
        </w:rPr>
      </w:pPr>
    </w:p>
    <w:p w14:paraId="03829E7B" w14:textId="77777777" w:rsidR="00053573" w:rsidRDefault="00053573" w:rsidP="00053573">
      <w:pPr>
        <w:pStyle w:val="a9"/>
        <w:numPr>
          <w:ilvl w:val="0"/>
          <w:numId w:val="2"/>
        </w:numPr>
        <w:spacing w:before="120" w:after="120" w:line="360" w:lineRule="auto"/>
        <w:jc w:val="both"/>
      </w:pPr>
      <w:r>
        <w:rPr>
          <w:rFonts w:hint="cs"/>
          <w:b/>
          <w:bCs/>
          <w:rtl/>
        </w:rPr>
        <w:t>6</w:t>
      </w:r>
      <w:r>
        <w:rPr>
          <w:b/>
          <w:bCs/>
          <w:rtl/>
        </w:rPr>
        <w:t xml:space="preserve"> חודשי מאסר</w:t>
      </w:r>
      <w:r>
        <w:rPr>
          <w:rtl/>
        </w:rPr>
        <w:t>. הנאשם יישא עונש זה בעבודות שירות בהתאם לחוות דעת הממונה</w:t>
      </w:r>
      <w:r w:rsidRPr="00611B40">
        <w:rPr>
          <w:rtl/>
        </w:rPr>
        <w:t xml:space="preserve">.  </w:t>
      </w:r>
      <w:r w:rsidRPr="00611B40">
        <w:rPr>
          <w:b/>
          <w:bCs/>
          <w:rtl/>
        </w:rPr>
        <w:t xml:space="preserve">ביום </w:t>
      </w:r>
      <w:r>
        <w:rPr>
          <w:rFonts w:hint="cs"/>
          <w:b/>
          <w:bCs/>
          <w:rtl/>
        </w:rPr>
        <w:t>12.10.2021</w:t>
      </w:r>
      <w:r>
        <w:rPr>
          <w:b/>
          <w:bCs/>
          <w:rtl/>
        </w:rPr>
        <w:t xml:space="preserve"> יתייצב הנאשם במשרדי הממונה- יחידת ברקאי שלוחת צפון- סמוך ל</w:t>
      </w:r>
      <w:r w:rsidRPr="00091240">
        <w:rPr>
          <w:b/>
          <w:bCs/>
          <w:rtl/>
        </w:rPr>
        <w:t>מתחם כלא מגידו.</w:t>
      </w:r>
      <w:r>
        <w:rPr>
          <w:rtl/>
        </w:rPr>
        <w:t xml:space="preserve">  מובהר לנאשם שעליו לבצע את העבודות לשביעות רצון הממונה וכי אם לא יעשה כן ניתן יהיה להפקיע מנהלית את העבודות והוא יאלץ לשאת ביתרת התקופה בבית מאסר.</w:t>
      </w:r>
    </w:p>
    <w:p w14:paraId="4506761A" w14:textId="77777777" w:rsidR="00053573" w:rsidRDefault="00053573" w:rsidP="00053573">
      <w:pPr>
        <w:pStyle w:val="a9"/>
        <w:spacing w:before="120" w:after="120"/>
        <w:jc w:val="both"/>
        <w:rPr>
          <w:b/>
          <w:bCs/>
          <w:rtl/>
        </w:rPr>
      </w:pPr>
    </w:p>
    <w:p w14:paraId="23ED9DBC" w14:textId="77777777" w:rsidR="00053573" w:rsidRPr="00611B40" w:rsidRDefault="00053573" w:rsidP="00053573">
      <w:pPr>
        <w:pStyle w:val="a9"/>
        <w:spacing w:before="120" w:after="120" w:line="360" w:lineRule="auto"/>
        <w:jc w:val="both"/>
        <w:rPr>
          <w:u w:val="single"/>
        </w:rPr>
      </w:pPr>
      <w:r>
        <w:rPr>
          <w:u w:val="single"/>
          <w:rtl/>
        </w:rPr>
        <w:t>מובהר לנאשם שבהתאם לחוות דעת הממונה, תנאי לנשיאת ה</w:t>
      </w:r>
      <w:r w:rsidRPr="00611B40">
        <w:rPr>
          <w:u w:val="single"/>
          <w:rtl/>
        </w:rPr>
        <w:t xml:space="preserve">עונש בעבודות שירות </w:t>
      </w:r>
      <w:r>
        <w:rPr>
          <w:rFonts w:hint="cs"/>
          <w:u w:val="single"/>
          <w:rtl/>
        </w:rPr>
        <w:t xml:space="preserve">הוא </w:t>
      </w:r>
      <w:r w:rsidRPr="00611B40">
        <w:rPr>
          <w:u w:val="single"/>
          <w:rtl/>
        </w:rPr>
        <w:t>עליו להיות במעקב רופא פסיכיאטר ולדווח על כל שינוי במצבו.</w:t>
      </w:r>
    </w:p>
    <w:p w14:paraId="6DC90A6A" w14:textId="77777777" w:rsidR="00053573" w:rsidRPr="00FE5832" w:rsidRDefault="00053573" w:rsidP="00053573">
      <w:pPr>
        <w:pStyle w:val="a9"/>
        <w:spacing w:before="120" w:after="120"/>
        <w:jc w:val="both"/>
        <w:rPr>
          <w:rtl/>
        </w:rPr>
      </w:pPr>
    </w:p>
    <w:p w14:paraId="54A16B89" w14:textId="77777777" w:rsidR="00053573" w:rsidRDefault="00053573" w:rsidP="00053573">
      <w:pPr>
        <w:pStyle w:val="a9"/>
        <w:numPr>
          <w:ilvl w:val="0"/>
          <w:numId w:val="2"/>
        </w:numPr>
        <w:spacing w:before="120" w:after="120" w:line="360" w:lineRule="auto"/>
        <w:jc w:val="both"/>
      </w:pPr>
      <w:r>
        <w:rPr>
          <w:rtl/>
        </w:rPr>
        <w:t xml:space="preserve">מאסר על תנאי לתקופה של 4 חודשים והתנאי הוא שהנאשם לא יעבור במשך שנתיים כל עבירה על פקודת הסמים שהיא פשע. </w:t>
      </w:r>
    </w:p>
    <w:p w14:paraId="4FA73751" w14:textId="77777777" w:rsidR="00053573" w:rsidRDefault="00053573" w:rsidP="00053573">
      <w:pPr>
        <w:pStyle w:val="a9"/>
        <w:spacing w:before="120" w:after="120"/>
        <w:jc w:val="both"/>
      </w:pPr>
    </w:p>
    <w:p w14:paraId="5D020261" w14:textId="77777777" w:rsidR="00053573" w:rsidRDefault="00053573" w:rsidP="00053573">
      <w:pPr>
        <w:pStyle w:val="a9"/>
        <w:numPr>
          <w:ilvl w:val="0"/>
          <w:numId w:val="2"/>
        </w:numPr>
        <w:spacing w:before="120" w:after="120" w:line="360" w:lineRule="auto"/>
        <w:jc w:val="both"/>
      </w:pPr>
      <w:r>
        <w:rPr>
          <w:rtl/>
        </w:rPr>
        <w:t xml:space="preserve">קנס בסך </w:t>
      </w:r>
      <w:r>
        <w:rPr>
          <w:rFonts w:hint="cs"/>
          <w:rtl/>
        </w:rPr>
        <w:t>3</w:t>
      </w:r>
      <w:r>
        <w:rPr>
          <w:rtl/>
        </w:rPr>
        <w:t>,000</w:t>
      </w:r>
      <w:r>
        <w:rPr>
          <w:rFonts w:hint="cs"/>
          <w:rtl/>
        </w:rPr>
        <w:t xml:space="preserve"> </w:t>
      </w:r>
      <w:r>
        <w:rPr>
          <w:rtl/>
        </w:rPr>
        <w:t xml:space="preserve">₪. הקנס ישולם ב- </w:t>
      </w:r>
      <w:r>
        <w:rPr>
          <w:rFonts w:hint="cs"/>
          <w:rtl/>
        </w:rPr>
        <w:t>5</w:t>
      </w:r>
      <w:r>
        <w:rPr>
          <w:rtl/>
        </w:rPr>
        <w:t xml:space="preserve"> תשלומים חודשיים רצופים ושווים החל מיום 1.10.2021. היה והקנס או חלקו לא ישולם במועד, תעמוד יתרת הקנס לתשלום מידי.</w:t>
      </w:r>
    </w:p>
    <w:p w14:paraId="312228EB" w14:textId="77777777" w:rsidR="00053573" w:rsidRPr="00F452B0" w:rsidRDefault="00053573" w:rsidP="00053573">
      <w:pPr>
        <w:pStyle w:val="a9"/>
        <w:spacing w:before="120" w:after="120"/>
        <w:jc w:val="both"/>
      </w:pPr>
    </w:p>
    <w:p w14:paraId="06888582" w14:textId="77777777" w:rsidR="00053573" w:rsidRPr="00044DBE" w:rsidRDefault="00053573" w:rsidP="00053573">
      <w:pPr>
        <w:pStyle w:val="a9"/>
        <w:numPr>
          <w:ilvl w:val="0"/>
          <w:numId w:val="2"/>
        </w:numPr>
        <w:spacing w:line="360" w:lineRule="auto"/>
        <w:jc w:val="both"/>
        <w:rPr>
          <w:rFonts w:ascii="David" w:hAnsi="David"/>
          <w:rtl/>
        </w:rPr>
      </w:pPr>
      <w:r>
        <w:rPr>
          <w:rFonts w:ascii="David" w:hAnsi="David"/>
          <w:rtl/>
        </w:rPr>
        <w:t xml:space="preserve">אני מורה על חילוט </w:t>
      </w:r>
      <w:r>
        <w:rPr>
          <w:rFonts w:ascii="David" w:hAnsi="David" w:hint="cs"/>
          <w:rtl/>
        </w:rPr>
        <w:t xml:space="preserve">הכלים </w:t>
      </w:r>
      <w:r w:rsidRPr="00FE5832">
        <w:rPr>
          <w:rFonts w:ascii="David" w:hAnsi="David"/>
          <w:rtl/>
        </w:rPr>
        <w:t>כמפורט בכתב האישום</w:t>
      </w:r>
      <w:r>
        <w:rPr>
          <w:rFonts w:ascii="David" w:hAnsi="David" w:hint="cs"/>
          <w:rtl/>
        </w:rPr>
        <w:t xml:space="preserve">. </w:t>
      </w:r>
    </w:p>
    <w:p w14:paraId="3E76804D" w14:textId="77777777" w:rsidR="00053573" w:rsidRPr="00044DBE" w:rsidRDefault="00053573" w:rsidP="00053573">
      <w:pPr>
        <w:jc w:val="both"/>
        <w:rPr>
          <w:rFonts w:ascii="David" w:hAnsi="David"/>
          <w:rtl/>
        </w:rPr>
      </w:pPr>
    </w:p>
    <w:p w14:paraId="6324ED07" w14:textId="77777777" w:rsidR="00053573" w:rsidRDefault="00053573" w:rsidP="00053573">
      <w:pPr>
        <w:spacing w:before="120" w:after="120" w:line="360" w:lineRule="auto"/>
        <w:contextualSpacing/>
        <w:jc w:val="both"/>
        <w:rPr>
          <w:b/>
          <w:bCs/>
          <w:u w:val="single"/>
        </w:rPr>
      </w:pPr>
      <w:r>
        <w:rPr>
          <w:b/>
          <w:bCs/>
          <w:u w:val="single"/>
          <w:rtl/>
        </w:rPr>
        <w:t xml:space="preserve">בחלוף תקופת הערעור, ניתן להשמיד את </w:t>
      </w:r>
      <w:r>
        <w:rPr>
          <w:rFonts w:hint="cs"/>
          <w:b/>
          <w:bCs/>
          <w:u w:val="single"/>
          <w:rtl/>
        </w:rPr>
        <w:t xml:space="preserve">הסמים. </w:t>
      </w:r>
      <w:r>
        <w:rPr>
          <w:b/>
          <w:bCs/>
          <w:u w:val="single"/>
          <w:rtl/>
        </w:rPr>
        <w:t xml:space="preserve"> </w:t>
      </w:r>
    </w:p>
    <w:p w14:paraId="1AA60454" w14:textId="77777777" w:rsidR="00053573" w:rsidRPr="00D24DDE" w:rsidRDefault="00053573" w:rsidP="00053573">
      <w:pPr>
        <w:spacing w:before="120" w:after="120"/>
        <w:ind w:left="1800"/>
        <w:contextualSpacing/>
        <w:jc w:val="both"/>
        <w:rPr>
          <w:b/>
          <w:bCs/>
          <w:u w:val="single"/>
          <w:rtl/>
        </w:rPr>
      </w:pPr>
    </w:p>
    <w:p w14:paraId="6E00DBBC" w14:textId="77777777" w:rsidR="00053573" w:rsidRDefault="00053573" w:rsidP="00053573">
      <w:pPr>
        <w:spacing w:line="360" w:lineRule="auto"/>
        <w:jc w:val="both"/>
        <w:rPr>
          <w:rFonts w:ascii="David" w:hAnsi="David"/>
          <w:rtl/>
        </w:rPr>
      </w:pPr>
      <w:r>
        <w:rPr>
          <w:b/>
          <w:bCs/>
          <w:u w:val="single"/>
          <w:rtl/>
        </w:rPr>
        <w:t>המזכירות: להמציא את גזר הדין לממונה על עבודות השירות</w:t>
      </w:r>
      <w:r>
        <w:rPr>
          <w:rFonts w:ascii="David" w:hAnsi="David" w:hint="cs"/>
          <w:rtl/>
        </w:rPr>
        <w:t>.</w:t>
      </w:r>
    </w:p>
    <w:p w14:paraId="31FAB79B" w14:textId="77777777" w:rsidR="00053573" w:rsidRPr="00931E3C" w:rsidRDefault="00931E3C" w:rsidP="00053573">
      <w:pPr>
        <w:jc w:val="both"/>
        <w:rPr>
          <w:rFonts w:ascii="David" w:hAnsi="David"/>
          <w:color w:val="FFFFFF"/>
          <w:sz w:val="2"/>
          <w:szCs w:val="2"/>
          <w:rtl/>
        </w:rPr>
      </w:pPr>
      <w:r w:rsidRPr="00931E3C">
        <w:rPr>
          <w:rFonts w:ascii="David" w:hAnsi="David"/>
          <w:color w:val="FFFFFF"/>
          <w:sz w:val="2"/>
          <w:szCs w:val="2"/>
          <w:rtl/>
        </w:rPr>
        <w:t>5129371</w:t>
      </w:r>
    </w:p>
    <w:p w14:paraId="7A6275F8" w14:textId="77777777" w:rsidR="00053573" w:rsidRDefault="00931E3C" w:rsidP="00053573">
      <w:pPr>
        <w:spacing w:before="120" w:after="120" w:line="360" w:lineRule="auto"/>
        <w:contextualSpacing/>
        <w:jc w:val="both"/>
        <w:rPr>
          <w:b/>
          <w:bCs/>
          <w:u w:val="single"/>
        </w:rPr>
      </w:pPr>
      <w:r w:rsidRPr="00931E3C">
        <w:rPr>
          <w:b/>
          <w:bCs/>
          <w:color w:val="FFFFFF"/>
          <w:sz w:val="2"/>
          <w:szCs w:val="2"/>
          <w:u w:val="single"/>
          <w:rtl/>
        </w:rPr>
        <w:t>54678313</w:t>
      </w:r>
      <w:r w:rsidR="00053573">
        <w:rPr>
          <w:b/>
          <w:bCs/>
          <w:u w:val="single"/>
          <w:rtl/>
        </w:rPr>
        <w:t xml:space="preserve">זכות ערעור תוך 45 יום. </w:t>
      </w:r>
    </w:p>
    <w:p w14:paraId="2E54A1EE" w14:textId="77777777" w:rsidR="00053573" w:rsidRPr="0093079B" w:rsidRDefault="00053573" w:rsidP="00053573">
      <w:pPr>
        <w:rPr>
          <w:rFonts w:ascii="David" w:hAnsi="David"/>
          <w:rtl/>
        </w:rPr>
      </w:pPr>
    </w:p>
    <w:p w14:paraId="7FD50498" w14:textId="77777777" w:rsidR="00053573" w:rsidRPr="00D24DDE" w:rsidRDefault="00931E3C" w:rsidP="00053573">
      <w:pPr>
        <w:rPr>
          <w:rFonts w:ascii="David" w:hAnsi="David"/>
          <w:rtl/>
        </w:rPr>
      </w:pPr>
      <w:bookmarkStart w:id="7" w:name="Nitan"/>
      <w:r>
        <w:rPr>
          <w:rFonts w:ascii="David" w:hAnsi="David"/>
          <w:rtl/>
        </w:rPr>
        <w:t xml:space="preserve">ניתן היום,  כ"ג אב תשפ"א, 01 אוגוסט 2021, במעמד הצדדים. </w:t>
      </w:r>
      <w:bookmarkEnd w:id="7"/>
    </w:p>
    <w:p w14:paraId="2A1E32F5" w14:textId="77777777" w:rsidR="00053573" w:rsidRPr="0093079B" w:rsidRDefault="00053573" w:rsidP="00931E3C">
      <w:pPr>
        <w:jc w:val="center"/>
      </w:pPr>
      <w:r w:rsidRPr="0093079B">
        <w:rPr>
          <w:rFonts w:ascii="David" w:hAnsi="David"/>
          <w:rtl/>
        </w:rPr>
        <w:t xml:space="preserve">   </w:t>
      </w:r>
      <w:r w:rsidRPr="0093079B">
        <w:rPr>
          <w:rFonts w:ascii="David" w:hAnsi="David"/>
          <w:rtl/>
        </w:rPr>
        <w:tab/>
      </w:r>
      <w:r w:rsidRPr="0093079B">
        <w:rPr>
          <w:rFonts w:ascii="David" w:hAnsi="David"/>
          <w:rtl/>
        </w:rPr>
        <w:tab/>
      </w:r>
      <w:r w:rsidRPr="0093079B">
        <w:rPr>
          <w:rFonts w:ascii="David" w:hAnsi="David"/>
          <w:rtl/>
        </w:rPr>
        <w:tab/>
      </w:r>
      <w:r w:rsidRPr="0093079B">
        <w:rPr>
          <w:rFonts w:ascii="David" w:hAnsi="David"/>
          <w:rtl/>
        </w:rPr>
        <w:tab/>
      </w:r>
      <w:r w:rsidRPr="0093079B">
        <w:rPr>
          <w:rFonts w:ascii="David" w:hAnsi="David"/>
          <w:rtl/>
        </w:rPr>
        <w:tab/>
      </w:r>
    </w:p>
    <w:p w14:paraId="63959EAB" w14:textId="77777777" w:rsidR="00053573" w:rsidRPr="0093079B" w:rsidRDefault="00053573" w:rsidP="00053573">
      <w:pPr>
        <w:jc w:val="center"/>
        <w:rPr>
          <w:rFonts w:ascii="David" w:hAnsi="David"/>
          <w:rtl/>
        </w:rPr>
      </w:pPr>
    </w:p>
    <w:p w14:paraId="7DF4F2C3" w14:textId="77777777" w:rsidR="007F04AD" w:rsidRPr="00931E3C" w:rsidRDefault="007F04AD" w:rsidP="00931E3C">
      <w:pPr>
        <w:keepNext/>
        <w:rPr>
          <w:rFonts w:ascii="David" w:hAnsi="David"/>
          <w:color w:val="000000"/>
          <w:sz w:val="22"/>
          <w:szCs w:val="22"/>
          <w:rtl/>
        </w:rPr>
      </w:pPr>
    </w:p>
    <w:p w14:paraId="39123194" w14:textId="77777777" w:rsidR="00931E3C" w:rsidRPr="00931E3C" w:rsidRDefault="00931E3C" w:rsidP="00931E3C">
      <w:pPr>
        <w:keepNext/>
        <w:rPr>
          <w:rFonts w:ascii="David" w:hAnsi="David"/>
          <w:color w:val="000000"/>
          <w:sz w:val="22"/>
          <w:szCs w:val="22"/>
          <w:rtl/>
        </w:rPr>
      </w:pPr>
      <w:r w:rsidRPr="00931E3C">
        <w:rPr>
          <w:rFonts w:ascii="David" w:hAnsi="David"/>
          <w:color w:val="000000"/>
          <w:sz w:val="22"/>
          <w:szCs w:val="22"/>
          <w:rtl/>
        </w:rPr>
        <w:t>יוסי טורס 54678313</w:t>
      </w:r>
    </w:p>
    <w:p w14:paraId="0A04D5A8" w14:textId="77777777" w:rsidR="00931E3C" w:rsidRDefault="00931E3C" w:rsidP="00931E3C">
      <w:r w:rsidRPr="00931E3C">
        <w:rPr>
          <w:color w:val="000000"/>
          <w:rtl/>
        </w:rPr>
        <w:t>נוסח מסמך זה כפוף לשינויי ניסוח ועריכה</w:t>
      </w:r>
    </w:p>
    <w:p w14:paraId="76854E2B" w14:textId="77777777" w:rsidR="00931E3C" w:rsidRDefault="00931E3C" w:rsidP="00931E3C">
      <w:pPr>
        <w:rPr>
          <w:rtl/>
        </w:rPr>
      </w:pPr>
    </w:p>
    <w:p w14:paraId="7314B40A" w14:textId="77777777" w:rsidR="00931E3C" w:rsidRDefault="00931E3C" w:rsidP="00931E3C">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C4BDD8A" w14:textId="77777777" w:rsidR="00931E3C" w:rsidRPr="00931E3C" w:rsidRDefault="00931E3C" w:rsidP="00931E3C">
      <w:pPr>
        <w:jc w:val="center"/>
        <w:rPr>
          <w:color w:val="0000FF"/>
          <w:u w:val="single"/>
        </w:rPr>
      </w:pPr>
    </w:p>
    <w:sectPr w:rsidR="00931E3C" w:rsidRPr="00931E3C" w:rsidSect="00931E3C">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D093A" w14:textId="77777777" w:rsidR="00632FC2" w:rsidRDefault="00632FC2" w:rsidP="00F7041F">
      <w:r>
        <w:separator/>
      </w:r>
    </w:p>
  </w:endnote>
  <w:endnote w:type="continuationSeparator" w:id="0">
    <w:p w14:paraId="165252D0" w14:textId="77777777" w:rsidR="00632FC2" w:rsidRDefault="00632FC2" w:rsidP="00F70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tencil">
    <w:panose1 w:val="040409050D08020204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B7F8F" w14:textId="77777777" w:rsidR="00931E3C" w:rsidRDefault="00931E3C" w:rsidP="00931E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2972E2" w14:textId="77777777" w:rsidR="009302B7" w:rsidRPr="00931E3C" w:rsidRDefault="00931E3C" w:rsidP="00931E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B33AA" w14:textId="77777777" w:rsidR="00931E3C" w:rsidRDefault="00931E3C" w:rsidP="00931E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5B40">
      <w:rPr>
        <w:rFonts w:ascii="FrankRuehl" w:hAnsi="FrankRuehl" w:cs="FrankRuehl"/>
        <w:noProof/>
        <w:rtl/>
      </w:rPr>
      <w:t>1</w:t>
    </w:r>
    <w:r>
      <w:rPr>
        <w:rFonts w:ascii="FrankRuehl" w:hAnsi="FrankRuehl" w:cs="FrankRuehl"/>
        <w:rtl/>
      </w:rPr>
      <w:fldChar w:fldCharType="end"/>
    </w:r>
  </w:p>
  <w:p w14:paraId="2419F772" w14:textId="77777777" w:rsidR="009302B7" w:rsidRPr="00931E3C" w:rsidRDefault="00931E3C" w:rsidP="00931E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55A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8F06" w14:textId="77777777" w:rsidR="00632FC2" w:rsidRDefault="00632FC2" w:rsidP="00F7041F">
      <w:r>
        <w:separator/>
      </w:r>
    </w:p>
  </w:footnote>
  <w:footnote w:type="continuationSeparator" w:id="0">
    <w:p w14:paraId="5D8079A8" w14:textId="77777777" w:rsidR="00632FC2" w:rsidRDefault="00632FC2" w:rsidP="00F70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DDAC" w14:textId="77777777" w:rsidR="00931E3C" w:rsidRPr="00931E3C" w:rsidRDefault="00931E3C" w:rsidP="00931E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8689-04-21</w:t>
    </w:r>
    <w:r>
      <w:rPr>
        <w:rFonts w:ascii="David" w:hAnsi="David"/>
        <w:color w:val="000000"/>
        <w:sz w:val="22"/>
        <w:szCs w:val="22"/>
        <w:rtl/>
      </w:rPr>
      <w:tab/>
      <w:t xml:space="preserve"> מדינת ישראל נ' ניר אספוב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E5D2F" w14:textId="77777777" w:rsidR="00931E3C" w:rsidRPr="00931E3C" w:rsidRDefault="00931E3C" w:rsidP="00931E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8689-04-21</w:t>
    </w:r>
    <w:r>
      <w:rPr>
        <w:rFonts w:ascii="David" w:hAnsi="David"/>
        <w:color w:val="000000"/>
        <w:sz w:val="22"/>
        <w:szCs w:val="22"/>
        <w:rtl/>
      </w:rPr>
      <w:tab/>
      <w:t xml:space="preserve"> מדינת ישראל נ' ניר אספוב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66C42"/>
    <w:multiLevelType w:val="hybridMultilevel"/>
    <w:tmpl w:val="0C78B8D8"/>
    <w:lvl w:ilvl="0" w:tplc="6F7AFFEA">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9640F"/>
    <w:multiLevelType w:val="hybridMultilevel"/>
    <w:tmpl w:val="AD80A57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82593">
    <w:abstractNumId w:val="0"/>
  </w:num>
  <w:num w:numId="2" w16cid:durableId="211153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3573"/>
    <w:rsid w:val="00053573"/>
    <w:rsid w:val="0005609B"/>
    <w:rsid w:val="00096C9E"/>
    <w:rsid w:val="001B5A3B"/>
    <w:rsid w:val="002E01A6"/>
    <w:rsid w:val="00330AB8"/>
    <w:rsid w:val="0042534E"/>
    <w:rsid w:val="00605B40"/>
    <w:rsid w:val="00632FC2"/>
    <w:rsid w:val="007F04AD"/>
    <w:rsid w:val="009302B7"/>
    <w:rsid w:val="00931E3C"/>
    <w:rsid w:val="00DB5392"/>
    <w:rsid w:val="00DC4DF8"/>
    <w:rsid w:val="00EE0428"/>
    <w:rsid w:val="00F0321C"/>
    <w:rsid w:val="00F70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9C4FA2"/>
  <w15:chartTrackingRefBased/>
  <w15:docId w15:val="{91DB0806-5A53-44D4-B608-32658D8D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35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3573"/>
    <w:pPr>
      <w:tabs>
        <w:tab w:val="center" w:pos="4153"/>
        <w:tab w:val="right" w:pos="8306"/>
      </w:tabs>
    </w:pPr>
  </w:style>
  <w:style w:type="character" w:customStyle="1" w:styleId="a4">
    <w:name w:val="כותרת עליונה תו"/>
    <w:link w:val="a3"/>
    <w:rsid w:val="00053573"/>
    <w:rPr>
      <w:rFonts w:ascii="Times New Roman" w:eastAsia="Times New Roman" w:hAnsi="Times New Roman" w:cs="David"/>
      <w:sz w:val="24"/>
      <w:szCs w:val="24"/>
    </w:rPr>
  </w:style>
  <w:style w:type="paragraph" w:styleId="a5">
    <w:name w:val="footer"/>
    <w:basedOn w:val="a"/>
    <w:link w:val="a6"/>
    <w:rsid w:val="00053573"/>
    <w:pPr>
      <w:tabs>
        <w:tab w:val="center" w:pos="4153"/>
        <w:tab w:val="right" w:pos="8306"/>
      </w:tabs>
    </w:pPr>
  </w:style>
  <w:style w:type="character" w:customStyle="1" w:styleId="a6">
    <w:name w:val="כותרת תחתונה תו"/>
    <w:link w:val="a5"/>
    <w:rsid w:val="00053573"/>
    <w:rPr>
      <w:rFonts w:ascii="Times New Roman" w:eastAsia="Times New Roman" w:hAnsi="Times New Roman" w:cs="David"/>
      <w:sz w:val="24"/>
      <w:szCs w:val="24"/>
    </w:rPr>
  </w:style>
  <w:style w:type="table" w:styleId="a7">
    <w:name w:val="Table Grid"/>
    <w:basedOn w:val="a1"/>
    <w:rsid w:val="000535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3573"/>
  </w:style>
  <w:style w:type="paragraph" w:styleId="a9">
    <w:name w:val="List Paragraph"/>
    <w:basedOn w:val="a"/>
    <w:qFormat/>
    <w:rsid w:val="00053573"/>
    <w:pPr>
      <w:ind w:left="720"/>
      <w:contextualSpacing/>
    </w:pPr>
  </w:style>
  <w:style w:type="character" w:styleId="Hyperlink">
    <w:name w:val="Hyperlink"/>
    <w:rsid w:val="0005357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6."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1701645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44246" TargetMode="External"/><Relationship Id="rId34" Type="http://schemas.openxmlformats.org/officeDocument/2006/relationships/hyperlink" Target="http://www.nevo.co.il/case/829166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751856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1191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h"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477668" TargetMode="External"/><Relationship Id="rId37" Type="http://schemas.openxmlformats.org/officeDocument/2006/relationships/hyperlink" Target="http://www.nevo.co.il/case/24911109" TargetMode="External"/><Relationship Id="rId40" Type="http://schemas.openxmlformats.org/officeDocument/2006/relationships/hyperlink" Target="http://www.nevo.co.il/case/25414313"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law/70301/40i.6.;40i.7" TargetMode="External"/><Relationship Id="rId28" Type="http://schemas.openxmlformats.org/officeDocument/2006/relationships/hyperlink" Target="http://www.nevo.co.il/case/22841413" TargetMode="External"/><Relationship Id="rId36" Type="http://schemas.openxmlformats.org/officeDocument/2006/relationships/hyperlink" Target="http://www.nevo.co.il/case/22212088"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656269"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7" TargetMode="External"/><Relationship Id="rId22" Type="http://schemas.openxmlformats.org/officeDocument/2006/relationships/hyperlink" Target="http://www.nevo.co.il/case/20881083" TargetMode="External"/><Relationship Id="rId27" Type="http://schemas.openxmlformats.org/officeDocument/2006/relationships/hyperlink" Target="http://www.nevo.co.il/case/13045219"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2695863"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8080495" TargetMode="External"/><Relationship Id="rId33" Type="http://schemas.openxmlformats.org/officeDocument/2006/relationships/hyperlink" Target="http://www.nevo.co.il/case/20685141" TargetMode="External"/><Relationship Id="rId38" Type="http://schemas.openxmlformats.org/officeDocument/2006/relationships/hyperlink" Target="http://www.nevo.co.il/law/70301/34h" TargetMode="External"/><Relationship Id="rId46" Type="http://schemas.openxmlformats.org/officeDocument/2006/relationships/fontTable" Target="fontTable.xml"/><Relationship Id="rId20" Type="http://schemas.openxmlformats.org/officeDocument/2006/relationships/hyperlink" Target="http://www.nevo.co.il/case/568179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11817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3342451</vt:i4>
      </vt:variant>
      <vt:variant>
        <vt:i4>99</vt:i4>
      </vt:variant>
      <vt:variant>
        <vt:i4>0</vt:i4>
      </vt:variant>
      <vt:variant>
        <vt:i4>5</vt:i4>
      </vt:variant>
      <vt:variant>
        <vt:lpwstr>http://www.nevo.co.il/case/25414313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6357094</vt:i4>
      </vt:variant>
      <vt:variant>
        <vt:i4>93</vt:i4>
      </vt:variant>
      <vt:variant>
        <vt:i4>0</vt:i4>
      </vt:variant>
      <vt:variant>
        <vt:i4>5</vt:i4>
      </vt:variant>
      <vt:variant>
        <vt:lpwstr>http://www.nevo.co.il/law/70301/34h</vt:lpwstr>
      </vt:variant>
      <vt:variant>
        <vt:lpwstr/>
      </vt:variant>
      <vt:variant>
        <vt:i4>3801200</vt:i4>
      </vt:variant>
      <vt:variant>
        <vt:i4>90</vt:i4>
      </vt:variant>
      <vt:variant>
        <vt:i4>0</vt:i4>
      </vt:variant>
      <vt:variant>
        <vt:i4>5</vt:i4>
      </vt:variant>
      <vt:variant>
        <vt:lpwstr>http://www.nevo.co.il/case/24911109</vt:lpwstr>
      </vt:variant>
      <vt:variant>
        <vt:lpwstr/>
      </vt:variant>
      <vt:variant>
        <vt:i4>3801207</vt:i4>
      </vt:variant>
      <vt:variant>
        <vt:i4>87</vt:i4>
      </vt:variant>
      <vt:variant>
        <vt:i4>0</vt:i4>
      </vt:variant>
      <vt:variant>
        <vt:i4>5</vt:i4>
      </vt:variant>
      <vt:variant>
        <vt:lpwstr>http://www.nevo.co.il/case/22212088</vt:lpwstr>
      </vt:variant>
      <vt:variant>
        <vt:lpwstr/>
      </vt:variant>
      <vt:variant>
        <vt:i4>3604599</vt:i4>
      </vt:variant>
      <vt:variant>
        <vt:i4>84</vt:i4>
      </vt:variant>
      <vt:variant>
        <vt:i4>0</vt:i4>
      </vt:variant>
      <vt:variant>
        <vt:i4>5</vt:i4>
      </vt:variant>
      <vt:variant>
        <vt:lpwstr>http://www.nevo.co.il/case/22695863</vt:lpwstr>
      </vt:variant>
      <vt:variant>
        <vt:lpwstr/>
      </vt:variant>
      <vt:variant>
        <vt:i4>3539057</vt:i4>
      </vt:variant>
      <vt:variant>
        <vt:i4>81</vt:i4>
      </vt:variant>
      <vt:variant>
        <vt:i4>0</vt:i4>
      </vt:variant>
      <vt:variant>
        <vt:i4>5</vt:i4>
      </vt:variant>
      <vt:variant>
        <vt:lpwstr>http://www.nevo.co.il/case/8291661</vt:lpwstr>
      </vt:variant>
      <vt:variant>
        <vt:lpwstr/>
      </vt:variant>
      <vt:variant>
        <vt:i4>3473533</vt:i4>
      </vt:variant>
      <vt:variant>
        <vt:i4>78</vt:i4>
      </vt:variant>
      <vt:variant>
        <vt:i4>0</vt:i4>
      </vt:variant>
      <vt:variant>
        <vt:i4>5</vt:i4>
      </vt:variant>
      <vt:variant>
        <vt:lpwstr>http://www.nevo.co.il/case/20685141</vt:lpwstr>
      </vt:variant>
      <vt:variant>
        <vt:lpwstr/>
      </vt:variant>
      <vt:variant>
        <vt:i4>3604596</vt:i4>
      </vt:variant>
      <vt:variant>
        <vt:i4>75</vt:i4>
      </vt:variant>
      <vt:variant>
        <vt:i4>0</vt:i4>
      </vt:variant>
      <vt:variant>
        <vt:i4>5</vt:i4>
      </vt:variant>
      <vt:variant>
        <vt:lpwstr>http://www.nevo.co.il/case/21477668</vt:lpwstr>
      </vt:variant>
      <vt:variant>
        <vt:lpwstr/>
      </vt:variant>
      <vt:variant>
        <vt:i4>3407985</vt:i4>
      </vt:variant>
      <vt:variant>
        <vt:i4>72</vt:i4>
      </vt:variant>
      <vt:variant>
        <vt:i4>0</vt:i4>
      </vt:variant>
      <vt:variant>
        <vt:i4>5</vt:i4>
      </vt:variant>
      <vt:variant>
        <vt:lpwstr>http://www.nevo.co.il/case/22656269</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4128892</vt:i4>
      </vt:variant>
      <vt:variant>
        <vt:i4>66</vt:i4>
      </vt:variant>
      <vt:variant>
        <vt:i4>0</vt:i4>
      </vt:variant>
      <vt:variant>
        <vt:i4>5</vt:i4>
      </vt:variant>
      <vt:variant>
        <vt:lpwstr>http://www.nevo.co.il/case/18119161</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3473521</vt:i4>
      </vt:variant>
      <vt:variant>
        <vt:i4>60</vt:i4>
      </vt:variant>
      <vt:variant>
        <vt:i4>0</vt:i4>
      </vt:variant>
      <vt:variant>
        <vt:i4>5</vt:i4>
      </vt:variant>
      <vt:variant>
        <vt:lpwstr>http://www.nevo.co.il/case/13045219</vt:lpwstr>
      </vt:variant>
      <vt:variant>
        <vt:lpwstr/>
      </vt:variant>
      <vt:variant>
        <vt:i4>3276918</vt:i4>
      </vt:variant>
      <vt:variant>
        <vt:i4>57</vt:i4>
      </vt:variant>
      <vt:variant>
        <vt:i4>0</vt:i4>
      </vt:variant>
      <vt:variant>
        <vt:i4>5</vt:i4>
      </vt:variant>
      <vt:variant>
        <vt:lpwstr>http://www.nevo.co.il/case/17016454</vt:lpwstr>
      </vt:variant>
      <vt:variant>
        <vt:lpwstr/>
      </vt:variant>
      <vt:variant>
        <vt:i4>3670128</vt:i4>
      </vt:variant>
      <vt:variant>
        <vt:i4>54</vt:i4>
      </vt:variant>
      <vt:variant>
        <vt:i4>0</vt:i4>
      </vt:variant>
      <vt:variant>
        <vt:i4>5</vt:i4>
      </vt:variant>
      <vt:variant>
        <vt:lpwstr>http://www.nevo.co.il/case/18080495</vt:lpwstr>
      </vt:variant>
      <vt:variant>
        <vt:lpwstr/>
      </vt:variant>
      <vt:variant>
        <vt:i4>7995492</vt:i4>
      </vt:variant>
      <vt:variant>
        <vt:i4>51</vt:i4>
      </vt:variant>
      <vt:variant>
        <vt:i4>0</vt:i4>
      </vt:variant>
      <vt:variant>
        <vt:i4>5</vt:i4>
      </vt:variant>
      <vt:variant>
        <vt:lpwstr>http://www.nevo.co.il/law/70301</vt:lpwstr>
      </vt:variant>
      <vt:variant>
        <vt:lpwstr/>
      </vt:variant>
      <vt:variant>
        <vt:i4>983067</vt:i4>
      </vt:variant>
      <vt:variant>
        <vt:i4>48</vt:i4>
      </vt:variant>
      <vt:variant>
        <vt:i4>0</vt:i4>
      </vt:variant>
      <vt:variant>
        <vt:i4>5</vt:i4>
      </vt:variant>
      <vt:variant>
        <vt:lpwstr>http://www.nevo.co.il/law/70301/40i.6.;40i.7</vt:lpwstr>
      </vt:variant>
      <vt:variant>
        <vt:lpwstr/>
      </vt:variant>
      <vt:variant>
        <vt:i4>3342460</vt:i4>
      </vt:variant>
      <vt:variant>
        <vt:i4>45</vt:i4>
      </vt:variant>
      <vt:variant>
        <vt:i4>0</vt:i4>
      </vt:variant>
      <vt:variant>
        <vt:i4>5</vt:i4>
      </vt:variant>
      <vt:variant>
        <vt:lpwstr>http://www.nevo.co.il/case/20881083</vt:lpwstr>
      </vt:variant>
      <vt:variant>
        <vt:lpwstr/>
      </vt:variant>
      <vt:variant>
        <vt:i4>131138</vt:i4>
      </vt:variant>
      <vt:variant>
        <vt:i4>42</vt:i4>
      </vt:variant>
      <vt:variant>
        <vt:i4>0</vt:i4>
      </vt:variant>
      <vt:variant>
        <vt:i4>5</vt:i4>
      </vt:variant>
      <vt:variant>
        <vt:lpwstr>http://www.nevo.co.il/case/244246</vt:lpwstr>
      </vt:variant>
      <vt:variant>
        <vt:lpwstr/>
      </vt:variant>
      <vt:variant>
        <vt:i4>3801210</vt:i4>
      </vt:variant>
      <vt:variant>
        <vt:i4>39</vt:i4>
      </vt:variant>
      <vt:variant>
        <vt:i4>0</vt:i4>
      </vt:variant>
      <vt:variant>
        <vt:i4>5</vt:i4>
      </vt:variant>
      <vt:variant>
        <vt:lpwstr>http://www.nevo.co.il/case/5681790</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4915208</vt:i4>
      </vt:variant>
      <vt:variant>
        <vt:i4>21</vt:i4>
      </vt:variant>
      <vt:variant>
        <vt:i4>0</vt:i4>
      </vt:variant>
      <vt:variant>
        <vt:i4>5</vt:i4>
      </vt:variant>
      <vt:variant>
        <vt:lpwstr>http://www.nevo.co.il/law/70301/40i.7</vt:lpwstr>
      </vt:variant>
      <vt:variant>
        <vt:lpwstr/>
      </vt:variant>
      <vt:variant>
        <vt:i4>6619198</vt:i4>
      </vt:variant>
      <vt:variant>
        <vt:i4>18</vt:i4>
      </vt:variant>
      <vt:variant>
        <vt:i4>0</vt:i4>
      </vt:variant>
      <vt:variant>
        <vt:i4>5</vt:i4>
      </vt:variant>
      <vt:variant>
        <vt:lpwstr>http://www.nevo.co.il/law/70301/40i.6.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6357094</vt:i4>
      </vt:variant>
      <vt:variant>
        <vt:i4>12</vt:i4>
      </vt:variant>
      <vt:variant>
        <vt:i4>0</vt:i4>
      </vt:variant>
      <vt:variant>
        <vt:i4>5</vt:i4>
      </vt:variant>
      <vt:variant>
        <vt:lpwstr>http://www.nevo.co.il/law/70301/34h</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3735671</vt:i4>
      </vt:variant>
      <vt:variant>
        <vt:i4>0</vt:i4>
      </vt:variant>
      <vt:variant>
        <vt:i4>0</vt:i4>
      </vt:variant>
      <vt:variant>
        <vt:i4>5</vt:i4>
      </vt:variant>
      <vt:variant>
        <vt:lpwstr>http://www.nevo.co.il/case/27518561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8689</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ניר אספוב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20210801</vt:lpwstr>
  </property>
  <property fmtid="{D5CDD505-2E9C-101B-9397-08002B2CF9AE}" pid="13" name="TYPE_N_DATE">
    <vt:lpwstr>38020210801</vt:lpwstr>
  </property>
  <property fmtid="{D5CDD505-2E9C-101B-9397-08002B2CF9AE}" pid="14" name="WORDNUMPAGES">
    <vt:lpwstr>6</vt:lpwstr>
  </property>
  <property fmtid="{D5CDD505-2E9C-101B-9397-08002B2CF9AE}" pid="15" name="TYPE_ABS_DATE">
    <vt:lpwstr>380020210801</vt:lpwstr>
  </property>
  <property fmtid="{D5CDD505-2E9C-101B-9397-08002B2CF9AE}" pid="16" name="ISABSTRACT">
    <vt:lpwstr>Y</vt:lpwstr>
  </property>
  <property fmtid="{D5CDD505-2E9C-101B-9397-08002B2CF9AE}" pid="17" name="CASESLISTTMP1">
    <vt:lpwstr>27518561;5681790;244246;20881083:2;18080495;17016454;13045219;22841413;18119161;22656269;21477668;20685141;8291661;22695863;22212088;24911109;25414313</vt:lpwstr>
  </property>
  <property fmtid="{D5CDD505-2E9C-101B-9397-08002B2CF9AE}" pid="18" name="LAWLISTTMP1">
    <vt:lpwstr>4216/006</vt:lpwstr>
  </property>
  <property fmtid="{D5CDD505-2E9C-101B-9397-08002B2CF9AE}" pid="19" name="LAWLISTTMP2">
    <vt:lpwstr>70301/040i;040i.6;040i.7;034h</vt:lpwstr>
  </property>
</Properties>
</file>