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357"/>
        <w:gridCol w:w="3584"/>
      </w:tblGrid>
      <w:tr w:rsidR="00A51485" w:rsidRPr="007A28F5" w14:paraId="5DE78876" w14:textId="77777777" w:rsidTr="00872ECA">
        <w:trPr>
          <w:trHeight w:hRule="exact" w:val="287"/>
          <w:jc w:val="center"/>
        </w:trPr>
        <w:tc>
          <w:tcPr>
            <w:tcW w:w="7941" w:type="dxa"/>
            <w:gridSpan w:val="2"/>
          </w:tcPr>
          <w:p w14:paraId="5FBFD8A8" w14:textId="77777777" w:rsidR="00A51485" w:rsidRPr="007A28F5" w:rsidRDefault="00A51485" w:rsidP="00872ECA">
            <w:pPr>
              <w:pStyle w:val="a3"/>
              <w:jc w:val="center"/>
              <w:rPr>
                <w:rFonts w:ascii="Tahoma" w:hAnsi="Tahoma" w:cs="Tahoma"/>
                <w:noProof w:val="0"/>
                <w:color w:val="000080"/>
                <w:rtl/>
              </w:rPr>
            </w:pPr>
            <w:bookmarkStart w:id="0" w:name="LastJudge"/>
            <w:r w:rsidRPr="007A28F5">
              <w:rPr>
                <w:rFonts w:ascii="Tahoma" w:hAnsi="Tahoma" w:cs="Tahoma"/>
                <w:b/>
                <w:bCs/>
                <w:noProof w:val="0"/>
                <w:color w:val="000080"/>
                <w:rtl/>
              </w:rPr>
              <w:t>בית משפט השלום בקריית גת</w:t>
            </w:r>
          </w:p>
        </w:tc>
      </w:tr>
      <w:tr w:rsidR="00A51485" w:rsidRPr="007A28F5" w14:paraId="32C607E9" w14:textId="77777777" w:rsidTr="00872ECA">
        <w:trPr>
          <w:trHeight w:val="337"/>
          <w:jc w:val="center"/>
        </w:trPr>
        <w:tc>
          <w:tcPr>
            <w:tcW w:w="4357" w:type="dxa"/>
            <w:vAlign w:val="bottom"/>
          </w:tcPr>
          <w:p w14:paraId="166AF222" w14:textId="77777777" w:rsidR="00A51485" w:rsidRPr="007A28F5" w:rsidRDefault="00A51485" w:rsidP="00872ECA">
            <w:pPr>
              <w:rPr>
                <w:b/>
                <w:bCs/>
                <w:noProof w:val="0"/>
                <w:sz w:val="26"/>
                <w:szCs w:val="26"/>
                <w:rtl/>
              </w:rPr>
            </w:pPr>
            <w:r w:rsidRPr="007A28F5">
              <w:rPr>
                <w:b/>
                <w:bCs/>
                <w:noProof w:val="0"/>
                <w:sz w:val="26"/>
                <w:szCs w:val="26"/>
                <w:rtl/>
              </w:rPr>
              <w:t>ת"פ 8995-04-21 מדינת ישראל נ' עטר</w:t>
            </w:r>
          </w:p>
        </w:tc>
        <w:tc>
          <w:tcPr>
            <w:tcW w:w="3584" w:type="dxa"/>
            <w:vAlign w:val="bottom"/>
          </w:tcPr>
          <w:p w14:paraId="1FD7BEF9" w14:textId="77777777" w:rsidR="00A51485" w:rsidRPr="007A28F5" w:rsidRDefault="00A51485" w:rsidP="00872ECA">
            <w:pPr>
              <w:pStyle w:val="a3"/>
              <w:jc w:val="right"/>
              <w:rPr>
                <w:b/>
                <w:bCs/>
                <w:noProof w:val="0"/>
                <w:sz w:val="26"/>
                <w:szCs w:val="26"/>
                <w:rtl/>
              </w:rPr>
            </w:pPr>
            <w:r w:rsidRPr="007A28F5">
              <w:rPr>
                <w:b/>
                <w:bCs/>
                <w:noProof w:val="0"/>
                <w:sz w:val="26"/>
                <w:szCs w:val="26"/>
                <w:rtl/>
              </w:rPr>
              <w:t>29 מרץ 2023</w:t>
            </w:r>
          </w:p>
        </w:tc>
      </w:tr>
    </w:tbl>
    <w:p w14:paraId="722A4AFC" w14:textId="77777777" w:rsidR="00A51485" w:rsidRPr="007A28F5" w:rsidRDefault="00A51485" w:rsidP="00A51485">
      <w:pPr>
        <w:pStyle w:val="a3"/>
        <w:rPr>
          <w:noProof w:val="0"/>
          <w:rtl/>
        </w:rPr>
      </w:pPr>
    </w:p>
    <w:p w14:paraId="5B8BA17A" w14:textId="77777777" w:rsidR="00A51485" w:rsidRPr="007A28F5" w:rsidRDefault="00A51485" w:rsidP="00A51485">
      <w:pPr>
        <w:widowControl w:val="0"/>
        <w:rPr>
          <w:rtl/>
        </w:rPr>
      </w:pPr>
    </w:p>
    <w:p w14:paraId="16BEAFF2" w14:textId="77777777" w:rsidR="00A51485" w:rsidRPr="007A28F5" w:rsidRDefault="00A51485" w:rsidP="00A51485">
      <w:pPr>
        <w:widowControl w:val="0"/>
        <w:rPr>
          <w:rtl/>
        </w:rPr>
      </w:pPr>
    </w:p>
    <w:tbl>
      <w:tblPr>
        <w:bidiVisual/>
        <w:tblW w:w="7968" w:type="dxa"/>
        <w:tblInd w:w="244" w:type="dxa"/>
        <w:tblLook w:val="01E0" w:firstRow="1" w:lastRow="1" w:firstColumn="1" w:lastColumn="1" w:noHBand="0" w:noVBand="0"/>
      </w:tblPr>
      <w:tblGrid>
        <w:gridCol w:w="2608"/>
        <w:gridCol w:w="5360"/>
      </w:tblGrid>
      <w:tr w:rsidR="00A51485" w:rsidRPr="007A28F5" w14:paraId="31CF8CD2" w14:textId="77777777" w:rsidTr="00A51485">
        <w:tc>
          <w:tcPr>
            <w:tcW w:w="7968" w:type="dxa"/>
            <w:gridSpan w:val="2"/>
            <w:shd w:val="clear" w:color="auto" w:fill="auto"/>
          </w:tcPr>
          <w:p w14:paraId="2C709C99" w14:textId="77777777" w:rsidR="00A51485" w:rsidRPr="007A28F5" w:rsidRDefault="00A51485" w:rsidP="00A51485">
            <w:pPr>
              <w:widowControl w:val="0"/>
              <w:spacing w:line="360" w:lineRule="auto"/>
              <w:ind w:left="1440" w:hanging="1440"/>
              <w:jc w:val="both"/>
              <w:rPr>
                <w:rStyle w:val="TimesNewRomanTimesNewRoman"/>
                <w:rtl/>
              </w:rPr>
            </w:pPr>
            <w:r w:rsidRPr="007A28F5">
              <w:rPr>
                <w:b/>
                <w:bCs/>
                <w:sz w:val="26"/>
                <w:szCs w:val="26"/>
                <w:rtl/>
              </w:rPr>
              <w:t>לפני כבוד השופטת זהר דולב להמן</w:t>
            </w:r>
            <w:r w:rsidRPr="007A28F5">
              <w:rPr>
                <w:rStyle w:val="TimesNewRomanTimesNewRoman"/>
                <w:rtl/>
              </w:rPr>
              <w:t xml:space="preserve"> </w:t>
            </w:r>
          </w:p>
          <w:p w14:paraId="77347092" w14:textId="77777777" w:rsidR="00A51485" w:rsidRPr="007A28F5" w:rsidRDefault="00A51485" w:rsidP="00A51485">
            <w:pPr>
              <w:widowControl w:val="0"/>
              <w:ind w:left="1440" w:hanging="1440"/>
              <w:jc w:val="both"/>
              <w:rPr>
                <w:b/>
                <w:bCs/>
                <w:sz w:val="14"/>
                <w:szCs w:val="14"/>
              </w:rPr>
            </w:pPr>
          </w:p>
        </w:tc>
      </w:tr>
      <w:tr w:rsidR="00A51485" w:rsidRPr="007A28F5" w14:paraId="5DE8488C" w14:textId="77777777" w:rsidTr="00A51485">
        <w:trPr>
          <w:cantSplit/>
          <w:trHeight w:val="477"/>
        </w:trPr>
        <w:tc>
          <w:tcPr>
            <w:tcW w:w="2608" w:type="dxa"/>
            <w:shd w:val="clear" w:color="auto" w:fill="auto"/>
          </w:tcPr>
          <w:p w14:paraId="025A30D4" w14:textId="77777777" w:rsidR="00A51485" w:rsidRPr="007A28F5" w:rsidRDefault="00A51485" w:rsidP="00A51485">
            <w:pPr>
              <w:widowControl w:val="0"/>
              <w:rPr>
                <w:b/>
                <w:bCs/>
                <w:sz w:val="26"/>
                <w:szCs w:val="26"/>
                <w:rtl/>
              </w:rPr>
            </w:pPr>
            <w:bookmarkStart w:id="1" w:name="FirstAppellant"/>
            <w:bookmarkStart w:id="2" w:name="FirstLawyer"/>
            <w:r w:rsidRPr="007A28F5">
              <w:rPr>
                <w:b/>
                <w:bCs/>
                <w:sz w:val="26"/>
                <w:szCs w:val="26"/>
                <w:rtl/>
              </w:rPr>
              <w:t>המאשימה</w:t>
            </w:r>
          </w:p>
        </w:tc>
        <w:tc>
          <w:tcPr>
            <w:tcW w:w="5360" w:type="dxa"/>
            <w:shd w:val="clear" w:color="auto" w:fill="auto"/>
          </w:tcPr>
          <w:p w14:paraId="590FF501" w14:textId="77777777" w:rsidR="00A51485" w:rsidRPr="007A28F5" w:rsidRDefault="00A51485" w:rsidP="00A51485">
            <w:pPr>
              <w:widowControl w:val="0"/>
              <w:rPr>
                <w:rtl/>
              </w:rPr>
            </w:pPr>
            <w:r w:rsidRPr="007A28F5">
              <w:rPr>
                <w:b/>
                <w:bCs/>
                <w:sz w:val="26"/>
                <w:szCs w:val="26"/>
                <w:rtl/>
              </w:rPr>
              <w:t>מדינת ישראל</w:t>
            </w:r>
          </w:p>
          <w:p w14:paraId="543705D9" w14:textId="77777777" w:rsidR="00A51485" w:rsidRPr="007A28F5" w:rsidRDefault="00A51485" w:rsidP="00A51485">
            <w:pPr>
              <w:widowControl w:val="0"/>
              <w:rPr>
                <w:b/>
                <w:bCs/>
                <w:sz w:val="26"/>
                <w:szCs w:val="26"/>
                <w:rtl/>
              </w:rPr>
            </w:pPr>
            <w:r w:rsidRPr="007A28F5">
              <w:rPr>
                <w:rtl/>
              </w:rPr>
              <w:t>ע"י ב"כ עו</w:t>
            </w:r>
            <w:r w:rsidRPr="007A28F5">
              <w:rPr>
                <w:rFonts w:hint="cs"/>
                <w:rtl/>
              </w:rPr>
              <w:t>ה</w:t>
            </w:r>
            <w:r w:rsidRPr="007A28F5">
              <w:rPr>
                <w:rtl/>
              </w:rPr>
              <w:t>"ד</w:t>
            </w:r>
            <w:r w:rsidRPr="007A28F5">
              <w:rPr>
                <w:rFonts w:hint="cs"/>
                <w:rtl/>
              </w:rPr>
              <w:t xml:space="preserve"> חני שנפ</w:t>
            </w:r>
            <w:r w:rsidRPr="007A28F5">
              <w:rPr>
                <w:rtl/>
              </w:rPr>
              <w:t xml:space="preserve"> </w:t>
            </w:r>
          </w:p>
        </w:tc>
      </w:tr>
      <w:bookmarkEnd w:id="1"/>
      <w:bookmarkEnd w:id="2"/>
      <w:tr w:rsidR="00A51485" w:rsidRPr="007A28F5" w14:paraId="3A28BCA0" w14:textId="77777777" w:rsidTr="00A51485">
        <w:tc>
          <w:tcPr>
            <w:tcW w:w="7968" w:type="dxa"/>
            <w:gridSpan w:val="2"/>
            <w:shd w:val="clear" w:color="auto" w:fill="auto"/>
            <w:vAlign w:val="center"/>
          </w:tcPr>
          <w:p w14:paraId="33340039" w14:textId="77777777" w:rsidR="00A51485" w:rsidRPr="007A28F5" w:rsidRDefault="00A51485" w:rsidP="00A51485">
            <w:pPr>
              <w:widowControl w:val="0"/>
              <w:jc w:val="center"/>
              <w:rPr>
                <w:rFonts w:ascii="Arial" w:hAnsi="Arial"/>
                <w:b/>
                <w:bCs/>
                <w:sz w:val="26"/>
                <w:szCs w:val="26"/>
                <w:rtl/>
              </w:rPr>
            </w:pPr>
          </w:p>
          <w:p w14:paraId="6CF94A9E" w14:textId="77777777" w:rsidR="00A51485" w:rsidRPr="007A28F5" w:rsidRDefault="00A51485" w:rsidP="00A51485">
            <w:pPr>
              <w:widowControl w:val="0"/>
              <w:jc w:val="center"/>
              <w:rPr>
                <w:rFonts w:ascii="Arial" w:hAnsi="Arial"/>
                <w:b/>
                <w:bCs/>
                <w:sz w:val="26"/>
                <w:szCs w:val="26"/>
                <w:rtl/>
              </w:rPr>
            </w:pPr>
            <w:r w:rsidRPr="007A28F5">
              <w:rPr>
                <w:rFonts w:ascii="Arial" w:hAnsi="Arial"/>
                <w:b/>
                <w:bCs/>
                <w:sz w:val="26"/>
                <w:szCs w:val="26"/>
                <w:rtl/>
              </w:rPr>
              <w:t>נגד</w:t>
            </w:r>
          </w:p>
          <w:p w14:paraId="32B08D47" w14:textId="77777777" w:rsidR="00A51485" w:rsidRPr="007A28F5" w:rsidRDefault="00A51485" w:rsidP="00A51485">
            <w:pPr>
              <w:widowControl w:val="0"/>
              <w:jc w:val="right"/>
              <w:rPr>
                <w:rFonts w:ascii="Arial" w:hAnsi="Arial"/>
                <w:b/>
                <w:bCs/>
                <w:sz w:val="26"/>
                <w:szCs w:val="26"/>
                <w:rtl/>
              </w:rPr>
            </w:pPr>
          </w:p>
        </w:tc>
      </w:tr>
      <w:tr w:rsidR="00A51485" w:rsidRPr="007A28F5" w14:paraId="648FE479" w14:textId="77777777" w:rsidTr="00A51485">
        <w:tc>
          <w:tcPr>
            <w:tcW w:w="2608" w:type="dxa"/>
            <w:shd w:val="clear" w:color="auto" w:fill="auto"/>
          </w:tcPr>
          <w:p w14:paraId="47D92C2D" w14:textId="77777777" w:rsidR="00A51485" w:rsidRPr="007A28F5" w:rsidRDefault="00A51485" w:rsidP="00A51485">
            <w:pPr>
              <w:widowControl w:val="0"/>
              <w:rPr>
                <w:b/>
                <w:bCs/>
                <w:sz w:val="26"/>
                <w:szCs w:val="26"/>
                <w:rtl/>
              </w:rPr>
            </w:pPr>
            <w:r w:rsidRPr="007A28F5">
              <w:rPr>
                <w:b/>
                <w:bCs/>
                <w:sz w:val="26"/>
                <w:szCs w:val="26"/>
                <w:rtl/>
              </w:rPr>
              <w:t>הנאש</w:t>
            </w:r>
            <w:r w:rsidRPr="007A28F5">
              <w:rPr>
                <w:rFonts w:hint="cs"/>
                <w:b/>
                <w:bCs/>
                <w:sz w:val="26"/>
                <w:szCs w:val="26"/>
                <w:rtl/>
              </w:rPr>
              <w:t>מת</w:t>
            </w:r>
          </w:p>
        </w:tc>
        <w:tc>
          <w:tcPr>
            <w:tcW w:w="5360" w:type="dxa"/>
            <w:shd w:val="clear" w:color="auto" w:fill="auto"/>
          </w:tcPr>
          <w:p w14:paraId="7180A352" w14:textId="77777777" w:rsidR="00A51485" w:rsidRPr="007A28F5" w:rsidRDefault="00A51485" w:rsidP="00A51485">
            <w:pPr>
              <w:widowControl w:val="0"/>
              <w:rPr>
                <w:rFonts w:ascii="Arial" w:hAnsi="Arial"/>
                <w:b/>
                <w:bCs/>
                <w:sz w:val="26"/>
                <w:szCs w:val="26"/>
                <w:rtl/>
              </w:rPr>
            </w:pPr>
            <w:r w:rsidRPr="007A28F5">
              <w:rPr>
                <w:rFonts w:ascii="Arial" w:hAnsi="Arial" w:hint="cs"/>
                <w:b/>
                <w:bCs/>
                <w:sz w:val="26"/>
                <w:szCs w:val="26"/>
                <w:rtl/>
              </w:rPr>
              <w:t>אופיר עטר</w:t>
            </w:r>
            <w:r w:rsidRPr="007A28F5">
              <w:rPr>
                <w:rFonts w:ascii="Arial" w:hAnsi="Arial"/>
                <w:b/>
                <w:bCs/>
                <w:sz w:val="26"/>
                <w:szCs w:val="26"/>
                <w:rtl/>
              </w:rPr>
              <w:t xml:space="preserve"> </w:t>
            </w:r>
          </w:p>
          <w:p w14:paraId="6F066CFC" w14:textId="77777777" w:rsidR="00A51485" w:rsidRPr="007A28F5" w:rsidRDefault="00A51485" w:rsidP="00A51485">
            <w:pPr>
              <w:widowControl w:val="0"/>
              <w:rPr>
                <w:rtl/>
              </w:rPr>
            </w:pPr>
            <w:r w:rsidRPr="007A28F5">
              <w:rPr>
                <w:rFonts w:hint="cs"/>
                <w:rtl/>
              </w:rPr>
              <w:t>ע"י ב"כ עוה"ד ליאור רונן</w:t>
            </w:r>
          </w:p>
        </w:tc>
      </w:tr>
    </w:tbl>
    <w:p w14:paraId="7F3CE991" w14:textId="77777777" w:rsidR="00B93B53" w:rsidRPr="00B93B53" w:rsidRDefault="00B93B53" w:rsidP="00B93B53">
      <w:pPr>
        <w:widowControl w:val="0"/>
        <w:spacing w:before="120" w:after="120" w:line="240" w:lineRule="exact"/>
        <w:ind w:left="283" w:hanging="283"/>
        <w:jc w:val="both"/>
        <w:rPr>
          <w:rFonts w:ascii="FrankRuehl" w:hAnsi="FrankRuehl" w:cs="FrankRuehl"/>
          <w:noProof w:val="0"/>
          <w:rtl/>
        </w:rPr>
      </w:pPr>
    </w:p>
    <w:p w14:paraId="5ED96A4B" w14:textId="77777777" w:rsidR="00155CA0" w:rsidRDefault="00155CA0" w:rsidP="00155CA0">
      <w:pPr>
        <w:widowControl w:val="0"/>
        <w:spacing w:line="360" w:lineRule="auto"/>
        <w:jc w:val="both"/>
        <w:rPr>
          <w:rFonts w:ascii="Arial" w:hAnsi="Arial"/>
          <w:noProof w:val="0"/>
          <w:rtl/>
        </w:rPr>
      </w:pPr>
      <w:bookmarkStart w:id="3" w:name="LawTable"/>
      <w:bookmarkEnd w:id="3"/>
    </w:p>
    <w:p w14:paraId="55CF9A95" w14:textId="77777777" w:rsidR="00155CA0" w:rsidRPr="00155CA0" w:rsidRDefault="00155CA0" w:rsidP="00155CA0">
      <w:pPr>
        <w:widowControl w:val="0"/>
        <w:spacing w:before="120" w:after="120" w:line="240" w:lineRule="exact"/>
        <w:ind w:left="283" w:hanging="283"/>
        <w:jc w:val="both"/>
        <w:rPr>
          <w:rFonts w:ascii="FrankRuehl" w:hAnsi="FrankRuehl" w:cs="FrankRuehl"/>
          <w:noProof w:val="0"/>
          <w:rtl/>
        </w:rPr>
      </w:pPr>
    </w:p>
    <w:p w14:paraId="186A3015" w14:textId="77777777" w:rsidR="00155CA0" w:rsidRPr="00155CA0" w:rsidRDefault="00155CA0" w:rsidP="00155CA0">
      <w:pPr>
        <w:widowControl w:val="0"/>
        <w:spacing w:before="120" w:after="120" w:line="240" w:lineRule="exact"/>
        <w:ind w:left="283" w:hanging="283"/>
        <w:jc w:val="both"/>
        <w:rPr>
          <w:rFonts w:ascii="FrankRuehl" w:hAnsi="FrankRuehl" w:cs="FrankRuehl"/>
          <w:noProof w:val="0"/>
          <w:rtl/>
        </w:rPr>
      </w:pPr>
    </w:p>
    <w:p w14:paraId="3CC342F6" w14:textId="77777777" w:rsidR="00155CA0" w:rsidRPr="00155CA0" w:rsidRDefault="00155CA0" w:rsidP="00155CA0">
      <w:pPr>
        <w:widowControl w:val="0"/>
        <w:spacing w:before="120" w:after="120" w:line="240" w:lineRule="exact"/>
        <w:ind w:left="283" w:hanging="283"/>
        <w:jc w:val="both"/>
        <w:rPr>
          <w:rFonts w:ascii="FrankRuehl" w:hAnsi="FrankRuehl" w:cs="FrankRuehl"/>
          <w:noProof w:val="0"/>
          <w:rtl/>
        </w:rPr>
      </w:pPr>
      <w:r w:rsidRPr="00155CA0">
        <w:rPr>
          <w:rFonts w:ascii="FrankRuehl" w:hAnsi="FrankRuehl" w:cs="FrankRuehl"/>
          <w:noProof w:val="0"/>
          <w:rtl/>
        </w:rPr>
        <w:t xml:space="preserve">חקיקה שאוזכרה: </w:t>
      </w:r>
    </w:p>
    <w:p w14:paraId="29ECAD16" w14:textId="77777777" w:rsidR="00155CA0" w:rsidRPr="00155CA0" w:rsidRDefault="00155CA0" w:rsidP="00155CA0">
      <w:pPr>
        <w:widowControl w:val="0"/>
        <w:spacing w:before="120" w:after="120" w:line="240" w:lineRule="exact"/>
        <w:ind w:left="283" w:hanging="283"/>
        <w:jc w:val="both"/>
        <w:rPr>
          <w:rFonts w:ascii="FrankRuehl" w:hAnsi="FrankRuehl" w:cs="FrankRuehl"/>
          <w:noProof w:val="0"/>
          <w:rtl/>
        </w:rPr>
      </w:pPr>
      <w:hyperlink r:id="rId7" w:history="1">
        <w:r w:rsidRPr="00155CA0">
          <w:rPr>
            <w:rFonts w:ascii="FrankRuehl" w:hAnsi="FrankRuehl" w:cs="FrankRuehl"/>
            <w:noProof w:val="0"/>
            <w:color w:val="0000FF"/>
            <w:rtl/>
          </w:rPr>
          <w:t>חוק העונשין, תשל"ז-1977</w:t>
        </w:r>
      </w:hyperlink>
      <w:r w:rsidRPr="00155CA0">
        <w:rPr>
          <w:rFonts w:ascii="FrankRuehl" w:hAnsi="FrankRuehl" w:cs="FrankRuehl"/>
          <w:noProof w:val="0"/>
          <w:rtl/>
        </w:rPr>
        <w:t xml:space="preserve">: סע'  </w:t>
      </w:r>
      <w:hyperlink r:id="rId8" w:history="1">
        <w:r w:rsidRPr="00155CA0">
          <w:rPr>
            <w:rFonts w:ascii="FrankRuehl" w:hAnsi="FrankRuehl" w:cs="FrankRuehl"/>
            <w:noProof w:val="0"/>
            <w:color w:val="0000FF"/>
            <w:rtl/>
          </w:rPr>
          <w:t>31</w:t>
        </w:r>
      </w:hyperlink>
      <w:r w:rsidRPr="00155CA0">
        <w:rPr>
          <w:rFonts w:ascii="FrankRuehl" w:hAnsi="FrankRuehl" w:cs="FrankRuehl"/>
          <w:noProof w:val="0"/>
          <w:rtl/>
        </w:rPr>
        <w:t xml:space="preserve">, </w:t>
      </w:r>
      <w:hyperlink r:id="rId9" w:history="1">
        <w:r w:rsidRPr="00155CA0">
          <w:rPr>
            <w:rFonts w:ascii="FrankRuehl" w:hAnsi="FrankRuehl" w:cs="FrankRuehl"/>
            <w:noProof w:val="0"/>
            <w:color w:val="0000FF"/>
            <w:rtl/>
          </w:rPr>
          <w:t>32</w:t>
        </w:r>
      </w:hyperlink>
    </w:p>
    <w:p w14:paraId="77B8F709" w14:textId="77777777" w:rsidR="00155CA0" w:rsidRPr="00155CA0" w:rsidRDefault="00155CA0" w:rsidP="00155CA0">
      <w:pPr>
        <w:widowControl w:val="0"/>
        <w:spacing w:before="120" w:after="120" w:line="240" w:lineRule="exact"/>
        <w:ind w:left="283" w:hanging="283"/>
        <w:jc w:val="both"/>
        <w:rPr>
          <w:rFonts w:ascii="FrankRuehl" w:hAnsi="FrankRuehl" w:cs="FrankRuehl"/>
          <w:noProof w:val="0"/>
          <w:rtl/>
        </w:rPr>
      </w:pPr>
      <w:hyperlink r:id="rId10" w:history="1">
        <w:r w:rsidRPr="00155CA0">
          <w:rPr>
            <w:rFonts w:ascii="FrankRuehl" w:hAnsi="FrankRuehl" w:cs="FrankRuehl"/>
            <w:noProof w:val="0"/>
            <w:color w:val="0000FF"/>
            <w:rtl/>
          </w:rPr>
          <w:t>פקודת הסמים המסוכנים [נוסח חדש], תשל"ג-1973</w:t>
        </w:r>
      </w:hyperlink>
      <w:r w:rsidRPr="00155CA0">
        <w:rPr>
          <w:rFonts w:ascii="FrankRuehl" w:hAnsi="FrankRuehl" w:cs="FrankRuehl"/>
          <w:noProof w:val="0"/>
          <w:rtl/>
        </w:rPr>
        <w:t xml:space="preserve">: סע'  </w:t>
      </w:r>
      <w:hyperlink r:id="rId11" w:history="1">
        <w:r w:rsidRPr="00155CA0">
          <w:rPr>
            <w:rFonts w:ascii="FrankRuehl" w:hAnsi="FrankRuehl" w:cs="FrankRuehl"/>
            <w:noProof w:val="0"/>
            <w:color w:val="0000FF"/>
            <w:rtl/>
          </w:rPr>
          <w:t>13</w:t>
        </w:r>
      </w:hyperlink>
      <w:r w:rsidRPr="00155CA0">
        <w:rPr>
          <w:rFonts w:ascii="FrankRuehl" w:hAnsi="FrankRuehl" w:cs="FrankRuehl"/>
          <w:noProof w:val="0"/>
          <w:rtl/>
        </w:rPr>
        <w:t xml:space="preserve">, </w:t>
      </w:r>
      <w:hyperlink r:id="rId12" w:history="1">
        <w:r w:rsidRPr="00155CA0">
          <w:rPr>
            <w:rFonts w:ascii="FrankRuehl" w:hAnsi="FrankRuehl" w:cs="FrankRuehl"/>
            <w:noProof w:val="0"/>
            <w:color w:val="0000FF"/>
            <w:rtl/>
          </w:rPr>
          <w:t>19א</w:t>
        </w:r>
      </w:hyperlink>
    </w:p>
    <w:p w14:paraId="0DEA1081" w14:textId="77777777" w:rsidR="00155CA0" w:rsidRPr="00155CA0" w:rsidRDefault="00155CA0" w:rsidP="00155CA0">
      <w:pPr>
        <w:widowControl w:val="0"/>
        <w:spacing w:line="360" w:lineRule="auto"/>
        <w:jc w:val="both"/>
        <w:rPr>
          <w:rFonts w:ascii="Arial" w:hAnsi="Arial"/>
          <w:noProof w:val="0"/>
          <w:rtl/>
        </w:rPr>
      </w:pPr>
      <w:bookmarkStart w:id="4" w:name="LawTable_End"/>
      <w:bookmarkEnd w:id="4"/>
    </w:p>
    <w:p w14:paraId="6787DEA2" w14:textId="77777777" w:rsidR="00A51485" w:rsidRPr="00B93B53" w:rsidRDefault="00A51485" w:rsidP="00B93B53">
      <w:pPr>
        <w:widowControl w:val="0"/>
        <w:spacing w:line="360" w:lineRule="auto"/>
        <w:jc w:val="both"/>
        <w:rPr>
          <w:rFonts w:ascii="Arial" w:hAnsi="Arial"/>
          <w:noProof w:val="0"/>
          <w:rtl/>
        </w:rPr>
      </w:pPr>
    </w:p>
    <w:tbl>
      <w:tblPr>
        <w:bidiVisual/>
        <w:tblW w:w="7943" w:type="dxa"/>
        <w:jc w:val="center"/>
        <w:tblLook w:val="01E0" w:firstRow="1" w:lastRow="1" w:firstColumn="1" w:lastColumn="1" w:noHBand="0" w:noVBand="0"/>
      </w:tblPr>
      <w:tblGrid>
        <w:gridCol w:w="7943"/>
      </w:tblGrid>
      <w:tr w:rsidR="00A51485" w14:paraId="7597BE54" w14:textId="77777777" w:rsidTr="00A51485">
        <w:trPr>
          <w:trHeight w:val="624"/>
          <w:jc w:val="center"/>
        </w:trPr>
        <w:tc>
          <w:tcPr>
            <w:tcW w:w="7943" w:type="dxa"/>
            <w:shd w:val="clear" w:color="auto" w:fill="auto"/>
            <w:vAlign w:val="center"/>
          </w:tcPr>
          <w:p w14:paraId="6274C86A" w14:textId="77777777" w:rsidR="007A28F5" w:rsidRPr="007A28F5" w:rsidRDefault="007A28F5" w:rsidP="007A28F5">
            <w:pPr>
              <w:widowControl w:val="0"/>
              <w:bidi w:val="0"/>
              <w:jc w:val="center"/>
              <w:rPr>
                <w:rFonts w:ascii="Arial" w:hAnsi="Arial"/>
                <w:b/>
                <w:bCs/>
                <w:noProof w:val="0"/>
                <w:sz w:val="32"/>
                <w:szCs w:val="32"/>
                <w:u w:val="single"/>
                <w:rtl/>
              </w:rPr>
            </w:pPr>
            <w:bookmarkStart w:id="5" w:name="PsakDin" w:colFirst="0" w:colLast="0"/>
            <w:bookmarkEnd w:id="0"/>
            <w:r w:rsidRPr="007A28F5">
              <w:rPr>
                <w:rFonts w:ascii="Arial" w:hAnsi="Arial"/>
                <w:b/>
                <w:bCs/>
                <w:noProof w:val="0"/>
                <w:sz w:val="32"/>
                <w:szCs w:val="32"/>
                <w:u w:val="single"/>
                <w:rtl/>
              </w:rPr>
              <w:t>גזר דין</w:t>
            </w:r>
          </w:p>
          <w:p w14:paraId="35396300" w14:textId="77777777" w:rsidR="00A51485" w:rsidRPr="007A28F5" w:rsidRDefault="00A51485" w:rsidP="007A28F5">
            <w:pPr>
              <w:widowControl w:val="0"/>
              <w:bidi w:val="0"/>
              <w:jc w:val="center"/>
              <w:rPr>
                <w:rFonts w:ascii="Arial" w:hAnsi="Arial"/>
                <w:b/>
                <w:bCs/>
                <w:noProof w:val="0"/>
                <w:sz w:val="32"/>
                <w:szCs w:val="32"/>
                <w:u w:val="single"/>
              </w:rPr>
            </w:pPr>
          </w:p>
        </w:tc>
      </w:tr>
      <w:bookmarkEnd w:id="5"/>
    </w:tbl>
    <w:p w14:paraId="596D99B8" w14:textId="77777777" w:rsidR="00A51485" w:rsidRDefault="00A51485" w:rsidP="00A51485">
      <w:pPr>
        <w:widowControl w:val="0"/>
        <w:spacing w:line="360" w:lineRule="auto"/>
        <w:jc w:val="both"/>
        <w:rPr>
          <w:rFonts w:ascii="Arial" w:hAnsi="Arial"/>
          <w:noProof w:val="0"/>
          <w:rtl/>
        </w:rPr>
      </w:pPr>
    </w:p>
    <w:p w14:paraId="5CAF15C3" w14:textId="77777777" w:rsidR="00A51485" w:rsidRPr="005B7E0E" w:rsidRDefault="00A51485" w:rsidP="00A51485">
      <w:pPr>
        <w:widowControl w:val="0"/>
        <w:spacing w:line="360" w:lineRule="auto"/>
        <w:jc w:val="both"/>
        <w:rPr>
          <w:rFonts w:ascii="Arial" w:hAnsi="Arial"/>
          <w:b/>
          <w:bCs/>
          <w:sz w:val="26"/>
          <w:szCs w:val="26"/>
        </w:rPr>
      </w:pPr>
      <w:r w:rsidRPr="005B7E0E">
        <w:rPr>
          <w:rFonts w:ascii="Arial" w:hAnsi="Arial"/>
          <w:b/>
          <w:bCs/>
          <w:sz w:val="26"/>
          <w:szCs w:val="26"/>
          <w:rtl/>
        </w:rPr>
        <w:t xml:space="preserve">כתב האישום, </w:t>
      </w:r>
      <w:r>
        <w:rPr>
          <w:rFonts w:ascii="Arial" w:hAnsi="Arial" w:hint="cs"/>
          <w:b/>
          <w:bCs/>
          <w:sz w:val="26"/>
          <w:szCs w:val="26"/>
          <w:rtl/>
        </w:rPr>
        <w:t xml:space="preserve">הסדר הטיעון, </w:t>
      </w:r>
      <w:r w:rsidRPr="005B7E0E">
        <w:rPr>
          <w:rFonts w:ascii="Arial" w:hAnsi="Arial"/>
          <w:b/>
          <w:bCs/>
          <w:sz w:val="26"/>
          <w:szCs w:val="26"/>
          <w:rtl/>
        </w:rPr>
        <w:t>הכרעת הדין ו</w:t>
      </w:r>
      <w:r>
        <w:rPr>
          <w:rFonts w:ascii="Arial" w:hAnsi="Arial" w:hint="cs"/>
          <w:b/>
          <w:bCs/>
          <w:sz w:val="26"/>
          <w:szCs w:val="26"/>
          <w:rtl/>
        </w:rPr>
        <w:t>ההליכים</w:t>
      </w:r>
    </w:p>
    <w:p w14:paraId="43E2C596" w14:textId="77777777" w:rsidR="00A51485" w:rsidRDefault="00A51485" w:rsidP="00A51485">
      <w:pPr>
        <w:pStyle w:val="a9"/>
        <w:widowControl w:val="0"/>
        <w:numPr>
          <w:ilvl w:val="0"/>
          <w:numId w:val="1"/>
        </w:numPr>
        <w:spacing w:line="360" w:lineRule="auto"/>
        <w:contextualSpacing w:val="0"/>
        <w:jc w:val="both"/>
        <w:rPr>
          <w:rFonts w:ascii="Arial" w:hAnsi="Arial"/>
        </w:rPr>
      </w:pPr>
      <w:bookmarkStart w:id="6" w:name="ABSTRACT_START"/>
      <w:bookmarkEnd w:id="6"/>
      <w:r>
        <w:rPr>
          <w:rFonts w:ascii="Arial" w:hAnsi="Arial" w:hint="cs"/>
          <w:rtl/>
        </w:rPr>
        <w:t xml:space="preserve">ב-31.10.21 הוצג הסדר טיעון, במסגרתו הוגש כתב אישום מתוקן </w:t>
      </w:r>
      <w:r>
        <w:rPr>
          <w:rFonts w:ascii="Arial" w:hAnsi="Arial"/>
          <w:rtl/>
        </w:rPr>
        <w:t xml:space="preserve">(להלן: </w:t>
      </w:r>
      <w:r w:rsidRPr="00C84DD7">
        <w:rPr>
          <w:rFonts w:ascii="David" w:hAnsi="David"/>
          <w:b/>
          <w:bCs/>
          <w:rtl/>
        </w:rPr>
        <w:t>כתב האישום</w:t>
      </w:r>
      <w:r>
        <w:rPr>
          <w:rFonts w:ascii="Arial" w:hAnsi="Arial"/>
          <w:rtl/>
        </w:rPr>
        <w:t>),</w:t>
      </w:r>
      <w:r>
        <w:rPr>
          <w:rFonts w:ascii="Arial" w:hAnsi="Arial" w:hint="cs"/>
          <w:rtl/>
        </w:rPr>
        <w:t xml:space="preserve"> הנאשמת הודתה בו והורשעה </w:t>
      </w:r>
      <w:r>
        <w:rPr>
          <w:rFonts w:ascii="Arial" w:hAnsi="Arial"/>
          <w:rtl/>
        </w:rPr>
        <w:t>על פי הודאת</w:t>
      </w:r>
      <w:r>
        <w:rPr>
          <w:rFonts w:ascii="Arial" w:hAnsi="Arial" w:hint="cs"/>
          <w:rtl/>
        </w:rPr>
        <w:t>ה</w:t>
      </w:r>
      <w:r>
        <w:rPr>
          <w:rFonts w:ascii="Arial" w:hAnsi="Arial"/>
          <w:rtl/>
        </w:rPr>
        <w:t xml:space="preserve"> ב</w:t>
      </w:r>
      <w:r>
        <w:rPr>
          <w:rFonts w:ascii="Arial" w:hAnsi="Arial" w:hint="cs"/>
          <w:rtl/>
        </w:rPr>
        <w:t>-</w:t>
      </w:r>
      <w:r>
        <w:rPr>
          <w:rFonts w:ascii="Arial" w:hAnsi="Arial" w:hint="cs"/>
          <w:b/>
          <w:bCs/>
          <w:rtl/>
        </w:rPr>
        <w:t>סיוע ל</w:t>
      </w:r>
      <w:r w:rsidRPr="00C84DD7">
        <w:rPr>
          <w:rFonts w:ascii="Arial" w:hAnsi="Arial" w:hint="cs"/>
          <w:b/>
          <w:bCs/>
          <w:rtl/>
        </w:rPr>
        <w:t>מסחר בסמים מסוכנים</w:t>
      </w:r>
      <w:r>
        <w:rPr>
          <w:rFonts w:ascii="Arial" w:hAnsi="Arial"/>
          <w:rtl/>
        </w:rPr>
        <w:t xml:space="preserve">, בהתאם </w:t>
      </w:r>
      <w:hyperlink r:id="rId13" w:history="1">
        <w:r w:rsidR="00310294" w:rsidRPr="00310294">
          <w:rPr>
            <w:rStyle w:val="Hyperlink"/>
            <w:rFonts w:ascii="Arial" w:hAnsi="Arial" w:hint="eastAsia"/>
            <w:rtl/>
          </w:rPr>
          <w:t>לסעיפים</w:t>
        </w:r>
        <w:r w:rsidR="00310294" w:rsidRPr="00310294">
          <w:rPr>
            <w:rStyle w:val="Hyperlink"/>
            <w:rFonts w:ascii="Arial" w:hAnsi="Arial"/>
            <w:rtl/>
          </w:rPr>
          <w:t xml:space="preserve"> 31</w:t>
        </w:r>
      </w:hyperlink>
      <w:r>
        <w:rPr>
          <w:rFonts w:ascii="Arial" w:hAnsi="Arial" w:hint="cs"/>
          <w:rtl/>
        </w:rPr>
        <w:t xml:space="preserve"> ל-</w:t>
      </w:r>
      <w:hyperlink r:id="rId14" w:history="1">
        <w:r w:rsidR="007A28F5" w:rsidRPr="007A28F5">
          <w:rPr>
            <w:rFonts w:ascii="Arial" w:hAnsi="Arial" w:cs="Miriam"/>
            <w:b/>
            <w:bCs/>
            <w:color w:val="0000FF"/>
            <w:sz w:val="22"/>
            <w:szCs w:val="22"/>
            <w:u w:val="single"/>
            <w:rtl/>
          </w:rPr>
          <w:t>חוק העונשין</w:t>
        </w:r>
      </w:hyperlink>
      <w:r>
        <w:rPr>
          <w:rFonts w:ascii="Arial" w:hAnsi="Arial" w:hint="cs"/>
          <w:rtl/>
        </w:rPr>
        <w:t xml:space="preserve">, התשל"ז-1977 (להלן: </w:t>
      </w:r>
      <w:r w:rsidRPr="00852262">
        <w:rPr>
          <w:rFonts w:ascii="Arial" w:hAnsi="Arial" w:cs="Miriam" w:hint="cs"/>
          <w:b/>
          <w:bCs/>
          <w:sz w:val="22"/>
          <w:szCs w:val="22"/>
          <w:rtl/>
        </w:rPr>
        <w:t>חוק העונשין</w:t>
      </w:r>
      <w:r>
        <w:rPr>
          <w:rFonts w:ascii="Arial" w:hAnsi="Arial" w:hint="cs"/>
          <w:rtl/>
        </w:rPr>
        <w:t xml:space="preserve">), </w:t>
      </w:r>
      <w:hyperlink r:id="rId15" w:history="1">
        <w:r w:rsidR="00310294" w:rsidRPr="00310294">
          <w:rPr>
            <w:rStyle w:val="Hyperlink"/>
            <w:rFonts w:ascii="Arial" w:hAnsi="Arial"/>
            <w:rtl/>
          </w:rPr>
          <w:t>13</w:t>
        </w:r>
      </w:hyperlink>
      <w:r>
        <w:rPr>
          <w:rFonts w:ascii="Arial" w:hAnsi="Arial" w:hint="cs"/>
          <w:rtl/>
        </w:rPr>
        <w:t xml:space="preserve"> ו-</w:t>
      </w:r>
      <w:hyperlink r:id="rId16" w:history="1">
        <w:r w:rsidR="00310294" w:rsidRPr="00310294">
          <w:rPr>
            <w:rStyle w:val="Hyperlink"/>
            <w:rFonts w:ascii="Arial" w:hAnsi="Arial"/>
            <w:rtl/>
          </w:rPr>
          <w:t>19א</w:t>
        </w:r>
      </w:hyperlink>
      <w:r>
        <w:rPr>
          <w:rFonts w:ascii="Arial" w:hAnsi="Arial"/>
          <w:rtl/>
        </w:rPr>
        <w:t xml:space="preserve"> ל-</w:t>
      </w:r>
      <w:hyperlink r:id="rId17" w:history="1">
        <w:r w:rsidR="007A28F5" w:rsidRPr="007A28F5">
          <w:rPr>
            <w:rFonts w:ascii="Arial" w:hAnsi="Arial" w:cs="Miriam"/>
            <w:b/>
            <w:bCs/>
            <w:color w:val="0000FF"/>
            <w:sz w:val="22"/>
            <w:szCs w:val="22"/>
            <w:u w:val="single"/>
            <w:rtl/>
          </w:rPr>
          <w:t>פקודת הסמים המסוכנים</w:t>
        </w:r>
      </w:hyperlink>
      <w:r>
        <w:rPr>
          <w:rFonts w:ascii="Arial" w:hAnsi="Arial" w:cs="Miriam" w:hint="cs"/>
          <w:b/>
          <w:bCs/>
          <w:sz w:val="22"/>
          <w:szCs w:val="22"/>
          <w:rtl/>
        </w:rPr>
        <w:t xml:space="preserve"> (נוסח חדש)</w:t>
      </w:r>
      <w:r>
        <w:rPr>
          <w:rFonts w:ascii="Arial" w:hAnsi="Arial"/>
          <w:rtl/>
        </w:rPr>
        <w:t xml:space="preserve">, </w:t>
      </w:r>
      <w:r>
        <w:rPr>
          <w:rFonts w:ascii="Arial" w:hAnsi="Arial" w:hint="cs"/>
          <w:rtl/>
        </w:rPr>
        <w:t>ה</w:t>
      </w:r>
      <w:r>
        <w:rPr>
          <w:rFonts w:ascii="Arial" w:hAnsi="Arial"/>
          <w:rtl/>
        </w:rPr>
        <w:t>תשל"</w:t>
      </w:r>
      <w:r>
        <w:rPr>
          <w:rFonts w:ascii="Arial" w:hAnsi="Arial" w:hint="cs"/>
          <w:rtl/>
        </w:rPr>
        <w:t>ג</w:t>
      </w:r>
      <w:r>
        <w:rPr>
          <w:rFonts w:ascii="Arial" w:hAnsi="Arial"/>
          <w:rtl/>
        </w:rPr>
        <w:t>-197</w:t>
      </w:r>
      <w:r>
        <w:rPr>
          <w:rFonts w:ascii="Arial" w:hAnsi="Arial" w:hint="cs"/>
          <w:rtl/>
        </w:rPr>
        <w:t>3</w:t>
      </w:r>
      <w:r>
        <w:rPr>
          <w:rFonts w:ascii="Arial" w:hAnsi="Arial"/>
          <w:rtl/>
        </w:rPr>
        <w:t xml:space="preserve"> (להלן: </w:t>
      </w:r>
      <w:r>
        <w:rPr>
          <w:rFonts w:ascii="Arial" w:hAnsi="Arial" w:cs="Miriam" w:hint="cs"/>
          <w:b/>
          <w:bCs/>
          <w:sz w:val="22"/>
          <w:szCs w:val="22"/>
          <w:rtl/>
        </w:rPr>
        <w:t>פקודת הסמים</w:t>
      </w:r>
      <w:r>
        <w:rPr>
          <w:rFonts w:ascii="Arial" w:hAnsi="Arial"/>
          <w:rtl/>
        </w:rPr>
        <w:t>)</w:t>
      </w:r>
      <w:r>
        <w:rPr>
          <w:rFonts w:ascii="Arial" w:hAnsi="Arial" w:hint="cs"/>
          <w:rtl/>
        </w:rPr>
        <w:t xml:space="preserve">. במסגרת הסדר הטיעון הופנתה הנאשמת לשירות המבחן לעריכת תסקיר בעניינה, ללא הסכמה עונשית, תוך שהמאשימה מסרה כי עמדתה למאסר בפועל ועונשים נלווים ואילו ההגנה ביקשה ששירות המבחן יבחן שאלת ביטול ההרשעה. </w:t>
      </w:r>
    </w:p>
    <w:p w14:paraId="6DC2ECF9" w14:textId="77777777" w:rsidR="00A51485" w:rsidRDefault="00A51485" w:rsidP="00A51485">
      <w:pPr>
        <w:pStyle w:val="a9"/>
        <w:widowControl w:val="0"/>
        <w:spacing w:line="360" w:lineRule="auto"/>
        <w:ind w:left="360"/>
        <w:contextualSpacing w:val="0"/>
        <w:jc w:val="both"/>
        <w:rPr>
          <w:rFonts w:ascii="Arial" w:hAnsi="Arial"/>
        </w:rPr>
      </w:pPr>
      <w:bookmarkStart w:id="7" w:name="ABSTRACT_END"/>
      <w:bookmarkEnd w:id="7"/>
    </w:p>
    <w:p w14:paraId="6A09F25B" w14:textId="77777777" w:rsidR="00A51485" w:rsidRDefault="00A51485" w:rsidP="00A51485">
      <w:pPr>
        <w:pStyle w:val="a9"/>
        <w:widowControl w:val="0"/>
        <w:numPr>
          <w:ilvl w:val="0"/>
          <w:numId w:val="1"/>
        </w:numPr>
        <w:spacing w:line="360" w:lineRule="auto"/>
        <w:ind w:left="357" w:hanging="357"/>
        <w:contextualSpacing w:val="0"/>
        <w:jc w:val="both"/>
        <w:rPr>
          <w:rFonts w:ascii="Arial" w:hAnsi="Arial"/>
        </w:rPr>
      </w:pPr>
      <w:r w:rsidRPr="00EB32E8">
        <w:rPr>
          <w:rFonts w:ascii="Arial" w:hAnsi="Arial"/>
          <w:rtl/>
        </w:rPr>
        <w:t>לפי עובדות כתב האישום</w:t>
      </w:r>
      <w:r>
        <w:rPr>
          <w:rFonts w:ascii="Arial" w:hAnsi="Arial" w:hint="cs"/>
          <w:rtl/>
        </w:rPr>
        <w:t xml:space="preserve"> בעת שהתנהל באפליקציית "טלגרם" באינטרנט סחר בסמים מסוכנים, במסגרתו הזדהה סוחר בשם </w:t>
      </w:r>
      <w:r w:rsidRPr="00852262">
        <w:rPr>
          <w:rFonts w:ascii="David" w:hAnsi="David"/>
        </w:rPr>
        <w:t>Mr.Bean</w:t>
      </w:r>
      <w:r>
        <w:rPr>
          <w:rFonts w:ascii="Arial" w:hAnsi="Arial" w:hint="cs"/>
          <w:rtl/>
        </w:rPr>
        <w:t xml:space="preserve"> (להלן: </w:t>
      </w:r>
      <w:r w:rsidRPr="00852262">
        <w:rPr>
          <w:rFonts w:ascii="Arial" w:hAnsi="Arial" w:hint="cs"/>
          <w:b/>
          <w:bCs/>
          <w:rtl/>
        </w:rPr>
        <w:t>מיסטר בין</w:t>
      </w:r>
      <w:r>
        <w:rPr>
          <w:rFonts w:ascii="Arial" w:hAnsi="Arial" w:hint="cs"/>
          <w:rtl/>
        </w:rPr>
        <w:t xml:space="preserve">), נשלחה השוטרת לידור סיגרון (להלן: </w:t>
      </w:r>
      <w:r w:rsidRPr="00C84DD7">
        <w:rPr>
          <w:rFonts w:ascii="David" w:hAnsi="David"/>
          <w:b/>
          <w:bCs/>
          <w:rtl/>
        </w:rPr>
        <w:t>ה</w:t>
      </w:r>
      <w:r>
        <w:rPr>
          <w:rFonts w:ascii="David" w:hAnsi="David" w:hint="cs"/>
          <w:b/>
          <w:bCs/>
          <w:rtl/>
        </w:rPr>
        <w:t>שוטרת</w:t>
      </w:r>
      <w:r>
        <w:rPr>
          <w:rFonts w:ascii="Arial" w:hAnsi="Arial" w:hint="cs"/>
          <w:rtl/>
        </w:rPr>
        <w:t>) לביים עסקת סמים כדי לחשוף עברייני סמים באינטרנט. ב-24.6.20 סמוך ל-16:00, במסגרת התכתבות בין השוטרת לבין מיסטר בין, נשלחה ההודעה הבאה "</w:t>
      </w:r>
      <w:r w:rsidRPr="003A715A">
        <w:rPr>
          <w:rFonts w:ascii="Arial" w:hAnsi="Arial" w:hint="cs"/>
          <w:b/>
          <w:bCs/>
          <w:rtl/>
        </w:rPr>
        <w:t xml:space="preserve">ישש פשוט טיפה לחץ לא היו שליחים קרובים לאיזור שלך כפרה עליך אז שלחתי שליחה שתעזוב הכל ותבוא אליך אם 5 גם ב300 כולל משלוח לא תמצאי גם דבר כזה ובאמת זה בשבילך </w:t>
      </w:r>
      <w:r w:rsidRPr="003A715A">
        <w:rPr>
          <w:rFonts w:ascii="Arial" w:hAnsi="Arial" w:hint="cs"/>
          <w:b/>
          <w:bCs/>
          <w:rtl/>
        </w:rPr>
        <w:lastRenderedPageBreak/>
        <w:t>שתהנייי מהדבר ותשקחי עוד כמובן</w:t>
      </w:r>
      <w:r>
        <w:rPr>
          <w:rFonts w:ascii="Arial" w:hAnsi="Arial" w:hint="cs"/>
          <w:rtl/>
        </w:rPr>
        <w:t xml:space="preserve">" (הטעויות במקור). סמוך ל-19:28 הגיעה הנאשמת לתחנת אוטובוס בכפר מנחם, כשהיא נוהגת ברכב נושא ל"ז 45-220-73 (להלן: </w:t>
      </w:r>
      <w:r w:rsidRPr="003A715A">
        <w:rPr>
          <w:rFonts w:ascii="Arial" w:hAnsi="Arial" w:hint="cs"/>
          <w:b/>
          <w:bCs/>
          <w:rtl/>
        </w:rPr>
        <w:t>הרכב</w:t>
      </w:r>
      <w:r>
        <w:rPr>
          <w:rFonts w:ascii="Arial" w:hAnsi="Arial" w:hint="cs"/>
          <w:rtl/>
        </w:rPr>
        <w:t xml:space="preserve">) ואחרת ישבה לצידה. הנאשמת העבירה לשוטרת מהאחרת 4.81 גרם נטו קנבוס וקיבלה מהשוטרת 300 ₪ וכך סייעה לסחר בסם. </w:t>
      </w:r>
    </w:p>
    <w:p w14:paraId="1AA38E76" w14:textId="77777777" w:rsidR="00A51485" w:rsidRDefault="00A51485" w:rsidP="00A51485">
      <w:pPr>
        <w:pStyle w:val="a9"/>
        <w:widowControl w:val="0"/>
        <w:spacing w:line="360" w:lineRule="auto"/>
        <w:rPr>
          <w:rFonts w:ascii="Arial" w:hAnsi="Arial"/>
          <w:rtl/>
        </w:rPr>
      </w:pPr>
    </w:p>
    <w:p w14:paraId="0F9D12F2" w14:textId="77777777" w:rsidR="00A51485" w:rsidRDefault="00A51485" w:rsidP="00A51485">
      <w:pPr>
        <w:pStyle w:val="a9"/>
        <w:widowControl w:val="0"/>
        <w:numPr>
          <w:ilvl w:val="0"/>
          <w:numId w:val="1"/>
        </w:numPr>
        <w:spacing w:line="360" w:lineRule="auto"/>
        <w:contextualSpacing w:val="0"/>
        <w:jc w:val="both"/>
        <w:rPr>
          <w:rFonts w:ascii="Arial" w:hAnsi="Arial"/>
        </w:rPr>
      </w:pPr>
      <w:r>
        <w:rPr>
          <w:rFonts w:ascii="Arial" w:hAnsi="Arial" w:hint="cs"/>
          <w:rtl/>
        </w:rPr>
        <w:t xml:space="preserve">דיון הטיעונים לעונש בעניינה של הנאשמת נדחה מעת לעת לבקשת שירות המבחן, על מנת לאפשר לנאשמת לשתף פעולה עם הליך טיפולי, לצורך הגשת אסמכתאות לנזק קונקרטי, לבקשת ההגנה ובשל חילופי שני מותבים. הטיעונים לעונש נשמעו לבסוף לפניי ביום 12.12.22 ולבקשת ב"כ הנאשמת מועד מתן גזר הדין נדחה ליום 29.3.23.  </w:t>
      </w:r>
    </w:p>
    <w:p w14:paraId="17EC8BBC" w14:textId="77777777" w:rsidR="00A51485" w:rsidRDefault="00A51485" w:rsidP="00A51485">
      <w:pPr>
        <w:pStyle w:val="a9"/>
        <w:widowControl w:val="0"/>
        <w:spacing w:line="360" w:lineRule="auto"/>
        <w:rPr>
          <w:rFonts w:ascii="Arial" w:hAnsi="Arial"/>
          <w:rtl/>
        </w:rPr>
      </w:pPr>
    </w:p>
    <w:p w14:paraId="68B95927" w14:textId="77777777" w:rsidR="00A51485" w:rsidRDefault="00A51485" w:rsidP="00A51485">
      <w:pPr>
        <w:widowControl w:val="0"/>
        <w:spacing w:line="360" w:lineRule="auto"/>
        <w:jc w:val="both"/>
        <w:rPr>
          <w:rtl/>
        </w:rPr>
      </w:pPr>
      <w:r>
        <w:rPr>
          <w:rFonts w:ascii="David" w:hAnsi="David"/>
          <w:b/>
          <w:bCs/>
          <w:sz w:val="26"/>
          <w:szCs w:val="26"/>
          <w:rtl/>
        </w:rPr>
        <w:t>סוגיית ביטול ההרשעה</w:t>
      </w:r>
    </w:p>
    <w:p w14:paraId="299E0D4D" w14:textId="77777777" w:rsidR="00A51485" w:rsidRPr="007B1235" w:rsidRDefault="00A51485" w:rsidP="00A51485">
      <w:pPr>
        <w:pStyle w:val="a9"/>
        <w:widowControl w:val="0"/>
        <w:numPr>
          <w:ilvl w:val="0"/>
          <w:numId w:val="1"/>
        </w:numPr>
        <w:spacing w:line="360" w:lineRule="auto"/>
        <w:contextualSpacing w:val="0"/>
        <w:jc w:val="both"/>
        <w:rPr>
          <w:rFonts w:ascii="Calibri" w:hAnsi="Calibri" w:cs="Calibri"/>
          <w:sz w:val="22"/>
          <w:szCs w:val="22"/>
        </w:rPr>
      </w:pPr>
      <w:r w:rsidRPr="00A17A2B">
        <w:rPr>
          <w:rFonts w:ascii="David" w:hAnsi="David"/>
          <w:rtl/>
        </w:rPr>
        <w:t>בסעיף 7 לפסק דינה ב-</w:t>
      </w:r>
      <w:hyperlink r:id="rId18" w:history="1">
        <w:r w:rsidR="007A28F5" w:rsidRPr="007A28F5">
          <w:rPr>
            <w:rFonts w:ascii="David" w:hAnsi="David"/>
            <w:color w:val="0000FF"/>
            <w:u w:val="single"/>
            <w:rtl/>
          </w:rPr>
          <w:t>ע"פ 2083/96</w:t>
        </w:r>
      </w:hyperlink>
      <w:r w:rsidRPr="00A17A2B">
        <w:rPr>
          <w:rFonts w:ascii="David" w:hAnsi="David"/>
          <w:rtl/>
        </w:rPr>
        <w:t xml:space="preserve"> </w:t>
      </w:r>
      <w:r w:rsidRPr="00A17A2B">
        <w:rPr>
          <w:rFonts w:ascii="Miriam" w:hAnsi="Miriam" w:cs="Miriam"/>
          <w:b/>
          <w:bCs/>
          <w:sz w:val="22"/>
          <w:szCs w:val="22"/>
          <w:rtl/>
        </w:rPr>
        <w:t xml:space="preserve">כתב נ' מדינת ישראל </w:t>
      </w:r>
      <w:r w:rsidRPr="00A17A2B">
        <w:rPr>
          <w:rFonts w:ascii="David" w:hAnsi="David"/>
          <w:rtl/>
        </w:rPr>
        <w:t xml:space="preserve">(21.8.97) (להלן: </w:t>
      </w:r>
      <w:r w:rsidRPr="00A17A2B">
        <w:rPr>
          <w:rFonts w:ascii="Miriam" w:hAnsi="Miriam" w:cs="Miriam"/>
          <w:b/>
          <w:bCs/>
          <w:sz w:val="22"/>
          <w:szCs w:val="22"/>
          <w:rtl/>
        </w:rPr>
        <w:t>הלכת כתב</w:t>
      </w:r>
      <w:r w:rsidRPr="00A17A2B">
        <w:rPr>
          <w:rFonts w:ascii="David" w:hAnsi="David"/>
          <w:rtl/>
        </w:rPr>
        <w:t>), קבעה כב' הש' דורנר, כי "</w:t>
      </w:r>
      <w:r w:rsidRPr="00A17A2B">
        <w:rPr>
          <w:rFonts w:ascii="David" w:hAnsi="David"/>
          <w:b/>
          <w:bCs/>
          <w:rtl/>
        </w:rPr>
        <w:t xml:space="preserve">הימנעות מהרשעה אפשרית אפוא בהצטבר שני גורמים: ראשית, על ההרשעה לפגוע </w:t>
      </w:r>
      <w:r w:rsidRPr="00A17A2B">
        <w:rPr>
          <w:rFonts w:ascii="David" w:hAnsi="David"/>
          <w:b/>
          <w:bCs/>
          <w:u w:val="single"/>
          <w:rtl/>
        </w:rPr>
        <w:t>פגיעה חמורה בשיקום הנאשם</w:t>
      </w:r>
      <w:r w:rsidRPr="00A17A2B">
        <w:rPr>
          <w:rFonts w:ascii="David" w:hAnsi="David"/>
          <w:b/>
          <w:bCs/>
          <w:rtl/>
        </w:rPr>
        <w:t xml:space="preserve">, ושנית, </w:t>
      </w:r>
      <w:r w:rsidRPr="00A17A2B">
        <w:rPr>
          <w:rFonts w:ascii="David" w:hAnsi="David"/>
          <w:b/>
          <w:bCs/>
          <w:u w:val="single"/>
          <w:rtl/>
        </w:rPr>
        <w:t>סוג העבירה מאפשר</w:t>
      </w:r>
      <w:r w:rsidRPr="00A17A2B">
        <w:rPr>
          <w:rFonts w:ascii="David" w:hAnsi="David"/>
          <w:b/>
          <w:bCs/>
          <w:rtl/>
        </w:rPr>
        <w:t xml:space="preserve"> לוותר בנסיבות המקרה המסוים על ההרשעה </w:t>
      </w:r>
      <w:r w:rsidRPr="00A17A2B">
        <w:rPr>
          <w:rFonts w:ascii="David" w:hAnsi="David"/>
          <w:b/>
          <w:bCs/>
          <w:u w:val="single"/>
          <w:rtl/>
        </w:rPr>
        <w:t>בלי לפגוע באופן מהותי בשיקולי הענישה האחרים</w:t>
      </w:r>
      <w:r w:rsidRPr="00A17A2B">
        <w:rPr>
          <w:rFonts w:ascii="David" w:hAnsi="David"/>
          <w:b/>
          <w:bCs/>
          <w:rtl/>
        </w:rPr>
        <w:t xml:space="preserve"> המפורטים לעיל</w:t>
      </w:r>
      <w:r w:rsidRPr="00A17A2B">
        <w:rPr>
          <w:rFonts w:ascii="David" w:hAnsi="David"/>
          <w:rtl/>
        </w:rPr>
        <w:t>" [ההדגשות לא במקור - זד"ל].</w:t>
      </w:r>
    </w:p>
    <w:p w14:paraId="2F711E89" w14:textId="77777777" w:rsidR="00A51485" w:rsidRPr="005F4833" w:rsidRDefault="00A51485" w:rsidP="00A51485">
      <w:pPr>
        <w:pStyle w:val="a9"/>
        <w:widowControl w:val="0"/>
        <w:spacing w:line="360" w:lineRule="auto"/>
        <w:ind w:left="360"/>
        <w:contextualSpacing w:val="0"/>
        <w:jc w:val="both"/>
        <w:rPr>
          <w:rFonts w:ascii="Calibri" w:hAnsi="Calibri" w:cs="Calibri"/>
          <w:sz w:val="22"/>
          <w:szCs w:val="22"/>
        </w:rPr>
      </w:pPr>
    </w:p>
    <w:p w14:paraId="21AD4643" w14:textId="77777777" w:rsidR="00A51485" w:rsidRPr="007B1235" w:rsidRDefault="00A51485" w:rsidP="00A51485">
      <w:pPr>
        <w:pStyle w:val="a9"/>
        <w:widowControl w:val="0"/>
        <w:numPr>
          <w:ilvl w:val="0"/>
          <w:numId w:val="1"/>
        </w:numPr>
        <w:spacing w:line="360" w:lineRule="auto"/>
        <w:contextualSpacing w:val="0"/>
        <w:jc w:val="both"/>
        <w:rPr>
          <w:rFonts w:ascii="Calibri" w:hAnsi="Calibri" w:cs="Calibri"/>
          <w:sz w:val="22"/>
          <w:szCs w:val="22"/>
        </w:rPr>
      </w:pPr>
      <w:r w:rsidRPr="007B1235">
        <w:rPr>
          <w:rFonts w:ascii="David" w:hAnsi="David"/>
          <w:rtl/>
        </w:rPr>
        <w:t>נפסק לא אחת, כי "</w:t>
      </w:r>
      <w:r w:rsidRPr="007B1235">
        <w:rPr>
          <w:rFonts w:ascii="Miriam" w:hAnsi="Miriam" w:cs="Miriam"/>
          <w:b/>
          <w:bCs/>
          <w:sz w:val="22"/>
          <w:szCs w:val="22"/>
          <w:rtl/>
        </w:rPr>
        <w:t>אי הרשעה</w:t>
      </w:r>
      <w:r w:rsidRPr="007B1235">
        <w:rPr>
          <w:rFonts w:ascii="David" w:hAnsi="David"/>
          <w:b/>
          <w:bCs/>
          <w:rtl/>
        </w:rPr>
        <w:t xml:space="preserve"> אינה עונש</w:t>
      </w:r>
      <w:r w:rsidRPr="007B1235">
        <w:rPr>
          <w:rFonts w:ascii="David" w:hAnsi="David"/>
          <w:rtl/>
        </w:rPr>
        <w:t>" ו-"</w:t>
      </w:r>
      <w:r w:rsidRPr="007B1235">
        <w:rPr>
          <w:rFonts w:ascii="David" w:hAnsi="David"/>
          <w:b/>
          <w:bCs/>
          <w:rtl/>
        </w:rPr>
        <w:t xml:space="preserve">שאלת אי הרשעה היא שאלה עצמאית ונפרדת אשר נבחנת במחוזותינו בהתאם לתנאי הלכת </w:t>
      </w:r>
      <w:r w:rsidRPr="007B1235">
        <w:rPr>
          <w:rFonts w:ascii="Miriam" w:hAnsi="Miriam" w:cs="Miriam"/>
          <w:b/>
          <w:bCs/>
          <w:sz w:val="22"/>
          <w:szCs w:val="22"/>
          <w:rtl/>
        </w:rPr>
        <w:t>כתב</w:t>
      </w:r>
      <w:r w:rsidRPr="007B1235">
        <w:rPr>
          <w:rFonts w:ascii="David" w:hAnsi="David"/>
          <w:rtl/>
        </w:rPr>
        <w:t xml:space="preserve">" [ראו </w:t>
      </w:r>
      <w:hyperlink r:id="rId19" w:history="1">
        <w:r w:rsidR="007A28F5" w:rsidRPr="007A28F5">
          <w:rPr>
            <w:rFonts w:ascii="David" w:hAnsi="David"/>
            <w:color w:val="0000FF"/>
            <w:u w:val="single"/>
            <w:rtl/>
          </w:rPr>
          <w:t>רע"פ 3195/19</w:t>
        </w:r>
      </w:hyperlink>
      <w:r w:rsidRPr="007B1235">
        <w:rPr>
          <w:rFonts w:ascii="David" w:hAnsi="David"/>
          <w:rtl/>
        </w:rPr>
        <w:t xml:space="preserve"> </w:t>
      </w:r>
      <w:r w:rsidRPr="007B1235">
        <w:rPr>
          <w:rFonts w:ascii="Miriam" w:hAnsi="Miriam" w:cs="Miriam"/>
          <w:b/>
          <w:bCs/>
          <w:sz w:val="22"/>
          <w:szCs w:val="22"/>
          <w:rtl/>
        </w:rPr>
        <w:t>אגוזי נ' מדינת ישראל</w:t>
      </w:r>
      <w:r w:rsidRPr="007B1235">
        <w:rPr>
          <w:rFonts w:ascii="David" w:hAnsi="David"/>
          <w:b/>
          <w:bCs/>
          <w:rtl/>
        </w:rPr>
        <w:t xml:space="preserve"> </w:t>
      </w:r>
      <w:r w:rsidRPr="007B1235">
        <w:rPr>
          <w:rFonts w:ascii="David" w:hAnsi="David"/>
          <w:rtl/>
        </w:rPr>
        <w:t>(4.7.19). ההדגשות במקור - זד"ל]. לצד זאת</w:t>
      </w:r>
      <w:r>
        <w:rPr>
          <w:rFonts w:ascii="David" w:hAnsi="David" w:hint="cs"/>
          <w:rtl/>
        </w:rPr>
        <w:t xml:space="preserve">, </w:t>
      </w:r>
      <w:r w:rsidRPr="007B1235">
        <w:rPr>
          <w:rFonts w:ascii="David" w:hAnsi="David"/>
          <w:rtl/>
        </w:rPr>
        <w:t>ניתן להיעזר באמות המידה ואבני הבוחן שנקבעו בתיקון 113 ל-</w:t>
      </w:r>
      <w:hyperlink r:id="rId20" w:history="1">
        <w:r w:rsidR="007A28F5" w:rsidRPr="007A28F5">
          <w:rPr>
            <w:rFonts w:ascii="Miriam" w:hAnsi="Miriam" w:cs="Miriam"/>
            <w:b/>
            <w:bCs/>
            <w:color w:val="0000FF"/>
            <w:sz w:val="22"/>
            <w:szCs w:val="22"/>
            <w:u w:val="single"/>
            <w:rtl/>
          </w:rPr>
          <w:t>חוק העונשין</w:t>
        </w:r>
      </w:hyperlink>
      <w:r w:rsidRPr="007B1235">
        <w:rPr>
          <w:rFonts w:ascii="David" w:hAnsi="David"/>
          <w:rtl/>
        </w:rPr>
        <w:t xml:space="preserve">, התשל"ז-1977 (להלן: </w:t>
      </w:r>
      <w:r w:rsidRPr="007B1235">
        <w:rPr>
          <w:rFonts w:ascii="Miriam" w:hAnsi="Miriam" w:cs="Miriam"/>
          <w:b/>
          <w:bCs/>
          <w:sz w:val="22"/>
          <w:szCs w:val="22"/>
          <w:rtl/>
        </w:rPr>
        <w:t>חוק העונשין</w:t>
      </w:r>
      <w:r w:rsidRPr="007B1235">
        <w:rPr>
          <w:rFonts w:ascii="David" w:hAnsi="David"/>
          <w:rtl/>
        </w:rPr>
        <w:t xml:space="preserve">), ובכלל זה </w:t>
      </w:r>
      <w:r>
        <w:rPr>
          <w:rFonts w:ascii="David" w:hAnsi="David" w:hint="cs"/>
          <w:rtl/>
        </w:rPr>
        <w:t xml:space="preserve">האם נסיבות שלא קשורות בביצוע העבירה מטות את הכף לעבר ביטול ההרשעה והאם שיקולי שיקום מצדיקים סטיה מהמתחם, זאת </w:t>
      </w:r>
      <w:r w:rsidRPr="007B1235">
        <w:rPr>
          <w:rFonts w:ascii="David" w:hAnsi="David"/>
          <w:rtl/>
        </w:rPr>
        <w:t xml:space="preserve">כדי לקבוע אם מתקיים התנאי </w:t>
      </w:r>
      <w:r>
        <w:rPr>
          <w:rFonts w:ascii="David" w:hAnsi="David" w:hint="cs"/>
          <w:rtl/>
        </w:rPr>
        <w:t xml:space="preserve">הראשון, קרי האם ההרשעה תהווה פגיעה חמורה בנאשמת. כן ניתן לבחון באמצעות </w:t>
      </w:r>
      <w:r w:rsidRPr="007B1235">
        <w:rPr>
          <w:rFonts w:ascii="David" w:hAnsi="David"/>
          <w:rtl/>
        </w:rPr>
        <w:t xml:space="preserve">הערכים החברתיים, מידת הפגיעה בהם, נסיבות ביצוע העבירה והפסיקה הנוהגת, </w:t>
      </w:r>
      <w:r>
        <w:rPr>
          <w:rFonts w:ascii="David" w:hAnsi="David" w:hint="cs"/>
          <w:rtl/>
        </w:rPr>
        <w:t xml:space="preserve">קיום התנאי </w:t>
      </w:r>
      <w:r w:rsidRPr="007B1235">
        <w:rPr>
          <w:rFonts w:ascii="David" w:hAnsi="David"/>
          <w:rtl/>
        </w:rPr>
        <w:t xml:space="preserve">השני, קרי האם סוג העבירה, בנסיבות ביצועה, ושיקולי ענישה אחרים מאפשרים ביטול ההרשעה - ואפנה תחילה לבחינה זו. </w:t>
      </w:r>
    </w:p>
    <w:p w14:paraId="0F6D3FAD" w14:textId="77777777" w:rsidR="00A51485" w:rsidRPr="00583E4E" w:rsidRDefault="00A51485" w:rsidP="00A51485">
      <w:pPr>
        <w:pStyle w:val="gmail-msonospacing"/>
        <w:widowControl w:val="0"/>
        <w:bidi/>
        <w:spacing w:before="0" w:beforeAutospacing="0" w:after="0" w:afterAutospacing="0" w:line="360" w:lineRule="auto"/>
        <w:ind w:left="528"/>
        <w:jc w:val="both"/>
        <w:rPr>
          <w:rFonts w:ascii="David" w:hAnsi="David" w:cs="David"/>
          <w:rtl/>
        </w:rPr>
      </w:pPr>
    </w:p>
    <w:p w14:paraId="6D308053" w14:textId="77777777" w:rsidR="00A51485" w:rsidRDefault="00A51485" w:rsidP="00A51485">
      <w:pPr>
        <w:pStyle w:val="gmail-msonospacing"/>
        <w:widowControl w:val="0"/>
        <w:bidi/>
        <w:spacing w:before="0" w:beforeAutospacing="0" w:after="0" w:afterAutospacing="0" w:line="360" w:lineRule="auto"/>
        <w:jc w:val="both"/>
        <w:rPr>
          <w:rFonts w:ascii="Calibri" w:hAnsi="Calibri" w:cs="Calibri"/>
          <w:sz w:val="22"/>
          <w:szCs w:val="22"/>
          <w:rtl/>
        </w:rPr>
      </w:pPr>
      <w:r>
        <w:rPr>
          <w:rFonts w:ascii="David" w:hAnsi="David" w:cs="David"/>
          <w:b/>
          <w:bCs/>
          <w:sz w:val="26"/>
          <w:szCs w:val="26"/>
          <w:rtl/>
        </w:rPr>
        <w:t>סוג העבירה, נסיבות ביצועה ושיקולי ענישה אחרים, לרבות הפסיקה הנוהגת</w:t>
      </w:r>
    </w:p>
    <w:p w14:paraId="78B7DDFE" w14:textId="77777777" w:rsidR="00A51485" w:rsidRPr="008727FA" w:rsidRDefault="00A51485" w:rsidP="00A51485">
      <w:pPr>
        <w:pStyle w:val="a9"/>
        <w:widowControl w:val="0"/>
        <w:numPr>
          <w:ilvl w:val="0"/>
          <w:numId w:val="1"/>
        </w:numPr>
        <w:spacing w:line="360" w:lineRule="auto"/>
        <w:contextualSpacing w:val="0"/>
        <w:jc w:val="both"/>
        <w:rPr>
          <w:rFonts w:ascii="Calibri" w:hAnsi="Calibri" w:cs="Calibri"/>
          <w:sz w:val="22"/>
          <w:szCs w:val="22"/>
        </w:rPr>
      </w:pPr>
      <w:r w:rsidRPr="00A17A2B">
        <w:rPr>
          <w:rFonts w:ascii="David" w:hAnsi="David"/>
          <w:rtl/>
        </w:rPr>
        <w:t>מקובלת עלי טענת ב"כ המאשימה, כי במעשי</w:t>
      </w:r>
      <w:r>
        <w:rPr>
          <w:rFonts w:ascii="David" w:hAnsi="David" w:hint="cs"/>
          <w:rtl/>
        </w:rPr>
        <w:t>ה</w:t>
      </w:r>
      <w:r w:rsidRPr="00A17A2B">
        <w:rPr>
          <w:rFonts w:ascii="David" w:hAnsi="David"/>
          <w:rtl/>
        </w:rPr>
        <w:t xml:space="preserve"> </w:t>
      </w:r>
      <w:r w:rsidRPr="002C25F2">
        <w:rPr>
          <w:rFonts w:ascii="David" w:hAnsi="David"/>
          <w:rtl/>
        </w:rPr>
        <w:t>פגע</w:t>
      </w:r>
      <w:r>
        <w:rPr>
          <w:rFonts w:ascii="David" w:hAnsi="David" w:hint="cs"/>
          <w:rtl/>
        </w:rPr>
        <w:t>ה</w:t>
      </w:r>
      <w:r w:rsidRPr="002C25F2">
        <w:rPr>
          <w:rFonts w:ascii="David" w:hAnsi="David"/>
          <w:rtl/>
        </w:rPr>
        <w:t xml:space="preserve"> הנאש</w:t>
      </w:r>
      <w:r>
        <w:rPr>
          <w:rFonts w:ascii="David" w:hAnsi="David" w:hint="cs"/>
          <w:rtl/>
        </w:rPr>
        <w:t xml:space="preserve">מת </w:t>
      </w:r>
      <w:r w:rsidRPr="002C25F2">
        <w:rPr>
          <w:rFonts w:ascii="David" w:hAnsi="David"/>
          <w:rtl/>
        </w:rPr>
        <w:t xml:space="preserve">בערכים מוגנים של שמירה על שלום הציבור ובריאותו וכי נגע הסמים הוא אחד ממחוללי הפשיעה. ארחיב ואוסיף כי השימוש בסמים המסוכנים משבש שגרת חיי המשתמשים וקרוביהם ועלול להביא לעבריינות בתחום הרכוש והאלימות ובכך גם להוביל לפגיעה בערכים נוספים, לרבות פגיעה בקניין ובביטחון האישי של הציבור. מבלי להקל ראש בחומרת המעשים, </w:t>
      </w:r>
      <w:r>
        <w:rPr>
          <w:rFonts w:ascii="David" w:hAnsi="David" w:hint="cs"/>
          <w:rtl/>
        </w:rPr>
        <w:t xml:space="preserve">מקובלת עלי טענת ב"כ הנאשמת, כי </w:t>
      </w:r>
      <w:r w:rsidRPr="002C25F2">
        <w:rPr>
          <w:rFonts w:ascii="David" w:hAnsi="David"/>
          <w:rtl/>
        </w:rPr>
        <w:t>מידת הפגיעה לא נמצאת ברף הגבוה</w:t>
      </w:r>
      <w:r>
        <w:rPr>
          <w:rFonts w:ascii="David" w:hAnsi="David" w:hint="cs"/>
          <w:rtl/>
        </w:rPr>
        <w:t>, שכן</w:t>
      </w:r>
      <w:r w:rsidRPr="002C25F2">
        <w:rPr>
          <w:rFonts w:ascii="David" w:hAnsi="David"/>
          <w:rtl/>
        </w:rPr>
        <w:t xml:space="preserve"> נסיבות ביצוע העבירה הן לא מהחמורות</w:t>
      </w:r>
      <w:r>
        <w:rPr>
          <w:rFonts w:ascii="David" w:hAnsi="David" w:hint="cs"/>
          <w:rtl/>
        </w:rPr>
        <w:t xml:space="preserve">. </w:t>
      </w:r>
      <w:r w:rsidRPr="002C25F2">
        <w:rPr>
          <w:rFonts w:ascii="David" w:hAnsi="David"/>
          <w:rtl/>
        </w:rPr>
        <w:t xml:space="preserve">מדובר </w:t>
      </w:r>
      <w:r>
        <w:rPr>
          <w:rFonts w:ascii="David" w:hAnsi="David" w:hint="cs"/>
          <w:rtl/>
        </w:rPr>
        <w:t xml:space="preserve">בסיוע לסחר ולא בעבירת הסחר עצמה, כאשר בהתאם להוראות </w:t>
      </w:r>
      <w:hyperlink r:id="rId21" w:history="1">
        <w:r w:rsidR="00310294" w:rsidRPr="00310294">
          <w:rPr>
            <w:rStyle w:val="Hyperlink"/>
            <w:rFonts w:ascii="David" w:hAnsi="David" w:hint="eastAsia"/>
            <w:rtl/>
          </w:rPr>
          <w:t>סעיף</w:t>
        </w:r>
        <w:r w:rsidR="00310294" w:rsidRPr="00310294">
          <w:rPr>
            <w:rStyle w:val="Hyperlink"/>
            <w:rFonts w:ascii="David" w:hAnsi="David"/>
            <w:rtl/>
          </w:rPr>
          <w:t xml:space="preserve"> 32</w:t>
        </w:r>
      </w:hyperlink>
      <w:r>
        <w:rPr>
          <w:rFonts w:ascii="David" w:hAnsi="David" w:hint="cs"/>
          <w:rtl/>
        </w:rPr>
        <w:t xml:space="preserve"> ל-</w:t>
      </w:r>
      <w:hyperlink r:id="rId22" w:history="1">
        <w:r w:rsidR="007A28F5" w:rsidRPr="007A28F5">
          <w:rPr>
            <w:rFonts w:ascii="Miriam" w:hAnsi="Miriam" w:cs="Miriam"/>
            <w:b/>
            <w:bCs/>
            <w:color w:val="0000FF"/>
            <w:sz w:val="22"/>
            <w:szCs w:val="22"/>
            <w:u w:val="single"/>
            <w:rtl/>
          </w:rPr>
          <w:t>חוק העונשין</w:t>
        </w:r>
      </w:hyperlink>
      <w:r>
        <w:rPr>
          <w:rFonts w:ascii="David" w:hAnsi="David" w:hint="cs"/>
          <w:rtl/>
        </w:rPr>
        <w:t xml:space="preserve">, העונש על סיוע הוא </w:t>
      </w:r>
      <w:r w:rsidRPr="008727FA">
        <w:rPr>
          <w:rFonts w:ascii="David" w:hAnsi="David"/>
          <w:rtl/>
        </w:rPr>
        <w:t>מחצית העונש שנקבע בחיקוק בשל ביצוע</w:t>
      </w:r>
      <w:r>
        <w:rPr>
          <w:rFonts w:ascii="David" w:hAnsi="David" w:hint="cs"/>
          <w:rtl/>
        </w:rPr>
        <w:t>ה</w:t>
      </w:r>
      <w:r w:rsidRPr="008727FA">
        <w:rPr>
          <w:rFonts w:ascii="David" w:hAnsi="David"/>
          <w:rtl/>
        </w:rPr>
        <w:t xml:space="preserve"> העיקרי </w:t>
      </w:r>
      <w:r>
        <w:rPr>
          <w:rFonts w:ascii="David" w:hAnsi="David" w:hint="cs"/>
          <w:rtl/>
        </w:rPr>
        <w:t xml:space="preserve">של העבירה. זאת ועוד, מדובר </w:t>
      </w:r>
      <w:r w:rsidRPr="002C25F2">
        <w:rPr>
          <w:rFonts w:ascii="David" w:hAnsi="David"/>
          <w:rtl/>
        </w:rPr>
        <w:t xml:space="preserve">בכמות </w:t>
      </w:r>
      <w:r>
        <w:rPr>
          <w:rFonts w:ascii="David" w:hAnsi="David" w:hint="cs"/>
          <w:rtl/>
        </w:rPr>
        <w:t>שהיא פחות מ-1/3 מהכמות הקבועה לצריכה עצמית</w:t>
      </w:r>
      <w:r w:rsidRPr="002C25F2">
        <w:rPr>
          <w:rFonts w:ascii="David" w:hAnsi="David"/>
          <w:rtl/>
        </w:rPr>
        <w:t>, של סם שהוא לא מה</w:t>
      </w:r>
      <w:r>
        <w:rPr>
          <w:rFonts w:ascii="David" w:hAnsi="David" w:hint="cs"/>
          <w:rtl/>
        </w:rPr>
        <w:t xml:space="preserve">קטלניים </w:t>
      </w:r>
      <w:r w:rsidRPr="002C25F2">
        <w:rPr>
          <w:rFonts w:ascii="David" w:hAnsi="David"/>
          <w:rtl/>
        </w:rPr>
        <w:t>שב</w:t>
      </w:r>
      <w:r>
        <w:rPr>
          <w:rFonts w:ascii="David" w:hAnsi="David" w:hint="cs"/>
          <w:rtl/>
        </w:rPr>
        <w:t>-</w:t>
      </w:r>
      <w:r w:rsidRPr="005A0472">
        <w:rPr>
          <w:rFonts w:ascii="Miriam" w:hAnsi="Miriam" w:cs="Miriam"/>
          <w:b/>
          <w:bCs/>
          <w:sz w:val="22"/>
          <w:szCs w:val="22"/>
          <w:rtl/>
        </w:rPr>
        <w:t>פקודת הסמים</w:t>
      </w:r>
      <w:r w:rsidRPr="002C25F2">
        <w:rPr>
          <w:rFonts w:ascii="David" w:hAnsi="David"/>
          <w:rtl/>
        </w:rPr>
        <w:t>.</w:t>
      </w:r>
      <w:r>
        <w:rPr>
          <w:rFonts w:ascii="David" w:hAnsi="David" w:hint="cs"/>
          <w:rtl/>
        </w:rPr>
        <w:t xml:space="preserve"> לצד זאת, אין מקום לקבל טיעון ב"כ הנאשמת, כי בהינתן </w:t>
      </w:r>
      <w:r w:rsidRPr="008727FA">
        <w:rPr>
          <w:rFonts w:ascii="Miriam" w:hAnsi="Miriam" w:cs="Miriam" w:hint="cs"/>
          <w:b/>
          <w:bCs/>
          <w:sz w:val="22"/>
          <w:szCs w:val="22"/>
          <w:rtl/>
        </w:rPr>
        <w:t xml:space="preserve">חוק הסמים המסוכנים </w:t>
      </w:r>
      <w:r w:rsidRPr="008727FA">
        <w:rPr>
          <w:rFonts w:ascii="Miriam" w:hAnsi="Miriam" w:cs="Miriam" w:hint="cs"/>
          <w:b/>
          <w:bCs/>
          <w:sz w:val="22"/>
          <w:szCs w:val="22"/>
          <w:rtl/>
        </w:rPr>
        <w:lastRenderedPageBreak/>
        <w:t>(עבירת קנס מיוחדת - הוראת שעה)</w:t>
      </w:r>
      <w:r w:rsidRPr="008727FA">
        <w:rPr>
          <w:rFonts w:hint="cs"/>
          <w:sz w:val="20"/>
          <w:rtl/>
          <w:lang w:eastAsia="he-IL"/>
        </w:rPr>
        <w:t xml:space="preserve">, התשע"ח-2018 (שתחולתו ביום 1.4.19) יש להקל גם בדינם של סוחרים </w:t>
      </w:r>
      <w:r>
        <w:rPr>
          <w:rFonts w:hint="cs"/>
          <w:sz w:val="20"/>
          <w:rtl/>
          <w:lang w:eastAsia="he-IL"/>
        </w:rPr>
        <w:t xml:space="preserve">[ראו והשוו </w:t>
      </w:r>
      <w:r w:rsidRPr="008727FA">
        <w:rPr>
          <w:rFonts w:hint="cs"/>
          <w:sz w:val="20"/>
          <w:rtl/>
          <w:lang w:eastAsia="he-IL"/>
        </w:rPr>
        <w:t xml:space="preserve">סעיף 8 לפסק דינו </w:t>
      </w:r>
      <w:r>
        <w:rPr>
          <w:rFonts w:hint="cs"/>
          <w:sz w:val="20"/>
          <w:rtl/>
          <w:lang w:eastAsia="he-IL"/>
        </w:rPr>
        <w:t>של כב' הש' עמית ב</w:t>
      </w:r>
      <w:r w:rsidRPr="00F32B53">
        <w:rPr>
          <w:rFonts w:hint="cs"/>
          <w:sz w:val="20"/>
          <w:rtl/>
          <w:lang w:eastAsia="he-IL"/>
        </w:rPr>
        <w:t>-</w:t>
      </w:r>
      <w:hyperlink r:id="rId23" w:history="1">
        <w:r w:rsidR="007A28F5" w:rsidRPr="007A28F5">
          <w:rPr>
            <w:color w:val="0000FF"/>
            <w:sz w:val="20"/>
            <w:u w:val="single"/>
            <w:rtl/>
            <w:lang w:eastAsia="he-IL"/>
          </w:rPr>
          <w:t>ע"פ 2596/18</w:t>
        </w:r>
      </w:hyperlink>
      <w:r w:rsidRPr="00F32B53">
        <w:rPr>
          <w:rFonts w:hint="cs"/>
          <w:sz w:val="20"/>
          <w:rtl/>
          <w:lang w:eastAsia="he-IL"/>
        </w:rPr>
        <w:t>, 2656</w:t>
      </w:r>
      <w:r w:rsidRPr="00F32B53">
        <w:rPr>
          <w:sz w:val="20"/>
          <w:rtl/>
          <w:lang w:eastAsia="he-IL"/>
        </w:rPr>
        <w:t xml:space="preserve"> </w:t>
      </w:r>
      <w:r w:rsidRPr="00F32B53">
        <w:rPr>
          <w:rFonts w:ascii="Miriam" w:hAnsi="Miriam" w:cs="Miriam"/>
          <w:b/>
          <w:bCs/>
          <w:sz w:val="18"/>
          <w:szCs w:val="22"/>
          <w:rtl/>
          <w:lang w:eastAsia="he-IL"/>
        </w:rPr>
        <w:t xml:space="preserve">זנזורי נ' מדינת ישראל </w:t>
      </w:r>
      <w:r w:rsidRPr="00F32B53">
        <w:rPr>
          <w:rFonts w:hint="cs"/>
          <w:sz w:val="20"/>
          <w:rtl/>
          <w:lang w:eastAsia="he-IL"/>
        </w:rPr>
        <w:t xml:space="preserve">(12.8.18), </w:t>
      </w:r>
      <w:r>
        <w:rPr>
          <w:rFonts w:hint="cs"/>
          <w:sz w:val="20"/>
          <w:rtl/>
          <w:lang w:eastAsia="he-IL"/>
        </w:rPr>
        <w:t xml:space="preserve">שדן </w:t>
      </w:r>
      <w:r w:rsidRPr="00F32B53">
        <w:rPr>
          <w:rFonts w:hint="cs"/>
          <w:sz w:val="20"/>
          <w:rtl/>
          <w:lang w:eastAsia="he-IL"/>
        </w:rPr>
        <w:t>אמנם בגידול ובכמות גדולה מזו שלפני, אולם כוחם יפה גם לענייננו</w:t>
      </w:r>
      <w:r>
        <w:rPr>
          <w:rFonts w:hint="cs"/>
          <w:sz w:val="20"/>
          <w:rtl/>
          <w:lang w:eastAsia="he-IL"/>
        </w:rPr>
        <w:t xml:space="preserve">]. </w:t>
      </w:r>
    </w:p>
    <w:p w14:paraId="40CC6491" w14:textId="77777777" w:rsidR="00A51485" w:rsidRPr="00F75043" w:rsidRDefault="00A51485" w:rsidP="00A51485">
      <w:pPr>
        <w:pStyle w:val="a9"/>
        <w:widowControl w:val="0"/>
        <w:spacing w:line="360" w:lineRule="auto"/>
        <w:ind w:left="360"/>
        <w:contextualSpacing w:val="0"/>
        <w:jc w:val="both"/>
        <w:rPr>
          <w:rFonts w:ascii="Calibri" w:hAnsi="Calibri" w:cs="Calibri"/>
          <w:sz w:val="22"/>
          <w:szCs w:val="22"/>
        </w:rPr>
      </w:pPr>
    </w:p>
    <w:p w14:paraId="7C3ADBEC" w14:textId="77777777" w:rsidR="00A51485" w:rsidRPr="00FC06BC" w:rsidRDefault="00A51485" w:rsidP="00A51485">
      <w:pPr>
        <w:pStyle w:val="a9"/>
        <w:widowControl w:val="0"/>
        <w:numPr>
          <w:ilvl w:val="0"/>
          <w:numId w:val="1"/>
        </w:numPr>
        <w:spacing w:line="360" w:lineRule="auto"/>
        <w:contextualSpacing w:val="0"/>
        <w:jc w:val="both"/>
        <w:rPr>
          <w:rFonts w:ascii="Calibri" w:hAnsi="Calibri" w:cs="Calibri"/>
          <w:sz w:val="22"/>
          <w:szCs w:val="22"/>
        </w:rPr>
      </w:pPr>
      <w:r w:rsidRPr="002C25F2">
        <w:rPr>
          <w:rFonts w:ascii="David" w:hAnsi="David"/>
          <w:rtl/>
        </w:rPr>
        <w:t xml:space="preserve">עיון בפסיקה של שלוש הערכאות מלמד כי בענייננו קיים מנעד גדול של ענישה בתחום הסמים וכך גם בנושא יישום </w:t>
      </w:r>
      <w:r w:rsidRPr="002C25F2">
        <w:rPr>
          <w:rFonts w:ascii="Miriam" w:hAnsi="Miriam" w:cs="Miriam"/>
          <w:b/>
          <w:bCs/>
          <w:sz w:val="22"/>
          <w:szCs w:val="22"/>
          <w:rtl/>
        </w:rPr>
        <w:t>הלכת כתב</w:t>
      </w:r>
      <w:r w:rsidRPr="002C25F2">
        <w:rPr>
          <w:rFonts w:ascii="David" w:hAnsi="David"/>
          <w:rtl/>
        </w:rPr>
        <w:t xml:space="preserve"> וסיום הליכים ללא הרשעה. במהלך הטיעונים לעונש הפנתה ב"כ המאשימה לפסיקה התומכת בעמדתה </w:t>
      </w:r>
      <w:r>
        <w:rPr>
          <w:rFonts w:ascii="David" w:hAnsi="David" w:hint="cs"/>
          <w:rtl/>
        </w:rPr>
        <w:t xml:space="preserve">לפיה נוכח חומרת העבירה יש לקובע מתחם 4-12 חודשי מאסר בפועל בצירוף ענישה נלווית. הגם שב"כ המאשימה ביקשה למקם את הנאשמת בחלקו הנמוך של המתחם, למעשה עתירתה היתה לסטות מהמתחם ולהסתפק במאסר מותנה, קנס, התחייבות, פסילה בפועל ופסילה על תנאי, קרי ללא מאסר, אף לא בעבודות שירות. כך, לגישת המאשימה מעשי הנאשמת לא חמורים עד כדי השתת מאסר ולו לתקופה שניתן לרצותה בעבודות שירות. </w:t>
      </w:r>
      <w:r w:rsidRPr="002C25F2">
        <w:rPr>
          <w:rFonts w:ascii="David" w:hAnsi="David"/>
          <w:rtl/>
        </w:rPr>
        <w:t>ב"כ הנאש</w:t>
      </w:r>
      <w:r>
        <w:rPr>
          <w:rFonts w:ascii="David" w:hAnsi="David" w:hint="cs"/>
          <w:rtl/>
        </w:rPr>
        <w:t xml:space="preserve">מת הפנה </w:t>
      </w:r>
      <w:r w:rsidRPr="002C25F2">
        <w:rPr>
          <w:rFonts w:ascii="David" w:hAnsi="David"/>
          <w:rtl/>
        </w:rPr>
        <w:t>לפסיקה התומכת בעמדתו</w:t>
      </w:r>
      <w:r>
        <w:rPr>
          <w:rFonts w:ascii="David" w:hAnsi="David" w:hint="cs"/>
          <w:rtl/>
        </w:rPr>
        <w:t>, לפיה גם במקרים בהם נאשמים לא עברו הליכי טיפול, ואף במקרים בהם לא היתה המלצה של שירות המבחן לבטל הרשעה - בתי המשפט ביטלו הרשעות, ואף בעבירות חמורות מזו שלפני</w:t>
      </w:r>
      <w:r w:rsidRPr="002C25F2">
        <w:rPr>
          <w:rFonts w:ascii="David" w:hAnsi="David"/>
          <w:rtl/>
        </w:rPr>
        <w:t xml:space="preserve">. </w:t>
      </w:r>
      <w:r>
        <w:rPr>
          <w:rFonts w:ascii="David" w:hAnsi="David" w:hint="cs"/>
          <w:rtl/>
        </w:rPr>
        <w:t xml:space="preserve">ברי כי </w:t>
      </w:r>
      <w:r w:rsidRPr="002C25F2">
        <w:rPr>
          <w:rFonts w:ascii="David" w:hAnsi="David"/>
          <w:rtl/>
        </w:rPr>
        <w:t>כל מקרה לנסיבותיו וניתן לאבחן המקרים השונים. לצד זאת, ניתן לגזור אמת-מידה עונשית הולמת מחלק מפסקי הדין, לרבות פסיקה נוספת, כפי שאפרט להלן (לפי ערכאות וסדר כרונולוגי יורד)-</w:t>
      </w:r>
    </w:p>
    <w:p w14:paraId="7913F759" w14:textId="77777777" w:rsidR="00A51485" w:rsidRPr="00FC06BC" w:rsidRDefault="00A51485" w:rsidP="00A51485">
      <w:pPr>
        <w:pStyle w:val="a9"/>
        <w:widowControl w:val="0"/>
        <w:rPr>
          <w:rFonts w:ascii="David" w:hAnsi="David"/>
          <w:u w:val="single"/>
          <w:rtl/>
        </w:rPr>
      </w:pPr>
    </w:p>
    <w:p w14:paraId="0E051309" w14:textId="77777777" w:rsidR="00A51485" w:rsidRPr="00FC06BC" w:rsidRDefault="00A51485" w:rsidP="00A51485">
      <w:pPr>
        <w:pStyle w:val="a9"/>
        <w:widowControl w:val="0"/>
        <w:spacing w:line="360" w:lineRule="auto"/>
        <w:ind w:left="360"/>
        <w:contextualSpacing w:val="0"/>
        <w:jc w:val="both"/>
        <w:rPr>
          <w:rFonts w:ascii="Calibri" w:hAnsi="Calibri" w:cs="Calibri"/>
          <w:sz w:val="22"/>
          <w:szCs w:val="22"/>
          <w:rtl/>
        </w:rPr>
      </w:pPr>
      <w:r w:rsidRPr="00FC06BC">
        <w:rPr>
          <w:rFonts w:ascii="David" w:hAnsi="David"/>
          <w:u w:val="single"/>
          <w:rtl/>
        </w:rPr>
        <w:t>בית משפט עליון</w:t>
      </w:r>
    </w:p>
    <w:p w14:paraId="73B803ED"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24" w:history="1">
        <w:r w:rsidRPr="007A28F5">
          <w:rPr>
            <w:rFonts w:ascii="David" w:hAnsi="David" w:cs="David"/>
            <w:color w:val="0000FF"/>
            <w:u w:val="single"/>
            <w:rtl/>
          </w:rPr>
          <w:t>ע"פ 8169/20</w:t>
        </w:r>
      </w:hyperlink>
      <w:r w:rsidR="00A51485" w:rsidRPr="00A17A2B">
        <w:rPr>
          <w:rFonts w:ascii="David" w:hAnsi="David" w:cs="David"/>
          <w:rtl/>
        </w:rPr>
        <w:t xml:space="preserve">, 8447 </w:t>
      </w:r>
      <w:r w:rsidR="00A51485" w:rsidRPr="00A17A2B">
        <w:rPr>
          <w:rFonts w:ascii="Miriam" w:hAnsi="Miriam" w:cs="Miriam"/>
          <w:b/>
          <w:bCs/>
          <w:sz w:val="22"/>
          <w:szCs w:val="22"/>
          <w:rtl/>
        </w:rPr>
        <w:t>שלום וגיורא נ' מדינת ישראל</w:t>
      </w:r>
      <w:r w:rsidR="00A51485" w:rsidRPr="00A17A2B">
        <w:rPr>
          <w:rFonts w:ascii="David" w:hAnsi="David" w:cs="David"/>
          <w:rtl/>
        </w:rPr>
        <w:t xml:space="preserve"> (‏26.8.21)</w:t>
      </w:r>
      <w:r w:rsidR="00A51485">
        <w:rPr>
          <w:rFonts w:ascii="David" w:hAnsi="David" w:cs="David" w:hint="cs"/>
          <w:rtl/>
        </w:rPr>
        <w:t>, אליו הפנה ב"כ הנאשמת</w:t>
      </w:r>
      <w:r w:rsidR="00A51485" w:rsidRPr="00A17A2B">
        <w:rPr>
          <w:rFonts w:ascii="David" w:hAnsi="David" w:cs="David"/>
          <w:rtl/>
        </w:rPr>
        <w:t xml:space="preserve"> - בוטלה הרשעת המערערים ב- </w:t>
      </w:r>
      <w:r w:rsidR="00A51485" w:rsidRPr="00A17A2B">
        <w:rPr>
          <w:rFonts w:ascii="David" w:hAnsi="David" w:cs="David"/>
          <w:u w:val="single"/>
          <w:rtl/>
        </w:rPr>
        <w:t>סיוע להפרת אמונים</w:t>
      </w:r>
      <w:r w:rsidR="00A51485" w:rsidRPr="00A17A2B">
        <w:rPr>
          <w:rFonts w:ascii="David" w:hAnsi="David" w:cs="David"/>
          <w:rtl/>
        </w:rPr>
        <w:t>, בגין מתן מתנות לעובדות ציבור שטיפלו בבקשות לקבלת אישורי ייבוא שהגיש אחר בשם המבקשים. נקבע כי הגם ש"</w:t>
      </w:r>
      <w:r w:rsidR="00A51485" w:rsidRPr="00A17A2B">
        <w:rPr>
          <w:rFonts w:ascii="David" w:hAnsi="David" w:cs="David"/>
          <w:b/>
          <w:bCs/>
          <w:rtl/>
        </w:rPr>
        <w:t>מדובר ברף נמוך של הסיוע</w:t>
      </w:r>
      <w:r w:rsidR="00A51485" w:rsidRPr="00A17A2B">
        <w:rPr>
          <w:rFonts w:ascii="David" w:hAnsi="David" w:cs="David"/>
          <w:rtl/>
        </w:rPr>
        <w:t>" אף "</w:t>
      </w:r>
      <w:r w:rsidR="00A51485" w:rsidRPr="00A17A2B">
        <w:rPr>
          <w:rFonts w:ascii="David" w:hAnsi="David" w:cs="David"/>
          <w:b/>
          <w:bCs/>
          <w:rtl/>
        </w:rPr>
        <w:t>סיוע כזה חמור במידה שמצדיקה הרשעה כשלעצמה</w:t>
      </w:r>
      <w:r w:rsidR="00A51485" w:rsidRPr="00A17A2B">
        <w:rPr>
          <w:rFonts w:ascii="David" w:hAnsi="David" w:cs="David"/>
          <w:rtl/>
        </w:rPr>
        <w:t>". אולם בהינתן כי "</w:t>
      </w:r>
      <w:r w:rsidR="00A51485" w:rsidRPr="00A17A2B">
        <w:rPr>
          <w:rFonts w:ascii="David" w:hAnsi="David" w:cs="David"/>
          <w:b/>
          <w:bCs/>
          <w:rtl/>
        </w:rPr>
        <w:t>ההרשעה עלולה לפגוע באפשרות המערערים להמשיך ולקבל רשיון ייבוא או רשיון מקצועי</w:t>
      </w:r>
      <w:r w:rsidR="00A51485" w:rsidRPr="00A17A2B">
        <w:rPr>
          <w:rFonts w:ascii="David" w:hAnsi="David" w:cs="David"/>
          <w:rtl/>
        </w:rPr>
        <w:t>", והגם ש-"</w:t>
      </w:r>
      <w:r w:rsidR="00A51485" w:rsidRPr="00A17A2B">
        <w:rPr>
          <w:rFonts w:ascii="David" w:hAnsi="David" w:cs="David"/>
          <w:b/>
          <w:bCs/>
          <w:rtl/>
        </w:rPr>
        <w:t xml:space="preserve">ככלל אין לקבל טענה זו, הן משום שמדובר בכלל של שיקול דעת של הגורם המינהלי </w:t>
      </w:r>
      <w:r w:rsidR="00A51485" w:rsidRPr="00A17A2B">
        <w:rPr>
          <w:rFonts w:ascii="David" w:hAnsi="David" w:cs="David"/>
          <w:b/>
          <w:bCs/>
          <w:u w:val="single"/>
          <w:rtl/>
        </w:rPr>
        <w:t>ובאפשרות שאינה וודאית</w:t>
      </w:r>
      <w:r w:rsidR="00A51485" w:rsidRPr="00A17A2B">
        <w:rPr>
          <w:rFonts w:ascii="David" w:hAnsi="David" w:cs="David"/>
          <w:b/>
          <w:bCs/>
          <w:rtl/>
        </w:rPr>
        <w:t>, והן מפני שהעניין אכן קשור בטבורו להרשעה בעבירות שבוצעו</w:t>
      </w:r>
      <w:r w:rsidR="00A51485" w:rsidRPr="00A17A2B">
        <w:rPr>
          <w:rFonts w:ascii="David" w:hAnsi="David" w:cs="David"/>
          <w:rtl/>
        </w:rPr>
        <w:t xml:space="preserve">. </w:t>
      </w:r>
      <w:r w:rsidR="00A51485" w:rsidRPr="00A17A2B">
        <w:rPr>
          <w:rFonts w:ascii="David" w:hAnsi="David" w:cs="David"/>
          <w:b/>
          <w:bCs/>
          <w:rtl/>
        </w:rPr>
        <w:t>ועוד - אין להפוך את היוצרות ולהתאים את ההרשעה להשלכותיה</w:t>
      </w:r>
      <w:r w:rsidR="00A51485" w:rsidRPr="00A17A2B">
        <w:rPr>
          <w:rFonts w:ascii="David" w:hAnsi="David" w:cs="David"/>
          <w:rtl/>
        </w:rPr>
        <w:t>" - בהינתן גילם של המערערים (אחד כבן למעלה מ-80 והשני כבן 58), היותם נעדרי עבר פלילי, שזו להם הסתבכותם היחידה והחד-פעמית "</w:t>
      </w:r>
      <w:r w:rsidR="00A51485" w:rsidRPr="00A17A2B">
        <w:rPr>
          <w:rFonts w:ascii="David" w:hAnsi="David" w:cs="David"/>
          <w:b/>
          <w:bCs/>
          <w:rtl/>
        </w:rPr>
        <w:t>יש לשקול אפוא את הפגיעה במערערים אל מול 'נסיבות עושה' אלה</w:t>
      </w:r>
      <w:r w:rsidR="00A51485" w:rsidRPr="00A17A2B">
        <w:rPr>
          <w:rFonts w:ascii="David" w:hAnsi="David" w:cs="David"/>
          <w:rtl/>
        </w:rPr>
        <w:t xml:space="preserve">" ומשכך ביטל בית המשפט העליון, בדעת רוב, את הרשעתם. </w:t>
      </w:r>
    </w:p>
    <w:p w14:paraId="757B9C1F" w14:textId="77777777" w:rsidR="00A51485" w:rsidRDefault="00A51485" w:rsidP="00A51485">
      <w:pPr>
        <w:pStyle w:val="gmail-msonospacing"/>
        <w:widowControl w:val="0"/>
        <w:bidi/>
        <w:spacing w:before="0" w:beforeAutospacing="0" w:after="0" w:afterAutospacing="0"/>
        <w:ind w:left="972"/>
        <w:jc w:val="both"/>
        <w:rPr>
          <w:rFonts w:ascii="David" w:hAnsi="David" w:cs="David"/>
          <w:rtl/>
        </w:rPr>
      </w:pPr>
    </w:p>
    <w:p w14:paraId="22214960"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Calibri" w:hAnsi="Calibri" w:cs="Calibri"/>
          <w:sz w:val="22"/>
          <w:szCs w:val="22"/>
        </w:rPr>
      </w:pPr>
      <w:hyperlink r:id="rId25" w:history="1">
        <w:r w:rsidRPr="007A28F5">
          <w:rPr>
            <w:rFonts w:ascii="David" w:hAnsi="David" w:cs="David"/>
            <w:color w:val="0000FF"/>
            <w:u w:val="single"/>
            <w:rtl/>
          </w:rPr>
          <w:t>רע"פ 5018/18</w:t>
        </w:r>
      </w:hyperlink>
      <w:r w:rsidR="00A51485" w:rsidRPr="00A17A2B">
        <w:rPr>
          <w:rFonts w:ascii="David" w:hAnsi="David" w:cs="David"/>
          <w:rtl/>
        </w:rPr>
        <w:t xml:space="preserve"> </w:t>
      </w:r>
      <w:r w:rsidR="00A51485">
        <w:rPr>
          <w:rFonts w:ascii="Miriam" w:hAnsi="Miriam" w:cs="Miriam" w:hint="cs"/>
          <w:b/>
          <w:bCs/>
          <w:sz w:val="22"/>
          <w:szCs w:val="22"/>
          <w:rtl/>
        </w:rPr>
        <w:t>בוזגלו</w:t>
      </w:r>
      <w:r w:rsidR="00A51485" w:rsidRPr="00A17A2B">
        <w:rPr>
          <w:rFonts w:ascii="Miriam" w:hAnsi="Miriam" w:cs="Miriam"/>
          <w:b/>
          <w:bCs/>
          <w:sz w:val="22"/>
          <w:szCs w:val="22"/>
          <w:rtl/>
        </w:rPr>
        <w:t xml:space="preserve"> נ' מדינת ישראל</w:t>
      </w:r>
      <w:r w:rsidR="00A51485" w:rsidRPr="00A17A2B">
        <w:rPr>
          <w:rFonts w:ascii="David" w:hAnsi="David" w:cs="David"/>
          <w:rtl/>
        </w:rPr>
        <w:t xml:space="preserve"> (</w:t>
      </w:r>
      <w:r w:rsidR="00A51485">
        <w:rPr>
          <w:rFonts w:ascii="David" w:hAnsi="David" w:cs="David" w:hint="cs"/>
          <w:rtl/>
        </w:rPr>
        <w:t>21.10.18</w:t>
      </w:r>
      <w:r w:rsidR="00A51485" w:rsidRPr="00A17A2B">
        <w:rPr>
          <w:rFonts w:ascii="David" w:hAnsi="David" w:cs="David"/>
          <w:rtl/>
        </w:rPr>
        <w:t>), אליו הפנ</w:t>
      </w:r>
      <w:r w:rsidR="00A51485">
        <w:rPr>
          <w:rFonts w:ascii="David" w:hAnsi="David" w:cs="David" w:hint="cs"/>
          <w:rtl/>
        </w:rPr>
        <w:t>ת</w:t>
      </w:r>
      <w:r w:rsidR="00A51485" w:rsidRPr="00A17A2B">
        <w:rPr>
          <w:rFonts w:ascii="David" w:hAnsi="David" w:cs="David"/>
          <w:rtl/>
        </w:rPr>
        <w:t xml:space="preserve">ה ב"כ </w:t>
      </w:r>
      <w:r w:rsidR="00A51485">
        <w:rPr>
          <w:rFonts w:ascii="David" w:hAnsi="David" w:cs="David" w:hint="cs"/>
          <w:rtl/>
        </w:rPr>
        <w:t>המאשימה</w:t>
      </w:r>
      <w:r w:rsidR="00A51485" w:rsidRPr="00A17A2B">
        <w:rPr>
          <w:rFonts w:ascii="David" w:hAnsi="David" w:cs="David"/>
          <w:rtl/>
        </w:rPr>
        <w:t xml:space="preserve">- </w:t>
      </w:r>
      <w:r w:rsidR="00A51485">
        <w:rPr>
          <w:rFonts w:ascii="David" w:hAnsi="David" w:cs="David" w:hint="cs"/>
          <w:rtl/>
        </w:rPr>
        <w:t>נדחו ערעור ובקשת רשות ערעור ונקבע כי אין מקום לבטל הרשעת מי שגידל עם שותפו 544.80 גרם שתילי קנבוס במעבדה שהקימו בדירה ואשר כללה ציוד רב. כשהגיעו שוטרים למקום, לא נענו לדרישתם לפתוח את הדלת והמבקש זרק מחלון הדירה שתילי סם ואדניות. כשעלה בידי השוטרים והפקח להיכנס לדירה, המבקש ושותפו השתוללו והתפרעו. בנוסף החזיקו 3.6 גרם נטו קנבוס. הושתו 3 חודשי מאסר לריצוי בעבודות שירות וענישה נלוית חרף המלצת שירות המבחן. בדחותו הבקשה קבע כב' הש' קרא כי לא הוכח שההרשעה תפגע בסיכויו לעבוד כרופא ויש להותיר זאת לגורם המוסמך וכי חומרת העבירות ובהצטברותן יחד לא מאפשרת הימנעות מהרשעה מבלי לפגוע בשיקולי ענישה אחרים. לא</w:t>
      </w:r>
      <w:r w:rsidR="00A51485" w:rsidRPr="00A17A2B">
        <w:rPr>
          <w:rFonts w:ascii="David" w:hAnsi="David" w:cs="David"/>
          <w:rtl/>
        </w:rPr>
        <w:t xml:space="preserve"> ניתן להקיש לעניינו</w:t>
      </w:r>
      <w:r w:rsidR="00A51485">
        <w:rPr>
          <w:rFonts w:ascii="David" w:hAnsi="David" w:cs="David" w:hint="cs"/>
          <w:rtl/>
        </w:rPr>
        <w:t xml:space="preserve"> שכן מדובר במספר עבירות, כאשר עבירת הגידול עולה בחומרתה על העבירה בתיק שלפני, ודאי מבחינת כמות הסם, ואליה הצטרפו עבירות נוספת, שיש בהן כדי ללמד על יחס מזלזל כלפי רשויות האכיפה, גם בהינתן כי עזב את הארץ בטרם ריצה עונשו</w:t>
      </w:r>
      <w:r w:rsidR="00A51485" w:rsidRPr="00A17A2B">
        <w:rPr>
          <w:rFonts w:ascii="David" w:hAnsi="David" w:cs="David"/>
          <w:rtl/>
        </w:rPr>
        <w:t xml:space="preserve">. </w:t>
      </w:r>
    </w:p>
    <w:p w14:paraId="7208A1F1" w14:textId="77777777" w:rsidR="00A51485" w:rsidRPr="001A0877" w:rsidRDefault="00A51485" w:rsidP="00A51485">
      <w:pPr>
        <w:pStyle w:val="gmail-msonospacing"/>
        <w:widowControl w:val="0"/>
        <w:bidi/>
        <w:spacing w:before="0" w:beforeAutospacing="0" w:after="0" w:afterAutospacing="0"/>
        <w:ind w:left="528"/>
        <w:jc w:val="both"/>
        <w:rPr>
          <w:rFonts w:ascii="David" w:hAnsi="David" w:cs="David"/>
          <w:rtl/>
        </w:rPr>
      </w:pPr>
    </w:p>
    <w:p w14:paraId="503991FC"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Calibri" w:hAnsi="Calibri" w:cs="Calibri"/>
          <w:sz w:val="22"/>
          <w:szCs w:val="22"/>
        </w:rPr>
      </w:pPr>
      <w:hyperlink r:id="rId26" w:history="1">
        <w:r w:rsidRPr="007A28F5">
          <w:rPr>
            <w:rFonts w:ascii="David" w:hAnsi="David" w:cs="David"/>
            <w:color w:val="0000FF"/>
            <w:u w:val="single"/>
            <w:rtl/>
          </w:rPr>
          <w:t>רע"פ 5712/16</w:t>
        </w:r>
      </w:hyperlink>
      <w:r w:rsidR="00A51485" w:rsidRPr="00A17A2B">
        <w:rPr>
          <w:rFonts w:ascii="David" w:hAnsi="David" w:cs="David"/>
          <w:rtl/>
        </w:rPr>
        <w:t xml:space="preserve"> </w:t>
      </w:r>
      <w:r w:rsidR="00A51485">
        <w:rPr>
          <w:rFonts w:ascii="Miriam" w:hAnsi="Miriam" w:cs="Miriam" w:hint="cs"/>
          <w:b/>
          <w:bCs/>
          <w:sz w:val="22"/>
          <w:szCs w:val="22"/>
          <w:rtl/>
        </w:rPr>
        <w:t xml:space="preserve">אייזנבוך </w:t>
      </w:r>
      <w:r w:rsidR="00A51485" w:rsidRPr="00A17A2B">
        <w:rPr>
          <w:rFonts w:ascii="Miriam" w:hAnsi="Miriam" w:cs="Miriam"/>
          <w:b/>
          <w:bCs/>
          <w:sz w:val="22"/>
          <w:szCs w:val="22"/>
          <w:rtl/>
        </w:rPr>
        <w:t>נ' מדינת ישראל</w:t>
      </w:r>
      <w:r w:rsidR="00A51485" w:rsidRPr="00A17A2B">
        <w:rPr>
          <w:rFonts w:ascii="David" w:hAnsi="David" w:cs="David"/>
          <w:rtl/>
        </w:rPr>
        <w:t xml:space="preserve"> (</w:t>
      </w:r>
      <w:r w:rsidR="00A51485">
        <w:rPr>
          <w:rFonts w:ascii="David" w:hAnsi="David" w:cs="David" w:hint="cs"/>
          <w:rtl/>
        </w:rPr>
        <w:t>17.6.18</w:t>
      </w:r>
      <w:r w:rsidR="00A51485" w:rsidRPr="00A17A2B">
        <w:rPr>
          <w:rFonts w:ascii="David" w:hAnsi="David" w:cs="David"/>
          <w:rtl/>
        </w:rPr>
        <w:t xml:space="preserve">), אליו הפנתה ב"כ המאשימה </w:t>
      </w:r>
      <w:r w:rsidR="00A51485">
        <w:rPr>
          <w:rFonts w:ascii="David" w:hAnsi="David" w:cs="David"/>
          <w:rtl/>
        </w:rPr>
        <w:t>–</w:t>
      </w:r>
      <w:r w:rsidR="00A51485">
        <w:rPr>
          <w:rFonts w:ascii="David" w:hAnsi="David" w:cs="David" w:hint="cs"/>
          <w:rtl/>
        </w:rPr>
        <w:t xml:space="preserve"> נדחו ערעור ובקשת רשות ערעור של מי שבגין הרשעתו ב-4 עבירות סחר בקנבוס, תמורת כמה סכום כולל של 1,800 ₪, נדון ל-8 חודשי מאסר בפועל, מאסר על תנאי וקנס. בדחותו הבקשה קבע כב' הש' שהם כי מעשיו לא מצדיקים סטיה מהמתחם שנקבע. מקובלת עלי טענת ב"כ הנאשמת כי גם מקרה זה לא תואם לעניינו, הן בהינתן ריבוי העבירות, הסכום הכולל והן בהינתן מעמדם השונה של המבקש והנאשמת שבפני. </w:t>
      </w:r>
    </w:p>
    <w:p w14:paraId="4BA25F11" w14:textId="77777777" w:rsidR="00A51485" w:rsidRDefault="00A51485" w:rsidP="00A51485">
      <w:pPr>
        <w:pStyle w:val="a9"/>
        <w:widowControl w:val="0"/>
        <w:rPr>
          <w:rFonts w:ascii="David" w:hAnsi="David"/>
          <w:u w:val="single"/>
          <w:rtl/>
        </w:rPr>
      </w:pPr>
    </w:p>
    <w:p w14:paraId="2F25E5F2" w14:textId="77777777" w:rsidR="00A51485" w:rsidRPr="00FC06BC" w:rsidRDefault="00A51485" w:rsidP="00A51485">
      <w:pPr>
        <w:pStyle w:val="gmail-msonospacing"/>
        <w:widowControl w:val="0"/>
        <w:bidi/>
        <w:spacing w:before="0" w:beforeAutospacing="0" w:after="0" w:afterAutospacing="0" w:line="360" w:lineRule="auto"/>
        <w:ind w:firstLine="360"/>
        <w:jc w:val="both"/>
        <w:rPr>
          <w:rFonts w:ascii="Calibri" w:hAnsi="Calibri" w:cs="Calibri"/>
          <w:sz w:val="22"/>
          <w:szCs w:val="22"/>
        </w:rPr>
      </w:pPr>
      <w:r w:rsidRPr="00FC06BC">
        <w:rPr>
          <w:rFonts w:ascii="David" w:hAnsi="David" w:cs="David"/>
          <w:u w:val="single"/>
          <w:rtl/>
        </w:rPr>
        <w:t>בתי משפט מחוזיים</w:t>
      </w:r>
    </w:p>
    <w:p w14:paraId="5BF3356D" w14:textId="77777777" w:rsidR="00A51485" w:rsidRPr="000163E8" w:rsidRDefault="007A28F5" w:rsidP="00A51485">
      <w:pPr>
        <w:pStyle w:val="gmail-msonospacing"/>
        <w:widowControl w:val="0"/>
        <w:numPr>
          <w:ilvl w:val="0"/>
          <w:numId w:val="2"/>
        </w:numPr>
        <w:bidi/>
        <w:spacing w:before="0" w:beforeAutospacing="0" w:after="0" w:afterAutospacing="0" w:line="360" w:lineRule="auto"/>
        <w:ind w:left="804"/>
        <w:jc w:val="both"/>
      </w:pPr>
      <w:hyperlink r:id="rId27" w:history="1">
        <w:r w:rsidRPr="007A28F5">
          <w:rPr>
            <w:rFonts w:ascii="David" w:hAnsi="David" w:cs="David"/>
            <w:color w:val="0000FF"/>
            <w:u w:val="single"/>
            <w:rtl/>
          </w:rPr>
          <w:t>עפ"ג (ב"ש) 27326-12-21</w:t>
        </w:r>
      </w:hyperlink>
      <w:r w:rsidR="00A51485" w:rsidRPr="004466CD">
        <w:rPr>
          <w:rFonts w:ascii="David" w:hAnsi="David" w:cs="David"/>
          <w:rtl/>
        </w:rPr>
        <w:t xml:space="preserve"> </w:t>
      </w:r>
      <w:r w:rsidR="00A51485" w:rsidRPr="004466CD">
        <w:rPr>
          <w:rFonts w:ascii="Miriam" w:hAnsi="Miriam" w:cs="Miriam"/>
          <w:b/>
          <w:bCs/>
          <w:sz w:val="22"/>
          <w:szCs w:val="22"/>
          <w:rtl/>
        </w:rPr>
        <w:t>קיזר נ' מדינת ישראל</w:t>
      </w:r>
      <w:r w:rsidR="00A51485" w:rsidRPr="004466CD">
        <w:rPr>
          <w:rFonts w:ascii="David" w:hAnsi="David" w:cs="David"/>
          <w:rtl/>
        </w:rPr>
        <w:t xml:space="preserve"> (9.3.22) (להלן: </w:t>
      </w:r>
      <w:r w:rsidR="00A51485" w:rsidRPr="004466CD">
        <w:rPr>
          <w:rFonts w:ascii="Miriam" w:hAnsi="Miriam" w:cs="Miriam"/>
          <w:b/>
          <w:bCs/>
          <w:sz w:val="22"/>
          <w:szCs w:val="22"/>
          <w:rtl/>
        </w:rPr>
        <w:t>פס"ד קיזר</w:t>
      </w:r>
      <w:r w:rsidR="00A51485" w:rsidRPr="004466CD">
        <w:rPr>
          <w:rFonts w:ascii="David" w:hAnsi="David" w:cs="David"/>
          <w:rtl/>
        </w:rPr>
        <w:t>)</w:t>
      </w:r>
      <w:r w:rsidR="00A51485">
        <w:rPr>
          <w:rFonts w:ascii="David" w:hAnsi="David" w:cs="David" w:hint="cs"/>
          <w:rtl/>
        </w:rPr>
        <w:t>, אליו הפנה ב"כ הנאשמת</w:t>
      </w:r>
      <w:r w:rsidR="00A51485" w:rsidRPr="004466CD">
        <w:rPr>
          <w:rFonts w:ascii="David" w:hAnsi="David" w:cs="David"/>
          <w:rtl/>
        </w:rPr>
        <w:t xml:space="preserve"> - בית המשפט המחוזי בבאר שבע ביטל הרשעה </w:t>
      </w:r>
      <w:r w:rsidR="00A51485" w:rsidRPr="004466CD">
        <w:rPr>
          <w:rFonts w:ascii="David" w:hAnsi="David" w:cs="David"/>
          <w:u w:val="single"/>
          <w:rtl/>
        </w:rPr>
        <w:t>במסירת ידיעה כוזבת</w:t>
      </w:r>
      <w:r w:rsidR="00A51485" w:rsidRPr="004466CD">
        <w:rPr>
          <w:rFonts w:ascii="David" w:hAnsi="David" w:cs="David"/>
          <w:rtl/>
        </w:rPr>
        <w:t xml:space="preserve"> על עבירה מסוג פשע. המערער הודה בכך שהשאיר משאיתו במקום ממנו נלקחה זמן קצר לאחר מכן על ידי אחר, בתיאום עמו ובהמשך מסר תלונה במשטרה, כי החנה את המשאית במקום בשל תקלה בבלמים וגילה שנגנבה, ביודעו שהתלונה כוזבת. הגם ש</w:t>
      </w:r>
      <w:r w:rsidR="00A51485" w:rsidRPr="004466CD">
        <w:rPr>
          <w:rFonts w:ascii="Miriam" w:hAnsi="Miriam" w:cs="Miriam"/>
          <w:b/>
          <w:bCs/>
          <w:sz w:val="22"/>
          <w:szCs w:val="22"/>
          <w:rtl/>
        </w:rPr>
        <w:t>פס"ד קיזר</w:t>
      </w:r>
      <w:r w:rsidR="00A51485" w:rsidRPr="004466CD">
        <w:rPr>
          <w:rFonts w:ascii="David" w:hAnsi="David" w:cs="David"/>
          <w:rtl/>
        </w:rPr>
        <w:t xml:space="preserve"> עסק בעבירה שונה מזו שלפניי, קביעות בית המשפט המחוזי בנוגע ל"</w:t>
      </w:r>
      <w:r w:rsidR="00A51485" w:rsidRPr="004466CD">
        <w:rPr>
          <w:rFonts w:ascii="David" w:hAnsi="David" w:cs="David"/>
          <w:b/>
          <w:bCs/>
          <w:rtl/>
        </w:rPr>
        <w:t>מקבילית הכוחות</w:t>
      </w:r>
      <w:r w:rsidR="00A51485" w:rsidRPr="004466CD">
        <w:rPr>
          <w:rFonts w:ascii="David" w:hAnsi="David" w:cs="David"/>
          <w:rtl/>
        </w:rPr>
        <w:t>" בין שני התנאים שנקבעו ב-</w:t>
      </w:r>
      <w:r w:rsidR="00A51485" w:rsidRPr="004466CD">
        <w:rPr>
          <w:rFonts w:ascii="Miriam" w:hAnsi="Miriam" w:cs="Miriam"/>
          <w:b/>
          <w:bCs/>
          <w:sz w:val="22"/>
          <w:szCs w:val="22"/>
          <w:rtl/>
        </w:rPr>
        <w:t>הלכת כתב</w:t>
      </w:r>
      <w:r w:rsidR="00A51485" w:rsidRPr="004466CD">
        <w:rPr>
          <w:rFonts w:ascii="David" w:hAnsi="David" w:cs="David"/>
          <w:rtl/>
        </w:rPr>
        <w:t>, רלוונטיות לענייננו, כפי שיבואר להלן.</w:t>
      </w:r>
    </w:p>
    <w:p w14:paraId="1C557F80" w14:textId="77777777" w:rsidR="00A51485" w:rsidRDefault="00A51485" w:rsidP="00A51485">
      <w:pPr>
        <w:pStyle w:val="gmail-msonospacing"/>
        <w:widowControl w:val="0"/>
        <w:bidi/>
        <w:spacing w:before="0" w:beforeAutospacing="0" w:after="0" w:afterAutospacing="0"/>
        <w:ind w:left="972"/>
        <w:jc w:val="both"/>
      </w:pPr>
    </w:p>
    <w:p w14:paraId="1709105E" w14:textId="77777777" w:rsidR="00A51485" w:rsidRPr="000163E8" w:rsidRDefault="007A28F5" w:rsidP="00A51485">
      <w:pPr>
        <w:pStyle w:val="gmail-msonospacing"/>
        <w:widowControl w:val="0"/>
        <w:numPr>
          <w:ilvl w:val="0"/>
          <w:numId w:val="2"/>
        </w:numPr>
        <w:bidi/>
        <w:spacing w:before="0" w:beforeAutospacing="0" w:after="0" w:afterAutospacing="0" w:line="360" w:lineRule="auto"/>
        <w:ind w:left="804"/>
        <w:jc w:val="both"/>
      </w:pPr>
      <w:hyperlink r:id="rId28" w:history="1">
        <w:r w:rsidRPr="007A28F5">
          <w:rPr>
            <w:rFonts w:ascii="David" w:hAnsi="David" w:cs="David"/>
            <w:color w:val="0000FF"/>
            <w:u w:val="single"/>
            <w:rtl/>
          </w:rPr>
          <w:t>עפ"ג (ב"ש) 66903-07-20</w:t>
        </w:r>
      </w:hyperlink>
      <w:r w:rsidR="00A51485" w:rsidRPr="004466CD">
        <w:rPr>
          <w:rFonts w:ascii="David" w:hAnsi="David" w:cs="David"/>
          <w:rtl/>
        </w:rPr>
        <w:t xml:space="preserve"> </w:t>
      </w:r>
      <w:r w:rsidR="00A51485" w:rsidRPr="004466CD">
        <w:rPr>
          <w:rFonts w:ascii="Miriam" w:hAnsi="Miriam" w:cs="Miriam"/>
          <w:b/>
          <w:bCs/>
          <w:sz w:val="22"/>
          <w:szCs w:val="22"/>
          <w:rtl/>
        </w:rPr>
        <w:t>אבו מדיעם נ' מדינת ישראל</w:t>
      </w:r>
      <w:r w:rsidR="00A51485" w:rsidRPr="004466CD">
        <w:rPr>
          <w:rFonts w:ascii="David" w:hAnsi="David" w:cs="David"/>
          <w:rtl/>
        </w:rPr>
        <w:t xml:space="preserve"> (30.12.20) (להלן: </w:t>
      </w:r>
      <w:r w:rsidR="00A51485" w:rsidRPr="004466CD">
        <w:rPr>
          <w:rFonts w:ascii="Miriam" w:hAnsi="Miriam" w:cs="Miriam"/>
          <w:b/>
          <w:bCs/>
          <w:sz w:val="22"/>
          <w:szCs w:val="22"/>
          <w:rtl/>
        </w:rPr>
        <w:t>פס"ד אבו מדיעם</w:t>
      </w:r>
      <w:r w:rsidR="00A51485" w:rsidRPr="004466CD">
        <w:rPr>
          <w:rFonts w:ascii="David" w:hAnsi="David" w:cs="David"/>
          <w:rtl/>
        </w:rPr>
        <w:t>)</w:t>
      </w:r>
      <w:r w:rsidR="00A51485">
        <w:rPr>
          <w:rFonts w:ascii="David" w:hAnsi="David" w:cs="David" w:hint="cs"/>
          <w:rtl/>
        </w:rPr>
        <w:t>, אליו הפנה ב"כ הנאשמת</w:t>
      </w:r>
      <w:r w:rsidR="00A51485" w:rsidRPr="004466CD">
        <w:rPr>
          <w:rFonts w:ascii="David" w:hAnsi="David" w:cs="David"/>
          <w:rtl/>
        </w:rPr>
        <w:t xml:space="preserve"> - בית המשפט המחוזי בבאר שבע קיבל ברוב דעות הערעור וביטל הרשעה. הושתו 10,000 ₪ התחייבות, 140 שעות </w:t>
      </w:r>
      <w:r w:rsidR="00A51485">
        <w:rPr>
          <w:rFonts w:ascii="David" w:hAnsi="David" w:cs="David"/>
          <w:rtl/>
        </w:rPr>
        <w:t>של"צ</w:t>
      </w:r>
      <w:r w:rsidR="00A51485" w:rsidRPr="004466CD">
        <w:rPr>
          <w:rFonts w:ascii="David" w:hAnsi="David" w:cs="David"/>
          <w:rtl/>
        </w:rPr>
        <w:t xml:space="preserve">, 2,000 ₪ פיצוי ו-12 חודשי מבחן על מי שיחד עם שניים אחרים </w:t>
      </w:r>
      <w:r w:rsidR="00A51485">
        <w:rPr>
          <w:rFonts w:ascii="David" w:hAnsi="David" w:cs="David" w:hint="cs"/>
          <w:rtl/>
        </w:rPr>
        <w:t xml:space="preserve">תקף </w:t>
      </w:r>
      <w:r w:rsidR="00A51485" w:rsidRPr="004466CD">
        <w:rPr>
          <w:rFonts w:ascii="David" w:hAnsi="David" w:cs="David"/>
          <w:u w:val="single"/>
          <w:rtl/>
        </w:rPr>
        <w:t>תקיפה הגורמת חבלה ממשית</w:t>
      </w:r>
      <w:r w:rsidR="00A51485" w:rsidRPr="004466CD">
        <w:rPr>
          <w:rFonts w:ascii="David" w:hAnsi="David" w:cs="David"/>
          <w:rtl/>
        </w:rPr>
        <w:t xml:space="preserve">, שכללה המטומה בקרקפת שמאל, פצעים שטחיים, נפיחות בלסת תחתונה ורגישות מעל כתף שמאל. בעקבות דין ודברים בין המתלונן לאחיו של המערער (להלן: </w:t>
      </w:r>
      <w:r w:rsidR="00A51485" w:rsidRPr="004466CD">
        <w:rPr>
          <w:rFonts w:ascii="David" w:hAnsi="David" w:cs="David"/>
          <w:b/>
          <w:bCs/>
          <w:rtl/>
        </w:rPr>
        <w:t>האח</w:t>
      </w:r>
      <w:r w:rsidR="00A51485" w:rsidRPr="004466CD">
        <w:rPr>
          <w:rFonts w:ascii="David" w:hAnsi="David" w:cs="David"/>
          <w:rtl/>
        </w:rPr>
        <w:t xml:space="preserve">), דחף האח את המתלונן, המערער תפס המתלונן וחנק אותו. האח בעט במתלונן והשלישי היכה בגב המתלונן מכת אגרוף. המערער, </w:t>
      </w:r>
      <w:r w:rsidR="00A51485">
        <w:rPr>
          <w:rFonts w:ascii="David" w:hAnsi="David" w:cs="David" w:hint="cs"/>
          <w:rtl/>
        </w:rPr>
        <w:t>כ</w:t>
      </w:r>
      <w:r w:rsidR="00A51485" w:rsidRPr="004466CD">
        <w:rPr>
          <w:rFonts w:ascii="David" w:hAnsi="David" w:cs="David"/>
          <w:rtl/>
        </w:rPr>
        <w:t>בן 26, נעדר עבר פלילי, נשוי בשנית. חש צורך להגן על אחיו. בדיעבד הבין, כי ראוי היה להפריד בין הניצים ולא לנהוג באלימות. שירות המבחן התרשם כי למערער מערכת ערכים נורמטיבית ותפקד באופן תקין במישורי חייו השונים. סיים לימודי רפואה ועתיד לגשת למבחן הרישוי ברפואה. חלפו כ-4 שנים מהאירוע. גם כאן, הגם ש</w:t>
      </w:r>
      <w:r w:rsidR="00A51485" w:rsidRPr="004466CD">
        <w:rPr>
          <w:rFonts w:ascii="Miriam" w:hAnsi="Miriam" w:cs="Miriam"/>
          <w:b/>
          <w:bCs/>
          <w:sz w:val="22"/>
          <w:szCs w:val="22"/>
          <w:rtl/>
        </w:rPr>
        <w:t>פס"ד אבו מדיעם</w:t>
      </w:r>
      <w:r w:rsidR="00A51485" w:rsidRPr="004466CD">
        <w:rPr>
          <w:rFonts w:ascii="David" w:hAnsi="David" w:cs="David"/>
          <w:rtl/>
        </w:rPr>
        <w:t xml:space="preserve"> עסק בעבירה שונה מזו שלפניי, קביעות בית המשפט המחוזי בנוגע ל"</w:t>
      </w:r>
      <w:r w:rsidR="00A51485" w:rsidRPr="004466CD">
        <w:rPr>
          <w:rFonts w:ascii="David" w:hAnsi="David" w:cs="David"/>
          <w:b/>
          <w:bCs/>
          <w:rtl/>
        </w:rPr>
        <w:t>מקבילית הכוחות</w:t>
      </w:r>
      <w:r w:rsidR="00A51485" w:rsidRPr="004466CD">
        <w:rPr>
          <w:rFonts w:ascii="David" w:hAnsi="David" w:cs="David"/>
          <w:rtl/>
        </w:rPr>
        <w:t>" בין שני התנאים שנקבעו ב-</w:t>
      </w:r>
      <w:r w:rsidR="00A51485" w:rsidRPr="004466CD">
        <w:rPr>
          <w:rFonts w:ascii="Miriam" w:hAnsi="Miriam" w:cs="Miriam"/>
          <w:b/>
          <w:bCs/>
          <w:sz w:val="22"/>
          <w:szCs w:val="22"/>
          <w:rtl/>
        </w:rPr>
        <w:t>הלכת כתב</w:t>
      </w:r>
      <w:r w:rsidR="00A51485" w:rsidRPr="004466CD">
        <w:rPr>
          <w:rFonts w:ascii="David" w:hAnsi="David" w:cs="David"/>
          <w:rtl/>
        </w:rPr>
        <w:t xml:space="preserve"> רלוונטיות לענייננו, כפי שיבואר להלן.</w:t>
      </w:r>
    </w:p>
    <w:p w14:paraId="51C5A8D5" w14:textId="77777777" w:rsidR="00A51485" w:rsidRDefault="00A51485" w:rsidP="00A51485">
      <w:pPr>
        <w:pStyle w:val="a9"/>
        <w:widowControl w:val="0"/>
        <w:rPr>
          <w:rtl/>
        </w:rPr>
      </w:pPr>
    </w:p>
    <w:p w14:paraId="26EAE68C"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pPr>
      <w:hyperlink r:id="rId29" w:history="1">
        <w:r w:rsidRPr="007A28F5">
          <w:rPr>
            <w:rFonts w:ascii="David" w:hAnsi="David" w:cs="David"/>
            <w:color w:val="0000FF"/>
            <w:u w:val="single"/>
            <w:rtl/>
          </w:rPr>
          <w:t>עפ"ג (ב"ש) 58296-05-19</w:t>
        </w:r>
      </w:hyperlink>
      <w:r w:rsidR="00A51485">
        <w:rPr>
          <w:rFonts w:ascii="David" w:hAnsi="David" w:cs="David"/>
          <w:rtl/>
        </w:rPr>
        <w:t xml:space="preserve"> </w:t>
      </w:r>
      <w:r w:rsidR="00A51485">
        <w:rPr>
          <w:rFonts w:ascii="Miriam" w:hAnsi="Miriam" w:cs="Miriam" w:hint="cs"/>
          <w:b/>
          <w:bCs/>
          <w:sz w:val="22"/>
          <w:szCs w:val="22"/>
          <w:rtl/>
        </w:rPr>
        <w:t xml:space="preserve">אלהואשלה נ' מדינת ישראל </w:t>
      </w:r>
      <w:r w:rsidR="00A51485">
        <w:rPr>
          <w:rFonts w:ascii="David" w:hAnsi="David" w:cs="David"/>
          <w:rtl/>
        </w:rPr>
        <w:t>(</w:t>
      </w:r>
      <w:r w:rsidR="00A51485">
        <w:rPr>
          <w:rFonts w:ascii="David" w:hAnsi="David" w:cs="David" w:hint="cs"/>
          <w:rtl/>
        </w:rPr>
        <w:t>10.7.19</w:t>
      </w:r>
      <w:r w:rsidR="00A51485">
        <w:rPr>
          <w:rFonts w:ascii="David" w:hAnsi="David" w:cs="David"/>
          <w:rtl/>
        </w:rPr>
        <w:t xml:space="preserve">), אליו הפנתה ב"כ המאשימה </w:t>
      </w:r>
      <w:r w:rsidR="00A51485">
        <w:rPr>
          <w:rFonts w:ascii="David" w:hAnsi="David" w:cs="David" w:hint="cs"/>
          <w:rtl/>
        </w:rPr>
        <w:t>-</w:t>
      </w:r>
      <w:r w:rsidR="00A51485">
        <w:rPr>
          <w:rFonts w:ascii="David" w:hAnsi="David" w:cs="David"/>
          <w:rtl/>
        </w:rPr>
        <w:t xml:space="preserve"> </w:t>
      </w:r>
      <w:r w:rsidR="00A51485">
        <w:rPr>
          <w:rFonts w:ascii="David" w:hAnsi="David" w:cs="David" w:hint="cs"/>
          <w:rtl/>
        </w:rPr>
        <w:t xml:space="preserve">התקבל ערעור מי שהורשע בסחר בקנבוס במסיבה ועונשו הועמד על 7 חודשי מאסר בעבודות שירות וענישה נלווית, נוכח גילו הצעיר, היותו נעדר עבר פלילי, ששמר על רצף תעסוקתי, הודה והתחרט, והגם שהחזיק בעמדה קורבנית ופסיבית, שלא רואה צורך במעורבות טיפולית ומשכך שירות המבחן לא בא בהמלצה טיפולית והמליץ על מאסר בעבודות שירות. גם מקרה זו שונה מעניינו בכל הקשור לנכונות הנאשמת לעבור הליך טיפולי והמלצת שירות המבחן בעניינה שהיא לבטל הרשעתה. </w:t>
      </w:r>
    </w:p>
    <w:p w14:paraId="1C9B434E" w14:textId="77777777" w:rsidR="00A51485" w:rsidRPr="000163E8" w:rsidRDefault="00A51485" w:rsidP="00A51485">
      <w:pPr>
        <w:pStyle w:val="gmail-msonospacing"/>
        <w:widowControl w:val="0"/>
        <w:bidi/>
        <w:spacing w:before="0" w:beforeAutospacing="0" w:after="0" w:afterAutospacing="0"/>
        <w:ind w:left="972"/>
        <w:jc w:val="both"/>
        <w:rPr>
          <w:rFonts w:ascii="David" w:hAnsi="David" w:cs="David"/>
        </w:rPr>
      </w:pPr>
    </w:p>
    <w:p w14:paraId="0B71D4E4" w14:textId="77777777" w:rsidR="00A51485" w:rsidRPr="004466CD" w:rsidRDefault="007A28F5" w:rsidP="00A51485">
      <w:pPr>
        <w:pStyle w:val="gmail-msonospacing"/>
        <w:widowControl w:val="0"/>
        <w:numPr>
          <w:ilvl w:val="0"/>
          <w:numId w:val="2"/>
        </w:numPr>
        <w:bidi/>
        <w:spacing w:before="0" w:beforeAutospacing="0" w:after="0" w:afterAutospacing="0" w:line="360" w:lineRule="auto"/>
        <w:ind w:left="804"/>
        <w:jc w:val="both"/>
      </w:pPr>
      <w:hyperlink r:id="rId30" w:history="1">
        <w:r w:rsidRPr="007A28F5">
          <w:rPr>
            <w:rFonts w:ascii="David" w:hAnsi="David" w:cs="David"/>
            <w:color w:val="0000FF"/>
            <w:u w:val="single"/>
            <w:rtl/>
          </w:rPr>
          <w:t>עפ"ג (ב"ש) 17306-04-20</w:t>
        </w:r>
      </w:hyperlink>
      <w:r w:rsidR="00A51485" w:rsidRPr="004466CD">
        <w:rPr>
          <w:rFonts w:ascii="David" w:hAnsi="David" w:cs="David"/>
          <w:rtl/>
        </w:rPr>
        <w:t xml:space="preserve"> </w:t>
      </w:r>
      <w:r w:rsidR="00A51485" w:rsidRPr="004466CD">
        <w:rPr>
          <w:rFonts w:ascii="Miriam" w:hAnsi="Miriam" w:cs="Miriam"/>
          <w:b/>
          <w:bCs/>
          <w:sz w:val="22"/>
          <w:szCs w:val="22"/>
          <w:rtl/>
        </w:rPr>
        <w:t>שי נ' מדינת ישראל</w:t>
      </w:r>
      <w:r w:rsidR="00A51485" w:rsidRPr="004466CD">
        <w:rPr>
          <w:rFonts w:ascii="David" w:hAnsi="David" w:cs="David"/>
          <w:rtl/>
        </w:rPr>
        <w:t xml:space="preserve"> (13.7.20) (להלן: </w:t>
      </w:r>
      <w:r w:rsidR="00A51485" w:rsidRPr="004466CD">
        <w:rPr>
          <w:rFonts w:ascii="Miriam" w:hAnsi="Miriam" w:cs="Miriam"/>
          <w:b/>
          <w:bCs/>
          <w:sz w:val="22"/>
          <w:szCs w:val="22"/>
          <w:rtl/>
        </w:rPr>
        <w:t>פס"ד שי</w:t>
      </w:r>
      <w:r w:rsidR="00A51485" w:rsidRPr="004466CD">
        <w:rPr>
          <w:rFonts w:ascii="David" w:hAnsi="David" w:cs="David"/>
          <w:rtl/>
        </w:rPr>
        <w:t>) - בית המשפט המחוזי בבאר-שבע ביטל הרשעה ב</w:t>
      </w:r>
      <w:r w:rsidR="00A51485" w:rsidRPr="004466CD">
        <w:rPr>
          <w:rFonts w:ascii="David" w:hAnsi="David" w:cs="David"/>
          <w:u w:val="single"/>
          <w:rtl/>
        </w:rPr>
        <w:t>הספקת סם מסוכן</w:t>
      </w:r>
      <w:r w:rsidR="00A51485" w:rsidRPr="004466CD">
        <w:rPr>
          <w:rFonts w:ascii="David" w:hAnsi="David" w:cs="David"/>
          <w:rtl/>
        </w:rPr>
        <w:t>, בהסכמת המדינה. על המערער, שבמהלך מסיבת פורים "</w:t>
      </w:r>
      <w:r w:rsidR="00A51485" w:rsidRPr="004466CD">
        <w:rPr>
          <w:rFonts w:ascii="David" w:hAnsi="David" w:cs="David"/>
          <w:b/>
          <w:bCs/>
          <w:rtl/>
        </w:rPr>
        <w:t>מוקשה</w:t>
      </w:r>
      <w:r w:rsidR="00A51485" w:rsidRPr="004466CD">
        <w:rPr>
          <w:rFonts w:ascii="David" w:hAnsi="David" w:cs="David"/>
          <w:rtl/>
        </w:rPr>
        <w:t xml:space="preserve">", סיפק לסוכן סמוי 0.1399 גרם נטו סם מסוכן מסוג </w:t>
      </w:r>
      <w:r w:rsidR="00A51485" w:rsidRPr="004466CD">
        <w:rPr>
          <w:rFonts w:ascii="David" w:hAnsi="David" w:cs="David"/>
          <w:sz w:val="20"/>
          <w:szCs w:val="20"/>
        </w:rPr>
        <w:t>MDMA</w:t>
      </w:r>
      <w:r w:rsidR="00A51485" w:rsidRPr="004466CD">
        <w:rPr>
          <w:rFonts w:ascii="David" w:hAnsi="David" w:cs="David"/>
          <w:rtl/>
        </w:rPr>
        <w:t xml:space="preserve">, הושתו צו מבחן למשך 12 חודשים ו-300 שעות שירות לתועלת הציבור. </w:t>
      </w:r>
      <w:r w:rsidR="00A51485" w:rsidRPr="004466CD">
        <w:rPr>
          <w:rFonts w:ascii="Miriam" w:hAnsi="Miriam" w:cs="Miriam"/>
          <w:b/>
          <w:bCs/>
          <w:sz w:val="22"/>
          <w:szCs w:val="22"/>
          <w:rtl/>
        </w:rPr>
        <w:t xml:space="preserve">פס"ד שי </w:t>
      </w:r>
      <w:r w:rsidR="00A51485" w:rsidRPr="004466CD">
        <w:rPr>
          <w:rFonts w:ascii="David" w:hAnsi="David" w:cs="David"/>
          <w:rtl/>
        </w:rPr>
        <w:t xml:space="preserve">רלוונטי לענייננו משום שהוא דן בסם קטלני ומסוכן מזה שלפני ובעבירה שתוצאותיה חמורות מאלו שלפניי, שכן מדובר בהספקת סם מסוכן. </w:t>
      </w:r>
    </w:p>
    <w:p w14:paraId="2900E23B" w14:textId="77777777" w:rsidR="00A51485" w:rsidRDefault="00A51485" w:rsidP="00A51485">
      <w:pPr>
        <w:pStyle w:val="a9"/>
        <w:widowControl w:val="0"/>
        <w:rPr>
          <w:rtl/>
        </w:rPr>
      </w:pPr>
    </w:p>
    <w:p w14:paraId="21F3BC24" w14:textId="77777777" w:rsidR="00A51485" w:rsidRPr="004466CD" w:rsidRDefault="007A28F5" w:rsidP="00A51485">
      <w:pPr>
        <w:pStyle w:val="gmail-msonospacing"/>
        <w:widowControl w:val="0"/>
        <w:numPr>
          <w:ilvl w:val="0"/>
          <w:numId w:val="2"/>
        </w:numPr>
        <w:bidi/>
        <w:spacing w:before="0" w:beforeAutospacing="0" w:after="0" w:afterAutospacing="0" w:line="360" w:lineRule="auto"/>
        <w:ind w:left="804"/>
        <w:jc w:val="both"/>
      </w:pPr>
      <w:hyperlink r:id="rId31" w:history="1">
        <w:r w:rsidRPr="007A28F5">
          <w:rPr>
            <w:rFonts w:ascii="David" w:hAnsi="David" w:cs="David"/>
            <w:color w:val="0000FF"/>
            <w:u w:val="single"/>
            <w:rtl/>
          </w:rPr>
          <w:t>עפ"ג (י-ם) 67452-12-18</w:t>
        </w:r>
      </w:hyperlink>
      <w:r w:rsidR="00A51485" w:rsidRPr="004466CD">
        <w:rPr>
          <w:rFonts w:ascii="David" w:hAnsi="David" w:cs="David"/>
          <w:rtl/>
        </w:rPr>
        <w:t xml:space="preserve"> </w:t>
      </w:r>
      <w:r w:rsidR="00A51485" w:rsidRPr="004466CD">
        <w:rPr>
          <w:rFonts w:ascii="Miriam" w:hAnsi="Miriam" w:cs="Miriam"/>
          <w:b/>
          <w:bCs/>
          <w:sz w:val="22"/>
          <w:szCs w:val="22"/>
          <w:rtl/>
        </w:rPr>
        <w:t>מדינת ישראל נ' בוזגלו</w:t>
      </w:r>
      <w:r w:rsidR="00A51485" w:rsidRPr="004466CD">
        <w:rPr>
          <w:rFonts w:ascii="David" w:hAnsi="David" w:cs="David"/>
          <w:rtl/>
        </w:rPr>
        <w:t xml:space="preserve"> (7.4.19)</w:t>
      </w:r>
      <w:r w:rsidR="00A51485">
        <w:rPr>
          <w:rFonts w:ascii="David" w:hAnsi="David" w:cs="David" w:hint="cs"/>
          <w:rtl/>
        </w:rPr>
        <w:t xml:space="preserve"> - </w:t>
      </w:r>
      <w:r w:rsidR="00A51485" w:rsidRPr="004466CD">
        <w:rPr>
          <w:rFonts w:ascii="David" w:hAnsi="David" w:cs="David"/>
          <w:rtl/>
        </w:rPr>
        <w:t xml:space="preserve">נדחה ערעור על פסק הדין </w:t>
      </w:r>
      <w:r w:rsidR="00A51485">
        <w:rPr>
          <w:rFonts w:ascii="David" w:hAnsi="David" w:cs="David" w:hint="cs"/>
          <w:rtl/>
        </w:rPr>
        <w:t>ו</w:t>
      </w:r>
      <w:r w:rsidR="00A51485" w:rsidRPr="004466CD">
        <w:rPr>
          <w:rFonts w:ascii="David" w:hAnsi="David" w:cs="David"/>
          <w:rtl/>
        </w:rPr>
        <w:t xml:space="preserve">בית המשפט המחוזי קבע כי בגין </w:t>
      </w:r>
      <w:r w:rsidR="00A51485" w:rsidRPr="004466CD">
        <w:rPr>
          <w:rFonts w:ascii="David" w:hAnsi="David" w:cs="David"/>
          <w:u w:val="single"/>
          <w:rtl/>
        </w:rPr>
        <w:t>הספקת סם מסוכן</w:t>
      </w:r>
      <w:r w:rsidR="00A51485" w:rsidRPr="004466CD">
        <w:rPr>
          <w:rFonts w:ascii="David" w:hAnsi="David" w:cs="David"/>
          <w:rtl/>
        </w:rPr>
        <w:t xml:space="preserve">, </w:t>
      </w:r>
      <w:r w:rsidR="00A51485" w:rsidRPr="004466CD">
        <w:rPr>
          <w:rFonts w:ascii="David" w:hAnsi="David" w:cs="David"/>
          <w:u w:val="single"/>
          <w:rtl/>
        </w:rPr>
        <w:t>סחר בסם מסוכן</w:t>
      </w:r>
      <w:r w:rsidR="00A51485" w:rsidRPr="004466CD">
        <w:rPr>
          <w:rFonts w:ascii="David" w:hAnsi="David" w:cs="David"/>
          <w:rtl/>
        </w:rPr>
        <w:t xml:space="preserve">, </w:t>
      </w:r>
      <w:r w:rsidR="00A51485" w:rsidRPr="004466CD">
        <w:rPr>
          <w:rFonts w:ascii="David" w:hAnsi="David" w:cs="David"/>
          <w:u w:val="single"/>
          <w:rtl/>
        </w:rPr>
        <w:t xml:space="preserve">סיוע לסחר בסם מסוכן - 0.5835, 10.26 ו-9.33 גרם </w:t>
      </w:r>
      <w:r w:rsidR="00A51485" w:rsidRPr="004466CD">
        <w:rPr>
          <w:sz w:val="20"/>
          <w:szCs w:val="20"/>
          <w:u w:val="single"/>
        </w:rPr>
        <w:t>MDMA</w:t>
      </w:r>
      <w:r w:rsidR="00A51485" w:rsidRPr="004466CD">
        <w:rPr>
          <w:rFonts w:ascii="David" w:hAnsi="David" w:cs="David"/>
          <w:u w:val="single"/>
          <w:rtl/>
        </w:rPr>
        <w:t xml:space="preserve"> </w:t>
      </w:r>
      <w:r w:rsidR="00A51485" w:rsidRPr="004466CD">
        <w:rPr>
          <w:rFonts w:ascii="David" w:hAnsi="David" w:cs="David" w:hint="cs"/>
          <w:u w:val="single"/>
          <w:rtl/>
        </w:rPr>
        <w:t>וכן החזקת סם לשימוש עצמי</w:t>
      </w:r>
      <w:r w:rsidR="00A51485" w:rsidRPr="004466CD">
        <w:rPr>
          <w:rFonts w:ascii="David" w:hAnsi="David" w:cs="David"/>
          <w:rtl/>
        </w:rPr>
        <w:t xml:space="preserve"> ניתן להורות על ביטול ההרשעה והמשיב נדון ל-420 שעות </w:t>
      </w:r>
      <w:r w:rsidR="00A51485">
        <w:rPr>
          <w:rFonts w:ascii="David" w:hAnsi="David" w:cs="David"/>
          <w:rtl/>
        </w:rPr>
        <w:t>של"צ</w:t>
      </w:r>
      <w:r w:rsidR="00A51485" w:rsidRPr="004466CD">
        <w:rPr>
          <w:rFonts w:ascii="David" w:hAnsi="David" w:cs="David"/>
          <w:rtl/>
        </w:rPr>
        <w:t xml:space="preserve"> ומבחן לשנה, הגם שנקבע כי תנאי </w:t>
      </w:r>
      <w:r w:rsidR="00A51485" w:rsidRPr="004466CD">
        <w:rPr>
          <w:rFonts w:ascii="Miriam" w:hAnsi="Miriam" w:cs="Miriam"/>
          <w:b/>
          <w:bCs/>
          <w:sz w:val="22"/>
          <w:szCs w:val="22"/>
          <w:rtl/>
        </w:rPr>
        <w:t>הלכת כתב</w:t>
      </w:r>
      <w:r w:rsidR="00A51485" w:rsidRPr="004466CD">
        <w:rPr>
          <w:rFonts w:ascii="David" w:hAnsi="David" w:cs="David"/>
          <w:rtl/>
        </w:rPr>
        <w:t xml:space="preserve"> לא מתקיימים, שכן מדובר במי ש"</w:t>
      </w:r>
      <w:r w:rsidR="00A51485" w:rsidRPr="004466CD">
        <w:rPr>
          <w:rFonts w:ascii="David" w:hAnsi="David" w:cs="David"/>
          <w:b/>
          <w:bCs/>
          <w:rtl/>
        </w:rPr>
        <w:t>עסק בסחר בסמים והיה ידוע לחבריו ככזה. הוא סחר בסמים בדרך של שכנוע ביחס לאיכות הסם, מחירו ורווחיותו</w:t>
      </w:r>
      <w:r w:rsidR="00A51485" w:rsidRPr="004466CD">
        <w:rPr>
          <w:rFonts w:ascii="David" w:hAnsi="David" w:cs="David"/>
          <w:rtl/>
        </w:rPr>
        <w:t xml:space="preserve">,... </w:t>
      </w:r>
      <w:r w:rsidR="00A51485" w:rsidRPr="004466CD">
        <w:rPr>
          <w:rFonts w:ascii="David" w:hAnsi="David" w:cs="David"/>
          <w:b/>
          <w:bCs/>
          <w:rtl/>
        </w:rPr>
        <w:t>מכר לסוכן כמות משמעותית של סם קשה תמורת סכום כסף נכבד. בעסקה השנייה</w:t>
      </w:r>
      <w:r w:rsidR="00A51485" w:rsidRPr="004466CD">
        <w:rPr>
          <w:rFonts w:ascii="David" w:hAnsi="David" w:cs="David"/>
          <w:rtl/>
        </w:rPr>
        <w:t>...,</w:t>
      </w:r>
      <w:r w:rsidR="00A51485" w:rsidRPr="004466CD">
        <w:rPr>
          <w:rFonts w:ascii="David" w:hAnsi="David" w:cs="David"/>
          <w:b/>
          <w:bCs/>
          <w:rtl/>
        </w:rPr>
        <w:t xml:space="preserve"> המשיב השיג את הסם מאחרים כדי שיוכל למכור לסוכן, ומכר לו כמות גדולה של 12 מנות סם מסוכן תמורת אלפי שקלים. התנהלות המשיב מלמדת על נגישות רבה לעולם הסחר בסם, היכרות וזמינות. בנוסף, לא מתקיים התנאי השני להלכת כתב, שכן לא הוכח שהרשעה תפגע במשיב באופן מוחשי וקונקרטי ותמנע ממנו מלעסוק בשיווק נדל"ן</w:t>
      </w:r>
      <w:r w:rsidR="00A51485" w:rsidRPr="004466CD">
        <w:rPr>
          <w:rFonts w:ascii="David" w:hAnsi="David" w:cs="David"/>
          <w:rtl/>
        </w:rPr>
        <w:t>...". עוד נקבע כי "</w:t>
      </w:r>
      <w:r w:rsidR="00A51485" w:rsidRPr="004466CD">
        <w:rPr>
          <w:rFonts w:ascii="David" w:hAnsi="David" w:cs="David"/>
          <w:b/>
          <w:bCs/>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w:t>
      </w:r>
      <w:r w:rsidR="00A51485" w:rsidRPr="004466CD">
        <w:rPr>
          <w:rFonts w:ascii="David" w:hAnsi="David" w:cs="David"/>
          <w:rtl/>
        </w:rPr>
        <w:t>". ובמקרה זה העדיפו בתי המשפט שיקול שיקום המשיב.</w:t>
      </w:r>
    </w:p>
    <w:p w14:paraId="1E85683A" w14:textId="77777777" w:rsidR="00A51485" w:rsidRPr="004466CD" w:rsidRDefault="00A51485" w:rsidP="00A51485">
      <w:pPr>
        <w:pStyle w:val="gmail-msonospacing"/>
        <w:widowControl w:val="0"/>
        <w:bidi/>
        <w:spacing w:before="0" w:beforeAutospacing="0" w:after="0" w:afterAutospacing="0"/>
        <w:ind w:left="972"/>
        <w:jc w:val="both"/>
        <w:rPr>
          <w:rFonts w:ascii="David" w:hAnsi="David" w:cs="David"/>
        </w:rPr>
      </w:pPr>
    </w:p>
    <w:p w14:paraId="7EFC46EB" w14:textId="77777777" w:rsidR="00A51485" w:rsidRPr="001A0877" w:rsidRDefault="007A28F5" w:rsidP="00A51485">
      <w:pPr>
        <w:pStyle w:val="gmail-msonospacing"/>
        <w:widowControl w:val="0"/>
        <w:numPr>
          <w:ilvl w:val="0"/>
          <w:numId w:val="2"/>
        </w:numPr>
        <w:bidi/>
        <w:spacing w:before="0" w:beforeAutospacing="0" w:after="0" w:afterAutospacing="0" w:line="360" w:lineRule="auto"/>
        <w:ind w:left="804"/>
        <w:jc w:val="both"/>
      </w:pPr>
      <w:hyperlink r:id="rId32" w:history="1">
        <w:r w:rsidRPr="007A28F5">
          <w:rPr>
            <w:rFonts w:ascii="David" w:hAnsi="David" w:cs="David"/>
            <w:color w:val="0000FF"/>
            <w:u w:val="single"/>
            <w:rtl/>
          </w:rPr>
          <w:t>עפ"ג (חי') 28110-10-15</w:t>
        </w:r>
      </w:hyperlink>
      <w:r w:rsidR="00A51485" w:rsidRPr="004466CD">
        <w:rPr>
          <w:rFonts w:ascii="David" w:hAnsi="David" w:cs="David"/>
          <w:rtl/>
        </w:rPr>
        <w:t xml:space="preserve"> </w:t>
      </w:r>
      <w:r w:rsidR="00A51485" w:rsidRPr="004466CD">
        <w:rPr>
          <w:rFonts w:ascii="Miriam" w:hAnsi="Miriam" w:cs="Miriam"/>
          <w:b/>
          <w:bCs/>
          <w:sz w:val="22"/>
          <w:szCs w:val="22"/>
          <w:rtl/>
        </w:rPr>
        <w:t>מדינת ישראל נ' דוד</w:t>
      </w:r>
      <w:r w:rsidR="00A51485" w:rsidRPr="004466CD">
        <w:rPr>
          <w:rFonts w:ascii="David" w:hAnsi="David" w:cs="David"/>
          <w:rtl/>
        </w:rPr>
        <w:t xml:space="preserve"> (17.12.15) - בוטלה הרשעה ב</w:t>
      </w:r>
      <w:r w:rsidR="00A51485" w:rsidRPr="004466CD">
        <w:rPr>
          <w:rFonts w:ascii="David" w:hAnsi="David" w:cs="David"/>
          <w:u w:val="single"/>
          <w:rtl/>
        </w:rPr>
        <w:t>גידול בצוותא של 3,600 גרם קנבוס</w:t>
      </w:r>
      <w:r w:rsidR="00A51485" w:rsidRPr="004466CD">
        <w:rPr>
          <w:rFonts w:ascii="David" w:hAnsi="David" w:cs="David"/>
          <w:rtl/>
        </w:rPr>
        <w:t xml:space="preserve">, ב-21 שתילים, בתוך עציצים וכדים, במעבדה שהכילה שלושה חדרונים מאולתרים ובה ציוד שכלל: מאווררים, תאורה מיוחדת, צינורות השקייה, גופי חימום, מד חום, חומרים לעידוד גדילה, שנאי חשמל, מצננים ורשת לייבוש העלים. הושתו 180 שעות </w:t>
      </w:r>
      <w:r w:rsidR="00A51485">
        <w:rPr>
          <w:rFonts w:ascii="David" w:hAnsi="David" w:cs="David"/>
          <w:rtl/>
        </w:rPr>
        <w:t>של"צ</w:t>
      </w:r>
      <w:r w:rsidR="00A51485" w:rsidRPr="004466CD">
        <w:rPr>
          <w:rFonts w:ascii="David" w:hAnsi="David" w:cs="David"/>
          <w:rtl/>
        </w:rPr>
        <w:t>, 18 חודשי מבחן, 11,000 ₪ פיצוי לטובת המלחמה בסם ו-6 חודשי פסילה מותנית. בסעיף 19 לפסק דינה, קבעה כב' הש' בטינה טאובר, כי הגם שעל פי ההלכה "</w:t>
      </w:r>
      <w:r w:rsidR="00A51485" w:rsidRPr="004466CD">
        <w:rPr>
          <w:rFonts w:ascii="David" w:hAnsi="David" w:cs="David"/>
          <w:b/>
          <w:bCs/>
          <w:rtl/>
        </w:rPr>
        <w:t>המלצת שירות המבחן הינה בבחינת המלצה בלבד</w:t>
      </w:r>
      <w:r w:rsidR="00A51485" w:rsidRPr="004466CD">
        <w:rPr>
          <w:rFonts w:ascii="David" w:hAnsi="David" w:cs="David"/>
          <w:rtl/>
        </w:rPr>
        <w:t>", אין לאיינו כליל, שכן "</w:t>
      </w:r>
      <w:r w:rsidR="00A51485" w:rsidRPr="004466CD">
        <w:rPr>
          <w:rFonts w:ascii="David" w:hAnsi="David" w:cs="David"/>
          <w:b/>
          <w:bCs/>
          <w:rtl/>
        </w:rPr>
        <w:t>תסקיר שירות המבחן הוא כלי חשוב, באמצעותו ניתן לרדת לעומקן של נסיבותיו האישיות של הנאשם ולעמוד על הגורמים, שהביאו להידרדרותו לביצוע העבירות, כמו גם לבחינה מעמיקה ומקצועית של סיכויי השיקום ודרכי השיקום. מכאן עולה, כי בנסיבות המתאימות נכון לתת להמלצות שירות המבחן משקל משמעותי ולעתים אף לאמצם</w:t>
      </w:r>
      <w:r w:rsidR="00A51485" w:rsidRPr="004466CD">
        <w:rPr>
          <w:rFonts w:ascii="David" w:hAnsi="David" w:cs="David"/>
          <w:rtl/>
        </w:rPr>
        <w:t xml:space="preserve">". חרף חומרת העבירה הוחלט פה אחד להותיר את פסק דינו של בית משפט השלום, תוך העלאת גובה הפיצוי והארכת משך תקופת המבחן, נוכח נסיבותיו האישיות של המשיב והירתמותו להליך הטיפולי. </w:t>
      </w:r>
    </w:p>
    <w:p w14:paraId="2F399B03" w14:textId="77777777" w:rsidR="00A51485" w:rsidRDefault="00A51485" w:rsidP="00A51485">
      <w:pPr>
        <w:pStyle w:val="a9"/>
        <w:rPr>
          <w:rFonts w:ascii="David" w:hAnsi="David"/>
          <w:u w:val="single"/>
          <w:rtl/>
        </w:rPr>
      </w:pPr>
    </w:p>
    <w:p w14:paraId="4FFC7C75" w14:textId="77777777" w:rsidR="00A51485" w:rsidRPr="001A0877" w:rsidRDefault="00A51485" w:rsidP="00A51485">
      <w:pPr>
        <w:pStyle w:val="gmail-msonospacing"/>
        <w:widowControl w:val="0"/>
        <w:bidi/>
        <w:spacing w:before="0" w:beforeAutospacing="0" w:after="0" w:afterAutospacing="0" w:line="360" w:lineRule="auto"/>
        <w:ind w:left="360"/>
        <w:jc w:val="both"/>
        <w:rPr>
          <w:rFonts w:ascii="David" w:hAnsi="David" w:cs="David"/>
          <w:u w:val="single"/>
          <w:rtl/>
        </w:rPr>
      </w:pPr>
      <w:r w:rsidRPr="001A0877">
        <w:rPr>
          <w:rFonts w:ascii="David" w:hAnsi="David" w:cs="David"/>
          <w:u w:val="single"/>
          <w:rtl/>
        </w:rPr>
        <w:t>בתי משפט שלום</w:t>
      </w:r>
    </w:p>
    <w:p w14:paraId="243F8174" w14:textId="77777777" w:rsidR="00A51485" w:rsidRPr="008B3E5E" w:rsidRDefault="007A28F5" w:rsidP="00A51485">
      <w:pPr>
        <w:pStyle w:val="gmail-msonospacing"/>
        <w:widowControl w:val="0"/>
        <w:numPr>
          <w:ilvl w:val="0"/>
          <w:numId w:val="2"/>
        </w:numPr>
        <w:bidi/>
        <w:spacing w:before="0" w:beforeAutospacing="0" w:after="0" w:afterAutospacing="0" w:line="360" w:lineRule="auto"/>
        <w:ind w:left="804"/>
        <w:jc w:val="both"/>
      </w:pPr>
      <w:hyperlink r:id="rId33" w:history="1">
        <w:r w:rsidRPr="007A28F5">
          <w:rPr>
            <w:rFonts w:ascii="David" w:hAnsi="David" w:cs="David"/>
            <w:color w:val="0000FF"/>
            <w:u w:val="single"/>
            <w:rtl/>
          </w:rPr>
          <w:t>ת"פ (נת') 45253-06-19</w:t>
        </w:r>
      </w:hyperlink>
      <w:r w:rsidR="00A51485" w:rsidRPr="004466CD">
        <w:rPr>
          <w:rFonts w:ascii="David" w:hAnsi="David" w:cs="David"/>
          <w:rtl/>
        </w:rPr>
        <w:t xml:space="preserve"> </w:t>
      </w:r>
      <w:r w:rsidR="00A51485" w:rsidRPr="004466CD">
        <w:rPr>
          <w:rFonts w:ascii="Miriam" w:hAnsi="Miriam" w:cs="Miriam"/>
          <w:b/>
          <w:bCs/>
          <w:sz w:val="22"/>
          <w:szCs w:val="22"/>
          <w:rtl/>
        </w:rPr>
        <w:t>מדינת ישראל נ' חג'אג'</w:t>
      </w:r>
      <w:r w:rsidR="00A51485" w:rsidRPr="004466CD">
        <w:rPr>
          <w:rFonts w:ascii="David" w:hAnsi="David" w:cs="David"/>
          <w:rtl/>
        </w:rPr>
        <w:t xml:space="preserve"> (4.1.23) (להלן: </w:t>
      </w:r>
      <w:r w:rsidR="00A51485" w:rsidRPr="004466CD">
        <w:rPr>
          <w:rFonts w:ascii="Miriam" w:hAnsi="Miriam" w:cs="Miriam"/>
          <w:b/>
          <w:bCs/>
          <w:sz w:val="22"/>
          <w:szCs w:val="22"/>
          <w:rtl/>
        </w:rPr>
        <w:t>ענין חג'אג'</w:t>
      </w:r>
      <w:r w:rsidR="00A51485" w:rsidRPr="004466CD">
        <w:rPr>
          <w:rFonts w:ascii="David" w:hAnsi="David" w:cs="David"/>
          <w:rtl/>
        </w:rPr>
        <w:t>) - בוטלה הרשעה בעבירות עסקה אחרת ב-100 גרם סם מסוכן מסוג קנבוס (שביצע עם אחר) וקשירת קשר לבצע עסקה בקנבוס. בנוסף ל</w:t>
      </w:r>
      <w:r w:rsidR="00A51485">
        <w:rPr>
          <w:rFonts w:ascii="David" w:hAnsi="David" w:cs="David" w:hint="cs"/>
          <w:rtl/>
        </w:rPr>
        <w:t>כך ש</w:t>
      </w:r>
      <w:r w:rsidR="00A51485" w:rsidRPr="004466CD">
        <w:rPr>
          <w:rFonts w:ascii="David" w:hAnsi="David" w:cs="David"/>
          <w:rtl/>
        </w:rPr>
        <w:t xml:space="preserve">הנאשם </w:t>
      </w:r>
      <w:r w:rsidR="00A51485">
        <w:rPr>
          <w:rFonts w:ascii="David" w:hAnsi="David" w:cs="David" w:hint="cs"/>
          <w:rtl/>
        </w:rPr>
        <w:t xml:space="preserve">עמד </w:t>
      </w:r>
      <w:r w:rsidR="00A51485" w:rsidRPr="004466CD">
        <w:rPr>
          <w:rFonts w:ascii="David" w:hAnsi="David" w:cs="David"/>
          <w:rtl/>
        </w:rPr>
        <w:t>בתנאי השני שנקבע ב-</w:t>
      </w:r>
      <w:r w:rsidR="00A51485" w:rsidRPr="004466CD">
        <w:rPr>
          <w:rFonts w:ascii="Miriam" w:hAnsi="Miriam" w:cs="Miriam"/>
          <w:b/>
          <w:bCs/>
          <w:sz w:val="22"/>
          <w:szCs w:val="22"/>
          <w:rtl/>
        </w:rPr>
        <w:t>הלכת כתב</w:t>
      </w:r>
      <w:r w:rsidR="00A51485" w:rsidRPr="004466CD">
        <w:rPr>
          <w:rFonts w:ascii="David" w:hAnsi="David" w:cs="David"/>
          <w:rtl/>
        </w:rPr>
        <w:t xml:space="preserve">, שהוא תנאי אינדיבידואלי לכל נאשם, קבע כב' הש' גיא אבנון קביעות לגבי התנאי הראשון, הרלוונטיות לעניינו מבחינת קל וחומר, בהינתן כי </w:t>
      </w:r>
      <w:r w:rsidR="00A51485">
        <w:rPr>
          <w:rFonts w:ascii="David" w:hAnsi="David" w:cs="David" w:hint="cs"/>
          <w:rtl/>
        </w:rPr>
        <w:t xml:space="preserve">בעניינו </w:t>
      </w:r>
      <w:r w:rsidR="00A51485" w:rsidRPr="004466CD">
        <w:rPr>
          <w:rFonts w:ascii="David" w:hAnsi="David" w:cs="David"/>
          <w:rtl/>
        </w:rPr>
        <w:t>מדובר ב</w:t>
      </w:r>
      <w:r w:rsidR="00A51485">
        <w:rPr>
          <w:rFonts w:ascii="David" w:hAnsi="David" w:cs="David" w:hint="cs"/>
          <w:rtl/>
        </w:rPr>
        <w:t xml:space="preserve">נסיבות </w:t>
      </w:r>
      <w:r w:rsidR="00A51485" w:rsidRPr="004466CD">
        <w:rPr>
          <w:rFonts w:ascii="David" w:hAnsi="David" w:cs="David"/>
          <w:rtl/>
        </w:rPr>
        <w:t>חמור</w:t>
      </w:r>
      <w:r w:rsidR="00A51485">
        <w:rPr>
          <w:rFonts w:ascii="David" w:hAnsi="David" w:cs="David" w:hint="cs"/>
          <w:rtl/>
        </w:rPr>
        <w:t>ות</w:t>
      </w:r>
      <w:r w:rsidR="00A51485" w:rsidRPr="004466CD">
        <w:rPr>
          <w:rFonts w:ascii="David" w:hAnsi="David" w:cs="David"/>
          <w:rtl/>
        </w:rPr>
        <w:t xml:space="preserve"> פחות מ</w:t>
      </w:r>
      <w:r w:rsidR="00A51485">
        <w:rPr>
          <w:rFonts w:ascii="David" w:hAnsi="David" w:cs="David" w:hint="cs"/>
          <w:rtl/>
        </w:rPr>
        <w:t>אלו שנדונה ב-</w:t>
      </w:r>
      <w:r w:rsidR="00A51485" w:rsidRPr="000163E8">
        <w:rPr>
          <w:rFonts w:ascii="Miriam" w:hAnsi="Miriam" w:cs="Miriam" w:hint="cs"/>
          <w:b/>
          <w:bCs/>
          <w:sz w:val="22"/>
          <w:szCs w:val="22"/>
          <w:rtl/>
        </w:rPr>
        <w:t>ענין חג'אג'</w:t>
      </w:r>
      <w:r w:rsidR="00A51485" w:rsidRPr="000163E8">
        <w:rPr>
          <w:rFonts w:ascii="Miriam" w:hAnsi="Miriam" w:cs="Miriam"/>
          <w:b/>
          <w:bCs/>
          <w:sz w:val="22"/>
          <w:szCs w:val="22"/>
          <w:rtl/>
        </w:rPr>
        <w:t xml:space="preserve"> </w:t>
      </w:r>
      <w:r w:rsidR="00A51485" w:rsidRPr="004466CD">
        <w:rPr>
          <w:rFonts w:ascii="David" w:hAnsi="David" w:cs="David"/>
          <w:rtl/>
        </w:rPr>
        <w:t>"</w:t>
      </w:r>
      <w:r w:rsidR="00A51485" w:rsidRPr="004466CD">
        <w:rPr>
          <w:rFonts w:ascii="David" w:hAnsi="David" w:cs="David"/>
          <w:b/>
          <w:bCs/>
          <w:rtl/>
        </w:rPr>
        <w:t>מבלי להקל ראש בחומרת העבירות שביצע הנאשם, ברי כי אלו כשלעצמן מאפשרות, במקרים המתאימים, לסיים את ההליך ללא הרשעה. הנאשם ביצע את מעשיו בתקופה קצרה, בת פחות מחודש ימים (ברוטו), עסקה אחרת בסם מסוג מריחואנה במשקל 100 גרם (שלא הועבר סופו של יום מיד ליד), וקשירת קשר שלא הבשילה לכדי עסקה, אף היא בסם שאיננו מוגדר קשה, ובכמות לא גדולה</w:t>
      </w:r>
      <w:r w:rsidR="00A51485" w:rsidRPr="004466CD">
        <w:rPr>
          <w:rFonts w:ascii="David" w:hAnsi="David" w:cs="David"/>
          <w:rtl/>
        </w:rPr>
        <w:t>" וראו גם האסמכתאות אליהן הפנה "</w:t>
      </w:r>
      <w:r w:rsidR="00A51485" w:rsidRPr="004466CD">
        <w:rPr>
          <w:rFonts w:ascii="David" w:hAnsi="David" w:cs="David"/>
          <w:b/>
          <w:bCs/>
          <w:rtl/>
        </w:rPr>
        <w:t xml:space="preserve">לביטול הרשעה בעבירות סמים בנסיבות חמורות יותר ראו </w:t>
      </w:r>
      <w:hyperlink r:id="rId34" w:history="1">
        <w:r w:rsidRPr="007A28F5">
          <w:rPr>
            <w:rFonts w:ascii="David" w:hAnsi="David" w:cs="David"/>
            <w:b/>
            <w:bCs/>
            <w:color w:val="0000FF"/>
            <w:u w:val="single"/>
            <w:rtl/>
          </w:rPr>
          <w:t>ע"פ (ירושלים) 11045-09-18</w:t>
        </w:r>
      </w:hyperlink>
      <w:r w:rsidR="00A51485" w:rsidRPr="004466CD">
        <w:rPr>
          <w:rFonts w:ascii="David" w:hAnsi="David" w:cs="David"/>
          <w:b/>
          <w:bCs/>
          <w:rtl/>
        </w:rPr>
        <w:t xml:space="preserve"> אליאסיאן נ' מדינת ישראל (3.3.19, הוגש ע"י ב"כ הנאשם); ע"פ (ת"א) 33377-03-20 מדינת ישראל נ' אלשיך (16.12.20); </w:t>
      </w:r>
      <w:hyperlink r:id="rId35" w:history="1">
        <w:r w:rsidRPr="007A28F5">
          <w:rPr>
            <w:rFonts w:ascii="David" w:hAnsi="David" w:cs="David"/>
            <w:b/>
            <w:bCs/>
            <w:color w:val="0000FF"/>
            <w:u w:val="single"/>
            <w:rtl/>
          </w:rPr>
          <w:t>עפ"ג (מרכז-לוד) 53504-01-11</w:t>
        </w:r>
      </w:hyperlink>
      <w:r w:rsidR="00A51485" w:rsidRPr="004466CD">
        <w:rPr>
          <w:rFonts w:ascii="David" w:hAnsi="David" w:cs="David"/>
          <w:b/>
          <w:bCs/>
          <w:rtl/>
        </w:rPr>
        <w:t xml:space="preserve"> אדם אלון נ' מדינת ישראל (22.5.11)</w:t>
      </w:r>
      <w:r w:rsidR="00A51485" w:rsidRPr="004466CD">
        <w:rPr>
          <w:rFonts w:ascii="David" w:hAnsi="David" w:cs="David"/>
          <w:rtl/>
        </w:rPr>
        <w:t>".</w:t>
      </w:r>
    </w:p>
    <w:p w14:paraId="3355F6AA" w14:textId="77777777" w:rsidR="00A51485" w:rsidRPr="001A0877" w:rsidRDefault="00A51485" w:rsidP="00A51485">
      <w:pPr>
        <w:pStyle w:val="gmail-msonospacing"/>
        <w:widowControl w:val="0"/>
        <w:bidi/>
        <w:spacing w:before="0" w:beforeAutospacing="0" w:after="0" w:afterAutospacing="0"/>
        <w:ind w:left="972"/>
        <w:jc w:val="both"/>
        <w:rPr>
          <w:rFonts w:ascii="David" w:hAnsi="David" w:cs="David"/>
        </w:rPr>
      </w:pPr>
    </w:p>
    <w:p w14:paraId="03E4A217" w14:textId="77777777" w:rsidR="00A51485" w:rsidRPr="004466CD" w:rsidRDefault="007A28F5" w:rsidP="00A51485">
      <w:pPr>
        <w:pStyle w:val="gmail-msonospacing"/>
        <w:widowControl w:val="0"/>
        <w:numPr>
          <w:ilvl w:val="0"/>
          <w:numId w:val="2"/>
        </w:numPr>
        <w:bidi/>
        <w:spacing w:before="0" w:beforeAutospacing="0" w:after="0" w:afterAutospacing="0" w:line="360" w:lineRule="auto"/>
        <w:ind w:left="804"/>
        <w:jc w:val="both"/>
      </w:pPr>
      <w:hyperlink r:id="rId36" w:history="1">
        <w:r w:rsidRPr="007A28F5">
          <w:rPr>
            <w:rFonts w:ascii="David" w:hAnsi="David" w:cs="David"/>
            <w:color w:val="0000FF"/>
            <w:u w:val="single"/>
            <w:rtl/>
          </w:rPr>
          <w:t>ת"פ (אשקלון) 1405-06-21</w:t>
        </w:r>
      </w:hyperlink>
      <w:r w:rsidR="00A51485" w:rsidRPr="004466CD">
        <w:rPr>
          <w:rFonts w:ascii="David" w:hAnsi="David" w:cs="David"/>
          <w:rtl/>
        </w:rPr>
        <w:t xml:space="preserve"> </w:t>
      </w:r>
      <w:r w:rsidR="00A51485" w:rsidRPr="004466CD">
        <w:rPr>
          <w:rFonts w:ascii="Miriam" w:hAnsi="Miriam" w:cs="Miriam"/>
          <w:b/>
          <w:bCs/>
          <w:sz w:val="22"/>
          <w:szCs w:val="22"/>
          <w:rtl/>
        </w:rPr>
        <w:t xml:space="preserve">מדינת ישראל נ' </w:t>
      </w:r>
      <w:r w:rsidR="00A51485">
        <w:rPr>
          <w:rFonts w:ascii="Miriam" w:hAnsi="Miriam" w:cs="Miriam" w:hint="cs"/>
          <w:b/>
          <w:bCs/>
          <w:sz w:val="22"/>
          <w:szCs w:val="22"/>
          <w:rtl/>
        </w:rPr>
        <w:t>גבאי</w:t>
      </w:r>
      <w:r w:rsidR="00A51485" w:rsidRPr="004466CD">
        <w:rPr>
          <w:rFonts w:ascii="Miriam" w:hAnsi="Miriam" w:cs="Miriam"/>
          <w:b/>
          <w:bCs/>
          <w:sz w:val="22"/>
          <w:szCs w:val="22"/>
          <w:rtl/>
        </w:rPr>
        <w:t xml:space="preserve"> </w:t>
      </w:r>
      <w:r w:rsidR="00A51485" w:rsidRPr="004466CD">
        <w:rPr>
          <w:rFonts w:ascii="David" w:hAnsi="David" w:cs="David"/>
          <w:rtl/>
        </w:rPr>
        <w:t>(2</w:t>
      </w:r>
      <w:r w:rsidR="00A51485">
        <w:rPr>
          <w:rFonts w:ascii="David" w:hAnsi="David" w:cs="David" w:hint="cs"/>
          <w:rtl/>
        </w:rPr>
        <w:t>2</w:t>
      </w:r>
      <w:r w:rsidR="00A51485" w:rsidRPr="004466CD">
        <w:rPr>
          <w:rFonts w:ascii="David" w:hAnsi="David" w:cs="David"/>
          <w:rtl/>
        </w:rPr>
        <w:t>.</w:t>
      </w:r>
      <w:r w:rsidR="00A51485">
        <w:rPr>
          <w:rFonts w:ascii="David" w:hAnsi="David" w:cs="David" w:hint="cs"/>
          <w:rtl/>
        </w:rPr>
        <w:t>6</w:t>
      </w:r>
      <w:r w:rsidR="00A51485" w:rsidRPr="004466CD">
        <w:rPr>
          <w:rFonts w:ascii="David" w:hAnsi="David" w:cs="David"/>
          <w:rtl/>
        </w:rPr>
        <w:t>.2</w:t>
      </w:r>
      <w:r w:rsidR="00A51485">
        <w:rPr>
          <w:rFonts w:ascii="David" w:hAnsi="David" w:cs="David" w:hint="cs"/>
          <w:rtl/>
        </w:rPr>
        <w:t>2</w:t>
      </w:r>
      <w:r w:rsidR="00A51485" w:rsidRPr="004466CD">
        <w:rPr>
          <w:rFonts w:ascii="David" w:hAnsi="David" w:cs="David"/>
          <w:rtl/>
        </w:rPr>
        <w:t>) אליו הפנה ב"כ ה</w:t>
      </w:r>
      <w:r w:rsidR="00A51485">
        <w:rPr>
          <w:rFonts w:ascii="David" w:hAnsi="David" w:cs="David" w:hint="cs"/>
          <w:rtl/>
        </w:rPr>
        <w:t>נאשמת -</w:t>
      </w:r>
      <w:r w:rsidR="00A51485" w:rsidRPr="004466CD">
        <w:rPr>
          <w:rFonts w:ascii="David" w:hAnsi="David" w:cs="David"/>
          <w:rtl/>
        </w:rPr>
        <w:t xml:space="preserve"> </w:t>
      </w:r>
      <w:r w:rsidR="00A51485">
        <w:rPr>
          <w:rFonts w:ascii="David" w:hAnsi="David" w:cs="David" w:hint="cs"/>
          <w:rtl/>
        </w:rPr>
        <w:t>כב' הש' פורר ביטל הרשעה בתקיפת בנה הקטין שהיה כבן 8, בנסיבות מחמירות, בשל ריב בינו לבין אחותו, באמצעות חגורה בישבנו. שירות המבחן לא המליץ על ביטול הרשעתה בהעדר נזק קונקרטי. הנאשמת כבת 50, אם ל-6 ילדים, נעדרת עבר פלילי, התסקיר חיובי ומדובר במי שעברה הליך שיקומי. הושת צו מבחן לשנה ו-2,000 ₪ התחייבות</w:t>
      </w:r>
      <w:r w:rsidR="00A51485" w:rsidRPr="004466CD">
        <w:rPr>
          <w:rFonts w:ascii="David" w:hAnsi="David" w:cs="David"/>
          <w:rtl/>
        </w:rPr>
        <w:t xml:space="preserve">. </w:t>
      </w:r>
    </w:p>
    <w:p w14:paraId="752B0705" w14:textId="77777777" w:rsidR="00A51485" w:rsidRPr="00F97167" w:rsidRDefault="00A51485" w:rsidP="00A51485">
      <w:pPr>
        <w:pStyle w:val="gmail-msonospacing"/>
        <w:widowControl w:val="0"/>
        <w:bidi/>
        <w:spacing w:before="0" w:beforeAutospacing="0" w:after="0" w:afterAutospacing="0"/>
        <w:ind w:left="972"/>
        <w:jc w:val="both"/>
        <w:rPr>
          <w:rFonts w:ascii="David" w:hAnsi="David" w:cs="David"/>
        </w:rPr>
      </w:pPr>
    </w:p>
    <w:p w14:paraId="0EB953A4"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37" w:history="1">
        <w:r w:rsidRPr="007A28F5">
          <w:rPr>
            <w:rFonts w:ascii="David" w:hAnsi="David" w:cs="David"/>
            <w:color w:val="0000FF"/>
            <w:u w:val="single"/>
            <w:rtl/>
          </w:rPr>
          <w:t>ת"פ (אשקלון) 37885-01-20</w:t>
        </w:r>
      </w:hyperlink>
      <w:r w:rsidR="00A51485" w:rsidRPr="000660D4">
        <w:rPr>
          <w:rFonts w:ascii="David" w:hAnsi="David" w:cs="David" w:hint="cs"/>
          <w:rtl/>
        </w:rPr>
        <w:t xml:space="preserve"> ו</w:t>
      </w:r>
      <w:hyperlink r:id="rId38" w:history="1">
        <w:r w:rsidRPr="007A28F5">
          <w:rPr>
            <w:rFonts w:ascii="David" w:hAnsi="David" w:cs="David"/>
            <w:color w:val="0000FF"/>
            <w:u w:val="single"/>
            <w:rtl/>
          </w:rPr>
          <w:t>ת"פ 34126-01-21</w:t>
        </w:r>
      </w:hyperlink>
      <w:r w:rsidR="00A51485" w:rsidRPr="000660D4">
        <w:rPr>
          <w:rFonts w:ascii="David" w:hAnsi="David" w:cs="David" w:hint="cs"/>
          <w:rtl/>
        </w:rPr>
        <w:t xml:space="preserve"> </w:t>
      </w:r>
      <w:r w:rsidR="00A51485" w:rsidRPr="000660D4">
        <w:rPr>
          <w:rFonts w:ascii="Miriam" w:hAnsi="Miriam" w:cs="Miriam" w:hint="cs"/>
          <w:b/>
          <w:bCs/>
          <w:sz w:val="22"/>
          <w:szCs w:val="22"/>
          <w:rtl/>
        </w:rPr>
        <w:t xml:space="preserve">מדינת ישראל נ' טוואצ'או ניגוסה </w:t>
      </w:r>
      <w:r w:rsidR="00A51485" w:rsidRPr="000660D4">
        <w:rPr>
          <w:rFonts w:ascii="David" w:hAnsi="David" w:cs="David" w:hint="cs"/>
          <w:rtl/>
        </w:rPr>
        <w:t>(6.11.22)</w:t>
      </w:r>
      <w:r w:rsidR="00A51485" w:rsidRPr="00673290">
        <w:rPr>
          <w:rFonts w:ascii="David" w:hAnsi="David" w:cs="David"/>
          <w:rtl/>
        </w:rPr>
        <w:t xml:space="preserve"> </w:t>
      </w:r>
      <w:r w:rsidR="00A51485" w:rsidRPr="004466CD">
        <w:rPr>
          <w:rFonts w:ascii="David" w:hAnsi="David" w:cs="David"/>
          <w:rtl/>
        </w:rPr>
        <w:t>אליו הפנה ב"כ ה</w:t>
      </w:r>
      <w:r w:rsidR="00A51485">
        <w:rPr>
          <w:rFonts w:ascii="David" w:hAnsi="David" w:cs="David" w:hint="cs"/>
          <w:rtl/>
        </w:rPr>
        <w:t xml:space="preserve">נאשמת </w:t>
      </w:r>
      <w:r w:rsidR="00A51485" w:rsidRPr="000660D4">
        <w:rPr>
          <w:rFonts w:ascii="David" w:hAnsi="David" w:cs="David" w:hint="cs"/>
          <w:rtl/>
        </w:rPr>
        <w:t>- כבוד השופט פורר ביטל הרשעה בהפרעה לשוטר, התנגדות למעצר והיזק לרכוש. הנאשם, אשר היה קרוב לגיל הקטינות, סרב להזדהות ולשפוך משקה אלכוהולי שהיה ברשותו, קילל שוטרים עד שאלה נאלצו לאוזקו ולהשתמש בכוח עד כדי שימוש בטייזר. מספר חודשים לאחר מכן גרם נזק למחשב של מי שעבדה בחברת כוח אדם</w:t>
      </w:r>
      <w:r w:rsidR="00A51485">
        <w:rPr>
          <w:rFonts w:ascii="David" w:hAnsi="David" w:cs="David" w:hint="cs"/>
          <w:rtl/>
        </w:rPr>
        <w:t>,</w:t>
      </w:r>
      <w:r w:rsidR="00A51485" w:rsidRPr="000660D4">
        <w:rPr>
          <w:rFonts w:ascii="David" w:hAnsi="David" w:cs="David" w:hint="cs"/>
          <w:rtl/>
        </w:rPr>
        <w:t xml:space="preserve"> בשל אכזבתו על אי קבלת משכורת בהתאם לרצונו. בעניינו הוגשו 6 תסקירים א</w:t>
      </w:r>
      <w:r w:rsidR="00A51485">
        <w:rPr>
          <w:rFonts w:ascii="David" w:hAnsi="David" w:cs="David" w:hint="cs"/>
          <w:rtl/>
        </w:rPr>
        <w:t>ך</w:t>
      </w:r>
      <w:r w:rsidR="00A51485" w:rsidRPr="000660D4">
        <w:rPr>
          <w:rFonts w:ascii="David" w:hAnsi="David" w:cs="David" w:hint="cs"/>
          <w:rtl/>
        </w:rPr>
        <w:t xml:space="preserve"> בשל התנהגות הנאשם, שירות המבחן נמנע מהמלצה על ביטול הרשעתו. כבוד השופט פורר קיבל טענת ההגנה לעניין הליכי הלגליזציה של הקנבוס שבעתים התקשה הנאשם למלא אחר ההליך הטיפולי</w:t>
      </w:r>
      <w:r w:rsidR="00A51485">
        <w:rPr>
          <w:rFonts w:ascii="David" w:hAnsi="David" w:cs="David" w:hint="cs"/>
          <w:rtl/>
        </w:rPr>
        <w:t>,</w:t>
      </w:r>
      <w:r w:rsidR="00A51485" w:rsidRPr="000660D4">
        <w:rPr>
          <w:rFonts w:ascii="David" w:hAnsi="David" w:cs="David" w:hint="cs"/>
          <w:rtl/>
        </w:rPr>
        <w:t xml:space="preserve"> לרבות בנוגע לדגימות השתן ובהינתן גילו הצעיר ונכונותו להתגייס להליך טיפול</w:t>
      </w:r>
      <w:r w:rsidR="00A51485">
        <w:rPr>
          <w:rFonts w:ascii="David" w:hAnsi="David" w:cs="David" w:hint="cs"/>
          <w:rtl/>
        </w:rPr>
        <w:t>,</w:t>
      </w:r>
      <w:r w:rsidR="00A51485" w:rsidRPr="000660D4">
        <w:rPr>
          <w:rFonts w:ascii="David" w:hAnsi="David" w:cs="David" w:hint="cs"/>
          <w:rtl/>
        </w:rPr>
        <w:t xml:space="preserve"> הגם שזה לא צלח</w:t>
      </w:r>
      <w:r w:rsidR="00A51485">
        <w:rPr>
          <w:rFonts w:ascii="David" w:hAnsi="David" w:cs="David" w:hint="cs"/>
          <w:rtl/>
        </w:rPr>
        <w:t>,</w:t>
      </w:r>
      <w:r w:rsidR="00A51485" w:rsidRPr="000660D4">
        <w:rPr>
          <w:rFonts w:ascii="David" w:hAnsi="David" w:cs="David" w:hint="cs"/>
          <w:rtl/>
        </w:rPr>
        <w:t xml:space="preserve"> הסתפק ב</w:t>
      </w:r>
      <w:r w:rsidR="00A51485">
        <w:rPr>
          <w:rFonts w:ascii="David" w:hAnsi="David" w:cs="David" w:hint="cs"/>
          <w:rtl/>
        </w:rPr>
        <w:t xml:space="preserve">השתת התחייבות בסך </w:t>
      </w:r>
      <w:r w:rsidR="00A51485" w:rsidRPr="000660D4">
        <w:rPr>
          <w:rFonts w:ascii="David" w:hAnsi="David" w:cs="David" w:hint="cs"/>
          <w:rtl/>
        </w:rPr>
        <w:t>2,000 ₪</w:t>
      </w:r>
      <w:r w:rsidR="00A51485">
        <w:rPr>
          <w:rFonts w:ascii="David" w:hAnsi="David" w:cs="David" w:hint="cs"/>
          <w:rtl/>
        </w:rPr>
        <w:t>.</w:t>
      </w:r>
    </w:p>
    <w:p w14:paraId="76CA61C3" w14:textId="77777777" w:rsidR="00A51485" w:rsidRDefault="00A51485" w:rsidP="00A51485">
      <w:pPr>
        <w:pStyle w:val="a9"/>
        <w:widowControl w:val="0"/>
        <w:rPr>
          <w:rtl/>
        </w:rPr>
      </w:pPr>
    </w:p>
    <w:p w14:paraId="4D1575F7" w14:textId="77777777" w:rsidR="00A51485" w:rsidRPr="008B3E5E" w:rsidRDefault="007A28F5" w:rsidP="00A51485">
      <w:pPr>
        <w:pStyle w:val="gmail-msonospacing"/>
        <w:widowControl w:val="0"/>
        <w:numPr>
          <w:ilvl w:val="0"/>
          <w:numId w:val="2"/>
        </w:numPr>
        <w:bidi/>
        <w:spacing w:before="0" w:beforeAutospacing="0" w:after="0" w:afterAutospacing="0" w:line="360" w:lineRule="auto"/>
        <w:ind w:left="804"/>
        <w:jc w:val="both"/>
      </w:pPr>
      <w:hyperlink r:id="rId39" w:history="1">
        <w:r w:rsidRPr="007A28F5">
          <w:rPr>
            <w:rFonts w:ascii="David" w:hAnsi="David" w:cs="David"/>
            <w:color w:val="0000FF"/>
            <w:u w:val="single"/>
            <w:rtl/>
          </w:rPr>
          <w:t>ת"פ (ב"ש) 64171-03-19</w:t>
        </w:r>
      </w:hyperlink>
      <w:r w:rsidR="00A51485" w:rsidRPr="004466CD">
        <w:rPr>
          <w:rFonts w:ascii="David" w:hAnsi="David" w:cs="David"/>
          <w:rtl/>
        </w:rPr>
        <w:t xml:space="preserve"> </w:t>
      </w:r>
      <w:r w:rsidR="00A51485" w:rsidRPr="004466CD">
        <w:rPr>
          <w:rFonts w:ascii="Miriam" w:hAnsi="Miriam" w:cs="Miriam"/>
          <w:b/>
          <w:bCs/>
          <w:sz w:val="22"/>
          <w:szCs w:val="22"/>
          <w:rtl/>
        </w:rPr>
        <w:t xml:space="preserve">מדינת ישראל נ' מוריאנו ואח' </w:t>
      </w:r>
      <w:r w:rsidR="00A51485" w:rsidRPr="004466CD">
        <w:rPr>
          <w:rFonts w:ascii="David" w:hAnsi="David" w:cs="David"/>
          <w:rtl/>
        </w:rPr>
        <w:t xml:space="preserve">(3.11.19) - בעבירות החזקת 0.5545 גרם סם מסוכן מסוג </w:t>
      </w:r>
      <w:r w:rsidR="00A51485" w:rsidRPr="004466CD">
        <w:rPr>
          <w:sz w:val="20"/>
          <w:szCs w:val="20"/>
        </w:rPr>
        <w:t>MDMA</w:t>
      </w:r>
      <w:r w:rsidR="00A51485" w:rsidRPr="004466CD">
        <w:rPr>
          <w:rFonts w:ascii="David" w:hAnsi="David" w:cs="David"/>
          <w:rtl/>
        </w:rPr>
        <w:t xml:space="preserve"> לצריכה עצמית, במהלך אותה מסיבת פורים "</w:t>
      </w:r>
      <w:r w:rsidR="00A51485" w:rsidRPr="004466CD">
        <w:rPr>
          <w:rFonts w:ascii="David" w:hAnsi="David" w:cs="David"/>
          <w:b/>
          <w:bCs/>
          <w:rtl/>
        </w:rPr>
        <w:t>מוקשה</w:t>
      </w:r>
      <w:r w:rsidR="00A51485" w:rsidRPr="004466CD">
        <w:rPr>
          <w:rFonts w:ascii="David" w:hAnsi="David" w:cs="David"/>
          <w:rtl/>
        </w:rPr>
        <w:t>" שנדונה ב-</w:t>
      </w:r>
      <w:r w:rsidR="00A51485" w:rsidRPr="004466CD">
        <w:rPr>
          <w:rFonts w:ascii="Miriam" w:hAnsi="Miriam" w:cs="Miriam"/>
          <w:b/>
          <w:bCs/>
          <w:sz w:val="22"/>
          <w:szCs w:val="22"/>
          <w:rtl/>
        </w:rPr>
        <w:t>פס"ד שי</w:t>
      </w:r>
      <w:r w:rsidR="00A51485" w:rsidRPr="004466CD">
        <w:rPr>
          <w:rFonts w:ascii="David" w:hAnsi="David" w:cs="David"/>
          <w:rtl/>
        </w:rPr>
        <w:t>- בוטלה הרשעת הנאשמים והושתו עליהם עונשי פסילת רישיון בפועל, לצד התחייבות עצמית ו</w:t>
      </w:r>
      <w:r w:rsidR="00A51485">
        <w:rPr>
          <w:rFonts w:ascii="David" w:hAnsi="David" w:cs="David"/>
          <w:rtl/>
        </w:rPr>
        <w:t>חיובם בהוצאות לטובת אוצר המדינה</w:t>
      </w:r>
      <w:r w:rsidR="00A51485">
        <w:rPr>
          <w:rFonts w:ascii="David" w:hAnsi="David" w:cs="David" w:hint="cs"/>
          <w:rtl/>
        </w:rPr>
        <w:t>.</w:t>
      </w:r>
    </w:p>
    <w:p w14:paraId="4B5B75F2" w14:textId="77777777" w:rsidR="00A51485" w:rsidRDefault="00A51485" w:rsidP="00A51485">
      <w:pPr>
        <w:pStyle w:val="a9"/>
        <w:widowControl w:val="0"/>
        <w:rPr>
          <w:rtl/>
        </w:rPr>
      </w:pPr>
    </w:p>
    <w:p w14:paraId="0EC8B05D" w14:textId="77777777" w:rsidR="00A51485" w:rsidRPr="000660D4"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0" w:history="1">
        <w:r w:rsidRPr="007A28F5">
          <w:rPr>
            <w:rFonts w:ascii="David" w:hAnsi="David" w:cs="David"/>
            <w:color w:val="0000FF"/>
            <w:u w:val="single"/>
            <w:rtl/>
          </w:rPr>
          <w:t>ת"פ (ק"ג) 23308-06-18</w:t>
        </w:r>
      </w:hyperlink>
      <w:r w:rsidR="00A51485" w:rsidRPr="00673290">
        <w:rPr>
          <w:rFonts w:ascii="David" w:hAnsi="David" w:cs="David" w:hint="cs"/>
          <w:rtl/>
        </w:rPr>
        <w:t xml:space="preserve"> </w:t>
      </w:r>
      <w:r w:rsidR="00A51485" w:rsidRPr="00673290">
        <w:rPr>
          <w:rFonts w:ascii="Miriam" w:hAnsi="Miriam" w:cs="Miriam" w:hint="cs"/>
          <w:b/>
          <w:bCs/>
          <w:sz w:val="22"/>
          <w:szCs w:val="22"/>
          <w:rtl/>
        </w:rPr>
        <w:t xml:space="preserve">מדינת </w:t>
      </w:r>
      <w:r w:rsidR="00A51485">
        <w:rPr>
          <w:rFonts w:ascii="Miriam" w:hAnsi="Miriam" w:cs="Miriam" w:hint="cs"/>
          <w:b/>
          <w:bCs/>
          <w:sz w:val="22"/>
          <w:szCs w:val="22"/>
          <w:rtl/>
        </w:rPr>
        <w:t xml:space="preserve">ישראל </w:t>
      </w:r>
      <w:r w:rsidR="00A51485" w:rsidRPr="00673290">
        <w:rPr>
          <w:rFonts w:ascii="Miriam" w:hAnsi="Miriam" w:cs="Miriam" w:hint="cs"/>
          <w:b/>
          <w:bCs/>
          <w:sz w:val="22"/>
          <w:szCs w:val="22"/>
          <w:rtl/>
        </w:rPr>
        <w:t>נ' מלסה שבתאי יצחק</w:t>
      </w:r>
      <w:r w:rsidR="00A51485" w:rsidRPr="00673290">
        <w:rPr>
          <w:rFonts w:ascii="David" w:hAnsi="David" w:cs="David" w:hint="cs"/>
          <w:rtl/>
        </w:rPr>
        <w:t xml:space="preserve"> (24.10.19) </w:t>
      </w:r>
      <w:r w:rsidR="00A51485" w:rsidRPr="004466CD">
        <w:rPr>
          <w:rFonts w:ascii="David" w:hAnsi="David" w:cs="David"/>
          <w:rtl/>
        </w:rPr>
        <w:t>אליו הפנה ב"כ ה</w:t>
      </w:r>
      <w:r w:rsidR="00A51485">
        <w:rPr>
          <w:rFonts w:ascii="David" w:hAnsi="David" w:cs="David" w:hint="cs"/>
          <w:rtl/>
        </w:rPr>
        <w:t>נאשמת -</w:t>
      </w:r>
      <w:r w:rsidR="00A51485" w:rsidRPr="00673290">
        <w:rPr>
          <w:rFonts w:ascii="David" w:hAnsi="David" w:cs="David" w:hint="cs"/>
          <w:rtl/>
        </w:rPr>
        <w:t xml:space="preserve"> כבוד השופטת טל לחיאני שהם ביטלה הרשעה בתקיפת בת זוג ואיומים</w:t>
      </w:r>
      <w:r w:rsidR="00A51485">
        <w:rPr>
          <w:rFonts w:ascii="David" w:hAnsi="David" w:cs="David" w:hint="cs"/>
          <w:rtl/>
        </w:rPr>
        <w:t xml:space="preserve">, באירוע בו </w:t>
      </w:r>
      <w:r w:rsidR="00A51485" w:rsidRPr="00673290">
        <w:rPr>
          <w:rFonts w:ascii="David" w:hAnsi="David" w:cs="David" w:hint="cs"/>
          <w:rtl/>
        </w:rPr>
        <w:t xml:space="preserve">הנאשם </w:t>
      </w:r>
      <w:r w:rsidR="00A51485">
        <w:rPr>
          <w:rFonts w:ascii="David" w:hAnsi="David" w:cs="David" w:hint="cs"/>
          <w:rtl/>
        </w:rPr>
        <w:t xml:space="preserve">איים </w:t>
      </w:r>
      <w:r w:rsidR="00A51485" w:rsidRPr="00673290">
        <w:rPr>
          <w:rFonts w:ascii="David" w:hAnsi="David" w:cs="David" w:hint="cs"/>
          <w:rtl/>
        </w:rPr>
        <w:t xml:space="preserve">על המתלוננת שאם תיגע בטלוויזיה הוא ישבור אותה וירק לעברה. </w:t>
      </w:r>
      <w:r w:rsidR="00A51485">
        <w:rPr>
          <w:rFonts w:ascii="David" w:hAnsi="David" w:cs="David" w:hint="cs"/>
          <w:rtl/>
        </w:rPr>
        <w:t xml:space="preserve">נוכח התרשמותה </w:t>
      </w:r>
      <w:r w:rsidR="00A51485" w:rsidRPr="00673290">
        <w:rPr>
          <w:rFonts w:ascii="David" w:hAnsi="David" w:cs="David" w:hint="cs"/>
          <w:rtl/>
        </w:rPr>
        <w:t xml:space="preserve">כי הקושי של הנאשם לשתף פעולה עם גורמי הטיפול לא נבע מזלזול אלא </w:t>
      </w:r>
      <w:r w:rsidR="00A51485">
        <w:rPr>
          <w:rFonts w:ascii="David" w:hAnsi="David" w:cs="David" w:hint="cs"/>
          <w:rtl/>
        </w:rPr>
        <w:t xml:space="preserve">בשל </w:t>
      </w:r>
      <w:r w:rsidR="00A51485" w:rsidRPr="00673290">
        <w:rPr>
          <w:rFonts w:ascii="David" w:hAnsi="David" w:cs="David" w:hint="cs"/>
          <w:rtl/>
        </w:rPr>
        <w:t>קושי אישי להשתתף בטיפול קבוצתי</w:t>
      </w:r>
      <w:r w:rsidR="00A51485">
        <w:rPr>
          <w:rFonts w:ascii="David" w:hAnsi="David" w:cs="David" w:hint="cs"/>
          <w:rtl/>
        </w:rPr>
        <w:t>, מאחר ש</w:t>
      </w:r>
      <w:r w:rsidR="00A51485" w:rsidRPr="00673290">
        <w:rPr>
          <w:rFonts w:ascii="David" w:hAnsi="David" w:cs="David" w:hint="cs"/>
          <w:rtl/>
        </w:rPr>
        <w:t>האירוע הי</w:t>
      </w:r>
      <w:r w:rsidR="00A51485">
        <w:rPr>
          <w:rFonts w:ascii="David" w:hAnsi="David" w:cs="David" w:hint="cs"/>
          <w:rtl/>
        </w:rPr>
        <w:t>ה</w:t>
      </w:r>
      <w:r w:rsidR="00A51485" w:rsidRPr="00673290">
        <w:rPr>
          <w:rFonts w:ascii="David" w:hAnsi="David" w:cs="David" w:hint="cs"/>
          <w:rtl/>
        </w:rPr>
        <w:t xml:space="preserve"> נקודתי</w:t>
      </w:r>
      <w:r w:rsidR="00A51485">
        <w:rPr>
          <w:rFonts w:ascii="David" w:hAnsi="David" w:cs="David" w:hint="cs"/>
          <w:rtl/>
        </w:rPr>
        <w:t xml:space="preserve">, במסגרת </w:t>
      </w:r>
      <w:r w:rsidR="00A51485" w:rsidRPr="00673290">
        <w:rPr>
          <w:rFonts w:ascii="David" w:hAnsi="David" w:cs="David" w:hint="cs"/>
          <w:rtl/>
        </w:rPr>
        <w:t>מערכת יחסים של למעלה מ-10 שנים</w:t>
      </w:r>
      <w:r w:rsidR="00A51485">
        <w:rPr>
          <w:rFonts w:ascii="David" w:hAnsi="David" w:cs="David" w:hint="cs"/>
          <w:rtl/>
        </w:rPr>
        <w:t xml:space="preserve">, בהיותו </w:t>
      </w:r>
      <w:r w:rsidR="00A51485" w:rsidRPr="00673290">
        <w:rPr>
          <w:rFonts w:ascii="David" w:hAnsi="David" w:cs="David" w:hint="cs"/>
          <w:rtl/>
        </w:rPr>
        <w:t>נעדר עבר פלילי</w:t>
      </w:r>
      <w:r w:rsidR="00A51485">
        <w:rPr>
          <w:rFonts w:ascii="David" w:hAnsi="David" w:cs="David" w:hint="cs"/>
          <w:rtl/>
        </w:rPr>
        <w:t xml:space="preserve"> ובהינתן כי </w:t>
      </w:r>
      <w:r w:rsidR="00A51485" w:rsidRPr="00673290">
        <w:rPr>
          <w:rFonts w:ascii="David" w:hAnsi="David" w:cs="David" w:hint="cs"/>
          <w:rtl/>
        </w:rPr>
        <w:t>מתסקירי שירות המבחן</w:t>
      </w:r>
      <w:r w:rsidR="00A51485">
        <w:rPr>
          <w:rFonts w:ascii="David" w:hAnsi="David" w:cs="David" w:hint="cs"/>
          <w:rtl/>
        </w:rPr>
        <w:t xml:space="preserve"> עלה</w:t>
      </w:r>
      <w:r w:rsidR="00A51485" w:rsidRPr="00673290">
        <w:rPr>
          <w:rFonts w:ascii="David" w:hAnsi="David" w:cs="David" w:hint="cs"/>
          <w:rtl/>
        </w:rPr>
        <w:t xml:space="preserve">, </w:t>
      </w:r>
      <w:r w:rsidR="00A51485">
        <w:rPr>
          <w:rFonts w:ascii="David" w:hAnsi="David" w:cs="David" w:hint="cs"/>
          <w:rtl/>
        </w:rPr>
        <w:t>שה</w:t>
      </w:r>
      <w:r w:rsidR="00A51485" w:rsidRPr="00673290">
        <w:rPr>
          <w:rFonts w:ascii="David" w:hAnsi="David" w:cs="David" w:hint="cs"/>
          <w:rtl/>
        </w:rPr>
        <w:t>נאשם ג</w:t>
      </w:r>
      <w:r w:rsidR="00A51485">
        <w:rPr>
          <w:rFonts w:ascii="David" w:hAnsi="David" w:cs="David" w:hint="cs"/>
          <w:rtl/>
        </w:rPr>
        <w:t>י</w:t>
      </w:r>
      <w:r w:rsidR="00A51485" w:rsidRPr="00673290">
        <w:rPr>
          <w:rFonts w:ascii="David" w:hAnsi="David" w:cs="David" w:hint="cs"/>
          <w:rtl/>
        </w:rPr>
        <w:t>לה אחריות למשפחתו ופרנסתה ו</w:t>
      </w:r>
      <w:r w:rsidR="00A51485">
        <w:rPr>
          <w:rFonts w:ascii="David" w:hAnsi="David" w:cs="David" w:hint="cs"/>
          <w:rtl/>
        </w:rPr>
        <w:t>כי הרשעה עלולה לפגוע באפשרותו להתקבל ל</w:t>
      </w:r>
      <w:r w:rsidR="00A51485" w:rsidRPr="00673290">
        <w:rPr>
          <w:rFonts w:ascii="David" w:hAnsi="David" w:cs="David" w:hint="cs"/>
          <w:rtl/>
        </w:rPr>
        <w:t>חלק ממקומות העב</w:t>
      </w:r>
      <w:r w:rsidR="00A51485">
        <w:rPr>
          <w:rFonts w:ascii="David" w:hAnsi="David" w:cs="David" w:hint="cs"/>
          <w:rtl/>
        </w:rPr>
        <w:t>ו</w:t>
      </w:r>
      <w:r w:rsidR="00A51485" w:rsidRPr="00673290">
        <w:rPr>
          <w:rFonts w:ascii="David" w:hAnsi="David" w:cs="David" w:hint="cs"/>
          <w:rtl/>
        </w:rPr>
        <w:t>דה הפוטנציאליים</w:t>
      </w:r>
      <w:r w:rsidR="00A51485">
        <w:rPr>
          <w:rFonts w:ascii="David" w:hAnsi="David" w:cs="David" w:hint="cs"/>
          <w:rtl/>
        </w:rPr>
        <w:t xml:space="preserve"> - נקבע כי ל</w:t>
      </w:r>
      <w:r w:rsidR="00A51485" w:rsidRPr="00673290">
        <w:rPr>
          <w:rFonts w:ascii="David" w:hAnsi="David" w:cs="David" w:hint="cs"/>
          <w:rtl/>
        </w:rPr>
        <w:t xml:space="preserve">נאשם סיכוי ממשי כי הנאשם ישתקם </w:t>
      </w:r>
      <w:r w:rsidR="00A51485">
        <w:rPr>
          <w:rFonts w:ascii="David" w:hAnsi="David" w:cs="David" w:hint="cs"/>
          <w:rtl/>
        </w:rPr>
        <w:t xml:space="preserve">ומשכך יש הצדקה לסטיה </w:t>
      </w:r>
      <w:r w:rsidR="00A51485" w:rsidRPr="00673290">
        <w:rPr>
          <w:rFonts w:ascii="David" w:hAnsi="David" w:cs="David" w:hint="cs"/>
          <w:rtl/>
        </w:rPr>
        <w:t>לקולא ממתחמי הענישה</w:t>
      </w:r>
      <w:r w:rsidR="00A51485">
        <w:rPr>
          <w:rFonts w:ascii="David" w:hAnsi="David" w:cs="David" w:hint="cs"/>
          <w:rtl/>
        </w:rPr>
        <w:t>. הושתו</w:t>
      </w:r>
      <w:r w:rsidR="00A51485" w:rsidRPr="00673290">
        <w:rPr>
          <w:rFonts w:ascii="David" w:hAnsi="David" w:cs="David" w:hint="cs"/>
          <w:rtl/>
        </w:rPr>
        <w:t xml:space="preserve"> 1,500 ₪ התחייבות ו</w:t>
      </w:r>
      <w:r w:rsidR="00A51485">
        <w:rPr>
          <w:rFonts w:ascii="David" w:hAnsi="David" w:cs="David" w:hint="cs"/>
          <w:rtl/>
        </w:rPr>
        <w:t xml:space="preserve">-2,500 ₪ </w:t>
      </w:r>
      <w:r w:rsidR="00A51485" w:rsidRPr="00673290">
        <w:rPr>
          <w:rFonts w:ascii="David" w:hAnsi="David" w:cs="David" w:hint="cs"/>
          <w:rtl/>
        </w:rPr>
        <w:t>הוצאות משפט</w:t>
      </w:r>
      <w:r w:rsidR="00A51485">
        <w:rPr>
          <w:rFonts w:ascii="David" w:hAnsi="David" w:cs="David" w:hint="cs"/>
          <w:rtl/>
        </w:rPr>
        <w:t>.</w:t>
      </w:r>
    </w:p>
    <w:p w14:paraId="4422A565" w14:textId="77777777" w:rsidR="00A51485" w:rsidRPr="00185E74" w:rsidRDefault="00A51485" w:rsidP="00A51485">
      <w:pPr>
        <w:pStyle w:val="a9"/>
        <w:widowControl w:val="0"/>
        <w:rPr>
          <w:rFonts w:ascii="David" w:hAnsi="David"/>
          <w:rtl/>
        </w:rPr>
      </w:pPr>
    </w:p>
    <w:p w14:paraId="002FE3B8"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1" w:history="1">
        <w:r w:rsidRPr="007A28F5">
          <w:rPr>
            <w:rFonts w:ascii="David" w:hAnsi="David" w:cs="David"/>
            <w:color w:val="0000FF"/>
            <w:u w:val="single"/>
            <w:rtl/>
          </w:rPr>
          <w:t>ת"פ (ק"ג) 4768-01-19</w:t>
        </w:r>
      </w:hyperlink>
      <w:r w:rsidR="00A51485" w:rsidRPr="000660D4">
        <w:rPr>
          <w:rFonts w:ascii="David" w:hAnsi="David" w:cs="David" w:hint="cs"/>
          <w:rtl/>
        </w:rPr>
        <w:t xml:space="preserve"> </w:t>
      </w:r>
      <w:r w:rsidR="00A51485" w:rsidRPr="000660D4">
        <w:rPr>
          <w:rFonts w:ascii="Miriam" w:hAnsi="Miriam" w:cs="Miriam" w:hint="cs"/>
          <w:b/>
          <w:bCs/>
          <w:sz w:val="22"/>
          <w:szCs w:val="22"/>
          <w:rtl/>
        </w:rPr>
        <w:t xml:space="preserve">מדינת ישראל נ' פלוני </w:t>
      </w:r>
      <w:r w:rsidR="00A51485" w:rsidRPr="000660D4">
        <w:rPr>
          <w:rFonts w:ascii="David" w:hAnsi="David" w:cs="David" w:hint="cs"/>
          <w:rtl/>
        </w:rPr>
        <w:t>(10.7.19)</w:t>
      </w:r>
      <w:r w:rsidR="00A51485" w:rsidRPr="008B3E5E">
        <w:rPr>
          <w:rFonts w:ascii="David" w:hAnsi="David" w:cs="David"/>
          <w:rtl/>
        </w:rPr>
        <w:t xml:space="preserve"> </w:t>
      </w:r>
      <w:r w:rsidR="00A51485" w:rsidRPr="004466CD">
        <w:rPr>
          <w:rFonts w:ascii="David" w:hAnsi="David" w:cs="David"/>
          <w:rtl/>
        </w:rPr>
        <w:t>אליו הפנה ב"כ ה</w:t>
      </w:r>
      <w:r w:rsidR="00A51485">
        <w:rPr>
          <w:rFonts w:ascii="David" w:hAnsi="David" w:cs="David" w:hint="cs"/>
          <w:rtl/>
        </w:rPr>
        <w:t xml:space="preserve">נאשמת </w:t>
      </w:r>
      <w:r w:rsidR="00A51485" w:rsidRPr="000660D4">
        <w:rPr>
          <w:rFonts w:ascii="David" w:hAnsi="David" w:cs="David" w:hint="cs"/>
          <w:rtl/>
        </w:rPr>
        <w:t>- כבוד השופטת טל לחיאני שהם ביטלה הרשעה בתקיפה</w:t>
      </w:r>
      <w:r w:rsidR="00A51485">
        <w:rPr>
          <w:rFonts w:ascii="David" w:hAnsi="David" w:cs="David" w:hint="cs"/>
          <w:rtl/>
        </w:rPr>
        <w:t xml:space="preserve">, במקרה בו </w:t>
      </w:r>
      <w:r w:rsidR="00A51485" w:rsidRPr="000660D4">
        <w:rPr>
          <w:rFonts w:ascii="David" w:hAnsi="David" w:cs="David" w:hint="cs"/>
          <w:rtl/>
        </w:rPr>
        <w:t xml:space="preserve">המתלונן נפל על הקרקע כתוצאה מכך שהנאשם בעט בכסאו בטקס סיום טירונות של בת הנאשם. הנאשם כבן 40, נעדר עבר, גרוש ואב ל-2 בנות, מתגורר בגפו בדירה שכורה, לקח אחריות חלקית, </w:t>
      </w:r>
      <w:r w:rsidR="00A51485">
        <w:rPr>
          <w:rFonts w:ascii="David" w:hAnsi="David" w:cs="David" w:hint="cs"/>
          <w:rtl/>
        </w:rPr>
        <w:t xml:space="preserve">חש </w:t>
      </w:r>
      <w:r w:rsidR="00A51485" w:rsidRPr="000660D4">
        <w:rPr>
          <w:rFonts w:ascii="David" w:hAnsi="David" w:cs="David" w:hint="cs"/>
          <w:rtl/>
        </w:rPr>
        <w:t xml:space="preserve">תחושות קרבנות, עסוק בצרכיו ומתקשה לגלות אמפתיה. סרב לקשר טיפולי ולבצע </w:t>
      </w:r>
      <w:r w:rsidR="00A51485">
        <w:rPr>
          <w:rFonts w:ascii="David" w:hAnsi="David" w:cs="David" w:hint="cs"/>
          <w:rtl/>
        </w:rPr>
        <w:t>של</w:t>
      </w:r>
      <w:r w:rsidR="00A51485">
        <w:rPr>
          <w:rFonts w:ascii="David" w:hAnsi="David" w:cs="David"/>
          <w:rtl/>
        </w:rPr>
        <w:t>"</w:t>
      </w:r>
      <w:r w:rsidR="00A51485">
        <w:rPr>
          <w:rFonts w:ascii="David" w:hAnsi="David" w:cs="David" w:hint="cs"/>
          <w:rtl/>
        </w:rPr>
        <w:t>צ</w:t>
      </w:r>
      <w:r w:rsidR="00A51485" w:rsidRPr="000660D4">
        <w:rPr>
          <w:rFonts w:ascii="David" w:hAnsi="David" w:cs="David" w:hint="cs"/>
          <w:rtl/>
        </w:rPr>
        <w:t xml:space="preserve"> ולכן שירות המבחן נמנע מהמלצה. ברקע מערכת יחסים מורכבת וארוכת שנים בין הנאשם לגרושתו ובני משפחה, כאשר עלה הן מהתסקיר והן מתיעוד רפואי כי הנאשם סובל ממצב רפואי ונפשי מורכב שהתפתח כתוצאה מהגירושין. הוצג מסמך לפיו תגרם פגיעה קונקרטית בהמשך העסקת הנאשם </w:t>
      </w:r>
      <w:r w:rsidR="00A51485">
        <w:rPr>
          <w:rFonts w:ascii="David" w:hAnsi="David" w:cs="David" w:hint="cs"/>
          <w:rtl/>
        </w:rPr>
        <w:t xml:space="preserve">בנקיון בית ספר </w:t>
      </w:r>
      <w:r w:rsidR="00A51485" w:rsidRPr="000660D4">
        <w:rPr>
          <w:rFonts w:ascii="David" w:hAnsi="David" w:cs="David" w:hint="cs"/>
          <w:rtl/>
        </w:rPr>
        <w:t xml:space="preserve">אם ההרשעה תעמוד על כנה. נקבע כי הנאשם יבצע 100 שעות </w:t>
      </w:r>
      <w:r w:rsidR="00A51485">
        <w:rPr>
          <w:rFonts w:ascii="David" w:hAnsi="David" w:cs="David" w:hint="cs"/>
          <w:rtl/>
        </w:rPr>
        <w:t>של</w:t>
      </w:r>
      <w:r w:rsidR="00A51485">
        <w:rPr>
          <w:rFonts w:ascii="David" w:hAnsi="David" w:cs="David"/>
          <w:rtl/>
        </w:rPr>
        <w:t>"</w:t>
      </w:r>
      <w:r w:rsidR="00A51485">
        <w:rPr>
          <w:rFonts w:ascii="David" w:hAnsi="David" w:cs="David" w:hint="cs"/>
          <w:rtl/>
        </w:rPr>
        <w:t>צ</w:t>
      </w:r>
      <w:r w:rsidR="00A51485" w:rsidRPr="000660D4">
        <w:rPr>
          <w:rFonts w:ascii="David" w:hAnsi="David" w:cs="David" w:hint="cs"/>
          <w:rtl/>
        </w:rPr>
        <w:t>, ישלם 1,000 ₪ פיצוי ויצהיר על 1,500 ₪ התחייבות</w:t>
      </w:r>
      <w:r w:rsidR="00A51485">
        <w:rPr>
          <w:rFonts w:ascii="David" w:hAnsi="David" w:cs="David" w:hint="cs"/>
          <w:rtl/>
        </w:rPr>
        <w:t>.</w:t>
      </w:r>
    </w:p>
    <w:p w14:paraId="483FBD05" w14:textId="77777777" w:rsidR="00A51485" w:rsidRDefault="00A51485" w:rsidP="00A51485">
      <w:pPr>
        <w:pStyle w:val="a9"/>
        <w:widowControl w:val="0"/>
        <w:rPr>
          <w:rFonts w:ascii="David" w:hAnsi="David"/>
          <w:rtl/>
        </w:rPr>
      </w:pPr>
    </w:p>
    <w:p w14:paraId="504344FB"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2" w:history="1">
        <w:r w:rsidRPr="007A28F5">
          <w:rPr>
            <w:rFonts w:ascii="David" w:hAnsi="David" w:cs="David"/>
            <w:color w:val="0000FF"/>
            <w:u w:val="single"/>
            <w:rtl/>
          </w:rPr>
          <w:t>ת"פ (אילת) 20557-04-18</w:t>
        </w:r>
      </w:hyperlink>
      <w:r w:rsidR="00A51485">
        <w:rPr>
          <w:rFonts w:ascii="David" w:hAnsi="David" w:cs="David" w:hint="cs"/>
          <w:rtl/>
        </w:rPr>
        <w:t xml:space="preserve"> </w:t>
      </w:r>
      <w:r w:rsidR="00A51485" w:rsidRPr="00F97167">
        <w:rPr>
          <w:rFonts w:ascii="Miriam" w:hAnsi="Miriam" w:cs="Miriam" w:hint="cs"/>
          <w:b/>
          <w:bCs/>
          <w:sz w:val="22"/>
          <w:szCs w:val="22"/>
          <w:rtl/>
        </w:rPr>
        <w:t xml:space="preserve">מדינת ישראל נ' פלוני </w:t>
      </w:r>
      <w:r w:rsidR="00A51485">
        <w:rPr>
          <w:rFonts w:ascii="David" w:hAnsi="David" w:cs="David" w:hint="cs"/>
          <w:rtl/>
        </w:rPr>
        <w:t>(19.6.19)</w:t>
      </w:r>
      <w:r w:rsidR="00A51485" w:rsidRPr="008B3E5E">
        <w:rPr>
          <w:rFonts w:ascii="David" w:hAnsi="David" w:cs="David"/>
          <w:rtl/>
        </w:rPr>
        <w:t xml:space="preserve"> </w:t>
      </w:r>
      <w:r w:rsidR="00A51485" w:rsidRPr="004466CD">
        <w:rPr>
          <w:rFonts w:ascii="David" w:hAnsi="David" w:cs="David"/>
          <w:rtl/>
        </w:rPr>
        <w:t>אליו הפנה ב"כ ה</w:t>
      </w:r>
      <w:r w:rsidR="00A51485">
        <w:rPr>
          <w:rFonts w:ascii="David" w:hAnsi="David" w:cs="David" w:hint="cs"/>
          <w:rtl/>
        </w:rPr>
        <w:t>נאשמת - כב' הש' שי ברגר ביטל הרשעה בתקיפת בת זוג, באירוע בו אחז בחולצתה ומשך אותה מחוץ לדירה והיזק לרכוש במזיד, בכך שהשליך כסא פלסטיק ושבר חלון המרפסת. הנאשם נעדר עבר פלילי, אב לילד עם צרכים מיוחדים, שעל רקע חזרתו לביתו החלו ויכוחים עם זוגתו, אשר שללה אירועי אלימות לאורך השנים. שירות המבחן התרשם כי קיים סיכון נמוך לביצוע עבירות אלמ"ב והמליץ על של</w:t>
      </w:r>
      <w:r w:rsidR="00A51485">
        <w:rPr>
          <w:rFonts w:ascii="David" w:hAnsi="David" w:cs="David"/>
          <w:rtl/>
        </w:rPr>
        <w:t>"</w:t>
      </w:r>
      <w:r w:rsidR="00A51485">
        <w:rPr>
          <w:rFonts w:ascii="David" w:hAnsi="David" w:cs="David" w:hint="cs"/>
          <w:rtl/>
        </w:rPr>
        <w:t>צ, אך לא בא בהמלצה לבטל הרשעה בהעדר מסמכים רלוונטיים. חרף זאת ההרשעה בוטלה והושתו מבחן, של</w:t>
      </w:r>
      <w:r w:rsidR="00A51485">
        <w:rPr>
          <w:rFonts w:ascii="David" w:hAnsi="David" w:cs="David"/>
          <w:rtl/>
        </w:rPr>
        <w:t>"</w:t>
      </w:r>
      <w:r w:rsidR="00A51485">
        <w:rPr>
          <w:rFonts w:ascii="David" w:hAnsi="David" w:cs="David" w:hint="cs"/>
          <w:rtl/>
        </w:rPr>
        <w:t xml:space="preserve">צ ו-1,000 ₪ התחייבות. </w:t>
      </w:r>
    </w:p>
    <w:p w14:paraId="3FBA2315" w14:textId="77777777" w:rsidR="00A51485" w:rsidRPr="001A0877" w:rsidRDefault="00A51485" w:rsidP="00A51485">
      <w:pPr>
        <w:pStyle w:val="a9"/>
        <w:widowControl w:val="0"/>
        <w:rPr>
          <w:rFonts w:ascii="David" w:hAnsi="David"/>
          <w:rtl/>
        </w:rPr>
      </w:pPr>
    </w:p>
    <w:p w14:paraId="62E0A48F" w14:textId="77777777" w:rsidR="00A51485" w:rsidRPr="000660D4"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3" w:history="1">
        <w:r w:rsidRPr="007A28F5">
          <w:rPr>
            <w:rFonts w:ascii="David" w:hAnsi="David" w:cs="David"/>
            <w:color w:val="0000FF"/>
            <w:u w:val="single"/>
            <w:rtl/>
          </w:rPr>
          <w:t>ת"פ (ק"ג) 33504-07-17</w:t>
        </w:r>
      </w:hyperlink>
      <w:r w:rsidR="00A51485">
        <w:rPr>
          <w:rFonts w:ascii="David" w:hAnsi="David" w:cs="David" w:hint="cs"/>
          <w:rtl/>
        </w:rPr>
        <w:t xml:space="preserve"> </w:t>
      </w:r>
      <w:r w:rsidR="00A51485" w:rsidRPr="00F97167">
        <w:rPr>
          <w:rFonts w:ascii="Miriam" w:hAnsi="Miriam" w:cs="Miriam" w:hint="cs"/>
          <w:b/>
          <w:bCs/>
          <w:sz w:val="22"/>
          <w:szCs w:val="22"/>
          <w:rtl/>
        </w:rPr>
        <w:t>מדינת ישראל נ' פלוני</w:t>
      </w:r>
      <w:r w:rsidR="00A51485">
        <w:rPr>
          <w:rFonts w:ascii="David" w:hAnsi="David" w:cs="David" w:hint="cs"/>
          <w:rtl/>
        </w:rPr>
        <w:t xml:space="preserve"> (21.1.19) </w:t>
      </w:r>
      <w:r w:rsidR="00A51485" w:rsidRPr="004466CD">
        <w:rPr>
          <w:rFonts w:ascii="David" w:hAnsi="David" w:cs="David"/>
          <w:rtl/>
        </w:rPr>
        <w:t>אליו הפנה ב"כ ה</w:t>
      </w:r>
      <w:r w:rsidR="00A51485">
        <w:rPr>
          <w:rFonts w:ascii="David" w:hAnsi="David" w:cs="David" w:hint="cs"/>
          <w:rtl/>
        </w:rPr>
        <w:t xml:space="preserve">נאשמת - כב' סגנית הנשיא, הש' שמואלי מאייר, ביטלה הרשעה בתקיפת מתלוננת, שכללה משיכה בשערה ומכות בראשה ובפגיעה בפרטיותה בכך שהניח מכשיר שמע בתיקה, הכל על רקע חשדו כי בוגדת בו. נוכח מכתב מנהל משאבי אנוש בחברה בה עובד הנאשם 19 שנים, לפיו יפוטר אם יורשע, נקבע כי הוכח נזק קונקרטי. בנוסף, נקבע כי מצבו הרפואי הרעוע בגינו נקבעה לו נכות כתוצאה מתאונת דרכים שעבר, עלול לחסום אותו מלמצוא עבודה אם יפוטר. בני הזוג היו בעיצומו של הליך טיפולי זוגי ונקבע כי הרשעתו תעיב עליו ותפגע בו, כמו גם פיטוריו. הנאשם עבר הליך שיקום משמעותי. כן ניתן משקל לעמדת המתלוננת. נקבע שנוכח כל האמור ובהיותו נעדר עבר פלילי עומד הנאשם בתנאי </w:t>
      </w:r>
      <w:r w:rsidR="00A51485" w:rsidRPr="00F75043">
        <w:rPr>
          <w:rFonts w:ascii="Miriam" w:hAnsi="Miriam" w:cs="Miriam" w:hint="cs"/>
          <w:b/>
          <w:bCs/>
          <w:sz w:val="22"/>
          <w:szCs w:val="22"/>
          <w:rtl/>
        </w:rPr>
        <w:t>הלכת כתב</w:t>
      </w:r>
      <w:r w:rsidR="00A51485">
        <w:rPr>
          <w:rFonts w:ascii="David" w:hAnsi="David" w:cs="David" w:hint="cs"/>
          <w:rtl/>
        </w:rPr>
        <w:t>, גם נוכח הסיכון הנמוך שיבצע עבירות אלמ"ב. הושתו של</w:t>
      </w:r>
      <w:r w:rsidR="00A51485">
        <w:rPr>
          <w:rFonts w:ascii="David" w:hAnsi="David" w:cs="David"/>
          <w:rtl/>
        </w:rPr>
        <w:t>"</w:t>
      </w:r>
      <w:r w:rsidR="00A51485">
        <w:rPr>
          <w:rFonts w:ascii="David" w:hAnsi="David" w:cs="David" w:hint="cs"/>
          <w:rtl/>
        </w:rPr>
        <w:t xml:space="preserve">צ, מבחן ו-10,000 ₪ התחייבות. </w:t>
      </w:r>
    </w:p>
    <w:p w14:paraId="5F15EA2C" w14:textId="77777777" w:rsidR="00A51485" w:rsidRPr="004466CD" w:rsidRDefault="00A51485" w:rsidP="00A51485">
      <w:pPr>
        <w:pStyle w:val="a9"/>
        <w:widowControl w:val="0"/>
        <w:rPr>
          <w:rFonts w:ascii="David" w:hAnsi="David"/>
          <w:rtl/>
        </w:rPr>
      </w:pPr>
    </w:p>
    <w:p w14:paraId="66C58D39"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4" w:history="1">
        <w:r w:rsidRPr="007A28F5">
          <w:rPr>
            <w:rFonts w:ascii="David" w:hAnsi="David" w:cs="David"/>
            <w:color w:val="0000FF"/>
            <w:u w:val="single"/>
            <w:rtl/>
          </w:rPr>
          <w:t>ת"פ (כ"ס) 40737-08-16</w:t>
        </w:r>
      </w:hyperlink>
      <w:r w:rsidR="00A51485" w:rsidRPr="004466CD">
        <w:rPr>
          <w:rFonts w:ascii="David" w:hAnsi="David" w:cs="David"/>
          <w:rtl/>
        </w:rPr>
        <w:t xml:space="preserve"> </w:t>
      </w:r>
      <w:r w:rsidR="00A51485" w:rsidRPr="004466CD">
        <w:rPr>
          <w:rFonts w:ascii="Miriam" w:hAnsi="Miriam" w:cs="Miriam"/>
          <w:b/>
          <w:bCs/>
          <w:sz w:val="22"/>
          <w:szCs w:val="22"/>
          <w:rtl/>
        </w:rPr>
        <w:t>מדינת ישראל נ' סוויסה</w:t>
      </w:r>
      <w:r w:rsidR="00A51485" w:rsidRPr="004466CD">
        <w:rPr>
          <w:rFonts w:ascii="David" w:hAnsi="David" w:cs="David"/>
          <w:rtl/>
        </w:rPr>
        <w:t xml:space="preserve"> (13.6.18) - לאחר שהורשע ב-2 עבירות תיווך בסם מסוכן, הספקת סם מסוכן, עסקה אחרת בסם מסוכן ו-2 עבירות סחר בסם מסוכן - בוטלה הרשעת צעיר כבן 20, נעדר עבר פלילי, עם נסיבות חיים מורכבות והושתו עליו צו מבחן לשנה ו-300 שעות עבודות שירות לתועלת הציבור, הגם שהכלל בעבירות אלו הוא הרשעה נוכח האינטרס הציבורי.</w:t>
      </w:r>
    </w:p>
    <w:p w14:paraId="43C7AB7C" w14:textId="77777777" w:rsidR="00A51485" w:rsidRDefault="00A51485" w:rsidP="00A51485">
      <w:pPr>
        <w:pStyle w:val="a9"/>
        <w:widowControl w:val="0"/>
        <w:rPr>
          <w:rFonts w:ascii="David" w:hAnsi="David"/>
          <w:rtl/>
        </w:rPr>
      </w:pPr>
    </w:p>
    <w:p w14:paraId="5E0A7D7A"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5" w:history="1">
        <w:r w:rsidRPr="007A28F5">
          <w:rPr>
            <w:rFonts w:ascii="David" w:hAnsi="David" w:cs="David"/>
            <w:color w:val="0000FF"/>
            <w:u w:val="single"/>
            <w:rtl/>
          </w:rPr>
          <w:t>ת"פ (ק"ג) 35384-05-14</w:t>
        </w:r>
      </w:hyperlink>
      <w:r w:rsidR="00A51485" w:rsidRPr="004466CD">
        <w:rPr>
          <w:rFonts w:ascii="David" w:hAnsi="David" w:cs="David"/>
          <w:rtl/>
        </w:rPr>
        <w:t xml:space="preserve"> </w:t>
      </w:r>
      <w:r w:rsidR="00A51485" w:rsidRPr="004466CD">
        <w:rPr>
          <w:rFonts w:ascii="Miriam" w:hAnsi="Miriam" w:cs="Miriam"/>
          <w:b/>
          <w:bCs/>
          <w:sz w:val="22"/>
          <w:szCs w:val="22"/>
          <w:rtl/>
        </w:rPr>
        <w:t>מדינת ישראל נ' עטיה ואח'</w:t>
      </w:r>
      <w:r w:rsidR="00A51485" w:rsidRPr="004466CD">
        <w:rPr>
          <w:rFonts w:ascii="David" w:hAnsi="David" w:cs="David"/>
          <w:rtl/>
        </w:rPr>
        <w:t xml:space="preserve"> (30.3.16) (להלן </w:t>
      </w:r>
      <w:r w:rsidR="00A51485" w:rsidRPr="004466CD">
        <w:rPr>
          <w:rFonts w:ascii="Miriam" w:hAnsi="Miriam" w:cs="Miriam"/>
          <w:b/>
          <w:bCs/>
          <w:sz w:val="22"/>
          <w:szCs w:val="22"/>
          <w:rtl/>
        </w:rPr>
        <w:t>ענין עטיה</w:t>
      </w:r>
      <w:r w:rsidR="00A51485" w:rsidRPr="004466CD">
        <w:rPr>
          <w:rFonts w:ascii="David" w:hAnsi="David" w:cs="David"/>
          <w:rtl/>
        </w:rPr>
        <w:t xml:space="preserve">)- כב' הש' דינה כהן ביטלה הרשעת הנאשמים בגידול סם (4 עציצים שמשקלם הכולל כ-400 גרם נטו) והחזקת כלים להכנת סם שלא לצריכה עצמית (מערכת חשמל ותאורה לגידול), הגם שלא הוכח נזק קונקרטי מעבר לחשש לפגיעה בתעסוקתם (ברכבת ישראל וחברת החשמל), נוכח גילם (בני 26), שירותם הצבאי, נסיבותיהם האישיות והמלצות שירות המבחן בעניינם. על נאשמים 1 ו-2 הושתו 350 שעות </w:t>
      </w:r>
      <w:r w:rsidR="00A51485">
        <w:rPr>
          <w:rFonts w:ascii="David" w:hAnsi="David" w:cs="David"/>
          <w:rtl/>
        </w:rPr>
        <w:t>של"צ</w:t>
      </w:r>
      <w:r w:rsidR="00A51485" w:rsidRPr="004466CD">
        <w:rPr>
          <w:rFonts w:ascii="David" w:hAnsi="David" w:cs="David"/>
          <w:rtl/>
        </w:rPr>
        <w:t xml:space="preserve">, צו מבחן לשנה, 5,000 ₪ התחייבות, 12 חודשי פסילה מותנית ו-2,000 ₪ הוצאות משפט. </w:t>
      </w:r>
      <w:r w:rsidR="00A51485">
        <w:rPr>
          <w:rFonts w:ascii="David" w:hAnsi="David" w:cs="David" w:hint="cs"/>
          <w:rtl/>
        </w:rPr>
        <w:t xml:space="preserve">מעשיהם של נאשמים 1 ו-2 חמורים ממעשיה של הנאשמת שלפניי. </w:t>
      </w:r>
      <w:r w:rsidR="00A51485" w:rsidRPr="004466CD">
        <w:rPr>
          <w:rFonts w:ascii="David" w:hAnsi="David" w:cs="David"/>
          <w:rtl/>
        </w:rPr>
        <w:t>להשלמת התמונה אציין כי גם עניינו של נאשם 3 הסתיים ללא הרשעה, אולם הוא החזיק קנבוס לשימוש עצמי.</w:t>
      </w:r>
    </w:p>
    <w:p w14:paraId="537C8B75" w14:textId="77777777" w:rsidR="00A51485" w:rsidRDefault="00A51485" w:rsidP="00A51485">
      <w:pPr>
        <w:pStyle w:val="a9"/>
        <w:widowControl w:val="0"/>
        <w:rPr>
          <w:rFonts w:ascii="David" w:hAnsi="David"/>
          <w:rtl/>
        </w:rPr>
      </w:pPr>
    </w:p>
    <w:p w14:paraId="6BFEF50C"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6" w:history="1">
        <w:r w:rsidRPr="007A28F5">
          <w:rPr>
            <w:rFonts w:ascii="David" w:hAnsi="David" w:cs="David"/>
            <w:color w:val="0000FF"/>
            <w:u w:val="single"/>
            <w:rtl/>
          </w:rPr>
          <w:t>ת"פ (ת"א) 23797-03-14</w:t>
        </w:r>
      </w:hyperlink>
      <w:r>
        <w:rPr>
          <w:rFonts w:ascii="David" w:hAnsi="David" w:cs="David"/>
          <w:rtl/>
        </w:rPr>
        <w:t xml:space="preserve"> </w:t>
      </w:r>
      <w:r w:rsidR="00A51485" w:rsidRPr="00B33BDA">
        <w:rPr>
          <w:rFonts w:ascii="Miriam" w:hAnsi="Miriam" w:cs="Miriam"/>
          <w:b/>
          <w:bCs/>
          <w:sz w:val="22"/>
          <w:szCs w:val="22"/>
          <w:rtl/>
        </w:rPr>
        <w:t>מדינת ישראל נ' אביב</w:t>
      </w:r>
      <w:r w:rsidR="00A51485" w:rsidRPr="00B33BDA">
        <w:rPr>
          <w:rFonts w:ascii="David" w:hAnsi="David" w:cs="David"/>
          <w:rtl/>
        </w:rPr>
        <w:t xml:space="preserve"> (1.12.15) - לאחר הודאתו בגידול שתילי קנבוס במשקל 923.62 גרם נטו, החזקת כלים במעבדה שהקים בביתו, אשר כללה 3 מכשירי שקילה, מאוורר, שנאי, מד טמפרטורה, חוטי חשמל ושעון שבת ושהיתה פעילה כחצי שנה עובר למעצרו, והחזקת 48.31 גרם</w:t>
      </w:r>
      <w:r>
        <w:rPr>
          <w:rFonts w:ascii="David" w:hAnsi="David" w:cs="David"/>
          <w:rtl/>
        </w:rPr>
        <w:t xml:space="preserve"> </w:t>
      </w:r>
      <w:r w:rsidR="00A51485" w:rsidRPr="00B33BDA">
        <w:rPr>
          <w:rFonts w:ascii="David" w:hAnsi="David" w:cs="David"/>
          <w:rtl/>
        </w:rPr>
        <w:t xml:space="preserve"> נטו קנבוס ו-9.1 גרם נטו חשיש - הסתיים ההליך באי הרשעה, 500 שעות </w:t>
      </w:r>
      <w:r w:rsidR="00A51485">
        <w:rPr>
          <w:rFonts w:ascii="David" w:hAnsi="David" w:cs="David"/>
          <w:rtl/>
        </w:rPr>
        <w:t>של"צ</w:t>
      </w:r>
      <w:r w:rsidR="00A51485" w:rsidRPr="00B33BDA">
        <w:rPr>
          <w:rFonts w:ascii="David" w:hAnsi="David" w:cs="David"/>
          <w:rtl/>
        </w:rPr>
        <w:t xml:space="preserve"> ורכיבים נוספים שכללו פסילה בפועל ומותנית ותרומה בסך 3,000 ₪ לעמותת אל-סם. </w:t>
      </w:r>
    </w:p>
    <w:p w14:paraId="2F0BBCA1" w14:textId="77777777" w:rsidR="00A51485" w:rsidRPr="000660D4" w:rsidRDefault="00A51485" w:rsidP="00A51485">
      <w:pPr>
        <w:pStyle w:val="a9"/>
        <w:widowControl w:val="0"/>
        <w:rPr>
          <w:rFonts w:ascii="David" w:hAnsi="David"/>
          <w:rtl/>
        </w:rPr>
      </w:pPr>
    </w:p>
    <w:p w14:paraId="70503C49"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7" w:history="1">
        <w:r w:rsidRPr="007A28F5">
          <w:rPr>
            <w:rFonts w:ascii="David" w:hAnsi="David" w:cs="David"/>
            <w:color w:val="0000FF"/>
            <w:u w:val="single"/>
            <w:rtl/>
          </w:rPr>
          <w:t>ת"פ (טב') 26189-12-14</w:t>
        </w:r>
      </w:hyperlink>
      <w:r w:rsidR="00A51485" w:rsidRPr="00B33BDA">
        <w:rPr>
          <w:rFonts w:ascii="David" w:hAnsi="David" w:cs="David"/>
          <w:rtl/>
        </w:rPr>
        <w:t xml:space="preserve"> </w:t>
      </w:r>
      <w:r w:rsidR="00A51485" w:rsidRPr="00B33BDA">
        <w:rPr>
          <w:rFonts w:ascii="Miriam" w:hAnsi="Miriam" w:cs="Miriam"/>
          <w:b/>
          <w:bCs/>
          <w:sz w:val="22"/>
          <w:szCs w:val="22"/>
          <w:rtl/>
        </w:rPr>
        <w:t xml:space="preserve">מדינת ישראל נ' שבת </w:t>
      </w:r>
      <w:r w:rsidR="00A51485" w:rsidRPr="00B33BDA">
        <w:rPr>
          <w:rFonts w:ascii="David" w:hAnsi="David" w:cs="David"/>
          <w:rtl/>
        </w:rPr>
        <w:t>(19.11.15)</w:t>
      </w:r>
      <w:r w:rsidR="00A51485">
        <w:rPr>
          <w:rFonts w:ascii="David" w:hAnsi="David" w:cs="David" w:hint="cs"/>
          <w:rtl/>
        </w:rPr>
        <w:t xml:space="preserve"> </w:t>
      </w:r>
      <w:r w:rsidR="00A51485" w:rsidRPr="00B33BDA">
        <w:rPr>
          <w:rFonts w:ascii="David" w:hAnsi="David" w:cs="David"/>
          <w:rtl/>
        </w:rPr>
        <w:t>- בוטלה הרשעת נאשם 2 בהחזקת 0.43 גרם קוקאין לצריכתו העצמית (באישום הראשון), החזקת קוקאין ב-5 הזדמנויות נוספות ושימוש בו יחד עם נאשם 1 (אישום שני) והחזקת קוקאין ב-2 הזדמנויות נוספות ושימוש בו יחד עם נאשם (אישום שלישי). הסם נרכש על ידי הנאשמים לאחר שנאשם 1 תיאם רכישתו מהסוחר, ב-6 הזדמנויות הגיעו הנאשמים יחד לרכוש את הסם, ב-2 הזדמנויות הגיע נאשם 2 לרכוש את הסם מכספים שנתן לו נאשם 1 וב-7 מתוך 8 המקרים עשו הנאשמים שימוש בקוקאין יחדיו. להשלמת התמונה אציין כי נאשם 1 הורשע ונדון למאסר מותנה, פסילה בפועל ועל תנאי, קנס ו</w:t>
      </w:r>
      <w:r w:rsidR="00A51485">
        <w:rPr>
          <w:rFonts w:ascii="David" w:hAnsi="David" w:cs="David"/>
          <w:rtl/>
        </w:rPr>
        <w:t>של"צ</w:t>
      </w:r>
      <w:r w:rsidR="00A51485" w:rsidRPr="00B33BDA">
        <w:rPr>
          <w:rFonts w:ascii="David" w:hAnsi="David" w:cs="David"/>
          <w:rtl/>
        </w:rPr>
        <w:t>.</w:t>
      </w:r>
    </w:p>
    <w:p w14:paraId="5125A784" w14:textId="77777777" w:rsidR="00A51485" w:rsidRPr="00B33BDA" w:rsidRDefault="00A51485" w:rsidP="00A51485">
      <w:pPr>
        <w:pStyle w:val="a9"/>
        <w:widowControl w:val="0"/>
        <w:rPr>
          <w:rFonts w:ascii="David" w:hAnsi="David"/>
          <w:rtl/>
        </w:rPr>
      </w:pPr>
    </w:p>
    <w:p w14:paraId="2C985B7B" w14:textId="77777777" w:rsidR="00A51485" w:rsidRPr="00B33BDA"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8" w:history="1">
        <w:r w:rsidRPr="007A28F5">
          <w:rPr>
            <w:rFonts w:ascii="David" w:hAnsi="David" w:cs="David"/>
            <w:color w:val="0000FF"/>
            <w:u w:val="single"/>
            <w:rtl/>
          </w:rPr>
          <w:t>ת"פ (ק"ג) 9369-01-13</w:t>
        </w:r>
      </w:hyperlink>
      <w:r w:rsidR="00A51485" w:rsidRPr="00B33BDA">
        <w:rPr>
          <w:rFonts w:ascii="David" w:hAnsi="David" w:cs="David"/>
          <w:rtl/>
        </w:rPr>
        <w:t xml:space="preserve"> </w:t>
      </w:r>
      <w:r w:rsidR="00A51485" w:rsidRPr="00B33BDA">
        <w:rPr>
          <w:rFonts w:ascii="Miriam" w:hAnsi="Miriam" w:cs="Miriam"/>
          <w:b/>
          <w:bCs/>
          <w:sz w:val="22"/>
          <w:szCs w:val="22"/>
          <w:rtl/>
        </w:rPr>
        <w:t>מדינת ישראל נ' שמואל</w:t>
      </w:r>
      <w:r w:rsidR="00A51485" w:rsidRPr="00B33BDA">
        <w:rPr>
          <w:rFonts w:ascii="David" w:hAnsi="David" w:cs="David"/>
          <w:rtl/>
        </w:rPr>
        <w:t xml:space="preserve"> (29.4.15) - ההליך בעניינו של צעיר כבן 20, שכנער ניהל אורח חיים שולי ועברייני, אשר הודה בהחזקת כ-5 גרם סם מסוכן מסוג קוקאין, כשהוא מחולק ל-2 אריזות מפלסטיק - הסתיים באי-הרשעה, 10,000 ₪ התחייבות ו-300 שעות </w:t>
      </w:r>
      <w:r w:rsidR="00A51485">
        <w:rPr>
          <w:rFonts w:ascii="David" w:hAnsi="David" w:cs="David"/>
          <w:rtl/>
        </w:rPr>
        <w:t>של"צ</w:t>
      </w:r>
      <w:r w:rsidR="00A51485" w:rsidRPr="00B33BDA">
        <w:rPr>
          <w:rFonts w:ascii="David" w:hAnsi="David" w:cs="David"/>
          <w:rtl/>
        </w:rPr>
        <w:t>. זאת בשל שיקולי שיקום, העובדה שזו הפעם הראשונה בה עמד לדין כבגיר, מאמציו לחזור למוטב, נסיבותיו האישיות המורכבות, חלוף הזמן, גילו הצעיר והפגי</w:t>
      </w:r>
      <w:r w:rsidR="00A51485">
        <w:rPr>
          <w:rFonts w:ascii="David" w:hAnsi="David" w:cs="David"/>
          <w:rtl/>
        </w:rPr>
        <w:t>עה של העונש וההרשעה בו ובמשפחתו</w:t>
      </w:r>
      <w:r w:rsidR="00A51485">
        <w:rPr>
          <w:rFonts w:ascii="David" w:hAnsi="David" w:cs="David" w:hint="cs"/>
          <w:rtl/>
        </w:rPr>
        <w:t>.</w:t>
      </w:r>
    </w:p>
    <w:p w14:paraId="6BFA4011" w14:textId="77777777" w:rsidR="00A51485" w:rsidRPr="00B33BDA" w:rsidRDefault="00A51485" w:rsidP="00A51485">
      <w:pPr>
        <w:pStyle w:val="a9"/>
        <w:widowControl w:val="0"/>
        <w:rPr>
          <w:rFonts w:ascii="David" w:hAnsi="David"/>
          <w:rtl/>
        </w:rPr>
      </w:pPr>
    </w:p>
    <w:p w14:paraId="7A78C9D4" w14:textId="77777777" w:rsidR="00A51485" w:rsidRDefault="007A28F5" w:rsidP="00A51485">
      <w:pPr>
        <w:pStyle w:val="gmail-msonospacing"/>
        <w:widowControl w:val="0"/>
        <w:numPr>
          <w:ilvl w:val="0"/>
          <w:numId w:val="2"/>
        </w:numPr>
        <w:bidi/>
        <w:spacing w:before="0" w:beforeAutospacing="0" w:after="0" w:afterAutospacing="0" w:line="360" w:lineRule="auto"/>
        <w:ind w:left="804"/>
        <w:jc w:val="both"/>
        <w:rPr>
          <w:rFonts w:ascii="David" w:hAnsi="David" w:cs="David"/>
        </w:rPr>
      </w:pPr>
      <w:hyperlink r:id="rId49" w:history="1">
        <w:r w:rsidRPr="007A28F5">
          <w:rPr>
            <w:rFonts w:ascii="David" w:hAnsi="David" w:cs="David"/>
            <w:color w:val="0000FF"/>
            <w:u w:val="single"/>
            <w:rtl/>
          </w:rPr>
          <w:t>ת"פ (ת"א) 5992-05-10</w:t>
        </w:r>
      </w:hyperlink>
      <w:r w:rsidR="00A51485" w:rsidRPr="00B33BDA">
        <w:rPr>
          <w:rFonts w:ascii="David" w:hAnsi="David" w:cs="David"/>
          <w:rtl/>
        </w:rPr>
        <w:t xml:space="preserve"> </w:t>
      </w:r>
      <w:r w:rsidR="00A51485" w:rsidRPr="00B33BDA">
        <w:rPr>
          <w:rFonts w:ascii="Miriam" w:hAnsi="Miriam" w:cs="Miriam"/>
          <w:b/>
          <w:bCs/>
          <w:sz w:val="22"/>
          <w:szCs w:val="22"/>
          <w:rtl/>
        </w:rPr>
        <w:t>מדינת ישראל נ' שרון</w:t>
      </w:r>
      <w:r w:rsidR="00A51485" w:rsidRPr="00B33BDA">
        <w:rPr>
          <w:rFonts w:ascii="David" w:hAnsi="David" w:cs="David"/>
          <w:rtl/>
        </w:rPr>
        <w:t xml:space="preserve"> (10.10.11) - הנאשם החזיק, במספר הזדמנויות במהלך חודשים מאי-יולי 2009 בכמויות שונות של סם מסוכן מסוג קוקאין, המצטברות לכ-20 גרם. הגם שלא היה מדובר במעידה חד פעמית, בהינתן שהעבירות בוצעו בתקופה משברית קשה בחייו, שדרדרה אותו לשימוש בסמים, בהינתן שחדל משימוש בסמים והתמיד בכך זמן רב, שיתף פעולה עם חוקריו, בהינתן המלצתו החיובית של שירות המבחן ובשים לב לכך שההרשעה עלולה היתה לפגוע בתחום המקצועי של הנאשם ולשבש ההליך השיקומי המוצלח בעניינו - הסתיים ההל</w:t>
      </w:r>
      <w:r w:rsidR="00A51485">
        <w:rPr>
          <w:rFonts w:ascii="David" w:hAnsi="David" w:cs="David"/>
          <w:rtl/>
        </w:rPr>
        <w:t>יך ללא הרשעה וניתן צו מבחן לשנה</w:t>
      </w:r>
      <w:r w:rsidR="00A51485">
        <w:rPr>
          <w:rFonts w:ascii="David" w:hAnsi="David" w:cs="David" w:hint="cs"/>
          <w:rtl/>
        </w:rPr>
        <w:t>.</w:t>
      </w:r>
    </w:p>
    <w:p w14:paraId="06E3BB63" w14:textId="77777777" w:rsidR="00A51485" w:rsidRDefault="00A51485" w:rsidP="00A51485">
      <w:pPr>
        <w:pStyle w:val="a9"/>
        <w:widowControl w:val="0"/>
        <w:rPr>
          <w:rFonts w:ascii="David" w:hAnsi="David"/>
          <w:rtl/>
        </w:rPr>
      </w:pPr>
    </w:p>
    <w:p w14:paraId="699871B2" w14:textId="77777777" w:rsidR="00A51485" w:rsidRPr="00B33BDA" w:rsidRDefault="00A51485" w:rsidP="00A51485">
      <w:pPr>
        <w:pStyle w:val="a9"/>
        <w:widowControl w:val="0"/>
        <w:numPr>
          <w:ilvl w:val="0"/>
          <w:numId w:val="1"/>
        </w:numPr>
        <w:spacing w:line="360" w:lineRule="auto"/>
        <w:contextualSpacing w:val="0"/>
        <w:jc w:val="both"/>
        <w:rPr>
          <w:rFonts w:ascii="Calibri" w:hAnsi="Calibri" w:cs="Calibri"/>
          <w:sz w:val="22"/>
          <w:szCs w:val="22"/>
        </w:rPr>
      </w:pPr>
      <w:r>
        <w:rPr>
          <w:rFonts w:ascii="David" w:hAnsi="David" w:hint="cs"/>
          <w:rtl/>
        </w:rPr>
        <w:t xml:space="preserve">עולה מהמקובץ </w:t>
      </w:r>
      <w:r w:rsidRPr="00B33BDA">
        <w:rPr>
          <w:rFonts w:ascii="David" w:hAnsi="David"/>
          <w:rtl/>
        </w:rPr>
        <w:t xml:space="preserve">כי </w:t>
      </w:r>
      <w:r w:rsidRPr="00B33BDA">
        <w:rPr>
          <w:rFonts w:ascii="David" w:hAnsi="David"/>
          <w:b/>
          <w:bCs/>
          <w:rtl/>
        </w:rPr>
        <w:t xml:space="preserve">בנסיבות מסוימות, גם בהחזקת סמים מסוכנים </w:t>
      </w:r>
      <w:r>
        <w:rPr>
          <w:rFonts w:ascii="David" w:hAnsi="David" w:hint="cs"/>
          <w:b/>
          <w:bCs/>
          <w:rtl/>
        </w:rPr>
        <w:t xml:space="preserve">וקטלניים </w:t>
      </w:r>
      <w:r w:rsidRPr="00B33BDA">
        <w:rPr>
          <w:rFonts w:ascii="David" w:hAnsi="David"/>
          <w:b/>
          <w:bCs/>
          <w:rtl/>
        </w:rPr>
        <w:t>מאלו שלפניי, לרבות קוקאין ו-</w:t>
      </w:r>
      <w:r w:rsidRPr="00B33BDA">
        <w:rPr>
          <w:rFonts w:ascii="David" w:hAnsi="David"/>
          <w:b/>
          <w:bCs/>
        </w:rPr>
        <w:t>MDMA</w:t>
      </w:r>
      <w:r w:rsidRPr="00B33BDA">
        <w:rPr>
          <w:rFonts w:ascii="David" w:hAnsi="David"/>
          <w:b/>
          <w:bCs/>
          <w:rtl/>
        </w:rPr>
        <w:t xml:space="preserve">, ואף בעבירות חמורות מאלו שלפני, לרבות גידול, אספקה וסחר, לרבות בסמים </w:t>
      </w:r>
      <w:r>
        <w:rPr>
          <w:rFonts w:ascii="David" w:hAnsi="David" w:hint="cs"/>
          <w:b/>
          <w:bCs/>
          <w:rtl/>
        </w:rPr>
        <w:t xml:space="preserve">קטלניים </w:t>
      </w:r>
      <w:r w:rsidRPr="00B33BDA">
        <w:rPr>
          <w:rFonts w:ascii="David" w:hAnsi="David"/>
          <w:b/>
          <w:bCs/>
          <w:rtl/>
        </w:rPr>
        <w:t xml:space="preserve">מאלו שלפניי </w:t>
      </w:r>
      <w:r>
        <w:rPr>
          <w:rFonts w:ascii="David" w:hAnsi="David" w:hint="cs"/>
          <w:b/>
          <w:bCs/>
          <w:rtl/>
        </w:rPr>
        <w:t>ובעבירות נוספות, כגון עבירות אלימות ופגיעה בטוהר המידות ובסדר הציבורי</w:t>
      </w:r>
      <w:r w:rsidRPr="00B33BDA">
        <w:rPr>
          <w:rFonts w:ascii="David" w:hAnsi="David"/>
          <w:b/>
          <w:bCs/>
          <w:rtl/>
        </w:rPr>
        <w:t>- ניתן לסיים הליך בביטול ההרשעה</w:t>
      </w:r>
      <w:r w:rsidRPr="00B33BDA">
        <w:rPr>
          <w:rFonts w:ascii="David" w:hAnsi="David"/>
          <w:rtl/>
        </w:rPr>
        <w:t xml:space="preserve">. </w:t>
      </w:r>
      <w:r w:rsidRPr="00B33BDA">
        <w:rPr>
          <w:rFonts w:ascii="David" w:hAnsi="David"/>
          <w:color w:val="000000"/>
          <w:rtl/>
        </w:rPr>
        <w:t xml:space="preserve">אשר על כן, </w:t>
      </w:r>
      <w:r w:rsidRPr="00B33BDA">
        <w:rPr>
          <w:rFonts w:ascii="David" w:hAnsi="David"/>
          <w:b/>
          <w:bCs/>
          <w:color w:val="000000"/>
          <w:rtl/>
        </w:rPr>
        <w:t>סוג העבירה, בנסיבותיה, מאפשר סיום ההליך ללא הרשעה</w:t>
      </w:r>
      <w:r>
        <w:rPr>
          <w:rFonts w:ascii="David" w:hAnsi="David" w:hint="cs"/>
          <w:b/>
          <w:bCs/>
          <w:color w:val="000000"/>
          <w:rtl/>
        </w:rPr>
        <w:t>.</w:t>
      </w:r>
    </w:p>
    <w:p w14:paraId="184EA45D" w14:textId="77777777" w:rsidR="00A51485" w:rsidRDefault="00A51485" w:rsidP="00A51485">
      <w:pPr>
        <w:pStyle w:val="gmail-msonospacing"/>
        <w:widowControl w:val="0"/>
        <w:bidi/>
        <w:spacing w:before="0" w:beforeAutospacing="0" w:after="0" w:afterAutospacing="0" w:line="360" w:lineRule="auto"/>
        <w:jc w:val="both"/>
        <w:rPr>
          <w:rFonts w:ascii="David" w:hAnsi="David" w:cs="David"/>
          <w:b/>
          <w:bCs/>
          <w:color w:val="000000"/>
          <w:rtl/>
        </w:rPr>
      </w:pPr>
    </w:p>
    <w:p w14:paraId="1C045070" w14:textId="77777777" w:rsidR="00A51485" w:rsidRDefault="00A51485" w:rsidP="00A51485">
      <w:pPr>
        <w:pStyle w:val="gmail-msonospacing"/>
        <w:widowControl w:val="0"/>
        <w:bidi/>
        <w:spacing w:before="0" w:beforeAutospacing="0" w:after="0" w:afterAutospacing="0" w:line="360" w:lineRule="auto"/>
        <w:jc w:val="both"/>
        <w:rPr>
          <w:rFonts w:ascii="Calibri" w:hAnsi="Calibri" w:cs="Calibri"/>
          <w:sz w:val="22"/>
          <w:szCs w:val="22"/>
          <w:rtl/>
        </w:rPr>
      </w:pPr>
      <w:r>
        <w:rPr>
          <w:rFonts w:ascii="David" w:hAnsi="David" w:cs="David"/>
          <w:b/>
          <w:bCs/>
          <w:sz w:val="26"/>
          <w:szCs w:val="26"/>
          <w:rtl/>
        </w:rPr>
        <w:t>באשר לפגיעה בנאש</w:t>
      </w:r>
      <w:r>
        <w:rPr>
          <w:rFonts w:ascii="David" w:hAnsi="David" w:cs="David" w:hint="cs"/>
          <w:b/>
          <w:bCs/>
          <w:sz w:val="26"/>
          <w:szCs w:val="26"/>
          <w:rtl/>
        </w:rPr>
        <w:t>מת</w:t>
      </w:r>
      <w:r>
        <w:rPr>
          <w:rFonts w:ascii="David" w:hAnsi="David" w:cs="David"/>
          <w:sz w:val="26"/>
          <w:szCs w:val="26"/>
          <w:rtl/>
        </w:rPr>
        <w:t xml:space="preserve"> </w:t>
      </w:r>
    </w:p>
    <w:p w14:paraId="6C8EAB8E" w14:textId="77777777" w:rsidR="00A51485" w:rsidRPr="00A33CE1" w:rsidRDefault="00A51485" w:rsidP="00A51485">
      <w:pPr>
        <w:pStyle w:val="a9"/>
        <w:widowControl w:val="0"/>
        <w:numPr>
          <w:ilvl w:val="0"/>
          <w:numId w:val="1"/>
        </w:numPr>
        <w:spacing w:line="360" w:lineRule="auto"/>
        <w:contextualSpacing w:val="0"/>
        <w:jc w:val="both"/>
        <w:rPr>
          <w:rFonts w:ascii="Calibri" w:hAnsi="Calibri" w:cs="Calibri"/>
          <w:sz w:val="22"/>
          <w:szCs w:val="22"/>
          <w:rtl/>
        </w:rPr>
      </w:pPr>
      <w:r>
        <w:rPr>
          <w:rFonts w:ascii="David" w:hAnsi="David" w:hint="cs"/>
          <w:rtl/>
        </w:rPr>
        <w:t>בעניינה של הנאשמת הוגשו 4 תסקירי שירות מבחן. הראשון מיום 21.10.21 שמצא אותה לא מתאימה לבית משפט קהילתי בשל תפקודה התקין והעדר צרכים המצדיקים התערבות מקיפה ומשמעותית. השני מיום 10.2.22 במסגרתו התבקשה דחיה בשל העומס בשירות המבחן. התסקירים המהותיים הם ה-3 (מיום 2.3.22) וה-4 (מיום 31.7.22) מהם ומטיעוני ההגנה ודברי הנאשמת לעונש עולה התמונה הבאה</w:t>
      </w:r>
      <w:r w:rsidRPr="00B33BDA">
        <w:rPr>
          <w:rFonts w:ascii="David" w:hAnsi="David"/>
          <w:rtl/>
        </w:rPr>
        <w:t>:</w:t>
      </w:r>
      <w:r w:rsidRPr="00A33CE1">
        <w:rPr>
          <w:rFonts w:ascii="David" w:hAnsi="David"/>
          <w:rtl/>
        </w:rPr>
        <w:t xml:space="preserve"> </w:t>
      </w:r>
    </w:p>
    <w:p w14:paraId="385862BE" w14:textId="77777777" w:rsidR="00A51485" w:rsidRPr="002E1641" w:rsidRDefault="00A51485" w:rsidP="00A51485">
      <w:pPr>
        <w:pStyle w:val="gmail-msonospacing"/>
        <w:widowControl w:val="0"/>
        <w:numPr>
          <w:ilvl w:val="0"/>
          <w:numId w:val="3"/>
        </w:numPr>
        <w:bidi/>
        <w:spacing w:before="0" w:beforeAutospacing="0" w:after="0" w:afterAutospacing="0" w:line="360" w:lineRule="auto"/>
        <w:jc w:val="both"/>
        <w:rPr>
          <w:rFonts w:ascii="Calibri" w:hAnsi="Calibri" w:cs="Calibri"/>
          <w:sz w:val="22"/>
          <w:szCs w:val="22"/>
        </w:rPr>
      </w:pPr>
      <w:r w:rsidRPr="00C2107C">
        <w:rPr>
          <w:rFonts w:ascii="David" w:hAnsi="David" w:cs="David"/>
          <w:rtl/>
        </w:rPr>
        <w:t>נסיבות חיי</w:t>
      </w:r>
      <w:r>
        <w:rPr>
          <w:rFonts w:ascii="David" w:hAnsi="David" w:cs="David" w:hint="cs"/>
          <w:rtl/>
        </w:rPr>
        <w:t>ה</w:t>
      </w:r>
      <w:r w:rsidRPr="00C2107C">
        <w:rPr>
          <w:rFonts w:ascii="David" w:hAnsi="David" w:cs="David"/>
          <w:rtl/>
        </w:rPr>
        <w:t xml:space="preserve"> של הנאש</w:t>
      </w:r>
      <w:r>
        <w:rPr>
          <w:rFonts w:ascii="David" w:hAnsi="David" w:cs="David" w:hint="cs"/>
          <w:rtl/>
        </w:rPr>
        <w:t>מת</w:t>
      </w:r>
      <w:r w:rsidRPr="00C2107C">
        <w:rPr>
          <w:rFonts w:ascii="David" w:hAnsi="David" w:cs="David"/>
          <w:rtl/>
        </w:rPr>
        <w:t xml:space="preserve"> מורכבות. </w:t>
      </w:r>
      <w:r>
        <w:rPr>
          <w:rFonts w:ascii="David" w:hAnsi="David" w:cs="David" w:hint="cs"/>
          <w:rtl/>
        </w:rPr>
        <w:t xml:space="preserve">הנאשמת היא בת אמצעית לשני אחים. מערכת היחסים עם משפחתה טובה ותומכת והם מנהלים אורח חיים נורמטיבי ויצרני. ילדותה היתה נורמטיבית, אולם לפני כעשור עבורה הוריה פשיטת רגל שהשפיעה על כל המשפחה והובילה למעבר של עיר המגורים. הנאשם סיימה 11 שנות לימוד ולא סיימה תיכון בשל אי הגעה סדירה. לא התגייסה בשל מחלת אסטמה ממנה סובלת, ולאחר שריצתה מאסר בכלא צבאי בגין עריקות קיבלה פטור משירות צבאי. </w:t>
      </w:r>
    </w:p>
    <w:p w14:paraId="31D0EC1D" w14:textId="77777777" w:rsidR="00A51485" w:rsidRPr="00FD06F3" w:rsidRDefault="00A51485" w:rsidP="00A51485">
      <w:pPr>
        <w:pStyle w:val="gmail-msonospacing"/>
        <w:widowControl w:val="0"/>
        <w:numPr>
          <w:ilvl w:val="0"/>
          <w:numId w:val="3"/>
        </w:numPr>
        <w:bidi/>
        <w:spacing w:before="0" w:beforeAutospacing="0" w:after="0" w:afterAutospacing="0" w:line="360" w:lineRule="auto"/>
        <w:jc w:val="both"/>
        <w:rPr>
          <w:rFonts w:ascii="Calibri" w:hAnsi="Calibri" w:cs="Calibri"/>
          <w:sz w:val="22"/>
          <w:szCs w:val="22"/>
        </w:rPr>
      </w:pPr>
      <w:r>
        <w:rPr>
          <w:rFonts w:ascii="David" w:hAnsi="David" w:cs="David" w:hint="cs"/>
          <w:rtl/>
        </w:rPr>
        <w:t xml:space="preserve">לדבריה, בתקופת ביצוע העבירה נהגה להתערות עם חברה שולית, אולם כיום לא עושה שימוש בסמים וניתקה קשרים עם החברה השולית. בבדיקות השתן שמסרה לא נמצאו שרידי סמים ומשכך לא נדרשת התערבות טיפולית.  </w:t>
      </w:r>
    </w:p>
    <w:p w14:paraId="36FEED40" w14:textId="77777777" w:rsidR="00A51485" w:rsidRPr="00FD06F3" w:rsidRDefault="00A51485" w:rsidP="00A51485">
      <w:pPr>
        <w:pStyle w:val="gmail-msonospacing"/>
        <w:widowControl w:val="0"/>
        <w:numPr>
          <w:ilvl w:val="0"/>
          <w:numId w:val="3"/>
        </w:numPr>
        <w:bidi/>
        <w:spacing w:before="0" w:beforeAutospacing="0" w:after="0" w:afterAutospacing="0" w:line="360" w:lineRule="auto"/>
        <w:jc w:val="both"/>
        <w:rPr>
          <w:rFonts w:ascii="Calibri" w:hAnsi="Calibri" w:cs="Calibri"/>
          <w:sz w:val="22"/>
          <w:szCs w:val="22"/>
        </w:rPr>
      </w:pPr>
      <w:r>
        <w:rPr>
          <w:rFonts w:ascii="David" w:hAnsi="David" w:cs="David" w:hint="cs"/>
          <w:rtl/>
        </w:rPr>
        <w:t xml:space="preserve">להתרשמות שירות המבחן הנאשמת מקבלת אחריות מלאה על מעשיה והתנהגותה ומביעה חרטה על מעשיה, הגם שמתקשה להסביר המניעים שהביאו אותה לביצוע העבירה ולחבירה לחברה השולית כמתואר לעיל. </w:t>
      </w:r>
    </w:p>
    <w:p w14:paraId="6CE08C7C" w14:textId="77777777" w:rsidR="00A51485" w:rsidRPr="002E1641" w:rsidRDefault="00A51485" w:rsidP="00A51485">
      <w:pPr>
        <w:pStyle w:val="gmail-msonospacing"/>
        <w:widowControl w:val="0"/>
        <w:numPr>
          <w:ilvl w:val="0"/>
          <w:numId w:val="3"/>
        </w:numPr>
        <w:bidi/>
        <w:spacing w:before="0" w:beforeAutospacing="0" w:after="0" w:afterAutospacing="0" w:line="360" w:lineRule="auto"/>
        <w:jc w:val="both"/>
        <w:rPr>
          <w:rFonts w:ascii="Calibri" w:hAnsi="Calibri" w:cs="Calibri"/>
          <w:sz w:val="22"/>
          <w:szCs w:val="22"/>
        </w:rPr>
      </w:pPr>
      <w:r>
        <w:rPr>
          <w:rFonts w:ascii="David" w:hAnsi="David" w:cs="David" w:hint="cs"/>
          <w:rtl/>
        </w:rPr>
        <w:t>מאחר ש</w:t>
      </w:r>
      <w:r w:rsidRPr="002E1641">
        <w:rPr>
          <w:rFonts w:ascii="David" w:hAnsi="David" w:cs="David" w:hint="cs"/>
          <w:rtl/>
        </w:rPr>
        <w:t xml:space="preserve">להתרשמות שירות המבחן </w:t>
      </w:r>
      <w:r>
        <w:rPr>
          <w:rFonts w:ascii="David" w:hAnsi="David" w:cs="David" w:hint="cs"/>
          <w:rtl/>
        </w:rPr>
        <w:t>אין ל</w:t>
      </w:r>
      <w:r w:rsidRPr="002E1641">
        <w:rPr>
          <w:rFonts w:ascii="David" w:hAnsi="David" w:cs="David" w:hint="cs"/>
          <w:rtl/>
        </w:rPr>
        <w:t xml:space="preserve">נאשמת צרכים וקשיים הדורשים התערבות טיפולית מקיפה ומשמעותית ובהינתן </w:t>
      </w:r>
      <w:r>
        <w:rPr>
          <w:rFonts w:ascii="David" w:hAnsi="David" w:cs="David" w:hint="cs"/>
          <w:rtl/>
        </w:rPr>
        <w:t xml:space="preserve">כי </w:t>
      </w:r>
      <w:r w:rsidRPr="002E1641">
        <w:rPr>
          <w:rFonts w:ascii="David" w:hAnsi="David" w:cs="David" w:hint="cs"/>
          <w:rtl/>
        </w:rPr>
        <w:t>רמת הסיכון הנשקפת מהנאשמת לא גבוה</w:t>
      </w:r>
      <w:r>
        <w:rPr>
          <w:rFonts w:ascii="David" w:hAnsi="David" w:cs="David" w:hint="cs"/>
          <w:rtl/>
        </w:rPr>
        <w:t>ה</w:t>
      </w:r>
      <w:r w:rsidRPr="002E1641">
        <w:rPr>
          <w:rFonts w:ascii="David" w:hAnsi="David" w:cs="David" w:hint="cs"/>
          <w:rtl/>
        </w:rPr>
        <w:t xml:space="preserve"> ולא דורשת תכנית אינטנסיבית</w:t>
      </w:r>
      <w:r>
        <w:rPr>
          <w:rFonts w:ascii="David" w:hAnsi="David" w:cs="David" w:hint="cs"/>
          <w:rtl/>
        </w:rPr>
        <w:t xml:space="preserve"> - </w:t>
      </w:r>
      <w:r w:rsidRPr="002E1641">
        <w:rPr>
          <w:rFonts w:ascii="David" w:hAnsi="David" w:cs="David" w:hint="cs"/>
          <w:rtl/>
        </w:rPr>
        <w:t xml:space="preserve">לא נמצאה מתאימה לשילוב בבית משפט קהילתי, אולם הומלץ על טיפול במסגרת ההליך הרגיל. </w:t>
      </w:r>
    </w:p>
    <w:p w14:paraId="7D7A61E3" w14:textId="77777777" w:rsidR="00A51485" w:rsidRDefault="00A51485" w:rsidP="00A51485">
      <w:pPr>
        <w:pStyle w:val="gmail-msonospacing"/>
        <w:widowControl w:val="0"/>
        <w:numPr>
          <w:ilvl w:val="0"/>
          <w:numId w:val="3"/>
        </w:numPr>
        <w:bidi/>
        <w:spacing w:before="0" w:beforeAutospacing="0" w:after="0" w:afterAutospacing="0" w:line="360" w:lineRule="auto"/>
        <w:jc w:val="both"/>
        <w:rPr>
          <w:rFonts w:ascii="Calibri" w:hAnsi="Calibri" w:cs="Calibri"/>
          <w:sz w:val="22"/>
          <w:szCs w:val="22"/>
        </w:rPr>
      </w:pPr>
      <w:r w:rsidRPr="002E1641">
        <w:rPr>
          <w:rFonts w:ascii="David" w:hAnsi="David" w:cs="David"/>
          <w:rtl/>
        </w:rPr>
        <w:t xml:space="preserve">להתרשמות שירות המבחן </w:t>
      </w:r>
      <w:r>
        <w:rPr>
          <w:rFonts w:ascii="David" w:hAnsi="David" w:cs="David" w:hint="cs"/>
          <w:rtl/>
        </w:rPr>
        <w:t>מעורבותה בתיק לא מאפיינת אורחות חייה, מחזיקה בעמדות ו</w:t>
      </w:r>
      <w:r w:rsidRPr="002E1641">
        <w:rPr>
          <w:rFonts w:ascii="David" w:hAnsi="David" w:cs="David"/>
          <w:rtl/>
        </w:rPr>
        <w:t xml:space="preserve">מערכת ערכים נורמטיבית, </w:t>
      </w:r>
      <w:r w:rsidRPr="002E1641">
        <w:rPr>
          <w:rFonts w:ascii="David" w:hAnsi="David" w:cs="David" w:hint="cs"/>
          <w:rtl/>
        </w:rPr>
        <w:t>מנהלת אורח חיים יציב ותקין, נעדרת דפוסים עבריינים,</w:t>
      </w:r>
      <w:r>
        <w:rPr>
          <w:rFonts w:ascii="David" w:hAnsi="David" w:cs="David" w:hint="cs"/>
          <w:rtl/>
        </w:rPr>
        <w:t xml:space="preserve"> מביעה מוטיבציה לנהל אורח חיים נורמטיבי ויצרני, </w:t>
      </w:r>
      <w:r w:rsidRPr="002E1641">
        <w:rPr>
          <w:rFonts w:ascii="David" w:hAnsi="David" w:cs="David"/>
          <w:rtl/>
        </w:rPr>
        <w:t>לא מעורב</w:t>
      </w:r>
      <w:r w:rsidRPr="002E1641">
        <w:rPr>
          <w:rFonts w:ascii="David" w:hAnsi="David" w:cs="David" w:hint="cs"/>
          <w:rtl/>
        </w:rPr>
        <w:t>ת</w:t>
      </w:r>
      <w:r w:rsidRPr="002E1641">
        <w:rPr>
          <w:rFonts w:ascii="David" w:hAnsi="David" w:cs="David"/>
          <w:rtl/>
        </w:rPr>
        <w:t xml:space="preserve"> בחברה שולית</w:t>
      </w:r>
      <w:r>
        <w:rPr>
          <w:rFonts w:ascii="David" w:hAnsi="David" w:cs="David" w:hint="cs"/>
          <w:rtl/>
        </w:rPr>
        <w:t>, ניתקה קשריה עם החברה בה היתה מעורה בעת ביצוע העבירה, וההליך המשפטי, כמו גם מעצרה מהווים עבורה גורם מציב גבול ומהווים הרתעה עבורה</w:t>
      </w:r>
      <w:r w:rsidRPr="002E1641">
        <w:rPr>
          <w:rFonts w:ascii="David" w:hAnsi="David" w:cs="David"/>
          <w:rtl/>
        </w:rPr>
        <w:t xml:space="preserve">. </w:t>
      </w:r>
    </w:p>
    <w:p w14:paraId="5B0A3095" w14:textId="77777777" w:rsidR="00A51485" w:rsidRPr="00A33CE1" w:rsidRDefault="00A51485" w:rsidP="00A51485">
      <w:pPr>
        <w:pStyle w:val="gmail-msonospacing"/>
        <w:widowControl w:val="0"/>
        <w:numPr>
          <w:ilvl w:val="0"/>
          <w:numId w:val="3"/>
        </w:numPr>
        <w:bidi/>
        <w:spacing w:before="0" w:beforeAutospacing="0" w:after="0" w:afterAutospacing="0" w:line="360" w:lineRule="auto"/>
        <w:jc w:val="both"/>
        <w:rPr>
          <w:rFonts w:ascii="David" w:hAnsi="David" w:cs="David"/>
        </w:rPr>
      </w:pPr>
      <w:r>
        <w:rPr>
          <w:rFonts w:ascii="David" w:hAnsi="David" w:cs="David" w:hint="cs"/>
          <w:rtl/>
        </w:rPr>
        <w:t>שירות המבחן התיחס ל</w:t>
      </w:r>
      <w:r w:rsidRPr="00A33CE1">
        <w:rPr>
          <w:rFonts w:ascii="David" w:hAnsi="David" w:cs="David" w:hint="cs"/>
          <w:rtl/>
        </w:rPr>
        <w:t>מכתב מטעם אגף מעונות יום ומשפחתונים לגיל הרך</w:t>
      </w:r>
      <w:r>
        <w:rPr>
          <w:rFonts w:ascii="David" w:hAnsi="David" w:cs="David" w:hint="cs"/>
          <w:rtl/>
        </w:rPr>
        <w:t xml:space="preserve">, בו </w:t>
      </w:r>
      <w:r w:rsidRPr="00A33CE1">
        <w:rPr>
          <w:rFonts w:ascii="David" w:hAnsi="David" w:cs="David" w:hint="cs"/>
          <w:rtl/>
        </w:rPr>
        <w:t xml:space="preserve">צויין כי לא ניתן </w:t>
      </w:r>
      <w:r>
        <w:rPr>
          <w:rFonts w:ascii="David" w:hAnsi="David" w:cs="David" w:hint="cs"/>
          <w:rtl/>
        </w:rPr>
        <w:t xml:space="preserve">יהיה </w:t>
      </w:r>
      <w:r w:rsidRPr="00A33CE1">
        <w:rPr>
          <w:rFonts w:ascii="David" w:hAnsi="David" w:cs="David" w:hint="cs"/>
          <w:rtl/>
        </w:rPr>
        <w:t>להעסיקה בשל מעורבותה בתיק זה ומשכך פוטרה</w:t>
      </w:r>
      <w:r>
        <w:rPr>
          <w:rFonts w:ascii="David" w:hAnsi="David" w:cs="David" w:hint="cs"/>
          <w:rtl/>
        </w:rPr>
        <w:t xml:space="preserve"> ולכן ש</w:t>
      </w:r>
      <w:r w:rsidRPr="00A33CE1">
        <w:rPr>
          <w:rFonts w:ascii="David" w:hAnsi="David" w:cs="David" w:hint="cs"/>
          <w:rtl/>
        </w:rPr>
        <w:t xml:space="preserve">ברצונה להירשם ללימודים בתחום החינוך ולהמשיך עיסוקה בעבודה בגן ילדים, עיסוק שכאמור נגדע בשל מעורבותה בתיק שלפני. </w:t>
      </w:r>
    </w:p>
    <w:p w14:paraId="30F6AC5B" w14:textId="77777777" w:rsidR="00A51485" w:rsidRPr="00A33CE1" w:rsidRDefault="00A51485" w:rsidP="00A51485">
      <w:pPr>
        <w:pStyle w:val="gmail-msonospacing"/>
        <w:widowControl w:val="0"/>
        <w:numPr>
          <w:ilvl w:val="0"/>
          <w:numId w:val="3"/>
        </w:numPr>
        <w:bidi/>
        <w:spacing w:before="0" w:beforeAutospacing="0" w:after="0" w:afterAutospacing="0" w:line="360" w:lineRule="auto"/>
        <w:jc w:val="both"/>
        <w:rPr>
          <w:rFonts w:ascii="David" w:hAnsi="David" w:cs="David"/>
          <w:rtl/>
        </w:rPr>
      </w:pPr>
      <w:r w:rsidRPr="00A33CE1">
        <w:rPr>
          <w:rFonts w:ascii="David" w:hAnsi="David" w:cs="David" w:hint="cs"/>
          <w:rtl/>
        </w:rPr>
        <w:t xml:space="preserve">במהלך תקופת הדחיה נפגשה שוב עם קצינת המבחן ועלה הקושי שבחשיפה עצמית במסגרת טיפול קבוצתי, מפגש עם נשים עוברות חוק והחשש שתהיה להן השפעה על חייה. כאן המקום לציין שלהתרשמות שירות המבחן לנאשמת נטייה לרצות אחרים מתוך רצון לתחושת שייכות שמהווה אחד הגורמים להסתבכותה בעבירה. בטיעוניו לעונש עמד ב"כ הנאשמת על כך ששירות המבחן קיבל עמדתה כי היא מרגישה לא בנוח להיות בקבוצה עם נשים עוברות חוק. גם בדבריה לעונש ציינה הנאשמת כי היא נכונה להירתם להליך טיפולי פרטני, אולם פוחדת לקחת חלק בקבוצה של נשים עברייניות. </w:t>
      </w:r>
    </w:p>
    <w:p w14:paraId="023EEBF0" w14:textId="77777777" w:rsidR="00A51485" w:rsidRPr="007B1235" w:rsidRDefault="00A51485" w:rsidP="00A51485">
      <w:pPr>
        <w:pStyle w:val="a9"/>
        <w:widowControl w:val="0"/>
        <w:rPr>
          <w:rFonts w:ascii="Arial" w:hAnsi="Arial"/>
          <w:rtl/>
        </w:rPr>
      </w:pPr>
    </w:p>
    <w:p w14:paraId="42EE179A" w14:textId="77777777" w:rsidR="00A51485" w:rsidRPr="00A33CE1" w:rsidRDefault="00A51485" w:rsidP="00A51485">
      <w:pPr>
        <w:pStyle w:val="a9"/>
        <w:widowControl w:val="0"/>
        <w:numPr>
          <w:ilvl w:val="0"/>
          <w:numId w:val="1"/>
        </w:numPr>
        <w:spacing w:line="360" w:lineRule="auto"/>
        <w:contextualSpacing w:val="0"/>
        <w:jc w:val="both"/>
        <w:rPr>
          <w:rFonts w:ascii="Arial" w:hAnsi="Arial"/>
        </w:rPr>
      </w:pPr>
      <w:r>
        <w:rPr>
          <w:rFonts w:ascii="David" w:hAnsi="David" w:hint="cs"/>
          <w:rtl/>
        </w:rPr>
        <w:t xml:space="preserve">כראיות מטעם הנאשמת לעונש הוגש ה/1 - מכתב מיום 14.11.21 של מנהל אגף בכיר מעונות יום ומשפחתונים לגיל הרך במשרד הכלכלה והתעשיה (להלן: </w:t>
      </w:r>
      <w:r>
        <w:rPr>
          <w:rFonts w:ascii="David" w:hAnsi="David" w:hint="cs"/>
          <w:b/>
          <w:bCs/>
          <w:rtl/>
        </w:rPr>
        <w:t>ה</w:t>
      </w:r>
      <w:r w:rsidRPr="008C4014">
        <w:rPr>
          <w:rFonts w:ascii="David" w:hAnsi="David" w:hint="cs"/>
          <w:b/>
          <w:bCs/>
          <w:rtl/>
        </w:rPr>
        <w:t>/1</w:t>
      </w:r>
      <w:r>
        <w:rPr>
          <w:rFonts w:ascii="David" w:hAnsi="David" w:hint="cs"/>
          <w:rtl/>
        </w:rPr>
        <w:t>)</w:t>
      </w:r>
      <w:r w:rsidRPr="00C2107C">
        <w:rPr>
          <w:rFonts w:ascii="David" w:hAnsi="David"/>
          <w:rtl/>
        </w:rPr>
        <w:t xml:space="preserve">. </w:t>
      </w:r>
      <w:r>
        <w:rPr>
          <w:rFonts w:ascii="David" w:hAnsi="David" w:hint="cs"/>
          <w:rtl/>
        </w:rPr>
        <w:t>מ-ה/1 עולה כי הוחלט שלא לאשר העסקת הנאשמת במעון יום לפעוטות וכי אם תועסק במעון תסורב בקשת מפעילת המעון לקבל רישיון הפעלה. במכתב נרשם כי בשל סוג העבירה, מהותה וחומרתה לא ראוי שהיא תשמש בתפקיד מטפלת מחנכת בפעוטות ויש בהרשעה בעבירה זו כדי להעלות חשש סביר לשלומם וביטחונם של הפעוטות.</w:t>
      </w:r>
    </w:p>
    <w:p w14:paraId="430C3861" w14:textId="77777777" w:rsidR="00A51485" w:rsidRPr="00A33CE1" w:rsidRDefault="00A51485" w:rsidP="00A51485">
      <w:pPr>
        <w:pStyle w:val="a9"/>
        <w:widowControl w:val="0"/>
        <w:spacing w:line="360" w:lineRule="auto"/>
        <w:ind w:left="360"/>
        <w:contextualSpacing w:val="0"/>
        <w:jc w:val="both"/>
        <w:rPr>
          <w:rFonts w:ascii="Arial" w:hAnsi="Arial"/>
        </w:rPr>
      </w:pPr>
    </w:p>
    <w:p w14:paraId="46DBAC04" w14:textId="77777777" w:rsidR="00A51485" w:rsidRPr="00A33CE1" w:rsidRDefault="00A51485" w:rsidP="00A51485">
      <w:pPr>
        <w:pStyle w:val="a9"/>
        <w:widowControl w:val="0"/>
        <w:numPr>
          <w:ilvl w:val="0"/>
          <w:numId w:val="1"/>
        </w:numPr>
        <w:spacing w:line="360" w:lineRule="auto"/>
        <w:contextualSpacing w:val="0"/>
        <w:jc w:val="both"/>
        <w:rPr>
          <w:rFonts w:ascii="Arial" w:hAnsi="Arial"/>
        </w:rPr>
      </w:pPr>
      <w:r w:rsidRPr="00A33CE1">
        <w:rPr>
          <w:rFonts w:ascii="David" w:hAnsi="David" w:hint="cs"/>
          <w:rtl/>
        </w:rPr>
        <w:t>לכל האמור לעיל יש להוסיף כי הנאשמת צעירה כבת 22</w:t>
      </w:r>
      <w:r w:rsidRPr="00A33CE1">
        <w:rPr>
          <w:rFonts w:ascii="David" w:hAnsi="David"/>
          <w:rtl/>
        </w:rPr>
        <w:t>,</w:t>
      </w:r>
      <w:r w:rsidRPr="00A33CE1">
        <w:rPr>
          <w:rFonts w:ascii="David" w:hAnsi="David" w:hint="cs"/>
          <w:rtl/>
        </w:rPr>
        <w:t xml:space="preserve"> נישאה לאחרונה, והיא מעוניינת ללמוד ולהתפתח בתחום החינוך לגיל הרך. העבירה בוצעה כשהנאשמת היתה כבת 19 ו-10 חודשים. חלפו כמעט שנתיים </w:t>
      </w:r>
      <w:r>
        <w:rPr>
          <w:rFonts w:ascii="David" w:hAnsi="David" w:hint="cs"/>
          <w:rtl/>
        </w:rPr>
        <w:t xml:space="preserve">מביצוע העבירה </w:t>
      </w:r>
      <w:r w:rsidRPr="00A33CE1">
        <w:rPr>
          <w:rFonts w:ascii="David" w:hAnsi="David" w:hint="cs"/>
          <w:rtl/>
        </w:rPr>
        <w:t>במהלכן לא נרשמו לחובתה תיקים נוספים</w:t>
      </w:r>
      <w:r>
        <w:rPr>
          <w:rFonts w:ascii="David" w:hAnsi="David" w:hint="cs"/>
          <w:rtl/>
        </w:rPr>
        <w:t xml:space="preserve"> וזו למעשה הסתבכותה הראשונה עם החוק</w:t>
      </w:r>
      <w:r w:rsidRPr="00A33CE1">
        <w:rPr>
          <w:rFonts w:ascii="David" w:hAnsi="David" w:hint="cs"/>
          <w:rtl/>
        </w:rPr>
        <w:t>, מלבד פרט רישום שהתיישן בגין העדר מן השירות.</w:t>
      </w:r>
    </w:p>
    <w:p w14:paraId="7462F9EE" w14:textId="77777777" w:rsidR="00A51485" w:rsidRPr="005C2767" w:rsidRDefault="00A51485" w:rsidP="00A51485">
      <w:pPr>
        <w:pStyle w:val="a9"/>
        <w:widowControl w:val="0"/>
        <w:spacing w:line="360" w:lineRule="auto"/>
        <w:ind w:left="1080"/>
        <w:contextualSpacing w:val="0"/>
        <w:jc w:val="both"/>
        <w:rPr>
          <w:rFonts w:ascii="Arial" w:hAnsi="Arial"/>
        </w:rPr>
      </w:pPr>
    </w:p>
    <w:p w14:paraId="141B0F8F" w14:textId="77777777" w:rsidR="00A51485" w:rsidRPr="000240CF" w:rsidRDefault="00A51485" w:rsidP="00A51485">
      <w:pPr>
        <w:pStyle w:val="a9"/>
        <w:widowControl w:val="0"/>
        <w:numPr>
          <w:ilvl w:val="0"/>
          <w:numId w:val="1"/>
        </w:numPr>
        <w:spacing w:line="360" w:lineRule="auto"/>
        <w:contextualSpacing w:val="0"/>
        <w:jc w:val="both"/>
        <w:rPr>
          <w:rFonts w:ascii="David" w:hAnsi="David"/>
          <w:rtl/>
        </w:rPr>
      </w:pPr>
      <w:r w:rsidRPr="000240CF">
        <w:rPr>
          <w:rFonts w:ascii="David" w:hAnsi="David"/>
          <w:rtl/>
        </w:rPr>
        <w:t>בפסיקה לא נקבעו מסמרות באשר לצורך להצביע על פגיעה קונקרטית במקום העבודה. התכלית היא שלא לשים מכשול בפני נאשמים ולאפשר להם להשתקם ולחזור ולהשתלב בחברה יצרנית ובקהילה, גם באותם מקרים בהם לא הוכח נזק קונקרטי</w:t>
      </w:r>
      <w:r>
        <w:rPr>
          <w:rFonts w:ascii="David" w:hAnsi="David" w:hint="cs"/>
          <w:rtl/>
        </w:rPr>
        <w:t>, ודאי כאשר מדובר בצעירים שכל עתידם לפניהם</w:t>
      </w:r>
      <w:r w:rsidRPr="000240CF">
        <w:rPr>
          <w:rFonts w:ascii="David" w:hAnsi="David"/>
          <w:rtl/>
        </w:rPr>
        <w:t xml:space="preserve"> [ראו לדוגמא </w:t>
      </w:r>
      <w:hyperlink r:id="rId50" w:history="1">
        <w:r w:rsidR="007A28F5" w:rsidRPr="007A28F5">
          <w:rPr>
            <w:rFonts w:ascii="David" w:hAnsi="David"/>
            <w:color w:val="0000FF"/>
            <w:u w:val="single"/>
            <w:rtl/>
          </w:rPr>
          <w:t>ע"פ 3554/16</w:t>
        </w:r>
      </w:hyperlink>
      <w:r w:rsidRPr="000240CF">
        <w:rPr>
          <w:rFonts w:ascii="David" w:hAnsi="David"/>
          <w:rtl/>
        </w:rPr>
        <w:t xml:space="preserve"> </w:t>
      </w:r>
      <w:r w:rsidRPr="000240CF">
        <w:rPr>
          <w:rFonts w:ascii="Miriam" w:hAnsi="Miriam" w:cs="Miriam"/>
          <w:b/>
          <w:bCs/>
          <w:sz w:val="22"/>
          <w:szCs w:val="22"/>
          <w:rtl/>
        </w:rPr>
        <w:t>יעקובוביץ' נ' מדינת</w:t>
      </w:r>
      <w:r w:rsidRPr="000240CF">
        <w:rPr>
          <w:rFonts w:ascii="David" w:hAnsi="David"/>
          <w:b/>
          <w:bCs/>
          <w:sz w:val="22"/>
          <w:szCs w:val="22"/>
          <w:rtl/>
        </w:rPr>
        <w:t xml:space="preserve"> </w:t>
      </w:r>
      <w:r w:rsidRPr="000240CF">
        <w:rPr>
          <w:rFonts w:ascii="Miriam" w:hAnsi="Miriam" w:cs="Miriam"/>
          <w:b/>
          <w:bCs/>
          <w:sz w:val="22"/>
          <w:szCs w:val="22"/>
          <w:rtl/>
        </w:rPr>
        <w:t>ישראל</w:t>
      </w:r>
      <w:r w:rsidRPr="000240CF">
        <w:rPr>
          <w:rFonts w:ascii="Miriam" w:hAnsi="Miriam" w:cs="Miriam"/>
          <w:sz w:val="22"/>
          <w:szCs w:val="22"/>
          <w:rtl/>
        </w:rPr>
        <w:t xml:space="preserve"> </w:t>
      </w:r>
      <w:r w:rsidRPr="000240CF">
        <w:rPr>
          <w:rFonts w:ascii="David" w:hAnsi="David"/>
          <w:rtl/>
        </w:rPr>
        <w:t xml:space="preserve">(11.6.17); </w:t>
      </w:r>
      <w:hyperlink r:id="rId51" w:history="1">
        <w:r w:rsidR="007A28F5" w:rsidRPr="007A28F5">
          <w:rPr>
            <w:rFonts w:ascii="David" w:hAnsi="David"/>
            <w:color w:val="0000FF"/>
            <w:u w:val="single"/>
            <w:rtl/>
          </w:rPr>
          <w:t>רע"פ 8215/16</w:t>
        </w:r>
      </w:hyperlink>
      <w:r w:rsidRPr="000240CF">
        <w:rPr>
          <w:rFonts w:ascii="David" w:hAnsi="David"/>
          <w:rtl/>
        </w:rPr>
        <w:t xml:space="preserve"> </w:t>
      </w:r>
      <w:r w:rsidRPr="000240CF">
        <w:rPr>
          <w:rFonts w:ascii="Miriam" w:hAnsi="Miriam" w:cs="Miriam"/>
          <w:b/>
          <w:bCs/>
          <w:sz w:val="22"/>
          <w:szCs w:val="22"/>
          <w:rtl/>
        </w:rPr>
        <w:t xml:space="preserve">יצחק נ' מדינת ישראל </w:t>
      </w:r>
      <w:r w:rsidRPr="000240CF">
        <w:rPr>
          <w:rFonts w:ascii="David" w:hAnsi="David"/>
          <w:rtl/>
        </w:rPr>
        <w:t xml:space="preserve">(29.3.17) (להלן: </w:t>
      </w:r>
      <w:r w:rsidRPr="000240CF">
        <w:rPr>
          <w:rFonts w:ascii="Miriam" w:hAnsi="Miriam" w:cs="Miriam"/>
          <w:b/>
          <w:bCs/>
          <w:sz w:val="22"/>
          <w:szCs w:val="22"/>
          <w:rtl/>
        </w:rPr>
        <w:t>רע"פ יצחק</w:t>
      </w:r>
      <w:r w:rsidRPr="000240CF">
        <w:rPr>
          <w:rFonts w:ascii="David" w:hAnsi="David"/>
          <w:rtl/>
        </w:rPr>
        <w:t xml:space="preserve">); </w:t>
      </w:r>
      <w:hyperlink r:id="rId52" w:history="1">
        <w:r w:rsidR="007A28F5" w:rsidRPr="007A28F5">
          <w:rPr>
            <w:rFonts w:ascii="David" w:hAnsi="David"/>
            <w:color w:val="0000FF"/>
            <w:u w:val="single"/>
            <w:rtl/>
          </w:rPr>
          <w:t>ע"פ 4466/13</w:t>
        </w:r>
      </w:hyperlink>
      <w:r w:rsidRPr="000240CF">
        <w:rPr>
          <w:rFonts w:ascii="David" w:hAnsi="David"/>
          <w:rtl/>
        </w:rPr>
        <w:t xml:space="preserve"> </w:t>
      </w:r>
      <w:r w:rsidRPr="000240CF">
        <w:rPr>
          <w:rFonts w:ascii="Miriam" w:hAnsi="Miriam" w:cs="Miriam"/>
          <w:b/>
          <w:bCs/>
          <w:sz w:val="22"/>
          <w:szCs w:val="22"/>
          <w:rtl/>
        </w:rPr>
        <w:t xml:space="preserve">פורטל נ' מדינת ישראל </w:t>
      </w:r>
      <w:r w:rsidRPr="000240CF">
        <w:rPr>
          <w:rFonts w:ascii="David" w:hAnsi="David"/>
          <w:rtl/>
        </w:rPr>
        <w:t xml:space="preserve">(22.5.14); </w:t>
      </w:r>
      <w:hyperlink r:id="rId53" w:history="1">
        <w:r w:rsidR="007A28F5" w:rsidRPr="007A28F5">
          <w:rPr>
            <w:rFonts w:ascii="David" w:hAnsi="David"/>
            <w:color w:val="0000FF"/>
            <w:u w:val="single"/>
            <w:rtl/>
          </w:rPr>
          <w:t>רע"פ 3446/10</w:t>
        </w:r>
      </w:hyperlink>
      <w:r w:rsidRPr="000240CF">
        <w:rPr>
          <w:rFonts w:ascii="David" w:hAnsi="David"/>
          <w:rtl/>
        </w:rPr>
        <w:t xml:space="preserve"> </w:t>
      </w:r>
      <w:r w:rsidRPr="000240CF">
        <w:rPr>
          <w:rFonts w:ascii="Miriam" w:hAnsi="Miriam" w:cs="Miriam"/>
          <w:b/>
          <w:bCs/>
          <w:sz w:val="22"/>
          <w:szCs w:val="22"/>
          <w:rtl/>
        </w:rPr>
        <w:t xml:space="preserve">אלחלים נ' מדינת ישראל </w:t>
      </w:r>
      <w:r w:rsidRPr="000240CF">
        <w:rPr>
          <w:rFonts w:ascii="David" w:hAnsi="David"/>
          <w:rtl/>
        </w:rPr>
        <w:t>(6.4.11) ו-</w:t>
      </w:r>
      <w:hyperlink r:id="rId54" w:history="1">
        <w:r w:rsidR="007A28F5" w:rsidRPr="007A28F5">
          <w:rPr>
            <w:rFonts w:ascii="David" w:hAnsi="David"/>
            <w:color w:val="0000FF"/>
            <w:u w:val="single"/>
            <w:rtl/>
          </w:rPr>
          <w:t>ע"פ 9090/00</w:t>
        </w:r>
      </w:hyperlink>
      <w:r w:rsidRPr="000240CF">
        <w:rPr>
          <w:rFonts w:ascii="David" w:hAnsi="David"/>
          <w:rtl/>
        </w:rPr>
        <w:t xml:space="preserve"> </w:t>
      </w:r>
      <w:r w:rsidRPr="000240CF">
        <w:rPr>
          <w:rFonts w:ascii="Miriam" w:hAnsi="Miriam" w:cs="Miriam"/>
          <w:b/>
          <w:bCs/>
          <w:sz w:val="22"/>
          <w:szCs w:val="22"/>
          <w:rtl/>
        </w:rPr>
        <w:t>שניידרמן נ'</w:t>
      </w:r>
      <w:r w:rsidRPr="000240CF">
        <w:rPr>
          <w:rFonts w:ascii="David" w:hAnsi="David"/>
          <w:b/>
          <w:bCs/>
          <w:sz w:val="22"/>
          <w:szCs w:val="22"/>
          <w:rtl/>
        </w:rPr>
        <w:t xml:space="preserve"> </w:t>
      </w:r>
      <w:r w:rsidRPr="000240CF">
        <w:rPr>
          <w:rFonts w:ascii="Miriam" w:hAnsi="Miriam" w:cs="Miriam"/>
          <w:b/>
          <w:bCs/>
          <w:sz w:val="22"/>
          <w:szCs w:val="22"/>
          <w:rtl/>
        </w:rPr>
        <w:t>מדינת ישראל</w:t>
      </w:r>
      <w:r w:rsidRPr="000240CF">
        <w:rPr>
          <w:rFonts w:ascii="David" w:hAnsi="David"/>
          <w:rtl/>
        </w:rPr>
        <w:t xml:space="preserve"> (22.2.01) וכן ראו פסק דינה של כב' הש' דינה כהן ב-</w:t>
      </w:r>
      <w:r w:rsidRPr="000240CF">
        <w:rPr>
          <w:rFonts w:ascii="Miriam" w:hAnsi="Miriam" w:cs="Miriam"/>
          <w:b/>
          <w:bCs/>
          <w:sz w:val="22"/>
          <w:szCs w:val="22"/>
          <w:rtl/>
        </w:rPr>
        <w:t>ענין עטיה</w:t>
      </w:r>
      <w:r w:rsidRPr="000240CF">
        <w:rPr>
          <w:rFonts w:ascii="David" w:hAnsi="David"/>
          <w:rtl/>
        </w:rPr>
        <w:t xml:space="preserve"> שהובא לעיל]. כך גם אם לא הוכחה פגיעה קונקרטית בתעסוקה, אין בכך כדי ללמד שלא הוכחה פגיעה </w:t>
      </w:r>
      <w:r>
        <w:rPr>
          <w:rFonts w:ascii="David" w:hAnsi="David" w:hint="cs"/>
          <w:rtl/>
        </w:rPr>
        <w:t>ב</w:t>
      </w:r>
      <w:r w:rsidRPr="000240CF">
        <w:rPr>
          <w:rFonts w:ascii="David" w:hAnsi="David"/>
          <w:rtl/>
        </w:rPr>
        <w:t>נאש</w:t>
      </w:r>
      <w:r>
        <w:rPr>
          <w:rFonts w:ascii="David" w:hAnsi="David" w:hint="cs"/>
          <w:rtl/>
        </w:rPr>
        <w:t>מת ובעתידה</w:t>
      </w:r>
      <w:r w:rsidRPr="000240CF">
        <w:rPr>
          <w:rFonts w:ascii="David" w:hAnsi="David"/>
          <w:rtl/>
        </w:rPr>
        <w:t>.</w:t>
      </w:r>
      <w:r w:rsidRPr="000240CF">
        <w:rPr>
          <w:rFonts w:ascii="David" w:hAnsi="David"/>
          <w:sz w:val="28"/>
          <w:szCs w:val="28"/>
          <w:rtl/>
        </w:rPr>
        <w:t xml:space="preserve"> </w:t>
      </w:r>
      <w:r w:rsidRPr="000240CF">
        <w:rPr>
          <w:rFonts w:ascii="David" w:hAnsi="David"/>
          <w:rtl/>
        </w:rPr>
        <w:t>ב-</w:t>
      </w:r>
      <w:r w:rsidRPr="000240CF">
        <w:rPr>
          <w:rFonts w:ascii="Miriam" w:hAnsi="Miriam" w:cs="Miriam"/>
          <w:b/>
          <w:bCs/>
          <w:sz w:val="22"/>
          <w:szCs w:val="22"/>
          <w:rtl/>
        </w:rPr>
        <w:t>רע"פ יצחק</w:t>
      </w:r>
      <w:r w:rsidRPr="000240CF">
        <w:rPr>
          <w:rFonts w:ascii="David" w:hAnsi="David"/>
          <w:rtl/>
        </w:rPr>
        <w:t xml:space="preserve"> קבע בית המשפט העליון כי אף בעבירה חמורה מזו שלפניי, כאשר מדובר היה במי שהורשע בעבירות </w:t>
      </w:r>
      <w:r w:rsidRPr="000240CF">
        <w:rPr>
          <w:rFonts w:ascii="David" w:hAnsi="David"/>
          <w:u w:val="single"/>
          <w:rtl/>
        </w:rPr>
        <w:t>סיוע לאחר מעשה ושיבוש מהלכי משפט בפרשת רצח קשה וכואבת</w:t>
      </w:r>
      <w:r w:rsidRPr="000240CF">
        <w:rPr>
          <w:rFonts w:ascii="David" w:hAnsi="David"/>
          <w:rtl/>
        </w:rPr>
        <w:t xml:space="preserve"> - בהינתן ש"</w:t>
      </w:r>
      <w:r w:rsidRPr="000240CF">
        <w:rPr>
          <w:rFonts w:ascii="David" w:hAnsi="David"/>
          <w:b/>
          <w:bCs/>
          <w:rtl/>
        </w:rPr>
        <w:t>עשויה להיות השפעה שלילית להרשעתו של המערער על עבודתו המקצועית ועל סיכוייו להיקלט בעבודה</w:t>
      </w:r>
      <w:r w:rsidRPr="000240CF">
        <w:rPr>
          <w:rFonts w:ascii="David" w:hAnsi="David"/>
          <w:rtl/>
        </w:rPr>
        <w:t>...", יש מקום להורות על ביטול הרשעה. ב-</w:t>
      </w:r>
      <w:r w:rsidRPr="000240CF">
        <w:rPr>
          <w:rFonts w:ascii="Miriam" w:hAnsi="Miriam" w:cs="Miriam"/>
          <w:b/>
          <w:bCs/>
          <w:sz w:val="22"/>
          <w:szCs w:val="22"/>
          <w:rtl/>
        </w:rPr>
        <w:t>ענין קיזר</w:t>
      </w:r>
      <w:r w:rsidRPr="000240CF">
        <w:rPr>
          <w:rFonts w:ascii="David" w:hAnsi="David"/>
          <w:b/>
          <w:bCs/>
          <w:rtl/>
        </w:rPr>
        <w:t xml:space="preserve"> </w:t>
      </w:r>
      <w:r w:rsidRPr="000240CF">
        <w:rPr>
          <w:rFonts w:ascii="David" w:hAnsi="David"/>
          <w:rtl/>
        </w:rPr>
        <w:t>קבע כב' הש' ברסלר-גונן -</w:t>
      </w:r>
    </w:p>
    <w:p w14:paraId="6D308A3B" w14:textId="77777777" w:rsidR="00A51485" w:rsidRDefault="007A28F5" w:rsidP="00A51485">
      <w:pPr>
        <w:widowControl w:val="0"/>
        <w:ind w:left="720" w:right="993"/>
        <w:jc w:val="both"/>
        <w:rPr>
          <w:rFonts w:cs="Times New Roman"/>
          <w:rtl/>
        </w:rPr>
      </w:pPr>
      <w:r>
        <w:rPr>
          <w:rFonts w:ascii="Arial" w:hAnsi="Arial" w:cs="Arial"/>
          <w:sz w:val="20"/>
          <w:szCs w:val="20"/>
        </w:rPr>
        <w:t xml:space="preserve"> </w:t>
      </w:r>
    </w:p>
    <w:p w14:paraId="7A33FCDB" w14:textId="77777777" w:rsidR="00A51485" w:rsidRDefault="00A51485" w:rsidP="00A51485">
      <w:pPr>
        <w:widowControl w:val="0"/>
        <w:ind w:left="1440" w:right="993"/>
        <w:jc w:val="both"/>
        <w:rPr>
          <w:rtl/>
        </w:rPr>
      </w:pPr>
      <w:r>
        <w:rPr>
          <w:rFonts w:ascii="David" w:hAnsi="David"/>
          <w:rtl/>
        </w:rPr>
        <w:t>"...</w:t>
      </w:r>
      <w:r>
        <w:rPr>
          <w:rFonts w:ascii="David" w:hAnsi="David"/>
          <w:b/>
          <w:bCs/>
          <w:rtl/>
        </w:rPr>
        <w:t>גם בהקשר של הנזק הקונקרטי מצאנו בשנים האחרונות אפשרויות הגמשה במקרים המתאימים, כאשר כאמור עוצמתה של הפגיעה בערכים המוגנים אפשרה זאת, על מנת לאפשר לעבריין להשתקם ולחזור להשתלב בחברה היצרנית ובקהילה</w:t>
      </w:r>
      <w:r>
        <w:rPr>
          <w:rFonts w:ascii="David" w:hAnsi="David"/>
          <w:rtl/>
        </w:rPr>
        <w:t>...</w:t>
      </w:r>
    </w:p>
    <w:p w14:paraId="37784E7A" w14:textId="77777777" w:rsidR="00A51485" w:rsidRDefault="00A51485" w:rsidP="00A51485">
      <w:pPr>
        <w:widowControl w:val="0"/>
        <w:ind w:left="1440" w:right="993"/>
        <w:jc w:val="both"/>
        <w:rPr>
          <w:rtl/>
        </w:rPr>
      </w:pPr>
      <w:r>
        <w:rPr>
          <w:rFonts w:ascii="David" w:hAnsi="David"/>
          <w:b/>
          <w:bCs/>
          <w:rtl/>
        </w:rPr>
        <w:t>בהקשר של הנזק הקונקרטי, נכון להתבונן על כל נאשם ונאשם. לכל אדם קיימים מאפיינים אחרים, הוא נמצא בסביבה מסויימת ואורח חייו ייחודי. על כן, נזקו יהיה לא אחת תלוי בנתוניו האישיים, בנתוני סביבתו, הקהילה, התרבות וכיוצ"ב נתונים המשפיעים על יכולת התקדמותו והתפתחותו של אדם בסביבתו</w:t>
      </w:r>
      <w:r>
        <w:rPr>
          <w:rFonts w:ascii="David" w:hAnsi="David"/>
          <w:rtl/>
        </w:rPr>
        <w:t>..."</w:t>
      </w:r>
    </w:p>
    <w:p w14:paraId="1D676DF9" w14:textId="77777777" w:rsidR="00A51485" w:rsidRDefault="007A28F5" w:rsidP="00A51485">
      <w:pPr>
        <w:widowControl w:val="0"/>
        <w:spacing w:line="360" w:lineRule="auto"/>
        <w:ind w:left="720" w:right="993"/>
        <w:jc w:val="both"/>
        <w:rPr>
          <w:rtl/>
        </w:rPr>
      </w:pPr>
      <w:r>
        <w:rPr>
          <w:rFonts w:ascii="David" w:hAnsi="David"/>
          <w:b/>
          <w:bCs/>
          <w:rtl/>
        </w:rPr>
        <w:t xml:space="preserve"> </w:t>
      </w:r>
    </w:p>
    <w:p w14:paraId="23F2A028" w14:textId="77777777" w:rsidR="00A51485" w:rsidRDefault="00A51485" w:rsidP="00A51485">
      <w:pPr>
        <w:pStyle w:val="gmail-msonospacing"/>
        <w:widowControl w:val="0"/>
        <w:bidi/>
        <w:spacing w:before="0" w:beforeAutospacing="0" w:after="0" w:afterAutospacing="0" w:line="360" w:lineRule="auto"/>
        <w:ind w:left="528"/>
        <w:jc w:val="both"/>
        <w:rPr>
          <w:rFonts w:ascii="Calibri" w:hAnsi="Calibri" w:cs="Calibri"/>
          <w:sz w:val="22"/>
          <w:szCs w:val="22"/>
          <w:rtl/>
        </w:rPr>
      </w:pPr>
      <w:r>
        <w:rPr>
          <w:rFonts w:ascii="David" w:hAnsi="David" w:cs="David"/>
          <w:rtl/>
        </w:rPr>
        <w:t>כך, הסתייעות ב"</w:t>
      </w:r>
      <w:r>
        <w:rPr>
          <w:rFonts w:ascii="David" w:hAnsi="David" w:cs="David"/>
          <w:b/>
          <w:bCs/>
          <w:rtl/>
        </w:rPr>
        <w:t>מקבילית הכוחות</w:t>
      </w:r>
      <w:r>
        <w:rPr>
          <w:rFonts w:ascii="David" w:hAnsi="David" w:cs="David"/>
          <w:rtl/>
        </w:rPr>
        <w:t>" ב-</w:t>
      </w:r>
      <w:r>
        <w:rPr>
          <w:rFonts w:ascii="Miriam" w:hAnsi="Miriam" w:cs="Miriam"/>
          <w:b/>
          <w:bCs/>
          <w:sz w:val="22"/>
          <w:szCs w:val="22"/>
          <w:rtl/>
        </w:rPr>
        <w:t>ענין קיזר</w:t>
      </w:r>
      <w:r>
        <w:rPr>
          <w:rFonts w:ascii="David" w:hAnsi="David" w:cs="David"/>
          <w:b/>
          <w:bCs/>
          <w:rtl/>
        </w:rPr>
        <w:t xml:space="preserve"> </w:t>
      </w:r>
      <w:r>
        <w:rPr>
          <w:rFonts w:ascii="David" w:hAnsi="David" w:cs="David"/>
          <w:rtl/>
        </w:rPr>
        <w:t xml:space="preserve">הובילה למסקנה כי גם באותם מקרים בהם לא הוכח נזק קונקרטי, אולם מדובר במי שנעדר עבר פלילי, נכון וראוי להורות על ביטול ההרשעה, כשהעבירה, בנסיבותיה, לא הובילה לפגיעה חמורה בערכים המוגנים, וכלשונו של כב' הש' ברסלר-גונן - </w:t>
      </w:r>
    </w:p>
    <w:p w14:paraId="2DF6E8F0" w14:textId="77777777" w:rsidR="00A51485" w:rsidRPr="000240CF" w:rsidRDefault="007A28F5" w:rsidP="00A51485">
      <w:pPr>
        <w:widowControl w:val="0"/>
        <w:ind w:left="720" w:right="993"/>
        <w:jc w:val="both"/>
        <w:rPr>
          <w:rFonts w:ascii="David" w:hAnsi="David"/>
          <w:rtl/>
        </w:rPr>
      </w:pPr>
      <w:r>
        <w:rPr>
          <w:rFonts w:ascii="David" w:hAnsi="David"/>
          <w:sz w:val="28"/>
          <w:szCs w:val="28"/>
          <w:rtl/>
        </w:rPr>
        <w:t xml:space="preserve"> </w:t>
      </w:r>
    </w:p>
    <w:p w14:paraId="745300D2" w14:textId="77777777" w:rsidR="00A51485" w:rsidRDefault="00A51485" w:rsidP="00A51485">
      <w:pPr>
        <w:widowControl w:val="0"/>
        <w:ind w:left="1440" w:right="993"/>
        <w:jc w:val="both"/>
        <w:rPr>
          <w:rtl/>
        </w:rPr>
      </w:pPr>
      <w:r>
        <w:rPr>
          <w:rFonts w:ascii="David" w:hAnsi="David"/>
          <w:rtl/>
        </w:rPr>
        <w:t>"</w:t>
      </w:r>
      <w:r>
        <w:rPr>
          <w:rFonts w:ascii="David" w:hAnsi="David"/>
          <w:b/>
          <w:bCs/>
          <w:rtl/>
        </w:rPr>
        <w:t>ההליך אינו נקמני, וכאמור יש לעודד אפשרויות חרטה במהלך מעשה עברייני. האופן שבו פעל המערער במהלך חייו והתנדבותו ושירותו בקהילה, בהחלט צריכים לעמוד לזכותו בעת שהוא נותן את הדין על עבירה שביצע. המקרה שלפנינו מדגים לטעמי את האיזון הנכון במקבילית הכוחות שבה יינתן משקל רב יותר לכך שמדובר באירוע חד פעמי שאינו מאפיין את אורח חייו של המערער, לחרטה המוכחת במהלך האירוע. כך יש לתת משקל לדימוי העצמי של המערער בעייני עצמו ובעייני קהילתו</w:t>
      </w:r>
      <w:r>
        <w:rPr>
          <w:rFonts w:ascii="David" w:hAnsi="David"/>
          <w:rtl/>
        </w:rPr>
        <w:t>,...</w:t>
      </w:r>
      <w:r>
        <w:rPr>
          <w:rFonts w:ascii="David" w:hAnsi="David"/>
          <w:b/>
          <w:bCs/>
          <w:rtl/>
        </w:rPr>
        <w:t xml:space="preserve"> הכל מבלי להקל ראש מחומרת העבירה עצמה. </w:t>
      </w:r>
    </w:p>
    <w:p w14:paraId="2F537CFD" w14:textId="77777777" w:rsidR="00A51485" w:rsidRDefault="00A51485" w:rsidP="00A51485">
      <w:pPr>
        <w:widowControl w:val="0"/>
        <w:ind w:left="1440" w:right="993"/>
        <w:jc w:val="both"/>
        <w:rPr>
          <w:rtl/>
        </w:rPr>
      </w:pPr>
      <w:r>
        <w:rPr>
          <w:rFonts w:ascii="David" w:hAnsi="David"/>
          <w:b/>
          <w:bCs/>
          <w:rtl/>
        </w:rPr>
        <w:t>לטעמי לא יהיה בביטול ההרשעה כדי לפגוע בהרתעה הנדרשת ובמסר הנובע מראיית בית המשפט את חומרת האירוע ואת הפגיעה בערכים המוגנים הנובעים מהמעשה אלא, מתן ביטוי קונקרטי גם לשיקולים האישיים בנסיבות העניין</w:t>
      </w:r>
      <w:r>
        <w:rPr>
          <w:rFonts w:ascii="David" w:hAnsi="David"/>
          <w:rtl/>
        </w:rPr>
        <w:t xml:space="preserve">". </w:t>
      </w:r>
    </w:p>
    <w:p w14:paraId="30EEC3C3" w14:textId="77777777" w:rsidR="00A51485" w:rsidRDefault="007A28F5" w:rsidP="00A51485">
      <w:pPr>
        <w:widowControl w:val="0"/>
        <w:spacing w:line="360" w:lineRule="auto"/>
        <w:ind w:left="357"/>
        <w:jc w:val="both"/>
        <w:rPr>
          <w:rtl/>
        </w:rPr>
      </w:pPr>
      <w:r>
        <w:rPr>
          <w:rFonts w:ascii="David" w:hAnsi="David"/>
          <w:rtl/>
        </w:rPr>
        <w:t xml:space="preserve"> </w:t>
      </w:r>
    </w:p>
    <w:p w14:paraId="52D8DF1D" w14:textId="77777777" w:rsidR="00A51485" w:rsidRPr="00781FD9" w:rsidRDefault="00A51485" w:rsidP="00A51485">
      <w:pPr>
        <w:pStyle w:val="gmail-msonospacing"/>
        <w:widowControl w:val="0"/>
        <w:bidi/>
        <w:spacing w:before="0" w:beforeAutospacing="0" w:after="0" w:afterAutospacing="0" w:line="360" w:lineRule="auto"/>
        <w:ind w:left="528"/>
        <w:jc w:val="both"/>
        <w:rPr>
          <w:rFonts w:ascii="Calibri" w:hAnsi="Calibri" w:cs="Calibri"/>
          <w:sz w:val="22"/>
          <w:szCs w:val="22"/>
        </w:rPr>
      </w:pPr>
      <w:r>
        <w:rPr>
          <w:rFonts w:ascii="David" w:hAnsi="David" w:cs="David"/>
          <w:rtl/>
        </w:rPr>
        <w:t>גם ב-</w:t>
      </w:r>
      <w:r>
        <w:rPr>
          <w:rFonts w:ascii="Miriam" w:hAnsi="Miriam" w:cs="Miriam"/>
          <w:b/>
          <w:bCs/>
          <w:sz w:val="22"/>
          <w:szCs w:val="22"/>
          <w:rtl/>
        </w:rPr>
        <w:t>ענין אבו מדיעם</w:t>
      </w:r>
      <w:r>
        <w:rPr>
          <w:rFonts w:ascii="David" w:hAnsi="David" w:cs="David"/>
          <w:rtl/>
        </w:rPr>
        <w:t xml:space="preserve"> קבע כב' הש' דנינו, כי </w:t>
      </w:r>
    </w:p>
    <w:p w14:paraId="64F43C1E" w14:textId="77777777" w:rsidR="00A51485" w:rsidRPr="00781FD9" w:rsidRDefault="00A51485" w:rsidP="00A51485">
      <w:pPr>
        <w:pStyle w:val="gmail-msonospacing"/>
        <w:widowControl w:val="0"/>
        <w:bidi/>
        <w:spacing w:before="0" w:beforeAutospacing="0" w:after="0" w:afterAutospacing="0"/>
        <w:ind w:left="528"/>
        <w:jc w:val="both"/>
        <w:rPr>
          <w:rFonts w:ascii="David" w:hAnsi="David" w:cs="David"/>
          <w:sz w:val="22"/>
          <w:szCs w:val="22"/>
          <w:rtl/>
        </w:rPr>
      </w:pPr>
    </w:p>
    <w:p w14:paraId="08B329E9" w14:textId="77777777" w:rsidR="00A51485" w:rsidRDefault="00A51485" w:rsidP="00A51485">
      <w:pPr>
        <w:widowControl w:val="0"/>
        <w:ind w:left="1440" w:right="993"/>
        <w:jc w:val="both"/>
        <w:rPr>
          <w:rtl/>
        </w:rPr>
      </w:pPr>
      <w:r>
        <w:rPr>
          <w:rFonts w:ascii="David" w:hAnsi="David"/>
          <w:rtl/>
        </w:rPr>
        <w:t>"</w:t>
      </w:r>
      <w:r>
        <w:rPr>
          <w:rFonts w:ascii="David" w:hAnsi="David"/>
          <w:b/>
          <w:bCs/>
          <w:rtl/>
        </w:rPr>
        <w:t>עת משתכנע בית המשפט כי סוג העבירה אינו מחייב את הרשעת הנאשם, יש בכוחו לבחון את הפגיעה בשיקומו של הנאשם בפריזמה מרוככת יותר, במובן זה שגם אם לא מוכח נזק קונקרטי או אף מידת וודאות קרובה לקיומו של נזק קונקרטי, אלא אך 'השפעה שלילית להרשעתו של המערער על עתידו המקצועי ועל סיכוייו להיקלט בעבודה, לפחות במגזר הציבורי</w:t>
      </w:r>
      <w:r>
        <w:rPr>
          <w:rFonts w:ascii="David" w:hAnsi="David"/>
          <w:rtl/>
        </w:rPr>
        <w:t>'...,</w:t>
      </w:r>
      <w:r>
        <w:rPr>
          <w:rFonts w:ascii="David" w:hAnsi="David"/>
          <w:b/>
          <w:bCs/>
          <w:rtl/>
        </w:rPr>
        <w:t xml:space="preserve"> הרי העולה מהמקובץ יניב מסקנה כי בנסיבות מקרה נתון, על מאפייניו, יהא בכוחו של בית המשפט לשקול את ביטול ההרשעה</w:t>
      </w:r>
      <w:r>
        <w:rPr>
          <w:rFonts w:ascii="David" w:hAnsi="David"/>
          <w:rtl/>
        </w:rPr>
        <w:t>".</w:t>
      </w:r>
    </w:p>
    <w:p w14:paraId="5C5B8F68" w14:textId="77777777" w:rsidR="00A51485" w:rsidRDefault="007A28F5" w:rsidP="00A51485">
      <w:pPr>
        <w:widowControl w:val="0"/>
        <w:ind w:left="720" w:right="993"/>
        <w:jc w:val="both"/>
        <w:rPr>
          <w:rtl/>
        </w:rPr>
      </w:pPr>
      <w:r>
        <w:rPr>
          <w:rFonts w:ascii="David" w:hAnsi="David"/>
          <w:rtl/>
        </w:rPr>
        <w:t xml:space="preserve"> </w:t>
      </w:r>
    </w:p>
    <w:p w14:paraId="3F9978B9" w14:textId="77777777" w:rsidR="00A51485" w:rsidRDefault="00A51485" w:rsidP="00A51485">
      <w:pPr>
        <w:pStyle w:val="gmail-msonospacing"/>
        <w:widowControl w:val="0"/>
        <w:bidi/>
        <w:spacing w:before="0" w:beforeAutospacing="0" w:after="0" w:afterAutospacing="0" w:line="360" w:lineRule="auto"/>
        <w:ind w:left="510"/>
        <w:jc w:val="both"/>
        <w:rPr>
          <w:rFonts w:ascii="Calibri" w:hAnsi="Calibri" w:cs="Calibri"/>
          <w:sz w:val="22"/>
          <w:szCs w:val="22"/>
          <w:rtl/>
        </w:rPr>
      </w:pPr>
      <w:r>
        <w:rPr>
          <w:rFonts w:ascii="David" w:hAnsi="David" w:cs="David"/>
          <w:rtl/>
        </w:rPr>
        <w:t>וכי די בקיומה של "</w:t>
      </w:r>
      <w:r>
        <w:rPr>
          <w:rFonts w:ascii="David" w:hAnsi="David" w:cs="David"/>
          <w:b/>
          <w:bCs/>
          <w:rtl/>
        </w:rPr>
        <w:t>הסתברות קרובה למדי</w:t>
      </w:r>
      <w:r>
        <w:rPr>
          <w:rFonts w:ascii="David" w:hAnsi="David" w:cs="David"/>
          <w:rtl/>
        </w:rPr>
        <w:t>" שנאשם "</w:t>
      </w:r>
      <w:r>
        <w:rPr>
          <w:rFonts w:ascii="David" w:hAnsi="David" w:cs="David"/>
          <w:b/>
          <w:bCs/>
          <w:rtl/>
        </w:rPr>
        <w:t>ייתקל בקושי ממשי</w:t>
      </w:r>
      <w:r>
        <w:rPr>
          <w:rFonts w:ascii="David" w:hAnsi="David" w:cs="David"/>
          <w:rtl/>
        </w:rPr>
        <w:t>" להתקבל לעבודה או לקבל רישיון "</w:t>
      </w:r>
      <w:r>
        <w:rPr>
          <w:rFonts w:ascii="David" w:hAnsi="David" w:cs="David"/>
          <w:b/>
          <w:bCs/>
          <w:rtl/>
        </w:rPr>
        <w:t>על רקע הרשעתו. למצער, ניתן לומר כי להרשעתו תהא 'השפעה שלילית' על עתידו המקצועי ועל סיכוייו להיקלט בעבודה, לפחות במגזר הציבורי</w:t>
      </w:r>
      <w:r>
        <w:rPr>
          <w:rFonts w:ascii="David" w:hAnsi="David" w:cs="David"/>
          <w:rtl/>
        </w:rPr>
        <w:t>" כדי להוביל למסקנה שניתן לסיים את התיק בביטול הרשעה.</w:t>
      </w:r>
    </w:p>
    <w:p w14:paraId="7DB93947" w14:textId="77777777" w:rsidR="00A51485" w:rsidRDefault="007A28F5" w:rsidP="00A51485">
      <w:pPr>
        <w:pStyle w:val="gmail-msonospacing"/>
        <w:widowControl w:val="0"/>
        <w:bidi/>
        <w:spacing w:before="0" w:beforeAutospacing="0" w:after="0" w:afterAutospacing="0" w:line="360" w:lineRule="auto"/>
        <w:jc w:val="both"/>
        <w:rPr>
          <w:rFonts w:ascii="Calibri" w:hAnsi="Calibri" w:cs="Calibri"/>
          <w:sz w:val="22"/>
          <w:szCs w:val="22"/>
          <w:rtl/>
        </w:rPr>
      </w:pPr>
      <w:r>
        <w:rPr>
          <w:rFonts w:ascii="David" w:hAnsi="David" w:cs="David"/>
        </w:rPr>
        <w:t xml:space="preserve"> </w:t>
      </w:r>
    </w:p>
    <w:p w14:paraId="45D76476" w14:textId="77777777" w:rsidR="00A51485" w:rsidRDefault="00A51485" w:rsidP="00A51485">
      <w:pPr>
        <w:pStyle w:val="a9"/>
        <w:widowControl w:val="0"/>
        <w:numPr>
          <w:ilvl w:val="0"/>
          <w:numId w:val="1"/>
        </w:numPr>
        <w:spacing w:line="360" w:lineRule="auto"/>
        <w:contextualSpacing w:val="0"/>
        <w:jc w:val="both"/>
        <w:rPr>
          <w:rFonts w:ascii="Calibri" w:hAnsi="Calibri" w:cs="Calibri"/>
          <w:sz w:val="22"/>
          <w:szCs w:val="22"/>
          <w:rtl/>
        </w:rPr>
      </w:pPr>
      <w:r>
        <w:rPr>
          <w:rFonts w:ascii="David" w:hAnsi="David"/>
          <w:rtl/>
        </w:rPr>
        <w:t xml:space="preserve">עולה מן המקובץ כי עלה בידי ההגנה להראות </w:t>
      </w:r>
      <w:r>
        <w:rPr>
          <w:rFonts w:ascii="David" w:hAnsi="David" w:hint="cs"/>
          <w:rtl/>
        </w:rPr>
        <w:t xml:space="preserve">כי </w:t>
      </w:r>
      <w:r>
        <w:rPr>
          <w:rFonts w:ascii="David" w:hAnsi="David"/>
          <w:rtl/>
        </w:rPr>
        <w:t>מתקיימים שני התנאים שנקבעו ב-</w:t>
      </w:r>
      <w:r>
        <w:rPr>
          <w:rFonts w:ascii="Miriam" w:hAnsi="Miriam" w:cs="Miriam"/>
          <w:b/>
          <w:bCs/>
          <w:sz w:val="22"/>
          <w:szCs w:val="22"/>
          <w:rtl/>
        </w:rPr>
        <w:t>הלכת כתב</w:t>
      </w:r>
      <w:r>
        <w:rPr>
          <w:rFonts w:ascii="David" w:hAnsi="David"/>
          <w:rtl/>
        </w:rPr>
        <w:t xml:space="preserve">. ראשית, כפי שקבעתי לעיל, מהפסיקה, לרבות </w:t>
      </w:r>
      <w:r>
        <w:rPr>
          <w:rFonts w:ascii="Miriam" w:hAnsi="Miriam" w:cs="Miriam"/>
          <w:b/>
          <w:bCs/>
          <w:sz w:val="22"/>
          <w:szCs w:val="22"/>
          <w:rtl/>
        </w:rPr>
        <w:t>פס"ד שי</w:t>
      </w:r>
      <w:r>
        <w:rPr>
          <w:rFonts w:ascii="David" w:hAnsi="David"/>
          <w:rtl/>
        </w:rPr>
        <w:t xml:space="preserve"> עולה כי בנסיבות מסוימות, גם בעבירה של הספקת סם, ואפילו סם מסוכן מסוג </w:t>
      </w:r>
      <w:r>
        <w:rPr>
          <w:rFonts w:ascii="David" w:hAnsi="David"/>
        </w:rPr>
        <w:t>MDMA</w:t>
      </w:r>
      <w:r>
        <w:rPr>
          <w:rFonts w:ascii="David" w:hAnsi="David"/>
          <w:rtl/>
        </w:rPr>
        <w:t xml:space="preserve"> - ניתן לסיים הליך בביטול ההרשעה. בנוסף, הנאש</w:t>
      </w:r>
      <w:r>
        <w:rPr>
          <w:rFonts w:ascii="David" w:hAnsi="David" w:hint="cs"/>
          <w:rtl/>
        </w:rPr>
        <w:t xml:space="preserve">מת </w:t>
      </w:r>
      <w:r>
        <w:rPr>
          <w:rFonts w:ascii="David" w:hAnsi="David"/>
          <w:rtl/>
        </w:rPr>
        <w:t>הרא</w:t>
      </w:r>
      <w:r>
        <w:rPr>
          <w:rFonts w:ascii="David" w:hAnsi="David" w:hint="cs"/>
          <w:rtl/>
        </w:rPr>
        <w:t>ת</w:t>
      </w:r>
      <w:r>
        <w:rPr>
          <w:rFonts w:ascii="David" w:hAnsi="David"/>
          <w:rtl/>
        </w:rPr>
        <w:t xml:space="preserve">ה </w:t>
      </w:r>
      <w:r>
        <w:rPr>
          <w:rFonts w:ascii="David" w:hAnsi="David" w:hint="cs"/>
          <w:rtl/>
        </w:rPr>
        <w:t xml:space="preserve">פגיעה קונקרטית וכי היא </w:t>
      </w:r>
      <w:r>
        <w:rPr>
          <w:rFonts w:ascii="David" w:hAnsi="David"/>
          <w:rtl/>
        </w:rPr>
        <w:t>עלול</w:t>
      </w:r>
      <w:r>
        <w:rPr>
          <w:rFonts w:ascii="David" w:hAnsi="David" w:hint="cs"/>
          <w:rtl/>
        </w:rPr>
        <w:t>ה לשוב ו</w:t>
      </w:r>
      <w:r>
        <w:rPr>
          <w:rFonts w:ascii="David" w:hAnsi="David"/>
          <w:rtl/>
        </w:rPr>
        <w:t>להתקל בקושי ממשי להתקבל לעבודה בשל הרשעת</w:t>
      </w:r>
      <w:r>
        <w:rPr>
          <w:rFonts w:ascii="David" w:hAnsi="David" w:hint="cs"/>
          <w:rtl/>
        </w:rPr>
        <w:t>ה, ש</w:t>
      </w:r>
      <w:r>
        <w:rPr>
          <w:rFonts w:ascii="David" w:hAnsi="David"/>
          <w:rtl/>
        </w:rPr>
        <w:t>תהיה לה "</w:t>
      </w:r>
      <w:r>
        <w:rPr>
          <w:rFonts w:ascii="David" w:hAnsi="David"/>
          <w:b/>
          <w:bCs/>
          <w:rtl/>
        </w:rPr>
        <w:t>השפעה שלילית</w:t>
      </w:r>
      <w:r>
        <w:rPr>
          <w:rFonts w:ascii="David" w:hAnsi="David"/>
          <w:rtl/>
        </w:rPr>
        <w:t>" על עתיד</w:t>
      </w:r>
      <w:r>
        <w:rPr>
          <w:rFonts w:ascii="David" w:hAnsi="David" w:hint="cs"/>
          <w:rtl/>
        </w:rPr>
        <w:t>ה</w:t>
      </w:r>
      <w:r>
        <w:rPr>
          <w:rFonts w:ascii="David" w:hAnsi="David"/>
          <w:rtl/>
        </w:rPr>
        <w:t xml:space="preserve"> המקצועי וסיכויי</w:t>
      </w:r>
      <w:r>
        <w:rPr>
          <w:rFonts w:ascii="David" w:hAnsi="David" w:hint="cs"/>
          <w:rtl/>
        </w:rPr>
        <w:t>ה</w:t>
      </w:r>
      <w:r>
        <w:rPr>
          <w:rFonts w:ascii="David" w:hAnsi="David"/>
          <w:rtl/>
        </w:rPr>
        <w:t xml:space="preserve"> להיקלט בעבודה, לפחות במגזר הציבורי</w:t>
      </w:r>
      <w:r>
        <w:rPr>
          <w:rFonts w:ascii="David" w:hAnsi="David" w:hint="cs"/>
          <w:rtl/>
        </w:rPr>
        <w:t>,</w:t>
      </w:r>
      <w:r>
        <w:rPr>
          <w:rFonts w:ascii="David" w:hAnsi="David"/>
          <w:rtl/>
        </w:rPr>
        <w:t xml:space="preserve"> אם ההרשעה תעמוד על כנה</w:t>
      </w:r>
      <w:r>
        <w:rPr>
          <w:rFonts w:ascii="David" w:hAnsi="David" w:hint="cs"/>
          <w:rtl/>
        </w:rPr>
        <w:t>, כעולה מ-</w:t>
      </w:r>
      <w:r w:rsidRPr="000240CF">
        <w:rPr>
          <w:rFonts w:ascii="David" w:hAnsi="David" w:hint="cs"/>
          <w:b/>
          <w:bCs/>
          <w:rtl/>
        </w:rPr>
        <w:t>ה/1</w:t>
      </w:r>
      <w:r>
        <w:rPr>
          <w:rFonts w:ascii="David" w:hAnsi="David"/>
          <w:rtl/>
        </w:rPr>
        <w:t>. נזק החורג מהנזק "הרגיל" שנגרם לנאשמים מהרשעתם. בהתאם לקביעת כב' הש' דנינו ב-</w:t>
      </w:r>
      <w:r>
        <w:rPr>
          <w:rFonts w:ascii="Miriam" w:hAnsi="Miriam" w:cs="Miriam"/>
          <w:b/>
          <w:bCs/>
          <w:sz w:val="22"/>
          <w:szCs w:val="22"/>
          <w:rtl/>
        </w:rPr>
        <w:t>ענין אבו מדיעם</w:t>
      </w:r>
      <w:r>
        <w:rPr>
          <w:rFonts w:ascii="David" w:hAnsi="David"/>
          <w:rtl/>
        </w:rPr>
        <w:t xml:space="preserve"> לגבי קיומה של "</w:t>
      </w:r>
      <w:r>
        <w:rPr>
          <w:rFonts w:ascii="David" w:hAnsi="David"/>
          <w:b/>
          <w:bCs/>
          <w:rtl/>
        </w:rPr>
        <w:t>מקבילית כוחות</w:t>
      </w:r>
      <w:r>
        <w:rPr>
          <w:rFonts w:ascii="David" w:hAnsi="David"/>
          <w:rtl/>
        </w:rPr>
        <w:t>" בין שני התנאים שנקבעו ב-</w:t>
      </w:r>
      <w:r>
        <w:rPr>
          <w:rFonts w:ascii="Miriam" w:hAnsi="Miriam" w:cs="Miriam"/>
          <w:b/>
          <w:bCs/>
          <w:sz w:val="22"/>
          <w:szCs w:val="22"/>
          <w:rtl/>
        </w:rPr>
        <w:t>הלכת כתב</w:t>
      </w:r>
      <w:r>
        <w:rPr>
          <w:rFonts w:ascii="David" w:hAnsi="David"/>
          <w:rtl/>
        </w:rPr>
        <w:t xml:space="preserve">, </w:t>
      </w:r>
      <w:r w:rsidR="007A28F5">
        <w:rPr>
          <w:rFonts w:ascii="David" w:hAnsi="David"/>
          <w:rtl/>
        </w:rPr>
        <w:t xml:space="preserve"> </w:t>
      </w:r>
      <w:r>
        <w:rPr>
          <w:rFonts w:ascii="David" w:hAnsi="David"/>
          <w:rtl/>
        </w:rPr>
        <w:t>"</w:t>
      </w:r>
      <w:r>
        <w:rPr>
          <w:rFonts w:ascii="David" w:hAnsi="David"/>
          <w:b/>
          <w:bCs/>
          <w:rtl/>
        </w:rPr>
        <w:t>במובן זה שככל שמעשה העבירה</w:t>
      </w:r>
      <w:r>
        <w:rPr>
          <w:rFonts w:ascii="David" w:hAnsi="David"/>
          <w:rtl/>
        </w:rPr>
        <w:t>...</w:t>
      </w:r>
      <w:r>
        <w:rPr>
          <w:rFonts w:ascii="David" w:hAnsi="David"/>
          <w:b/>
          <w:bCs/>
          <w:rtl/>
        </w:rPr>
        <w:t xml:space="preserve"> קל יותר, אפשר כי בית המשפט ייטה להסתפק בהוכחת פגיעה כללית יותר</w:t>
      </w:r>
      <w:r>
        <w:rPr>
          <w:rFonts w:ascii="David" w:hAnsi="David"/>
          <w:rtl/>
        </w:rPr>
        <w:t>". גם ב-</w:t>
      </w:r>
      <w:r>
        <w:rPr>
          <w:rFonts w:ascii="Miriam" w:hAnsi="Miriam" w:cs="Miriam"/>
          <w:b/>
          <w:bCs/>
          <w:sz w:val="22"/>
          <w:szCs w:val="22"/>
          <w:rtl/>
        </w:rPr>
        <w:t>ענין קיזר</w:t>
      </w:r>
      <w:r>
        <w:rPr>
          <w:rFonts w:ascii="David" w:hAnsi="David"/>
          <w:rtl/>
        </w:rPr>
        <w:t xml:space="preserve"> קבע כב' הש' ברסלר-גונן כי ניתן להיעזר ב"</w:t>
      </w:r>
      <w:r>
        <w:rPr>
          <w:rFonts w:ascii="David" w:hAnsi="David"/>
          <w:b/>
          <w:bCs/>
          <w:rtl/>
        </w:rPr>
        <w:t>מקבילית הכוחות</w:t>
      </w:r>
      <w:r>
        <w:rPr>
          <w:rFonts w:ascii="David" w:hAnsi="David"/>
          <w:rtl/>
        </w:rPr>
        <w:t>" כפי שנקבע ב-</w:t>
      </w:r>
      <w:r>
        <w:rPr>
          <w:rFonts w:ascii="Miriam" w:hAnsi="Miriam" w:cs="Miriam"/>
          <w:b/>
          <w:bCs/>
          <w:sz w:val="22"/>
          <w:szCs w:val="22"/>
          <w:rtl/>
        </w:rPr>
        <w:t>ענין אבו מדיעם</w:t>
      </w:r>
      <w:r>
        <w:rPr>
          <w:rFonts w:ascii="David" w:hAnsi="David"/>
          <w:rtl/>
        </w:rPr>
        <w:t xml:space="preserve"> וכי "</w:t>
      </w:r>
      <w:r>
        <w:rPr>
          <w:rFonts w:ascii="David" w:hAnsi="David"/>
          <w:b/>
          <w:bCs/>
          <w:rtl/>
        </w:rPr>
        <w:t>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w:t>
      </w:r>
      <w:r>
        <w:rPr>
          <w:rFonts w:ascii="David" w:hAnsi="David"/>
          <w:rtl/>
        </w:rPr>
        <w:t>".</w:t>
      </w:r>
    </w:p>
    <w:p w14:paraId="7335CC85" w14:textId="77777777" w:rsidR="00A51485" w:rsidRDefault="00A51485" w:rsidP="00A51485">
      <w:pPr>
        <w:pStyle w:val="gmail-msonospacing"/>
        <w:widowControl w:val="0"/>
        <w:bidi/>
        <w:spacing w:before="0" w:beforeAutospacing="0" w:after="0" w:afterAutospacing="0" w:line="360" w:lineRule="auto"/>
        <w:jc w:val="both"/>
        <w:rPr>
          <w:rFonts w:ascii="David" w:hAnsi="David" w:cs="David"/>
          <w:b/>
          <w:bCs/>
          <w:sz w:val="26"/>
          <w:szCs w:val="26"/>
          <w:rtl/>
        </w:rPr>
      </w:pPr>
    </w:p>
    <w:p w14:paraId="71F3F95C" w14:textId="77777777" w:rsidR="00A51485" w:rsidRDefault="00A51485" w:rsidP="00A51485">
      <w:pPr>
        <w:pStyle w:val="gmail-msonospacing"/>
        <w:widowControl w:val="0"/>
        <w:bidi/>
        <w:spacing w:before="0" w:beforeAutospacing="0" w:after="0" w:afterAutospacing="0" w:line="360" w:lineRule="auto"/>
        <w:jc w:val="both"/>
        <w:rPr>
          <w:rFonts w:ascii="Calibri" w:hAnsi="Calibri" w:cs="Calibri"/>
          <w:sz w:val="22"/>
          <w:szCs w:val="22"/>
          <w:rtl/>
        </w:rPr>
      </w:pPr>
      <w:r>
        <w:rPr>
          <w:rFonts w:ascii="David" w:hAnsi="David" w:cs="David"/>
          <w:b/>
          <w:bCs/>
          <w:sz w:val="26"/>
          <w:szCs w:val="26"/>
          <w:rtl/>
        </w:rPr>
        <w:t>סוף דבר</w:t>
      </w:r>
    </w:p>
    <w:p w14:paraId="37B21FC1" w14:textId="77777777" w:rsidR="00A51485" w:rsidRDefault="00A51485" w:rsidP="00A51485">
      <w:pPr>
        <w:pStyle w:val="a9"/>
        <w:widowControl w:val="0"/>
        <w:numPr>
          <w:ilvl w:val="0"/>
          <w:numId w:val="1"/>
        </w:numPr>
        <w:spacing w:line="360" w:lineRule="auto"/>
        <w:contextualSpacing w:val="0"/>
        <w:jc w:val="both"/>
        <w:rPr>
          <w:rFonts w:ascii="David" w:hAnsi="David"/>
        </w:rPr>
      </w:pPr>
      <w:r w:rsidRPr="00781FD9">
        <w:rPr>
          <w:rFonts w:ascii="David" w:hAnsi="David"/>
          <w:rtl/>
        </w:rPr>
        <w:t>מכל המקובץ לעיל, מצאתי כי האיזון בין האינטרס הציבורי בהרתעה היחיד והרבים, כמו גם הוקעת עבירות סמים - לבין אינטרס הנאש</w:t>
      </w:r>
      <w:r>
        <w:rPr>
          <w:rFonts w:ascii="David" w:hAnsi="David" w:hint="cs"/>
          <w:rtl/>
        </w:rPr>
        <w:t>מת</w:t>
      </w:r>
      <w:r w:rsidRPr="00781FD9">
        <w:rPr>
          <w:rFonts w:ascii="David" w:hAnsi="David"/>
          <w:rtl/>
        </w:rPr>
        <w:t>, נוכח נסיבות</w:t>
      </w:r>
      <w:r>
        <w:rPr>
          <w:rFonts w:ascii="David" w:hAnsi="David" w:hint="cs"/>
          <w:rtl/>
        </w:rPr>
        <w:t>יה</w:t>
      </w:r>
      <w:r w:rsidRPr="00781FD9">
        <w:rPr>
          <w:rFonts w:ascii="David" w:hAnsi="David"/>
          <w:rtl/>
        </w:rPr>
        <w:t xml:space="preserve"> הייחודיות, החשש שהרשעה תפגע ב</w:t>
      </w:r>
      <w:r>
        <w:rPr>
          <w:rFonts w:ascii="David" w:hAnsi="David" w:hint="cs"/>
          <w:rtl/>
        </w:rPr>
        <w:t>תעסוקה ובעתידה המקצועי כפי שקרה בעבודה ממנה פוטרה כעולה מ-ה/1</w:t>
      </w:r>
      <w:r w:rsidRPr="00781FD9">
        <w:rPr>
          <w:rFonts w:ascii="David" w:hAnsi="David"/>
          <w:rtl/>
        </w:rPr>
        <w:t>, בהתחשב בעבר</w:t>
      </w:r>
      <w:r>
        <w:rPr>
          <w:rFonts w:ascii="David" w:hAnsi="David" w:hint="cs"/>
          <w:rtl/>
        </w:rPr>
        <w:t>ה הכמעט</w:t>
      </w:r>
      <w:r w:rsidRPr="00781FD9">
        <w:rPr>
          <w:rFonts w:ascii="David" w:hAnsi="David"/>
          <w:rtl/>
        </w:rPr>
        <w:t xml:space="preserve"> נקי, בקיום אורח חיים תקין ויצרני</w:t>
      </w:r>
      <w:r>
        <w:rPr>
          <w:rFonts w:ascii="David" w:hAnsi="David" w:hint="cs"/>
          <w:rtl/>
        </w:rPr>
        <w:t xml:space="preserve">. זאת ועוד, </w:t>
      </w:r>
      <w:r>
        <w:rPr>
          <w:rFonts w:ascii="David" w:hAnsi="David"/>
          <w:rtl/>
        </w:rPr>
        <w:t>הנאש</w:t>
      </w:r>
      <w:r>
        <w:rPr>
          <w:rFonts w:ascii="David" w:hAnsi="David" w:hint="cs"/>
          <w:rtl/>
        </w:rPr>
        <w:t>מת</w:t>
      </w:r>
      <w:r>
        <w:rPr>
          <w:rFonts w:ascii="David" w:hAnsi="David"/>
          <w:rtl/>
        </w:rPr>
        <w:t xml:space="preserve"> הוד</w:t>
      </w:r>
      <w:r>
        <w:rPr>
          <w:rFonts w:ascii="David" w:hAnsi="David" w:hint="cs"/>
          <w:rtl/>
        </w:rPr>
        <w:t>ת</w:t>
      </w:r>
      <w:r>
        <w:rPr>
          <w:rFonts w:ascii="David" w:hAnsi="David"/>
          <w:rtl/>
        </w:rPr>
        <w:t xml:space="preserve">ה </w:t>
      </w:r>
      <w:r>
        <w:rPr>
          <w:rFonts w:ascii="David" w:hAnsi="David" w:hint="cs"/>
          <w:rtl/>
        </w:rPr>
        <w:t xml:space="preserve">בשלב מוקדם מאוד של ההליך, </w:t>
      </w:r>
      <w:r>
        <w:rPr>
          <w:rFonts w:ascii="David" w:hAnsi="David"/>
          <w:rtl/>
        </w:rPr>
        <w:t>הביע</w:t>
      </w:r>
      <w:r>
        <w:rPr>
          <w:rFonts w:ascii="David" w:hAnsi="David" w:hint="cs"/>
          <w:rtl/>
        </w:rPr>
        <w:t>ה</w:t>
      </w:r>
      <w:r>
        <w:rPr>
          <w:rFonts w:ascii="David" w:hAnsi="David"/>
          <w:rtl/>
        </w:rPr>
        <w:t xml:space="preserve"> חרטה על מעשי</w:t>
      </w:r>
      <w:r>
        <w:rPr>
          <w:rFonts w:ascii="David" w:hAnsi="David" w:hint="cs"/>
          <w:rtl/>
        </w:rPr>
        <w:t>ה</w:t>
      </w:r>
      <w:r>
        <w:rPr>
          <w:rFonts w:ascii="David" w:hAnsi="David"/>
          <w:rtl/>
        </w:rPr>
        <w:t xml:space="preserve"> וחס</w:t>
      </w:r>
      <w:r>
        <w:rPr>
          <w:rFonts w:ascii="David" w:hAnsi="David" w:hint="cs"/>
          <w:rtl/>
        </w:rPr>
        <w:t>כה</w:t>
      </w:r>
      <w:r>
        <w:rPr>
          <w:rFonts w:ascii="David" w:hAnsi="David"/>
          <w:rtl/>
        </w:rPr>
        <w:t xml:space="preserve"> זמן שיפוטי יקר. מהתסקיר עולה</w:t>
      </w:r>
      <w:r w:rsidRPr="00C2107C">
        <w:rPr>
          <w:rFonts w:ascii="David" w:hAnsi="David"/>
          <w:rtl/>
        </w:rPr>
        <w:t xml:space="preserve"> </w:t>
      </w:r>
      <w:r>
        <w:rPr>
          <w:rFonts w:ascii="David" w:hAnsi="David"/>
          <w:rtl/>
        </w:rPr>
        <w:t>שהנאש</w:t>
      </w:r>
      <w:r>
        <w:rPr>
          <w:rFonts w:ascii="David" w:hAnsi="David" w:hint="cs"/>
          <w:rtl/>
        </w:rPr>
        <w:t>מת מבינה, מודעת ו</w:t>
      </w:r>
      <w:r>
        <w:rPr>
          <w:rFonts w:ascii="David" w:hAnsi="David"/>
          <w:rtl/>
        </w:rPr>
        <w:t>הפני</w:t>
      </w:r>
      <w:r>
        <w:rPr>
          <w:rFonts w:ascii="David" w:hAnsi="David" w:hint="cs"/>
          <w:rtl/>
        </w:rPr>
        <w:t>מה</w:t>
      </w:r>
      <w:r>
        <w:rPr>
          <w:rFonts w:ascii="David" w:hAnsi="David"/>
          <w:rtl/>
        </w:rPr>
        <w:t xml:space="preserve"> חומרת מעשי</w:t>
      </w:r>
      <w:r>
        <w:rPr>
          <w:rFonts w:ascii="David" w:hAnsi="David" w:hint="cs"/>
          <w:rtl/>
        </w:rPr>
        <w:t>ה</w:t>
      </w:r>
      <w:r>
        <w:rPr>
          <w:rFonts w:ascii="David" w:hAnsi="David"/>
          <w:rtl/>
        </w:rPr>
        <w:t>, נטל</w:t>
      </w:r>
      <w:r>
        <w:rPr>
          <w:rFonts w:ascii="David" w:hAnsi="David" w:hint="cs"/>
          <w:rtl/>
        </w:rPr>
        <w:t>ה</w:t>
      </w:r>
      <w:r>
        <w:rPr>
          <w:rFonts w:ascii="David" w:hAnsi="David"/>
          <w:rtl/>
        </w:rPr>
        <w:t xml:space="preserve"> אחריות מלאה על</w:t>
      </w:r>
      <w:r>
        <w:rPr>
          <w:rFonts w:ascii="David" w:hAnsi="David" w:hint="cs"/>
          <w:rtl/>
        </w:rPr>
        <w:t>יהם</w:t>
      </w:r>
      <w:r>
        <w:rPr>
          <w:rFonts w:ascii="David" w:hAnsi="David"/>
          <w:rtl/>
        </w:rPr>
        <w:t xml:space="preserve"> ומתחרט</w:t>
      </w:r>
      <w:r>
        <w:rPr>
          <w:rFonts w:ascii="David" w:hAnsi="David" w:hint="cs"/>
          <w:rtl/>
        </w:rPr>
        <w:t>ת על התנהלותה, המהווה חריג בחייה. בנוסף, הגם שהמלצת שירות המבחן לא מחייבת, גם בפסיקה נקבע כי יש להתחשב בה ונתתי דעתי להתרשמות שירות המבחן כי קיים סיכון נמוך שהנאשמת תחזור על מעשיה, גם נוכח הבנתה הפסול שבהם וגם בהינתן כי ההליך מהווים עבורה גבול ברור והרתעה ממשית.</w:t>
      </w:r>
      <w:r>
        <w:rPr>
          <w:rFonts w:ascii="David" w:hAnsi="David"/>
          <w:rtl/>
        </w:rPr>
        <w:t xml:space="preserve"> </w:t>
      </w:r>
    </w:p>
    <w:p w14:paraId="47790727" w14:textId="77777777" w:rsidR="00A51485" w:rsidRDefault="00A51485" w:rsidP="00A51485">
      <w:pPr>
        <w:pStyle w:val="a9"/>
        <w:widowControl w:val="0"/>
        <w:spacing w:line="360" w:lineRule="auto"/>
        <w:ind w:left="360"/>
        <w:contextualSpacing w:val="0"/>
        <w:jc w:val="both"/>
        <w:rPr>
          <w:rFonts w:ascii="David" w:hAnsi="David"/>
        </w:rPr>
      </w:pPr>
    </w:p>
    <w:p w14:paraId="09144D6C" w14:textId="77777777" w:rsidR="00A51485" w:rsidRPr="000240CF" w:rsidRDefault="00A51485" w:rsidP="00A51485">
      <w:pPr>
        <w:pStyle w:val="a9"/>
        <w:widowControl w:val="0"/>
        <w:numPr>
          <w:ilvl w:val="0"/>
          <w:numId w:val="1"/>
        </w:numPr>
        <w:spacing w:line="360" w:lineRule="auto"/>
        <w:contextualSpacing w:val="0"/>
        <w:jc w:val="both"/>
        <w:rPr>
          <w:rFonts w:ascii="David" w:hAnsi="David"/>
          <w:rtl/>
        </w:rPr>
      </w:pPr>
      <w:r>
        <w:rPr>
          <w:rFonts w:ascii="David" w:hAnsi="David" w:hint="cs"/>
          <w:rtl/>
        </w:rPr>
        <w:t xml:space="preserve">אשר על כן </w:t>
      </w:r>
      <w:r w:rsidRPr="000240CF">
        <w:rPr>
          <w:rFonts w:ascii="David" w:hAnsi="David"/>
          <w:rtl/>
        </w:rPr>
        <w:t xml:space="preserve">מצאתי שיש להורות על </w:t>
      </w:r>
      <w:r w:rsidRPr="000240CF">
        <w:rPr>
          <w:rFonts w:ascii="David" w:hAnsi="David"/>
          <w:b/>
          <w:bCs/>
          <w:rtl/>
        </w:rPr>
        <w:t>ביטול הרשעת הנאש</w:t>
      </w:r>
      <w:r>
        <w:rPr>
          <w:rFonts w:ascii="David" w:hAnsi="David" w:hint="cs"/>
          <w:b/>
          <w:bCs/>
          <w:rtl/>
        </w:rPr>
        <w:t>מת</w:t>
      </w:r>
      <w:r w:rsidRPr="000240CF">
        <w:rPr>
          <w:rFonts w:ascii="David" w:hAnsi="David"/>
          <w:b/>
          <w:bCs/>
          <w:rtl/>
        </w:rPr>
        <w:t>, כך שההליך יסתיים ללא הרשעה ובנוסף יושתו על הנאש</w:t>
      </w:r>
      <w:r>
        <w:rPr>
          <w:rFonts w:ascii="David" w:hAnsi="David" w:hint="cs"/>
          <w:b/>
          <w:bCs/>
          <w:rtl/>
        </w:rPr>
        <w:t>מת</w:t>
      </w:r>
      <w:r w:rsidRPr="000240CF">
        <w:rPr>
          <w:rFonts w:ascii="David" w:hAnsi="David"/>
          <w:b/>
          <w:bCs/>
          <w:rtl/>
        </w:rPr>
        <w:t xml:space="preserve">: </w:t>
      </w:r>
    </w:p>
    <w:p w14:paraId="6AEACB13" w14:textId="77777777" w:rsidR="00A51485" w:rsidRPr="000240CF" w:rsidRDefault="007A28F5" w:rsidP="00A51485">
      <w:pPr>
        <w:pStyle w:val="gmail-msonospacing"/>
        <w:widowControl w:val="0"/>
        <w:bidi/>
        <w:spacing w:before="0" w:beforeAutospacing="0" w:after="0" w:afterAutospacing="0"/>
        <w:ind w:left="510"/>
        <w:jc w:val="both"/>
        <w:rPr>
          <w:rFonts w:ascii="David" w:hAnsi="David" w:cs="David"/>
          <w:sz w:val="20"/>
          <w:szCs w:val="20"/>
          <w:rtl/>
        </w:rPr>
      </w:pPr>
      <w:r>
        <w:rPr>
          <w:rFonts w:ascii="David" w:hAnsi="David" w:cs="David"/>
        </w:rPr>
        <w:t xml:space="preserve"> </w:t>
      </w:r>
    </w:p>
    <w:p w14:paraId="4C7D8380" w14:textId="77777777" w:rsidR="00A51485" w:rsidRPr="00781FD9" w:rsidRDefault="00A51485" w:rsidP="00A51485">
      <w:pPr>
        <w:pStyle w:val="a9"/>
        <w:widowControl w:val="0"/>
        <w:numPr>
          <w:ilvl w:val="0"/>
          <w:numId w:val="4"/>
        </w:numPr>
        <w:spacing w:line="360" w:lineRule="auto"/>
        <w:ind w:left="984" w:hanging="624"/>
        <w:contextualSpacing w:val="0"/>
        <w:jc w:val="both"/>
        <w:rPr>
          <w:rFonts w:ascii="David" w:hAnsi="David"/>
          <w:rtl/>
        </w:rPr>
      </w:pPr>
      <w:r w:rsidRPr="00781FD9">
        <w:rPr>
          <w:rFonts w:ascii="David" w:hAnsi="David"/>
          <w:b/>
          <w:bCs/>
          <w:rtl/>
        </w:rPr>
        <w:t>5,000 ₪ התחייבות</w:t>
      </w:r>
      <w:r w:rsidRPr="00781FD9">
        <w:rPr>
          <w:rFonts w:ascii="David" w:hAnsi="David"/>
          <w:rtl/>
        </w:rPr>
        <w:t xml:space="preserve"> למשך שנה מהיום, שלא </w:t>
      </w:r>
      <w:r>
        <w:rPr>
          <w:rFonts w:ascii="David" w:hAnsi="David" w:hint="cs"/>
          <w:rtl/>
        </w:rPr>
        <w:t>ת</w:t>
      </w:r>
      <w:r w:rsidRPr="00781FD9">
        <w:rPr>
          <w:rFonts w:ascii="David" w:hAnsi="David"/>
          <w:rtl/>
        </w:rPr>
        <w:t xml:space="preserve">עבור כל עבירה על </w:t>
      </w:r>
      <w:r w:rsidRPr="00781FD9">
        <w:rPr>
          <w:rFonts w:ascii="Miriam" w:hAnsi="Miriam" w:cs="Miriam"/>
          <w:b/>
          <w:bCs/>
          <w:sz w:val="22"/>
          <w:szCs w:val="22"/>
          <w:rtl/>
        </w:rPr>
        <w:t>פקודת הסמים</w:t>
      </w:r>
      <w:r w:rsidRPr="00781FD9">
        <w:rPr>
          <w:rFonts w:ascii="David" w:hAnsi="David"/>
          <w:rtl/>
        </w:rPr>
        <w:t>.</w:t>
      </w:r>
    </w:p>
    <w:p w14:paraId="062A990D" w14:textId="77777777" w:rsidR="00A51485" w:rsidRPr="00781FD9" w:rsidRDefault="00A51485" w:rsidP="00A51485">
      <w:pPr>
        <w:pStyle w:val="a9"/>
        <w:widowControl w:val="0"/>
        <w:spacing w:line="360" w:lineRule="auto"/>
        <w:ind w:left="984"/>
        <w:contextualSpacing w:val="0"/>
        <w:jc w:val="both"/>
        <w:rPr>
          <w:rFonts w:ascii="David" w:hAnsi="David"/>
          <w:rtl/>
        </w:rPr>
      </w:pPr>
      <w:r w:rsidRPr="00781FD9">
        <w:rPr>
          <w:rFonts w:ascii="David" w:hAnsi="David"/>
          <w:b/>
          <w:bCs/>
          <w:rtl/>
        </w:rPr>
        <w:t>על הנאש</w:t>
      </w:r>
      <w:r>
        <w:rPr>
          <w:rFonts w:ascii="David" w:hAnsi="David" w:hint="cs"/>
          <w:b/>
          <w:bCs/>
          <w:rtl/>
        </w:rPr>
        <w:t>מת</w:t>
      </w:r>
      <w:r w:rsidRPr="00781FD9">
        <w:rPr>
          <w:rFonts w:ascii="David" w:hAnsi="David"/>
          <w:b/>
          <w:bCs/>
          <w:rtl/>
        </w:rPr>
        <w:t xml:space="preserve"> להצהיר על ההתחייבות היום</w:t>
      </w:r>
      <w:r w:rsidRPr="00781FD9">
        <w:rPr>
          <w:rFonts w:ascii="David" w:hAnsi="David"/>
          <w:rtl/>
        </w:rPr>
        <w:t xml:space="preserve">. לא </w:t>
      </w:r>
      <w:r>
        <w:rPr>
          <w:rFonts w:ascii="David" w:hAnsi="David" w:hint="cs"/>
          <w:rtl/>
        </w:rPr>
        <w:t>ת</w:t>
      </w:r>
      <w:r w:rsidRPr="00781FD9">
        <w:rPr>
          <w:rFonts w:ascii="David" w:hAnsi="David"/>
          <w:rtl/>
        </w:rPr>
        <w:t>צהיר על ההתחייבות היום - יהיה על הנאש</w:t>
      </w:r>
      <w:r>
        <w:rPr>
          <w:rFonts w:ascii="David" w:hAnsi="David" w:hint="cs"/>
          <w:rtl/>
        </w:rPr>
        <w:t>מת</w:t>
      </w:r>
      <w:r w:rsidRPr="00781FD9">
        <w:rPr>
          <w:rFonts w:ascii="David" w:hAnsi="David"/>
          <w:rtl/>
        </w:rPr>
        <w:t xml:space="preserve"> לרצות 30 ימי מאסר בפועל לשם כפיה. </w:t>
      </w:r>
    </w:p>
    <w:p w14:paraId="2B3E2924" w14:textId="77777777" w:rsidR="00A51485" w:rsidRPr="00781FD9" w:rsidRDefault="00A51485" w:rsidP="00A51485">
      <w:pPr>
        <w:pStyle w:val="a9"/>
        <w:widowControl w:val="0"/>
        <w:ind w:left="1151"/>
        <w:contextualSpacing w:val="0"/>
        <w:jc w:val="both"/>
        <w:rPr>
          <w:rFonts w:ascii="David" w:hAnsi="David"/>
        </w:rPr>
      </w:pPr>
    </w:p>
    <w:p w14:paraId="0ABD245F" w14:textId="77777777" w:rsidR="00A51485" w:rsidRPr="00781FD9" w:rsidRDefault="00A51485" w:rsidP="00A51485">
      <w:pPr>
        <w:pStyle w:val="a9"/>
        <w:widowControl w:val="0"/>
        <w:numPr>
          <w:ilvl w:val="0"/>
          <w:numId w:val="4"/>
        </w:numPr>
        <w:spacing w:line="360" w:lineRule="auto"/>
        <w:ind w:left="984" w:hanging="624"/>
        <w:contextualSpacing w:val="0"/>
        <w:jc w:val="both"/>
        <w:rPr>
          <w:rFonts w:ascii="David" w:hAnsi="David"/>
        </w:rPr>
      </w:pPr>
      <w:r w:rsidRPr="00505A4B">
        <w:rPr>
          <w:rFonts w:ascii="David" w:hAnsi="David"/>
          <w:b/>
          <w:bCs/>
          <w:rtl/>
        </w:rPr>
        <w:t>הנאש</w:t>
      </w:r>
      <w:r w:rsidRPr="00505A4B">
        <w:rPr>
          <w:rFonts w:ascii="David" w:hAnsi="David" w:hint="cs"/>
          <w:b/>
          <w:bCs/>
          <w:rtl/>
        </w:rPr>
        <w:t>מת</w:t>
      </w:r>
      <w:r w:rsidRPr="00505A4B">
        <w:rPr>
          <w:rFonts w:ascii="David" w:hAnsi="David"/>
          <w:b/>
          <w:bCs/>
          <w:rtl/>
        </w:rPr>
        <w:t xml:space="preserve"> </w:t>
      </w:r>
      <w:r w:rsidRPr="00505A4B">
        <w:rPr>
          <w:rFonts w:ascii="David" w:hAnsi="David" w:hint="cs"/>
          <w:b/>
          <w:bCs/>
          <w:rtl/>
        </w:rPr>
        <w:t>ת</w:t>
      </w:r>
      <w:r w:rsidRPr="00505A4B">
        <w:rPr>
          <w:rFonts w:ascii="David" w:hAnsi="David"/>
          <w:b/>
          <w:bCs/>
          <w:rtl/>
        </w:rPr>
        <w:t xml:space="preserve">בצע </w:t>
      </w:r>
      <w:r w:rsidRPr="00505A4B">
        <w:rPr>
          <w:rFonts w:ascii="David" w:hAnsi="David" w:hint="cs"/>
          <w:b/>
          <w:bCs/>
          <w:rtl/>
        </w:rPr>
        <w:t>300</w:t>
      </w:r>
      <w:r w:rsidRPr="00505A4B">
        <w:rPr>
          <w:rFonts w:ascii="David" w:hAnsi="David"/>
          <w:b/>
          <w:bCs/>
          <w:rtl/>
        </w:rPr>
        <w:t xml:space="preserve"> שעות של"צ (שירות לטובת הציבור)</w:t>
      </w:r>
      <w:r w:rsidRPr="00781FD9">
        <w:rPr>
          <w:rFonts w:ascii="David" w:hAnsi="David"/>
          <w:rtl/>
        </w:rPr>
        <w:t xml:space="preserve"> בהתאם לתכנית </w:t>
      </w:r>
      <w:r w:rsidRPr="0012733B">
        <w:rPr>
          <w:rFonts w:ascii="David" w:hAnsi="David" w:hint="cs"/>
          <w:b/>
          <w:bCs/>
          <w:rtl/>
        </w:rPr>
        <w:t>שתוגש</w:t>
      </w:r>
      <w:r>
        <w:rPr>
          <w:rFonts w:ascii="David" w:hAnsi="David" w:hint="cs"/>
          <w:rtl/>
        </w:rPr>
        <w:t xml:space="preserve"> על ידי שירות המבחן עד ליום 28.4.23 ובמשך שנה מיום אישור התכנית</w:t>
      </w:r>
      <w:r w:rsidRPr="00781FD9">
        <w:rPr>
          <w:rFonts w:ascii="David" w:hAnsi="David"/>
          <w:b/>
          <w:bCs/>
          <w:rtl/>
        </w:rPr>
        <w:t xml:space="preserve"> </w:t>
      </w:r>
      <w:r w:rsidRPr="00781FD9">
        <w:rPr>
          <w:rFonts w:ascii="David" w:hAnsi="David"/>
          <w:rtl/>
        </w:rPr>
        <w:t>(להלן:</w:t>
      </w:r>
      <w:r w:rsidRPr="00781FD9">
        <w:rPr>
          <w:rFonts w:ascii="David" w:hAnsi="David"/>
          <w:b/>
          <w:bCs/>
          <w:rtl/>
        </w:rPr>
        <w:t xml:space="preserve"> צו </w:t>
      </w:r>
      <w:r>
        <w:rPr>
          <w:rFonts w:ascii="David" w:hAnsi="David"/>
          <w:b/>
          <w:bCs/>
          <w:rtl/>
        </w:rPr>
        <w:t>של"צ</w:t>
      </w:r>
      <w:r w:rsidRPr="00781FD9">
        <w:rPr>
          <w:rFonts w:ascii="David" w:hAnsi="David"/>
          <w:rtl/>
        </w:rPr>
        <w:t>).</w:t>
      </w:r>
      <w:r>
        <w:rPr>
          <w:rFonts w:ascii="David" w:hAnsi="David" w:hint="cs"/>
          <w:rtl/>
        </w:rPr>
        <w:t xml:space="preserve"> </w:t>
      </w:r>
      <w:r w:rsidRPr="00781FD9">
        <w:rPr>
          <w:rFonts w:ascii="David" w:hAnsi="David"/>
          <w:rtl/>
        </w:rPr>
        <w:t xml:space="preserve">אם יהא </w:t>
      </w:r>
      <w:r>
        <w:rPr>
          <w:rFonts w:ascii="David" w:hAnsi="David" w:hint="cs"/>
          <w:rtl/>
        </w:rPr>
        <w:t xml:space="preserve">בעתיד </w:t>
      </w:r>
      <w:r w:rsidRPr="00781FD9">
        <w:rPr>
          <w:rFonts w:ascii="David" w:hAnsi="David"/>
          <w:rtl/>
        </w:rPr>
        <w:t>צורך בשינוי מקום ההשמה - יבצע שירות המבחן את השינוי וידווח עליו לבית המשפט</w:t>
      </w:r>
      <w:r>
        <w:rPr>
          <w:rFonts w:ascii="David" w:hAnsi="David" w:hint="cs"/>
          <w:rtl/>
        </w:rPr>
        <w:t>.</w:t>
      </w:r>
    </w:p>
    <w:p w14:paraId="1528FF45" w14:textId="77777777" w:rsidR="00A51485" w:rsidRPr="0012733B" w:rsidRDefault="00A51485" w:rsidP="00A51485">
      <w:pPr>
        <w:widowControl w:val="0"/>
        <w:spacing w:line="360" w:lineRule="auto"/>
        <w:ind w:left="984"/>
        <w:jc w:val="both"/>
        <w:rPr>
          <w:rFonts w:ascii="David" w:hAnsi="David"/>
          <w:rtl/>
        </w:rPr>
      </w:pPr>
      <w:r w:rsidRPr="0012733B">
        <w:rPr>
          <w:rFonts w:ascii="David" w:hAnsi="David"/>
          <w:b/>
          <w:bCs/>
          <w:rtl/>
        </w:rPr>
        <w:t>מובהר לנאש</w:t>
      </w:r>
      <w:r w:rsidRPr="0012733B">
        <w:rPr>
          <w:rFonts w:ascii="David" w:hAnsi="David" w:hint="cs"/>
          <w:b/>
          <w:bCs/>
          <w:rtl/>
        </w:rPr>
        <w:t>מת</w:t>
      </w:r>
      <w:r w:rsidRPr="0012733B">
        <w:rPr>
          <w:rFonts w:ascii="David" w:hAnsi="David"/>
          <w:b/>
          <w:bCs/>
          <w:rtl/>
        </w:rPr>
        <w:t xml:space="preserve"> כי אם לא </w:t>
      </w:r>
      <w:r w:rsidRPr="0012733B">
        <w:rPr>
          <w:rFonts w:ascii="David" w:hAnsi="David" w:hint="cs"/>
          <w:b/>
          <w:bCs/>
          <w:rtl/>
        </w:rPr>
        <w:t>ת</w:t>
      </w:r>
      <w:r w:rsidRPr="0012733B">
        <w:rPr>
          <w:rFonts w:ascii="David" w:hAnsi="David"/>
          <w:b/>
          <w:bCs/>
          <w:rtl/>
        </w:rPr>
        <w:t>בצע את צו השל"צ כנדרש, יוחזר עניינ</w:t>
      </w:r>
      <w:r w:rsidRPr="0012733B">
        <w:rPr>
          <w:rFonts w:ascii="David" w:hAnsi="David" w:hint="cs"/>
          <w:b/>
          <w:bCs/>
          <w:rtl/>
        </w:rPr>
        <w:t>ה</w:t>
      </w:r>
      <w:r w:rsidRPr="0012733B">
        <w:rPr>
          <w:rFonts w:ascii="David" w:hAnsi="David"/>
          <w:b/>
          <w:bCs/>
          <w:rtl/>
        </w:rPr>
        <w:t xml:space="preserve"> לדיון בבית המשפט ודינ</w:t>
      </w:r>
      <w:r w:rsidRPr="0012733B">
        <w:rPr>
          <w:rFonts w:ascii="David" w:hAnsi="David" w:hint="cs"/>
          <w:b/>
          <w:bCs/>
          <w:rtl/>
        </w:rPr>
        <w:t>ה</w:t>
      </w:r>
      <w:r w:rsidRPr="0012733B">
        <w:rPr>
          <w:rFonts w:ascii="David" w:hAnsi="David"/>
          <w:b/>
          <w:bCs/>
          <w:rtl/>
        </w:rPr>
        <w:t xml:space="preserve"> ייגזר מחדש</w:t>
      </w:r>
      <w:r w:rsidRPr="0012733B">
        <w:rPr>
          <w:rFonts w:ascii="David" w:hAnsi="David"/>
          <w:rtl/>
        </w:rPr>
        <w:t>.</w:t>
      </w:r>
    </w:p>
    <w:p w14:paraId="60D5BABA" w14:textId="77777777" w:rsidR="00A51485" w:rsidRPr="00781FD9" w:rsidRDefault="00A51485" w:rsidP="00A51485">
      <w:pPr>
        <w:pStyle w:val="a9"/>
        <w:widowControl w:val="0"/>
        <w:ind w:left="1151"/>
        <w:contextualSpacing w:val="0"/>
        <w:jc w:val="both"/>
        <w:rPr>
          <w:rFonts w:ascii="David" w:hAnsi="David"/>
        </w:rPr>
      </w:pPr>
    </w:p>
    <w:p w14:paraId="02696869" w14:textId="77777777" w:rsidR="00A51485" w:rsidRPr="00781FD9" w:rsidRDefault="00A51485" w:rsidP="00A51485">
      <w:pPr>
        <w:pStyle w:val="a9"/>
        <w:widowControl w:val="0"/>
        <w:numPr>
          <w:ilvl w:val="0"/>
          <w:numId w:val="4"/>
        </w:numPr>
        <w:spacing w:line="360" w:lineRule="auto"/>
        <w:ind w:left="984" w:hanging="624"/>
        <w:contextualSpacing w:val="0"/>
        <w:jc w:val="both"/>
        <w:rPr>
          <w:rFonts w:ascii="David" w:hAnsi="David"/>
        </w:rPr>
      </w:pPr>
      <w:r w:rsidRPr="00781FD9">
        <w:rPr>
          <w:rFonts w:ascii="David" w:hAnsi="David"/>
          <w:b/>
          <w:bCs/>
          <w:rtl/>
        </w:rPr>
        <w:t>הנאש</w:t>
      </w:r>
      <w:r>
        <w:rPr>
          <w:rFonts w:ascii="David" w:hAnsi="David" w:hint="cs"/>
          <w:b/>
          <w:bCs/>
          <w:rtl/>
        </w:rPr>
        <w:t>מת</w:t>
      </w:r>
      <w:r w:rsidRPr="00781FD9">
        <w:rPr>
          <w:rFonts w:ascii="David" w:hAnsi="David"/>
          <w:b/>
          <w:bCs/>
          <w:rtl/>
        </w:rPr>
        <w:t xml:space="preserve"> </w:t>
      </w:r>
      <w:r>
        <w:rPr>
          <w:rFonts w:ascii="David" w:hAnsi="David" w:hint="cs"/>
          <w:b/>
          <w:bCs/>
          <w:rtl/>
        </w:rPr>
        <w:t>ת</w:t>
      </w:r>
      <w:r w:rsidRPr="00781FD9">
        <w:rPr>
          <w:rFonts w:ascii="David" w:hAnsi="David"/>
          <w:b/>
          <w:bCs/>
          <w:rtl/>
        </w:rPr>
        <w:t xml:space="preserve">שלם פיצוי בסך </w:t>
      </w:r>
      <w:r>
        <w:rPr>
          <w:rFonts w:ascii="David" w:hAnsi="David" w:hint="cs"/>
          <w:b/>
          <w:bCs/>
          <w:rtl/>
        </w:rPr>
        <w:t>2</w:t>
      </w:r>
      <w:r w:rsidRPr="00781FD9">
        <w:rPr>
          <w:rFonts w:ascii="David" w:hAnsi="David"/>
          <w:b/>
          <w:bCs/>
          <w:rtl/>
        </w:rPr>
        <w:t>,000 ₪ לעמותת אל - סם</w:t>
      </w:r>
      <w:r w:rsidRPr="00781FD9">
        <w:rPr>
          <w:rFonts w:ascii="David" w:hAnsi="David"/>
          <w:rtl/>
        </w:rPr>
        <w:t xml:space="preserve">. </w:t>
      </w:r>
    </w:p>
    <w:p w14:paraId="20D73AC5" w14:textId="77777777" w:rsidR="00A51485" w:rsidRPr="0012733B" w:rsidRDefault="00A51485" w:rsidP="00A51485">
      <w:pPr>
        <w:widowControl w:val="0"/>
        <w:spacing w:line="360" w:lineRule="auto"/>
        <w:ind w:left="984"/>
        <w:jc w:val="both"/>
        <w:rPr>
          <w:rFonts w:ascii="David" w:hAnsi="David"/>
          <w:b/>
          <w:bCs/>
          <w:rtl/>
        </w:rPr>
      </w:pPr>
      <w:r w:rsidRPr="0012733B">
        <w:rPr>
          <w:rFonts w:ascii="David" w:hAnsi="David"/>
          <w:b/>
          <w:bCs/>
          <w:u w:val="single"/>
          <w:rtl/>
        </w:rPr>
        <w:t>ניתן לשלם את הפיצוי באחת הדרכים הבאות</w:t>
      </w:r>
      <w:r w:rsidRPr="0012733B">
        <w:rPr>
          <w:rFonts w:ascii="David" w:hAnsi="David"/>
          <w:b/>
          <w:bCs/>
          <w:rtl/>
        </w:rPr>
        <w:t>:</w:t>
      </w:r>
    </w:p>
    <w:p w14:paraId="7BF65B00" w14:textId="77777777" w:rsidR="00A51485" w:rsidRPr="00781FD9" w:rsidRDefault="00A51485" w:rsidP="00A51485">
      <w:pPr>
        <w:pStyle w:val="gmail-msolistparagraph"/>
        <w:widowControl w:val="0"/>
        <w:bidi/>
        <w:spacing w:before="0" w:beforeAutospacing="0" w:after="0" w:afterAutospacing="0" w:line="360" w:lineRule="auto"/>
        <w:ind w:left="984"/>
        <w:jc w:val="both"/>
        <w:rPr>
          <w:rFonts w:ascii="David" w:hAnsi="David" w:cs="David"/>
          <w:rtl/>
        </w:rPr>
      </w:pPr>
      <w:r>
        <w:rPr>
          <w:rFonts w:ascii="Symbol" w:hAnsi="Symbol" w:cs="David"/>
        </w:rPr>
        <w:sym w:font="Symbol" w:char="F0AC"/>
      </w:r>
      <w:r w:rsidR="007A28F5">
        <w:rPr>
          <w:rFonts w:ascii="David" w:hAnsi="David" w:cs="David"/>
          <w:rtl/>
        </w:rPr>
        <w:t xml:space="preserve">   </w:t>
      </w:r>
      <w:r w:rsidRPr="00781FD9">
        <w:rPr>
          <w:rFonts w:ascii="David" w:hAnsi="David" w:cs="David"/>
          <w:rtl/>
        </w:rPr>
        <w:t xml:space="preserve"> בכרטיס</w:t>
      </w:r>
      <w:r w:rsidRPr="00781FD9">
        <w:rPr>
          <w:rFonts w:ascii="David" w:hAnsi="David" w:cs="David"/>
        </w:rPr>
        <w:t xml:space="preserve"> </w:t>
      </w:r>
      <w:r w:rsidRPr="00781FD9">
        <w:rPr>
          <w:rFonts w:ascii="David" w:hAnsi="David" w:cs="David"/>
          <w:rtl/>
        </w:rPr>
        <w:t>אשראי - באתר</w:t>
      </w:r>
      <w:r w:rsidRPr="00781FD9">
        <w:rPr>
          <w:rFonts w:ascii="David" w:hAnsi="David" w:cs="David"/>
        </w:rPr>
        <w:t xml:space="preserve"> </w:t>
      </w:r>
      <w:r w:rsidRPr="00781FD9">
        <w:rPr>
          <w:rFonts w:ascii="David" w:hAnsi="David" w:cs="David"/>
          <w:rtl/>
        </w:rPr>
        <w:t>המקוון</w:t>
      </w:r>
      <w:r w:rsidRPr="00781FD9">
        <w:rPr>
          <w:rFonts w:ascii="David" w:hAnsi="David" w:cs="David"/>
        </w:rPr>
        <w:t xml:space="preserve"> </w:t>
      </w:r>
      <w:r w:rsidRPr="00781FD9">
        <w:rPr>
          <w:rFonts w:ascii="David" w:hAnsi="David" w:cs="David"/>
          <w:rtl/>
        </w:rPr>
        <w:t>של</w:t>
      </w:r>
      <w:r w:rsidRPr="00781FD9">
        <w:rPr>
          <w:rFonts w:ascii="David" w:hAnsi="David" w:cs="David"/>
        </w:rPr>
        <w:t xml:space="preserve"> </w:t>
      </w:r>
      <w:r w:rsidRPr="00781FD9">
        <w:rPr>
          <w:rFonts w:ascii="David" w:hAnsi="David" w:cs="David"/>
          <w:rtl/>
        </w:rPr>
        <w:t>רשות</w:t>
      </w:r>
      <w:r w:rsidRPr="00781FD9">
        <w:rPr>
          <w:rFonts w:ascii="David" w:hAnsi="David" w:cs="David"/>
        </w:rPr>
        <w:t xml:space="preserve"> </w:t>
      </w:r>
      <w:r w:rsidRPr="00781FD9">
        <w:rPr>
          <w:rFonts w:ascii="David" w:hAnsi="David" w:cs="David"/>
          <w:rtl/>
        </w:rPr>
        <w:t>האכיפה</w:t>
      </w:r>
      <w:r w:rsidRPr="00781FD9">
        <w:rPr>
          <w:rFonts w:ascii="David" w:hAnsi="David" w:cs="David"/>
        </w:rPr>
        <w:t xml:space="preserve"> </w:t>
      </w:r>
      <w:r w:rsidRPr="00781FD9">
        <w:rPr>
          <w:rFonts w:ascii="David" w:hAnsi="David" w:cs="David"/>
          <w:rtl/>
        </w:rPr>
        <w:t>והגבייה.</w:t>
      </w:r>
    </w:p>
    <w:p w14:paraId="350E1220" w14:textId="77777777" w:rsidR="00A51485" w:rsidRPr="00781FD9" w:rsidRDefault="00A51485" w:rsidP="00A51485">
      <w:pPr>
        <w:pStyle w:val="gmail-msolistparagraph"/>
        <w:widowControl w:val="0"/>
        <w:bidi/>
        <w:spacing w:before="0" w:beforeAutospacing="0" w:after="0" w:afterAutospacing="0" w:line="360" w:lineRule="auto"/>
        <w:ind w:left="984"/>
        <w:jc w:val="both"/>
        <w:rPr>
          <w:rFonts w:ascii="David" w:hAnsi="David" w:cs="David"/>
          <w:rtl/>
        </w:rPr>
      </w:pPr>
      <w:r>
        <w:rPr>
          <w:rFonts w:ascii="Symbol" w:hAnsi="Symbol" w:cs="David"/>
        </w:rPr>
        <w:sym w:font="Symbol" w:char="F0AC"/>
      </w:r>
      <w:r w:rsidR="007A28F5">
        <w:rPr>
          <w:rFonts w:ascii="David" w:hAnsi="David" w:cs="David"/>
          <w:rtl/>
        </w:rPr>
        <w:t xml:space="preserve"> </w:t>
      </w:r>
      <w:r w:rsidRPr="00781FD9">
        <w:rPr>
          <w:rFonts w:ascii="David" w:hAnsi="David" w:cs="David"/>
          <w:rtl/>
        </w:rPr>
        <w:t xml:space="preserve"> מוקד</w:t>
      </w:r>
      <w:r w:rsidRPr="00781FD9">
        <w:rPr>
          <w:rFonts w:ascii="David" w:hAnsi="David" w:cs="David"/>
        </w:rPr>
        <w:t xml:space="preserve"> </w:t>
      </w:r>
      <w:r w:rsidRPr="00781FD9">
        <w:rPr>
          <w:rFonts w:ascii="David" w:hAnsi="David" w:cs="David"/>
          <w:rtl/>
        </w:rPr>
        <w:t>שירות</w:t>
      </w:r>
      <w:r w:rsidRPr="00781FD9">
        <w:rPr>
          <w:rFonts w:ascii="David" w:hAnsi="David" w:cs="David"/>
        </w:rPr>
        <w:t xml:space="preserve"> </w:t>
      </w:r>
      <w:r w:rsidRPr="00781FD9">
        <w:rPr>
          <w:rFonts w:ascii="David" w:hAnsi="David" w:cs="David"/>
          <w:rtl/>
        </w:rPr>
        <w:t>טלפוני</w:t>
      </w:r>
      <w:r w:rsidRPr="00781FD9">
        <w:rPr>
          <w:rFonts w:ascii="David" w:hAnsi="David" w:cs="David"/>
        </w:rPr>
        <w:t xml:space="preserve"> </w:t>
      </w:r>
      <w:r w:rsidRPr="00781FD9">
        <w:rPr>
          <w:rFonts w:ascii="David" w:hAnsi="David" w:cs="David"/>
          <w:rtl/>
        </w:rPr>
        <w:t>(בשרות</w:t>
      </w:r>
      <w:r w:rsidRPr="00781FD9">
        <w:rPr>
          <w:rFonts w:ascii="David" w:hAnsi="David" w:cs="David"/>
        </w:rPr>
        <w:t xml:space="preserve"> </w:t>
      </w:r>
      <w:r w:rsidRPr="00781FD9">
        <w:rPr>
          <w:rFonts w:ascii="David" w:hAnsi="David" w:cs="David"/>
          <w:rtl/>
        </w:rPr>
        <w:t>עצמי) מרכז</w:t>
      </w:r>
      <w:r w:rsidRPr="00781FD9">
        <w:rPr>
          <w:rFonts w:ascii="David" w:hAnsi="David" w:cs="David"/>
        </w:rPr>
        <w:t xml:space="preserve"> </w:t>
      </w:r>
      <w:r w:rsidRPr="00781FD9">
        <w:rPr>
          <w:rFonts w:ascii="David" w:hAnsi="David" w:cs="David"/>
          <w:rtl/>
        </w:rPr>
        <w:t>גבייה - במספר *</w:t>
      </w:r>
      <w:r w:rsidRPr="00781FD9">
        <w:rPr>
          <w:rFonts w:ascii="David" w:hAnsi="David" w:cs="David"/>
        </w:rPr>
        <w:t>35592</w:t>
      </w:r>
      <w:r w:rsidRPr="00781FD9">
        <w:rPr>
          <w:rFonts w:ascii="David" w:hAnsi="David" w:cs="David"/>
          <w:rtl/>
        </w:rPr>
        <w:t xml:space="preserve"> או</w:t>
      </w:r>
      <w:r w:rsidRPr="00781FD9">
        <w:rPr>
          <w:rFonts w:ascii="David" w:hAnsi="David" w:cs="David"/>
        </w:rPr>
        <w:t xml:space="preserve">073-2055000 </w:t>
      </w:r>
    </w:p>
    <w:p w14:paraId="77DA2AAA" w14:textId="77777777" w:rsidR="00A51485" w:rsidRPr="00781FD9" w:rsidRDefault="00A51485" w:rsidP="00A51485">
      <w:pPr>
        <w:pStyle w:val="gmail-msolistparagraph"/>
        <w:widowControl w:val="0"/>
        <w:bidi/>
        <w:spacing w:before="0" w:beforeAutospacing="0" w:after="0" w:afterAutospacing="0" w:line="360" w:lineRule="auto"/>
        <w:ind w:left="984"/>
        <w:jc w:val="both"/>
        <w:rPr>
          <w:rFonts w:ascii="David" w:hAnsi="David" w:cs="David"/>
          <w:rtl/>
        </w:rPr>
      </w:pPr>
      <w:r>
        <w:rPr>
          <w:rFonts w:ascii="Symbol" w:hAnsi="Symbol" w:cs="David"/>
        </w:rPr>
        <w:sym w:font="Symbol" w:char="F0AC"/>
      </w:r>
      <w:r w:rsidR="007A28F5">
        <w:rPr>
          <w:rFonts w:ascii="David" w:hAnsi="David" w:cs="David"/>
          <w:rtl/>
        </w:rPr>
        <w:t xml:space="preserve">  </w:t>
      </w:r>
      <w:r w:rsidRPr="00781FD9">
        <w:rPr>
          <w:rFonts w:ascii="David" w:hAnsi="David" w:cs="David"/>
          <w:rtl/>
        </w:rPr>
        <w:t xml:space="preserve"> במזומן</w:t>
      </w:r>
      <w:r w:rsidRPr="00781FD9">
        <w:rPr>
          <w:rFonts w:ascii="David" w:hAnsi="David" w:cs="David"/>
        </w:rPr>
        <w:t xml:space="preserve"> </w:t>
      </w:r>
      <w:r w:rsidRPr="00781FD9">
        <w:rPr>
          <w:rFonts w:ascii="David" w:hAnsi="David" w:cs="David"/>
          <w:rtl/>
        </w:rPr>
        <w:t>בכל</w:t>
      </w:r>
      <w:r w:rsidRPr="00781FD9">
        <w:rPr>
          <w:rFonts w:ascii="David" w:hAnsi="David" w:cs="David"/>
        </w:rPr>
        <w:t xml:space="preserve"> </w:t>
      </w:r>
      <w:r w:rsidRPr="00781FD9">
        <w:rPr>
          <w:rFonts w:ascii="David" w:hAnsi="David" w:cs="David"/>
          <w:rtl/>
        </w:rPr>
        <w:t>סניף</w:t>
      </w:r>
      <w:r w:rsidRPr="00781FD9">
        <w:rPr>
          <w:rFonts w:ascii="David" w:hAnsi="David" w:cs="David"/>
        </w:rPr>
        <w:t xml:space="preserve"> </w:t>
      </w:r>
      <w:r w:rsidRPr="00781FD9">
        <w:rPr>
          <w:rFonts w:ascii="David" w:hAnsi="David" w:cs="David"/>
          <w:rtl/>
        </w:rPr>
        <w:t>של</w:t>
      </w:r>
      <w:r w:rsidRPr="00781FD9">
        <w:rPr>
          <w:rFonts w:ascii="David" w:hAnsi="David" w:cs="David"/>
        </w:rPr>
        <w:t xml:space="preserve"> </w:t>
      </w:r>
      <w:r w:rsidRPr="00781FD9">
        <w:rPr>
          <w:rFonts w:ascii="David" w:hAnsi="David" w:cs="David"/>
          <w:rtl/>
        </w:rPr>
        <w:t>בנק</w:t>
      </w:r>
      <w:r w:rsidRPr="00781FD9">
        <w:rPr>
          <w:rFonts w:ascii="David" w:hAnsi="David" w:cs="David"/>
        </w:rPr>
        <w:t xml:space="preserve"> </w:t>
      </w:r>
      <w:r w:rsidRPr="00781FD9">
        <w:rPr>
          <w:rFonts w:ascii="David" w:hAnsi="David" w:cs="David"/>
          <w:rtl/>
        </w:rPr>
        <w:t>הדואר - בהצגת</w:t>
      </w:r>
      <w:r w:rsidRPr="00781FD9">
        <w:rPr>
          <w:rFonts w:ascii="David" w:hAnsi="David" w:cs="David"/>
        </w:rPr>
        <w:t xml:space="preserve"> </w:t>
      </w:r>
      <w:r w:rsidRPr="00781FD9">
        <w:rPr>
          <w:rFonts w:ascii="David" w:hAnsi="David" w:cs="David"/>
          <w:rtl/>
        </w:rPr>
        <w:t>תעודת</w:t>
      </w:r>
      <w:r w:rsidRPr="00781FD9">
        <w:rPr>
          <w:rFonts w:ascii="David" w:hAnsi="David" w:cs="David"/>
        </w:rPr>
        <w:t xml:space="preserve"> </w:t>
      </w:r>
      <w:r w:rsidRPr="00781FD9">
        <w:rPr>
          <w:rFonts w:ascii="David" w:hAnsi="David" w:cs="David"/>
          <w:rtl/>
        </w:rPr>
        <w:t>זהות</w:t>
      </w:r>
      <w:r w:rsidRPr="00781FD9">
        <w:rPr>
          <w:rFonts w:ascii="David" w:hAnsi="David" w:cs="David"/>
        </w:rPr>
        <w:t xml:space="preserve"> </w:t>
      </w:r>
      <w:r w:rsidRPr="00781FD9">
        <w:rPr>
          <w:rFonts w:ascii="David" w:hAnsi="David" w:cs="David"/>
          <w:rtl/>
        </w:rPr>
        <w:t>(אין</w:t>
      </w:r>
      <w:r w:rsidRPr="00781FD9">
        <w:rPr>
          <w:rFonts w:ascii="David" w:hAnsi="David" w:cs="David"/>
        </w:rPr>
        <w:t xml:space="preserve"> </w:t>
      </w:r>
      <w:r w:rsidRPr="00781FD9">
        <w:rPr>
          <w:rFonts w:ascii="David" w:hAnsi="David" w:cs="David"/>
          <w:rtl/>
        </w:rPr>
        <w:t>צורך</w:t>
      </w:r>
      <w:r w:rsidRPr="00781FD9">
        <w:rPr>
          <w:rFonts w:ascii="David" w:hAnsi="David" w:cs="David"/>
        </w:rPr>
        <w:t xml:space="preserve"> </w:t>
      </w:r>
      <w:r w:rsidRPr="00781FD9">
        <w:rPr>
          <w:rFonts w:ascii="David" w:hAnsi="David" w:cs="David"/>
          <w:rtl/>
        </w:rPr>
        <w:t>בשוברי</w:t>
      </w:r>
      <w:r w:rsidRPr="00781FD9">
        <w:rPr>
          <w:rFonts w:ascii="David" w:hAnsi="David" w:cs="David"/>
        </w:rPr>
        <w:t xml:space="preserve"> </w:t>
      </w:r>
      <w:r w:rsidRPr="00781FD9">
        <w:rPr>
          <w:rFonts w:ascii="David" w:hAnsi="David" w:cs="David"/>
          <w:rtl/>
        </w:rPr>
        <w:t>תשלום).</w:t>
      </w:r>
    </w:p>
    <w:p w14:paraId="07A3C22F" w14:textId="77777777" w:rsidR="00A51485" w:rsidRDefault="00A51485" w:rsidP="00A51485">
      <w:pPr>
        <w:pStyle w:val="gmail-msolistparagraph"/>
        <w:widowControl w:val="0"/>
        <w:bidi/>
        <w:spacing w:before="0" w:beforeAutospacing="0" w:after="0" w:afterAutospacing="0" w:line="360" w:lineRule="auto"/>
        <w:ind w:left="984"/>
        <w:jc w:val="both"/>
        <w:rPr>
          <w:rFonts w:ascii="David" w:hAnsi="David" w:cs="David"/>
          <w:rtl/>
        </w:rPr>
      </w:pPr>
      <w:r w:rsidRPr="00781FD9">
        <w:rPr>
          <w:rFonts w:ascii="David" w:hAnsi="David" w:cs="David"/>
          <w:b/>
          <w:bCs/>
          <w:rtl/>
        </w:rPr>
        <w:t>לא תשמע טענה שהנאשם לא קיבל שוברי תשלום בדואר</w:t>
      </w:r>
      <w:r w:rsidRPr="00781FD9">
        <w:rPr>
          <w:rFonts w:ascii="David" w:hAnsi="David" w:cs="David"/>
          <w:rtl/>
        </w:rPr>
        <w:t>.</w:t>
      </w:r>
    </w:p>
    <w:p w14:paraId="305D3375" w14:textId="77777777" w:rsidR="00A51485" w:rsidRPr="00781FD9" w:rsidRDefault="00A51485" w:rsidP="00A51485">
      <w:pPr>
        <w:pStyle w:val="gmail-msolistparagraph"/>
        <w:widowControl w:val="0"/>
        <w:bidi/>
        <w:spacing w:before="0" w:beforeAutospacing="0" w:after="0" w:afterAutospacing="0"/>
        <w:ind w:left="1284"/>
        <w:jc w:val="both"/>
        <w:rPr>
          <w:rFonts w:ascii="David" w:hAnsi="David" w:cs="David"/>
          <w:rtl/>
        </w:rPr>
      </w:pPr>
    </w:p>
    <w:p w14:paraId="028BD3B1" w14:textId="77777777" w:rsidR="00A51485" w:rsidRPr="00C17BFF" w:rsidRDefault="00A51485" w:rsidP="00A51485">
      <w:pPr>
        <w:pStyle w:val="a9"/>
        <w:widowControl w:val="0"/>
        <w:numPr>
          <w:ilvl w:val="0"/>
          <w:numId w:val="4"/>
        </w:numPr>
        <w:spacing w:line="360" w:lineRule="auto"/>
        <w:ind w:left="984" w:hanging="624"/>
        <w:contextualSpacing w:val="0"/>
        <w:jc w:val="both"/>
        <w:rPr>
          <w:rFonts w:ascii="David" w:hAnsi="David"/>
          <w:rtl/>
        </w:rPr>
      </w:pPr>
      <w:r w:rsidRPr="00C17BFF">
        <w:rPr>
          <w:rFonts w:ascii="David" w:hAnsi="David"/>
          <w:b/>
          <w:bCs/>
          <w:rtl/>
        </w:rPr>
        <w:t>6 חודשי פסילה על תנאי מקבל או מהחזיק רישיון נהיגה</w:t>
      </w:r>
      <w:r w:rsidRPr="00C17BFF">
        <w:rPr>
          <w:rFonts w:ascii="David" w:hAnsi="David"/>
          <w:rtl/>
        </w:rPr>
        <w:t xml:space="preserve">. התנאי הוא שבמשך שנה מהיום לא </w:t>
      </w:r>
      <w:r>
        <w:rPr>
          <w:rFonts w:ascii="David" w:hAnsi="David" w:hint="cs"/>
          <w:rtl/>
        </w:rPr>
        <w:t>ת</w:t>
      </w:r>
      <w:r w:rsidRPr="00C17BFF">
        <w:rPr>
          <w:rFonts w:ascii="David" w:hAnsi="David"/>
          <w:rtl/>
        </w:rPr>
        <w:t xml:space="preserve">עבור עבירה על </w:t>
      </w:r>
      <w:r w:rsidRPr="00C17BFF">
        <w:rPr>
          <w:rFonts w:ascii="Miriam" w:hAnsi="Miriam" w:cs="Miriam"/>
          <w:b/>
          <w:bCs/>
          <w:sz w:val="22"/>
          <w:szCs w:val="22"/>
          <w:rtl/>
        </w:rPr>
        <w:t>פקודת הסמים</w:t>
      </w:r>
      <w:r w:rsidRPr="00C17BFF">
        <w:rPr>
          <w:rFonts w:ascii="David" w:hAnsi="David"/>
          <w:rtl/>
        </w:rPr>
        <w:t>.</w:t>
      </w:r>
    </w:p>
    <w:p w14:paraId="4944EC04" w14:textId="77777777" w:rsidR="00A51485" w:rsidRDefault="007A28F5" w:rsidP="00A51485">
      <w:pPr>
        <w:widowControl w:val="0"/>
        <w:spacing w:line="360" w:lineRule="auto"/>
        <w:ind w:left="357"/>
        <w:jc w:val="both"/>
        <w:rPr>
          <w:rtl/>
        </w:rPr>
      </w:pPr>
      <w:r>
        <w:rPr>
          <w:rFonts w:ascii="David" w:hAnsi="David"/>
          <w:rtl/>
        </w:rPr>
        <w:t xml:space="preserve"> </w:t>
      </w:r>
    </w:p>
    <w:p w14:paraId="741F3091" w14:textId="77777777" w:rsidR="00A51485" w:rsidRDefault="00A51485" w:rsidP="00A51485">
      <w:pPr>
        <w:widowControl w:val="0"/>
        <w:spacing w:line="360" w:lineRule="auto"/>
        <w:jc w:val="both"/>
        <w:rPr>
          <w:rFonts w:ascii="David" w:hAnsi="David"/>
          <w:b/>
          <w:bCs/>
          <w:rtl/>
        </w:rPr>
      </w:pPr>
      <w:r>
        <w:rPr>
          <w:rFonts w:ascii="David" w:hAnsi="David"/>
          <w:b/>
          <w:bCs/>
          <w:rtl/>
        </w:rPr>
        <w:t>מובהר לנאש</w:t>
      </w:r>
      <w:r>
        <w:rPr>
          <w:rFonts w:ascii="David" w:hAnsi="David" w:hint="cs"/>
          <w:b/>
          <w:bCs/>
          <w:rtl/>
        </w:rPr>
        <w:t>מת</w:t>
      </w:r>
      <w:r>
        <w:rPr>
          <w:rFonts w:ascii="David" w:hAnsi="David"/>
          <w:b/>
          <w:bCs/>
          <w:rtl/>
        </w:rPr>
        <w:t xml:space="preserve"> כי אם לא </w:t>
      </w:r>
      <w:r>
        <w:rPr>
          <w:rFonts w:ascii="David" w:hAnsi="David" w:hint="cs"/>
          <w:b/>
          <w:bCs/>
          <w:rtl/>
        </w:rPr>
        <w:t>ת</w:t>
      </w:r>
      <w:r>
        <w:rPr>
          <w:rFonts w:ascii="David" w:hAnsi="David"/>
          <w:b/>
          <w:bCs/>
          <w:rtl/>
        </w:rPr>
        <w:t>עמוד בצו השל"צ, יוחזר עניינ</w:t>
      </w:r>
      <w:r>
        <w:rPr>
          <w:rFonts w:ascii="David" w:hAnsi="David" w:hint="cs"/>
          <w:b/>
          <w:bCs/>
          <w:rtl/>
        </w:rPr>
        <w:t>ה</w:t>
      </w:r>
      <w:r>
        <w:rPr>
          <w:rFonts w:ascii="David" w:hAnsi="David"/>
          <w:b/>
          <w:bCs/>
          <w:rtl/>
        </w:rPr>
        <w:t xml:space="preserve"> לדיון בבית המשפט, </w:t>
      </w:r>
      <w:r>
        <w:rPr>
          <w:rFonts w:ascii="David" w:hAnsi="David" w:hint="cs"/>
          <w:b/>
          <w:bCs/>
          <w:rtl/>
        </w:rPr>
        <w:t>היא ת</w:t>
      </w:r>
      <w:r>
        <w:rPr>
          <w:rFonts w:ascii="David" w:hAnsi="David"/>
          <w:b/>
          <w:bCs/>
          <w:rtl/>
        </w:rPr>
        <w:t>ורשע ודינ</w:t>
      </w:r>
      <w:r>
        <w:rPr>
          <w:rFonts w:ascii="David" w:hAnsi="David" w:hint="cs"/>
          <w:b/>
          <w:bCs/>
          <w:rtl/>
        </w:rPr>
        <w:t>ה</w:t>
      </w:r>
      <w:r>
        <w:rPr>
          <w:rFonts w:ascii="David" w:hAnsi="David"/>
          <w:b/>
          <w:bCs/>
          <w:rtl/>
        </w:rPr>
        <w:t xml:space="preserve"> ייגזר מחדש.</w:t>
      </w:r>
    </w:p>
    <w:p w14:paraId="6B9716B8" w14:textId="77777777" w:rsidR="00A51485" w:rsidRDefault="00A51485" w:rsidP="00A51485">
      <w:pPr>
        <w:widowControl w:val="0"/>
        <w:spacing w:line="360" w:lineRule="auto"/>
        <w:jc w:val="both"/>
        <w:rPr>
          <w:rtl/>
        </w:rPr>
      </w:pPr>
      <w:r>
        <w:rPr>
          <w:rFonts w:ascii="David" w:hAnsi="David"/>
          <w:b/>
          <w:bCs/>
          <w:rtl/>
        </w:rPr>
        <w:t xml:space="preserve"> </w:t>
      </w:r>
    </w:p>
    <w:p w14:paraId="1E4F8E5A" w14:textId="77777777" w:rsidR="00A51485" w:rsidRDefault="00A51485" w:rsidP="00A51485">
      <w:pPr>
        <w:widowControl w:val="0"/>
        <w:spacing w:line="360" w:lineRule="auto"/>
        <w:jc w:val="both"/>
        <w:rPr>
          <w:rtl/>
        </w:rPr>
      </w:pPr>
      <w:bookmarkStart w:id="8" w:name="_Hlk34633852"/>
      <w:r>
        <w:rPr>
          <w:rFonts w:ascii="David" w:hAnsi="David"/>
          <w:b/>
          <w:bCs/>
          <w:u w:val="single"/>
          <w:rtl/>
        </w:rPr>
        <w:t xml:space="preserve">המזכירות מתבקשת להעביר עותק גזר הדין לשירות המבחן. </w:t>
      </w:r>
      <w:bookmarkEnd w:id="8"/>
    </w:p>
    <w:p w14:paraId="6D14CFC2" w14:textId="77777777" w:rsidR="00A51485" w:rsidRPr="003D5F0B" w:rsidRDefault="00A51485" w:rsidP="00A51485">
      <w:pPr>
        <w:widowControl w:val="0"/>
        <w:spacing w:line="360" w:lineRule="auto"/>
        <w:jc w:val="both"/>
        <w:rPr>
          <w:rFonts w:ascii="David" w:hAnsi="David"/>
          <w:b/>
          <w:bCs/>
          <w:sz w:val="26"/>
          <w:szCs w:val="26"/>
          <w:rtl/>
        </w:rPr>
      </w:pPr>
    </w:p>
    <w:p w14:paraId="5273471A" w14:textId="77777777" w:rsidR="00A51485" w:rsidRDefault="00A51485" w:rsidP="00A51485">
      <w:pPr>
        <w:widowControl w:val="0"/>
        <w:spacing w:line="360" w:lineRule="auto"/>
        <w:jc w:val="both"/>
        <w:rPr>
          <w:rFonts w:ascii="David" w:hAnsi="David"/>
          <w:b/>
          <w:bCs/>
          <w:rtl/>
        </w:rPr>
      </w:pPr>
      <w:r w:rsidRPr="00EE5F34">
        <w:rPr>
          <w:rFonts w:ascii="David" w:hAnsi="David"/>
          <w:b/>
          <w:bCs/>
          <w:rtl/>
        </w:rPr>
        <w:t>ניתן צו כללי למוצגים: להשמיד, לחלט ולהשיב לבעלים, לפי שיקול דעת היחידה החוקרת.</w:t>
      </w:r>
    </w:p>
    <w:p w14:paraId="2B7B9394" w14:textId="77777777" w:rsidR="00A51485" w:rsidRDefault="00A51485" w:rsidP="00A51485">
      <w:pPr>
        <w:widowControl w:val="0"/>
        <w:spacing w:line="360" w:lineRule="auto"/>
        <w:jc w:val="both"/>
        <w:rPr>
          <w:rFonts w:ascii="David" w:hAnsi="David"/>
          <w:b/>
          <w:bCs/>
          <w:rtl/>
        </w:rPr>
      </w:pPr>
      <w:r>
        <w:rPr>
          <w:rFonts w:ascii="David" w:hAnsi="David" w:hint="cs"/>
          <w:b/>
          <w:bCs/>
          <w:rtl/>
        </w:rPr>
        <w:t xml:space="preserve">ניתן צו להשמדת הסמים המסוכנים. </w:t>
      </w:r>
    </w:p>
    <w:p w14:paraId="3ED95428" w14:textId="77777777" w:rsidR="00A51485" w:rsidRPr="007A28F5" w:rsidRDefault="007A28F5" w:rsidP="00A51485">
      <w:pPr>
        <w:widowControl w:val="0"/>
        <w:spacing w:line="360" w:lineRule="auto"/>
        <w:jc w:val="both"/>
        <w:rPr>
          <w:rFonts w:ascii="David" w:hAnsi="David"/>
          <w:b/>
          <w:bCs/>
          <w:color w:val="FFFFFF"/>
          <w:sz w:val="2"/>
          <w:szCs w:val="2"/>
          <w:rtl/>
        </w:rPr>
      </w:pPr>
      <w:r w:rsidRPr="007A28F5">
        <w:rPr>
          <w:rFonts w:ascii="David" w:hAnsi="David"/>
          <w:b/>
          <w:bCs/>
          <w:color w:val="FFFFFF"/>
          <w:sz w:val="2"/>
          <w:szCs w:val="2"/>
          <w:rtl/>
        </w:rPr>
        <w:t>5129371</w:t>
      </w:r>
    </w:p>
    <w:p w14:paraId="327E4FA2" w14:textId="77777777" w:rsidR="00A51485" w:rsidRPr="00EE5F34" w:rsidRDefault="007A28F5" w:rsidP="00A51485">
      <w:pPr>
        <w:widowControl w:val="0"/>
        <w:spacing w:line="360" w:lineRule="auto"/>
        <w:jc w:val="both"/>
        <w:rPr>
          <w:rFonts w:ascii="David" w:hAnsi="David"/>
          <w:b/>
          <w:bCs/>
          <w:u w:val="single"/>
          <w:rtl/>
        </w:rPr>
      </w:pPr>
      <w:r w:rsidRPr="007A28F5">
        <w:rPr>
          <w:rFonts w:ascii="David" w:hAnsi="David"/>
          <w:b/>
          <w:bCs/>
          <w:color w:val="FFFFFF"/>
          <w:sz w:val="2"/>
          <w:szCs w:val="2"/>
          <w:u w:val="single"/>
          <w:rtl/>
        </w:rPr>
        <w:t>54678313</w:t>
      </w:r>
      <w:r w:rsidR="00A51485" w:rsidRPr="00EE5F34">
        <w:rPr>
          <w:rFonts w:ascii="David" w:hAnsi="David"/>
          <w:b/>
          <w:bCs/>
          <w:u w:val="single"/>
          <w:rtl/>
        </w:rPr>
        <w:t>זכות ערעור לבית-המשפט המחוזי תוך 45 יום.</w:t>
      </w:r>
    </w:p>
    <w:p w14:paraId="32C1D02C" w14:textId="77777777" w:rsidR="00A51485" w:rsidRPr="00B41605" w:rsidRDefault="00A51485" w:rsidP="00A51485">
      <w:pPr>
        <w:widowControl w:val="0"/>
        <w:jc w:val="both"/>
        <w:rPr>
          <w:rFonts w:ascii="Arial" w:hAnsi="Arial"/>
          <w:rtl/>
        </w:rPr>
      </w:pPr>
    </w:p>
    <w:p w14:paraId="505BE50D" w14:textId="77777777" w:rsidR="00A51485" w:rsidRDefault="007A28F5" w:rsidP="00A51485">
      <w:pPr>
        <w:widowControl w:val="0"/>
        <w:spacing w:line="360" w:lineRule="auto"/>
        <w:jc w:val="both"/>
        <w:rPr>
          <w:rFonts w:ascii="Arial" w:hAnsi="Arial"/>
          <w:noProof w:val="0"/>
          <w:rtl/>
        </w:rPr>
      </w:pPr>
      <w:bookmarkStart w:id="9" w:name="Nitan"/>
      <w:r>
        <w:rPr>
          <w:rFonts w:ascii="Arial" w:hAnsi="Arial"/>
          <w:b/>
          <w:bCs/>
          <w:noProof w:val="0"/>
          <w:rtl/>
        </w:rPr>
        <w:t xml:space="preserve">ניתן והודע היום, ז' ניסן תשפ"ג, 29 מרץ 2023, במעמד הנוכחים. </w:t>
      </w:r>
      <w:bookmarkEnd w:id="9"/>
    </w:p>
    <w:p w14:paraId="706EFEFC" w14:textId="77777777" w:rsidR="00A51485" w:rsidRDefault="00A51485" w:rsidP="00A51485">
      <w:pPr>
        <w:widowControl w:val="0"/>
        <w:spacing w:line="360" w:lineRule="auto"/>
        <w:ind w:left="3600" w:firstLine="720"/>
        <w:jc w:val="both"/>
      </w:pPr>
    </w:p>
    <w:p w14:paraId="6D38EC86" w14:textId="77777777" w:rsidR="00A51485" w:rsidRDefault="00A51485" w:rsidP="00A51485">
      <w:pPr>
        <w:widowControl w:val="0"/>
        <w:spacing w:line="360" w:lineRule="auto"/>
        <w:ind w:left="3600" w:firstLine="720"/>
        <w:jc w:val="both"/>
        <w:rPr>
          <w:rFonts w:ascii="Arial" w:hAnsi="Arial"/>
          <w:noProof w:val="0"/>
          <w:rtl/>
        </w:rPr>
      </w:pPr>
    </w:p>
    <w:p w14:paraId="3BD6CEEF" w14:textId="77777777" w:rsidR="00B74C35" w:rsidRPr="007A28F5" w:rsidRDefault="00B74C35" w:rsidP="007A28F5">
      <w:pPr>
        <w:keepNext/>
        <w:rPr>
          <w:rFonts w:ascii="David" w:hAnsi="David" w:hint="cs"/>
          <w:color w:val="000000"/>
          <w:sz w:val="22"/>
          <w:szCs w:val="22"/>
          <w:rtl/>
        </w:rPr>
      </w:pPr>
    </w:p>
    <w:p w14:paraId="3ACD8336" w14:textId="77777777" w:rsidR="007A28F5" w:rsidRPr="007A28F5" w:rsidRDefault="007A28F5" w:rsidP="007A28F5">
      <w:pPr>
        <w:keepNext/>
        <w:rPr>
          <w:rFonts w:ascii="David" w:hAnsi="David"/>
          <w:color w:val="000000"/>
          <w:sz w:val="22"/>
          <w:szCs w:val="22"/>
          <w:rtl/>
        </w:rPr>
      </w:pPr>
      <w:r w:rsidRPr="007A28F5">
        <w:rPr>
          <w:rFonts w:ascii="David" w:hAnsi="David"/>
          <w:color w:val="000000"/>
          <w:sz w:val="22"/>
          <w:szCs w:val="22"/>
          <w:rtl/>
        </w:rPr>
        <w:t>זהר דולב להמן 54678313</w:t>
      </w:r>
    </w:p>
    <w:p w14:paraId="792F8708" w14:textId="77777777" w:rsidR="007A28F5" w:rsidRDefault="007A28F5" w:rsidP="007A28F5">
      <w:r w:rsidRPr="007A28F5">
        <w:rPr>
          <w:color w:val="000000"/>
          <w:rtl/>
        </w:rPr>
        <w:t>נוסח מסמך זה כפוף לשינויי ניסוח ועריכה</w:t>
      </w:r>
    </w:p>
    <w:p w14:paraId="2F5C24A2" w14:textId="77777777" w:rsidR="007A28F5" w:rsidRDefault="007A28F5" w:rsidP="007A28F5">
      <w:pPr>
        <w:rPr>
          <w:rtl/>
        </w:rPr>
      </w:pPr>
    </w:p>
    <w:p w14:paraId="7CF635E3" w14:textId="77777777" w:rsidR="007A28F5" w:rsidRDefault="007A28F5" w:rsidP="007A28F5">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0C7E39E8" w14:textId="77777777" w:rsidR="007A28F5" w:rsidRPr="007A28F5" w:rsidRDefault="007A28F5" w:rsidP="007A28F5">
      <w:pPr>
        <w:jc w:val="center"/>
        <w:rPr>
          <w:rFonts w:hint="cs"/>
          <w:color w:val="0000FF"/>
          <w:u w:val="single"/>
        </w:rPr>
      </w:pPr>
    </w:p>
    <w:sectPr w:rsidR="007A28F5" w:rsidRPr="007A28F5" w:rsidSect="007A28F5">
      <w:headerReference w:type="even" r:id="rId56"/>
      <w:headerReference w:type="default" r:id="rId57"/>
      <w:footerReference w:type="even" r:id="rId58"/>
      <w:footerReference w:type="default" r:id="rId5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C8A84" w14:textId="77777777" w:rsidR="00B662E4" w:rsidRDefault="00B662E4" w:rsidP="002329F5">
      <w:r>
        <w:separator/>
      </w:r>
    </w:p>
  </w:endnote>
  <w:endnote w:type="continuationSeparator" w:id="0">
    <w:p w14:paraId="254744FD" w14:textId="77777777" w:rsidR="00B662E4" w:rsidRDefault="00B662E4" w:rsidP="0023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F5A34" w14:textId="77777777" w:rsidR="007A28F5" w:rsidRDefault="007A28F5" w:rsidP="007A28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C647CF2" w14:textId="77777777" w:rsidR="007A28F5" w:rsidRPr="007A28F5" w:rsidRDefault="007A28F5" w:rsidP="007A28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88CF" w14:textId="77777777" w:rsidR="007A28F5" w:rsidRDefault="007A28F5" w:rsidP="007A28F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45A19">
      <w:rPr>
        <w:rStyle w:val="a8"/>
        <w:rFonts w:ascii="FrankRuehl" w:hAnsi="FrankRuehl" w:cs="FrankRuehl"/>
        <w:rtl/>
      </w:rPr>
      <w:t>1</w:t>
    </w:r>
    <w:r>
      <w:rPr>
        <w:rStyle w:val="a8"/>
        <w:rFonts w:ascii="FrankRuehl" w:hAnsi="FrankRuehl" w:cs="FrankRuehl"/>
        <w:rtl/>
      </w:rPr>
      <w:fldChar w:fldCharType="end"/>
    </w:r>
  </w:p>
  <w:p w14:paraId="0854368F" w14:textId="77777777" w:rsidR="00872ECA" w:rsidRPr="007A28F5" w:rsidRDefault="007A28F5" w:rsidP="007A28F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06FB8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44E0C" w14:textId="77777777" w:rsidR="00B662E4" w:rsidRDefault="00B662E4" w:rsidP="002329F5">
      <w:r>
        <w:separator/>
      </w:r>
    </w:p>
  </w:footnote>
  <w:footnote w:type="continuationSeparator" w:id="0">
    <w:p w14:paraId="2A4787C7" w14:textId="77777777" w:rsidR="00B662E4" w:rsidRDefault="00B662E4" w:rsidP="00232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383BF" w14:textId="77777777" w:rsidR="007A28F5" w:rsidRPr="007A28F5" w:rsidRDefault="007A28F5" w:rsidP="007A28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8995-04-21</w:t>
    </w:r>
    <w:r>
      <w:rPr>
        <w:rFonts w:ascii="David" w:hAnsi="David"/>
        <w:color w:val="000000"/>
        <w:sz w:val="22"/>
        <w:szCs w:val="22"/>
        <w:rtl/>
      </w:rPr>
      <w:tab/>
      <w:t xml:space="preserve"> מדינת ישראל נ' אופיר עטר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36762" w14:textId="77777777" w:rsidR="007A28F5" w:rsidRPr="007A28F5" w:rsidRDefault="007A28F5" w:rsidP="007A28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8995-04-21</w:t>
    </w:r>
    <w:r>
      <w:rPr>
        <w:rFonts w:ascii="David" w:hAnsi="David"/>
        <w:color w:val="000000"/>
        <w:sz w:val="22"/>
        <w:szCs w:val="22"/>
        <w:rtl/>
      </w:rPr>
      <w:tab/>
      <w:t xml:space="preserve"> מדינת ישראל נ' אופיר עטר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376C"/>
    <w:multiLevelType w:val="hybridMultilevel"/>
    <w:tmpl w:val="412824A4"/>
    <w:lvl w:ilvl="0" w:tplc="32BA63A8">
      <w:start w:val="1"/>
      <w:numFmt w:val="decimal"/>
      <w:lvlText w:val="%1."/>
      <w:lvlJc w:val="left"/>
      <w:pPr>
        <w:ind w:left="360" w:hanging="360"/>
      </w:pPr>
      <w:rPr>
        <w:rFonts w:ascii="David" w:hAnsi="David" w:cs="David" w:hint="default"/>
        <w:b w:val="0"/>
        <w:bCs w:val="0"/>
      </w:rPr>
    </w:lvl>
    <w:lvl w:ilvl="1" w:tplc="C2B2A5BC">
      <w:start w:val="1"/>
      <w:numFmt w:val="hebrew1"/>
      <w:lvlText w:val="%2."/>
      <w:lvlJc w:val="center"/>
      <w:pPr>
        <w:ind w:left="1080" w:hanging="360"/>
      </w:pPr>
    </w:lvl>
    <w:lvl w:ilvl="2" w:tplc="A01CF8BA">
      <w:start w:val="1"/>
      <w:numFmt w:val="lowerRoman"/>
      <w:lvlText w:val="%3."/>
      <w:lvlJc w:val="right"/>
      <w:pPr>
        <w:ind w:left="1800" w:hanging="180"/>
      </w:pPr>
    </w:lvl>
    <w:lvl w:ilvl="3" w:tplc="7D14E928">
      <w:start w:val="1"/>
      <w:numFmt w:val="decimal"/>
      <w:lvlText w:val="%4."/>
      <w:lvlJc w:val="left"/>
      <w:pPr>
        <w:ind w:left="2520" w:hanging="360"/>
      </w:pPr>
    </w:lvl>
    <w:lvl w:ilvl="4" w:tplc="32F40F74">
      <w:start w:val="1"/>
      <w:numFmt w:val="lowerLetter"/>
      <w:lvlText w:val="%5."/>
      <w:lvlJc w:val="left"/>
      <w:pPr>
        <w:ind w:left="3240" w:hanging="360"/>
      </w:pPr>
    </w:lvl>
    <w:lvl w:ilvl="5" w:tplc="5762A802">
      <w:start w:val="1"/>
      <w:numFmt w:val="lowerRoman"/>
      <w:lvlText w:val="%6."/>
      <w:lvlJc w:val="right"/>
      <w:pPr>
        <w:ind w:left="3960" w:hanging="180"/>
      </w:pPr>
    </w:lvl>
    <w:lvl w:ilvl="6" w:tplc="EECEE1BA">
      <w:start w:val="1"/>
      <w:numFmt w:val="decimal"/>
      <w:lvlText w:val="%7."/>
      <w:lvlJc w:val="left"/>
      <w:pPr>
        <w:ind w:left="4680" w:hanging="360"/>
      </w:pPr>
    </w:lvl>
    <w:lvl w:ilvl="7" w:tplc="1D583062">
      <w:start w:val="1"/>
      <w:numFmt w:val="lowerLetter"/>
      <w:lvlText w:val="%8."/>
      <w:lvlJc w:val="left"/>
      <w:pPr>
        <w:ind w:left="5400" w:hanging="360"/>
      </w:pPr>
    </w:lvl>
    <w:lvl w:ilvl="8" w:tplc="823E1D96">
      <w:start w:val="1"/>
      <w:numFmt w:val="lowerRoman"/>
      <w:lvlText w:val="%9."/>
      <w:lvlJc w:val="right"/>
      <w:pPr>
        <w:ind w:left="6120" w:hanging="180"/>
      </w:pPr>
    </w:lvl>
  </w:abstractNum>
  <w:abstractNum w:abstractNumId="1" w15:restartNumberingAfterBreak="0">
    <w:nsid w:val="0C704F1C"/>
    <w:multiLevelType w:val="hybridMultilevel"/>
    <w:tmpl w:val="72A8282C"/>
    <w:lvl w:ilvl="0" w:tplc="78A854CC">
      <w:start w:val="1"/>
      <w:numFmt w:val="hebrew1"/>
      <w:lvlText w:val="%1)"/>
      <w:lvlJc w:val="left"/>
      <w:pPr>
        <w:ind w:left="804" w:hanging="444"/>
      </w:pPr>
      <w:rPr>
        <w:rFonts w:ascii="David" w:hAnsi="David" w:cs="David" w:hint="default"/>
        <w:b w:val="0"/>
        <w:bCs w:val="0"/>
        <w:i w:val="0"/>
        <w:iCs w:val="0"/>
        <w:sz w:val="22"/>
        <w:szCs w:val="24"/>
      </w:rPr>
    </w:lvl>
    <w:lvl w:ilvl="1" w:tplc="89120D30" w:tentative="1">
      <w:start w:val="1"/>
      <w:numFmt w:val="lowerLetter"/>
      <w:lvlText w:val="%2."/>
      <w:lvlJc w:val="left"/>
      <w:pPr>
        <w:ind w:left="1440" w:hanging="360"/>
      </w:pPr>
    </w:lvl>
    <w:lvl w:ilvl="2" w:tplc="6096F06E" w:tentative="1">
      <w:start w:val="1"/>
      <w:numFmt w:val="lowerRoman"/>
      <w:lvlText w:val="%3."/>
      <w:lvlJc w:val="right"/>
      <w:pPr>
        <w:ind w:left="2160" w:hanging="180"/>
      </w:pPr>
    </w:lvl>
    <w:lvl w:ilvl="3" w:tplc="4B56B52C" w:tentative="1">
      <w:start w:val="1"/>
      <w:numFmt w:val="decimal"/>
      <w:lvlText w:val="%4."/>
      <w:lvlJc w:val="left"/>
      <w:pPr>
        <w:ind w:left="2880" w:hanging="360"/>
      </w:pPr>
    </w:lvl>
    <w:lvl w:ilvl="4" w:tplc="E47265CE" w:tentative="1">
      <w:start w:val="1"/>
      <w:numFmt w:val="lowerLetter"/>
      <w:lvlText w:val="%5."/>
      <w:lvlJc w:val="left"/>
      <w:pPr>
        <w:ind w:left="3600" w:hanging="360"/>
      </w:pPr>
    </w:lvl>
    <w:lvl w:ilvl="5" w:tplc="0D6C42CA" w:tentative="1">
      <w:start w:val="1"/>
      <w:numFmt w:val="lowerRoman"/>
      <w:lvlText w:val="%6."/>
      <w:lvlJc w:val="right"/>
      <w:pPr>
        <w:ind w:left="4320" w:hanging="180"/>
      </w:pPr>
    </w:lvl>
    <w:lvl w:ilvl="6" w:tplc="AA145BE8" w:tentative="1">
      <w:start w:val="1"/>
      <w:numFmt w:val="decimal"/>
      <w:lvlText w:val="%7."/>
      <w:lvlJc w:val="left"/>
      <w:pPr>
        <w:ind w:left="5040" w:hanging="360"/>
      </w:pPr>
    </w:lvl>
    <w:lvl w:ilvl="7" w:tplc="2BF4BC26" w:tentative="1">
      <w:start w:val="1"/>
      <w:numFmt w:val="lowerLetter"/>
      <w:lvlText w:val="%8."/>
      <w:lvlJc w:val="left"/>
      <w:pPr>
        <w:ind w:left="5760" w:hanging="360"/>
      </w:pPr>
    </w:lvl>
    <w:lvl w:ilvl="8" w:tplc="9E84DD5E" w:tentative="1">
      <w:start w:val="1"/>
      <w:numFmt w:val="lowerRoman"/>
      <w:lvlText w:val="%9."/>
      <w:lvlJc w:val="right"/>
      <w:pPr>
        <w:ind w:left="6480" w:hanging="180"/>
      </w:pPr>
    </w:lvl>
  </w:abstractNum>
  <w:abstractNum w:abstractNumId="2" w15:restartNumberingAfterBreak="0">
    <w:nsid w:val="528D3363"/>
    <w:multiLevelType w:val="hybridMultilevel"/>
    <w:tmpl w:val="C51C7A86"/>
    <w:lvl w:ilvl="0" w:tplc="6660E6E4">
      <w:start w:val="1"/>
      <w:numFmt w:val="hebrew1"/>
      <w:lvlText w:val="%1)"/>
      <w:lvlJc w:val="left"/>
      <w:pPr>
        <w:ind w:left="1836" w:hanging="912"/>
      </w:pPr>
      <w:rPr>
        <w:rFonts w:ascii="David" w:hAnsi="David" w:cs="David" w:hint="default"/>
        <w:b w:val="0"/>
        <w:bCs w:val="0"/>
        <w:i w:val="0"/>
        <w:iCs w:val="0"/>
        <w:sz w:val="22"/>
        <w:szCs w:val="24"/>
      </w:rPr>
    </w:lvl>
    <w:lvl w:ilvl="1" w:tplc="3D6A8CC2" w:tentative="1">
      <w:start w:val="1"/>
      <w:numFmt w:val="lowerLetter"/>
      <w:lvlText w:val="%2."/>
      <w:lvlJc w:val="left"/>
      <w:pPr>
        <w:ind w:left="2004" w:hanging="360"/>
      </w:pPr>
    </w:lvl>
    <w:lvl w:ilvl="2" w:tplc="5A32B768" w:tentative="1">
      <w:start w:val="1"/>
      <w:numFmt w:val="lowerRoman"/>
      <w:lvlText w:val="%3."/>
      <w:lvlJc w:val="right"/>
      <w:pPr>
        <w:ind w:left="2724" w:hanging="180"/>
      </w:pPr>
    </w:lvl>
    <w:lvl w:ilvl="3" w:tplc="8C7009A6" w:tentative="1">
      <w:start w:val="1"/>
      <w:numFmt w:val="decimal"/>
      <w:lvlText w:val="%4."/>
      <w:lvlJc w:val="left"/>
      <w:pPr>
        <w:ind w:left="3444" w:hanging="360"/>
      </w:pPr>
    </w:lvl>
    <w:lvl w:ilvl="4" w:tplc="79E49B84" w:tentative="1">
      <w:start w:val="1"/>
      <w:numFmt w:val="lowerLetter"/>
      <w:lvlText w:val="%5."/>
      <w:lvlJc w:val="left"/>
      <w:pPr>
        <w:ind w:left="4164" w:hanging="360"/>
      </w:pPr>
    </w:lvl>
    <w:lvl w:ilvl="5" w:tplc="B3C05830" w:tentative="1">
      <w:start w:val="1"/>
      <w:numFmt w:val="lowerRoman"/>
      <w:lvlText w:val="%6."/>
      <w:lvlJc w:val="right"/>
      <w:pPr>
        <w:ind w:left="4884" w:hanging="180"/>
      </w:pPr>
    </w:lvl>
    <w:lvl w:ilvl="6" w:tplc="7B2245F8" w:tentative="1">
      <w:start w:val="1"/>
      <w:numFmt w:val="decimal"/>
      <w:lvlText w:val="%7."/>
      <w:lvlJc w:val="left"/>
      <w:pPr>
        <w:ind w:left="5604" w:hanging="360"/>
      </w:pPr>
    </w:lvl>
    <w:lvl w:ilvl="7" w:tplc="8F32F3EE" w:tentative="1">
      <w:start w:val="1"/>
      <w:numFmt w:val="lowerLetter"/>
      <w:lvlText w:val="%8."/>
      <w:lvlJc w:val="left"/>
      <w:pPr>
        <w:ind w:left="6324" w:hanging="360"/>
      </w:pPr>
    </w:lvl>
    <w:lvl w:ilvl="8" w:tplc="961EA0FE" w:tentative="1">
      <w:start w:val="1"/>
      <w:numFmt w:val="lowerRoman"/>
      <w:lvlText w:val="%9."/>
      <w:lvlJc w:val="right"/>
      <w:pPr>
        <w:ind w:left="7044" w:hanging="180"/>
      </w:pPr>
    </w:lvl>
  </w:abstractNum>
  <w:abstractNum w:abstractNumId="3" w15:restartNumberingAfterBreak="0">
    <w:nsid w:val="7A741771"/>
    <w:multiLevelType w:val="hybridMultilevel"/>
    <w:tmpl w:val="D3FCE438"/>
    <w:lvl w:ilvl="0" w:tplc="1E60C43E">
      <w:start w:val="1"/>
      <w:numFmt w:val="hebrew1"/>
      <w:lvlText w:val="%1)"/>
      <w:lvlJc w:val="left"/>
      <w:pPr>
        <w:ind w:left="972" w:hanging="444"/>
      </w:pPr>
      <w:rPr>
        <w:rFonts w:ascii="David" w:hAnsi="David" w:cs="David" w:hint="default"/>
        <w:sz w:val="24"/>
        <w:szCs w:val="24"/>
      </w:rPr>
    </w:lvl>
    <w:lvl w:ilvl="1" w:tplc="10502996">
      <w:start w:val="1"/>
      <w:numFmt w:val="lowerLetter"/>
      <w:lvlText w:val="%2."/>
      <w:lvlJc w:val="left"/>
      <w:pPr>
        <w:ind w:left="1608" w:hanging="360"/>
      </w:pPr>
    </w:lvl>
    <w:lvl w:ilvl="2" w:tplc="A6465B1A" w:tentative="1">
      <w:start w:val="1"/>
      <w:numFmt w:val="lowerRoman"/>
      <w:lvlText w:val="%3."/>
      <w:lvlJc w:val="right"/>
      <w:pPr>
        <w:ind w:left="2328" w:hanging="180"/>
      </w:pPr>
    </w:lvl>
    <w:lvl w:ilvl="3" w:tplc="7EC4BF90" w:tentative="1">
      <w:start w:val="1"/>
      <w:numFmt w:val="decimal"/>
      <w:lvlText w:val="%4."/>
      <w:lvlJc w:val="left"/>
      <w:pPr>
        <w:ind w:left="3048" w:hanging="360"/>
      </w:pPr>
    </w:lvl>
    <w:lvl w:ilvl="4" w:tplc="971EFC52" w:tentative="1">
      <w:start w:val="1"/>
      <w:numFmt w:val="lowerLetter"/>
      <w:lvlText w:val="%5."/>
      <w:lvlJc w:val="left"/>
      <w:pPr>
        <w:ind w:left="3768" w:hanging="360"/>
      </w:pPr>
    </w:lvl>
    <w:lvl w:ilvl="5" w:tplc="7BDACD36" w:tentative="1">
      <w:start w:val="1"/>
      <w:numFmt w:val="lowerRoman"/>
      <w:lvlText w:val="%6."/>
      <w:lvlJc w:val="right"/>
      <w:pPr>
        <w:ind w:left="4488" w:hanging="180"/>
      </w:pPr>
    </w:lvl>
    <w:lvl w:ilvl="6" w:tplc="4D44BFBE" w:tentative="1">
      <w:start w:val="1"/>
      <w:numFmt w:val="decimal"/>
      <w:lvlText w:val="%7."/>
      <w:lvlJc w:val="left"/>
      <w:pPr>
        <w:ind w:left="5208" w:hanging="360"/>
      </w:pPr>
    </w:lvl>
    <w:lvl w:ilvl="7" w:tplc="711E2228" w:tentative="1">
      <w:start w:val="1"/>
      <w:numFmt w:val="lowerLetter"/>
      <w:lvlText w:val="%8."/>
      <w:lvlJc w:val="left"/>
      <w:pPr>
        <w:ind w:left="5928" w:hanging="360"/>
      </w:pPr>
    </w:lvl>
    <w:lvl w:ilvl="8" w:tplc="C426974E" w:tentative="1">
      <w:start w:val="1"/>
      <w:numFmt w:val="lowerRoman"/>
      <w:lvlText w:val="%9."/>
      <w:lvlJc w:val="right"/>
      <w:pPr>
        <w:ind w:left="6648" w:hanging="180"/>
      </w:pPr>
    </w:lvl>
  </w:abstractNum>
  <w:num w:numId="1" w16cid:durableId="1517377804">
    <w:abstractNumId w:val="0"/>
  </w:num>
  <w:num w:numId="2" w16cid:durableId="1934630084">
    <w:abstractNumId w:val="3"/>
  </w:num>
  <w:num w:numId="3" w16cid:durableId="786506814">
    <w:abstractNumId w:val="1"/>
  </w:num>
  <w:num w:numId="4" w16cid:durableId="13679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1485"/>
    <w:rsid w:val="00155CA0"/>
    <w:rsid w:val="001B5A3B"/>
    <w:rsid w:val="002329F5"/>
    <w:rsid w:val="00243A70"/>
    <w:rsid w:val="00271BCB"/>
    <w:rsid w:val="00310294"/>
    <w:rsid w:val="00445A19"/>
    <w:rsid w:val="00751FB3"/>
    <w:rsid w:val="007A28F5"/>
    <w:rsid w:val="00872ECA"/>
    <w:rsid w:val="00A35445"/>
    <w:rsid w:val="00A51485"/>
    <w:rsid w:val="00B17132"/>
    <w:rsid w:val="00B662E4"/>
    <w:rsid w:val="00B74C35"/>
    <w:rsid w:val="00B93B53"/>
    <w:rsid w:val="00E749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7791D9"/>
  <w15:chartTrackingRefBased/>
  <w15:docId w15:val="{3924ED7C-445E-44F0-B755-711881E2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148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1485"/>
    <w:pPr>
      <w:tabs>
        <w:tab w:val="center" w:pos="4153"/>
        <w:tab w:val="right" w:pos="8306"/>
      </w:tabs>
    </w:pPr>
  </w:style>
  <w:style w:type="character" w:customStyle="1" w:styleId="a4">
    <w:name w:val="כותרת עליונה תו"/>
    <w:link w:val="a3"/>
    <w:rsid w:val="00A51485"/>
    <w:rPr>
      <w:rFonts w:ascii="Times New Roman" w:eastAsia="Times New Roman" w:hAnsi="Times New Roman" w:cs="David"/>
      <w:noProof/>
      <w:sz w:val="24"/>
      <w:szCs w:val="24"/>
    </w:rPr>
  </w:style>
  <w:style w:type="paragraph" w:styleId="a5">
    <w:name w:val="footer"/>
    <w:basedOn w:val="a"/>
    <w:link w:val="a6"/>
    <w:rsid w:val="00A51485"/>
    <w:pPr>
      <w:tabs>
        <w:tab w:val="center" w:pos="4153"/>
        <w:tab w:val="right" w:pos="8306"/>
      </w:tabs>
    </w:pPr>
  </w:style>
  <w:style w:type="character" w:customStyle="1" w:styleId="a6">
    <w:name w:val="כותרת תחתונה תו"/>
    <w:link w:val="a5"/>
    <w:rsid w:val="00A51485"/>
    <w:rPr>
      <w:rFonts w:ascii="Times New Roman" w:eastAsia="Times New Roman" w:hAnsi="Times New Roman" w:cs="David"/>
      <w:noProof/>
      <w:sz w:val="24"/>
      <w:szCs w:val="24"/>
    </w:rPr>
  </w:style>
  <w:style w:type="table" w:styleId="a7">
    <w:name w:val="Table Grid"/>
    <w:basedOn w:val="a1"/>
    <w:rsid w:val="00A514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1485"/>
  </w:style>
  <w:style w:type="paragraph" w:styleId="a9">
    <w:name w:val="List Paragraph"/>
    <w:basedOn w:val="a"/>
    <w:qFormat/>
    <w:rsid w:val="00A51485"/>
    <w:pPr>
      <w:ind w:left="720"/>
      <w:contextualSpacing/>
    </w:pPr>
    <w:rPr>
      <w:noProof w:val="0"/>
    </w:rPr>
  </w:style>
  <w:style w:type="paragraph" w:customStyle="1" w:styleId="gmail-msonospacing">
    <w:name w:val="gmail-msonospacing"/>
    <w:basedOn w:val="a"/>
    <w:rsid w:val="00A51485"/>
    <w:pPr>
      <w:bidi w:val="0"/>
      <w:spacing w:before="100" w:beforeAutospacing="1" w:after="100" w:afterAutospacing="1"/>
    </w:pPr>
    <w:rPr>
      <w:rFonts w:eastAsia="Calibri" w:cs="Times New Roman"/>
      <w:noProof w:val="0"/>
    </w:rPr>
  </w:style>
  <w:style w:type="paragraph" w:customStyle="1" w:styleId="gmail-msolistparagraph">
    <w:name w:val="gmail-msolistparagraph"/>
    <w:basedOn w:val="a"/>
    <w:rsid w:val="00A51485"/>
    <w:pPr>
      <w:bidi w:val="0"/>
      <w:spacing w:before="100" w:beforeAutospacing="1" w:after="100" w:afterAutospacing="1"/>
    </w:pPr>
    <w:rPr>
      <w:rFonts w:eastAsia="Calibri" w:cs="Times New Roman"/>
      <w:noProof w:val="0"/>
    </w:rPr>
  </w:style>
  <w:style w:type="character" w:customStyle="1" w:styleId="TimesNewRomanTimesNewRoman">
    <w:name w:val="סגנון (לטיני) Times New Roman (עברית ושפות אחרות) Times New Roman..."/>
    <w:rsid w:val="00A51485"/>
    <w:rPr>
      <w:rFonts w:ascii="Times New Roman" w:hAnsi="Times New Roman" w:cs="David" w:hint="default"/>
      <w:b/>
      <w:bCs/>
      <w:sz w:val="26"/>
      <w:szCs w:val="26"/>
    </w:rPr>
  </w:style>
  <w:style w:type="character" w:styleId="Hyperlink">
    <w:name w:val="Hyperlink"/>
    <w:rsid w:val="007A2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21477472" TargetMode="External"/><Relationship Id="rId39" Type="http://schemas.openxmlformats.org/officeDocument/2006/relationships/hyperlink" Target="http://www.nevo.co.il/case/25575589" TargetMode="External"/><Relationship Id="rId21" Type="http://schemas.openxmlformats.org/officeDocument/2006/relationships/hyperlink" Target="http://www.nevo.co.il/law/70301/32" TargetMode="External"/><Relationship Id="rId34" Type="http://schemas.openxmlformats.org/officeDocument/2006/relationships/hyperlink" Target="http://www.nevo.co.il/case/24971234" TargetMode="External"/><Relationship Id="rId42" Type="http://schemas.openxmlformats.org/officeDocument/2006/relationships/hyperlink" Target="http://www.nevo.co.il/case/23860495" TargetMode="External"/><Relationship Id="rId47" Type="http://schemas.openxmlformats.org/officeDocument/2006/relationships/hyperlink" Target="http://www.nevo.co.il/case/18728418" TargetMode="External"/><Relationship Id="rId50" Type="http://schemas.openxmlformats.org/officeDocument/2006/relationships/hyperlink" Target="http://www.nevo.co.il/case/21473702"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5725793"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7186392" TargetMode="External"/><Relationship Id="rId32" Type="http://schemas.openxmlformats.org/officeDocument/2006/relationships/hyperlink" Target="http://www.nevo.co.il/case/20632055" TargetMode="External"/><Relationship Id="rId37" Type="http://schemas.openxmlformats.org/officeDocument/2006/relationships/hyperlink" Target="http://www.nevo.co.il/case/26367314" TargetMode="External"/><Relationship Id="rId40" Type="http://schemas.openxmlformats.org/officeDocument/2006/relationships/hyperlink" Target="http://www.nevo.co.il/case/24292203" TargetMode="External"/><Relationship Id="rId45" Type="http://schemas.openxmlformats.org/officeDocument/2006/relationships/hyperlink" Target="http://www.nevo.co.il/case/16943469" TargetMode="External"/><Relationship Id="rId53" Type="http://schemas.openxmlformats.org/officeDocument/2006/relationships/hyperlink" Target="http://www.nevo.co.il/case/589640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case/2568541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170127" TargetMode="External"/><Relationship Id="rId30" Type="http://schemas.openxmlformats.org/officeDocument/2006/relationships/hyperlink" Target="http://www.nevo.co.il/case/26602683" TargetMode="External"/><Relationship Id="rId35" Type="http://schemas.openxmlformats.org/officeDocument/2006/relationships/hyperlink" Target="http://www.nevo.co.il/case/5633505" TargetMode="External"/><Relationship Id="rId43" Type="http://schemas.openxmlformats.org/officeDocument/2006/relationships/hyperlink" Target="http://www.nevo.co.il/case/22832987" TargetMode="External"/><Relationship Id="rId48" Type="http://schemas.openxmlformats.org/officeDocument/2006/relationships/hyperlink" Target="http://www.nevo.co.il/case/4151601" TargetMode="External"/><Relationship Id="rId56" Type="http://schemas.openxmlformats.org/officeDocument/2006/relationships/header" Target="header1.xml"/><Relationship Id="rId8" Type="http://schemas.openxmlformats.org/officeDocument/2006/relationships/hyperlink" Target="http://www.nevo.co.il/law/70301/31" TargetMode="External"/><Relationship Id="rId51" Type="http://schemas.openxmlformats.org/officeDocument/2006/relationships/hyperlink" Target="http://www.nevo.co.il/case/21511777"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4345651" TargetMode="External"/><Relationship Id="rId33" Type="http://schemas.openxmlformats.org/officeDocument/2006/relationships/hyperlink" Target="http://www.nevo.co.il/case/25798557" TargetMode="External"/><Relationship Id="rId38" Type="http://schemas.openxmlformats.org/officeDocument/2006/relationships/hyperlink" Target="http://www.nevo.co.il/case/27333835" TargetMode="External"/><Relationship Id="rId46" Type="http://schemas.openxmlformats.org/officeDocument/2006/relationships/hyperlink" Target="http://www.nevo.co.il/case/13049328"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5283938" TargetMode="External"/><Relationship Id="rId54" Type="http://schemas.openxmlformats.org/officeDocument/2006/relationships/hyperlink" Target="http://www.nevo.co.il/case/61448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6884611" TargetMode="External"/><Relationship Id="rId36" Type="http://schemas.openxmlformats.org/officeDocument/2006/relationships/hyperlink" Target="http://www.nevo.co.il/case/27667182" TargetMode="External"/><Relationship Id="rId49" Type="http://schemas.openxmlformats.org/officeDocument/2006/relationships/hyperlink" Target="http://www.nevo.co.il/case/4373096" TargetMode="External"/><Relationship Id="rId57" Type="http://schemas.openxmlformats.org/officeDocument/2006/relationships/header" Target="header2.xml"/><Relationship Id="rId10" Type="http://schemas.openxmlformats.org/officeDocument/2006/relationships/hyperlink" Target="http://www.nevo.co.il/law/4216" TargetMode="External"/><Relationship Id="rId31" Type="http://schemas.openxmlformats.org/officeDocument/2006/relationships/hyperlink" Target="http://www.nevo.co.il/case/25271452" TargetMode="External"/><Relationship Id="rId44" Type="http://schemas.openxmlformats.org/officeDocument/2006/relationships/hyperlink" Target="http://www.nevo.co.il/case/21863068" TargetMode="External"/><Relationship Id="rId52" Type="http://schemas.openxmlformats.org/officeDocument/2006/relationships/hyperlink" Target="http://www.nevo.co.il/case/768811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5407</Words>
  <Characters>27039</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32382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4063348</vt:i4>
      </vt:variant>
      <vt:variant>
        <vt:i4>141</vt:i4>
      </vt:variant>
      <vt:variant>
        <vt:i4>0</vt:i4>
      </vt:variant>
      <vt:variant>
        <vt:i4>5</vt:i4>
      </vt:variant>
      <vt:variant>
        <vt:lpwstr>http://www.nevo.co.il/case/6144854</vt:lpwstr>
      </vt:variant>
      <vt:variant>
        <vt:lpwstr/>
      </vt:variant>
      <vt:variant>
        <vt:i4>3801210</vt:i4>
      </vt:variant>
      <vt:variant>
        <vt:i4>138</vt:i4>
      </vt:variant>
      <vt:variant>
        <vt:i4>0</vt:i4>
      </vt:variant>
      <vt:variant>
        <vt:i4>5</vt:i4>
      </vt:variant>
      <vt:variant>
        <vt:lpwstr>http://www.nevo.co.il/case/5896402</vt:lpwstr>
      </vt:variant>
      <vt:variant>
        <vt:lpwstr/>
      </vt:variant>
      <vt:variant>
        <vt:i4>3997819</vt:i4>
      </vt:variant>
      <vt:variant>
        <vt:i4>135</vt:i4>
      </vt:variant>
      <vt:variant>
        <vt:i4>0</vt:i4>
      </vt:variant>
      <vt:variant>
        <vt:i4>5</vt:i4>
      </vt:variant>
      <vt:variant>
        <vt:lpwstr>http://www.nevo.co.il/case/7688113</vt:lpwstr>
      </vt:variant>
      <vt:variant>
        <vt:lpwstr/>
      </vt:variant>
      <vt:variant>
        <vt:i4>3211379</vt:i4>
      </vt:variant>
      <vt:variant>
        <vt:i4>132</vt:i4>
      </vt:variant>
      <vt:variant>
        <vt:i4>0</vt:i4>
      </vt:variant>
      <vt:variant>
        <vt:i4>5</vt:i4>
      </vt:variant>
      <vt:variant>
        <vt:lpwstr>http://www.nevo.co.il/case/21511777</vt:lpwstr>
      </vt:variant>
      <vt:variant>
        <vt:lpwstr/>
      </vt:variant>
      <vt:variant>
        <vt:i4>3473525</vt:i4>
      </vt:variant>
      <vt:variant>
        <vt:i4>129</vt:i4>
      </vt:variant>
      <vt:variant>
        <vt:i4>0</vt:i4>
      </vt:variant>
      <vt:variant>
        <vt:i4>5</vt:i4>
      </vt:variant>
      <vt:variant>
        <vt:lpwstr>http://www.nevo.co.il/case/21473702</vt:lpwstr>
      </vt:variant>
      <vt:variant>
        <vt:lpwstr/>
      </vt:variant>
      <vt:variant>
        <vt:i4>3473533</vt:i4>
      </vt:variant>
      <vt:variant>
        <vt:i4>126</vt:i4>
      </vt:variant>
      <vt:variant>
        <vt:i4>0</vt:i4>
      </vt:variant>
      <vt:variant>
        <vt:i4>5</vt:i4>
      </vt:variant>
      <vt:variant>
        <vt:lpwstr>http://www.nevo.co.il/case/4373096</vt:lpwstr>
      </vt:variant>
      <vt:variant>
        <vt:lpwstr/>
      </vt:variant>
      <vt:variant>
        <vt:i4>3539060</vt:i4>
      </vt:variant>
      <vt:variant>
        <vt:i4>123</vt:i4>
      </vt:variant>
      <vt:variant>
        <vt:i4>0</vt:i4>
      </vt:variant>
      <vt:variant>
        <vt:i4>5</vt:i4>
      </vt:variant>
      <vt:variant>
        <vt:lpwstr>http://www.nevo.co.il/case/4151601</vt:lpwstr>
      </vt:variant>
      <vt:variant>
        <vt:lpwstr/>
      </vt:variant>
      <vt:variant>
        <vt:i4>4128890</vt:i4>
      </vt:variant>
      <vt:variant>
        <vt:i4>120</vt:i4>
      </vt:variant>
      <vt:variant>
        <vt:i4>0</vt:i4>
      </vt:variant>
      <vt:variant>
        <vt:i4>5</vt:i4>
      </vt:variant>
      <vt:variant>
        <vt:lpwstr>http://www.nevo.co.il/case/18728418</vt:lpwstr>
      </vt:variant>
      <vt:variant>
        <vt:lpwstr/>
      </vt:variant>
      <vt:variant>
        <vt:i4>3801200</vt:i4>
      </vt:variant>
      <vt:variant>
        <vt:i4>117</vt:i4>
      </vt:variant>
      <vt:variant>
        <vt:i4>0</vt:i4>
      </vt:variant>
      <vt:variant>
        <vt:i4>5</vt:i4>
      </vt:variant>
      <vt:variant>
        <vt:lpwstr>http://www.nevo.co.il/case/13049328</vt:lpwstr>
      </vt:variant>
      <vt:variant>
        <vt:lpwstr/>
      </vt:variant>
      <vt:variant>
        <vt:i4>3997810</vt:i4>
      </vt:variant>
      <vt:variant>
        <vt:i4>114</vt:i4>
      </vt:variant>
      <vt:variant>
        <vt:i4>0</vt:i4>
      </vt:variant>
      <vt:variant>
        <vt:i4>5</vt:i4>
      </vt:variant>
      <vt:variant>
        <vt:lpwstr>http://www.nevo.co.il/case/16943469</vt:lpwstr>
      </vt:variant>
      <vt:variant>
        <vt:lpwstr/>
      </vt:variant>
      <vt:variant>
        <vt:i4>4128883</vt:i4>
      </vt:variant>
      <vt:variant>
        <vt:i4>111</vt:i4>
      </vt:variant>
      <vt:variant>
        <vt:i4>0</vt:i4>
      </vt:variant>
      <vt:variant>
        <vt:i4>5</vt:i4>
      </vt:variant>
      <vt:variant>
        <vt:lpwstr>http://www.nevo.co.il/case/21863068</vt:lpwstr>
      </vt:variant>
      <vt:variant>
        <vt:lpwstr/>
      </vt:variant>
      <vt:variant>
        <vt:i4>3145852</vt:i4>
      </vt:variant>
      <vt:variant>
        <vt:i4>108</vt:i4>
      </vt:variant>
      <vt:variant>
        <vt:i4>0</vt:i4>
      </vt:variant>
      <vt:variant>
        <vt:i4>5</vt:i4>
      </vt:variant>
      <vt:variant>
        <vt:lpwstr>http://www.nevo.co.il/case/22832987</vt:lpwstr>
      </vt:variant>
      <vt:variant>
        <vt:lpwstr/>
      </vt:variant>
      <vt:variant>
        <vt:i4>3342453</vt:i4>
      </vt:variant>
      <vt:variant>
        <vt:i4>105</vt:i4>
      </vt:variant>
      <vt:variant>
        <vt:i4>0</vt:i4>
      </vt:variant>
      <vt:variant>
        <vt:i4>5</vt:i4>
      </vt:variant>
      <vt:variant>
        <vt:lpwstr>http://www.nevo.co.il/case/23860495</vt:lpwstr>
      </vt:variant>
      <vt:variant>
        <vt:lpwstr/>
      </vt:variant>
      <vt:variant>
        <vt:i4>3145840</vt:i4>
      </vt:variant>
      <vt:variant>
        <vt:i4>102</vt:i4>
      </vt:variant>
      <vt:variant>
        <vt:i4>0</vt:i4>
      </vt:variant>
      <vt:variant>
        <vt:i4>5</vt:i4>
      </vt:variant>
      <vt:variant>
        <vt:lpwstr>http://www.nevo.co.il/case/25283938</vt:lpwstr>
      </vt:variant>
      <vt:variant>
        <vt:lpwstr/>
      </vt:variant>
      <vt:variant>
        <vt:i4>3276923</vt:i4>
      </vt:variant>
      <vt:variant>
        <vt:i4>99</vt:i4>
      </vt:variant>
      <vt:variant>
        <vt:i4>0</vt:i4>
      </vt:variant>
      <vt:variant>
        <vt:i4>5</vt:i4>
      </vt:variant>
      <vt:variant>
        <vt:lpwstr>http://www.nevo.co.il/case/24292203</vt:lpwstr>
      </vt:variant>
      <vt:variant>
        <vt:lpwstr/>
      </vt:variant>
      <vt:variant>
        <vt:i4>3801203</vt:i4>
      </vt:variant>
      <vt:variant>
        <vt:i4>96</vt:i4>
      </vt:variant>
      <vt:variant>
        <vt:i4>0</vt:i4>
      </vt:variant>
      <vt:variant>
        <vt:i4>5</vt:i4>
      </vt:variant>
      <vt:variant>
        <vt:lpwstr>http://www.nevo.co.il/case/25575589</vt:lpwstr>
      </vt:variant>
      <vt:variant>
        <vt:lpwstr/>
      </vt:variant>
      <vt:variant>
        <vt:i4>3211384</vt:i4>
      </vt:variant>
      <vt:variant>
        <vt:i4>93</vt:i4>
      </vt:variant>
      <vt:variant>
        <vt:i4>0</vt:i4>
      </vt:variant>
      <vt:variant>
        <vt:i4>5</vt:i4>
      </vt:variant>
      <vt:variant>
        <vt:lpwstr>http://www.nevo.co.il/case/27333835</vt:lpwstr>
      </vt:variant>
      <vt:variant>
        <vt:lpwstr/>
      </vt:variant>
      <vt:variant>
        <vt:i4>3604599</vt:i4>
      </vt:variant>
      <vt:variant>
        <vt:i4>90</vt:i4>
      </vt:variant>
      <vt:variant>
        <vt:i4>0</vt:i4>
      </vt:variant>
      <vt:variant>
        <vt:i4>5</vt:i4>
      </vt:variant>
      <vt:variant>
        <vt:lpwstr>http://www.nevo.co.il/case/26367314</vt:lpwstr>
      </vt:variant>
      <vt:variant>
        <vt:lpwstr/>
      </vt:variant>
      <vt:variant>
        <vt:i4>3866740</vt:i4>
      </vt:variant>
      <vt:variant>
        <vt:i4>87</vt:i4>
      </vt:variant>
      <vt:variant>
        <vt:i4>0</vt:i4>
      </vt:variant>
      <vt:variant>
        <vt:i4>5</vt:i4>
      </vt:variant>
      <vt:variant>
        <vt:lpwstr>http://www.nevo.co.il/case/27667182</vt:lpwstr>
      </vt:variant>
      <vt:variant>
        <vt:lpwstr/>
      </vt:variant>
      <vt:variant>
        <vt:i4>3539057</vt:i4>
      </vt:variant>
      <vt:variant>
        <vt:i4>84</vt:i4>
      </vt:variant>
      <vt:variant>
        <vt:i4>0</vt:i4>
      </vt:variant>
      <vt:variant>
        <vt:i4>5</vt:i4>
      </vt:variant>
      <vt:variant>
        <vt:lpwstr>http://www.nevo.co.il/case/5633505</vt:lpwstr>
      </vt:variant>
      <vt:variant>
        <vt:lpwstr/>
      </vt:variant>
      <vt:variant>
        <vt:i4>3735669</vt:i4>
      </vt:variant>
      <vt:variant>
        <vt:i4>81</vt:i4>
      </vt:variant>
      <vt:variant>
        <vt:i4>0</vt:i4>
      </vt:variant>
      <vt:variant>
        <vt:i4>5</vt:i4>
      </vt:variant>
      <vt:variant>
        <vt:lpwstr>http://www.nevo.co.il/case/24971234</vt:lpwstr>
      </vt:variant>
      <vt:variant>
        <vt:lpwstr/>
      </vt:variant>
      <vt:variant>
        <vt:i4>3670141</vt:i4>
      </vt:variant>
      <vt:variant>
        <vt:i4>78</vt:i4>
      </vt:variant>
      <vt:variant>
        <vt:i4>0</vt:i4>
      </vt:variant>
      <vt:variant>
        <vt:i4>5</vt:i4>
      </vt:variant>
      <vt:variant>
        <vt:lpwstr>http://www.nevo.co.il/case/25798557</vt:lpwstr>
      </vt:variant>
      <vt:variant>
        <vt:lpwstr/>
      </vt:variant>
      <vt:variant>
        <vt:i4>3342455</vt:i4>
      </vt:variant>
      <vt:variant>
        <vt:i4>75</vt:i4>
      </vt:variant>
      <vt:variant>
        <vt:i4>0</vt:i4>
      </vt:variant>
      <vt:variant>
        <vt:i4>5</vt:i4>
      </vt:variant>
      <vt:variant>
        <vt:lpwstr>http://www.nevo.co.il/case/20632055</vt:lpwstr>
      </vt:variant>
      <vt:variant>
        <vt:lpwstr/>
      </vt:variant>
      <vt:variant>
        <vt:i4>3407986</vt:i4>
      </vt:variant>
      <vt:variant>
        <vt:i4>72</vt:i4>
      </vt:variant>
      <vt:variant>
        <vt:i4>0</vt:i4>
      </vt:variant>
      <vt:variant>
        <vt:i4>5</vt:i4>
      </vt:variant>
      <vt:variant>
        <vt:lpwstr>http://www.nevo.co.il/case/25271452</vt:lpwstr>
      </vt:variant>
      <vt:variant>
        <vt:lpwstr/>
      </vt:variant>
      <vt:variant>
        <vt:i4>4063348</vt:i4>
      </vt:variant>
      <vt:variant>
        <vt:i4>69</vt:i4>
      </vt:variant>
      <vt:variant>
        <vt:i4>0</vt:i4>
      </vt:variant>
      <vt:variant>
        <vt:i4>5</vt:i4>
      </vt:variant>
      <vt:variant>
        <vt:lpwstr>http://www.nevo.co.il/case/26602683</vt:lpwstr>
      </vt:variant>
      <vt:variant>
        <vt:lpwstr/>
      </vt:variant>
      <vt:variant>
        <vt:i4>3735668</vt:i4>
      </vt:variant>
      <vt:variant>
        <vt:i4>66</vt:i4>
      </vt:variant>
      <vt:variant>
        <vt:i4>0</vt:i4>
      </vt:variant>
      <vt:variant>
        <vt:i4>5</vt:i4>
      </vt:variant>
      <vt:variant>
        <vt:lpwstr>http://www.nevo.co.il/case/25725793</vt:lpwstr>
      </vt:variant>
      <vt:variant>
        <vt:lpwstr/>
      </vt:variant>
      <vt:variant>
        <vt:i4>4128892</vt:i4>
      </vt:variant>
      <vt:variant>
        <vt:i4>63</vt:i4>
      </vt:variant>
      <vt:variant>
        <vt:i4>0</vt:i4>
      </vt:variant>
      <vt:variant>
        <vt:i4>5</vt:i4>
      </vt:variant>
      <vt:variant>
        <vt:lpwstr>http://www.nevo.co.il/case/26884611</vt:lpwstr>
      </vt:variant>
      <vt:variant>
        <vt:lpwstr/>
      </vt:variant>
      <vt:variant>
        <vt:i4>3211386</vt:i4>
      </vt:variant>
      <vt:variant>
        <vt:i4>60</vt:i4>
      </vt:variant>
      <vt:variant>
        <vt:i4>0</vt:i4>
      </vt:variant>
      <vt:variant>
        <vt:i4>5</vt:i4>
      </vt:variant>
      <vt:variant>
        <vt:lpwstr>http://www.nevo.co.il/case/28170127</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3211378</vt:i4>
      </vt:variant>
      <vt:variant>
        <vt:i4>54</vt:i4>
      </vt:variant>
      <vt:variant>
        <vt:i4>0</vt:i4>
      </vt:variant>
      <vt:variant>
        <vt:i4>5</vt:i4>
      </vt:variant>
      <vt:variant>
        <vt:lpwstr>http://www.nevo.co.il/case/24345651</vt:lpwstr>
      </vt:variant>
      <vt:variant>
        <vt:lpwstr/>
      </vt:variant>
      <vt:variant>
        <vt:i4>3932280</vt:i4>
      </vt:variant>
      <vt:variant>
        <vt:i4>51</vt:i4>
      </vt:variant>
      <vt:variant>
        <vt:i4>0</vt:i4>
      </vt:variant>
      <vt:variant>
        <vt:i4>5</vt:i4>
      </vt:variant>
      <vt:variant>
        <vt:lpwstr>http://www.nevo.co.il/case/27186392</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6750310</vt:i4>
      </vt:variant>
      <vt:variant>
        <vt:i4>42</vt:i4>
      </vt:variant>
      <vt:variant>
        <vt:i4>0</vt:i4>
      </vt:variant>
      <vt:variant>
        <vt:i4>5</vt:i4>
      </vt:variant>
      <vt:variant>
        <vt:lpwstr>http://www.nevo.co.il/law/70301/32</vt:lpwstr>
      </vt:variant>
      <vt:variant>
        <vt:lpwstr/>
      </vt:variant>
      <vt:variant>
        <vt:i4>7995492</vt:i4>
      </vt:variant>
      <vt:variant>
        <vt:i4>39</vt:i4>
      </vt:variant>
      <vt:variant>
        <vt:i4>0</vt:i4>
      </vt:variant>
      <vt:variant>
        <vt:i4>5</vt:i4>
      </vt:variant>
      <vt:variant>
        <vt:lpwstr>http://www.nevo.co.il/law/70301</vt:lpwstr>
      </vt:variant>
      <vt:variant>
        <vt:lpwstr/>
      </vt:variant>
      <vt:variant>
        <vt:i4>3145853</vt:i4>
      </vt:variant>
      <vt:variant>
        <vt:i4>36</vt:i4>
      </vt:variant>
      <vt:variant>
        <vt:i4>0</vt:i4>
      </vt:variant>
      <vt:variant>
        <vt:i4>5</vt:i4>
      </vt:variant>
      <vt:variant>
        <vt:lpwstr>http://www.nevo.co.il/case/25685411</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8995</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אופיר עטר</vt:lpwstr>
  </property>
  <property fmtid="{D5CDD505-2E9C-101B-9397-08002B2CF9AE}" pid="10" name="LAWYER">
    <vt:lpwstr>חני שנפ;ליאור רונן</vt:lpwstr>
  </property>
  <property fmtid="{D5CDD505-2E9C-101B-9397-08002B2CF9AE}" pid="11" name="JUDGE">
    <vt:lpwstr>זהר דולב להמן</vt:lpwstr>
  </property>
  <property fmtid="{D5CDD505-2E9C-101B-9397-08002B2CF9AE}" pid="12" name="CITY">
    <vt:lpwstr>ק"ג</vt:lpwstr>
  </property>
  <property fmtid="{D5CDD505-2E9C-101B-9397-08002B2CF9AE}" pid="13" name="DATE">
    <vt:lpwstr>20230329</vt:lpwstr>
  </property>
  <property fmtid="{D5CDD505-2E9C-101B-9397-08002B2CF9AE}" pid="14" name="TYPE_N_DATE">
    <vt:lpwstr>38020230329</vt:lpwstr>
  </property>
  <property fmtid="{D5CDD505-2E9C-101B-9397-08002B2CF9AE}" pid="15" name="WORDNUMPAGES">
    <vt:lpwstr>13</vt:lpwstr>
  </property>
  <property fmtid="{D5CDD505-2E9C-101B-9397-08002B2CF9AE}" pid="16" name="TYPE_ABS_DATE">
    <vt:lpwstr>380020230329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5810781;25685411;23827604;27186392;24345651;21477472;28170127;26884611;25725793;26602683;25271452;20632055;25798557;24971234;5633505;27667182;26367314;27333835;25575589;24292203;25283938;23860495;22832987;21863068;16943469;13049328;18728418;4151601</vt:lpwstr>
  </property>
  <property fmtid="{D5CDD505-2E9C-101B-9397-08002B2CF9AE}" pid="36" name="CASESLISTTMP2">
    <vt:lpwstr>4373096;21473702;21511777;7688113;5896402;6144854</vt:lpwstr>
  </property>
  <property fmtid="{D5CDD505-2E9C-101B-9397-08002B2CF9AE}" pid="37" name="LAWLISTTMP1">
    <vt:lpwstr>70301/031;032</vt:lpwstr>
  </property>
  <property fmtid="{D5CDD505-2E9C-101B-9397-08002B2CF9AE}" pid="38" name="LAWLISTTMP2">
    <vt:lpwstr>4216/013;019a</vt:lpwstr>
  </property>
</Properties>
</file>