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B47E3B" w:rsidRPr="00E921B4" w14:paraId="5D9487C2" w14:textId="77777777" w:rsidTr="00E73CEF">
        <w:trPr>
          <w:trHeight w:hRule="exact" w:val="418"/>
          <w:jc w:val="center"/>
        </w:trPr>
        <w:tc>
          <w:tcPr>
            <w:tcW w:w="8721" w:type="dxa"/>
            <w:gridSpan w:val="2"/>
          </w:tcPr>
          <w:p w14:paraId="485AC717" w14:textId="77777777" w:rsidR="00B47E3B" w:rsidRPr="00E921B4" w:rsidRDefault="00B47E3B" w:rsidP="00BC7B4E">
            <w:pPr>
              <w:pStyle w:val="a3"/>
              <w:jc w:val="center"/>
              <w:rPr>
                <w:rFonts w:ascii="Tahoma" w:hAnsi="Tahoma" w:cs="Tahoma"/>
                <w:color w:val="000080"/>
                <w:rtl/>
              </w:rPr>
            </w:pPr>
            <w:bookmarkStart w:id="0" w:name="LastJudge"/>
            <w:r w:rsidRPr="00E921B4">
              <w:rPr>
                <w:rFonts w:ascii="Tahoma" w:hAnsi="Tahoma" w:cs="Tahoma"/>
                <w:b/>
                <w:bCs/>
                <w:color w:val="000080"/>
                <w:rtl/>
              </w:rPr>
              <w:t>בית משפט השלום בירושלים</w:t>
            </w:r>
          </w:p>
        </w:tc>
      </w:tr>
      <w:tr w:rsidR="00B47E3B" w:rsidRPr="00E921B4" w14:paraId="294B8E82" w14:textId="77777777" w:rsidTr="00E73CEF">
        <w:trPr>
          <w:trHeight w:val="337"/>
          <w:jc w:val="center"/>
        </w:trPr>
        <w:tc>
          <w:tcPr>
            <w:tcW w:w="5061" w:type="dxa"/>
          </w:tcPr>
          <w:p w14:paraId="2629057B" w14:textId="77777777" w:rsidR="00B47E3B" w:rsidRPr="00E921B4" w:rsidRDefault="00B47E3B" w:rsidP="00BC7B4E">
            <w:pPr>
              <w:rPr>
                <w:rFonts w:cs="FrankRuehl"/>
                <w:sz w:val="28"/>
                <w:szCs w:val="28"/>
                <w:rtl/>
              </w:rPr>
            </w:pPr>
            <w:r w:rsidRPr="00E921B4">
              <w:rPr>
                <w:rFonts w:cs="FrankRuehl"/>
                <w:sz w:val="28"/>
                <w:szCs w:val="28"/>
                <w:rtl/>
              </w:rPr>
              <w:t>ת"פ</w:t>
            </w:r>
            <w:r w:rsidRPr="00E921B4">
              <w:rPr>
                <w:rFonts w:cs="FrankRuehl" w:hint="cs"/>
                <w:sz w:val="28"/>
                <w:szCs w:val="28"/>
                <w:rtl/>
              </w:rPr>
              <w:t xml:space="preserve"> </w:t>
            </w:r>
            <w:r w:rsidRPr="00E921B4">
              <w:rPr>
                <w:rFonts w:cs="FrankRuehl"/>
                <w:sz w:val="28"/>
                <w:szCs w:val="28"/>
                <w:rtl/>
              </w:rPr>
              <w:t>1722-05-21</w:t>
            </w:r>
            <w:r w:rsidRPr="00E921B4">
              <w:rPr>
                <w:rFonts w:cs="FrankRuehl" w:hint="cs"/>
                <w:sz w:val="28"/>
                <w:szCs w:val="28"/>
                <w:rtl/>
              </w:rPr>
              <w:t xml:space="preserve"> </w:t>
            </w:r>
            <w:r w:rsidRPr="00E921B4">
              <w:rPr>
                <w:rFonts w:cs="FrankRuehl"/>
                <w:sz w:val="28"/>
                <w:szCs w:val="28"/>
                <w:rtl/>
              </w:rPr>
              <w:t>מדינת ישראל נ' וקנין(אחר/נוסף)</w:t>
            </w:r>
          </w:p>
          <w:p w14:paraId="0EC3F7A9" w14:textId="77777777" w:rsidR="00B47E3B" w:rsidRPr="00E921B4" w:rsidRDefault="00B47E3B" w:rsidP="00BC7B4E">
            <w:pPr>
              <w:pStyle w:val="a3"/>
              <w:rPr>
                <w:rFonts w:cs="FrankRuehl"/>
                <w:sz w:val="28"/>
                <w:szCs w:val="28"/>
                <w:rtl/>
              </w:rPr>
            </w:pPr>
          </w:p>
        </w:tc>
        <w:tc>
          <w:tcPr>
            <w:tcW w:w="3660" w:type="dxa"/>
          </w:tcPr>
          <w:p w14:paraId="0F00B5CF" w14:textId="77777777" w:rsidR="00B47E3B" w:rsidRPr="00E921B4" w:rsidRDefault="00B47E3B" w:rsidP="00BC7B4E">
            <w:pPr>
              <w:pStyle w:val="a3"/>
              <w:jc w:val="right"/>
              <w:rPr>
                <w:rFonts w:cs="FrankRuehl"/>
                <w:sz w:val="28"/>
                <w:szCs w:val="28"/>
                <w:rtl/>
              </w:rPr>
            </w:pPr>
          </w:p>
        </w:tc>
      </w:tr>
    </w:tbl>
    <w:p w14:paraId="52A6CF91" w14:textId="77777777" w:rsidR="00B47E3B" w:rsidRPr="00E921B4" w:rsidRDefault="00B47E3B" w:rsidP="00B47E3B">
      <w:pPr>
        <w:pStyle w:val="a3"/>
        <w:rPr>
          <w:rtl/>
        </w:rPr>
      </w:pPr>
      <w:r w:rsidRPr="00E921B4">
        <w:rPr>
          <w:rFonts w:hint="cs"/>
          <w:rtl/>
        </w:rPr>
        <w:t xml:space="preserve"> </w:t>
      </w:r>
    </w:p>
    <w:p w14:paraId="6475CC4F" w14:textId="77777777" w:rsidR="00B47E3B" w:rsidRPr="00E921B4" w:rsidRDefault="00B47E3B" w:rsidP="00B47E3B">
      <w:pPr>
        <w:rPr>
          <w:rtl/>
        </w:rPr>
      </w:pPr>
    </w:p>
    <w:p w14:paraId="162BDC5A" w14:textId="77777777" w:rsidR="00B47E3B" w:rsidRPr="00E921B4" w:rsidRDefault="00B47E3B" w:rsidP="00B47E3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B47E3B" w:rsidRPr="00E921B4" w14:paraId="4A32CE05" w14:textId="77777777" w:rsidTr="00B47E3B">
        <w:trPr>
          <w:trHeight w:val="295"/>
          <w:jc w:val="center"/>
        </w:trPr>
        <w:tc>
          <w:tcPr>
            <w:tcW w:w="923" w:type="dxa"/>
            <w:tcBorders>
              <w:top w:val="nil"/>
              <w:left w:val="nil"/>
              <w:bottom w:val="nil"/>
              <w:right w:val="nil"/>
            </w:tcBorders>
            <w:shd w:val="clear" w:color="auto" w:fill="auto"/>
          </w:tcPr>
          <w:p w14:paraId="2BB12085" w14:textId="77777777" w:rsidR="00B47E3B" w:rsidRPr="00E921B4" w:rsidRDefault="00B47E3B" w:rsidP="00B47E3B">
            <w:pPr>
              <w:jc w:val="both"/>
              <w:rPr>
                <w:rFonts w:ascii="David" w:hAnsi="David"/>
                <w:sz w:val="26"/>
                <w:szCs w:val="26"/>
              </w:rPr>
            </w:pPr>
            <w:r w:rsidRPr="00E921B4">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45394E28" w14:textId="77777777" w:rsidR="00B47E3B" w:rsidRPr="00E921B4" w:rsidRDefault="00B47E3B" w:rsidP="00BC7B4E">
            <w:pPr>
              <w:rPr>
                <w:rFonts w:ascii="David" w:hAnsi="David"/>
                <w:b/>
                <w:bCs/>
                <w:sz w:val="26"/>
                <w:szCs w:val="26"/>
                <w:rtl/>
              </w:rPr>
            </w:pPr>
            <w:r w:rsidRPr="00E921B4">
              <w:rPr>
                <w:rFonts w:ascii="David" w:hAnsi="David"/>
                <w:b/>
                <w:bCs/>
                <w:sz w:val="26"/>
                <w:szCs w:val="26"/>
                <w:rtl/>
              </w:rPr>
              <w:t>כבוד השופט  ביאלין אלעזר</w:t>
            </w:r>
          </w:p>
          <w:p w14:paraId="42782514" w14:textId="77777777" w:rsidR="00B47E3B" w:rsidRPr="00E921B4" w:rsidRDefault="00B47E3B" w:rsidP="00BC7B4E">
            <w:pPr>
              <w:rPr>
                <w:rFonts w:ascii="David" w:hAnsi="David"/>
                <w:sz w:val="26"/>
                <w:szCs w:val="26"/>
                <w:rtl/>
              </w:rPr>
            </w:pPr>
          </w:p>
          <w:p w14:paraId="16335439" w14:textId="77777777" w:rsidR="00B47E3B" w:rsidRPr="00E921B4" w:rsidRDefault="00B47E3B" w:rsidP="00B47E3B">
            <w:pPr>
              <w:jc w:val="both"/>
              <w:rPr>
                <w:rFonts w:ascii="David" w:hAnsi="David"/>
                <w:sz w:val="26"/>
                <w:szCs w:val="26"/>
              </w:rPr>
            </w:pPr>
          </w:p>
        </w:tc>
      </w:tr>
      <w:tr w:rsidR="00B47E3B" w:rsidRPr="00E921B4" w14:paraId="12D1B656" w14:textId="77777777" w:rsidTr="00B47E3B">
        <w:trPr>
          <w:trHeight w:val="355"/>
          <w:jc w:val="center"/>
        </w:trPr>
        <w:tc>
          <w:tcPr>
            <w:tcW w:w="923" w:type="dxa"/>
            <w:tcBorders>
              <w:top w:val="nil"/>
              <w:left w:val="nil"/>
              <w:bottom w:val="nil"/>
              <w:right w:val="nil"/>
            </w:tcBorders>
            <w:shd w:val="clear" w:color="auto" w:fill="auto"/>
          </w:tcPr>
          <w:p w14:paraId="1A168251" w14:textId="77777777" w:rsidR="00B47E3B" w:rsidRPr="00E921B4" w:rsidRDefault="00B47E3B" w:rsidP="00B47E3B">
            <w:pPr>
              <w:jc w:val="both"/>
              <w:rPr>
                <w:rFonts w:ascii="David" w:hAnsi="David"/>
                <w:sz w:val="26"/>
                <w:szCs w:val="26"/>
              </w:rPr>
            </w:pPr>
            <w:bookmarkStart w:id="1" w:name="FirstAppellant"/>
            <w:bookmarkStart w:id="2" w:name="FirstLawyer"/>
            <w:r w:rsidRPr="00E921B4">
              <w:rPr>
                <w:rFonts w:ascii="David" w:hAnsi="David"/>
                <w:sz w:val="26"/>
                <w:szCs w:val="26"/>
                <w:rtl/>
              </w:rPr>
              <w:t>בעניין:</w:t>
            </w:r>
          </w:p>
        </w:tc>
        <w:tc>
          <w:tcPr>
            <w:tcW w:w="3219" w:type="dxa"/>
            <w:tcBorders>
              <w:top w:val="nil"/>
              <w:left w:val="nil"/>
              <w:bottom w:val="nil"/>
              <w:right w:val="nil"/>
            </w:tcBorders>
            <w:shd w:val="clear" w:color="auto" w:fill="auto"/>
          </w:tcPr>
          <w:p w14:paraId="6C921180" w14:textId="77777777" w:rsidR="00B47E3B" w:rsidRPr="00E921B4" w:rsidRDefault="00B47E3B" w:rsidP="00B47E3B">
            <w:pPr>
              <w:suppressLineNumbers/>
            </w:pPr>
            <w:r w:rsidRPr="00E921B4">
              <w:rPr>
                <w:rFonts w:ascii="Arial" w:hAnsi="Arial" w:hint="cs"/>
                <w:b/>
                <w:bCs/>
                <w:sz w:val="26"/>
                <w:szCs w:val="26"/>
                <w:rtl/>
              </w:rPr>
              <w:t>ה</w:t>
            </w:r>
            <w:r w:rsidRPr="00E921B4">
              <w:rPr>
                <w:rFonts w:ascii="Arial" w:hAnsi="Arial"/>
                <w:b/>
                <w:bCs/>
                <w:sz w:val="26"/>
                <w:szCs w:val="26"/>
                <w:rtl/>
              </w:rPr>
              <w:t>מאשימה</w:t>
            </w:r>
          </w:p>
          <w:p w14:paraId="3AB63E8E" w14:textId="77777777" w:rsidR="00B47E3B" w:rsidRPr="00E921B4" w:rsidRDefault="00B47E3B" w:rsidP="00BC7B4E">
            <w:pPr>
              <w:rPr>
                <w:rFonts w:ascii="David" w:hAnsi="David"/>
                <w:sz w:val="26"/>
                <w:szCs w:val="26"/>
              </w:rPr>
            </w:pPr>
          </w:p>
        </w:tc>
        <w:tc>
          <w:tcPr>
            <w:tcW w:w="4678" w:type="dxa"/>
            <w:tcBorders>
              <w:top w:val="nil"/>
              <w:left w:val="nil"/>
              <w:bottom w:val="nil"/>
              <w:right w:val="nil"/>
            </w:tcBorders>
            <w:shd w:val="clear" w:color="auto" w:fill="auto"/>
            <w:vAlign w:val="center"/>
          </w:tcPr>
          <w:p w14:paraId="7C8AAC84" w14:textId="77777777" w:rsidR="00B47E3B" w:rsidRPr="00E921B4" w:rsidRDefault="00B47E3B" w:rsidP="00B47E3B">
            <w:pPr>
              <w:suppressLineNumbers/>
              <w:rPr>
                <w:rFonts w:ascii="Arial" w:hAnsi="Arial"/>
                <w:b/>
                <w:bCs/>
                <w:sz w:val="26"/>
                <w:szCs w:val="26"/>
                <w:rtl/>
              </w:rPr>
            </w:pPr>
            <w:r w:rsidRPr="00E921B4">
              <w:rPr>
                <w:rFonts w:ascii="Arial" w:hAnsi="Arial"/>
                <w:b/>
                <w:bCs/>
                <w:sz w:val="26"/>
                <w:szCs w:val="26"/>
                <w:rtl/>
              </w:rPr>
              <w:t>מדינת ישראל</w:t>
            </w:r>
            <w:r w:rsidRPr="00E921B4">
              <w:rPr>
                <w:rFonts w:ascii="Arial" w:hAnsi="Arial" w:hint="cs"/>
                <w:b/>
                <w:bCs/>
                <w:sz w:val="26"/>
                <w:szCs w:val="26"/>
                <w:rtl/>
              </w:rPr>
              <w:t xml:space="preserve"> </w:t>
            </w:r>
          </w:p>
          <w:p w14:paraId="6F094979" w14:textId="77777777" w:rsidR="00B47E3B" w:rsidRPr="00E921B4" w:rsidRDefault="00B47E3B" w:rsidP="00B47E3B">
            <w:pPr>
              <w:suppressLineNumbers/>
            </w:pPr>
            <w:r w:rsidRPr="00E921B4">
              <w:rPr>
                <w:rFonts w:ascii="Arial" w:hAnsi="Arial"/>
                <w:sz w:val="26"/>
                <w:szCs w:val="26"/>
                <w:rtl/>
              </w:rPr>
              <w:t>ע"י ב"כ</w:t>
            </w:r>
            <w:r w:rsidRPr="00E921B4">
              <w:rPr>
                <w:rFonts w:hint="cs"/>
                <w:rtl/>
              </w:rPr>
              <w:t xml:space="preserve"> קובי אוחיון, מתמחה</w:t>
            </w:r>
          </w:p>
          <w:p w14:paraId="52549B2C" w14:textId="77777777" w:rsidR="00B47E3B" w:rsidRPr="00E921B4" w:rsidRDefault="00B47E3B" w:rsidP="00BC7B4E">
            <w:pPr>
              <w:rPr>
                <w:rFonts w:ascii="David" w:hAnsi="David"/>
                <w:sz w:val="26"/>
                <w:szCs w:val="26"/>
              </w:rPr>
            </w:pPr>
          </w:p>
        </w:tc>
      </w:tr>
      <w:bookmarkEnd w:id="1"/>
      <w:bookmarkEnd w:id="2"/>
      <w:tr w:rsidR="00B47E3B" w:rsidRPr="00E921B4" w14:paraId="5DA3D571" w14:textId="77777777" w:rsidTr="00B47E3B">
        <w:trPr>
          <w:trHeight w:val="355"/>
          <w:jc w:val="center"/>
        </w:trPr>
        <w:tc>
          <w:tcPr>
            <w:tcW w:w="923" w:type="dxa"/>
            <w:tcBorders>
              <w:top w:val="nil"/>
              <w:left w:val="nil"/>
              <w:bottom w:val="nil"/>
              <w:right w:val="nil"/>
            </w:tcBorders>
            <w:shd w:val="clear" w:color="auto" w:fill="auto"/>
          </w:tcPr>
          <w:p w14:paraId="124CC26F" w14:textId="77777777" w:rsidR="00B47E3B" w:rsidRPr="00E921B4" w:rsidRDefault="00B47E3B" w:rsidP="00B47E3B">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5CBD0DA" w14:textId="77777777" w:rsidR="00B47E3B" w:rsidRPr="00E921B4" w:rsidRDefault="00B47E3B" w:rsidP="00B47E3B">
            <w:pPr>
              <w:jc w:val="center"/>
              <w:rPr>
                <w:rFonts w:ascii="David" w:hAnsi="David"/>
                <w:b/>
                <w:bCs/>
                <w:sz w:val="26"/>
                <w:szCs w:val="26"/>
                <w:rtl/>
              </w:rPr>
            </w:pPr>
          </w:p>
          <w:p w14:paraId="1717FB56" w14:textId="77777777" w:rsidR="00B47E3B" w:rsidRPr="00E921B4" w:rsidRDefault="00B47E3B" w:rsidP="00B47E3B">
            <w:pPr>
              <w:jc w:val="center"/>
              <w:rPr>
                <w:rFonts w:ascii="David" w:hAnsi="David"/>
                <w:b/>
                <w:bCs/>
                <w:sz w:val="26"/>
                <w:szCs w:val="26"/>
                <w:rtl/>
              </w:rPr>
            </w:pPr>
            <w:r w:rsidRPr="00E921B4">
              <w:rPr>
                <w:rFonts w:ascii="David" w:hAnsi="David"/>
                <w:b/>
                <w:bCs/>
                <w:sz w:val="26"/>
                <w:szCs w:val="26"/>
                <w:rtl/>
              </w:rPr>
              <w:t>נגד</w:t>
            </w:r>
          </w:p>
          <w:p w14:paraId="0E11D84E" w14:textId="77777777" w:rsidR="00B47E3B" w:rsidRPr="00E921B4" w:rsidRDefault="00B47E3B" w:rsidP="00B47E3B">
            <w:pPr>
              <w:jc w:val="both"/>
              <w:rPr>
                <w:rFonts w:ascii="David" w:hAnsi="David"/>
                <w:sz w:val="26"/>
                <w:szCs w:val="26"/>
              </w:rPr>
            </w:pPr>
          </w:p>
        </w:tc>
      </w:tr>
      <w:tr w:rsidR="00B47E3B" w:rsidRPr="00E921B4" w14:paraId="10E6FD86" w14:textId="77777777" w:rsidTr="00B47E3B">
        <w:trPr>
          <w:trHeight w:val="355"/>
          <w:jc w:val="center"/>
        </w:trPr>
        <w:tc>
          <w:tcPr>
            <w:tcW w:w="923" w:type="dxa"/>
            <w:tcBorders>
              <w:top w:val="nil"/>
              <w:left w:val="nil"/>
              <w:bottom w:val="nil"/>
              <w:right w:val="nil"/>
            </w:tcBorders>
            <w:shd w:val="clear" w:color="auto" w:fill="auto"/>
          </w:tcPr>
          <w:p w14:paraId="71403739" w14:textId="77777777" w:rsidR="00B47E3B" w:rsidRPr="00E921B4" w:rsidRDefault="00B47E3B" w:rsidP="00BC7B4E">
            <w:pPr>
              <w:rPr>
                <w:rFonts w:ascii="David" w:hAnsi="David"/>
                <w:sz w:val="26"/>
                <w:szCs w:val="26"/>
                <w:rtl/>
              </w:rPr>
            </w:pPr>
          </w:p>
        </w:tc>
        <w:tc>
          <w:tcPr>
            <w:tcW w:w="3219" w:type="dxa"/>
            <w:tcBorders>
              <w:top w:val="nil"/>
              <w:left w:val="nil"/>
              <w:bottom w:val="nil"/>
              <w:right w:val="nil"/>
            </w:tcBorders>
            <w:shd w:val="clear" w:color="auto" w:fill="auto"/>
          </w:tcPr>
          <w:p w14:paraId="47938A7B" w14:textId="77777777" w:rsidR="00B47E3B" w:rsidRPr="00E921B4" w:rsidRDefault="00B47E3B" w:rsidP="00BC7B4E">
            <w:pPr>
              <w:rPr>
                <w:rFonts w:ascii="Arial" w:hAnsi="Arial"/>
                <w:b/>
                <w:bCs/>
                <w:sz w:val="26"/>
                <w:szCs w:val="26"/>
                <w:rtl/>
              </w:rPr>
            </w:pPr>
            <w:r w:rsidRPr="00E921B4">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0234656E" w14:textId="77777777" w:rsidR="00B47E3B" w:rsidRPr="00E921B4" w:rsidRDefault="00B47E3B" w:rsidP="00B47E3B">
            <w:pPr>
              <w:suppressLineNumbers/>
            </w:pPr>
            <w:r w:rsidRPr="00E921B4">
              <w:rPr>
                <w:rFonts w:ascii="Arial" w:hAnsi="Arial"/>
                <w:b/>
                <w:bCs/>
                <w:sz w:val="26"/>
                <w:szCs w:val="26"/>
                <w:rtl/>
              </w:rPr>
              <w:t>אליהו שמעון חיי וקנין</w:t>
            </w:r>
            <w:r w:rsidRPr="00E921B4">
              <w:rPr>
                <w:rFonts w:ascii="Arial" w:hAnsi="Arial"/>
                <w:b/>
                <w:bCs/>
                <w:sz w:val="26"/>
                <w:szCs w:val="26"/>
                <w:rtl/>
              </w:rPr>
              <w:br/>
            </w:r>
            <w:r w:rsidRPr="00E921B4">
              <w:rPr>
                <w:rFonts w:ascii="Arial" w:hAnsi="Arial"/>
                <w:sz w:val="26"/>
                <w:szCs w:val="26"/>
                <w:rtl/>
              </w:rPr>
              <w:t>ע"י ב"כ עוה"ד</w:t>
            </w:r>
            <w:r w:rsidRPr="00E921B4">
              <w:rPr>
                <w:rFonts w:hint="cs"/>
                <w:rtl/>
              </w:rPr>
              <w:t xml:space="preserve"> מיכאל עירוני</w:t>
            </w:r>
          </w:p>
          <w:p w14:paraId="2F23F126" w14:textId="77777777" w:rsidR="00B47E3B" w:rsidRPr="00E921B4" w:rsidRDefault="00B47E3B" w:rsidP="00BC7B4E">
            <w:pPr>
              <w:rPr>
                <w:rFonts w:ascii="David" w:hAnsi="David"/>
                <w:sz w:val="26"/>
                <w:szCs w:val="26"/>
              </w:rPr>
            </w:pPr>
          </w:p>
        </w:tc>
      </w:tr>
    </w:tbl>
    <w:p w14:paraId="0898C970" w14:textId="77777777" w:rsidR="00E921B4" w:rsidRPr="00E921B4" w:rsidRDefault="00E921B4" w:rsidP="00E921B4">
      <w:pPr>
        <w:spacing w:before="120" w:after="120" w:line="240" w:lineRule="exact"/>
        <w:ind w:left="283" w:hanging="283"/>
        <w:jc w:val="both"/>
        <w:rPr>
          <w:rFonts w:ascii="FrankRuehl" w:hAnsi="FrankRuehl" w:cs="FrankRuehl"/>
          <w:rtl/>
        </w:rPr>
      </w:pPr>
    </w:p>
    <w:p w14:paraId="6874734D" w14:textId="77777777" w:rsidR="00096827" w:rsidRPr="00096827" w:rsidRDefault="00096827" w:rsidP="00096827">
      <w:pPr>
        <w:spacing w:before="120" w:after="120" w:line="240" w:lineRule="exact"/>
        <w:ind w:left="283" w:hanging="283"/>
        <w:jc w:val="both"/>
        <w:rPr>
          <w:rFonts w:ascii="FrankRuehl" w:hAnsi="FrankRuehl" w:cs="FrankRuehl"/>
          <w:rtl/>
        </w:rPr>
      </w:pPr>
    </w:p>
    <w:p w14:paraId="567831DB" w14:textId="77777777" w:rsidR="00157D6B" w:rsidRDefault="00157D6B" w:rsidP="00157D6B">
      <w:pPr>
        <w:rPr>
          <w:sz w:val="26"/>
          <w:szCs w:val="26"/>
          <w:rtl/>
        </w:rPr>
      </w:pPr>
      <w:bookmarkStart w:id="3" w:name="LawTable"/>
      <w:bookmarkEnd w:id="3"/>
    </w:p>
    <w:p w14:paraId="5C1D7314" w14:textId="77777777" w:rsidR="00157D6B" w:rsidRPr="00157D6B" w:rsidRDefault="00157D6B" w:rsidP="00157D6B">
      <w:pPr>
        <w:spacing w:before="120" w:after="120" w:line="240" w:lineRule="exact"/>
        <w:ind w:left="283" w:hanging="283"/>
        <w:jc w:val="both"/>
        <w:rPr>
          <w:rFonts w:ascii="FrankRuehl" w:hAnsi="FrankRuehl" w:cs="FrankRuehl"/>
          <w:rtl/>
        </w:rPr>
      </w:pPr>
    </w:p>
    <w:p w14:paraId="70D49BE8" w14:textId="77777777" w:rsidR="00157D6B" w:rsidRPr="00157D6B" w:rsidRDefault="00157D6B" w:rsidP="00157D6B">
      <w:pPr>
        <w:spacing w:before="120" w:after="120" w:line="240" w:lineRule="exact"/>
        <w:ind w:left="283" w:hanging="283"/>
        <w:jc w:val="both"/>
        <w:rPr>
          <w:rFonts w:ascii="FrankRuehl" w:hAnsi="FrankRuehl" w:cs="FrankRuehl"/>
          <w:rtl/>
        </w:rPr>
      </w:pPr>
    </w:p>
    <w:p w14:paraId="276E04B9" w14:textId="77777777" w:rsidR="00157D6B" w:rsidRPr="00157D6B" w:rsidRDefault="00157D6B" w:rsidP="00157D6B">
      <w:pPr>
        <w:spacing w:before="120" w:after="120" w:line="240" w:lineRule="exact"/>
        <w:ind w:left="283" w:hanging="283"/>
        <w:jc w:val="both"/>
        <w:rPr>
          <w:rFonts w:ascii="FrankRuehl" w:hAnsi="FrankRuehl" w:cs="FrankRuehl"/>
          <w:rtl/>
        </w:rPr>
      </w:pPr>
      <w:r w:rsidRPr="00157D6B">
        <w:rPr>
          <w:rFonts w:ascii="FrankRuehl" w:hAnsi="FrankRuehl" w:cs="FrankRuehl"/>
          <w:rtl/>
        </w:rPr>
        <w:t xml:space="preserve">חקיקה שאוזכרה: </w:t>
      </w:r>
    </w:p>
    <w:p w14:paraId="42B80759" w14:textId="77777777" w:rsidR="00157D6B" w:rsidRPr="00157D6B" w:rsidRDefault="00157D6B" w:rsidP="00157D6B">
      <w:pPr>
        <w:spacing w:before="120" w:after="120" w:line="240" w:lineRule="exact"/>
        <w:ind w:left="283" w:hanging="283"/>
        <w:jc w:val="both"/>
        <w:rPr>
          <w:rFonts w:ascii="FrankRuehl" w:hAnsi="FrankRuehl" w:cs="FrankRuehl"/>
          <w:rtl/>
        </w:rPr>
      </w:pPr>
      <w:hyperlink r:id="rId7" w:history="1">
        <w:r w:rsidRPr="00157D6B">
          <w:rPr>
            <w:rFonts w:ascii="FrankRuehl" w:hAnsi="FrankRuehl" w:cs="FrankRuehl"/>
            <w:color w:val="0000FF"/>
            <w:rtl/>
          </w:rPr>
          <w:t>פקודת הסמים המסוכנים [נוסח חדש], תשל"ג-1973</w:t>
        </w:r>
      </w:hyperlink>
      <w:r w:rsidRPr="00157D6B">
        <w:rPr>
          <w:rFonts w:ascii="FrankRuehl" w:hAnsi="FrankRuehl" w:cs="FrankRuehl"/>
          <w:rtl/>
        </w:rPr>
        <w:t xml:space="preserve">: סע'  </w:t>
      </w:r>
      <w:hyperlink r:id="rId8" w:history="1">
        <w:r w:rsidRPr="00157D6B">
          <w:rPr>
            <w:rFonts w:ascii="FrankRuehl" w:hAnsi="FrankRuehl" w:cs="FrankRuehl"/>
            <w:color w:val="0000FF"/>
            <w:rtl/>
          </w:rPr>
          <w:t>7</w:t>
        </w:r>
      </w:hyperlink>
      <w:r w:rsidRPr="00157D6B">
        <w:rPr>
          <w:rFonts w:ascii="FrankRuehl" w:hAnsi="FrankRuehl" w:cs="FrankRuehl"/>
          <w:rtl/>
        </w:rPr>
        <w:t xml:space="preserve">, </w:t>
      </w:r>
      <w:hyperlink r:id="rId9" w:history="1">
        <w:r w:rsidRPr="00157D6B">
          <w:rPr>
            <w:rFonts w:ascii="FrankRuehl" w:hAnsi="FrankRuehl" w:cs="FrankRuehl"/>
            <w:color w:val="0000FF"/>
            <w:rtl/>
          </w:rPr>
          <w:t>7(א)</w:t>
        </w:r>
      </w:hyperlink>
      <w:r w:rsidRPr="00157D6B">
        <w:rPr>
          <w:rFonts w:ascii="FrankRuehl" w:hAnsi="FrankRuehl" w:cs="FrankRuehl"/>
          <w:rtl/>
        </w:rPr>
        <w:t xml:space="preserve">, </w:t>
      </w:r>
      <w:hyperlink r:id="rId10" w:history="1">
        <w:r w:rsidRPr="00157D6B">
          <w:rPr>
            <w:rFonts w:ascii="FrankRuehl" w:hAnsi="FrankRuehl" w:cs="FrankRuehl"/>
            <w:color w:val="0000FF"/>
            <w:rtl/>
          </w:rPr>
          <w:t>7(ג)</w:t>
        </w:r>
      </w:hyperlink>
      <w:r w:rsidRPr="00157D6B">
        <w:rPr>
          <w:rFonts w:ascii="FrankRuehl" w:hAnsi="FrankRuehl" w:cs="FrankRuehl"/>
          <w:rtl/>
        </w:rPr>
        <w:t xml:space="preserve">, </w:t>
      </w:r>
      <w:hyperlink r:id="rId11" w:history="1">
        <w:r w:rsidRPr="00157D6B">
          <w:rPr>
            <w:rFonts w:ascii="FrankRuehl" w:hAnsi="FrankRuehl" w:cs="FrankRuehl"/>
            <w:color w:val="0000FF"/>
            <w:rtl/>
          </w:rPr>
          <w:t>13</w:t>
        </w:r>
      </w:hyperlink>
      <w:r w:rsidRPr="00157D6B">
        <w:rPr>
          <w:rFonts w:ascii="FrankRuehl" w:hAnsi="FrankRuehl" w:cs="FrankRuehl"/>
          <w:rtl/>
        </w:rPr>
        <w:t xml:space="preserve">, </w:t>
      </w:r>
      <w:hyperlink r:id="rId12" w:history="1">
        <w:r w:rsidRPr="00157D6B">
          <w:rPr>
            <w:rFonts w:ascii="FrankRuehl" w:hAnsi="FrankRuehl" w:cs="FrankRuehl"/>
            <w:color w:val="0000FF"/>
            <w:rtl/>
          </w:rPr>
          <w:t>19א</w:t>
        </w:r>
      </w:hyperlink>
    </w:p>
    <w:p w14:paraId="28FEA884" w14:textId="77777777" w:rsidR="00157D6B" w:rsidRPr="00157D6B" w:rsidRDefault="00157D6B" w:rsidP="00157D6B">
      <w:pPr>
        <w:spacing w:before="120" w:after="120" w:line="240" w:lineRule="exact"/>
        <w:ind w:left="283" w:hanging="283"/>
        <w:jc w:val="both"/>
        <w:rPr>
          <w:rFonts w:ascii="FrankRuehl" w:hAnsi="FrankRuehl" w:cs="FrankRuehl"/>
          <w:rtl/>
        </w:rPr>
      </w:pPr>
      <w:hyperlink r:id="rId13" w:history="1">
        <w:r w:rsidRPr="00157D6B">
          <w:rPr>
            <w:rFonts w:ascii="FrankRuehl" w:hAnsi="FrankRuehl" w:cs="FrankRuehl"/>
            <w:color w:val="0000FF"/>
            <w:rtl/>
          </w:rPr>
          <w:t>חוק העונשין, תשל"ז-1977</w:t>
        </w:r>
      </w:hyperlink>
      <w:r w:rsidRPr="00157D6B">
        <w:rPr>
          <w:rFonts w:ascii="FrankRuehl" w:hAnsi="FrankRuehl" w:cs="FrankRuehl"/>
          <w:rtl/>
        </w:rPr>
        <w:t xml:space="preserve">: סע'  </w:t>
      </w:r>
      <w:hyperlink r:id="rId14" w:history="1">
        <w:r w:rsidRPr="00157D6B">
          <w:rPr>
            <w:rFonts w:ascii="FrankRuehl" w:hAnsi="FrankRuehl" w:cs="FrankRuehl"/>
            <w:color w:val="0000FF"/>
            <w:rtl/>
          </w:rPr>
          <w:t>40יא</w:t>
        </w:r>
      </w:hyperlink>
      <w:r w:rsidRPr="00157D6B">
        <w:rPr>
          <w:rFonts w:ascii="FrankRuehl" w:hAnsi="FrankRuehl" w:cs="FrankRuehl"/>
          <w:rtl/>
        </w:rPr>
        <w:t xml:space="preserve">, </w:t>
      </w:r>
      <w:hyperlink r:id="rId15" w:history="1">
        <w:r w:rsidRPr="00157D6B">
          <w:rPr>
            <w:rFonts w:ascii="FrankRuehl" w:hAnsi="FrankRuehl" w:cs="FrankRuehl"/>
            <w:color w:val="0000FF"/>
            <w:rtl/>
          </w:rPr>
          <w:t>40יג (א)</w:t>
        </w:r>
      </w:hyperlink>
    </w:p>
    <w:p w14:paraId="4C9398DC" w14:textId="77777777" w:rsidR="00157D6B" w:rsidRPr="00157D6B" w:rsidRDefault="00157D6B" w:rsidP="00157D6B">
      <w:pPr>
        <w:rPr>
          <w:sz w:val="26"/>
          <w:szCs w:val="26"/>
          <w:rtl/>
        </w:rPr>
      </w:pPr>
      <w:bookmarkStart w:id="4" w:name="LawTable_End"/>
      <w:bookmarkEnd w:id="4"/>
    </w:p>
    <w:p w14:paraId="555BFFA5" w14:textId="77777777" w:rsidR="00B47E3B" w:rsidRPr="00096827" w:rsidRDefault="00B47E3B" w:rsidP="00096827">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47E3B" w14:paraId="5B147909" w14:textId="77777777" w:rsidTr="00B47E3B">
        <w:trPr>
          <w:trHeight w:val="355"/>
          <w:jc w:val="center"/>
        </w:trPr>
        <w:tc>
          <w:tcPr>
            <w:tcW w:w="8820" w:type="dxa"/>
            <w:tcBorders>
              <w:top w:val="nil"/>
              <w:left w:val="nil"/>
              <w:bottom w:val="nil"/>
              <w:right w:val="nil"/>
            </w:tcBorders>
            <w:shd w:val="clear" w:color="auto" w:fill="auto"/>
          </w:tcPr>
          <w:p w14:paraId="456B40F8" w14:textId="77777777" w:rsidR="00E921B4" w:rsidRPr="00E921B4" w:rsidRDefault="00E921B4" w:rsidP="00E921B4">
            <w:pPr>
              <w:jc w:val="center"/>
              <w:rPr>
                <w:rFonts w:ascii="David" w:hAnsi="David"/>
                <w:b/>
                <w:bCs/>
                <w:sz w:val="32"/>
                <w:szCs w:val="32"/>
                <w:u w:val="single"/>
                <w:rtl/>
              </w:rPr>
            </w:pPr>
            <w:bookmarkStart w:id="5" w:name="PsakDin" w:colFirst="0" w:colLast="0"/>
            <w:bookmarkEnd w:id="0"/>
            <w:r w:rsidRPr="00E921B4">
              <w:rPr>
                <w:rFonts w:ascii="David" w:hAnsi="David"/>
                <w:b/>
                <w:bCs/>
                <w:sz w:val="32"/>
                <w:szCs w:val="32"/>
                <w:u w:val="single"/>
                <w:rtl/>
              </w:rPr>
              <w:t>גזר דין</w:t>
            </w:r>
          </w:p>
          <w:p w14:paraId="3EA856BD" w14:textId="77777777" w:rsidR="00B47E3B" w:rsidRPr="00E921B4" w:rsidRDefault="00B47E3B" w:rsidP="00E921B4">
            <w:pPr>
              <w:jc w:val="center"/>
              <w:rPr>
                <w:rFonts w:ascii="David" w:hAnsi="David"/>
                <w:bCs/>
                <w:sz w:val="32"/>
                <w:szCs w:val="32"/>
                <w:u w:val="single"/>
                <w:rtl/>
              </w:rPr>
            </w:pPr>
          </w:p>
        </w:tc>
      </w:tr>
      <w:bookmarkEnd w:id="5"/>
    </w:tbl>
    <w:p w14:paraId="3B742915" w14:textId="77777777" w:rsidR="00B47E3B" w:rsidRPr="00B47E3B" w:rsidRDefault="00B47E3B" w:rsidP="00B47E3B">
      <w:pPr>
        <w:jc w:val="both"/>
        <w:rPr>
          <w:rFonts w:ascii="Arial" w:hAnsi="Arial" w:cs="Arial"/>
          <w:b/>
          <w:bCs/>
          <w:sz w:val="22"/>
          <w:szCs w:val="22"/>
          <w:u w:val="single"/>
        </w:rPr>
      </w:pPr>
    </w:p>
    <w:p w14:paraId="7258EA29" w14:textId="77777777" w:rsidR="00B47E3B" w:rsidRPr="00B47E3B" w:rsidRDefault="00B47E3B" w:rsidP="00B47E3B">
      <w:pPr>
        <w:jc w:val="both"/>
        <w:rPr>
          <w:rFonts w:ascii="Arial" w:hAnsi="Arial"/>
          <w:b/>
          <w:bCs/>
          <w:u w:val="single"/>
          <w:rtl/>
        </w:rPr>
      </w:pPr>
      <w:r w:rsidRPr="00B47E3B">
        <w:rPr>
          <w:rFonts w:ascii="Arial" w:hAnsi="Arial"/>
          <w:b/>
          <w:bCs/>
          <w:u w:val="single"/>
          <w:rtl/>
        </w:rPr>
        <w:t>כתב האישום והסדר הטיעון</w:t>
      </w:r>
    </w:p>
    <w:p w14:paraId="581C1770" w14:textId="77777777" w:rsidR="00B47E3B" w:rsidRPr="00B47E3B" w:rsidRDefault="00B47E3B" w:rsidP="00B47E3B">
      <w:pPr>
        <w:jc w:val="both"/>
        <w:rPr>
          <w:rFonts w:ascii="Arial" w:hAnsi="Arial" w:cs="Arial"/>
          <w:b/>
          <w:bCs/>
          <w:sz w:val="22"/>
          <w:szCs w:val="22"/>
          <w:u w:val="single"/>
          <w:rtl/>
        </w:rPr>
      </w:pPr>
    </w:p>
    <w:p w14:paraId="48BBF6EF" w14:textId="77777777" w:rsidR="00B47E3B" w:rsidRDefault="00B47E3B" w:rsidP="00B47E3B">
      <w:pPr>
        <w:pStyle w:val="Ruller40"/>
        <w:numPr>
          <w:ilvl w:val="0"/>
          <w:numId w:val="1"/>
        </w:numPr>
        <w:tabs>
          <w:tab w:val="num" w:pos="907"/>
        </w:tabs>
        <w:ind w:left="0" w:firstLine="0"/>
        <w:rPr>
          <w:rFonts w:cs="David"/>
          <w:szCs w:val="24"/>
          <w:rtl/>
        </w:rPr>
      </w:pPr>
      <w:bookmarkStart w:id="6" w:name="ABSTRACT_START"/>
      <w:bookmarkEnd w:id="6"/>
      <w:r>
        <w:rPr>
          <w:rFonts w:cs="David"/>
          <w:szCs w:val="24"/>
          <w:rtl/>
        </w:rPr>
        <w:t xml:space="preserve">הנאשם הורשע על פי הודאתו במסגרת הסדר טיעון בכתב אישום מתוקן, האוחז בשבעה אישומים, כאשר האישום הראשון מייחס לו ביצוע עבירה של </w:t>
      </w:r>
      <w:r>
        <w:rPr>
          <w:rFonts w:cs="David"/>
          <w:b/>
          <w:bCs/>
          <w:szCs w:val="24"/>
          <w:rtl/>
        </w:rPr>
        <w:t>החזקת סמים שלא לצריכה עצמית</w:t>
      </w:r>
      <w:r>
        <w:rPr>
          <w:rFonts w:cs="David"/>
          <w:szCs w:val="24"/>
          <w:rtl/>
        </w:rPr>
        <w:t xml:space="preserve"> לפי </w:t>
      </w:r>
      <w:hyperlink r:id="rId16" w:history="1">
        <w:r w:rsidR="00E73CEF" w:rsidRPr="00E73CEF">
          <w:rPr>
            <w:rStyle w:val="Hyperlink"/>
            <w:rFonts w:cs="David" w:hint="eastAsia"/>
            <w:szCs w:val="24"/>
            <w:rtl/>
          </w:rPr>
          <w:t>סעיף</w:t>
        </w:r>
        <w:r w:rsidR="00E73CEF" w:rsidRPr="00E73CEF">
          <w:rPr>
            <w:rStyle w:val="Hyperlink"/>
            <w:rFonts w:cs="David"/>
            <w:szCs w:val="24"/>
            <w:rtl/>
          </w:rPr>
          <w:t xml:space="preserve"> 7(</w:t>
        </w:r>
        <w:r w:rsidR="00E73CEF" w:rsidRPr="00E73CEF">
          <w:rPr>
            <w:rStyle w:val="Hyperlink"/>
            <w:rFonts w:cs="David" w:hint="eastAsia"/>
            <w:szCs w:val="24"/>
            <w:rtl/>
          </w:rPr>
          <w:t>א</w:t>
        </w:r>
        <w:r w:rsidR="00E73CEF" w:rsidRPr="00E73CEF">
          <w:rPr>
            <w:rStyle w:val="Hyperlink"/>
            <w:rFonts w:cs="David"/>
            <w:szCs w:val="24"/>
            <w:rtl/>
          </w:rPr>
          <w:t>)</w:t>
        </w:r>
      </w:hyperlink>
      <w:r>
        <w:rPr>
          <w:rFonts w:cs="David"/>
          <w:szCs w:val="24"/>
          <w:rtl/>
        </w:rPr>
        <w:t xml:space="preserve"> בצירוף </w:t>
      </w:r>
      <w:hyperlink r:id="rId17" w:history="1">
        <w:r w:rsidR="00E73CEF" w:rsidRPr="00E73CEF">
          <w:rPr>
            <w:rStyle w:val="Hyperlink"/>
            <w:rFonts w:cs="David" w:hint="eastAsia"/>
            <w:szCs w:val="24"/>
            <w:rtl/>
          </w:rPr>
          <w:t>סעיף</w:t>
        </w:r>
        <w:r w:rsidR="00E73CEF" w:rsidRPr="00E73CEF">
          <w:rPr>
            <w:rStyle w:val="Hyperlink"/>
            <w:rFonts w:cs="David"/>
            <w:szCs w:val="24"/>
            <w:rtl/>
          </w:rPr>
          <w:t xml:space="preserve"> 7(</w:t>
        </w:r>
        <w:r w:rsidR="00E73CEF" w:rsidRPr="00E73CEF">
          <w:rPr>
            <w:rStyle w:val="Hyperlink"/>
            <w:rFonts w:cs="David" w:hint="eastAsia"/>
            <w:szCs w:val="24"/>
            <w:rtl/>
          </w:rPr>
          <w:t>ג</w:t>
        </w:r>
        <w:r w:rsidR="00E73CEF" w:rsidRPr="00E73CEF">
          <w:rPr>
            <w:rStyle w:val="Hyperlink"/>
            <w:rFonts w:cs="David"/>
            <w:szCs w:val="24"/>
            <w:rtl/>
          </w:rPr>
          <w:t>)</w:t>
        </w:r>
      </w:hyperlink>
      <w:r>
        <w:rPr>
          <w:rFonts w:cs="David"/>
          <w:szCs w:val="24"/>
          <w:rtl/>
        </w:rPr>
        <w:t xml:space="preserve"> רישא ל</w:t>
      </w:r>
      <w:hyperlink r:id="rId18" w:history="1">
        <w:r w:rsidR="00E921B4" w:rsidRPr="00E921B4">
          <w:rPr>
            <w:rFonts w:cs="David" w:hint="cs"/>
            <w:color w:val="0000FF"/>
            <w:szCs w:val="24"/>
            <w:u w:val="single"/>
            <w:rtl/>
          </w:rPr>
          <w:t>פקודת</w:t>
        </w:r>
        <w:r w:rsidR="00E921B4" w:rsidRPr="00E921B4">
          <w:rPr>
            <w:rFonts w:cs="David"/>
            <w:color w:val="0000FF"/>
            <w:szCs w:val="24"/>
            <w:u w:val="single"/>
            <w:rtl/>
          </w:rPr>
          <w:t xml:space="preserve"> </w:t>
        </w:r>
        <w:r w:rsidR="00E921B4" w:rsidRPr="00E921B4">
          <w:rPr>
            <w:rFonts w:cs="David" w:hint="cs"/>
            <w:color w:val="0000FF"/>
            <w:szCs w:val="24"/>
            <w:u w:val="single"/>
            <w:rtl/>
          </w:rPr>
          <w:t>הסמים</w:t>
        </w:r>
        <w:r w:rsidR="00E921B4" w:rsidRPr="00E921B4">
          <w:rPr>
            <w:rFonts w:cs="David"/>
            <w:color w:val="0000FF"/>
            <w:szCs w:val="24"/>
            <w:u w:val="single"/>
            <w:rtl/>
          </w:rPr>
          <w:t xml:space="preserve"> </w:t>
        </w:r>
        <w:r w:rsidR="00E921B4" w:rsidRPr="00E921B4">
          <w:rPr>
            <w:rFonts w:cs="David" w:hint="cs"/>
            <w:color w:val="0000FF"/>
            <w:szCs w:val="24"/>
            <w:u w:val="single"/>
            <w:rtl/>
          </w:rPr>
          <w:t>המסוכנים</w:t>
        </w:r>
      </w:hyperlink>
      <w:r>
        <w:rPr>
          <w:rFonts w:cs="David"/>
          <w:szCs w:val="24"/>
          <w:rtl/>
        </w:rPr>
        <w:t xml:space="preserve"> (נוסח חדש) תשל"ג- 1973 (להלן: "</w:t>
      </w:r>
      <w:r>
        <w:rPr>
          <w:rFonts w:cs="David"/>
          <w:b/>
          <w:bCs/>
          <w:szCs w:val="24"/>
          <w:rtl/>
        </w:rPr>
        <w:t>הפקודה</w:t>
      </w:r>
      <w:r>
        <w:rPr>
          <w:rFonts w:cs="David"/>
          <w:szCs w:val="24"/>
          <w:rtl/>
        </w:rPr>
        <w:t xml:space="preserve">") ויתר האישומים מייחסים לו עבירות של </w:t>
      </w:r>
      <w:r>
        <w:rPr>
          <w:rFonts w:cs="David"/>
          <w:b/>
          <w:bCs/>
          <w:szCs w:val="24"/>
          <w:rtl/>
        </w:rPr>
        <w:t>סחר בסמים</w:t>
      </w:r>
      <w:r>
        <w:rPr>
          <w:rFonts w:cs="David"/>
          <w:szCs w:val="24"/>
          <w:rtl/>
        </w:rPr>
        <w:t xml:space="preserve"> לפי </w:t>
      </w:r>
      <w:hyperlink r:id="rId19" w:history="1">
        <w:r w:rsidR="00E73CEF" w:rsidRPr="00E73CEF">
          <w:rPr>
            <w:rStyle w:val="Hyperlink"/>
            <w:rFonts w:cs="David" w:hint="eastAsia"/>
            <w:szCs w:val="24"/>
            <w:rtl/>
          </w:rPr>
          <w:t>סעיף</w:t>
        </w:r>
        <w:r w:rsidR="00E73CEF" w:rsidRPr="00E73CEF">
          <w:rPr>
            <w:rStyle w:val="Hyperlink"/>
            <w:rFonts w:cs="David"/>
            <w:szCs w:val="24"/>
            <w:rtl/>
          </w:rPr>
          <w:t xml:space="preserve"> 13</w:t>
        </w:r>
      </w:hyperlink>
      <w:r>
        <w:rPr>
          <w:rFonts w:cs="David"/>
          <w:szCs w:val="24"/>
          <w:rtl/>
        </w:rPr>
        <w:t xml:space="preserve"> בצירוף </w:t>
      </w:r>
      <w:hyperlink r:id="rId20" w:history="1">
        <w:r w:rsidR="00E73CEF" w:rsidRPr="00E73CEF">
          <w:rPr>
            <w:rStyle w:val="Hyperlink"/>
            <w:rFonts w:cs="David" w:hint="eastAsia"/>
            <w:szCs w:val="24"/>
            <w:rtl/>
          </w:rPr>
          <w:t>סעיף</w:t>
        </w:r>
        <w:r w:rsidR="00E73CEF" w:rsidRPr="00E73CEF">
          <w:rPr>
            <w:rStyle w:val="Hyperlink"/>
            <w:rFonts w:cs="David"/>
            <w:szCs w:val="24"/>
            <w:rtl/>
          </w:rPr>
          <w:t xml:space="preserve"> 19</w:t>
        </w:r>
        <w:r w:rsidR="00E73CEF" w:rsidRPr="00E73CEF">
          <w:rPr>
            <w:rStyle w:val="Hyperlink"/>
            <w:rFonts w:cs="David" w:hint="eastAsia"/>
            <w:szCs w:val="24"/>
            <w:rtl/>
          </w:rPr>
          <w:t>א</w:t>
        </w:r>
      </w:hyperlink>
      <w:r>
        <w:rPr>
          <w:rFonts w:cs="David"/>
          <w:szCs w:val="24"/>
          <w:rtl/>
        </w:rPr>
        <w:t xml:space="preserve"> לפקודה .</w:t>
      </w:r>
    </w:p>
    <w:p w14:paraId="6DFD0118" w14:textId="77777777" w:rsidR="00B47E3B" w:rsidRPr="00B47E3B" w:rsidRDefault="00B47E3B" w:rsidP="00B47E3B">
      <w:pPr>
        <w:rPr>
          <w:rFonts w:cs="Arial"/>
          <w:szCs w:val="22"/>
          <w:rtl/>
        </w:rPr>
      </w:pPr>
      <w:bookmarkStart w:id="7" w:name="ABSTRACT_END"/>
      <w:bookmarkEnd w:id="7"/>
    </w:p>
    <w:p w14:paraId="1E1FE07E" w14:textId="77777777" w:rsidR="00B47E3B" w:rsidRDefault="00B47E3B" w:rsidP="00B47E3B">
      <w:pPr>
        <w:pStyle w:val="Ruller40"/>
        <w:numPr>
          <w:ilvl w:val="0"/>
          <w:numId w:val="1"/>
        </w:numPr>
        <w:tabs>
          <w:tab w:val="num" w:pos="907"/>
        </w:tabs>
        <w:ind w:left="0" w:firstLine="0"/>
        <w:rPr>
          <w:rFonts w:cs="David"/>
          <w:szCs w:val="24"/>
        </w:rPr>
      </w:pPr>
      <w:r>
        <w:rPr>
          <w:rFonts w:cs="David"/>
          <w:szCs w:val="24"/>
          <w:rtl/>
        </w:rPr>
        <w:lastRenderedPageBreak/>
        <w:t xml:space="preserve">ביום 13.10.2021 הציגו הצדדים הסדר טיעון. במסגרת הסדר הטיעון שאליו הגיעו הצדדים, הוסכם שהנאשם יודה ויורשע בכתב האישום המתוקן. הסדר הטיעון לא כלל הסכמה לעניין העונש. </w:t>
      </w:r>
    </w:p>
    <w:p w14:paraId="47F41578" w14:textId="77777777" w:rsidR="00B47E3B" w:rsidRDefault="00B47E3B" w:rsidP="00B47E3B">
      <w:pPr>
        <w:jc w:val="both"/>
        <w:rPr>
          <w:rFonts w:ascii="Garamond" w:hAnsi="Garamond"/>
          <w:spacing w:val="10"/>
          <w:rtl/>
        </w:rPr>
      </w:pPr>
    </w:p>
    <w:p w14:paraId="79E8724F" w14:textId="77777777" w:rsidR="00B47E3B" w:rsidRDefault="00B47E3B" w:rsidP="00B47E3B">
      <w:pPr>
        <w:pStyle w:val="Ruller40"/>
        <w:numPr>
          <w:ilvl w:val="0"/>
          <w:numId w:val="1"/>
        </w:numPr>
        <w:tabs>
          <w:tab w:val="num" w:pos="907"/>
        </w:tabs>
        <w:ind w:left="0" w:firstLine="0"/>
        <w:rPr>
          <w:rFonts w:cs="David"/>
          <w:szCs w:val="24"/>
          <w:rtl/>
        </w:rPr>
      </w:pPr>
      <w:r>
        <w:rPr>
          <w:rFonts w:cs="David"/>
          <w:szCs w:val="24"/>
          <w:rtl/>
        </w:rPr>
        <w:t xml:space="preserve">מעובדות האישום </w:t>
      </w:r>
      <w:r>
        <w:rPr>
          <w:rFonts w:cs="David"/>
          <w:b/>
          <w:bCs/>
          <w:szCs w:val="24"/>
          <w:u w:val="single"/>
          <w:rtl/>
        </w:rPr>
        <w:t>הראשון</w:t>
      </w:r>
      <w:r>
        <w:rPr>
          <w:rFonts w:cs="David"/>
          <w:szCs w:val="24"/>
          <w:rtl/>
        </w:rPr>
        <w:t xml:space="preserve"> עולה כי ביום 11.4.2021 בשעה 18:00 לערך, בצומת הרחובות גולדה מאיר והאדמורים ליינער בירושלים, נהג הנאשם ברכב מסוג סיאט הנושא לוחית זיהוי שמספרה 576-98-301 (להלן: "</w:t>
      </w:r>
      <w:r>
        <w:rPr>
          <w:rFonts w:cs="David"/>
          <w:b/>
          <w:bCs/>
          <w:szCs w:val="24"/>
          <w:rtl/>
        </w:rPr>
        <w:t>הרכב</w:t>
      </w:r>
      <w:r>
        <w:rPr>
          <w:rFonts w:cs="David"/>
          <w:szCs w:val="24"/>
          <w:rtl/>
        </w:rPr>
        <w:t xml:space="preserve">"). באותן נסיבות, החזיק הנאשם ברכב את הבאים: ארבע שקיות חלוקה, קופסא שקופה ובתוכה עוד 19 שקיות חלוקה, כאשר כלל השקיות והקופסא הכילו בתוכן </w:t>
      </w:r>
      <w:r>
        <w:rPr>
          <w:rFonts w:cs="David"/>
          <w:szCs w:val="24"/>
          <w:u w:val="single"/>
          <w:rtl/>
        </w:rPr>
        <w:t>סם מסוג קנבוס במשקל כולל של 119.54 גרם נטו</w:t>
      </w:r>
      <w:r>
        <w:rPr>
          <w:rFonts w:cs="David"/>
          <w:szCs w:val="24"/>
          <w:rtl/>
        </w:rPr>
        <w:t xml:space="preserve"> </w:t>
      </w:r>
      <w:r>
        <w:rPr>
          <w:rFonts w:cs="David"/>
          <w:szCs w:val="24"/>
          <w:u w:val="single"/>
          <w:rtl/>
        </w:rPr>
        <w:t>קנבוס</w:t>
      </w:r>
      <w:r>
        <w:rPr>
          <w:rFonts w:cs="David"/>
          <w:szCs w:val="24"/>
          <w:rtl/>
        </w:rPr>
        <w:t xml:space="preserve">, שקית אשר הכילה בתוכה </w:t>
      </w:r>
      <w:r>
        <w:rPr>
          <w:rFonts w:cs="David"/>
          <w:szCs w:val="24"/>
          <w:u w:val="single"/>
          <w:rtl/>
        </w:rPr>
        <w:t>סם מסוג חשיש במשקל 120.62 גרם נטו</w:t>
      </w:r>
      <w:r>
        <w:rPr>
          <w:rFonts w:cs="David"/>
          <w:szCs w:val="24"/>
          <w:rtl/>
        </w:rPr>
        <w:t xml:space="preserve">,  כסף מזומן בסך 1,700 ₪ וכן שני טלפונים ניידים. על גופו של הנאשם נתפס כסף מזומן נוסף בסך של 1,700 ₪. </w:t>
      </w:r>
    </w:p>
    <w:p w14:paraId="6576391B" w14:textId="77777777" w:rsidR="00B47E3B" w:rsidRPr="00B47E3B" w:rsidRDefault="00B47E3B" w:rsidP="00B47E3B">
      <w:pPr>
        <w:rPr>
          <w:rFonts w:cs="Arial"/>
          <w:szCs w:val="22"/>
          <w:rtl/>
        </w:rPr>
      </w:pPr>
    </w:p>
    <w:p w14:paraId="0379BD1E" w14:textId="77777777" w:rsidR="00B47E3B" w:rsidRDefault="00B47E3B" w:rsidP="00B47E3B">
      <w:pPr>
        <w:pStyle w:val="Ruller40"/>
        <w:numPr>
          <w:ilvl w:val="0"/>
          <w:numId w:val="1"/>
        </w:numPr>
        <w:tabs>
          <w:tab w:val="num" w:pos="907"/>
        </w:tabs>
        <w:ind w:left="0" w:firstLine="0"/>
        <w:rPr>
          <w:rFonts w:cs="David"/>
          <w:szCs w:val="24"/>
        </w:rPr>
      </w:pPr>
      <w:r>
        <w:rPr>
          <w:rFonts w:cs="David"/>
          <w:szCs w:val="24"/>
          <w:rtl/>
        </w:rPr>
        <w:t xml:space="preserve">מעובדות האישום </w:t>
      </w:r>
      <w:r>
        <w:rPr>
          <w:rFonts w:cs="David"/>
          <w:b/>
          <w:bCs/>
          <w:szCs w:val="24"/>
          <w:u w:val="single"/>
          <w:rtl/>
        </w:rPr>
        <w:t>השני</w:t>
      </w:r>
      <w:r>
        <w:rPr>
          <w:rFonts w:cs="David"/>
          <w:szCs w:val="24"/>
          <w:rtl/>
        </w:rPr>
        <w:t xml:space="preserve"> עולה כי ביום 11.04.2021, בשעה שאינה ידועה במדויק למאשימה, פנה דוד כהן (להלן: "</w:t>
      </w:r>
      <w:r>
        <w:rPr>
          <w:rFonts w:cs="David"/>
          <w:b/>
          <w:bCs/>
          <w:szCs w:val="24"/>
          <w:rtl/>
        </w:rPr>
        <w:t>הלקוח</w:t>
      </w:r>
      <w:r>
        <w:rPr>
          <w:rFonts w:cs="David"/>
          <w:szCs w:val="24"/>
          <w:rtl/>
        </w:rPr>
        <w:t xml:space="preserve">") באמצעות יישומון הטלגרם, למשתמש שזהותו אינה ידועה למאשימה, וזאת במטרה לרכוש 5 גרם קנבוס תמורת 300 ₪. הלקוח ביקשה שהסם יסופק לו ברחוב משה הס 3 בירושלים. באותו היום, בשעה 17:55, התקשר הנאשם ללקוח ותיאם עמו את הגעתו אליו. זמן קצר לאחר מכן, פגש הנאשם בלקוח, </w:t>
      </w:r>
      <w:r>
        <w:rPr>
          <w:rFonts w:cs="David"/>
          <w:szCs w:val="24"/>
          <w:u w:val="single"/>
          <w:rtl/>
        </w:rPr>
        <w:t>מסר לו 5 גרם קנבוס וקיבל ממנו בתמורה סך 300 ₪</w:t>
      </w:r>
      <w:r>
        <w:rPr>
          <w:rFonts w:cs="David"/>
          <w:szCs w:val="24"/>
          <w:rtl/>
        </w:rPr>
        <w:t xml:space="preserve">. </w:t>
      </w:r>
    </w:p>
    <w:p w14:paraId="7058E87C" w14:textId="77777777" w:rsidR="00B47E3B" w:rsidRPr="00B47E3B" w:rsidRDefault="00B47E3B" w:rsidP="00B47E3B">
      <w:pPr>
        <w:rPr>
          <w:rFonts w:cs="Arial"/>
          <w:szCs w:val="22"/>
          <w:rtl/>
        </w:rPr>
      </w:pPr>
    </w:p>
    <w:p w14:paraId="1DDBCCEB" w14:textId="77777777" w:rsidR="00B47E3B" w:rsidRDefault="00B47E3B" w:rsidP="00B47E3B">
      <w:pPr>
        <w:pStyle w:val="Ruller40"/>
        <w:numPr>
          <w:ilvl w:val="0"/>
          <w:numId w:val="1"/>
        </w:numPr>
        <w:tabs>
          <w:tab w:val="num" w:pos="907"/>
        </w:tabs>
        <w:ind w:left="0" w:firstLine="0"/>
        <w:rPr>
          <w:rFonts w:cs="David"/>
          <w:szCs w:val="24"/>
          <w:rtl/>
        </w:rPr>
      </w:pPr>
      <w:r>
        <w:rPr>
          <w:rFonts w:cs="David"/>
          <w:szCs w:val="24"/>
          <w:rtl/>
        </w:rPr>
        <w:t xml:space="preserve">מעובדות האישום </w:t>
      </w:r>
      <w:r>
        <w:rPr>
          <w:rFonts w:cs="David"/>
          <w:b/>
          <w:bCs/>
          <w:szCs w:val="24"/>
          <w:u w:val="single"/>
          <w:rtl/>
        </w:rPr>
        <w:t>השלישי</w:t>
      </w:r>
      <w:r>
        <w:rPr>
          <w:rFonts w:cs="David"/>
          <w:szCs w:val="24"/>
          <w:rtl/>
        </w:rPr>
        <w:t xml:space="preserve"> עולה כי ביום</w:t>
      </w:r>
      <w:r>
        <w:rPr>
          <w:rtl/>
        </w:rPr>
        <w:t xml:space="preserve"> 11.04.2021</w:t>
      </w:r>
      <w:r>
        <w:rPr>
          <w:rFonts w:cs="David"/>
          <w:szCs w:val="24"/>
          <w:rtl/>
        </w:rPr>
        <w:t>, בשעה שאינה ידועה במדויק למאשימה, פנתה ברכה סמדג'ה (להלן: "</w:t>
      </w:r>
      <w:r>
        <w:rPr>
          <w:rFonts w:cs="David"/>
          <w:b/>
          <w:bCs/>
          <w:szCs w:val="24"/>
          <w:rtl/>
        </w:rPr>
        <w:t>הלקוחה</w:t>
      </w:r>
      <w:r>
        <w:rPr>
          <w:rFonts w:cs="David"/>
          <w:szCs w:val="24"/>
          <w:rtl/>
        </w:rPr>
        <w:t xml:space="preserve">") באמצעות יישומון הטלגרם, למשתמש שזהותו אינה ידועה למאשימה במטרה לרכוש 10 גרם קנבוס תמורת 550 ₪. הלקוחה ביקשה שהסם יסופק לה בסמוך לקניון פסגת זאב בירושלים. באותו היום, בשעה 16:49, התקשר הנאשם ללקוחה ותיאם עמה את הגעתו אליה. זמן קצר לאחר מכן, פגש הנאשם בלקוחה, </w:t>
      </w:r>
      <w:r>
        <w:rPr>
          <w:rFonts w:cs="David"/>
          <w:szCs w:val="24"/>
          <w:u w:val="single"/>
          <w:rtl/>
        </w:rPr>
        <w:t>מסר לה 5 גרם קנבוס וקיבל ממנה תמורה בסך 400 ₪</w:t>
      </w:r>
      <w:r>
        <w:rPr>
          <w:rFonts w:cs="David"/>
          <w:szCs w:val="24"/>
          <w:rtl/>
        </w:rPr>
        <w:t xml:space="preserve">. </w:t>
      </w:r>
    </w:p>
    <w:p w14:paraId="14510E31" w14:textId="77777777" w:rsidR="00B47E3B" w:rsidRDefault="00B47E3B" w:rsidP="00B47E3B">
      <w:pPr>
        <w:pStyle w:val="Ruller40"/>
        <w:rPr>
          <w:rtl/>
        </w:rPr>
      </w:pPr>
    </w:p>
    <w:p w14:paraId="049A37D5" w14:textId="77777777" w:rsidR="00B47E3B" w:rsidRDefault="00B47E3B" w:rsidP="00B47E3B">
      <w:pPr>
        <w:pStyle w:val="Ruller40"/>
        <w:numPr>
          <w:ilvl w:val="0"/>
          <w:numId w:val="1"/>
        </w:numPr>
        <w:tabs>
          <w:tab w:val="num" w:pos="907"/>
        </w:tabs>
        <w:ind w:left="0" w:firstLine="0"/>
        <w:rPr>
          <w:rFonts w:cs="David"/>
          <w:szCs w:val="24"/>
          <w:rtl/>
        </w:rPr>
      </w:pPr>
      <w:r>
        <w:rPr>
          <w:rFonts w:cs="David"/>
          <w:szCs w:val="24"/>
          <w:rtl/>
        </w:rPr>
        <w:t xml:space="preserve">מעובדות האישום </w:t>
      </w:r>
      <w:r>
        <w:rPr>
          <w:rFonts w:cs="David"/>
          <w:b/>
          <w:bCs/>
          <w:szCs w:val="24"/>
          <w:u w:val="single"/>
          <w:rtl/>
        </w:rPr>
        <w:t>הרביעי</w:t>
      </w:r>
      <w:r>
        <w:rPr>
          <w:rFonts w:cs="David"/>
          <w:szCs w:val="24"/>
          <w:rtl/>
        </w:rPr>
        <w:t xml:space="preserve"> עולה כי ביום</w:t>
      </w:r>
      <w:r>
        <w:rPr>
          <w:rtl/>
        </w:rPr>
        <w:t xml:space="preserve"> 11.4.2021</w:t>
      </w:r>
      <w:r>
        <w:rPr>
          <w:rFonts w:cs="David"/>
          <w:szCs w:val="24"/>
          <w:rtl/>
        </w:rPr>
        <w:t>, בשעה שאינה ידועה במדויק למאשימה, פנה אשר כהנא (להלן: "</w:t>
      </w:r>
      <w:r>
        <w:rPr>
          <w:rFonts w:cs="David"/>
          <w:b/>
          <w:bCs/>
          <w:szCs w:val="24"/>
          <w:rtl/>
        </w:rPr>
        <w:t>הלקוח</w:t>
      </w:r>
      <w:r>
        <w:rPr>
          <w:rFonts w:cs="David"/>
          <w:szCs w:val="24"/>
          <w:rtl/>
        </w:rPr>
        <w:t xml:space="preserve">") באמצעות יישומון הטלגרם, למשתמש בשם "ג'רוזלם 420", וזאת במטרה לרכוש 20 גרם קנבוס תמורת 950 ₪. הלקוח ביקש שהסם יסופק לו ברחוב בהר"ן 7 בירושלים. באותו היום, בשעה 12:29, התקשר הנאשם ללקוח ותיאם עמו את הגעתו אליו. זמן קצר לאחר מכן, פגש הנאשם בלקוח, </w:t>
      </w:r>
      <w:r>
        <w:rPr>
          <w:rFonts w:cs="David"/>
          <w:szCs w:val="24"/>
          <w:u w:val="single"/>
          <w:rtl/>
        </w:rPr>
        <w:t>מסר לו 20 גרם קנבוס וקיבל ממנו תמורה בסך 950 ₪</w:t>
      </w:r>
      <w:r>
        <w:rPr>
          <w:rFonts w:cs="David"/>
          <w:szCs w:val="24"/>
          <w:rtl/>
        </w:rPr>
        <w:t xml:space="preserve">. </w:t>
      </w:r>
    </w:p>
    <w:p w14:paraId="2B5CAB8A" w14:textId="77777777" w:rsidR="00B47E3B" w:rsidRDefault="00B47E3B" w:rsidP="00B47E3B">
      <w:pPr>
        <w:pStyle w:val="Ruller40"/>
        <w:rPr>
          <w:rtl/>
        </w:rPr>
      </w:pPr>
    </w:p>
    <w:p w14:paraId="1D2D99B6" w14:textId="77777777" w:rsidR="00B47E3B" w:rsidRDefault="00B47E3B" w:rsidP="00B47E3B">
      <w:pPr>
        <w:pStyle w:val="Ruller40"/>
        <w:numPr>
          <w:ilvl w:val="0"/>
          <w:numId w:val="1"/>
        </w:numPr>
        <w:tabs>
          <w:tab w:val="num" w:pos="907"/>
        </w:tabs>
        <w:ind w:left="0" w:firstLine="0"/>
        <w:rPr>
          <w:rFonts w:cs="David"/>
          <w:szCs w:val="24"/>
          <w:rtl/>
        </w:rPr>
      </w:pPr>
      <w:r>
        <w:rPr>
          <w:rFonts w:cs="David"/>
          <w:szCs w:val="24"/>
          <w:rtl/>
        </w:rPr>
        <w:t xml:space="preserve">מעובדות האישום </w:t>
      </w:r>
      <w:r>
        <w:rPr>
          <w:rFonts w:cs="David"/>
          <w:b/>
          <w:bCs/>
          <w:szCs w:val="24"/>
          <w:u w:val="single"/>
          <w:rtl/>
        </w:rPr>
        <w:t>החמישי</w:t>
      </w:r>
      <w:r>
        <w:rPr>
          <w:rFonts w:cs="David"/>
          <w:szCs w:val="24"/>
          <w:rtl/>
        </w:rPr>
        <w:t xml:space="preserve"> עולה כי ביום</w:t>
      </w:r>
      <w:r>
        <w:rPr>
          <w:rtl/>
        </w:rPr>
        <w:t xml:space="preserve"> 8.4.2021 </w:t>
      </w:r>
      <w:r>
        <w:rPr>
          <w:rFonts w:cs="David"/>
          <w:szCs w:val="24"/>
          <w:rtl/>
        </w:rPr>
        <w:t>, בשעה שאינה ידועה במדויק למאשימה, פנה נאור מיכאל מנחם (להלן: "</w:t>
      </w:r>
      <w:r>
        <w:rPr>
          <w:rFonts w:cs="David"/>
          <w:b/>
          <w:bCs/>
          <w:szCs w:val="24"/>
          <w:rtl/>
        </w:rPr>
        <w:t>הלקוח</w:t>
      </w:r>
      <w:r>
        <w:rPr>
          <w:rFonts w:cs="David"/>
          <w:szCs w:val="24"/>
          <w:rtl/>
        </w:rPr>
        <w:t xml:space="preserve">") באמצעות יישומון הטלגרם, למשתמש </w:t>
      </w:r>
      <w:r>
        <w:rPr>
          <w:rFonts w:cs="David"/>
          <w:szCs w:val="24"/>
          <w:rtl/>
        </w:rPr>
        <w:lastRenderedPageBreak/>
        <w:t xml:space="preserve">שזהותו אינה ידועה למאשימה, וזאת במטרה לרכוש 5 גרם קנבוס תמורת 500 ₪. הלקוח ביקש שהסם יסופק לו ברחוב צמח השדה 15 במעלה אדומים. באותו היום, בשעה 22:55, התקשר הנאשם ללקוח ותיאם עמו הגעתו אליו. זמן קצר לאחר מכן, פגש הנאשם בלקוח, </w:t>
      </w:r>
      <w:r>
        <w:rPr>
          <w:rFonts w:cs="David"/>
          <w:szCs w:val="24"/>
          <w:u w:val="single"/>
          <w:rtl/>
        </w:rPr>
        <w:t>מסר לו 5 גרם קנבוס וקיבל ממנו תמורה בסך 500 ₪</w:t>
      </w:r>
      <w:r>
        <w:rPr>
          <w:rFonts w:cs="David"/>
          <w:szCs w:val="24"/>
          <w:rtl/>
        </w:rPr>
        <w:t xml:space="preserve">. </w:t>
      </w:r>
    </w:p>
    <w:p w14:paraId="796EA704" w14:textId="77777777" w:rsidR="00B47E3B" w:rsidRDefault="00B47E3B" w:rsidP="00B47E3B">
      <w:pPr>
        <w:pStyle w:val="Ruller40"/>
        <w:rPr>
          <w:rtl/>
        </w:rPr>
      </w:pPr>
    </w:p>
    <w:p w14:paraId="250A44BB" w14:textId="77777777" w:rsidR="00B47E3B" w:rsidRDefault="00B47E3B" w:rsidP="00B47E3B">
      <w:pPr>
        <w:pStyle w:val="Ruller40"/>
        <w:numPr>
          <w:ilvl w:val="0"/>
          <w:numId w:val="1"/>
        </w:numPr>
        <w:tabs>
          <w:tab w:val="num" w:pos="907"/>
        </w:tabs>
        <w:ind w:left="0" w:firstLine="0"/>
        <w:rPr>
          <w:rFonts w:cs="David"/>
          <w:szCs w:val="24"/>
          <w:rtl/>
        </w:rPr>
      </w:pPr>
      <w:r>
        <w:rPr>
          <w:rFonts w:cs="David"/>
          <w:szCs w:val="24"/>
          <w:rtl/>
        </w:rPr>
        <w:t xml:space="preserve">מעובדות האישום </w:t>
      </w:r>
      <w:r>
        <w:rPr>
          <w:rFonts w:cs="David"/>
          <w:b/>
          <w:bCs/>
          <w:szCs w:val="24"/>
          <w:u w:val="single"/>
          <w:rtl/>
        </w:rPr>
        <w:t>השישי</w:t>
      </w:r>
      <w:r>
        <w:rPr>
          <w:rFonts w:cs="David"/>
          <w:szCs w:val="24"/>
          <w:rtl/>
        </w:rPr>
        <w:t xml:space="preserve"> עולה כי ביום</w:t>
      </w:r>
      <w:r>
        <w:rPr>
          <w:rtl/>
        </w:rPr>
        <w:t xml:space="preserve"> 8.4.2021 </w:t>
      </w:r>
      <w:r>
        <w:rPr>
          <w:rFonts w:cs="David"/>
          <w:szCs w:val="24"/>
          <w:rtl/>
        </w:rPr>
        <w:t>, בשעה שאינה ידועה במדויק למאשימה, פנה שלומי ברק שריג (להלן: "</w:t>
      </w:r>
      <w:r>
        <w:rPr>
          <w:rFonts w:cs="David"/>
          <w:b/>
          <w:bCs/>
          <w:szCs w:val="24"/>
          <w:rtl/>
        </w:rPr>
        <w:t>הלקוח</w:t>
      </w:r>
      <w:r>
        <w:rPr>
          <w:rFonts w:cs="David"/>
          <w:szCs w:val="24"/>
          <w:rtl/>
        </w:rPr>
        <w:t xml:space="preserve">") באמצעות יישומון הטלגרם, למשתמש שזהותו אינה ידועה למאשימה, וזאת במטרה לרכוש 6 גרם קנבוס תמורת 300 ₪. הלקוח ביקש שהסם יסופק לו ברחוב ניסים בכר 19 בירושלים. באותו היום, בשעה 22:19, התקשר הנאשם ללקוח ותיאם עמו הגעתו אליו. זמן קצר לאחר מכן, פגש הנאשם בלקוח, </w:t>
      </w:r>
      <w:r>
        <w:rPr>
          <w:rFonts w:cs="David"/>
          <w:szCs w:val="24"/>
          <w:u w:val="single"/>
          <w:rtl/>
        </w:rPr>
        <w:t>מסר לו 6 גרם חשיש וקיבל ממנו תמורה בסך 300 ₪</w:t>
      </w:r>
      <w:r>
        <w:rPr>
          <w:rFonts w:cs="David"/>
          <w:szCs w:val="24"/>
          <w:rtl/>
        </w:rPr>
        <w:t xml:space="preserve">. </w:t>
      </w:r>
    </w:p>
    <w:p w14:paraId="15FB9294" w14:textId="77777777" w:rsidR="00B47E3B" w:rsidRDefault="00B47E3B" w:rsidP="00B47E3B">
      <w:pPr>
        <w:pStyle w:val="Ruller40"/>
        <w:rPr>
          <w:rtl/>
        </w:rPr>
      </w:pPr>
    </w:p>
    <w:p w14:paraId="6F32E6AB" w14:textId="77777777" w:rsidR="00B47E3B" w:rsidRDefault="00B47E3B" w:rsidP="00B47E3B">
      <w:pPr>
        <w:pStyle w:val="Ruller40"/>
        <w:numPr>
          <w:ilvl w:val="0"/>
          <w:numId w:val="1"/>
        </w:numPr>
        <w:tabs>
          <w:tab w:val="num" w:pos="907"/>
        </w:tabs>
        <w:ind w:left="0" w:firstLine="0"/>
        <w:rPr>
          <w:rFonts w:cs="David"/>
          <w:szCs w:val="24"/>
          <w:rtl/>
        </w:rPr>
      </w:pPr>
      <w:r>
        <w:rPr>
          <w:rFonts w:cs="David"/>
          <w:szCs w:val="24"/>
          <w:rtl/>
        </w:rPr>
        <w:t xml:space="preserve">מעובדות האישום </w:t>
      </w:r>
      <w:r>
        <w:rPr>
          <w:rFonts w:cs="David"/>
          <w:b/>
          <w:bCs/>
          <w:szCs w:val="24"/>
          <w:u w:val="single"/>
          <w:rtl/>
        </w:rPr>
        <w:t>השביעי</w:t>
      </w:r>
      <w:r>
        <w:rPr>
          <w:rFonts w:cs="David"/>
          <w:szCs w:val="24"/>
          <w:rtl/>
        </w:rPr>
        <w:t xml:space="preserve"> עולה כי ביום</w:t>
      </w:r>
      <w:r>
        <w:rPr>
          <w:rtl/>
        </w:rPr>
        <w:t xml:space="preserve"> 8.4.2021 </w:t>
      </w:r>
      <w:r>
        <w:rPr>
          <w:rFonts w:cs="David"/>
          <w:szCs w:val="24"/>
          <w:rtl/>
        </w:rPr>
        <w:t>, בשעה שאינה ידועה במדויק למאשימה, פנה יעקב ישראל (להלן: "</w:t>
      </w:r>
      <w:r>
        <w:rPr>
          <w:rFonts w:cs="David"/>
          <w:b/>
          <w:bCs/>
          <w:szCs w:val="24"/>
          <w:rtl/>
        </w:rPr>
        <w:t>הלקוח</w:t>
      </w:r>
      <w:r>
        <w:rPr>
          <w:rFonts w:cs="David"/>
          <w:szCs w:val="24"/>
          <w:rtl/>
        </w:rPr>
        <w:t xml:space="preserve">") באמצעות יישומון הטלגרם, למשתמש בשם "מריו", וזאת במטרה לרכוש 10 גרם קנבוס תמורת 400 ₪. הלקוח ביקש שהסם יסופק לו ברחוב משמר הגבול  בירושלים. באותו היום, בשעה 21:04, התקשר הנאשם ללקוח ותיאם עמו את הגעתו אליו. זמן קצר לאחר מכן, פגש הנאשם בלקוח, </w:t>
      </w:r>
      <w:r>
        <w:rPr>
          <w:rFonts w:cs="David"/>
          <w:szCs w:val="24"/>
          <w:u w:val="single"/>
          <w:rtl/>
        </w:rPr>
        <w:t>מסר לו 10 גרם קנבוס וקיבל ממנו תמורה בסך 400 ₪</w:t>
      </w:r>
      <w:r>
        <w:rPr>
          <w:rFonts w:cs="David"/>
          <w:szCs w:val="24"/>
          <w:rtl/>
        </w:rPr>
        <w:t xml:space="preserve">. </w:t>
      </w:r>
    </w:p>
    <w:p w14:paraId="0EC82316" w14:textId="77777777" w:rsidR="00B47E3B" w:rsidRDefault="00B47E3B" w:rsidP="00B47E3B">
      <w:pPr>
        <w:rPr>
          <w:rFonts w:ascii="Garamond" w:hAnsi="Garamond"/>
          <w:spacing w:val="10"/>
          <w:rtl/>
        </w:rPr>
      </w:pPr>
    </w:p>
    <w:p w14:paraId="2EF6CB4D" w14:textId="77777777" w:rsidR="00B47E3B" w:rsidRDefault="00B47E3B" w:rsidP="00B47E3B">
      <w:pPr>
        <w:pStyle w:val="Ruller40"/>
        <w:numPr>
          <w:ilvl w:val="0"/>
          <w:numId w:val="1"/>
        </w:numPr>
        <w:tabs>
          <w:tab w:val="num" w:pos="907"/>
        </w:tabs>
        <w:ind w:left="0" w:firstLine="0"/>
        <w:rPr>
          <w:rFonts w:cs="David"/>
          <w:szCs w:val="24"/>
          <w:rtl/>
        </w:rPr>
      </w:pPr>
      <w:r>
        <w:rPr>
          <w:rFonts w:cs="David"/>
          <w:szCs w:val="24"/>
          <w:rtl/>
        </w:rPr>
        <w:t xml:space="preserve">נוכח מעשיו אלו, הורשע הנאשם בעבירות של החזקת סמים שלא לצריכה עצמית וב-6 עבירות של סחר בסם מסוכן. </w:t>
      </w:r>
    </w:p>
    <w:p w14:paraId="4CE20750" w14:textId="77777777" w:rsidR="00B47E3B" w:rsidRPr="00B47E3B" w:rsidRDefault="00B47E3B" w:rsidP="00B47E3B">
      <w:pPr>
        <w:rPr>
          <w:rFonts w:cs="Arial"/>
          <w:szCs w:val="22"/>
          <w:rtl/>
        </w:rPr>
      </w:pPr>
    </w:p>
    <w:p w14:paraId="163F66B3" w14:textId="77777777" w:rsidR="00B47E3B" w:rsidRDefault="00B47E3B" w:rsidP="00B47E3B">
      <w:pPr>
        <w:rPr>
          <w:b/>
          <w:bCs/>
          <w:u w:val="single"/>
          <w:rtl/>
        </w:rPr>
      </w:pPr>
      <w:r>
        <w:rPr>
          <w:b/>
          <w:bCs/>
          <w:u w:val="single"/>
          <w:rtl/>
        </w:rPr>
        <w:t>ראיות לעונש</w:t>
      </w:r>
    </w:p>
    <w:p w14:paraId="1953A451" w14:textId="77777777" w:rsidR="00B47E3B" w:rsidRDefault="00B47E3B" w:rsidP="00B47E3B">
      <w:pPr>
        <w:pStyle w:val="Ruller40"/>
        <w:numPr>
          <w:ilvl w:val="0"/>
          <w:numId w:val="1"/>
        </w:numPr>
        <w:tabs>
          <w:tab w:val="num" w:pos="907"/>
        </w:tabs>
        <w:ind w:left="0" w:firstLine="0"/>
        <w:rPr>
          <w:rFonts w:cs="David"/>
          <w:szCs w:val="24"/>
          <w:rtl/>
        </w:rPr>
      </w:pPr>
      <w:r>
        <w:rPr>
          <w:rFonts w:cs="David"/>
          <w:szCs w:val="24"/>
          <w:rtl/>
        </w:rPr>
        <w:t>מטעם המאשימה הוגשה החלטת בית משפט מת"פ 49017-07-20 בעניין שחרור הרכב (תע/1).</w:t>
      </w:r>
    </w:p>
    <w:p w14:paraId="38D36F40" w14:textId="77777777" w:rsidR="00B47E3B" w:rsidRPr="00B47E3B" w:rsidRDefault="00B47E3B" w:rsidP="00B47E3B">
      <w:pPr>
        <w:rPr>
          <w:rFonts w:cs="Arial"/>
          <w:szCs w:val="22"/>
          <w:rtl/>
        </w:rPr>
      </w:pPr>
    </w:p>
    <w:p w14:paraId="225FAA17" w14:textId="77777777" w:rsidR="00B47E3B" w:rsidRDefault="00B47E3B" w:rsidP="00B47E3B">
      <w:pPr>
        <w:pStyle w:val="Ruller40"/>
        <w:numPr>
          <w:ilvl w:val="0"/>
          <w:numId w:val="1"/>
        </w:numPr>
        <w:tabs>
          <w:tab w:val="num" w:pos="907"/>
        </w:tabs>
        <w:ind w:left="0" w:firstLine="0"/>
        <w:rPr>
          <w:rFonts w:cs="David"/>
          <w:szCs w:val="24"/>
          <w:rtl/>
        </w:rPr>
      </w:pPr>
      <w:r>
        <w:rPr>
          <w:rFonts w:cs="David"/>
          <w:szCs w:val="24"/>
          <w:rtl/>
        </w:rPr>
        <w:t xml:space="preserve">מטעם הנאשם </w:t>
      </w:r>
      <w:r w:rsidRPr="007F1060">
        <w:rPr>
          <w:rFonts w:cs="David"/>
          <w:szCs w:val="24"/>
          <w:rtl/>
        </w:rPr>
        <w:t>הוגש גזר דין מ</w:t>
      </w:r>
      <w:hyperlink r:id="rId21" w:history="1">
        <w:r w:rsidR="00E921B4" w:rsidRPr="00E921B4">
          <w:rPr>
            <w:rFonts w:cs="David" w:hint="cs"/>
            <w:color w:val="0000FF"/>
            <w:szCs w:val="24"/>
            <w:u w:val="single"/>
            <w:rtl/>
          </w:rPr>
          <w:t>ת</w:t>
        </w:r>
        <w:r w:rsidR="00E921B4" w:rsidRPr="00E921B4">
          <w:rPr>
            <w:rFonts w:cs="David"/>
            <w:color w:val="0000FF"/>
            <w:szCs w:val="24"/>
            <w:u w:val="single"/>
            <w:rtl/>
          </w:rPr>
          <w:t>"</w:t>
        </w:r>
        <w:r w:rsidR="00E921B4" w:rsidRPr="00E921B4">
          <w:rPr>
            <w:rFonts w:cs="David" w:hint="cs"/>
            <w:color w:val="0000FF"/>
            <w:szCs w:val="24"/>
            <w:u w:val="single"/>
            <w:rtl/>
          </w:rPr>
          <w:t>פ</w:t>
        </w:r>
        <w:r w:rsidR="00E921B4" w:rsidRPr="00E921B4">
          <w:rPr>
            <w:rFonts w:cs="David"/>
            <w:color w:val="0000FF"/>
            <w:szCs w:val="24"/>
            <w:u w:val="single"/>
            <w:rtl/>
          </w:rPr>
          <w:t xml:space="preserve"> 1760-05-21</w:t>
        </w:r>
      </w:hyperlink>
      <w:r w:rsidRPr="007F1060">
        <w:rPr>
          <w:rFonts w:cs="David"/>
          <w:szCs w:val="24"/>
          <w:rtl/>
        </w:rPr>
        <w:t xml:space="preserve"> </w:t>
      </w:r>
      <w:r w:rsidRPr="007F1060">
        <w:rPr>
          <w:rFonts w:cs="David"/>
          <w:b/>
          <w:bCs/>
          <w:szCs w:val="24"/>
          <w:rtl/>
        </w:rPr>
        <w:t>מדינת ישראל נ' ארביב ואח'</w:t>
      </w:r>
      <w:r>
        <w:rPr>
          <w:rFonts w:cs="David"/>
          <w:szCs w:val="24"/>
          <w:rtl/>
        </w:rPr>
        <w:t xml:space="preserve"> ונשמעה עדות אביו של הנאשם, מר' יגאל וקנין,</w:t>
      </w:r>
      <w:r>
        <w:rPr>
          <w:rFonts w:cs="David" w:hint="cs"/>
          <w:szCs w:val="24"/>
        </w:rPr>
        <w:t xml:space="preserve"> </w:t>
      </w:r>
      <w:r>
        <w:rPr>
          <w:rFonts w:cs="David"/>
          <w:szCs w:val="24"/>
          <w:rtl/>
        </w:rPr>
        <w:t xml:space="preserve">במועד הטיעונים לעונש. </w:t>
      </w:r>
    </w:p>
    <w:p w14:paraId="4B0D04E7" w14:textId="77777777" w:rsidR="00B47E3B" w:rsidRPr="00B47E3B" w:rsidRDefault="00B47E3B" w:rsidP="00B47E3B">
      <w:pPr>
        <w:rPr>
          <w:rFonts w:cs="Arial"/>
          <w:szCs w:val="22"/>
          <w:rtl/>
        </w:rPr>
      </w:pPr>
    </w:p>
    <w:p w14:paraId="4D81F5DF" w14:textId="77777777" w:rsidR="00B47E3B" w:rsidRDefault="00B47E3B" w:rsidP="00B47E3B">
      <w:pPr>
        <w:pStyle w:val="Ruller40"/>
        <w:numPr>
          <w:ilvl w:val="0"/>
          <w:numId w:val="1"/>
        </w:numPr>
        <w:tabs>
          <w:tab w:val="num" w:pos="907"/>
        </w:tabs>
        <w:ind w:left="0" w:firstLine="0"/>
        <w:rPr>
          <w:rFonts w:cs="David"/>
          <w:szCs w:val="24"/>
        </w:rPr>
      </w:pPr>
      <w:r>
        <w:rPr>
          <w:rFonts w:ascii="David" w:hAnsi="David" w:cs="David"/>
          <w:sz w:val="22"/>
          <w:szCs w:val="24"/>
          <w:rtl/>
        </w:rPr>
        <w:t>אביו</w:t>
      </w:r>
      <w:r>
        <w:rPr>
          <w:rFonts w:cs="David"/>
          <w:szCs w:val="24"/>
          <w:rtl/>
        </w:rPr>
        <w:t xml:space="preserve"> של הנאשם העיד כי הנאשם חווה בילדותו קשיים בלימודים, לא השתלב במסגרת לימודית וסובל מ-</w:t>
      </w:r>
      <w:r>
        <w:rPr>
          <w:rFonts w:cs="David"/>
          <w:szCs w:val="24"/>
        </w:rPr>
        <w:t>ADHD</w:t>
      </w:r>
      <w:r>
        <w:rPr>
          <w:rFonts w:cs="David"/>
          <w:szCs w:val="24"/>
          <w:rtl/>
        </w:rPr>
        <w:t xml:space="preserve">. אביו מסר כי הנאשם תפס עצמו בידיים ולמד במסגרת פנימייה צבאית ולטעמו ערך שינוי. אביו של הנאשם העיד כי הנאשם פתח עסק ובשל מגבלות הקורונה התרסק כלכלית ומכאן מעורבותו בעבירות נושא הליך זה. לדבריו, הנאשם מתחרט על מעשיו ונמצא במקום אחר היום. לבסוף, העיד אשר למצבה הרפואי של בתו של הנאשם ומבקש שבית משפט יסייע לו להמשיך בחייו. </w:t>
      </w:r>
    </w:p>
    <w:p w14:paraId="0DC251B1" w14:textId="77777777" w:rsidR="00B47E3B" w:rsidRPr="00B47E3B" w:rsidRDefault="00B47E3B" w:rsidP="00B47E3B">
      <w:pPr>
        <w:rPr>
          <w:rFonts w:cs="Arial"/>
          <w:szCs w:val="22"/>
          <w:rtl/>
        </w:rPr>
      </w:pPr>
    </w:p>
    <w:p w14:paraId="72C4B96E" w14:textId="77777777" w:rsidR="00B47E3B" w:rsidRDefault="00B47E3B" w:rsidP="00B47E3B">
      <w:pPr>
        <w:pStyle w:val="Ruller40"/>
        <w:numPr>
          <w:ilvl w:val="0"/>
          <w:numId w:val="1"/>
        </w:numPr>
        <w:tabs>
          <w:tab w:val="num" w:pos="907"/>
        </w:tabs>
        <w:ind w:left="0" w:firstLine="0"/>
        <w:rPr>
          <w:rFonts w:cs="David"/>
          <w:szCs w:val="24"/>
        </w:rPr>
      </w:pPr>
      <w:r>
        <w:rPr>
          <w:rFonts w:cs="David"/>
          <w:szCs w:val="24"/>
          <w:rtl/>
        </w:rPr>
        <w:t xml:space="preserve">מטעם הנאשם הוגשו מסמכים רפואיים הנוגעים לבתו הקטינה כבת 3, הסובלת ממחלה נדירה המתבטאת בהפרעה בקרישת הדם. מהמסכים הרפואיים שהוגשו עולה כי בתו של הנאשם עלולה לסבול מדימומים משמעותיים לאחר פציעות וחבלות. בתו של הנאשם מטופלת בטיפול מונע ייעודי לווריד. בעקבות כך, הבת זקוקה לליווי והשגחה אף במסגרות החינוך. </w:t>
      </w:r>
    </w:p>
    <w:p w14:paraId="000AB1C4" w14:textId="77777777" w:rsidR="00B47E3B" w:rsidRPr="00B47E3B" w:rsidRDefault="00B47E3B" w:rsidP="00B47E3B">
      <w:pPr>
        <w:rPr>
          <w:rFonts w:cs="Arial"/>
          <w:szCs w:val="22"/>
          <w:rtl/>
        </w:rPr>
      </w:pPr>
    </w:p>
    <w:p w14:paraId="355268F9" w14:textId="77777777" w:rsidR="00B47E3B" w:rsidRDefault="00B47E3B" w:rsidP="00B47E3B">
      <w:pPr>
        <w:rPr>
          <w:rFonts w:ascii="David" w:hAnsi="David"/>
          <w:b/>
          <w:bCs/>
          <w:u w:val="single"/>
          <w:rtl/>
        </w:rPr>
      </w:pPr>
      <w:r>
        <w:rPr>
          <w:rFonts w:ascii="David" w:hAnsi="David"/>
          <w:b/>
          <w:bCs/>
          <w:u w:val="single"/>
          <w:rtl/>
        </w:rPr>
        <w:t>תסקיר</w:t>
      </w:r>
      <w:r>
        <w:rPr>
          <w:rFonts w:ascii="David" w:hAnsi="David" w:hint="cs"/>
          <w:b/>
          <w:bCs/>
          <w:u w:val="single"/>
          <w:rtl/>
        </w:rPr>
        <w:t>י</w:t>
      </w:r>
      <w:r>
        <w:rPr>
          <w:rFonts w:ascii="David" w:hAnsi="David"/>
          <w:b/>
          <w:bCs/>
          <w:u w:val="single"/>
          <w:rtl/>
        </w:rPr>
        <w:t xml:space="preserve"> שירות המבחן</w:t>
      </w:r>
    </w:p>
    <w:p w14:paraId="3591D7D9" w14:textId="77777777" w:rsidR="00B47E3B" w:rsidRDefault="00B47E3B" w:rsidP="00B47E3B">
      <w:pPr>
        <w:rPr>
          <w:rFonts w:ascii="David" w:hAnsi="David"/>
          <w:b/>
          <w:bCs/>
          <w:u w:val="single"/>
          <w:rtl/>
        </w:rPr>
      </w:pPr>
    </w:p>
    <w:p w14:paraId="37127A92" w14:textId="77777777" w:rsidR="00B47E3B" w:rsidRDefault="00B47E3B" w:rsidP="00B47E3B">
      <w:pPr>
        <w:pStyle w:val="Ruller40"/>
        <w:numPr>
          <w:ilvl w:val="0"/>
          <w:numId w:val="1"/>
        </w:numPr>
        <w:tabs>
          <w:tab w:val="num" w:pos="907"/>
        </w:tabs>
        <w:ind w:left="0" w:firstLine="0"/>
        <w:rPr>
          <w:rFonts w:ascii="David" w:hAnsi="David" w:cs="David"/>
          <w:szCs w:val="24"/>
          <w:rtl/>
        </w:rPr>
      </w:pPr>
      <w:r>
        <w:rPr>
          <w:rFonts w:ascii="David" w:hAnsi="David" w:cs="David"/>
          <w:szCs w:val="24"/>
          <w:rtl/>
        </w:rPr>
        <w:t>בעניינו של הנאשם  הוגשו 3 תסקירים.</w:t>
      </w:r>
    </w:p>
    <w:p w14:paraId="5AF50B9A" w14:textId="77777777" w:rsidR="00B47E3B" w:rsidRPr="00B72987" w:rsidRDefault="00B47E3B" w:rsidP="00B47E3B">
      <w:pPr>
        <w:rPr>
          <w:rFonts w:eastAsia="Calibri"/>
        </w:rPr>
      </w:pPr>
    </w:p>
    <w:p w14:paraId="05CB079D" w14:textId="77777777" w:rsidR="00B47E3B" w:rsidRDefault="00B47E3B" w:rsidP="00B47E3B">
      <w:pPr>
        <w:pStyle w:val="Ruller40"/>
        <w:numPr>
          <w:ilvl w:val="0"/>
          <w:numId w:val="1"/>
        </w:numPr>
        <w:tabs>
          <w:tab w:val="num" w:pos="907"/>
        </w:tabs>
        <w:ind w:left="0" w:firstLine="0"/>
        <w:rPr>
          <w:rFonts w:ascii="David" w:hAnsi="David" w:cs="David"/>
        </w:rPr>
      </w:pPr>
      <w:r w:rsidRPr="00A43642">
        <w:rPr>
          <w:rFonts w:ascii="David" w:hAnsi="David" w:cs="David"/>
          <w:szCs w:val="24"/>
          <w:rtl/>
        </w:rPr>
        <w:t>ביום 29.5.2022 הוגש תסקיר שירות מבחן ראשון</w:t>
      </w:r>
      <w:r>
        <w:rPr>
          <w:rFonts w:ascii="David" w:hAnsi="David" w:cs="David" w:hint="cs"/>
          <w:szCs w:val="24"/>
          <w:rtl/>
        </w:rPr>
        <w:t xml:space="preserve">. </w:t>
      </w:r>
      <w:r>
        <w:rPr>
          <w:rFonts w:ascii="David" w:hAnsi="David" w:cs="David"/>
          <w:szCs w:val="24"/>
          <w:rtl/>
        </w:rPr>
        <w:t xml:space="preserve">מתסקיר זה עולה כי הנאשם, בן 30, נשוי ואב לפעוטה בת שנה ותשעה חודשים, מתגורר עם אשתו. מזה שנה שוהה הנאשם בתנאי מעצר בית. שירות המבחן פירט באריכות אודות ההרכב המשפחתי בו גדל הנאשם ובכלל זה את נסיבות חייו המורכבות. </w:t>
      </w:r>
    </w:p>
    <w:p w14:paraId="58EFBE64" w14:textId="77777777" w:rsidR="00B47E3B" w:rsidRPr="00B47E3B" w:rsidRDefault="00B47E3B" w:rsidP="00B47E3B">
      <w:pPr>
        <w:rPr>
          <w:rFonts w:ascii="Calibri" w:hAnsi="Calibri" w:cs="Arial"/>
          <w:rtl/>
        </w:rPr>
      </w:pPr>
    </w:p>
    <w:p w14:paraId="0067F08D" w14:textId="77777777" w:rsidR="00B47E3B" w:rsidRDefault="00B47E3B" w:rsidP="00B47E3B">
      <w:pPr>
        <w:pStyle w:val="Ruller40"/>
        <w:numPr>
          <w:ilvl w:val="0"/>
          <w:numId w:val="1"/>
        </w:numPr>
        <w:tabs>
          <w:tab w:val="num" w:pos="907"/>
        </w:tabs>
        <w:ind w:left="0" w:firstLine="0"/>
        <w:rPr>
          <w:rFonts w:ascii="David" w:hAnsi="David" w:cs="David"/>
        </w:rPr>
      </w:pPr>
      <w:r>
        <w:rPr>
          <w:rFonts w:ascii="David" w:hAnsi="David" w:cs="David"/>
          <w:szCs w:val="24"/>
          <w:rtl/>
        </w:rPr>
        <w:t>מהתסקיר עולה כי התקבל מידע בעניינו של הנאשם מהמרכז הירושלמי לבריאות הנפש ומהמרכז הקהילתי לבריאות הנפש בבית שמש. מהמידע עלה כי הנאשם עבר תאונת דרכים בשנת 2019 וכי הוא סובל מתסמינים פוסט-טראומתיים וכן מכאבים פיזיים כרוניים וצורך קנביס רפואי ברישיון.</w:t>
      </w:r>
    </w:p>
    <w:p w14:paraId="2E840C1E" w14:textId="77777777" w:rsidR="00B47E3B" w:rsidRPr="00B47E3B" w:rsidRDefault="00B47E3B" w:rsidP="00B47E3B">
      <w:pPr>
        <w:rPr>
          <w:rFonts w:ascii="Calibri" w:hAnsi="Calibri" w:cs="Arial"/>
          <w:rtl/>
        </w:rPr>
      </w:pPr>
    </w:p>
    <w:p w14:paraId="1AD1ABE6" w14:textId="77777777" w:rsidR="00B47E3B" w:rsidRDefault="00B47E3B" w:rsidP="00B47E3B">
      <w:pPr>
        <w:pStyle w:val="Ruller40"/>
        <w:numPr>
          <w:ilvl w:val="0"/>
          <w:numId w:val="1"/>
        </w:numPr>
        <w:tabs>
          <w:tab w:val="num" w:pos="907"/>
        </w:tabs>
        <w:ind w:left="0" w:firstLine="0"/>
        <w:rPr>
          <w:rFonts w:ascii="David" w:hAnsi="David" w:cs="David"/>
          <w:sz w:val="22"/>
          <w:szCs w:val="24"/>
          <w:rtl/>
        </w:rPr>
      </w:pPr>
      <w:r>
        <w:rPr>
          <w:rFonts w:ascii="David" w:hAnsi="David" w:cs="David"/>
          <w:b/>
          <w:bCs/>
          <w:sz w:val="22"/>
          <w:szCs w:val="24"/>
          <w:rtl/>
        </w:rPr>
        <w:tab/>
        <w:t>ייחסו לעבירות:</w:t>
      </w:r>
      <w:r>
        <w:rPr>
          <w:rFonts w:ascii="David" w:hAnsi="David" w:cs="David"/>
          <w:sz w:val="22"/>
          <w:szCs w:val="24"/>
          <w:rtl/>
        </w:rPr>
        <w:t xml:space="preserve"> בהתייחסותו לביצוע העבירות,  הנאשם הכיר בביצוע העבירות, תיאר תחושת אכזבה וחרטה על ביצוען. לצד זאת, שירות המבחן התרשם ממיקוד שליטה חיצוני כאשר הנאשם נוטה לתלות מעשיו בכך שנקלע למצב כלכלי קשה אשר לא הותיר לו ברירה אלא לפעול בדרך זו. שירות המבחן התרשם כי כיום, הנאשם מביע תובנה אשר להשלכות התנהלותו, ולשיקול הדעת המוטעה שהניע אותו וכי הוא מסוגל להתבונן כיום בביקורתיות על התנהלותו. כמו כן שירות המבחן התרשם כי הנאשם מורתע מההליך המשפטי המתנהל נגדו וכי הביע נכונות להשתלבות טיפולית. </w:t>
      </w:r>
    </w:p>
    <w:p w14:paraId="78BC65FA" w14:textId="77777777" w:rsidR="00B47E3B" w:rsidRPr="00B47E3B" w:rsidRDefault="00B47E3B" w:rsidP="00B47E3B">
      <w:pPr>
        <w:rPr>
          <w:rFonts w:ascii="Calibri" w:eastAsia="Calibri" w:hAnsi="Calibri" w:cs="Arial"/>
          <w:sz w:val="22"/>
          <w:szCs w:val="22"/>
          <w:rtl/>
        </w:rPr>
      </w:pPr>
    </w:p>
    <w:p w14:paraId="6EA11656" w14:textId="77777777" w:rsidR="00B47E3B" w:rsidRDefault="00B47E3B" w:rsidP="00B47E3B">
      <w:pPr>
        <w:pStyle w:val="Ruller40"/>
        <w:numPr>
          <w:ilvl w:val="0"/>
          <w:numId w:val="1"/>
        </w:numPr>
        <w:tabs>
          <w:tab w:val="num" w:pos="907"/>
        </w:tabs>
        <w:ind w:left="0" w:firstLine="0"/>
        <w:rPr>
          <w:rFonts w:ascii="David" w:hAnsi="David" w:cs="David"/>
          <w:szCs w:val="24"/>
          <w:u w:val="single"/>
        </w:rPr>
      </w:pPr>
      <w:r>
        <w:rPr>
          <w:rFonts w:ascii="David" w:hAnsi="David" w:cs="David"/>
          <w:b/>
          <w:bCs/>
          <w:szCs w:val="24"/>
          <w:rtl/>
        </w:rPr>
        <w:t>הערכת הסיכון לעבריינות והסיכוי לשיקום;</w:t>
      </w:r>
      <w:r>
        <w:rPr>
          <w:rFonts w:ascii="David" w:hAnsi="David" w:cs="David"/>
          <w:szCs w:val="24"/>
          <w:rtl/>
        </w:rPr>
        <w:t xml:space="preserve"> שירות המבחן התרשם כי עד לביצוע העבירות נשוא תיק זה, הנאשם התנהל באופן תקין. כמו כן התרשם שירות המבחן כי על אף נשירתו מהלימודים בגיל צעיר והקשיים הלימודיים והתנהגותיים שחווה, הצליח הנאשם להשלים לימודיו, להתגייס לצבא ולהשתלב במסגרות תעסוקה בצורה תקינה.</w:t>
      </w:r>
      <w:r>
        <w:rPr>
          <w:rFonts w:ascii="David" w:hAnsi="David" w:cs="David"/>
          <w:szCs w:val="24"/>
          <w:u w:val="single"/>
          <w:rtl/>
        </w:rPr>
        <w:t xml:space="preserve"> שירות המבחן עמד על גורמי הסיכוי ועל גורמי הסיכון הטמונים בנאשם. </w:t>
      </w:r>
    </w:p>
    <w:p w14:paraId="34E2DE73" w14:textId="77777777" w:rsidR="00B47E3B" w:rsidRDefault="00B47E3B" w:rsidP="00B47E3B">
      <w:pPr>
        <w:pStyle w:val="Ruller40"/>
        <w:rPr>
          <w:rFonts w:ascii="David" w:hAnsi="David" w:cs="David"/>
          <w:szCs w:val="24"/>
          <w:u w:val="single"/>
        </w:rPr>
      </w:pPr>
      <w:r>
        <w:rPr>
          <w:rFonts w:ascii="David" w:hAnsi="David" w:cs="David"/>
          <w:szCs w:val="24"/>
          <w:rtl/>
        </w:rPr>
        <w:t xml:space="preserve"> </w:t>
      </w:r>
      <w:r>
        <w:rPr>
          <w:rFonts w:ascii="David" w:hAnsi="David" w:cs="David" w:hint="cs"/>
          <w:szCs w:val="24"/>
          <w:rtl/>
        </w:rPr>
        <w:t xml:space="preserve">           </w:t>
      </w:r>
      <w:r>
        <w:rPr>
          <w:rFonts w:ascii="David" w:hAnsi="David" w:cs="David" w:hint="cs"/>
          <w:szCs w:val="24"/>
          <w:rtl/>
        </w:rPr>
        <w:tab/>
      </w:r>
      <w:r>
        <w:rPr>
          <w:rFonts w:ascii="David" w:hAnsi="David" w:cs="David" w:hint="cs"/>
          <w:szCs w:val="24"/>
          <w:u w:val="single"/>
          <w:rtl/>
        </w:rPr>
        <w:t>אשר לסיכויי השיקום</w:t>
      </w:r>
      <w:r>
        <w:rPr>
          <w:rFonts w:ascii="David" w:hAnsi="David" w:cs="David" w:hint="cs"/>
          <w:szCs w:val="24"/>
          <w:rtl/>
        </w:rPr>
        <w:t xml:space="preserve">; ציין שירות המבחן כי התרשם שהנאשם </w:t>
      </w:r>
      <w:r>
        <w:rPr>
          <w:rFonts w:ascii="David" w:hAnsi="David" w:cs="David" w:hint="cs"/>
          <w:b/>
          <w:bCs/>
          <w:szCs w:val="24"/>
          <w:rtl/>
        </w:rPr>
        <w:t xml:space="preserve">אינו מאופיין בקווי חשיבה והתנהגות עברייניים באופן מושרש, </w:t>
      </w:r>
      <w:r>
        <w:rPr>
          <w:rFonts w:ascii="David" w:hAnsi="David" w:cs="David" w:hint="cs"/>
          <w:szCs w:val="24"/>
          <w:rtl/>
        </w:rPr>
        <w:t>נעדר עבר פלילי, טרם מעורבותו הנוכחית בפלילים שמר הנאשם על אורח חיים ותיפקוד נורמטיבי, ההליך המשפטי ותחושת הבושה שמלווה את הנאשם מול משפחתו, הביאו לרתיעה ממשית. כמו כן, שירות המבחן ציין כי לקח בחשבון את העבודה שהנאשם פנה לעזרה בתחום בריאות הנפש באופן עצמאי.</w:t>
      </w:r>
      <w:r>
        <w:rPr>
          <w:rFonts w:ascii="David" w:hAnsi="David" w:cs="David" w:hint="cs"/>
          <w:szCs w:val="24"/>
          <w:u w:val="single"/>
          <w:rtl/>
        </w:rPr>
        <w:t xml:space="preserve"> </w:t>
      </w:r>
    </w:p>
    <w:p w14:paraId="7E7CA955" w14:textId="77777777" w:rsidR="00B47E3B" w:rsidRDefault="00B47E3B" w:rsidP="00B47E3B">
      <w:pPr>
        <w:pStyle w:val="Ruller40"/>
        <w:rPr>
          <w:rFonts w:ascii="David" w:hAnsi="David" w:cs="David"/>
          <w:szCs w:val="24"/>
          <w:u w:val="single"/>
          <w:rtl/>
        </w:rPr>
      </w:pPr>
      <w:r>
        <w:rPr>
          <w:rFonts w:ascii="David" w:hAnsi="David" w:cs="David"/>
          <w:szCs w:val="24"/>
          <w:rtl/>
        </w:rPr>
        <w:t xml:space="preserve"> </w:t>
      </w:r>
      <w:r>
        <w:rPr>
          <w:rFonts w:ascii="David" w:hAnsi="David" w:cs="David"/>
          <w:szCs w:val="24"/>
          <w:rtl/>
        </w:rPr>
        <w:tab/>
      </w:r>
      <w:r>
        <w:rPr>
          <w:rFonts w:ascii="David" w:hAnsi="David" w:cs="David"/>
          <w:szCs w:val="24"/>
          <w:u w:val="single"/>
          <w:rtl/>
        </w:rPr>
        <w:t>אשר לגורמי הסיכון;</w:t>
      </w:r>
      <w:r>
        <w:rPr>
          <w:rFonts w:ascii="David" w:hAnsi="David" w:cs="David"/>
          <w:szCs w:val="24"/>
          <w:rtl/>
        </w:rPr>
        <w:t xml:space="preserve"> שירות המבחן התרשם כי במהלך חייו חווה הנאשם משברים ואכזבות ונותרו בו משקעים רגשיים אשר באים לידי ביטוי בהצטברות של תחושות תסכול, כישלון ואכזבה עמן לא היטיב להתמודד בכוחות עצמו. שירות המבחן התרשם כי מצבו הנפשי של הנאשם בעקבות תאונת הדרכים שעבר, העצים את הפגיעה בתפקודו התקין. שירות המבחן התרשם כי לצד זאת שהנאשם יכול לנהל שיח פתוח וכנה ולפנות לגורמי טיפול לבקשת עזרה, נראה כי במצבים מסוימים מעדיף להתמודד עם קשייו לבד ובהיעדר כלים מתאימים לכך. שירות המבחן ציין כי כיום הנאשם לא נמצא בהליך טיפולי מתאים. </w:t>
      </w:r>
    </w:p>
    <w:p w14:paraId="0F790DA1" w14:textId="77777777" w:rsidR="00B47E3B" w:rsidRPr="00B47E3B" w:rsidRDefault="00B47E3B" w:rsidP="00B47E3B">
      <w:pPr>
        <w:rPr>
          <w:rFonts w:ascii="Calibri" w:hAnsi="Calibri" w:cs="Arial"/>
          <w:szCs w:val="22"/>
          <w:rtl/>
        </w:rPr>
      </w:pPr>
    </w:p>
    <w:p w14:paraId="320C94C2" w14:textId="77777777" w:rsidR="00B47E3B" w:rsidRDefault="00B47E3B" w:rsidP="00B47E3B">
      <w:pPr>
        <w:pStyle w:val="Ruller40"/>
        <w:numPr>
          <w:ilvl w:val="0"/>
          <w:numId w:val="1"/>
        </w:numPr>
        <w:tabs>
          <w:tab w:val="num" w:pos="907"/>
        </w:tabs>
        <w:ind w:left="0" w:firstLine="0"/>
        <w:rPr>
          <w:rFonts w:ascii="David" w:hAnsi="David" w:cs="David"/>
          <w:szCs w:val="24"/>
        </w:rPr>
      </w:pPr>
      <w:r>
        <w:rPr>
          <w:rFonts w:ascii="David" w:hAnsi="David" w:cs="David"/>
          <w:szCs w:val="24"/>
          <w:rtl/>
        </w:rPr>
        <w:t xml:space="preserve">במסגרת תסקירו הראשון ביקש שירות המבחן דחיה בת חודשיים לשם העמקת הקשר עם הנאשם, חזרתו לקבלת טיפול פסיכולוגי פרטני במסגרת המרכז לבריאות הנפש. </w:t>
      </w:r>
    </w:p>
    <w:p w14:paraId="27B3A3F4" w14:textId="77777777" w:rsidR="00B47E3B" w:rsidRDefault="00B47E3B" w:rsidP="00B47E3B">
      <w:pPr>
        <w:rPr>
          <w:rFonts w:ascii="David" w:hAnsi="David"/>
          <w:szCs w:val="22"/>
          <w:rtl/>
        </w:rPr>
      </w:pPr>
    </w:p>
    <w:p w14:paraId="31A59A70" w14:textId="77777777" w:rsidR="00B47E3B" w:rsidRDefault="00B47E3B" w:rsidP="00B47E3B">
      <w:pPr>
        <w:pStyle w:val="Ruller40"/>
        <w:numPr>
          <w:ilvl w:val="0"/>
          <w:numId w:val="1"/>
        </w:numPr>
        <w:tabs>
          <w:tab w:val="num" w:pos="907"/>
        </w:tabs>
        <w:ind w:left="0" w:firstLine="0"/>
        <w:rPr>
          <w:rFonts w:ascii="David" w:hAnsi="David" w:cs="David"/>
          <w:szCs w:val="24"/>
          <w:rtl/>
        </w:rPr>
      </w:pPr>
      <w:r>
        <w:rPr>
          <w:rFonts w:ascii="David" w:hAnsi="David" w:cs="David"/>
          <w:b/>
          <w:bCs/>
          <w:szCs w:val="24"/>
          <w:u w:val="single"/>
          <w:rtl/>
        </w:rPr>
        <w:t>ביום 4.9.2022</w:t>
      </w:r>
      <w:r>
        <w:rPr>
          <w:rFonts w:ascii="David" w:hAnsi="David" w:cs="David"/>
          <w:b/>
          <w:bCs/>
          <w:szCs w:val="24"/>
          <w:rtl/>
        </w:rPr>
        <w:t xml:space="preserve"> </w:t>
      </w:r>
      <w:r>
        <w:rPr>
          <w:rFonts w:ascii="David" w:hAnsi="David" w:cs="David"/>
          <w:szCs w:val="24"/>
          <w:rtl/>
        </w:rPr>
        <w:t xml:space="preserve">הוגש תסקיר משלים ממנו עולה כי הנאשם פנה לקבלת טיפול פסיכולוגי במספר מסגרות. אולם, טרם קיבל תשובות ממסגרות הטיפול והוא נמצא ברשימות המתנה לקליטה לטיפול. שירות המבחן ציין כי הנאשם עומד בקשר עמם ומשתף פעולה. </w:t>
      </w:r>
    </w:p>
    <w:p w14:paraId="39228983" w14:textId="77777777" w:rsidR="00B47E3B" w:rsidRDefault="00B47E3B" w:rsidP="00B47E3B">
      <w:pPr>
        <w:rPr>
          <w:rFonts w:ascii="David" w:hAnsi="David"/>
          <w:spacing w:val="10"/>
          <w:rtl/>
        </w:rPr>
      </w:pPr>
    </w:p>
    <w:p w14:paraId="7D0243B9" w14:textId="77777777" w:rsidR="00B47E3B" w:rsidRDefault="00B47E3B" w:rsidP="00B47E3B">
      <w:pPr>
        <w:pStyle w:val="Ruller40"/>
        <w:numPr>
          <w:ilvl w:val="0"/>
          <w:numId w:val="1"/>
        </w:numPr>
        <w:tabs>
          <w:tab w:val="num" w:pos="907"/>
        </w:tabs>
        <w:ind w:left="0" w:firstLine="0"/>
        <w:rPr>
          <w:rFonts w:ascii="David" w:hAnsi="David" w:cs="David"/>
          <w:sz w:val="22"/>
          <w:szCs w:val="24"/>
          <w:rtl/>
        </w:rPr>
      </w:pPr>
      <w:r>
        <w:rPr>
          <w:rFonts w:ascii="David" w:hAnsi="David" w:cs="David"/>
          <w:szCs w:val="24"/>
          <w:rtl/>
        </w:rPr>
        <w:t xml:space="preserve">נוכח האמור לעיל, ובשל שיתוף הפעולה של הנאשם ונכונותו להשתלב בהליך טיפולי שיסייע לשיקום מצבו הרגשי, שירות המבחן בא בהמלצה להטיל על הנאשם ענישה מוחשית שתבוצע במסגרת עבודות שירות לפרק זמן קצר. כמו כן, שירות המבחן המליץ על צו מבחן למשך שנה ועונש מאסר מותנה כגורם מרתיע לעתיד. </w:t>
      </w:r>
    </w:p>
    <w:p w14:paraId="5AED07F1" w14:textId="77777777" w:rsidR="00B47E3B" w:rsidRDefault="00B47E3B" w:rsidP="00B47E3B">
      <w:pPr>
        <w:pStyle w:val="Ruller40"/>
        <w:rPr>
          <w:rFonts w:ascii="David" w:hAnsi="David" w:cs="David"/>
          <w:sz w:val="22"/>
          <w:szCs w:val="24"/>
        </w:rPr>
      </w:pPr>
      <w:r>
        <w:rPr>
          <w:rFonts w:ascii="David" w:hAnsi="David" w:cs="David"/>
          <w:szCs w:val="24"/>
          <w:rtl/>
        </w:rPr>
        <w:t xml:space="preserve"> </w:t>
      </w:r>
    </w:p>
    <w:p w14:paraId="52568C94" w14:textId="77777777" w:rsidR="00B47E3B" w:rsidRDefault="00B47E3B" w:rsidP="00B47E3B">
      <w:pPr>
        <w:pStyle w:val="Ruller40"/>
        <w:numPr>
          <w:ilvl w:val="0"/>
          <w:numId w:val="1"/>
        </w:numPr>
        <w:tabs>
          <w:tab w:val="num" w:pos="907"/>
        </w:tabs>
        <w:ind w:left="0" w:firstLine="0"/>
        <w:rPr>
          <w:rFonts w:ascii="David" w:hAnsi="David" w:cs="David"/>
          <w:sz w:val="22"/>
          <w:szCs w:val="24"/>
        </w:rPr>
      </w:pPr>
      <w:r>
        <w:rPr>
          <w:rFonts w:ascii="David" w:hAnsi="David" w:cs="David"/>
          <w:b/>
          <w:bCs/>
          <w:szCs w:val="24"/>
          <w:u w:val="single"/>
          <w:rtl/>
        </w:rPr>
        <w:t>ביום 19.02.2023</w:t>
      </w:r>
      <w:r>
        <w:rPr>
          <w:rFonts w:ascii="David" w:hAnsi="David" w:cs="David"/>
          <w:szCs w:val="24"/>
          <w:rtl/>
        </w:rPr>
        <w:t xml:space="preserve"> הוגש תסקיר משלים נוסף ולפיו הנאשם</w:t>
      </w:r>
      <w:r>
        <w:rPr>
          <w:rFonts w:ascii="David" w:hAnsi="David" w:cs="David"/>
          <w:sz w:val="22"/>
          <w:szCs w:val="24"/>
          <w:rtl/>
        </w:rPr>
        <w:t xml:space="preserve"> קיבל אישור המסדיר את מימון המשך הטיפול הפסיכולוגי במרפאה לבריאות הנפש בבית שמש ועתיד לשוב לטיפול ביום 21.2.2023. כמו כן, שירות המבחן ציין כי בפגישה עם הנאשם, הדגיש הנאשם את היותו מפרנס יחיד, אב לילדה נכה והמשאבים הנדרשים לטיפולה. שירות המבחן ציין כי התרשמו בכנות דבריו של הנאשם. שירות המבחן התרשם כי נדרשת הערכה מחודשת ביחס להמלצתם שכן לעונש מאסר בדרך של עבודות שירות תהיינה השלכות קשות על חייו וחיי בתו של הנאשם. </w:t>
      </w:r>
    </w:p>
    <w:p w14:paraId="5D5BF669" w14:textId="77777777" w:rsidR="00B47E3B" w:rsidRPr="00B47E3B" w:rsidRDefault="00B47E3B" w:rsidP="00B47E3B">
      <w:pPr>
        <w:rPr>
          <w:rFonts w:ascii="Calibri" w:hAnsi="Calibri" w:cs="Arial"/>
          <w:sz w:val="22"/>
          <w:szCs w:val="22"/>
          <w:rtl/>
        </w:rPr>
      </w:pPr>
    </w:p>
    <w:p w14:paraId="2C090285" w14:textId="77777777" w:rsidR="00B47E3B" w:rsidRDefault="00B47E3B" w:rsidP="00B47E3B">
      <w:pPr>
        <w:pStyle w:val="Ruller40"/>
        <w:numPr>
          <w:ilvl w:val="0"/>
          <w:numId w:val="1"/>
        </w:numPr>
        <w:tabs>
          <w:tab w:val="num" w:pos="907"/>
        </w:tabs>
        <w:ind w:left="0" w:firstLine="0"/>
        <w:rPr>
          <w:rFonts w:ascii="David" w:hAnsi="David" w:cs="David"/>
          <w:sz w:val="22"/>
          <w:szCs w:val="24"/>
        </w:rPr>
      </w:pPr>
      <w:r>
        <w:rPr>
          <w:rFonts w:ascii="David" w:hAnsi="David" w:cs="David"/>
          <w:sz w:val="22"/>
          <w:szCs w:val="24"/>
          <w:rtl/>
        </w:rPr>
        <w:t xml:space="preserve">נוכח האמור לעיל, שירות המבחן המליץ על ענישה חינוכית מוחשית בדרך של צו שירות לתועלת הציבור בהיקף נרחב של 200 שעות כחלופה לעונש מאסר בדרך של עבודות שירות. זאת, לצד הטלת צו מבחן למשך שנה אשר ישא אופי פיקוחי על הטיפול בבריאות הנפש, לצד ענישה מותנית הצופה פני עתיד. </w:t>
      </w:r>
    </w:p>
    <w:p w14:paraId="70B28320" w14:textId="77777777" w:rsidR="00B47E3B" w:rsidRPr="00B47E3B" w:rsidRDefault="00B47E3B" w:rsidP="00B47E3B">
      <w:pPr>
        <w:rPr>
          <w:rFonts w:ascii="Calibri" w:hAnsi="Calibri" w:cs="Arial"/>
          <w:sz w:val="22"/>
          <w:szCs w:val="22"/>
        </w:rPr>
      </w:pPr>
    </w:p>
    <w:p w14:paraId="0B5D6887" w14:textId="77777777" w:rsidR="00B47E3B" w:rsidRPr="00B47E3B" w:rsidRDefault="00B47E3B" w:rsidP="00B47E3B">
      <w:pPr>
        <w:spacing w:line="360" w:lineRule="auto"/>
        <w:rPr>
          <w:rFonts w:ascii="Arial" w:hAnsi="Arial"/>
          <w:b/>
          <w:bCs/>
          <w:u w:val="single"/>
          <w:rtl/>
        </w:rPr>
      </w:pPr>
      <w:r w:rsidRPr="00B47E3B">
        <w:rPr>
          <w:rFonts w:ascii="Arial" w:hAnsi="Arial"/>
          <w:b/>
          <w:bCs/>
          <w:u w:val="single"/>
          <w:rtl/>
        </w:rPr>
        <w:t xml:space="preserve">עיקרי טיעוני הצדדים </w:t>
      </w:r>
    </w:p>
    <w:p w14:paraId="197FA6F0" w14:textId="77777777" w:rsidR="00B47E3B" w:rsidRDefault="00B47E3B" w:rsidP="00B47E3B">
      <w:pPr>
        <w:pStyle w:val="Ruller40"/>
        <w:numPr>
          <w:ilvl w:val="0"/>
          <w:numId w:val="1"/>
        </w:numPr>
        <w:tabs>
          <w:tab w:val="num" w:pos="907"/>
        </w:tabs>
        <w:ind w:left="0" w:firstLine="0"/>
        <w:rPr>
          <w:rFonts w:cs="David"/>
          <w:b/>
          <w:bCs/>
          <w:szCs w:val="24"/>
          <w:rtl/>
        </w:rPr>
      </w:pPr>
      <w:r>
        <w:rPr>
          <w:rFonts w:cs="David"/>
          <w:szCs w:val="24"/>
          <w:rtl/>
        </w:rPr>
        <w:t>ב"כ המאשימה עמד בטיעוניו על עובדות כתב האישום המתוקן, שבהן הודה הנאשם ועל הערך המוגן בעבירות בהן הורשע הנאשם. לטענת המאשימה, יש לקבוע מתחם נפרד ביחס לכל אחד מהאישומים בהם הורשע הנאשם. אשר לאישום הראשון, עתרה המאשימה לקבוע מתחם עונש הולם הנע בין 8 עד 18 חודשי מאסר בפועל. עבור אישומים 2-7 עתרה המאשימה לקבוע מתחם עונש הולם הנע בין 4 ל-12 חודשי מאסר בפועל, לכל אישום בנפרד.</w:t>
      </w:r>
      <w:r>
        <w:rPr>
          <w:rFonts w:cs="David" w:hint="cs"/>
          <w:b/>
          <w:bCs/>
          <w:szCs w:val="24"/>
          <w:rtl/>
        </w:rPr>
        <w:t xml:space="preserve"> </w:t>
      </w:r>
      <w:r>
        <w:rPr>
          <w:rFonts w:cs="David"/>
          <w:szCs w:val="24"/>
          <w:rtl/>
        </w:rPr>
        <w:t>בתמיכה לטענותיו הפנה ב"כ ה</w:t>
      </w:r>
      <w:r>
        <w:rPr>
          <w:rFonts w:cs="David" w:hint="cs"/>
          <w:szCs w:val="24"/>
          <w:rtl/>
        </w:rPr>
        <w:t>מאשימה</w:t>
      </w:r>
      <w:r>
        <w:rPr>
          <w:rFonts w:cs="David"/>
          <w:szCs w:val="24"/>
          <w:rtl/>
        </w:rPr>
        <w:t xml:space="preserve"> לגזרי הדין הבאים</w:t>
      </w:r>
      <w:r>
        <w:rPr>
          <w:rFonts w:cs="David" w:hint="cs"/>
          <w:szCs w:val="24"/>
          <w:rtl/>
        </w:rPr>
        <w:t>:</w:t>
      </w:r>
      <w:r>
        <w:rPr>
          <w:rFonts w:cs="David" w:hint="cs"/>
          <w:b/>
          <w:bCs/>
          <w:szCs w:val="24"/>
          <w:rtl/>
        </w:rPr>
        <w:t xml:space="preserve"> </w:t>
      </w:r>
      <w:hyperlink r:id="rId22" w:history="1">
        <w:r w:rsidR="00E921B4" w:rsidRPr="00E921B4">
          <w:rPr>
            <w:rFonts w:cs="David" w:hint="cs"/>
            <w:color w:val="0000FF"/>
            <w:szCs w:val="24"/>
            <w:u w:val="single"/>
            <w:rtl/>
          </w:rPr>
          <w:t>רע</w:t>
        </w:r>
        <w:r w:rsidR="00E921B4" w:rsidRPr="00E921B4">
          <w:rPr>
            <w:rFonts w:cs="David"/>
            <w:color w:val="0000FF"/>
            <w:szCs w:val="24"/>
            <w:u w:val="single"/>
            <w:rtl/>
          </w:rPr>
          <w:t>"</w:t>
        </w:r>
        <w:r w:rsidR="00E921B4" w:rsidRPr="00E921B4">
          <w:rPr>
            <w:rFonts w:cs="David" w:hint="cs"/>
            <w:color w:val="0000FF"/>
            <w:szCs w:val="24"/>
            <w:u w:val="single"/>
            <w:rtl/>
          </w:rPr>
          <w:t>פ</w:t>
        </w:r>
        <w:r w:rsidR="00E921B4" w:rsidRPr="00E921B4">
          <w:rPr>
            <w:rFonts w:cs="David"/>
            <w:color w:val="0000FF"/>
            <w:szCs w:val="24"/>
            <w:u w:val="single"/>
            <w:rtl/>
          </w:rPr>
          <w:t xml:space="preserve"> 5698/17</w:t>
        </w:r>
      </w:hyperlink>
      <w:r w:rsidRPr="00CD2C40">
        <w:rPr>
          <w:rFonts w:cs="David" w:hint="cs"/>
          <w:szCs w:val="24"/>
          <w:rtl/>
        </w:rPr>
        <w:t xml:space="preserve"> </w:t>
      </w:r>
      <w:r>
        <w:rPr>
          <w:rFonts w:cs="David" w:hint="cs"/>
          <w:b/>
          <w:bCs/>
          <w:szCs w:val="24"/>
          <w:rtl/>
        </w:rPr>
        <w:t xml:space="preserve">מיכאל ליפצר נ' מדינת ישראל; </w:t>
      </w:r>
      <w:hyperlink r:id="rId23" w:history="1">
        <w:r w:rsidR="00E921B4" w:rsidRPr="00E921B4">
          <w:rPr>
            <w:rFonts w:cs="David" w:hint="cs"/>
            <w:color w:val="0000FF"/>
            <w:szCs w:val="24"/>
            <w:u w:val="single"/>
            <w:rtl/>
          </w:rPr>
          <w:t>רע</w:t>
        </w:r>
        <w:r w:rsidR="00E921B4" w:rsidRPr="00E921B4">
          <w:rPr>
            <w:rFonts w:cs="David"/>
            <w:color w:val="0000FF"/>
            <w:szCs w:val="24"/>
            <w:u w:val="single"/>
            <w:rtl/>
          </w:rPr>
          <w:t>"</w:t>
        </w:r>
        <w:r w:rsidR="00E921B4" w:rsidRPr="00E921B4">
          <w:rPr>
            <w:rFonts w:cs="David" w:hint="cs"/>
            <w:color w:val="0000FF"/>
            <w:szCs w:val="24"/>
            <w:u w:val="single"/>
            <w:rtl/>
          </w:rPr>
          <w:t>פ</w:t>
        </w:r>
        <w:r w:rsidR="00E921B4" w:rsidRPr="00E921B4">
          <w:rPr>
            <w:rFonts w:cs="David"/>
            <w:color w:val="0000FF"/>
            <w:szCs w:val="24"/>
            <w:u w:val="single"/>
            <w:rtl/>
          </w:rPr>
          <w:t xml:space="preserve"> 4880/14</w:t>
        </w:r>
      </w:hyperlink>
      <w:r>
        <w:rPr>
          <w:rFonts w:cs="David" w:hint="cs"/>
          <w:b/>
          <w:bCs/>
          <w:szCs w:val="24"/>
          <w:rtl/>
        </w:rPr>
        <w:t xml:space="preserve"> אברהם עבד אלהאדי נ' מדינת ישראל; </w:t>
      </w:r>
      <w:hyperlink r:id="rId24" w:history="1">
        <w:r w:rsidR="00E921B4" w:rsidRPr="00E921B4">
          <w:rPr>
            <w:rFonts w:cs="David" w:hint="cs"/>
            <w:color w:val="0000FF"/>
            <w:szCs w:val="24"/>
            <w:u w:val="single"/>
            <w:rtl/>
          </w:rPr>
          <w:t>רע</w:t>
        </w:r>
        <w:r w:rsidR="00E921B4" w:rsidRPr="00E921B4">
          <w:rPr>
            <w:rFonts w:cs="David"/>
            <w:color w:val="0000FF"/>
            <w:szCs w:val="24"/>
            <w:u w:val="single"/>
            <w:rtl/>
          </w:rPr>
          <w:t>"</w:t>
        </w:r>
        <w:r w:rsidR="00E921B4" w:rsidRPr="00E921B4">
          <w:rPr>
            <w:rFonts w:cs="David" w:hint="cs"/>
            <w:color w:val="0000FF"/>
            <w:szCs w:val="24"/>
            <w:u w:val="single"/>
            <w:rtl/>
          </w:rPr>
          <w:t>פ</w:t>
        </w:r>
        <w:r w:rsidR="00E921B4" w:rsidRPr="00E921B4">
          <w:rPr>
            <w:rFonts w:cs="David"/>
            <w:color w:val="0000FF"/>
            <w:szCs w:val="24"/>
            <w:u w:val="single"/>
            <w:rtl/>
          </w:rPr>
          <w:t xml:space="preserve"> 3653/14</w:t>
        </w:r>
      </w:hyperlink>
      <w:r>
        <w:rPr>
          <w:rFonts w:cs="David" w:hint="cs"/>
          <w:b/>
          <w:bCs/>
          <w:szCs w:val="24"/>
          <w:rtl/>
        </w:rPr>
        <w:t xml:space="preserve"> עזרא שמביק נ' מדינת ישראל. </w:t>
      </w:r>
    </w:p>
    <w:p w14:paraId="5133F8E3" w14:textId="77777777" w:rsidR="00B47E3B" w:rsidRPr="001B727A" w:rsidRDefault="00B47E3B" w:rsidP="00B47E3B"/>
    <w:p w14:paraId="51E0030A" w14:textId="77777777" w:rsidR="00B47E3B" w:rsidRDefault="00B47E3B" w:rsidP="00B47E3B">
      <w:pPr>
        <w:pStyle w:val="Ruller40"/>
        <w:numPr>
          <w:ilvl w:val="0"/>
          <w:numId w:val="1"/>
        </w:numPr>
        <w:tabs>
          <w:tab w:val="num" w:pos="907"/>
        </w:tabs>
        <w:ind w:left="0" w:firstLine="0"/>
        <w:rPr>
          <w:rFonts w:cs="David"/>
          <w:b/>
          <w:bCs/>
          <w:szCs w:val="24"/>
        </w:rPr>
      </w:pPr>
      <w:r>
        <w:rPr>
          <w:rFonts w:cs="David"/>
          <w:szCs w:val="24"/>
          <w:rtl/>
        </w:rPr>
        <w:t xml:space="preserve"> אשר לגזירת עונשו של הנאשם בתוך מתחם העונש ההולם ציין ב"כ המאשימה כי נוכח נטילת האחריות וחלוף הזמן, יש למקם את הנאשם בתחתית המתחם ולגזור עליו 28 חודשי מאסר בפועל, מאסר על תנאי, קנס, התחייבות, פסילת רישיון ופסילה על תנאי. כמו כן עתרה המאשימה להכריז על הנאשם כסוחר סמים, לחלט בהסכמה את הכסף שנתפס, להשמיד בהסכמה את הסמים ואת הפלאפונים שנתפסו </w:t>
      </w:r>
      <w:r>
        <w:rPr>
          <w:rFonts w:cs="David"/>
          <w:b/>
          <w:bCs/>
          <w:szCs w:val="24"/>
          <w:rtl/>
        </w:rPr>
        <w:t xml:space="preserve">ולחלט את הרכב שבו הוחזקו הסמים. </w:t>
      </w:r>
    </w:p>
    <w:p w14:paraId="19E18A06" w14:textId="77777777" w:rsidR="00B47E3B" w:rsidRPr="00B47E3B" w:rsidRDefault="00B47E3B" w:rsidP="00B47E3B">
      <w:pPr>
        <w:rPr>
          <w:rFonts w:cs="Arial"/>
          <w:szCs w:val="22"/>
          <w:rtl/>
        </w:rPr>
      </w:pPr>
    </w:p>
    <w:p w14:paraId="7C78D786" w14:textId="77777777" w:rsidR="00B47E3B" w:rsidRDefault="00B47E3B" w:rsidP="00B47E3B">
      <w:pPr>
        <w:pStyle w:val="Ruller40"/>
        <w:numPr>
          <w:ilvl w:val="0"/>
          <w:numId w:val="1"/>
        </w:numPr>
        <w:tabs>
          <w:tab w:val="num" w:pos="907"/>
        </w:tabs>
        <w:ind w:left="0" w:firstLine="0"/>
        <w:rPr>
          <w:rFonts w:cs="David"/>
          <w:szCs w:val="24"/>
          <w:rtl/>
        </w:rPr>
      </w:pPr>
      <w:r>
        <w:rPr>
          <w:rFonts w:cs="David"/>
          <w:szCs w:val="24"/>
          <w:rtl/>
        </w:rPr>
        <w:t xml:space="preserve">אשר לחילוט הרכב, טען ב"כ המאשימה כי ברכב נתפס סם מסוג קנבוס כשהוא מחולק בקופסא ל-19 שקיות חלוקה. לטענת המאשימה אין חולק כי הרכב שימש את הנאשם לביצוע העבירה, הן בשינוע והן בהחזקת הסמים. ב"כ המאשימה טען כי הרכב שוחרר בעקבות בקשת ב"כ הנאשם על מנת לאפשר לנאשם להמשיך בשגרת חייו. לטענתו, הכסף שהופקד בתמורה לשחרור הרכב, לא נועד לשמש תחליף לחילוט הרכב ולראיה, ניתן צו איסור דיספוזיציה והוטל עיקול על הרכב. שווי הרכב כיום לפי מחירון לוי יצחק הינו 75,000 ₪. </w:t>
      </w:r>
    </w:p>
    <w:p w14:paraId="42F13D98" w14:textId="77777777" w:rsidR="00B47E3B" w:rsidRDefault="00B47E3B" w:rsidP="00B47E3B">
      <w:pPr>
        <w:pStyle w:val="Ruller40"/>
        <w:rPr>
          <w:rFonts w:cs="David"/>
          <w:szCs w:val="24"/>
          <w:rtl/>
        </w:rPr>
      </w:pPr>
    </w:p>
    <w:p w14:paraId="3BD4CB42" w14:textId="77777777" w:rsidR="00B47E3B" w:rsidRDefault="00B47E3B" w:rsidP="00B47E3B">
      <w:pPr>
        <w:pStyle w:val="Ruller40"/>
        <w:numPr>
          <w:ilvl w:val="0"/>
          <w:numId w:val="1"/>
        </w:numPr>
        <w:tabs>
          <w:tab w:val="num" w:pos="907"/>
        </w:tabs>
        <w:ind w:left="0" w:firstLine="0"/>
        <w:rPr>
          <w:rFonts w:cs="David"/>
          <w:szCs w:val="24"/>
          <w:rtl/>
        </w:rPr>
      </w:pPr>
      <w:r>
        <w:rPr>
          <w:rFonts w:cs="David"/>
          <w:szCs w:val="24"/>
          <w:rtl/>
        </w:rPr>
        <w:t>ב"כ הנאשם ביקש לאמץ את המלצת שירות המבחן נוכח הליך שיקומי ארוך שעבר הנאשם. כמו כן, עמד ב"כ הנאשם על נסיבותיו האישיות והמשפחתיות של הנאשם ובכלל זה: בתו סובלת מבעיות רפואיות קשות;  הנאשם, אדם נורמטיבי שנתקל בקשיים כלכלים קשים, נטל אחריות על מעשיו ומבין את הפסול שבמעשה . נוכח אלו, עתר ב"כ הנאשם לגזור את דינו של הנאשם תוך סטייה ממתחם העונש ההולם כך שיתאפשר לנאשם להמשיך לעבוד ולכלכל את משפחתו. בתמיכה לטענותיו הפנה ב"כ הנאשם לגזרי הדין הבאים:</w:t>
      </w:r>
      <w:r>
        <w:rPr>
          <w:rFonts w:cs="David"/>
          <w:b/>
          <w:bCs/>
          <w:szCs w:val="24"/>
          <w:rtl/>
        </w:rPr>
        <w:t xml:space="preserve"> </w:t>
      </w:r>
      <w:hyperlink r:id="rId25" w:history="1">
        <w:r w:rsidR="00E921B4" w:rsidRPr="00E921B4">
          <w:rPr>
            <w:rFonts w:cs="David" w:hint="cs"/>
            <w:color w:val="0000FF"/>
            <w:szCs w:val="24"/>
            <w:u w:val="single"/>
            <w:rtl/>
          </w:rPr>
          <w:t>ת</w:t>
        </w:r>
        <w:r w:rsidR="00E921B4" w:rsidRPr="00E921B4">
          <w:rPr>
            <w:rFonts w:cs="David"/>
            <w:color w:val="0000FF"/>
            <w:szCs w:val="24"/>
            <w:u w:val="single"/>
            <w:rtl/>
          </w:rPr>
          <w:t>"</w:t>
        </w:r>
        <w:r w:rsidR="00E921B4" w:rsidRPr="00E921B4">
          <w:rPr>
            <w:rFonts w:cs="David" w:hint="cs"/>
            <w:color w:val="0000FF"/>
            <w:szCs w:val="24"/>
            <w:u w:val="single"/>
            <w:rtl/>
          </w:rPr>
          <w:t>פ</w:t>
        </w:r>
        <w:r w:rsidR="00E921B4" w:rsidRPr="00E921B4">
          <w:rPr>
            <w:rFonts w:cs="David"/>
            <w:color w:val="0000FF"/>
            <w:szCs w:val="24"/>
            <w:u w:val="single"/>
            <w:rtl/>
          </w:rPr>
          <w:t xml:space="preserve"> 17948-09-17</w:t>
        </w:r>
      </w:hyperlink>
      <w:r>
        <w:rPr>
          <w:rFonts w:cs="David"/>
          <w:b/>
          <w:bCs/>
          <w:szCs w:val="24"/>
          <w:rtl/>
        </w:rPr>
        <w:t xml:space="preserve"> מדינת ישראל נ' אופק סיאני; </w:t>
      </w:r>
      <w:hyperlink r:id="rId26" w:history="1">
        <w:r w:rsidR="00E921B4" w:rsidRPr="00E921B4">
          <w:rPr>
            <w:rFonts w:cs="David" w:hint="cs"/>
            <w:color w:val="0000FF"/>
            <w:szCs w:val="24"/>
            <w:u w:val="single"/>
            <w:rtl/>
          </w:rPr>
          <w:t>ת</w:t>
        </w:r>
        <w:r w:rsidR="00E921B4" w:rsidRPr="00E921B4">
          <w:rPr>
            <w:rFonts w:cs="David"/>
            <w:color w:val="0000FF"/>
            <w:szCs w:val="24"/>
            <w:u w:val="single"/>
            <w:rtl/>
          </w:rPr>
          <w:t>"</w:t>
        </w:r>
        <w:r w:rsidR="00E921B4" w:rsidRPr="00E921B4">
          <w:rPr>
            <w:rFonts w:cs="David" w:hint="cs"/>
            <w:color w:val="0000FF"/>
            <w:szCs w:val="24"/>
            <w:u w:val="single"/>
            <w:rtl/>
          </w:rPr>
          <w:t>פ</w:t>
        </w:r>
        <w:r w:rsidR="00E921B4" w:rsidRPr="00E921B4">
          <w:rPr>
            <w:rFonts w:cs="David"/>
            <w:color w:val="0000FF"/>
            <w:szCs w:val="24"/>
            <w:u w:val="single"/>
            <w:rtl/>
          </w:rPr>
          <w:t xml:space="preserve"> 8960-10-20</w:t>
        </w:r>
      </w:hyperlink>
      <w:r>
        <w:rPr>
          <w:rFonts w:cs="David"/>
          <w:b/>
          <w:bCs/>
          <w:szCs w:val="24"/>
          <w:rtl/>
        </w:rPr>
        <w:t xml:space="preserve"> פרקליטות מחוז ירושלים (פלילי) נ' אדיר בוחבוט; </w:t>
      </w:r>
      <w:hyperlink r:id="rId27" w:history="1">
        <w:r w:rsidR="00E921B4" w:rsidRPr="00E921B4">
          <w:rPr>
            <w:rFonts w:cs="David" w:hint="cs"/>
            <w:color w:val="0000FF"/>
            <w:szCs w:val="24"/>
            <w:u w:val="single"/>
            <w:rtl/>
          </w:rPr>
          <w:t>עפ</w:t>
        </w:r>
        <w:r w:rsidR="00E921B4" w:rsidRPr="00E921B4">
          <w:rPr>
            <w:rFonts w:cs="David"/>
            <w:color w:val="0000FF"/>
            <w:szCs w:val="24"/>
            <w:u w:val="single"/>
            <w:rtl/>
          </w:rPr>
          <w:t>"</w:t>
        </w:r>
        <w:r w:rsidR="00E921B4" w:rsidRPr="00E921B4">
          <w:rPr>
            <w:rFonts w:cs="David" w:hint="cs"/>
            <w:color w:val="0000FF"/>
            <w:szCs w:val="24"/>
            <w:u w:val="single"/>
            <w:rtl/>
          </w:rPr>
          <w:t>ג</w:t>
        </w:r>
        <w:r w:rsidR="00E921B4" w:rsidRPr="00E921B4">
          <w:rPr>
            <w:rFonts w:cs="David"/>
            <w:color w:val="0000FF"/>
            <w:szCs w:val="24"/>
            <w:u w:val="single"/>
            <w:rtl/>
          </w:rPr>
          <w:t xml:space="preserve"> 2977-09-21</w:t>
        </w:r>
      </w:hyperlink>
      <w:r>
        <w:rPr>
          <w:rFonts w:cs="David"/>
          <w:b/>
          <w:bCs/>
          <w:szCs w:val="24"/>
          <w:rtl/>
        </w:rPr>
        <w:t xml:space="preserve"> מדינת ישראל נ' אוחיון; </w:t>
      </w:r>
      <w:hyperlink r:id="rId28" w:history="1">
        <w:r w:rsidR="00E921B4" w:rsidRPr="00E921B4">
          <w:rPr>
            <w:rFonts w:cs="David" w:hint="cs"/>
            <w:color w:val="0000FF"/>
            <w:szCs w:val="24"/>
            <w:u w:val="single"/>
            <w:rtl/>
          </w:rPr>
          <w:t>ת</w:t>
        </w:r>
        <w:r w:rsidR="00E921B4" w:rsidRPr="00E921B4">
          <w:rPr>
            <w:rFonts w:cs="David"/>
            <w:color w:val="0000FF"/>
            <w:szCs w:val="24"/>
            <w:u w:val="single"/>
            <w:rtl/>
          </w:rPr>
          <w:t>"</w:t>
        </w:r>
        <w:r w:rsidR="00E921B4" w:rsidRPr="00E921B4">
          <w:rPr>
            <w:rFonts w:cs="David" w:hint="cs"/>
            <w:color w:val="0000FF"/>
            <w:szCs w:val="24"/>
            <w:u w:val="single"/>
            <w:rtl/>
          </w:rPr>
          <w:t>פ</w:t>
        </w:r>
        <w:r w:rsidR="00E921B4" w:rsidRPr="00E921B4">
          <w:rPr>
            <w:rFonts w:cs="David"/>
            <w:color w:val="0000FF"/>
            <w:szCs w:val="24"/>
            <w:u w:val="single"/>
            <w:rtl/>
          </w:rPr>
          <w:t xml:space="preserve"> 14110-01-16</w:t>
        </w:r>
      </w:hyperlink>
      <w:r>
        <w:rPr>
          <w:rFonts w:cs="David"/>
          <w:b/>
          <w:bCs/>
          <w:szCs w:val="24"/>
          <w:rtl/>
        </w:rPr>
        <w:t xml:space="preserve"> מדינת ישראל נ' יוסף גבאי </w:t>
      </w:r>
      <w:r>
        <w:rPr>
          <w:rFonts w:cs="David"/>
          <w:szCs w:val="24"/>
          <w:rtl/>
        </w:rPr>
        <w:t>וכן הגיש טבלאות ענישה בעבירות דומות.</w:t>
      </w:r>
    </w:p>
    <w:p w14:paraId="6D86710D" w14:textId="77777777" w:rsidR="00B47E3B" w:rsidRPr="00B47E3B" w:rsidRDefault="00B47E3B" w:rsidP="00B47E3B">
      <w:pPr>
        <w:rPr>
          <w:rFonts w:cs="Arial"/>
          <w:szCs w:val="22"/>
          <w:rtl/>
        </w:rPr>
      </w:pPr>
    </w:p>
    <w:p w14:paraId="59ABE3E7" w14:textId="77777777" w:rsidR="00B47E3B" w:rsidRPr="00B47E3B" w:rsidRDefault="00B47E3B" w:rsidP="00B47E3B">
      <w:pPr>
        <w:pStyle w:val="Ruller40"/>
        <w:numPr>
          <w:ilvl w:val="0"/>
          <w:numId w:val="1"/>
        </w:numPr>
        <w:tabs>
          <w:tab w:val="num" w:pos="907"/>
        </w:tabs>
        <w:ind w:left="0" w:firstLine="0"/>
        <w:rPr>
          <w:rFonts w:cs="Arial"/>
          <w:szCs w:val="22"/>
        </w:rPr>
      </w:pPr>
      <w:r>
        <w:rPr>
          <w:rFonts w:cs="David"/>
          <w:szCs w:val="24"/>
          <w:rtl/>
        </w:rPr>
        <w:t xml:space="preserve">אשר לחילוט הרכב, טען ב"כ הנאשם כי יש להעדיף את חילוט סכום הכסף שהופקד או חלקו לטובת שחרור הרכב. זאת לטענתו בשל כך שהנאשם שימש כשליח של שני אנשים שנגדם הוגש כתב אישום נפרד כאשר כתב האישום ייחס להם ניהול רשת, החזקת סמים והפעלת הנאשם. כמו כן, טען ב"כ הנאשם כי הרכב משמש את הנאשם ומשפחתו בטיפול בבתו אשר סובלת מבעיות רפואיות קשות. </w:t>
      </w:r>
    </w:p>
    <w:p w14:paraId="3252E937" w14:textId="77777777" w:rsidR="00B47E3B" w:rsidRPr="00B47E3B" w:rsidRDefault="00B47E3B" w:rsidP="00B47E3B">
      <w:pPr>
        <w:rPr>
          <w:rFonts w:cs="Arial"/>
          <w:szCs w:val="22"/>
        </w:rPr>
      </w:pPr>
    </w:p>
    <w:p w14:paraId="31C9A3B8" w14:textId="77777777" w:rsidR="00B47E3B" w:rsidRDefault="00B47E3B" w:rsidP="00B47E3B"/>
    <w:p w14:paraId="1F9AA14A" w14:textId="77777777" w:rsidR="00B47E3B" w:rsidRDefault="00B47E3B" w:rsidP="00B47E3B">
      <w:pPr>
        <w:pStyle w:val="Ruller40"/>
        <w:numPr>
          <w:ilvl w:val="0"/>
          <w:numId w:val="1"/>
        </w:numPr>
        <w:tabs>
          <w:tab w:val="num" w:pos="907"/>
        </w:tabs>
        <w:ind w:left="0" w:firstLine="0"/>
        <w:rPr>
          <w:rFonts w:cs="David"/>
          <w:szCs w:val="24"/>
        </w:rPr>
      </w:pPr>
      <w:r>
        <w:rPr>
          <w:rFonts w:cs="David"/>
          <w:b/>
          <w:bCs/>
          <w:szCs w:val="24"/>
          <w:rtl/>
        </w:rPr>
        <w:t>הנאשם ניצל את זכותו</w:t>
      </w:r>
      <w:r>
        <w:rPr>
          <w:rFonts w:cs="David"/>
          <w:szCs w:val="24"/>
          <w:rtl/>
        </w:rPr>
        <w:t xml:space="preserve"> למילה האחרונה. ביקש כי ביהמ"ש ייקח בחשבון את מצבו המשפחתי, הכלכלי והרפואי. הנאשם ציין כי הרכב משמש לצורך טיפול בבתו החולה  אשר נמצאת בסכנת חיים תמידית. הנאשם ציין כי מטופל אצל פסיכולוג ומפרנס את משפחתו. </w:t>
      </w:r>
    </w:p>
    <w:p w14:paraId="0A2A4663" w14:textId="77777777" w:rsidR="00B47E3B" w:rsidRPr="00B47E3B" w:rsidRDefault="00B47E3B" w:rsidP="00B47E3B">
      <w:pPr>
        <w:rPr>
          <w:rFonts w:cs="Arial"/>
          <w:szCs w:val="22"/>
          <w:rtl/>
        </w:rPr>
      </w:pPr>
    </w:p>
    <w:p w14:paraId="12DB07C7" w14:textId="77777777" w:rsidR="00B47E3B" w:rsidRDefault="00B47E3B" w:rsidP="00B47E3B">
      <w:pPr>
        <w:rPr>
          <w:rFonts w:ascii="David" w:hAnsi="David"/>
          <w:b/>
          <w:bCs/>
          <w:u w:val="single"/>
          <w:rtl/>
        </w:rPr>
      </w:pPr>
      <w:r>
        <w:rPr>
          <w:rFonts w:ascii="David" w:hAnsi="David"/>
          <w:b/>
          <w:bCs/>
          <w:u w:val="single"/>
          <w:rtl/>
        </w:rPr>
        <w:t xml:space="preserve">דיון הכרעה: </w:t>
      </w:r>
    </w:p>
    <w:p w14:paraId="77C61F87" w14:textId="77777777" w:rsidR="00B47E3B" w:rsidRDefault="00B47E3B" w:rsidP="00B47E3B">
      <w:pPr>
        <w:rPr>
          <w:rFonts w:ascii="David" w:hAnsi="David"/>
          <w:b/>
          <w:bCs/>
          <w:u w:val="single"/>
          <w:rtl/>
        </w:rPr>
      </w:pPr>
    </w:p>
    <w:p w14:paraId="06B46DC4" w14:textId="77777777" w:rsidR="00B47E3B" w:rsidRDefault="00B47E3B" w:rsidP="00B47E3B">
      <w:pPr>
        <w:spacing w:line="360" w:lineRule="auto"/>
        <w:jc w:val="both"/>
        <w:rPr>
          <w:rFonts w:ascii="David" w:hAnsi="David"/>
          <w:u w:val="single"/>
          <w:rtl/>
        </w:rPr>
      </w:pPr>
      <w:r>
        <w:rPr>
          <w:rFonts w:ascii="David" w:hAnsi="David"/>
          <w:b/>
          <w:bCs/>
          <w:u w:val="single"/>
          <w:rtl/>
        </w:rPr>
        <w:t>קביעת מתחם העונש ההולם</w:t>
      </w:r>
    </w:p>
    <w:p w14:paraId="52E3A516" w14:textId="77777777" w:rsidR="00B47E3B" w:rsidRDefault="00B47E3B" w:rsidP="00B47E3B">
      <w:pPr>
        <w:pStyle w:val="Ruller40"/>
        <w:numPr>
          <w:ilvl w:val="0"/>
          <w:numId w:val="1"/>
        </w:numPr>
        <w:tabs>
          <w:tab w:val="num" w:pos="907"/>
        </w:tabs>
        <w:ind w:left="0" w:firstLine="0"/>
        <w:rPr>
          <w:rFonts w:cs="David"/>
          <w:szCs w:val="24"/>
          <w:rtl/>
        </w:rPr>
      </w:pPr>
      <w:r>
        <w:rPr>
          <w:rFonts w:cs="David"/>
          <w:szCs w:val="24"/>
          <w:rtl/>
        </w:rPr>
        <w:t>כידוע, העיקרון המנחה בקביעת העונש הוא עיקרון ההלימה, דהיינו, קיומו של יחס הולם בין חומרת מעשה העבירה בנסיבותיו ומידת אשמו של הנאשם, ובין סוג ומידת העונש שיוטל עליו (להלן: "</w:t>
      </w:r>
      <w:r>
        <w:rPr>
          <w:rFonts w:cs="David"/>
          <w:b/>
          <w:bCs/>
          <w:szCs w:val="24"/>
          <w:rtl/>
        </w:rPr>
        <w:t>העיקרון המנחה</w:t>
      </w:r>
      <w:r>
        <w:rPr>
          <w:rFonts w:cs="David"/>
          <w:szCs w:val="24"/>
          <w:rtl/>
        </w:rPr>
        <w:t xml:space="preserve">"). </w:t>
      </w:r>
    </w:p>
    <w:p w14:paraId="02410F44" w14:textId="77777777" w:rsidR="00B47E3B" w:rsidRDefault="00B47E3B" w:rsidP="00B47E3B">
      <w:pPr>
        <w:pStyle w:val="Ruller40"/>
        <w:rPr>
          <w:rFonts w:cs="David"/>
          <w:szCs w:val="24"/>
          <w:rtl/>
        </w:rPr>
      </w:pPr>
    </w:p>
    <w:p w14:paraId="14F3681E" w14:textId="77777777" w:rsidR="00B47E3B" w:rsidRDefault="00B47E3B" w:rsidP="00B47E3B">
      <w:pPr>
        <w:pStyle w:val="Ruller40"/>
        <w:numPr>
          <w:ilvl w:val="0"/>
          <w:numId w:val="1"/>
        </w:numPr>
        <w:tabs>
          <w:tab w:val="num" w:pos="907"/>
        </w:tabs>
        <w:ind w:left="0" w:firstLine="0"/>
        <w:rPr>
          <w:rFonts w:cs="David"/>
          <w:szCs w:val="24"/>
          <w:rtl/>
        </w:rPr>
      </w:pPr>
      <w:r>
        <w:rPr>
          <w:rFonts w:cs="David"/>
          <w:szCs w:val="24"/>
          <w:rtl/>
        </w:rPr>
        <w:t>בית המשפט מצווה לקבוע מתחם עונש הולם למעשה העבירה בהתאם לעיקרון המנחה, זאת תוך התחשבות בפרמטרים הבאים: הערך החברתי שנפגע ובמידת הפגיעה בו, במדיניות הענישה הנוהגת ובנסיבות הקשורות בביצוע העבירה.</w:t>
      </w:r>
    </w:p>
    <w:p w14:paraId="58EDF428" w14:textId="77777777" w:rsidR="00B47E3B" w:rsidRPr="00B47E3B" w:rsidRDefault="00B47E3B" w:rsidP="00B47E3B">
      <w:pPr>
        <w:rPr>
          <w:rFonts w:cs="Arial"/>
          <w:szCs w:val="22"/>
          <w:rtl/>
        </w:rPr>
      </w:pPr>
    </w:p>
    <w:p w14:paraId="3BBC8849" w14:textId="77777777" w:rsidR="00B47E3B" w:rsidRDefault="00B47E3B" w:rsidP="00B47E3B">
      <w:pPr>
        <w:pStyle w:val="Ruller40"/>
        <w:numPr>
          <w:ilvl w:val="0"/>
          <w:numId w:val="1"/>
        </w:numPr>
        <w:tabs>
          <w:tab w:val="num" w:pos="907"/>
        </w:tabs>
        <w:ind w:left="0" w:firstLine="0"/>
        <w:rPr>
          <w:rFonts w:cs="David"/>
          <w:szCs w:val="24"/>
          <w:rtl/>
        </w:rPr>
      </w:pPr>
      <w:r>
        <w:rPr>
          <w:rFonts w:cs="David"/>
          <w:szCs w:val="24"/>
          <w:rtl/>
        </w:rPr>
        <w:t xml:space="preserve">כפי שפורט לעיל, הנאשם הורשע בביצוע עבירה של </w:t>
      </w:r>
      <w:r>
        <w:rPr>
          <w:rFonts w:cs="David"/>
          <w:b/>
          <w:bCs/>
          <w:szCs w:val="24"/>
          <w:rtl/>
        </w:rPr>
        <w:t>החזקת סמים שלא לצריכה עצמית</w:t>
      </w:r>
      <w:r>
        <w:rPr>
          <w:rFonts w:cs="David"/>
          <w:szCs w:val="24"/>
          <w:rtl/>
        </w:rPr>
        <w:t xml:space="preserve"> וב-6 עבירות של </w:t>
      </w:r>
      <w:r>
        <w:rPr>
          <w:rFonts w:cs="David"/>
          <w:b/>
          <w:bCs/>
          <w:szCs w:val="24"/>
          <w:rtl/>
        </w:rPr>
        <w:t>סחר בסמים</w:t>
      </w:r>
      <w:r>
        <w:rPr>
          <w:rFonts w:cs="David"/>
          <w:szCs w:val="24"/>
          <w:rtl/>
        </w:rPr>
        <w:t xml:space="preserve">, בגין שבעה אירועים שפורטו בשבעה אישומים שונים. </w:t>
      </w:r>
    </w:p>
    <w:p w14:paraId="4AC5259F" w14:textId="77777777" w:rsidR="00B47E3B" w:rsidRPr="00B47E3B" w:rsidRDefault="00B47E3B" w:rsidP="00B47E3B">
      <w:pPr>
        <w:rPr>
          <w:rFonts w:cs="Arial"/>
          <w:szCs w:val="22"/>
          <w:rtl/>
        </w:rPr>
      </w:pPr>
    </w:p>
    <w:p w14:paraId="08411B15" w14:textId="77777777" w:rsidR="00B47E3B" w:rsidRDefault="00B47E3B" w:rsidP="00B47E3B">
      <w:pPr>
        <w:pStyle w:val="Ruller40"/>
        <w:numPr>
          <w:ilvl w:val="0"/>
          <w:numId w:val="1"/>
        </w:numPr>
        <w:ind w:left="0" w:firstLine="0"/>
        <w:rPr>
          <w:rFonts w:cs="David"/>
          <w:szCs w:val="24"/>
          <w:rtl/>
        </w:rPr>
      </w:pPr>
      <w:r>
        <w:rPr>
          <w:rFonts w:cs="David"/>
          <w:szCs w:val="24"/>
          <w:rtl/>
        </w:rPr>
        <w:t>נוכח האמור יש להידרש למחלוקת שבין הצדדים באשר למתחם שיש לקבוע במקרה דנן; האם מתחם נפרד לכל אישום, כעמדת התביעה, או שמא יש לראות בכלל האישומים כאירוע אחד ולקבוע מתחם אחד, כעמדת הסניגור.</w:t>
      </w:r>
    </w:p>
    <w:p w14:paraId="44B8B1B2" w14:textId="77777777" w:rsidR="00B47E3B" w:rsidRPr="00B47E3B" w:rsidRDefault="00B47E3B" w:rsidP="00B47E3B">
      <w:pPr>
        <w:jc w:val="both"/>
        <w:rPr>
          <w:rFonts w:cs="Arial"/>
          <w:szCs w:val="22"/>
          <w:rtl/>
        </w:rPr>
      </w:pPr>
    </w:p>
    <w:p w14:paraId="7C85D4EC" w14:textId="77777777" w:rsidR="00B47E3B" w:rsidRDefault="00B47E3B" w:rsidP="00B47E3B">
      <w:pPr>
        <w:spacing w:before="72"/>
        <w:ind w:right="1134"/>
        <w:jc w:val="both"/>
        <w:rPr>
          <w:rFonts w:ascii="Garamond" w:hAnsi="Garamond"/>
          <w:b/>
          <w:bCs/>
          <w:spacing w:val="10"/>
          <w:u w:val="single"/>
          <w:rtl/>
        </w:rPr>
      </w:pPr>
      <w:r>
        <w:rPr>
          <w:rFonts w:ascii="Garamond" w:hAnsi="Garamond"/>
          <w:b/>
          <w:bCs/>
          <w:spacing w:val="10"/>
          <w:u w:val="single"/>
          <w:rtl/>
        </w:rPr>
        <w:t>ריבוי עבירות – אירוע אחד או שני אירועים</w:t>
      </w:r>
    </w:p>
    <w:p w14:paraId="35466B14" w14:textId="77777777" w:rsidR="00B47E3B" w:rsidRDefault="00B47E3B" w:rsidP="00B47E3B">
      <w:pPr>
        <w:spacing w:before="72"/>
        <w:ind w:right="1134"/>
        <w:jc w:val="both"/>
        <w:rPr>
          <w:rFonts w:ascii="Garamond" w:hAnsi="Garamond"/>
          <w:b/>
          <w:bCs/>
          <w:spacing w:val="10"/>
          <w:u w:val="single"/>
          <w:rtl/>
        </w:rPr>
      </w:pPr>
    </w:p>
    <w:p w14:paraId="6986B628" w14:textId="77777777" w:rsidR="00B47E3B" w:rsidRDefault="00B47E3B" w:rsidP="00B47E3B">
      <w:pPr>
        <w:pStyle w:val="Ruller40"/>
        <w:numPr>
          <w:ilvl w:val="0"/>
          <w:numId w:val="1"/>
        </w:numPr>
        <w:ind w:left="0" w:firstLine="0"/>
        <w:rPr>
          <w:rFonts w:cs="David"/>
          <w:szCs w:val="24"/>
          <w:rtl/>
        </w:rPr>
      </w:pPr>
      <w:r>
        <w:rPr>
          <w:rFonts w:cs="David"/>
          <w:szCs w:val="24"/>
          <w:rtl/>
        </w:rPr>
        <w:t xml:space="preserve">בסעיף </w:t>
      </w:r>
      <w:hyperlink r:id="rId29" w:history="1">
        <w:r w:rsidR="00E73CEF" w:rsidRPr="00E73CEF">
          <w:rPr>
            <w:rStyle w:val="Hyperlink"/>
            <w:rFonts w:cs="David"/>
            <w:szCs w:val="24"/>
            <w:rtl/>
          </w:rPr>
          <w:t>40</w:t>
        </w:r>
        <w:r w:rsidR="00E73CEF" w:rsidRPr="00E73CEF">
          <w:rPr>
            <w:rStyle w:val="Hyperlink"/>
            <w:rFonts w:cs="David" w:hint="eastAsia"/>
            <w:szCs w:val="24"/>
            <w:rtl/>
          </w:rPr>
          <w:t>יג</w:t>
        </w:r>
        <w:r w:rsidR="00E73CEF" w:rsidRPr="00E73CEF">
          <w:rPr>
            <w:rStyle w:val="Hyperlink"/>
            <w:rFonts w:cs="David"/>
            <w:szCs w:val="24"/>
            <w:rtl/>
          </w:rPr>
          <w:t xml:space="preserve"> (</w:t>
        </w:r>
        <w:r w:rsidR="00E73CEF" w:rsidRPr="00E73CEF">
          <w:rPr>
            <w:rStyle w:val="Hyperlink"/>
            <w:rFonts w:cs="David" w:hint="eastAsia"/>
            <w:szCs w:val="24"/>
            <w:rtl/>
          </w:rPr>
          <w:t>א</w:t>
        </w:r>
        <w:r w:rsidR="00E73CEF" w:rsidRPr="00E73CEF">
          <w:rPr>
            <w:rStyle w:val="Hyperlink"/>
            <w:rFonts w:cs="David"/>
            <w:szCs w:val="24"/>
            <w:rtl/>
          </w:rPr>
          <w:t>)</w:t>
        </w:r>
      </w:hyperlink>
      <w:r>
        <w:rPr>
          <w:rFonts w:cs="David"/>
          <w:szCs w:val="24"/>
          <w:rtl/>
        </w:rPr>
        <w:t xml:space="preserve"> ל</w:t>
      </w:r>
      <w:hyperlink r:id="rId30" w:history="1">
        <w:r w:rsidR="00E921B4" w:rsidRPr="00E921B4">
          <w:rPr>
            <w:rFonts w:cs="David" w:hint="cs"/>
            <w:color w:val="0000FF"/>
            <w:szCs w:val="24"/>
            <w:u w:val="single"/>
            <w:rtl/>
          </w:rPr>
          <w:t>חוק</w:t>
        </w:r>
        <w:r w:rsidR="00E921B4" w:rsidRPr="00E921B4">
          <w:rPr>
            <w:rFonts w:cs="David"/>
            <w:color w:val="0000FF"/>
            <w:szCs w:val="24"/>
            <w:u w:val="single"/>
            <w:rtl/>
          </w:rPr>
          <w:t xml:space="preserve"> </w:t>
        </w:r>
        <w:r w:rsidR="00E921B4" w:rsidRPr="00E921B4">
          <w:rPr>
            <w:rFonts w:cs="David" w:hint="cs"/>
            <w:color w:val="0000FF"/>
            <w:szCs w:val="24"/>
            <w:u w:val="single"/>
            <w:rtl/>
          </w:rPr>
          <w:t>העונשין</w:t>
        </w:r>
      </w:hyperlink>
      <w:r>
        <w:rPr>
          <w:rFonts w:cs="David"/>
          <w:szCs w:val="24"/>
          <w:rtl/>
        </w:rPr>
        <w:t xml:space="preserve"> נקבע כך:</w:t>
      </w:r>
    </w:p>
    <w:p w14:paraId="7006F8D7" w14:textId="77777777" w:rsidR="00B47E3B" w:rsidRDefault="00B47E3B" w:rsidP="00B47E3B">
      <w:pPr>
        <w:spacing w:before="72"/>
        <w:ind w:left="720" w:right="1134"/>
        <w:jc w:val="both"/>
        <w:rPr>
          <w:rFonts w:cs="Times New Roman"/>
          <w:b/>
          <w:bCs/>
          <w:color w:val="000000"/>
          <w:sz w:val="20"/>
          <w:szCs w:val="20"/>
        </w:rPr>
      </w:pPr>
      <w:r>
        <w:rPr>
          <w:rFonts w:ascii="David" w:hAnsi="David"/>
          <w:b/>
          <w:bCs/>
          <w:spacing w:val="10"/>
        </w:rPr>
        <w:t>"</w:t>
      </w:r>
      <w:r>
        <w:rPr>
          <w:rFonts w:ascii="David" w:hAnsi="David"/>
          <w:b/>
          <w:bCs/>
          <w:spacing w:val="10"/>
          <w:rtl/>
        </w:rPr>
        <w:t xml:space="preserve">הרשיע בית המשפט נאשם בכמה עבירות המהוות </w:t>
      </w:r>
      <w:r>
        <w:rPr>
          <w:rFonts w:ascii="David" w:hAnsi="David"/>
          <w:b/>
          <w:bCs/>
          <w:spacing w:val="10"/>
          <w:u w:val="single"/>
          <w:rtl/>
        </w:rPr>
        <w:t>אירוע אחד</w:t>
      </w:r>
      <w:r>
        <w:rPr>
          <w:rFonts w:ascii="David" w:hAnsi="David"/>
          <w:b/>
          <w:bCs/>
          <w:spacing w:val="10"/>
          <w:rtl/>
        </w:rPr>
        <w:t>, יקבע מתחם עונש הולם כאמור בסעיף 40ג(א) לאירוע כולו, ויגזור עונש כולל לכל העבירות בשל אותו אירוע"</w:t>
      </w:r>
      <w:r>
        <w:rPr>
          <w:rFonts w:ascii="FrankRuehl" w:hAnsi="FrankRuehl" w:cs="FrankRuehl"/>
          <w:b/>
          <w:bCs/>
          <w:color w:val="000000"/>
          <w:sz w:val="26"/>
          <w:szCs w:val="26"/>
          <w:rtl/>
        </w:rPr>
        <w:t>.</w:t>
      </w:r>
    </w:p>
    <w:p w14:paraId="568547EA" w14:textId="77777777" w:rsidR="00B47E3B" w:rsidRPr="00B47E3B" w:rsidRDefault="00B47E3B" w:rsidP="00B47E3B">
      <w:pPr>
        <w:jc w:val="both"/>
        <w:rPr>
          <w:rFonts w:ascii="Calibri" w:eastAsia="Calibri" w:hAnsi="Calibri" w:cs="Arial"/>
          <w:sz w:val="22"/>
          <w:szCs w:val="22"/>
          <w:rtl/>
        </w:rPr>
      </w:pPr>
    </w:p>
    <w:p w14:paraId="5224C6EE" w14:textId="77777777" w:rsidR="00B47E3B" w:rsidRDefault="00B47E3B" w:rsidP="00B47E3B">
      <w:pPr>
        <w:pStyle w:val="Ruller40"/>
        <w:numPr>
          <w:ilvl w:val="0"/>
          <w:numId w:val="1"/>
        </w:numPr>
        <w:ind w:left="0" w:firstLine="0"/>
        <w:rPr>
          <w:rFonts w:cs="David"/>
          <w:szCs w:val="24"/>
          <w:rtl/>
        </w:rPr>
      </w:pPr>
      <w:r>
        <w:rPr>
          <w:rFonts w:cs="David"/>
          <w:szCs w:val="24"/>
          <w:rtl/>
        </w:rPr>
        <w:t>ב</w:t>
      </w:r>
      <w:hyperlink r:id="rId31" w:history="1">
        <w:r w:rsidR="00E921B4" w:rsidRPr="00E921B4">
          <w:rPr>
            <w:rFonts w:cs="David" w:hint="cs"/>
            <w:color w:val="0000FF"/>
            <w:szCs w:val="24"/>
            <w:u w:val="single"/>
            <w:rtl/>
          </w:rPr>
          <w:t>ע</w:t>
        </w:r>
        <w:r w:rsidR="00E921B4" w:rsidRPr="00E921B4">
          <w:rPr>
            <w:rFonts w:cs="David"/>
            <w:color w:val="0000FF"/>
            <w:szCs w:val="24"/>
            <w:u w:val="single"/>
            <w:rtl/>
          </w:rPr>
          <w:t>"</w:t>
        </w:r>
        <w:r w:rsidR="00E921B4" w:rsidRPr="00E921B4">
          <w:rPr>
            <w:rFonts w:cs="David" w:hint="cs"/>
            <w:color w:val="0000FF"/>
            <w:szCs w:val="24"/>
            <w:u w:val="single"/>
            <w:rtl/>
          </w:rPr>
          <w:t>פ</w:t>
        </w:r>
        <w:r w:rsidR="00E921B4" w:rsidRPr="00E921B4">
          <w:rPr>
            <w:rFonts w:cs="David"/>
            <w:color w:val="0000FF"/>
            <w:szCs w:val="24"/>
            <w:u w:val="single"/>
            <w:rtl/>
          </w:rPr>
          <w:t xml:space="preserve"> 4910/13</w:t>
        </w:r>
      </w:hyperlink>
      <w:r>
        <w:rPr>
          <w:rFonts w:cs="David"/>
          <w:szCs w:val="24"/>
          <w:rtl/>
        </w:rPr>
        <w:t xml:space="preserve"> ‏</w:t>
      </w:r>
      <w:r>
        <w:rPr>
          <w:rFonts w:cs="David"/>
          <w:b/>
          <w:bCs/>
          <w:szCs w:val="24"/>
          <w:rtl/>
        </w:rPr>
        <w:t>אחמד בני ג'אבר נגד מדינת ישראל</w:t>
      </w:r>
      <w:r>
        <w:rPr>
          <w:rFonts w:cs="David"/>
          <w:szCs w:val="24"/>
          <w:rtl/>
        </w:rPr>
        <w:t xml:space="preserve">, (פורסם בנבו, פיסקה 5 לחוות דעתה של כבוד השופטת ד' ברק ארז) נקבע כי: </w:t>
      </w:r>
    </w:p>
    <w:p w14:paraId="67F07A04" w14:textId="77777777" w:rsidR="00B47E3B" w:rsidRDefault="00B47E3B" w:rsidP="00B47E3B">
      <w:pPr>
        <w:spacing w:before="72"/>
        <w:ind w:left="720" w:right="1134"/>
        <w:jc w:val="both"/>
        <w:rPr>
          <w:rFonts w:ascii="David" w:hAnsi="David"/>
          <w:b/>
          <w:bCs/>
          <w:spacing w:val="10"/>
          <w:rtl/>
        </w:rPr>
      </w:pPr>
      <w:r>
        <w:rPr>
          <w:rFonts w:ascii="David" w:hAnsi="David"/>
          <w:b/>
          <w:bCs/>
          <w:spacing w:val="10"/>
          <w:rtl/>
        </w:rPr>
        <w:t>"בעיקרו של דבר, התשובה לשאלה מהם גדרי ה"אירוע" תיגזר מניסיון החיים, כך שעבירות שיש ביניהן קשר הדוק ייחשבו לאירוע אחד. המובן שיינתן למונח "קשר הדוק" יתפתח ממקרה למקרה ואין צורך לקבוע אותו באופן קשיח כבר כעת. עם זאת, ניתן לומר כי ברגיל קשר כזה בין עבירות יימצא כאשר תהיה ביניהן סמיכות זמנים או כאשר הן תהיינה חלק מאותה תכנית עבריינית אף כאשר הן בוצעו לאורך תקופת זמן שאינה קצרה  (אך מבלי שפרמטרים אלה ימצו את מבחני העזר האפשריים לבחינת עוצמתו של הקשר בין העבירות)".</w:t>
      </w:r>
    </w:p>
    <w:p w14:paraId="0F85D854" w14:textId="77777777" w:rsidR="00B47E3B" w:rsidRDefault="00B47E3B" w:rsidP="00B47E3B">
      <w:pPr>
        <w:pStyle w:val="a9"/>
        <w:ind w:left="360"/>
        <w:jc w:val="both"/>
        <w:rPr>
          <w:rFonts w:ascii="Garamond" w:eastAsia="Times New Roman" w:hAnsi="Garamond" w:cs="David"/>
          <w:b/>
          <w:bCs/>
          <w:spacing w:val="10"/>
          <w:sz w:val="24"/>
          <w:szCs w:val="24"/>
          <w:rtl/>
        </w:rPr>
      </w:pPr>
    </w:p>
    <w:p w14:paraId="1CC8BF12" w14:textId="77777777" w:rsidR="00B47E3B" w:rsidRDefault="00B47E3B" w:rsidP="00B47E3B">
      <w:pPr>
        <w:pStyle w:val="a9"/>
        <w:ind w:left="360"/>
        <w:jc w:val="both"/>
        <w:rPr>
          <w:rFonts w:ascii="Garamond" w:eastAsia="Times New Roman" w:hAnsi="Garamond" w:cs="David"/>
          <w:spacing w:val="10"/>
          <w:sz w:val="24"/>
          <w:szCs w:val="24"/>
          <w:rtl/>
        </w:rPr>
      </w:pPr>
    </w:p>
    <w:p w14:paraId="5C56E3FD" w14:textId="77777777" w:rsidR="00B47E3B" w:rsidRDefault="00B47E3B" w:rsidP="00B47E3B">
      <w:pPr>
        <w:pStyle w:val="Ruller40"/>
        <w:numPr>
          <w:ilvl w:val="0"/>
          <w:numId w:val="1"/>
        </w:numPr>
        <w:ind w:left="0" w:firstLine="0"/>
        <w:rPr>
          <w:rFonts w:cs="David"/>
          <w:szCs w:val="24"/>
          <w:rtl/>
        </w:rPr>
      </w:pPr>
      <w:r>
        <w:rPr>
          <w:rFonts w:cs="David"/>
          <w:szCs w:val="24"/>
          <w:rtl/>
        </w:rPr>
        <w:t xml:space="preserve">ראו גם </w:t>
      </w:r>
      <w:hyperlink r:id="rId32" w:history="1">
        <w:r>
          <w:rPr>
            <w:rStyle w:val="Hyperlink"/>
            <w:rFonts w:cs="David"/>
            <w:szCs w:val="24"/>
            <w:rtl/>
          </w:rPr>
          <w:t>ע"פ 5643/14</w:t>
        </w:r>
        <w:r w:rsidR="00E921B4">
          <w:rPr>
            <w:rStyle w:val="Hyperlink"/>
            <w:rFonts w:cs="David"/>
            <w:szCs w:val="24"/>
            <w:rtl/>
          </w:rPr>
          <w:t xml:space="preserve"> </w:t>
        </w:r>
        <w:r>
          <w:rPr>
            <w:rStyle w:val="Hyperlink"/>
            <w:rFonts w:cs="David"/>
            <w:szCs w:val="24"/>
            <w:rtl/>
          </w:rPr>
          <w:t>אחמד עיסא נ' מדינת ישראל</w:t>
        </w:r>
        <w:r w:rsidR="00E921B4">
          <w:rPr>
            <w:rStyle w:val="Hyperlink"/>
            <w:rFonts w:cs="David"/>
            <w:szCs w:val="24"/>
            <w:rtl/>
          </w:rPr>
          <w:t xml:space="preserve"> </w:t>
        </w:r>
        <w:r>
          <w:rPr>
            <w:rStyle w:val="Hyperlink"/>
            <w:rFonts w:cs="David"/>
            <w:szCs w:val="24"/>
            <w:rtl/>
          </w:rPr>
          <w:t>(פורסם בנבו 23.06.2015)‏</w:t>
        </w:r>
      </w:hyperlink>
      <w:r>
        <w:rPr>
          <w:rFonts w:cs="David"/>
          <w:szCs w:val="24"/>
          <w:rtl/>
        </w:rPr>
        <w:t xml:space="preserve">‏: </w:t>
      </w:r>
    </w:p>
    <w:p w14:paraId="0C754192" w14:textId="77777777" w:rsidR="00B47E3B" w:rsidRDefault="00B47E3B" w:rsidP="00B47E3B">
      <w:pPr>
        <w:spacing w:before="72"/>
        <w:ind w:left="720" w:right="1134"/>
        <w:jc w:val="both"/>
        <w:rPr>
          <w:rFonts w:ascii="David" w:hAnsi="David"/>
          <w:b/>
          <w:bCs/>
          <w:spacing w:val="10"/>
        </w:rPr>
      </w:pPr>
      <w:r>
        <w:rPr>
          <w:rFonts w:ascii="David" w:hAnsi="David"/>
          <w:b/>
          <w:bCs/>
          <w:spacing w:val="10"/>
          <w:rtl/>
        </w:rPr>
        <w:t>"יישומו של מבחן "הקשר ההדוק" על ענייננו מעלה כי למצער נכון היה לסווג חלק מן העבירות בהן הורשעו כל אחד מהמערערים כ"אירוע אחד", ויתכן שאף את כולן. כתבי האישום מתארים תכנית עבריינית שהתרחשה במשך 3 חודשים, במסגרתה ביצעו המערערים עבירות שונות בנשק עבור בצע כסף. תכנית זו אמנם כללה מעשים שונים, אך אין בכך כדי להגדיר כל אחד מהם כ"אירוע" נפרד בפני עצמו, ודומה כי יש מדובר במסכת עבריינית אחת וכי מתקיים בין העבירות קשר ענייני ברור</w:t>
      </w:r>
      <w:r>
        <w:rPr>
          <w:rFonts w:ascii="David" w:hAnsi="David"/>
          <w:b/>
          <w:bCs/>
          <w:spacing w:val="10"/>
        </w:rPr>
        <w:t>."</w:t>
      </w:r>
    </w:p>
    <w:p w14:paraId="09613DA8" w14:textId="77777777" w:rsidR="00B47E3B" w:rsidRDefault="00B47E3B" w:rsidP="00B47E3B">
      <w:pPr>
        <w:spacing w:before="72"/>
        <w:ind w:left="720" w:right="1134"/>
        <w:jc w:val="both"/>
        <w:rPr>
          <w:rFonts w:ascii="David" w:hAnsi="David"/>
          <w:b/>
          <w:bCs/>
          <w:spacing w:val="10"/>
          <w:rtl/>
        </w:rPr>
      </w:pPr>
    </w:p>
    <w:p w14:paraId="728711AC" w14:textId="77777777" w:rsidR="00B47E3B" w:rsidRDefault="00B47E3B" w:rsidP="00B47E3B">
      <w:pPr>
        <w:pStyle w:val="Ruller40"/>
        <w:numPr>
          <w:ilvl w:val="0"/>
          <w:numId w:val="1"/>
        </w:numPr>
        <w:ind w:left="0" w:firstLine="0"/>
        <w:rPr>
          <w:rFonts w:cs="David"/>
          <w:szCs w:val="24"/>
          <w:rtl/>
        </w:rPr>
      </w:pPr>
      <w:r>
        <w:rPr>
          <w:rFonts w:cs="David"/>
          <w:szCs w:val="24"/>
          <w:rtl/>
        </w:rPr>
        <w:t>נראה שיישום מבחן "</w:t>
      </w:r>
      <w:r>
        <w:rPr>
          <w:rFonts w:cs="David"/>
          <w:b/>
          <w:bCs/>
          <w:szCs w:val="24"/>
          <w:rtl/>
        </w:rPr>
        <w:t>הקשר ההדוק</w:t>
      </w:r>
      <w:r>
        <w:rPr>
          <w:rFonts w:cs="David"/>
          <w:szCs w:val="24"/>
          <w:rtl/>
        </w:rPr>
        <w:t>" על מקרה זה מוביל למסקנה שיש לקבוע מתחם עונש כולל לכלל האישומים בהם הורשע הנאשם. עמדת התביעה</w:t>
      </w:r>
      <w:r>
        <w:rPr>
          <w:rFonts w:cs="David" w:hint="cs"/>
          <w:szCs w:val="24"/>
          <w:rtl/>
        </w:rPr>
        <w:t>,</w:t>
      </w:r>
      <w:r>
        <w:rPr>
          <w:rFonts w:cs="David"/>
          <w:szCs w:val="24"/>
          <w:rtl/>
        </w:rPr>
        <w:t xml:space="preserve"> לפיה יש לקבוע מתחם נפרד ביחס לכל אישום</w:t>
      </w:r>
      <w:r>
        <w:rPr>
          <w:rFonts w:cs="David" w:hint="cs"/>
          <w:szCs w:val="24"/>
          <w:rtl/>
        </w:rPr>
        <w:t>,</w:t>
      </w:r>
      <w:r>
        <w:rPr>
          <w:rFonts w:cs="David"/>
          <w:szCs w:val="24"/>
          <w:rtl/>
        </w:rPr>
        <w:t xml:space="preserve"> אינה מופרכת ובנסיבות מסוימות אף ניתן היה לאמץ </w:t>
      </w:r>
      <w:r>
        <w:rPr>
          <w:rFonts w:cs="David" w:hint="cs"/>
          <w:szCs w:val="24"/>
          <w:rtl/>
        </w:rPr>
        <w:t>עמדה כאמור</w:t>
      </w:r>
      <w:r>
        <w:rPr>
          <w:rFonts w:cs="David"/>
          <w:szCs w:val="24"/>
          <w:rtl/>
        </w:rPr>
        <w:t xml:space="preserve">. עם זאת, במקרה דנן, דומה שהנאשם פעל במסגרת תכנית עבריינית שהתרחשה בפרק זמן קצר. ברקע לביצוע העבירות ע"י הנאשם, עמדה חוליה נוספת אשר הפעילה את הנאשם וסיפקה את הסמים לנאשם, לצורך מכירתם, שהרי המאשימה איננה מכחישה קשר בין הנאשם לבין עניינם של </w:t>
      </w:r>
      <w:r>
        <w:rPr>
          <w:rFonts w:cs="David"/>
          <w:b/>
          <w:bCs/>
          <w:szCs w:val="24"/>
          <w:rtl/>
        </w:rPr>
        <w:t xml:space="preserve">אהרוני ארביב וישראל ברמי </w:t>
      </w:r>
      <w:r>
        <w:rPr>
          <w:rFonts w:cs="David"/>
          <w:szCs w:val="24"/>
          <w:rtl/>
        </w:rPr>
        <w:t>שעניינם נידון ב</w:t>
      </w:r>
      <w:hyperlink r:id="rId33" w:history="1">
        <w:r w:rsidR="00E921B4" w:rsidRPr="00E921B4">
          <w:rPr>
            <w:rFonts w:cs="David" w:hint="cs"/>
            <w:color w:val="0000FF"/>
            <w:szCs w:val="24"/>
            <w:u w:val="single"/>
            <w:rtl/>
          </w:rPr>
          <w:t>ת</w:t>
        </w:r>
        <w:r w:rsidR="00E921B4" w:rsidRPr="00E921B4">
          <w:rPr>
            <w:rFonts w:cs="David"/>
            <w:color w:val="0000FF"/>
            <w:szCs w:val="24"/>
            <w:u w:val="single"/>
            <w:rtl/>
          </w:rPr>
          <w:t>"</w:t>
        </w:r>
        <w:r w:rsidR="00E921B4" w:rsidRPr="00E921B4">
          <w:rPr>
            <w:rFonts w:cs="David" w:hint="cs"/>
            <w:color w:val="0000FF"/>
            <w:szCs w:val="24"/>
            <w:u w:val="single"/>
            <w:rtl/>
          </w:rPr>
          <w:t>פ</w:t>
        </w:r>
        <w:r w:rsidR="00E921B4" w:rsidRPr="00E921B4">
          <w:rPr>
            <w:rFonts w:cs="David"/>
            <w:color w:val="0000FF"/>
            <w:szCs w:val="24"/>
            <w:u w:val="single"/>
            <w:rtl/>
          </w:rPr>
          <w:t xml:space="preserve"> 1760-05-21</w:t>
        </w:r>
      </w:hyperlink>
      <w:r>
        <w:rPr>
          <w:rFonts w:cs="David"/>
          <w:szCs w:val="24"/>
          <w:rtl/>
        </w:rPr>
        <w:t xml:space="preserve">. </w:t>
      </w:r>
    </w:p>
    <w:p w14:paraId="42BDE3CD" w14:textId="77777777" w:rsidR="00B47E3B" w:rsidRPr="00B47E3B" w:rsidRDefault="00B47E3B" w:rsidP="00B47E3B">
      <w:pPr>
        <w:rPr>
          <w:rFonts w:cs="Arial"/>
          <w:szCs w:val="22"/>
          <w:rtl/>
        </w:rPr>
      </w:pPr>
    </w:p>
    <w:p w14:paraId="09D9141B" w14:textId="77777777" w:rsidR="00B47E3B" w:rsidRDefault="00B47E3B" w:rsidP="00B47E3B">
      <w:pPr>
        <w:pStyle w:val="Ruller40"/>
        <w:rPr>
          <w:rFonts w:cs="David"/>
          <w:b/>
          <w:bCs/>
          <w:szCs w:val="24"/>
          <w:u w:val="single"/>
        </w:rPr>
      </w:pPr>
      <w:r>
        <w:rPr>
          <w:rFonts w:cs="David"/>
          <w:b/>
          <w:bCs/>
          <w:szCs w:val="24"/>
          <w:u w:val="single"/>
          <w:rtl/>
        </w:rPr>
        <w:t>הפגיעה בערך המוגן</w:t>
      </w:r>
    </w:p>
    <w:p w14:paraId="67E5011C" w14:textId="77777777" w:rsidR="00B47E3B" w:rsidRPr="00CD2C40" w:rsidRDefault="00B47E3B" w:rsidP="00B47E3B">
      <w:pPr>
        <w:pStyle w:val="Ruller40"/>
        <w:numPr>
          <w:ilvl w:val="0"/>
          <w:numId w:val="1"/>
        </w:numPr>
        <w:ind w:left="0" w:firstLine="0"/>
        <w:rPr>
          <w:rFonts w:ascii="David" w:hAnsi="David" w:cs="David"/>
          <w:szCs w:val="24"/>
          <w:rtl/>
        </w:rPr>
      </w:pPr>
      <w:r w:rsidRPr="00CD2C40">
        <w:rPr>
          <w:rFonts w:ascii="David" w:hAnsi="David" w:cs="David"/>
          <w:szCs w:val="24"/>
          <w:rtl/>
        </w:rPr>
        <w:t xml:space="preserve">במקרה זה, הערך החברתי המוגן שנפגע הוא ההגנה על שלום הציבור ובריאותו. הפסיקה חוזרת ומדגישה את חומרתן של עבירות הסמים וכן את הצורך בענישה מחמירה ומרתיעה בעבירות של סחר בסמים והחזקת סמים שלא לצריכה עצמית, וזאת בפרט לנוכח הקלות שבביצוע עבירות אלה. השמירה על שלום הציבור ובריאותו מפני נגע הסמים, שאינו מבחין בין "סמים קלים" ל"סמים קשים", שתוצאות השימוש בהם וההתמכרות אליהם קשות, ארוכות טווח ורחבות היקף וחורגות מעניינו של אדם אחד, ונוגעות לכלל החברה. על כן, מתחייבת ענישה מוחשית ומרתיעה כלפי סוחרי הסמים. </w:t>
      </w:r>
    </w:p>
    <w:p w14:paraId="57687CF1" w14:textId="77777777" w:rsidR="00B47E3B" w:rsidRPr="00B47E3B" w:rsidRDefault="00B47E3B" w:rsidP="00B47E3B">
      <w:pPr>
        <w:rPr>
          <w:rFonts w:cs="Arial"/>
          <w:szCs w:val="22"/>
          <w:rtl/>
        </w:rPr>
      </w:pPr>
    </w:p>
    <w:p w14:paraId="5E8E075C" w14:textId="77777777" w:rsidR="00B47E3B" w:rsidRDefault="00B47E3B" w:rsidP="00B47E3B">
      <w:pPr>
        <w:pStyle w:val="Ruller40"/>
        <w:numPr>
          <w:ilvl w:val="0"/>
          <w:numId w:val="1"/>
        </w:numPr>
        <w:ind w:left="0" w:firstLine="0"/>
        <w:rPr>
          <w:rFonts w:cs="David"/>
          <w:szCs w:val="24"/>
          <w:rtl/>
        </w:rPr>
      </w:pPr>
      <w:r>
        <w:rPr>
          <w:rFonts w:cs="David"/>
          <w:szCs w:val="24"/>
          <w:rtl/>
        </w:rPr>
        <w:t>פוטנציאל הנזק הטמון בביצוע עבירות של סחר והחזקת סמים הוא עצום ולא מצאתי להכביר במילים. אשר לעבירת ההחזקה כבר נקבע ב</w:t>
      </w:r>
      <w:hyperlink r:id="rId34" w:history="1">
        <w:r w:rsidR="00E921B4" w:rsidRPr="00E921B4">
          <w:rPr>
            <w:rFonts w:cs="David" w:hint="cs"/>
            <w:color w:val="0000FF"/>
            <w:szCs w:val="24"/>
            <w:u w:val="single"/>
            <w:rtl/>
          </w:rPr>
          <w:t>ע</w:t>
        </w:r>
        <w:r w:rsidR="00E921B4" w:rsidRPr="00E921B4">
          <w:rPr>
            <w:rFonts w:cs="David"/>
            <w:color w:val="0000FF"/>
            <w:szCs w:val="24"/>
            <w:u w:val="single"/>
            <w:rtl/>
          </w:rPr>
          <w:t>"</w:t>
        </w:r>
        <w:r w:rsidR="00E921B4" w:rsidRPr="00E921B4">
          <w:rPr>
            <w:rFonts w:cs="David" w:hint="cs"/>
            <w:color w:val="0000FF"/>
            <w:szCs w:val="24"/>
            <w:u w:val="single"/>
            <w:rtl/>
          </w:rPr>
          <w:t>פ</w:t>
        </w:r>
        <w:r w:rsidR="00E921B4" w:rsidRPr="00E921B4">
          <w:rPr>
            <w:rFonts w:cs="David"/>
            <w:color w:val="0000FF"/>
            <w:szCs w:val="24"/>
            <w:u w:val="single"/>
            <w:rtl/>
          </w:rPr>
          <w:t xml:space="preserve"> 1345/08</w:t>
        </w:r>
      </w:hyperlink>
      <w:r>
        <w:rPr>
          <w:rFonts w:cs="David"/>
          <w:szCs w:val="24"/>
          <w:rtl/>
        </w:rPr>
        <w:t xml:space="preserve"> </w:t>
      </w:r>
      <w:r>
        <w:rPr>
          <w:rFonts w:cs="David" w:hint="cs"/>
          <w:b/>
          <w:bCs/>
          <w:szCs w:val="24"/>
          <w:rtl/>
        </w:rPr>
        <w:t>ארקדי איסטרחוב נ' מדינת ישראל</w:t>
      </w:r>
      <w:r>
        <w:rPr>
          <w:rFonts w:cs="David" w:hint="cs"/>
          <w:szCs w:val="24"/>
          <w:rtl/>
        </w:rPr>
        <w:t xml:space="preserve"> (ניתן ביום 18.5.2009):</w:t>
      </w:r>
    </w:p>
    <w:p w14:paraId="09BD3E26" w14:textId="77777777" w:rsidR="00B47E3B" w:rsidRPr="00B47E3B" w:rsidRDefault="00B47E3B" w:rsidP="00B47E3B">
      <w:pPr>
        <w:rPr>
          <w:rFonts w:cs="Arial"/>
          <w:szCs w:val="22"/>
          <w:rtl/>
        </w:rPr>
      </w:pPr>
    </w:p>
    <w:p w14:paraId="3C05F698" w14:textId="77777777" w:rsidR="00B47E3B" w:rsidRDefault="00B47E3B" w:rsidP="00B47E3B">
      <w:pPr>
        <w:spacing w:line="360" w:lineRule="auto"/>
        <w:ind w:left="658" w:right="284"/>
        <w:jc w:val="both"/>
        <w:rPr>
          <w:rtl/>
        </w:rPr>
      </w:pPr>
      <w:r>
        <w:rPr>
          <w:b/>
          <w:bCs/>
          <w:rtl/>
        </w:rPr>
        <w:t>"אין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עבירה זו היא תאומתה הסטטוטורית של עבירת הסחר בסמים, אלא שלא ניתן להוכיח לגביה את הסחר עצמו, ונקבע לשתיהן עונשה זהה, עונש מירבי של עשרים שנות מאסר וקנס פי עשרים וחמישה מזה הקבוע בסעיף 61(א)(4) ל</w:t>
      </w:r>
      <w:hyperlink r:id="rId35" w:history="1">
        <w:r w:rsidR="00E921B4" w:rsidRPr="00E921B4">
          <w:rPr>
            <w:b/>
            <w:bCs/>
            <w:color w:val="0000FF"/>
            <w:u w:val="single"/>
            <w:rtl/>
          </w:rPr>
          <w:t>חוק העונשין</w:t>
        </w:r>
      </w:hyperlink>
      <w:r>
        <w:rPr>
          <w:b/>
          <w:bCs/>
          <w:rtl/>
        </w:rPr>
        <w:t>, העומד כיום על 202,000 ₪... יידעו המעורבים בסמים שלא לצריכה עצמית, כי יד המשפט תכבד עליהם</w:t>
      </w:r>
      <w:r>
        <w:rPr>
          <w:rtl/>
        </w:rPr>
        <w:t>".</w:t>
      </w:r>
    </w:p>
    <w:p w14:paraId="4BD2074D" w14:textId="77777777" w:rsidR="00B47E3B" w:rsidRDefault="00B47E3B" w:rsidP="00B47E3B">
      <w:pPr>
        <w:spacing w:line="360" w:lineRule="auto"/>
        <w:ind w:left="658" w:right="284"/>
        <w:jc w:val="both"/>
        <w:rPr>
          <w:rtl/>
        </w:rPr>
      </w:pPr>
    </w:p>
    <w:p w14:paraId="536EE5E5" w14:textId="77777777" w:rsidR="00B47E3B" w:rsidRDefault="00B47E3B" w:rsidP="00B47E3B">
      <w:pPr>
        <w:pStyle w:val="Ruller40"/>
        <w:numPr>
          <w:ilvl w:val="0"/>
          <w:numId w:val="1"/>
        </w:numPr>
        <w:ind w:left="0" w:firstLine="0"/>
        <w:rPr>
          <w:rFonts w:cs="David"/>
          <w:szCs w:val="24"/>
          <w:rtl/>
        </w:rPr>
      </w:pPr>
      <w:r>
        <w:rPr>
          <w:rFonts w:cs="David"/>
          <w:szCs w:val="24"/>
          <w:rtl/>
        </w:rPr>
        <w:t xml:space="preserve"> בנוגע לעבירות של סחר בסמים נקבע ב</w:t>
      </w:r>
      <w:hyperlink r:id="rId36" w:history="1">
        <w:r w:rsidR="00E921B4" w:rsidRPr="00E921B4">
          <w:rPr>
            <w:rFonts w:cs="David" w:hint="cs"/>
            <w:color w:val="0000FF"/>
            <w:szCs w:val="24"/>
            <w:u w:val="single"/>
            <w:rtl/>
          </w:rPr>
          <w:t>ע</w:t>
        </w:r>
        <w:r w:rsidR="00E921B4" w:rsidRPr="00E921B4">
          <w:rPr>
            <w:rFonts w:cs="David"/>
            <w:color w:val="0000FF"/>
            <w:szCs w:val="24"/>
            <w:u w:val="single"/>
            <w:rtl/>
          </w:rPr>
          <w:t>"</w:t>
        </w:r>
        <w:r w:rsidR="00E921B4" w:rsidRPr="00E921B4">
          <w:rPr>
            <w:rFonts w:cs="David" w:hint="cs"/>
            <w:color w:val="0000FF"/>
            <w:szCs w:val="24"/>
            <w:u w:val="single"/>
            <w:rtl/>
          </w:rPr>
          <w:t>פ</w:t>
        </w:r>
        <w:r w:rsidR="00E921B4" w:rsidRPr="00E921B4">
          <w:rPr>
            <w:rFonts w:cs="David"/>
            <w:color w:val="0000FF"/>
            <w:szCs w:val="24"/>
            <w:u w:val="single"/>
            <w:rtl/>
          </w:rPr>
          <w:t xml:space="preserve"> 2596/18</w:t>
        </w:r>
      </w:hyperlink>
      <w:r>
        <w:rPr>
          <w:rFonts w:cs="David"/>
          <w:szCs w:val="24"/>
          <w:rtl/>
        </w:rPr>
        <w:t xml:space="preserve"> זנזורי נ' מ"י (מיום 12.8.2018): </w:t>
      </w:r>
    </w:p>
    <w:p w14:paraId="6076629F" w14:textId="77777777" w:rsidR="00B47E3B" w:rsidRPr="00B47E3B" w:rsidRDefault="00B47E3B" w:rsidP="00B47E3B">
      <w:pPr>
        <w:spacing w:line="360" w:lineRule="auto"/>
        <w:ind w:left="658" w:right="284"/>
        <w:jc w:val="both"/>
        <w:rPr>
          <w:rFonts w:ascii="Calibri" w:eastAsia="Calibri" w:hAnsi="Calibri"/>
          <w:b/>
          <w:bCs/>
          <w:sz w:val="22"/>
          <w:rtl/>
        </w:rPr>
      </w:pPr>
      <w:r>
        <w:rPr>
          <w:rFonts w:cs="FrankRuehl"/>
          <w:sz w:val="26"/>
          <w:szCs w:val="26"/>
          <w:rtl/>
        </w:rPr>
        <w:t>"</w:t>
      </w:r>
      <w:r>
        <w:rPr>
          <w:b/>
          <w:bCs/>
          <w:rtl/>
        </w:rPr>
        <w:t>לפני סיום, ארשום הערת אזהרה לפני הצרכנים והמשתמשים.</w:t>
      </w:r>
    </w:p>
    <w:p w14:paraId="38B26533" w14:textId="77777777" w:rsidR="00B47E3B" w:rsidRDefault="00B47E3B" w:rsidP="00B47E3B">
      <w:pPr>
        <w:spacing w:line="360" w:lineRule="auto"/>
        <w:ind w:left="658" w:right="284"/>
        <w:jc w:val="both"/>
        <w:rPr>
          <w:rFonts w:cs="FrankRuehl"/>
          <w:sz w:val="26"/>
          <w:szCs w:val="26"/>
          <w:rtl/>
        </w:rPr>
      </w:pPr>
      <w:r>
        <w:rPr>
          <w:b/>
          <w:bCs/>
          <w:rtl/>
        </w:rPr>
        <w:t>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שהגם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 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ידע כל מי שמהרהר בדרכים לעשיית כסף קל, כי מדיניות הענישה לא השתנתה, ובית המשפט רואה בחומרה רבה עבירות של סחר והפצה של סמים מסוכנים, גם סמים "קלים", תוך הטלת ענישה משמעותית ומרתיעה. צרכנים ומשתמשים – ראו הוזהרתם</w:t>
      </w:r>
      <w:r>
        <w:rPr>
          <w:rFonts w:cs="FrankRuehl"/>
          <w:sz w:val="26"/>
          <w:szCs w:val="26"/>
          <w:rtl/>
        </w:rPr>
        <w:t>".</w:t>
      </w:r>
    </w:p>
    <w:p w14:paraId="2EE11D89" w14:textId="77777777" w:rsidR="00B47E3B" w:rsidRDefault="00B47E3B" w:rsidP="00B47E3B">
      <w:pPr>
        <w:pStyle w:val="Ruller40"/>
        <w:rPr>
          <w:rFonts w:cs="David"/>
          <w:b/>
          <w:bCs/>
          <w:szCs w:val="24"/>
          <w:u w:val="single"/>
          <w:rtl/>
        </w:rPr>
      </w:pPr>
    </w:p>
    <w:p w14:paraId="0D36D99A" w14:textId="77777777" w:rsidR="00B47E3B" w:rsidRDefault="00B47E3B" w:rsidP="00B47E3B">
      <w:pPr>
        <w:pStyle w:val="Ruller40"/>
        <w:rPr>
          <w:b/>
          <w:bCs/>
          <w:u w:val="single"/>
          <w:rtl/>
        </w:rPr>
      </w:pPr>
      <w:r>
        <w:rPr>
          <w:rFonts w:cs="David"/>
          <w:b/>
          <w:bCs/>
          <w:szCs w:val="24"/>
          <w:u w:val="single"/>
          <w:rtl/>
        </w:rPr>
        <w:t xml:space="preserve">נסיבות הקשורות בביצוע העבירה </w:t>
      </w:r>
    </w:p>
    <w:p w14:paraId="0C46B1B4" w14:textId="77777777" w:rsidR="00B47E3B" w:rsidRDefault="00B47E3B" w:rsidP="00B47E3B">
      <w:pPr>
        <w:pStyle w:val="Ruller40"/>
        <w:numPr>
          <w:ilvl w:val="0"/>
          <w:numId w:val="1"/>
        </w:numPr>
        <w:ind w:left="0" w:firstLine="0"/>
        <w:rPr>
          <w:rFonts w:cs="David"/>
          <w:szCs w:val="24"/>
          <w:rtl/>
        </w:rPr>
      </w:pPr>
      <w:r>
        <w:rPr>
          <w:rFonts w:cs="David"/>
          <w:szCs w:val="24"/>
          <w:rtl/>
        </w:rPr>
        <w:t>במסגרת הנסיבות הקשורות בביצוע העבירה, נתתי דעתי, בין היתר, לנסיבות הבאות:</w:t>
      </w:r>
    </w:p>
    <w:p w14:paraId="0F1C082E" w14:textId="77777777" w:rsidR="00B47E3B" w:rsidRDefault="00B47E3B" w:rsidP="00B47E3B">
      <w:pPr>
        <w:pStyle w:val="Ruller40"/>
        <w:rPr>
          <w:rFonts w:cs="David"/>
          <w:szCs w:val="24"/>
          <w:rtl/>
        </w:rPr>
      </w:pPr>
      <w:r>
        <w:rPr>
          <w:rFonts w:cs="David"/>
          <w:szCs w:val="24"/>
          <w:rtl/>
        </w:rPr>
        <w:tab/>
      </w:r>
      <w:r>
        <w:rPr>
          <w:rFonts w:cs="David"/>
          <w:szCs w:val="24"/>
          <w:u w:val="single"/>
          <w:rtl/>
        </w:rPr>
        <w:t>התכנון שקדם לביצוע העבירה</w:t>
      </w:r>
      <w:r>
        <w:rPr>
          <w:rFonts w:cs="David"/>
          <w:szCs w:val="24"/>
          <w:rtl/>
        </w:rPr>
        <w:t xml:space="preserve"> – הנאשם ביצע 6 עבירות של סחר בסמים וברשותו נתפסו סמים בתוך שקיות חלוקה. העבירות בהן הורשע הנאשם מלמדות כי הן בוצעו מתוך תכנון מוקדם ולאחר בניית תכנית עבריינית שהרי מדובר בסחר בסמים, תוך קבלת תמורה ולאחר תיאום מוקדם עם הלקוחות. </w:t>
      </w:r>
    </w:p>
    <w:p w14:paraId="4172929F" w14:textId="77777777" w:rsidR="00B47E3B" w:rsidRDefault="00B47E3B" w:rsidP="00B47E3B">
      <w:pPr>
        <w:rPr>
          <w:rFonts w:ascii="Garamond" w:hAnsi="Garamond"/>
          <w:spacing w:val="10"/>
          <w:rtl/>
        </w:rPr>
      </w:pPr>
    </w:p>
    <w:p w14:paraId="636FA34B" w14:textId="77777777" w:rsidR="00B47E3B" w:rsidRDefault="00B47E3B" w:rsidP="00B47E3B">
      <w:pPr>
        <w:spacing w:line="360" w:lineRule="auto"/>
        <w:ind w:firstLine="720"/>
        <w:jc w:val="both"/>
        <w:rPr>
          <w:rFonts w:ascii="Garamond" w:hAnsi="Garamond"/>
          <w:spacing w:val="10"/>
          <w:rtl/>
        </w:rPr>
      </w:pPr>
      <w:r>
        <w:rPr>
          <w:rFonts w:ascii="Garamond" w:hAnsi="Garamond"/>
          <w:spacing w:val="10"/>
          <w:u w:val="single"/>
          <w:rtl/>
        </w:rPr>
        <w:t>הסיבות שהביאו את הנאשם לבצע את העבירה</w:t>
      </w:r>
      <w:r>
        <w:rPr>
          <w:rFonts w:ascii="Garamond" w:hAnsi="Garamond"/>
          <w:spacing w:val="10"/>
          <w:rtl/>
        </w:rPr>
        <w:t xml:space="preserve"> – אמנם, בדבריו האחרונים מסר הנאשם כי ביצע את העבירה לנוכח קריסה כלכלית אף שאינני ממעיט בנסיבה זו, אינני סבור שניתן משקל של ממש לכך שהקריסה הכלכלית הביאה את הנאשם לביצוע העבירות בהן הורשע. ראשית, יצוין כי הנאשם לא הגיש ראיות מבוססות לעניין קריסתו הכלכלית. שנית, אף אם היה מוכיח הנאשם קריסה כלכלית, אין כל הצדקה למעשיו של הנאשם. בסופו של דבר, הנאשם בחר בדרך הקלה והמסוכנת להרוויח כסף קל. לכך לא ניתן לתת יד. האינטרס הציבורי מחייב מלחמה שערה במפיצי סמים. </w:t>
      </w:r>
    </w:p>
    <w:p w14:paraId="4CD863AA" w14:textId="77777777" w:rsidR="00B47E3B" w:rsidRDefault="00B47E3B" w:rsidP="00B47E3B">
      <w:pPr>
        <w:spacing w:line="360" w:lineRule="auto"/>
        <w:jc w:val="both"/>
        <w:rPr>
          <w:rFonts w:ascii="Garamond" w:hAnsi="Garamond"/>
          <w:spacing w:val="10"/>
          <w:rtl/>
        </w:rPr>
      </w:pPr>
    </w:p>
    <w:p w14:paraId="24744E6C" w14:textId="77777777" w:rsidR="00B47E3B" w:rsidRDefault="00B47E3B" w:rsidP="00B47E3B">
      <w:pPr>
        <w:spacing w:line="360" w:lineRule="auto"/>
        <w:ind w:firstLine="720"/>
        <w:jc w:val="both"/>
        <w:rPr>
          <w:rFonts w:ascii="Garamond" w:hAnsi="Garamond"/>
          <w:spacing w:val="10"/>
          <w:rtl/>
        </w:rPr>
      </w:pPr>
      <w:r>
        <w:rPr>
          <w:rFonts w:ascii="Garamond" w:hAnsi="Garamond"/>
          <w:spacing w:val="10"/>
          <w:u w:val="single"/>
          <w:rtl/>
        </w:rPr>
        <w:t xml:space="preserve">הנזק שנגרם וצפוי היה להיגרם מביצוע העבירה </w:t>
      </w:r>
      <w:r>
        <w:rPr>
          <w:rFonts w:ascii="Garamond" w:hAnsi="Garamond"/>
          <w:spacing w:val="10"/>
          <w:rtl/>
        </w:rPr>
        <w:t xml:space="preserve">–  כמות הסם שנתפסה ברכבו של הנאשם גדולה פי כמה וכמה מהכמות המוגדרת ככמות לצריכה עצמית בתוספת השנייה בפקודה. אין צורך להכביר במילים על הנזק הנובע מצריכת סמים לציבור המשתמשים וכפועל יוצא מכך לציבור הרחב. על כך יש להוסיף שהנאשם הצליח לסחור בפועל ולהפיץ סמים ל-6 אנשים שונים. כך שנגרם נזק ממשי לציבור. </w:t>
      </w:r>
    </w:p>
    <w:p w14:paraId="1CF13AA9" w14:textId="77777777" w:rsidR="00B47E3B" w:rsidRDefault="00B47E3B" w:rsidP="00B47E3B">
      <w:pPr>
        <w:spacing w:line="360" w:lineRule="auto"/>
        <w:jc w:val="both"/>
        <w:rPr>
          <w:rFonts w:ascii="Garamond" w:hAnsi="Garamond"/>
          <w:spacing w:val="10"/>
          <w:rtl/>
        </w:rPr>
      </w:pPr>
    </w:p>
    <w:p w14:paraId="6D642C6D" w14:textId="77777777" w:rsidR="00B47E3B" w:rsidRDefault="00B47E3B" w:rsidP="00B47E3B">
      <w:pPr>
        <w:spacing w:line="360" w:lineRule="auto"/>
        <w:jc w:val="both"/>
        <w:rPr>
          <w:rFonts w:ascii="Garamond" w:hAnsi="Garamond"/>
          <w:spacing w:val="10"/>
          <w:u w:val="single"/>
          <w:rtl/>
        </w:rPr>
      </w:pPr>
      <w:r>
        <w:rPr>
          <w:rFonts w:cs="FrankRuehl"/>
          <w:sz w:val="26"/>
          <w:szCs w:val="26"/>
          <w:rtl/>
        </w:rPr>
        <w:tab/>
      </w:r>
      <w:r>
        <w:rPr>
          <w:rFonts w:ascii="Garamond" w:hAnsi="Garamond"/>
          <w:spacing w:val="10"/>
          <w:u w:val="single"/>
          <w:rtl/>
        </w:rPr>
        <w:t>באשר ליכולתו של הנאשם להבין את אשר הוא עושה, את פסול שבמעשיו או את משמעותו, לרבות בשל גילו וכן באשר ליכולתו של הנאשם להימנע מהמעשה ומידת השליטה שלו על מעשהו</w:t>
      </w:r>
      <w:r>
        <w:rPr>
          <w:rFonts w:ascii="Garamond" w:hAnsi="Garamond"/>
          <w:spacing w:val="10"/>
          <w:rtl/>
        </w:rPr>
        <w:t xml:space="preserve">; מדובר בנאשם שאומנם יש לו נסיבות חיים מורכבות כפי שתואר בתסקיר, אך לנאשם לא הייתה כל מגבלה להבנת מעשיו. כפי שצוין לעיל, הנאשם בחר לבצע את העבירות לשם בצע כסף. </w:t>
      </w:r>
    </w:p>
    <w:p w14:paraId="370932EE" w14:textId="77777777" w:rsidR="00B47E3B" w:rsidRPr="00B47E3B" w:rsidRDefault="00B47E3B" w:rsidP="00B47E3B">
      <w:pPr>
        <w:jc w:val="both"/>
        <w:rPr>
          <w:rFonts w:ascii="Arial" w:eastAsia="Calibri" w:hAnsi="Arial"/>
          <w:b/>
          <w:bCs/>
          <w:u w:val="single"/>
          <w:rtl/>
        </w:rPr>
      </w:pPr>
    </w:p>
    <w:p w14:paraId="76F3AC80" w14:textId="77777777" w:rsidR="00B47E3B" w:rsidRPr="00B47E3B" w:rsidRDefault="00B47E3B" w:rsidP="00B47E3B">
      <w:pPr>
        <w:jc w:val="both"/>
        <w:rPr>
          <w:rFonts w:ascii="Arial" w:hAnsi="Arial"/>
          <w:b/>
          <w:bCs/>
          <w:u w:val="single"/>
          <w:rtl/>
        </w:rPr>
      </w:pPr>
      <w:r w:rsidRPr="00B47E3B">
        <w:rPr>
          <w:rFonts w:ascii="Arial" w:hAnsi="Arial"/>
          <w:b/>
          <w:bCs/>
          <w:u w:val="single"/>
          <w:rtl/>
        </w:rPr>
        <w:t>מדיניות הענישה הנוהגת</w:t>
      </w:r>
    </w:p>
    <w:p w14:paraId="7D2D94BF" w14:textId="77777777" w:rsidR="00B47E3B" w:rsidRPr="00B47E3B" w:rsidRDefault="00B47E3B" w:rsidP="00B47E3B">
      <w:pPr>
        <w:pStyle w:val="Ruller40"/>
        <w:numPr>
          <w:ilvl w:val="0"/>
          <w:numId w:val="1"/>
        </w:numPr>
        <w:ind w:left="0" w:firstLine="0"/>
        <w:rPr>
          <w:rFonts w:ascii="Arial" w:hAnsi="Arial"/>
        </w:rPr>
      </w:pPr>
      <w:r>
        <w:rPr>
          <w:rFonts w:cs="David"/>
          <w:szCs w:val="24"/>
          <w:rtl/>
        </w:rPr>
        <w:t>מצאתי את הפסיקה שלהלן כרלבנטית לקביעת מתחם העונש ההולם</w:t>
      </w:r>
      <w:r w:rsidRPr="00B47E3B">
        <w:rPr>
          <w:rFonts w:ascii="Arial" w:hAnsi="Arial"/>
          <w:rtl/>
        </w:rPr>
        <w:t>:</w:t>
      </w:r>
    </w:p>
    <w:p w14:paraId="58B0531B" w14:textId="77777777" w:rsidR="00B47E3B" w:rsidRPr="00B47E3B" w:rsidRDefault="00B47E3B" w:rsidP="00B47E3B">
      <w:pPr>
        <w:rPr>
          <w:rFonts w:ascii="Calibri" w:hAnsi="Calibri"/>
          <w:rtl/>
        </w:rPr>
      </w:pPr>
    </w:p>
    <w:p w14:paraId="7F71060D" w14:textId="77777777" w:rsidR="00B47E3B" w:rsidRDefault="00E921B4" w:rsidP="00B47E3B">
      <w:pPr>
        <w:pStyle w:val="a9"/>
        <w:numPr>
          <w:ilvl w:val="0"/>
          <w:numId w:val="2"/>
        </w:numPr>
        <w:spacing w:after="0" w:line="360" w:lineRule="auto"/>
        <w:jc w:val="both"/>
        <w:rPr>
          <w:rFonts w:ascii="David" w:hAnsi="David" w:cs="David"/>
          <w:sz w:val="24"/>
          <w:szCs w:val="24"/>
        </w:rPr>
      </w:pPr>
      <w:hyperlink r:id="rId37" w:history="1">
        <w:r w:rsidRPr="00E921B4">
          <w:rPr>
            <w:rFonts w:ascii="David" w:hAnsi="David" w:cs="David"/>
            <w:color w:val="0000FF"/>
            <w:sz w:val="24"/>
            <w:szCs w:val="24"/>
            <w:u w:val="single"/>
            <w:rtl/>
          </w:rPr>
          <w:t>ת"פ 26153-04-21</w:t>
        </w:r>
      </w:hyperlink>
      <w:r w:rsidR="00B47E3B">
        <w:rPr>
          <w:rFonts w:ascii="David" w:hAnsi="David" w:cs="David"/>
          <w:sz w:val="24"/>
          <w:szCs w:val="24"/>
          <w:u w:val="single"/>
          <w:rtl/>
        </w:rPr>
        <w:t xml:space="preserve"> </w:t>
      </w:r>
      <w:r w:rsidR="00B47E3B">
        <w:rPr>
          <w:rFonts w:ascii="David" w:hAnsi="David" w:cs="David"/>
          <w:sz w:val="24"/>
          <w:szCs w:val="24"/>
          <w:rtl/>
        </w:rPr>
        <w:t xml:space="preserve">(שלום-י-ם) </w:t>
      </w:r>
      <w:r w:rsidR="00B47E3B">
        <w:rPr>
          <w:rFonts w:ascii="David" w:hAnsi="David" w:cs="David"/>
          <w:b/>
          <w:bCs/>
          <w:sz w:val="24"/>
          <w:szCs w:val="24"/>
          <w:rtl/>
        </w:rPr>
        <w:t>מדינת ישראל נ' קוזנצוב</w:t>
      </w:r>
      <w:r w:rsidR="00B47E3B">
        <w:rPr>
          <w:rFonts w:ascii="David" w:hAnsi="David" w:cs="David"/>
          <w:sz w:val="24"/>
          <w:szCs w:val="24"/>
          <w:rtl/>
        </w:rPr>
        <w:t xml:space="preserve"> בית המשפט הרשיע את הנאשם בביצוע עבירות של החזקת סם לצריכה עצמית, החזקת סם שלא לצריכה עצמית, ניסיון בסחר בסמים ו-2 עבירות של סחר בסמים. בית המשפט קבע מתחם ענישה הנע בין 4-12 חודשי מאסר. בית המשפט קבע מתחם ענישה אחיד לכלל העבירות בשל סמיכות הזמנים ושיטת ביצוע העבירות. בית המשפט גזר על הנאשם</w:t>
      </w:r>
      <w:r w:rsidR="00B47E3B">
        <w:rPr>
          <w:rFonts w:ascii="David" w:hAnsi="David" w:cs="David"/>
          <w:sz w:val="24"/>
          <w:szCs w:val="24"/>
        </w:rPr>
        <w:t xml:space="preserve">400 </w:t>
      </w:r>
      <w:r w:rsidR="00B47E3B">
        <w:rPr>
          <w:rFonts w:ascii="David" w:hAnsi="David" w:cs="David"/>
          <w:sz w:val="24"/>
          <w:szCs w:val="24"/>
          <w:rtl/>
        </w:rPr>
        <w:t xml:space="preserve"> </w:t>
      </w:r>
      <w:r w:rsidR="00B47E3B">
        <w:rPr>
          <w:rFonts w:ascii="David" w:hAnsi="David" w:cs="David" w:hint="cs"/>
          <w:sz w:val="24"/>
          <w:szCs w:val="24"/>
          <w:rtl/>
        </w:rPr>
        <w:t xml:space="preserve">שעות של"ץ לצד מאסר מותנה. </w:t>
      </w:r>
      <w:r>
        <w:rPr>
          <w:rFonts w:ascii="David" w:hAnsi="David" w:cs="David" w:hint="cs"/>
          <w:sz w:val="24"/>
          <w:szCs w:val="24"/>
          <w:rtl/>
        </w:rPr>
        <w:t xml:space="preserve"> </w:t>
      </w:r>
    </w:p>
    <w:p w14:paraId="2E02195C" w14:textId="77777777" w:rsidR="00B47E3B" w:rsidRDefault="00B47E3B" w:rsidP="00B47E3B">
      <w:pPr>
        <w:pStyle w:val="a9"/>
        <w:spacing w:after="0" w:line="360" w:lineRule="auto"/>
        <w:ind w:left="1080"/>
        <w:jc w:val="both"/>
        <w:rPr>
          <w:rFonts w:ascii="David" w:hAnsi="David" w:cs="David"/>
          <w:sz w:val="24"/>
          <w:szCs w:val="24"/>
        </w:rPr>
      </w:pPr>
    </w:p>
    <w:p w14:paraId="2193A2FC" w14:textId="77777777" w:rsidR="00B47E3B" w:rsidRDefault="00E921B4" w:rsidP="00B47E3B">
      <w:pPr>
        <w:pStyle w:val="a9"/>
        <w:numPr>
          <w:ilvl w:val="0"/>
          <w:numId w:val="2"/>
        </w:numPr>
        <w:spacing w:after="0" w:line="360" w:lineRule="auto"/>
        <w:jc w:val="both"/>
        <w:rPr>
          <w:rFonts w:ascii="David" w:hAnsi="David" w:cs="David"/>
          <w:sz w:val="24"/>
          <w:szCs w:val="24"/>
        </w:rPr>
      </w:pPr>
      <w:hyperlink r:id="rId38" w:history="1">
        <w:r w:rsidRPr="00E921B4">
          <w:rPr>
            <w:rFonts w:ascii="David" w:hAnsi="David" w:cs="David"/>
            <w:color w:val="0000FF"/>
            <w:sz w:val="24"/>
            <w:szCs w:val="24"/>
            <w:u w:val="single"/>
            <w:rtl/>
          </w:rPr>
          <w:t>ת"פ 60835-04-21</w:t>
        </w:r>
      </w:hyperlink>
      <w:r w:rsidR="00B47E3B">
        <w:rPr>
          <w:rFonts w:ascii="David" w:hAnsi="David" w:cs="David"/>
          <w:sz w:val="24"/>
          <w:szCs w:val="24"/>
          <w:rtl/>
        </w:rPr>
        <w:t xml:space="preserve"> (שלום-י-ם)</w:t>
      </w:r>
      <w:r w:rsidR="00B47E3B">
        <w:rPr>
          <w:rFonts w:ascii="David" w:hAnsi="David" w:cs="David"/>
          <w:b/>
          <w:bCs/>
          <w:sz w:val="24"/>
          <w:szCs w:val="24"/>
          <w:rtl/>
        </w:rPr>
        <w:t xml:space="preserve"> מדינת ישראל נ' נחמן אריניאס</w:t>
      </w:r>
      <w:r w:rsidR="00B47E3B">
        <w:rPr>
          <w:rFonts w:ascii="David" w:hAnsi="David" w:cs="David"/>
          <w:sz w:val="24"/>
          <w:szCs w:val="24"/>
          <w:rtl/>
        </w:rPr>
        <w:t xml:space="preserve"> בית המשפט הרשיע את הנאשם בעבירות של ניסיון לסחור בסמים מסוכנים, החזקת סם שלא לצריכה עצמית, ו-11 עבירות של סחר בסמים. הנאשם שם סחר ב-60 גרם קנביס ב-11 עסקאות שונות ונתפס כשברכבו סם מסוג קנביס במשקל של  179 גרם. </w:t>
      </w:r>
      <w:r w:rsidR="00B47E3B">
        <w:rPr>
          <w:rFonts w:ascii="David" w:hAnsi="David" w:cs="David"/>
          <w:sz w:val="24"/>
          <w:szCs w:val="24"/>
          <w:u w:val="single"/>
          <w:rtl/>
        </w:rPr>
        <w:t>בית המשפט קבע מתחם ענישה אחיד הנע בין  9 – 24 חודשי מאסר.</w:t>
      </w:r>
      <w:r w:rsidR="00B47E3B">
        <w:rPr>
          <w:rFonts w:ascii="David" w:hAnsi="David" w:cs="David"/>
          <w:sz w:val="24"/>
          <w:szCs w:val="24"/>
          <w:rtl/>
        </w:rPr>
        <w:t xml:space="preserve"> בית המשפט קבע מתחם ענישה אחד לכלל העבירות בשל שיטת פעולה זהה, טווח הזמנים וחזרה לאותם לקוחו. </w:t>
      </w:r>
      <w:r w:rsidR="00B47E3B">
        <w:rPr>
          <w:rFonts w:ascii="David" w:hAnsi="David" w:cs="David"/>
          <w:sz w:val="24"/>
          <w:szCs w:val="24"/>
          <w:u w:val="single"/>
          <w:rtl/>
        </w:rPr>
        <w:t>בית המשפט גזר על הנאשם 9 חודשי מאסר אשר יבוצעו בדרך שך עבודות שירות</w:t>
      </w:r>
      <w:r w:rsidR="00B47E3B">
        <w:rPr>
          <w:rFonts w:ascii="David" w:hAnsi="David" w:cs="David"/>
          <w:sz w:val="24"/>
          <w:szCs w:val="24"/>
          <w:rtl/>
        </w:rPr>
        <w:t xml:space="preserve">. נאשם נעדר עבר פלילי. </w:t>
      </w:r>
    </w:p>
    <w:p w14:paraId="37E058BE" w14:textId="77777777" w:rsidR="00B47E3B" w:rsidRDefault="00E921B4" w:rsidP="00B47E3B">
      <w:pPr>
        <w:shd w:val="clear" w:color="auto" w:fill="FFFFFF"/>
        <w:spacing w:line="360" w:lineRule="atLeast"/>
        <w:jc w:val="both"/>
        <w:rPr>
          <w:rFonts w:cs="Times New Roman"/>
          <w:color w:val="000000"/>
          <w:sz w:val="27"/>
          <w:szCs w:val="27"/>
        </w:rPr>
      </w:pPr>
      <w:r>
        <w:rPr>
          <w:rFonts w:ascii="David" w:hAnsi="David"/>
          <w:color w:val="000000"/>
          <w:sz w:val="26"/>
          <w:szCs w:val="26"/>
          <w:rtl/>
        </w:rPr>
        <w:t xml:space="preserve"> </w:t>
      </w:r>
    </w:p>
    <w:p w14:paraId="34B93788" w14:textId="77777777" w:rsidR="00B47E3B" w:rsidRDefault="00E921B4" w:rsidP="00B47E3B">
      <w:pPr>
        <w:pStyle w:val="a9"/>
        <w:numPr>
          <w:ilvl w:val="0"/>
          <w:numId w:val="2"/>
        </w:numPr>
        <w:spacing w:after="0" w:line="360" w:lineRule="auto"/>
        <w:jc w:val="both"/>
        <w:rPr>
          <w:rFonts w:ascii="David" w:hAnsi="David" w:cs="David"/>
          <w:sz w:val="24"/>
          <w:szCs w:val="24"/>
        </w:rPr>
      </w:pPr>
      <w:hyperlink r:id="rId39" w:history="1">
        <w:r w:rsidRPr="00E921B4">
          <w:rPr>
            <w:rFonts w:ascii="David" w:hAnsi="David" w:cs="David"/>
            <w:color w:val="0000FF"/>
            <w:sz w:val="24"/>
            <w:szCs w:val="24"/>
            <w:u w:val="single"/>
            <w:rtl/>
          </w:rPr>
          <w:t>ת"פ 43175-10-12</w:t>
        </w:r>
      </w:hyperlink>
      <w:r w:rsidR="00B47E3B">
        <w:rPr>
          <w:rFonts w:ascii="David" w:hAnsi="David" w:cs="David"/>
          <w:sz w:val="24"/>
          <w:szCs w:val="24"/>
          <w:rtl/>
        </w:rPr>
        <w:t xml:space="preserve"> (שלום-י-ם) </w:t>
      </w:r>
      <w:r w:rsidR="00B47E3B">
        <w:rPr>
          <w:rFonts w:ascii="David" w:hAnsi="David" w:cs="David"/>
          <w:b/>
          <w:bCs/>
          <w:sz w:val="24"/>
          <w:szCs w:val="24"/>
          <w:rtl/>
        </w:rPr>
        <w:t>מדינת ישראל נ' בן אבו</w:t>
      </w:r>
      <w:r w:rsidR="00B47E3B">
        <w:rPr>
          <w:rFonts w:ascii="David" w:hAnsi="David" w:cs="David"/>
          <w:sz w:val="24"/>
          <w:szCs w:val="24"/>
          <w:rtl/>
        </w:rPr>
        <w:t xml:space="preserve"> בית המשפט הרשיע את הנאשם בגין ארבעה אישומים של עבירות סחר בסם מסוכן לפי </w:t>
      </w:r>
      <w:hyperlink r:id="rId40" w:history="1">
        <w:r w:rsidR="00E73CEF" w:rsidRPr="00E73CEF">
          <w:rPr>
            <w:rStyle w:val="Hyperlink"/>
            <w:rFonts w:ascii="David" w:hAnsi="David" w:cs="David"/>
            <w:sz w:val="24"/>
            <w:szCs w:val="24"/>
            <w:rtl/>
          </w:rPr>
          <w:t>סעיף 13</w:t>
        </w:r>
      </w:hyperlink>
      <w:r w:rsidR="00B47E3B">
        <w:rPr>
          <w:rFonts w:ascii="David" w:hAnsi="David" w:cs="David"/>
          <w:sz w:val="24"/>
          <w:szCs w:val="24"/>
          <w:rtl/>
        </w:rPr>
        <w:t xml:space="preserve"> לפקודה ועבירה של החזקת סם מסוכן שלא לצריכה עצמית לפי </w:t>
      </w:r>
      <w:hyperlink r:id="rId41" w:history="1">
        <w:r w:rsidR="00E73CEF" w:rsidRPr="00E73CEF">
          <w:rPr>
            <w:rStyle w:val="Hyperlink"/>
            <w:rFonts w:ascii="David" w:hAnsi="David" w:cs="David"/>
            <w:sz w:val="24"/>
            <w:szCs w:val="24"/>
            <w:rtl/>
          </w:rPr>
          <w:t>סעיף 7</w:t>
        </w:r>
      </w:hyperlink>
      <w:r w:rsidR="00B47E3B">
        <w:rPr>
          <w:rFonts w:ascii="David" w:hAnsi="David" w:cs="David"/>
          <w:sz w:val="24"/>
          <w:szCs w:val="24"/>
          <w:rtl/>
        </w:rPr>
        <w:t xml:space="preserve"> לפקודה. על פי המתואר, מכר הנאשם לסוכן משטרתי, ב-3 הזדמנויות שונות, סם מסוג חשיש במשקל כולל של 288.97 ₪ תמורת 6,500 ₪. כמו כן,  מכר הנאשם לסוכן משטרתי 12 פלטות של סם מסוג חשיש תמורת 19,000 ₪ ובאותו מעמד נמצאו בתיקו 12 פלטות נוספות של סם מסוכן מסוג חשיש וכן פרחי הידרו. </w:t>
      </w:r>
      <w:r w:rsidR="00B47E3B">
        <w:rPr>
          <w:rFonts w:ascii="David" w:hAnsi="David" w:cs="David"/>
          <w:sz w:val="24"/>
          <w:szCs w:val="24"/>
          <w:u w:val="single"/>
          <w:rtl/>
        </w:rPr>
        <w:t xml:space="preserve">בית המשפט קבע, לכל אחת משלושת העבירות הראשונות, </w:t>
      </w:r>
      <w:r>
        <w:rPr>
          <w:rFonts w:ascii="David" w:hAnsi="David" w:cs="David"/>
          <w:sz w:val="24"/>
          <w:szCs w:val="24"/>
          <w:u w:val="single"/>
        </w:rPr>
        <w:t xml:space="preserve"> </w:t>
      </w:r>
      <w:r w:rsidR="00B47E3B">
        <w:rPr>
          <w:rFonts w:ascii="David" w:hAnsi="David" w:cs="David"/>
          <w:sz w:val="24"/>
          <w:szCs w:val="24"/>
          <w:u w:val="single"/>
          <w:rtl/>
        </w:rPr>
        <w:t>מתחם ענישה  הנע בין 6- 12 חודשי מאסר בפועל ואילו המתחם לעבירה הנוספת נע בין 18-8 חודשי מאסר בפועל</w:t>
      </w:r>
      <w:r w:rsidR="00B47E3B">
        <w:rPr>
          <w:rFonts w:ascii="David" w:hAnsi="David" w:cs="David"/>
          <w:sz w:val="24"/>
          <w:szCs w:val="24"/>
        </w:rPr>
        <w:t>.</w:t>
      </w:r>
      <w:r w:rsidR="00B47E3B">
        <w:rPr>
          <w:rFonts w:ascii="David" w:hAnsi="David" w:cs="David"/>
          <w:sz w:val="24"/>
          <w:szCs w:val="24"/>
          <w:rtl/>
        </w:rPr>
        <w:t xml:space="preserve"> </w:t>
      </w:r>
      <w:r w:rsidR="00B47E3B">
        <w:rPr>
          <w:rFonts w:ascii="David" w:hAnsi="David" w:cs="David" w:hint="cs"/>
          <w:sz w:val="24"/>
          <w:szCs w:val="24"/>
          <w:u w:val="single"/>
          <w:rtl/>
        </w:rPr>
        <w:t>בית המשפט גזר על הנאשם 6 חודשי מאסר לביצוע בדרך של עבודות שירות</w:t>
      </w:r>
      <w:r w:rsidR="00B47E3B">
        <w:rPr>
          <w:rFonts w:ascii="David" w:hAnsi="David" w:cs="David" w:hint="cs"/>
          <w:sz w:val="24"/>
          <w:szCs w:val="24"/>
          <w:rtl/>
        </w:rPr>
        <w:t xml:space="preserve">. בגין האישום הרביעי נגזר על הנאשם צו מבחן.  נאשם נעדר עבר פלילי. שירות המבחן המליץ על ענישה בדרך של עבודות שירות. </w:t>
      </w:r>
    </w:p>
    <w:p w14:paraId="40943353" w14:textId="77777777" w:rsidR="00B47E3B" w:rsidRDefault="00B47E3B" w:rsidP="00B47E3B">
      <w:pPr>
        <w:pStyle w:val="a9"/>
        <w:jc w:val="both"/>
        <w:rPr>
          <w:rFonts w:ascii="David" w:hAnsi="David" w:cs="David"/>
          <w:sz w:val="24"/>
          <w:szCs w:val="24"/>
        </w:rPr>
      </w:pPr>
    </w:p>
    <w:p w14:paraId="1081C59B" w14:textId="77777777" w:rsidR="00B47E3B" w:rsidRDefault="00B47E3B" w:rsidP="00B47E3B">
      <w:pPr>
        <w:pStyle w:val="a9"/>
        <w:jc w:val="both"/>
        <w:rPr>
          <w:rFonts w:ascii="David" w:hAnsi="David" w:cs="David"/>
          <w:sz w:val="24"/>
          <w:szCs w:val="24"/>
          <w:rtl/>
        </w:rPr>
      </w:pPr>
    </w:p>
    <w:p w14:paraId="5D86859A" w14:textId="77777777" w:rsidR="00B47E3B" w:rsidRDefault="00E921B4" w:rsidP="00B47E3B">
      <w:pPr>
        <w:pStyle w:val="a9"/>
        <w:numPr>
          <w:ilvl w:val="0"/>
          <w:numId w:val="2"/>
        </w:numPr>
        <w:spacing w:after="0" w:line="360" w:lineRule="auto"/>
        <w:jc w:val="both"/>
        <w:rPr>
          <w:rFonts w:ascii="David" w:hAnsi="David" w:cs="David"/>
          <w:sz w:val="24"/>
          <w:szCs w:val="24"/>
        </w:rPr>
      </w:pPr>
      <w:hyperlink r:id="rId42" w:history="1">
        <w:r w:rsidRPr="00E921B4">
          <w:rPr>
            <w:rFonts w:ascii="David" w:hAnsi="David" w:cs="David"/>
            <w:color w:val="0000FF"/>
            <w:sz w:val="24"/>
            <w:szCs w:val="24"/>
            <w:u w:val="single"/>
            <w:rtl/>
          </w:rPr>
          <w:t>ת"פ 3869-07-15</w:t>
        </w:r>
      </w:hyperlink>
      <w:r w:rsidR="00B47E3B">
        <w:rPr>
          <w:rFonts w:ascii="David" w:hAnsi="David" w:cs="David"/>
          <w:sz w:val="24"/>
          <w:szCs w:val="24"/>
          <w:rtl/>
        </w:rPr>
        <w:t xml:space="preserve"> (שלום –י-ם) </w:t>
      </w:r>
      <w:r w:rsidR="00B47E3B">
        <w:rPr>
          <w:rFonts w:ascii="David" w:hAnsi="David" w:cs="David"/>
          <w:b/>
          <w:bCs/>
          <w:sz w:val="24"/>
          <w:szCs w:val="24"/>
          <w:rtl/>
        </w:rPr>
        <w:t>מדינת ישראל נ' איתי עמיאל</w:t>
      </w:r>
      <w:r w:rsidR="00B47E3B">
        <w:rPr>
          <w:rFonts w:ascii="David" w:hAnsi="David" w:cs="David"/>
          <w:sz w:val="24"/>
          <w:szCs w:val="24"/>
          <w:rtl/>
        </w:rPr>
        <w:t xml:space="preserve"> בית המשפט הרשיע את הנאשם ב</w:t>
      </w:r>
      <w:r w:rsidR="00B47E3B">
        <w:rPr>
          <w:rFonts w:ascii="David" w:hAnsi="David" w:cs="David"/>
          <w:color w:val="000000"/>
          <w:sz w:val="24"/>
          <w:szCs w:val="24"/>
          <w:shd w:val="clear" w:color="auto" w:fill="FFFFFF"/>
          <w:rtl/>
        </w:rPr>
        <w:t xml:space="preserve">שישה אישומים של מכירת סם לסוכן במשך מספר חודשים.  מדובר בסדרת אירועים של מכירת סם מסוג </w:t>
      </w:r>
      <w:r w:rsidR="00B47E3B">
        <w:rPr>
          <w:rFonts w:ascii="David" w:hAnsi="David" w:cs="David"/>
          <w:color w:val="000000"/>
          <w:sz w:val="24"/>
          <w:szCs w:val="24"/>
          <w:u w:val="single"/>
          <w:shd w:val="clear" w:color="auto" w:fill="FFFFFF"/>
          <w:rtl/>
        </w:rPr>
        <w:t>קנבוס</w:t>
      </w:r>
      <w:r w:rsidR="00B47E3B">
        <w:rPr>
          <w:rFonts w:ascii="David" w:hAnsi="David" w:cs="David"/>
          <w:color w:val="000000"/>
          <w:sz w:val="24"/>
          <w:szCs w:val="24"/>
          <w:shd w:val="clear" w:color="auto" w:fill="FFFFFF"/>
          <w:rtl/>
        </w:rPr>
        <w:t xml:space="preserve"> לסוכן משטרתי אחד בתקופה של מספר חודשים. ברוב האישומים </w:t>
      </w:r>
      <w:r w:rsidR="00B47E3B">
        <w:rPr>
          <w:rFonts w:ascii="David" w:hAnsi="David" w:cs="David"/>
          <w:color w:val="000000"/>
          <w:sz w:val="24"/>
          <w:szCs w:val="24"/>
          <w:u w:val="single"/>
          <w:shd w:val="clear" w:color="auto" w:fill="FFFFFF"/>
          <w:rtl/>
        </w:rPr>
        <w:t>בוצעו מכירות של סם בכמות שבין 10 לבין 15 גרם תמורת סכום של 1,500 ₪,</w:t>
      </w:r>
      <w:r w:rsidR="00B47E3B">
        <w:rPr>
          <w:rFonts w:ascii="David" w:hAnsi="David" w:cs="David"/>
          <w:color w:val="000000"/>
          <w:sz w:val="24"/>
          <w:szCs w:val="24"/>
          <w:shd w:val="clear" w:color="auto" w:fill="FFFFFF"/>
          <w:rtl/>
        </w:rPr>
        <w:t xml:space="preserve"> האישום השישי אף הוא מתאר עסקת מכירת </w:t>
      </w:r>
      <w:r w:rsidR="00B47E3B">
        <w:rPr>
          <w:rFonts w:ascii="David" w:hAnsi="David" w:cs="David"/>
          <w:color w:val="000000"/>
          <w:sz w:val="24"/>
          <w:szCs w:val="24"/>
          <w:u w:val="single"/>
          <w:shd w:val="clear" w:color="auto" w:fill="FFFFFF"/>
          <w:rtl/>
        </w:rPr>
        <w:t>סם לסוכן, אם כי בכמות גדולה יותר של כ- 39 גרם שנמכרה תמורת 4,000 ₪.</w:t>
      </w:r>
      <w:r w:rsidR="00B47E3B">
        <w:rPr>
          <w:rFonts w:ascii="David" w:hAnsi="David" w:cs="David"/>
          <w:color w:val="000000"/>
          <w:sz w:val="24"/>
          <w:szCs w:val="24"/>
          <w:shd w:val="clear" w:color="auto" w:fill="FFFFFF"/>
          <w:rtl/>
        </w:rPr>
        <w:t xml:space="preserve"> </w:t>
      </w:r>
      <w:r w:rsidR="00B47E3B">
        <w:rPr>
          <w:rFonts w:ascii="David" w:hAnsi="David" w:cs="David"/>
          <w:b/>
          <w:bCs/>
          <w:color w:val="000000"/>
          <w:sz w:val="24"/>
          <w:szCs w:val="24"/>
          <w:shd w:val="clear" w:color="auto" w:fill="FFFFFF"/>
          <w:rtl/>
        </w:rPr>
        <w:t>האישום האחרון עניינו החזקת סם שלא לצריכה עצמית בכמות כוללת של כחמישים גרם</w:t>
      </w:r>
      <w:r w:rsidR="00B47E3B">
        <w:rPr>
          <w:rFonts w:ascii="David" w:hAnsi="David" w:cs="David"/>
          <w:color w:val="000000"/>
          <w:sz w:val="24"/>
          <w:szCs w:val="24"/>
          <w:shd w:val="clear" w:color="auto" w:fill="FFFFFF"/>
          <w:rtl/>
        </w:rPr>
        <w:t>. עבירת החזקה בוצעה ברצף אחד עם עבירות הסחר, ועל כן נכללה באותה במתחם</w:t>
      </w:r>
      <w:r w:rsidR="00B47E3B">
        <w:rPr>
          <w:rFonts w:ascii="David" w:hAnsi="David" w:cs="David"/>
          <w:color w:val="000000"/>
          <w:sz w:val="24"/>
          <w:szCs w:val="24"/>
          <w:shd w:val="clear" w:color="auto" w:fill="FFFFFF"/>
        </w:rPr>
        <w:t>.</w:t>
      </w:r>
      <w:r w:rsidR="00B47E3B">
        <w:rPr>
          <w:rFonts w:ascii="David" w:hAnsi="David" w:cs="David"/>
          <w:sz w:val="24"/>
          <w:szCs w:val="24"/>
          <w:rtl/>
        </w:rPr>
        <w:t xml:space="preserve"> </w:t>
      </w:r>
      <w:r w:rsidR="00B47E3B">
        <w:rPr>
          <w:rFonts w:ascii="David" w:hAnsi="David" w:cs="David" w:hint="cs"/>
          <w:sz w:val="24"/>
          <w:szCs w:val="24"/>
          <w:u w:val="single"/>
          <w:rtl/>
        </w:rPr>
        <w:t xml:space="preserve">בית המשפט קבע מתחם ענישה הנע בין </w:t>
      </w:r>
      <w:r w:rsidR="00B47E3B">
        <w:rPr>
          <w:rFonts w:ascii="David" w:hAnsi="David" w:cs="David" w:hint="cs"/>
          <w:sz w:val="24"/>
          <w:szCs w:val="24"/>
          <w:rtl/>
        </w:rPr>
        <w:t xml:space="preserve">שנה וחצי לשנתיים מאסר </w:t>
      </w:r>
      <w:r w:rsidR="00B47E3B">
        <w:rPr>
          <w:rFonts w:ascii="David" w:hAnsi="David" w:cs="David" w:hint="cs"/>
          <w:sz w:val="24"/>
          <w:szCs w:val="24"/>
          <w:u w:val="single"/>
          <w:rtl/>
        </w:rPr>
        <w:t>וגזר על הנאשם שנת מאסר בפועל.</w:t>
      </w:r>
      <w:r w:rsidR="00B47E3B">
        <w:rPr>
          <w:rFonts w:ascii="David" w:hAnsi="David" w:cs="David" w:hint="cs"/>
          <w:sz w:val="24"/>
          <w:szCs w:val="24"/>
          <w:rtl/>
        </w:rPr>
        <w:t xml:space="preserve"> בית המשפט חרג לקולא מטעמי שיקום. הנאשם ללא עבר פלילי. </w:t>
      </w:r>
    </w:p>
    <w:p w14:paraId="0CC04AED" w14:textId="77777777" w:rsidR="00B47E3B" w:rsidRDefault="00B47E3B" w:rsidP="00B47E3B">
      <w:pPr>
        <w:pStyle w:val="a9"/>
        <w:spacing w:after="0" w:line="360" w:lineRule="auto"/>
        <w:ind w:left="1080"/>
        <w:jc w:val="both"/>
        <w:rPr>
          <w:rFonts w:ascii="David" w:hAnsi="David" w:cs="David"/>
          <w:sz w:val="24"/>
          <w:szCs w:val="24"/>
        </w:rPr>
      </w:pPr>
    </w:p>
    <w:p w14:paraId="480721BE" w14:textId="77777777" w:rsidR="00B47E3B" w:rsidRPr="00B47E3B" w:rsidRDefault="00E921B4" w:rsidP="00B47E3B">
      <w:pPr>
        <w:pStyle w:val="a9"/>
        <w:numPr>
          <w:ilvl w:val="0"/>
          <w:numId w:val="2"/>
        </w:numPr>
        <w:spacing w:after="0" w:line="360" w:lineRule="auto"/>
        <w:jc w:val="both"/>
        <w:rPr>
          <w:rFonts w:ascii="Arial" w:hAnsi="Arial" w:cs="David"/>
          <w:sz w:val="24"/>
          <w:szCs w:val="24"/>
        </w:rPr>
      </w:pPr>
      <w:hyperlink r:id="rId43" w:history="1">
        <w:r w:rsidRPr="00E921B4">
          <w:rPr>
            <w:rFonts w:ascii="David" w:hAnsi="David" w:cs="David"/>
            <w:color w:val="0000FF"/>
            <w:sz w:val="24"/>
            <w:szCs w:val="24"/>
            <w:u w:val="single"/>
            <w:rtl/>
          </w:rPr>
          <w:t>עפ"ג 28822-04-12</w:t>
        </w:r>
      </w:hyperlink>
      <w:r w:rsidR="00B47E3B">
        <w:rPr>
          <w:rStyle w:val="Hyperlink"/>
          <w:rFonts w:cs="David"/>
          <w:szCs w:val="24"/>
          <w:rtl/>
        </w:rPr>
        <w:t xml:space="preserve"> </w:t>
      </w:r>
      <w:r w:rsidR="00B47E3B" w:rsidRPr="00B47E3B">
        <w:rPr>
          <w:rFonts w:ascii="Arial" w:hAnsi="Arial" w:cs="David"/>
          <w:sz w:val="24"/>
          <w:szCs w:val="24"/>
          <w:rtl/>
        </w:rPr>
        <w:t xml:space="preserve"> (מחוזי – ב"ש) </w:t>
      </w:r>
      <w:r w:rsidR="00B47E3B" w:rsidRPr="00B47E3B">
        <w:rPr>
          <w:rFonts w:ascii="Arial" w:hAnsi="Arial" w:cs="David"/>
          <w:b/>
          <w:bCs/>
          <w:sz w:val="24"/>
          <w:szCs w:val="24"/>
          <w:rtl/>
        </w:rPr>
        <w:t>אלכס אינדקט נ' מדינת ישראל</w:t>
      </w:r>
      <w:r w:rsidR="00B47E3B" w:rsidRPr="00B47E3B">
        <w:rPr>
          <w:rFonts w:ascii="Arial" w:hAnsi="Arial" w:cs="David"/>
          <w:sz w:val="24"/>
          <w:szCs w:val="24"/>
          <w:rtl/>
        </w:rPr>
        <w:t xml:space="preserve"> בית משפט השלום  הרשיע את הנאשם בהחזקת סמים שלא לצריכה עצמית במספר עבירות סמים. סם מסוג קנבוס (שחלקו בצורת חשיש), במשקלים שונים ובסך כולל של 63.05 גרם.  בימ"ש מחוזי דחה את ערעורו של הנאשם, </w:t>
      </w:r>
      <w:r w:rsidR="00B47E3B" w:rsidRPr="00B47E3B">
        <w:rPr>
          <w:rFonts w:ascii="Arial" w:hAnsi="Arial" w:cs="David"/>
          <w:sz w:val="24"/>
          <w:szCs w:val="24"/>
          <w:u w:val="single"/>
          <w:rtl/>
        </w:rPr>
        <w:t>כך שעל הנאשם נגזר 14 חודשי מאסר בפועל לצד רכיבי ענישה נלווים.</w:t>
      </w:r>
      <w:r w:rsidR="00B47E3B" w:rsidRPr="00CD2C40">
        <w:rPr>
          <w:rFonts w:eastAsia="Times New Roman" w:cs="David"/>
          <w:sz w:val="24"/>
          <w:szCs w:val="24"/>
          <w:u w:val="single"/>
          <w:rtl/>
        </w:rPr>
        <w:t xml:space="preserve"> </w:t>
      </w:r>
    </w:p>
    <w:p w14:paraId="54A63FFA" w14:textId="77777777" w:rsidR="00B47E3B" w:rsidRDefault="00B47E3B" w:rsidP="00B47E3B">
      <w:pPr>
        <w:pStyle w:val="a9"/>
        <w:spacing w:after="0" w:line="360" w:lineRule="auto"/>
        <w:ind w:left="1080"/>
        <w:jc w:val="both"/>
        <w:rPr>
          <w:rFonts w:ascii="David" w:hAnsi="David" w:cs="David"/>
          <w:sz w:val="24"/>
          <w:szCs w:val="24"/>
        </w:rPr>
      </w:pPr>
    </w:p>
    <w:p w14:paraId="08F13E61" w14:textId="77777777" w:rsidR="00B47E3B" w:rsidRDefault="00B47E3B" w:rsidP="00B47E3B">
      <w:pPr>
        <w:pStyle w:val="a9"/>
        <w:rPr>
          <w:rFonts w:ascii="David" w:hAnsi="David" w:cs="David"/>
          <w:sz w:val="24"/>
          <w:szCs w:val="24"/>
        </w:rPr>
      </w:pPr>
    </w:p>
    <w:p w14:paraId="29F2B993" w14:textId="77777777" w:rsidR="00B47E3B" w:rsidRDefault="00E921B4" w:rsidP="00B47E3B">
      <w:pPr>
        <w:pStyle w:val="a9"/>
        <w:numPr>
          <w:ilvl w:val="0"/>
          <w:numId w:val="2"/>
        </w:numPr>
        <w:spacing w:after="0" w:line="360" w:lineRule="auto"/>
        <w:jc w:val="both"/>
        <w:rPr>
          <w:rFonts w:ascii="David" w:hAnsi="David" w:cs="David"/>
          <w:sz w:val="24"/>
          <w:szCs w:val="24"/>
          <w:rtl/>
        </w:rPr>
      </w:pPr>
      <w:hyperlink r:id="rId44" w:history="1">
        <w:r w:rsidRPr="00E921B4">
          <w:rPr>
            <w:rFonts w:ascii="David" w:hAnsi="David" w:cs="David"/>
            <w:color w:val="0000FF"/>
            <w:sz w:val="24"/>
            <w:szCs w:val="24"/>
            <w:u w:val="single"/>
            <w:rtl/>
          </w:rPr>
          <w:t>רע"פ 4894/21</w:t>
        </w:r>
      </w:hyperlink>
      <w:r w:rsidR="00B47E3B">
        <w:rPr>
          <w:rFonts w:ascii="David" w:hAnsi="David" w:cs="David"/>
          <w:sz w:val="24"/>
          <w:szCs w:val="24"/>
          <w:rtl/>
        </w:rPr>
        <w:t xml:space="preserve"> </w:t>
      </w:r>
      <w:r w:rsidR="00B47E3B">
        <w:rPr>
          <w:rFonts w:ascii="David" w:hAnsi="David" w:cs="David"/>
          <w:b/>
          <w:bCs/>
          <w:sz w:val="24"/>
          <w:szCs w:val="24"/>
          <w:rtl/>
        </w:rPr>
        <w:t xml:space="preserve">סוליאמן אלטוחי נ' מדינת ישראל </w:t>
      </w:r>
      <w:r w:rsidR="00B47E3B">
        <w:rPr>
          <w:rFonts w:ascii="David" w:hAnsi="David" w:cs="David"/>
          <w:sz w:val="24"/>
          <w:szCs w:val="24"/>
          <w:rtl/>
        </w:rPr>
        <w:t xml:space="preserve">בית המשפט הרשיע את הנאשם בעבירות של סחר בסם מסוכן והחזקת סמים שלא לצריכה עצמית בגין </w:t>
      </w:r>
      <w:r w:rsidR="00B47E3B">
        <w:rPr>
          <w:rFonts w:ascii="David" w:hAnsi="David" w:cs="David"/>
          <w:color w:val="000000"/>
          <w:sz w:val="27"/>
          <w:szCs w:val="27"/>
        </w:rPr>
        <w:t xml:space="preserve"> </w:t>
      </w:r>
      <w:r w:rsidR="00B47E3B">
        <w:rPr>
          <w:rFonts w:ascii="David" w:hAnsi="David" w:cs="David"/>
          <w:sz w:val="24"/>
          <w:szCs w:val="24"/>
        </w:rPr>
        <w:t>12</w:t>
      </w:r>
      <w:r w:rsidR="00B47E3B">
        <w:rPr>
          <w:rFonts w:ascii="David" w:hAnsi="David" w:cs="David"/>
          <w:sz w:val="24"/>
          <w:szCs w:val="24"/>
          <w:rtl/>
        </w:rPr>
        <w:t xml:space="preserve">פלטות של סם מסוכן מסוג חשיש במשקל נטו של 1,050 גרם. </w:t>
      </w:r>
      <w:r w:rsidR="00B47E3B">
        <w:rPr>
          <w:rFonts w:ascii="David" w:hAnsi="David" w:cs="David"/>
          <w:sz w:val="24"/>
          <w:szCs w:val="24"/>
          <w:u w:val="single"/>
          <w:rtl/>
        </w:rPr>
        <w:t xml:space="preserve">בית משפט השלום קבע מתחם ענישה הנע בין </w:t>
      </w:r>
      <w:r w:rsidR="00B47E3B">
        <w:rPr>
          <w:rFonts w:ascii="David" w:hAnsi="David" w:cs="David"/>
          <w:color w:val="000000"/>
          <w:u w:val="single"/>
        </w:rPr>
        <w:t xml:space="preserve">12 </w:t>
      </w:r>
      <w:r w:rsidR="00B47E3B">
        <w:rPr>
          <w:rFonts w:ascii="David" w:hAnsi="David" w:cs="David"/>
          <w:color w:val="000000"/>
          <w:u w:val="single"/>
          <w:rtl/>
        </w:rPr>
        <w:t xml:space="preserve"> </w:t>
      </w:r>
      <w:r w:rsidR="00B47E3B">
        <w:rPr>
          <w:rFonts w:ascii="David" w:hAnsi="David" w:cs="David" w:hint="cs"/>
          <w:color w:val="000000"/>
          <w:u w:val="single"/>
          <w:rtl/>
        </w:rPr>
        <w:t>ועד 36</w:t>
      </w:r>
      <w:r>
        <w:rPr>
          <w:rFonts w:ascii="David" w:hAnsi="David" w:cs="David" w:hint="cs"/>
          <w:color w:val="000000"/>
          <w:u w:val="single"/>
          <w:rtl/>
        </w:rPr>
        <w:t xml:space="preserve"> </w:t>
      </w:r>
      <w:r w:rsidR="00B47E3B">
        <w:rPr>
          <w:rFonts w:ascii="David" w:hAnsi="David" w:cs="David" w:hint="cs"/>
          <w:color w:val="000000"/>
          <w:u w:val="single"/>
          <w:rtl/>
        </w:rPr>
        <w:t xml:space="preserve">חודשי מאסר </w:t>
      </w:r>
      <w:r w:rsidR="00B47E3B">
        <w:rPr>
          <w:rFonts w:ascii="David" w:hAnsi="David" w:cs="David"/>
          <w:sz w:val="24"/>
          <w:szCs w:val="24"/>
          <w:u w:val="single"/>
          <w:rtl/>
        </w:rPr>
        <w:t>וגזר על הנאשם 12 חודשי מאסר בפועל</w:t>
      </w:r>
      <w:r w:rsidR="00B47E3B">
        <w:rPr>
          <w:rFonts w:ascii="David" w:hAnsi="David" w:cs="David"/>
          <w:sz w:val="24"/>
          <w:szCs w:val="24"/>
          <w:rtl/>
        </w:rPr>
        <w:t xml:space="preserve">. בית משפט העליון דחה את ערעור הנאשם. </w:t>
      </w:r>
    </w:p>
    <w:p w14:paraId="5FC607EE" w14:textId="77777777" w:rsidR="00B47E3B" w:rsidRPr="00B47E3B" w:rsidRDefault="00B47E3B" w:rsidP="00B47E3B">
      <w:pPr>
        <w:pStyle w:val="a9"/>
        <w:spacing w:after="0" w:line="360" w:lineRule="auto"/>
        <w:ind w:left="1080"/>
        <w:jc w:val="both"/>
        <w:rPr>
          <w:rStyle w:val="Hyperlink"/>
          <w:rFonts w:ascii="Arial" w:hAnsi="Arial"/>
        </w:rPr>
      </w:pPr>
    </w:p>
    <w:p w14:paraId="4B2B12E5" w14:textId="77777777" w:rsidR="00B47E3B" w:rsidRDefault="00B47E3B" w:rsidP="00B47E3B">
      <w:pPr>
        <w:pStyle w:val="a9"/>
      </w:pPr>
    </w:p>
    <w:p w14:paraId="4E80C870" w14:textId="77777777" w:rsidR="00B47E3B" w:rsidRDefault="00E921B4" w:rsidP="00B47E3B">
      <w:pPr>
        <w:pStyle w:val="a9"/>
        <w:numPr>
          <w:ilvl w:val="0"/>
          <w:numId w:val="2"/>
        </w:numPr>
        <w:spacing w:after="0" w:line="360" w:lineRule="auto"/>
        <w:jc w:val="both"/>
        <w:rPr>
          <w:rFonts w:ascii="David" w:hAnsi="David" w:cs="David"/>
          <w:sz w:val="24"/>
          <w:szCs w:val="24"/>
          <w:rtl/>
        </w:rPr>
      </w:pPr>
      <w:hyperlink r:id="rId45" w:history="1">
        <w:r w:rsidRPr="00E921B4">
          <w:rPr>
            <w:rFonts w:ascii="David" w:hAnsi="David" w:cs="David"/>
            <w:color w:val="0000FF"/>
            <w:szCs w:val="24"/>
            <w:u w:val="single"/>
            <w:rtl/>
          </w:rPr>
          <w:t>רע"פ 3059/21</w:t>
        </w:r>
      </w:hyperlink>
      <w:r>
        <w:rPr>
          <w:rFonts w:ascii="David" w:hAnsi="David" w:cs="David"/>
          <w:sz w:val="24"/>
          <w:szCs w:val="24"/>
        </w:rPr>
        <w:t xml:space="preserve"> </w:t>
      </w:r>
      <w:r w:rsidR="00B47E3B">
        <w:rPr>
          <w:rFonts w:ascii="David" w:hAnsi="David" w:cs="David"/>
          <w:b/>
          <w:bCs/>
          <w:sz w:val="24"/>
          <w:szCs w:val="24"/>
          <w:rtl/>
        </w:rPr>
        <w:t>בר ימין נ' מדינת ישראל</w:t>
      </w:r>
      <w:r>
        <w:rPr>
          <w:rFonts w:ascii="David" w:hAnsi="David" w:cs="David"/>
          <w:sz w:val="24"/>
          <w:szCs w:val="24"/>
          <w:rtl/>
        </w:rPr>
        <w:t xml:space="preserve"> </w:t>
      </w:r>
      <w:r w:rsidR="00B47E3B">
        <w:rPr>
          <w:rFonts w:ascii="David" w:hAnsi="David" w:cs="David"/>
          <w:sz w:val="24"/>
          <w:szCs w:val="24"/>
          <w:rtl/>
        </w:rPr>
        <w:t xml:space="preserve">בית המשפט הרשיע את הנאשם בגין 5 עבירות של סחר בצוותא בסם מסוג קנביס באמצעות הטלגרם וכן בעבירות החזקת סמים שלא לצריכה עצמית ובהחזקת כלים להכנת סם שלא לצריכה עצמית. בית משפט השלום קבע מתחם ענישה הנע בין 10 ל-20 חודשי מאסר לעבירות הסחר ומספר חודשים ועד ל-12 חודשים בעבירה של החזקת סם שלא לצריכה עצמית. </w:t>
      </w:r>
      <w:r w:rsidR="00B47E3B">
        <w:rPr>
          <w:rFonts w:ascii="David" w:hAnsi="David" w:cs="David"/>
          <w:sz w:val="24"/>
          <w:szCs w:val="24"/>
          <w:u w:val="single"/>
          <w:rtl/>
        </w:rPr>
        <w:t>בית המשפט גזר על הנאשם עונש של 8 חודשי מאסר בדרך של עבודות שירות</w:t>
      </w:r>
      <w:r w:rsidR="00B47E3B">
        <w:rPr>
          <w:rFonts w:ascii="David" w:hAnsi="David" w:cs="David"/>
          <w:sz w:val="24"/>
          <w:szCs w:val="24"/>
        </w:rPr>
        <w:t>.</w:t>
      </w:r>
      <w:r w:rsidR="00B47E3B">
        <w:rPr>
          <w:rFonts w:ascii="David" w:hAnsi="David" w:cs="David"/>
          <w:sz w:val="24"/>
          <w:szCs w:val="24"/>
          <w:rtl/>
        </w:rPr>
        <w:t xml:space="preserve"> בית משפט העליון דחה את ערעור הנאשם. נאשם נעדר עבר פלילי. תסקיר חיובי. </w:t>
      </w:r>
    </w:p>
    <w:p w14:paraId="3D964415" w14:textId="77777777" w:rsidR="00B47E3B" w:rsidRDefault="00B47E3B" w:rsidP="00B47E3B">
      <w:pPr>
        <w:pStyle w:val="Ruller40"/>
        <w:rPr>
          <w:rFonts w:cs="David"/>
          <w:szCs w:val="24"/>
        </w:rPr>
      </w:pPr>
    </w:p>
    <w:p w14:paraId="48BEB9D6" w14:textId="77777777" w:rsidR="00B47E3B" w:rsidRDefault="00B47E3B" w:rsidP="00B47E3B">
      <w:pPr>
        <w:rPr>
          <w:rFonts w:ascii="Garamond" w:hAnsi="Garamond"/>
          <w:b/>
          <w:bCs/>
          <w:spacing w:val="10"/>
          <w:u w:val="single"/>
          <w:rtl/>
        </w:rPr>
      </w:pPr>
      <w:r>
        <w:rPr>
          <w:rFonts w:ascii="Garamond" w:hAnsi="Garamond"/>
          <w:b/>
          <w:bCs/>
          <w:spacing w:val="10"/>
          <w:u w:val="single"/>
          <w:rtl/>
        </w:rPr>
        <w:t>מתחם הענישה</w:t>
      </w:r>
    </w:p>
    <w:p w14:paraId="57EC2946" w14:textId="77777777" w:rsidR="00B47E3B" w:rsidRDefault="00B47E3B" w:rsidP="00B47E3B">
      <w:pPr>
        <w:pStyle w:val="Ruller40"/>
        <w:numPr>
          <w:ilvl w:val="0"/>
          <w:numId w:val="1"/>
        </w:numPr>
        <w:ind w:left="0" w:firstLine="0"/>
        <w:rPr>
          <w:rFonts w:cs="David"/>
          <w:szCs w:val="24"/>
        </w:rPr>
      </w:pPr>
      <w:r>
        <w:rPr>
          <w:rFonts w:cs="David"/>
          <w:szCs w:val="24"/>
          <w:rtl/>
        </w:rPr>
        <w:t xml:space="preserve">לאחר שקלול מכלול הנסיבות והשיקולים הרלוונטיים, אני סבור שמתחם העונש ההולם את מעשיו של הנאשם נע בין </w:t>
      </w:r>
      <w:r>
        <w:rPr>
          <w:rFonts w:cs="David" w:hint="cs"/>
          <w:szCs w:val="24"/>
          <w:rtl/>
        </w:rPr>
        <w:t>6</w:t>
      </w:r>
      <w:r>
        <w:rPr>
          <w:rFonts w:cs="David"/>
          <w:szCs w:val="24"/>
          <w:rtl/>
        </w:rPr>
        <w:t xml:space="preserve"> חודשי מאסר </w:t>
      </w:r>
      <w:r>
        <w:rPr>
          <w:rFonts w:cs="David" w:hint="cs"/>
          <w:szCs w:val="24"/>
          <w:rtl/>
        </w:rPr>
        <w:t xml:space="preserve">שיכול וירוצו בעבודות שירות </w:t>
      </w:r>
      <w:r>
        <w:rPr>
          <w:rFonts w:cs="David"/>
          <w:szCs w:val="24"/>
          <w:rtl/>
        </w:rPr>
        <w:t xml:space="preserve">ל-20 חודשי מאסר בפועל. זאת לצד ענישה נלווית.  </w:t>
      </w:r>
    </w:p>
    <w:p w14:paraId="19F836CD" w14:textId="77777777" w:rsidR="00B47E3B" w:rsidRPr="00B47E3B" w:rsidRDefault="00B47E3B" w:rsidP="00B47E3B">
      <w:pPr>
        <w:rPr>
          <w:rFonts w:cs="Arial"/>
          <w:szCs w:val="22"/>
          <w:rtl/>
        </w:rPr>
      </w:pPr>
    </w:p>
    <w:p w14:paraId="625B1E2D" w14:textId="77777777" w:rsidR="00B47E3B" w:rsidRDefault="00B47E3B" w:rsidP="00B47E3B">
      <w:pPr>
        <w:spacing w:line="360" w:lineRule="auto"/>
        <w:jc w:val="both"/>
        <w:rPr>
          <w:b/>
          <w:bCs/>
          <w:u w:val="single"/>
          <w:rtl/>
        </w:rPr>
      </w:pPr>
      <w:r>
        <w:rPr>
          <w:b/>
          <w:bCs/>
          <w:u w:val="single"/>
          <w:rtl/>
        </w:rPr>
        <w:t>נסיבות שאינן קשורות בביצוע העבירה</w:t>
      </w:r>
    </w:p>
    <w:p w14:paraId="5CA19E08" w14:textId="77777777" w:rsidR="00B47E3B" w:rsidRDefault="00B47E3B" w:rsidP="00B47E3B">
      <w:pPr>
        <w:pStyle w:val="Ruller40"/>
        <w:numPr>
          <w:ilvl w:val="0"/>
          <w:numId w:val="1"/>
        </w:numPr>
        <w:ind w:left="0" w:firstLine="0"/>
        <w:rPr>
          <w:rFonts w:cs="David"/>
          <w:szCs w:val="24"/>
          <w:rtl/>
        </w:rPr>
      </w:pPr>
      <w:r>
        <w:rPr>
          <w:rFonts w:cs="David"/>
          <w:szCs w:val="24"/>
          <w:rtl/>
        </w:rPr>
        <w:t xml:space="preserve">לפי </w:t>
      </w:r>
      <w:hyperlink r:id="rId46" w:history="1">
        <w:r w:rsidR="00E73CEF" w:rsidRPr="00E73CEF">
          <w:rPr>
            <w:rStyle w:val="Hyperlink"/>
            <w:rFonts w:cs="David" w:hint="eastAsia"/>
            <w:szCs w:val="24"/>
            <w:rtl/>
          </w:rPr>
          <w:t>סעיף</w:t>
        </w:r>
        <w:r w:rsidR="00E73CEF" w:rsidRPr="00E73CEF">
          <w:rPr>
            <w:rStyle w:val="Hyperlink"/>
            <w:rFonts w:cs="David"/>
            <w:szCs w:val="24"/>
            <w:rtl/>
          </w:rPr>
          <w:t xml:space="preserve"> 40</w:t>
        </w:r>
        <w:r w:rsidR="00E73CEF" w:rsidRPr="00E73CEF">
          <w:rPr>
            <w:rStyle w:val="Hyperlink"/>
            <w:rFonts w:cs="David" w:hint="eastAsia"/>
            <w:szCs w:val="24"/>
            <w:rtl/>
          </w:rPr>
          <w:t>י</w:t>
        </w:r>
        <w:r w:rsidR="00E73CEF" w:rsidRPr="00E73CEF">
          <w:rPr>
            <w:rStyle w:val="Hyperlink"/>
            <w:rFonts w:cs="David"/>
            <w:szCs w:val="24"/>
            <w:rtl/>
          </w:rPr>
          <w:t>"</w:t>
        </w:r>
        <w:r w:rsidR="00E73CEF" w:rsidRPr="00E73CEF">
          <w:rPr>
            <w:rStyle w:val="Hyperlink"/>
            <w:rFonts w:cs="David" w:hint="eastAsia"/>
            <w:szCs w:val="24"/>
            <w:rtl/>
          </w:rPr>
          <w:t>א</w:t>
        </w:r>
      </w:hyperlink>
      <w:r>
        <w:rPr>
          <w:rFonts w:cs="David"/>
          <w:szCs w:val="24"/>
          <w:rtl/>
        </w:rPr>
        <w:t xml:space="preserve"> ל</w:t>
      </w:r>
      <w:hyperlink r:id="rId47" w:history="1">
        <w:r w:rsidR="00E921B4" w:rsidRPr="00E921B4">
          <w:rPr>
            <w:rFonts w:cs="David" w:hint="cs"/>
            <w:color w:val="0000FF"/>
            <w:szCs w:val="24"/>
            <w:u w:val="single"/>
            <w:rtl/>
          </w:rPr>
          <w:t>חוק</w:t>
        </w:r>
        <w:r w:rsidR="00E921B4" w:rsidRPr="00E921B4">
          <w:rPr>
            <w:rFonts w:cs="David"/>
            <w:color w:val="0000FF"/>
            <w:szCs w:val="24"/>
            <w:u w:val="single"/>
            <w:rtl/>
          </w:rPr>
          <w:t xml:space="preserve"> </w:t>
        </w:r>
        <w:r w:rsidR="00E921B4" w:rsidRPr="00E921B4">
          <w:rPr>
            <w:rFonts w:cs="David" w:hint="cs"/>
            <w:color w:val="0000FF"/>
            <w:szCs w:val="24"/>
            <w:u w:val="single"/>
            <w:rtl/>
          </w:rPr>
          <w:t>העונשין</w:t>
        </w:r>
      </w:hyperlink>
      <w:r>
        <w:rPr>
          <w:rFonts w:cs="David"/>
          <w:szCs w:val="24"/>
          <w:rtl/>
        </w:rPr>
        <w:t xml:space="preserve">, יש לתת משקל לנסיבות שאינן קשורות בביצוע העבירה, במסגרת גזירת העונש בתוך המתחם. </w:t>
      </w:r>
    </w:p>
    <w:p w14:paraId="3F387225" w14:textId="77777777" w:rsidR="00B47E3B" w:rsidRPr="00B47E3B" w:rsidRDefault="00B47E3B" w:rsidP="00B47E3B">
      <w:pPr>
        <w:rPr>
          <w:rFonts w:cs="Arial"/>
          <w:szCs w:val="22"/>
          <w:rtl/>
        </w:rPr>
      </w:pPr>
    </w:p>
    <w:p w14:paraId="737FDC17" w14:textId="77777777" w:rsidR="00B47E3B" w:rsidRDefault="00B47E3B" w:rsidP="00B47E3B">
      <w:pPr>
        <w:pStyle w:val="Ruller40"/>
        <w:numPr>
          <w:ilvl w:val="0"/>
          <w:numId w:val="1"/>
        </w:numPr>
        <w:ind w:left="0" w:firstLine="0"/>
        <w:rPr>
          <w:rFonts w:cs="David"/>
          <w:szCs w:val="24"/>
          <w:rtl/>
        </w:rPr>
      </w:pPr>
      <w:r>
        <w:rPr>
          <w:rFonts w:cs="David"/>
          <w:szCs w:val="24"/>
          <w:rtl/>
        </w:rPr>
        <w:t xml:space="preserve">לזכותו של הנאשם יש לזקוף את העובדה שהוא נעדר עבר פלילי, זוהי הסתבכותו הראשונה עם החוק. הנאשם לקח אחריות על מעשיו, הודה בעובדות כתב האישום המתוקן וחסך זמן שיפוטי יקר. </w:t>
      </w:r>
    </w:p>
    <w:p w14:paraId="0B2B58B8" w14:textId="77777777" w:rsidR="00B47E3B" w:rsidRPr="00B47E3B" w:rsidRDefault="00B47E3B" w:rsidP="00B47E3B">
      <w:pPr>
        <w:rPr>
          <w:rFonts w:cs="Arial"/>
          <w:szCs w:val="22"/>
          <w:rtl/>
        </w:rPr>
      </w:pPr>
    </w:p>
    <w:p w14:paraId="18F72FC9" w14:textId="77777777" w:rsidR="00B47E3B" w:rsidRDefault="00B47E3B" w:rsidP="00B47E3B">
      <w:pPr>
        <w:pStyle w:val="Ruller40"/>
        <w:numPr>
          <w:ilvl w:val="0"/>
          <w:numId w:val="1"/>
        </w:numPr>
        <w:ind w:left="0" w:firstLine="0"/>
        <w:rPr>
          <w:rFonts w:cs="David"/>
          <w:szCs w:val="24"/>
        </w:rPr>
      </w:pPr>
      <w:r>
        <w:rPr>
          <w:rFonts w:cs="David"/>
          <w:szCs w:val="24"/>
          <w:rtl/>
        </w:rPr>
        <w:t>בעניינו של הנאשם התקבל תסקיר חיובי ביותר. כפי שפורט לעיל, בעניינו ש</w:t>
      </w:r>
      <w:r>
        <w:rPr>
          <w:rFonts w:cs="David" w:hint="cs"/>
          <w:szCs w:val="24"/>
          <w:rtl/>
        </w:rPr>
        <w:t>ל</w:t>
      </w:r>
      <w:r>
        <w:rPr>
          <w:rFonts w:cs="David"/>
          <w:szCs w:val="24"/>
          <w:rtl/>
        </w:rPr>
        <w:t xml:space="preserve"> הנאשם הוגשו 3 תסקירים. תסקירי שירות המבחן מעידים כי הנאשם עבר הליך טיפולי משמעותי ואינטנסיבי. הנאשם שולב בהליך טיפולי שכלל שיחות במרפאה לבריאות הנפש בבית שמש ועוד עתיד להשתלב בהליך טיפולי במסגרת שירות המבחן. </w:t>
      </w:r>
    </w:p>
    <w:p w14:paraId="5DF0FA8C" w14:textId="77777777" w:rsidR="00B47E3B" w:rsidRPr="00B47E3B" w:rsidRDefault="00B47E3B" w:rsidP="00B47E3B">
      <w:pPr>
        <w:rPr>
          <w:rFonts w:cs="Arial"/>
          <w:szCs w:val="22"/>
          <w:rtl/>
        </w:rPr>
      </w:pPr>
    </w:p>
    <w:p w14:paraId="00C8C679" w14:textId="77777777" w:rsidR="00B47E3B" w:rsidRDefault="00B47E3B" w:rsidP="00B47E3B">
      <w:pPr>
        <w:pStyle w:val="Ruller40"/>
        <w:numPr>
          <w:ilvl w:val="0"/>
          <w:numId w:val="1"/>
        </w:numPr>
        <w:ind w:left="0" w:firstLine="0"/>
        <w:rPr>
          <w:rFonts w:cs="David"/>
          <w:szCs w:val="24"/>
        </w:rPr>
      </w:pPr>
      <w:r>
        <w:rPr>
          <w:rFonts w:cs="David"/>
          <w:szCs w:val="24"/>
          <w:rtl/>
        </w:rPr>
        <w:t xml:space="preserve">רכיב נוסף שיש להביא בחשבון במקרה קונקרטי זה הוא הפגיעה של העונש במשפחתו של הנאשם. כפי שפורט לעיל, בתו של הנאשם סובלת מבעיה רפואית קשה ומורכבת. בתו של הנאשם מוגדרת כנכה. הנאשם הינו מפרנס יחיד ונדרשים משאבים רבים הכרוכים בטיפול הבת. </w:t>
      </w:r>
    </w:p>
    <w:p w14:paraId="3172BBDE" w14:textId="77777777" w:rsidR="00B47E3B" w:rsidRPr="00B47E3B" w:rsidRDefault="00B47E3B" w:rsidP="00B47E3B">
      <w:pPr>
        <w:rPr>
          <w:rFonts w:cs="Arial"/>
          <w:szCs w:val="22"/>
          <w:rtl/>
        </w:rPr>
      </w:pPr>
    </w:p>
    <w:p w14:paraId="199DF810" w14:textId="77777777" w:rsidR="00B47E3B" w:rsidRDefault="00B47E3B" w:rsidP="00B47E3B">
      <w:pPr>
        <w:pStyle w:val="Ruller40"/>
        <w:numPr>
          <w:ilvl w:val="0"/>
          <w:numId w:val="1"/>
        </w:numPr>
        <w:ind w:left="0" w:firstLine="0"/>
        <w:rPr>
          <w:rFonts w:cs="David"/>
          <w:szCs w:val="24"/>
        </w:rPr>
      </w:pPr>
      <w:r>
        <w:rPr>
          <w:rFonts w:cs="David"/>
          <w:szCs w:val="24"/>
          <w:rtl/>
        </w:rPr>
        <w:t>ככלל, עבירות סמים, לא כל שכן עבירות של סחר בסמים, מחייבות, לטעמי, הטלת עונשי מאסר מאחורי סורג ובריח. בנסיבות מקרה זה, ובעיקר בהתחשב בפגיעה הצפויה במשפחתו של הנאשם ובהליך השיקומי שהנאשם החל בו במסגרת שירות המבחן ועוד עתיד להשתלב בו, מצאתי שיש ל</w:t>
      </w:r>
      <w:r>
        <w:rPr>
          <w:rFonts w:cs="David" w:hint="cs"/>
          <w:szCs w:val="24"/>
          <w:rtl/>
        </w:rPr>
        <w:t>מקם את הנאשם בתחתית המתחם</w:t>
      </w:r>
      <w:r>
        <w:rPr>
          <w:rFonts w:cs="David"/>
          <w:szCs w:val="24"/>
          <w:rtl/>
        </w:rPr>
        <w:t xml:space="preserve"> שנקבע.</w:t>
      </w:r>
    </w:p>
    <w:p w14:paraId="5C423692" w14:textId="77777777" w:rsidR="00B47E3B" w:rsidRPr="00B47E3B" w:rsidRDefault="00B47E3B" w:rsidP="00B47E3B">
      <w:pPr>
        <w:rPr>
          <w:rFonts w:cs="Arial"/>
          <w:szCs w:val="22"/>
          <w:rtl/>
        </w:rPr>
      </w:pPr>
    </w:p>
    <w:p w14:paraId="73345C6F" w14:textId="77777777" w:rsidR="00B47E3B" w:rsidRDefault="00B47E3B" w:rsidP="00B47E3B">
      <w:pPr>
        <w:pStyle w:val="Ruller40"/>
        <w:numPr>
          <w:ilvl w:val="0"/>
          <w:numId w:val="1"/>
        </w:numPr>
        <w:ind w:left="0" w:firstLine="0"/>
        <w:rPr>
          <w:rFonts w:cs="David"/>
          <w:szCs w:val="24"/>
        </w:rPr>
      </w:pPr>
      <w:r>
        <w:rPr>
          <w:rFonts w:cs="David"/>
          <w:szCs w:val="24"/>
          <w:rtl/>
        </w:rPr>
        <w:t xml:space="preserve">עם זאת, לא מצאתי </w:t>
      </w:r>
      <w:r>
        <w:rPr>
          <w:rFonts w:cs="David" w:hint="cs"/>
          <w:szCs w:val="24"/>
          <w:rtl/>
        </w:rPr>
        <w:t xml:space="preserve">שיש הצדקה </w:t>
      </w:r>
      <w:r>
        <w:rPr>
          <w:rFonts w:cs="David"/>
          <w:szCs w:val="24"/>
          <w:rtl/>
        </w:rPr>
        <w:t>לאמץ את המלצות שירות המבחן ועתירת ב"כ הנאשם במלואן</w:t>
      </w:r>
      <w:r>
        <w:rPr>
          <w:rFonts w:cs="David" w:hint="cs"/>
          <w:szCs w:val="24"/>
          <w:rtl/>
        </w:rPr>
        <w:t xml:space="preserve"> ולסטות לקולא מהמתחם שנקבע</w:t>
      </w:r>
      <w:r>
        <w:rPr>
          <w:rFonts w:cs="David"/>
          <w:szCs w:val="24"/>
          <w:rtl/>
        </w:rPr>
        <w:t xml:space="preserve">.  </w:t>
      </w:r>
    </w:p>
    <w:p w14:paraId="3ACB0B4E" w14:textId="77777777" w:rsidR="00B47E3B" w:rsidRPr="00B47E3B" w:rsidRDefault="00B47E3B" w:rsidP="00B47E3B">
      <w:pPr>
        <w:rPr>
          <w:rFonts w:cs="Arial"/>
          <w:szCs w:val="22"/>
          <w:rtl/>
        </w:rPr>
      </w:pPr>
    </w:p>
    <w:p w14:paraId="1A7D8847" w14:textId="77777777" w:rsidR="00B47E3B" w:rsidRDefault="00B47E3B" w:rsidP="00B47E3B">
      <w:pPr>
        <w:spacing w:line="360" w:lineRule="auto"/>
        <w:jc w:val="both"/>
        <w:rPr>
          <w:rFonts w:ascii="David" w:hAnsi="David"/>
          <w:b/>
          <w:bCs/>
          <w:u w:val="single"/>
          <w:rtl/>
        </w:rPr>
      </w:pPr>
      <w:r>
        <w:rPr>
          <w:rFonts w:ascii="David" w:hAnsi="David"/>
          <w:b/>
          <w:bCs/>
          <w:u w:val="single"/>
          <w:rtl/>
        </w:rPr>
        <w:t>גזירת הדין</w:t>
      </w:r>
    </w:p>
    <w:p w14:paraId="5CE1D692" w14:textId="77777777" w:rsidR="00B47E3B" w:rsidRDefault="00B47E3B" w:rsidP="00B47E3B">
      <w:pPr>
        <w:pStyle w:val="Ruller40"/>
        <w:numPr>
          <w:ilvl w:val="0"/>
          <w:numId w:val="1"/>
        </w:numPr>
        <w:ind w:left="0" w:firstLine="0"/>
        <w:rPr>
          <w:rFonts w:cs="David"/>
          <w:szCs w:val="24"/>
          <w:rtl/>
        </w:rPr>
      </w:pPr>
      <w:r>
        <w:rPr>
          <w:rFonts w:ascii="David" w:hAnsi="David" w:cs="David"/>
          <w:szCs w:val="24"/>
          <w:rtl/>
        </w:rPr>
        <w:t>כמו</w:t>
      </w:r>
      <w:r>
        <w:rPr>
          <w:rFonts w:cs="David"/>
          <w:szCs w:val="24"/>
          <w:rtl/>
        </w:rPr>
        <w:t xml:space="preserve"> כן, אני מחליט לגזור על הנאשם את העונשים הבאים:</w:t>
      </w:r>
    </w:p>
    <w:p w14:paraId="5EF18384" w14:textId="77777777" w:rsidR="00B47E3B" w:rsidRDefault="00B47E3B" w:rsidP="00B47E3B">
      <w:pPr>
        <w:numPr>
          <w:ilvl w:val="0"/>
          <w:numId w:val="3"/>
        </w:numPr>
        <w:spacing w:after="160" w:line="360" w:lineRule="auto"/>
        <w:contextualSpacing/>
        <w:jc w:val="both"/>
        <w:rPr>
          <w:rFonts w:ascii="David" w:eastAsia="Calibri" w:hAnsi="David"/>
          <w:rtl/>
        </w:rPr>
      </w:pPr>
      <w:r>
        <w:rPr>
          <w:rFonts w:ascii="David" w:eastAsia="Calibri" w:hAnsi="David"/>
          <w:rtl/>
        </w:rPr>
        <w:t>6 חודשי מאסר, בעבודות שירות, החל מיום 17.9.2023, אשר יבוצעו בבית העלמין, בית שמש, וזאת על פי חוות דעת הממונה על עבודות השירות מיום 28.3.2023. על הנאשם להתייצב ביום 17.9.2023  עד לשעה 08:00 במשרד הממונה על עבודות שירות בבאר שבע לתחילת ביצוע עונשו. מובהר בזה כי הפרת הוראות הממונה ואי עמידה בכללים הנוגעים לריצוי עבודות השירות עלולים להביא להפקעת העבודות ולהמרת העונש בעונש מאסר של ממש;</w:t>
      </w:r>
    </w:p>
    <w:p w14:paraId="724F4F0B" w14:textId="77777777" w:rsidR="00B47E3B" w:rsidRDefault="00B47E3B" w:rsidP="00B47E3B">
      <w:pPr>
        <w:numPr>
          <w:ilvl w:val="0"/>
          <w:numId w:val="3"/>
        </w:numPr>
        <w:spacing w:after="160" w:line="360" w:lineRule="auto"/>
        <w:contextualSpacing/>
        <w:jc w:val="both"/>
        <w:rPr>
          <w:rFonts w:ascii="David" w:eastAsia="Calibri" w:hAnsi="David"/>
        </w:rPr>
      </w:pPr>
      <w:r>
        <w:rPr>
          <w:rFonts w:ascii="David" w:eastAsia="Calibri" w:hAnsi="David"/>
          <w:rtl/>
        </w:rPr>
        <w:t>7 חודשי מאסר, שלא יבוצעו, אלא אם יעבור הנאשם עבירות סמים מסוג פשע וזאת בתוך שלוש מהיום;</w:t>
      </w:r>
    </w:p>
    <w:p w14:paraId="67984F02" w14:textId="77777777" w:rsidR="00B47E3B" w:rsidRDefault="00B47E3B" w:rsidP="00B47E3B">
      <w:pPr>
        <w:numPr>
          <w:ilvl w:val="0"/>
          <w:numId w:val="3"/>
        </w:numPr>
        <w:spacing w:after="160" w:line="360" w:lineRule="auto"/>
        <w:contextualSpacing/>
        <w:jc w:val="both"/>
        <w:rPr>
          <w:rFonts w:ascii="David" w:eastAsia="Calibri" w:hAnsi="David"/>
        </w:rPr>
      </w:pPr>
      <w:r>
        <w:rPr>
          <w:rFonts w:ascii="David" w:eastAsia="Calibri" w:hAnsi="David"/>
          <w:rtl/>
        </w:rPr>
        <w:t>קנס בסך 5,000 ₪,  או 30 ימי מאסר תמורתו. הקנס ישולם עד ליום 1.7.24. לא ישולם תשלום במועד או לא ישולם כלל, יעמוד הקנס לפירעון מיידי;</w:t>
      </w:r>
    </w:p>
    <w:p w14:paraId="591BDCDC" w14:textId="77777777" w:rsidR="00B47E3B" w:rsidRDefault="00B47E3B" w:rsidP="00B47E3B">
      <w:pPr>
        <w:numPr>
          <w:ilvl w:val="0"/>
          <w:numId w:val="3"/>
        </w:numPr>
        <w:spacing w:after="160" w:line="360" w:lineRule="auto"/>
        <w:contextualSpacing/>
        <w:jc w:val="both"/>
        <w:rPr>
          <w:rFonts w:ascii="David" w:eastAsia="Calibri" w:hAnsi="David"/>
        </w:rPr>
      </w:pPr>
      <w:r>
        <w:rPr>
          <w:rFonts w:ascii="David" w:eastAsia="Calibri" w:hAnsi="David"/>
          <w:rtl/>
        </w:rPr>
        <w:t>12 חודשי פסילה מלקבל או מלהחזיק ברישיון נהיגה, וזאת על-תנאי למשך 3 שנים מהיום, בהן לא יבצע הנאשם כל עבירה לפי פקודת הסמים (פשע ועוון);</w:t>
      </w:r>
    </w:p>
    <w:p w14:paraId="1CF4DBA9" w14:textId="77777777" w:rsidR="00B47E3B" w:rsidRDefault="00B47E3B" w:rsidP="00B47E3B">
      <w:pPr>
        <w:numPr>
          <w:ilvl w:val="0"/>
          <w:numId w:val="3"/>
        </w:numPr>
        <w:spacing w:after="160" w:line="360" w:lineRule="auto"/>
        <w:contextualSpacing/>
        <w:jc w:val="both"/>
        <w:rPr>
          <w:rFonts w:ascii="David" w:eastAsia="Calibri" w:hAnsi="David"/>
        </w:rPr>
      </w:pPr>
      <w:r>
        <w:rPr>
          <w:rFonts w:ascii="David" w:eastAsia="Calibri" w:hAnsi="David"/>
          <w:rtl/>
        </w:rPr>
        <w:t>צו מבחן לתקופה של שנה. במהלך תקופה זו הנאשם מחויב בשיתוף פעולה עם שירות המבחן, כאשר מובהר כי הפרת הצו תוכל להביא לפתיחה מחודשת של המשפט וגזירת עונשו של הנאשם, לרבות עונש מאסר.</w:t>
      </w:r>
    </w:p>
    <w:p w14:paraId="789B9FE8" w14:textId="77777777" w:rsidR="00B47E3B" w:rsidRDefault="00B47E3B" w:rsidP="00B47E3B">
      <w:pPr>
        <w:numPr>
          <w:ilvl w:val="0"/>
          <w:numId w:val="3"/>
        </w:numPr>
        <w:spacing w:after="160" w:line="360" w:lineRule="auto"/>
        <w:contextualSpacing/>
        <w:jc w:val="both"/>
        <w:rPr>
          <w:rFonts w:ascii="David" w:eastAsia="Calibri" w:hAnsi="David"/>
        </w:rPr>
      </w:pPr>
      <w:r>
        <w:rPr>
          <w:rFonts w:ascii="David" w:eastAsia="Calibri" w:hAnsi="David"/>
          <w:rtl/>
        </w:rPr>
        <w:t xml:space="preserve">התחייבות בסך 10,000 ₪ שלא לעבור עבירות סמים בהן הורשע הנאשם במשך שנתיים מהיום או 10 ימי מאסר תמורתה אם לא תיחתם. הובהר לנאשם שמשמעות ההתחייבות היא, כי אם יעבור את העבירה בתוך התקופה שצוינה, בית המשפט שיגזור את הדין יהא חייב לחלט את ההתחייבות כקנס. </w:t>
      </w:r>
    </w:p>
    <w:p w14:paraId="05528C5C" w14:textId="77777777" w:rsidR="00B47E3B" w:rsidRDefault="00B47E3B" w:rsidP="00B47E3B">
      <w:pPr>
        <w:spacing w:after="160" w:line="360" w:lineRule="auto"/>
        <w:ind w:left="720"/>
        <w:contextualSpacing/>
        <w:jc w:val="both"/>
        <w:rPr>
          <w:rFonts w:ascii="David" w:eastAsia="Calibri" w:hAnsi="David"/>
        </w:rPr>
      </w:pPr>
    </w:p>
    <w:p w14:paraId="4ADF4950" w14:textId="77777777" w:rsidR="00B47E3B" w:rsidRPr="00B47E3B" w:rsidRDefault="00B47E3B" w:rsidP="00B47E3B">
      <w:pPr>
        <w:spacing w:line="360" w:lineRule="auto"/>
        <w:rPr>
          <w:rFonts w:ascii="David" w:eastAsia="Calibri" w:hAnsi="David"/>
        </w:rPr>
      </w:pPr>
      <w:r>
        <w:rPr>
          <w:rFonts w:ascii="David" w:hAnsi="David"/>
          <w:rtl/>
        </w:rPr>
        <w:t>זכות ערעור תוך 45 ימים לבית המשפט המחוזי בירושלים.</w:t>
      </w:r>
    </w:p>
    <w:p w14:paraId="730C5C20" w14:textId="77777777" w:rsidR="00B47E3B" w:rsidRPr="00E921B4" w:rsidRDefault="00E921B4" w:rsidP="00B47E3B">
      <w:pPr>
        <w:rPr>
          <w:rFonts w:ascii="Arial" w:hAnsi="Arial"/>
          <w:b/>
          <w:bCs/>
          <w:color w:val="FFFFFF"/>
          <w:sz w:val="2"/>
          <w:szCs w:val="2"/>
          <w:rtl/>
        </w:rPr>
      </w:pPr>
      <w:r w:rsidRPr="00E921B4">
        <w:rPr>
          <w:rFonts w:ascii="Arial" w:hAnsi="Arial"/>
          <w:b/>
          <w:bCs/>
          <w:color w:val="FFFFFF"/>
          <w:sz w:val="2"/>
          <w:szCs w:val="2"/>
          <w:rtl/>
        </w:rPr>
        <w:t>5129371</w:t>
      </w:r>
    </w:p>
    <w:p w14:paraId="3C371E34" w14:textId="77777777" w:rsidR="00B47E3B" w:rsidRPr="00E921B4" w:rsidRDefault="00E921B4" w:rsidP="00B47E3B">
      <w:pPr>
        <w:rPr>
          <w:rFonts w:ascii="Arial" w:hAnsi="Arial"/>
          <w:b/>
          <w:bCs/>
          <w:color w:val="FFFFFF"/>
          <w:sz w:val="2"/>
          <w:szCs w:val="2"/>
          <w:rtl/>
        </w:rPr>
      </w:pPr>
      <w:r w:rsidRPr="00E921B4">
        <w:rPr>
          <w:rFonts w:ascii="Arial" w:hAnsi="Arial"/>
          <w:b/>
          <w:bCs/>
          <w:color w:val="FFFFFF"/>
          <w:sz w:val="2"/>
          <w:szCs w:val="2"/>
          <w:rtl/>
        </w:rPr>
        <w:t>54678313</w:t>
      </w:r>
    </w:p>
    <w:p w14:paraId="298E7DFE" w14:textId="77777777" w:rsidR="00B47E3B" w:rsidRPr="000F2247" w:rsidRDefault="00B47E3B" w:rsidP="00B47E3B">
      <w:pPr>
        <w:rPr>
          <w:rFonts w:ascii="Arial" w:hAnsi="Arial"/>
          <w:b/>
          <w:bCs/>
          <w:sz w:val="26"/>
          <w:szCs w:val="26"/>
          <w:rtl/>
        </w:rPr>
      </w:pPr>
    </w:p>
    <w:p w14:paraId="5A844F97" w14:textId="77777777" w:rsidR="00B47E3B" w:rsidRPr="000F2247" w:rsidRDefault="00E921B4" w:rsidP="00B47E3B">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א' אב תשפ"ג, 19 יולי 2023, במעמד הצדדים. </w:t>
      </w:r>
      <w:bookmarkEnd w:id="8"/>
      <w:r w:rsidR="00B47E3B">
        <w:rPr>
          <w:rFonts w:ascii="Arial" w:hAnsi="Arial"/>
          <w:b/>
          <w:bCs/>
          <w:sz w:val="26"/>
          <w:szCs w:val="26"/>
          <w:rtl/>
        </w:rPr>
        <w:tab/>
      </w:r>
      <w:r w:rsidR="00B47E3B">
        <w:rPr>
          <w:rFonts w:ascii="Arial" w:hAnsi="Arial"/>
          <w:b/>
          <w:bCs/>
          <w:sz w:val="26"/>
          <w:szCs w:val="26"/>
          <w:rtl/>
        </w:rPr>
        <w:tab/>
      </w:r>
      <w:r w:rsidR="00B47E3B">
        <w:rPr>
          <w:rFonts w:ascii="Arial" w:hAnsi="Arial"/>
          <w:b/>
          <w:bCs/>
          <w:sz w:val="26"/>
          <w:szCs w:val="26"/>
          <w:rtl/>
        </w:rPr>
        <w:tab/>
      </w:r>
      <w:r w:rsidR="00B47E3B">
        <w:rPr>
          <w:rFonts w:ascii="Arial" w:hAnsi="Arial"/>
          <w:b/>
          <w:bCs/>
          <w:sz w:val="26"/>
          <w:szCs w:val="26"/>
          <w:rtl/>
        </w:rPr>
        <w:tab/>
      </w:r>
      <w:r w:rsidR="00B47E3B">
        <w:rPr>
          <w:rFonts w:ascii="Arial" w:hAnsi="Arial"/>
          <w:b/>
          <w:bCs/>
          <w:sz w:val="26"/>
          <w:szCs w:val="26"/>
          <w:rtl/>
        </w:rPr>
        <w:tab/>
      </w:r>
      <w:r w:rsidR="00B47E3B">
        <w:rPr>
          <w:rFonts w:ascii="Arial" w:hAnsi="Arial"/>
          <w:b/>
          <w:bCs/>
          <w:sz w:val="26"/>
          <w:szCs w:val="26"/>
          <w:rtl/>
        </w:rPr>
        <w:tab/>
      </w:r>
      <w:r w:rsidR="00B47E3B">
        <w:rPr>
          <w:rFonts w:ascii="Arial" w:hAnsi="Arial"/>
          <w:b/>
          <w:bCs/>
          <w:sz w:val="26"/>
          <w:szCs w:val="26"/>
          <w:rtl/>
        </w:rPr>
        <w:tab/>
      </w:r>
      <w:r w:rsidR="00B47E3B">
        <w:rPr>
          <w:rFonts w:ascii="Arial" w:hAnsi="Arial" w:hint="cs"/>
          <w:b/>
          <w:bCs/>
          <w:sz w:val="26"/>
          <w:szCs w:val="26"/>
          <w:rtl/>
        </w:rPr>
        <w:t xml:space="preserve">         </w:t>
      </w:r>
    </w:p>
    <w:p w14:paraId="20EE374A" w14:textId="77777777" w:rsidR="00B47E3B" w:rsidRPr="000F2247" w:rsidRDefault="00B47E3B" w:rsidP="00E921B4">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DCBC6C8" w14:textId="77777777" w:rsidR="00B47E3B" w:rsidRPr="000F2247" w:rsidRDefault="00B47E3B" w:rsidP="00B47E3B">
      <w:pPr>
        <w:jc w:val="center"/>
        <w:rPr>
          <w:rFonts w:ascii="Arial" w:hAnsi="Arial"/>
          <w:b/>
          <w:bCs/>
          <w:sz w:val="26"/>
          <w:szCs w:val="26"/>
          <w:rtl/>
        </w:rPr>
      </w:pPr>
    </w:p>
    <w:p w14:paraId="3D95C9A3" w14:textId="77777777" w:rsidR="00A65848" w:rsidRPr="00E921B4" w:rsidRDefault="00A65848" w:rsidP="00E921B4">
      <w:pPr>
        <w:keepNext/>
        <w:rPr>
          <w:rFonts w:ascii="David" w:hAnsi="David"/>
          <w:color w:val="000000"/>
          <w:sz w:val="22"/>
          <w:szCs w:val="22"/>
          <w:rtl/>
        </w:rPr>
      </w:pPr>
    </w:p>
    <w:p w14:paraId="36654A1B" w14:textId="77777777" w:rsidR="00E921B4" w:rsidRPr="00E921B4" w:rsidRDefault="00E921B4" w:rsidP="00E921B4">
      <w:pPr>
        <w:keepNext/>
        <w:rPr>
          <w:rFonts w:ascii="David" w:hAnsi="David"/>
          <w:color w:val="000000"/>
          <w:sz w:val="22"/>
          <w:szCs w:val="22"/>
          <w:rtl/>
        </w:rPr>
      </w:pPr>
      <w:r w:rsidRPr="00E921B4">
        <w:rPr>
          <w:rFonts w:ascii="David" w:hAnsi="David"/>
          <w:color w:val="000000"/>
          <w:sz w:val="22"/>
          <w:szCs w:val="22"/>
          <w:rtl/>
        </w:rPr>
        <w:t>ביאלין אלעזר 54678313</w:t>
      </w:r>
    </w:p>
    <w:p w14:paraId="66D8CA1E" w14:textId="77777777" w:rsidR="00E921B4" w:rsidRDefault="00E921B4" w:rsidP="00E921B4">
      <w:r w:rsidRPr="00E921B4">
        <w:rPr>
          <w:color w:val="000000"/>
          <w:rtl/>
        </w:rPr>
        <w:t>נוסח מסמך זה כפוף לשינויי ניסוח ועריכה</w:t>
      </w:r>
    </w:p>
    <w:p w14:paraId="25CED8B6" w14:textId="77777777" w:rsidR="00E921B4" w:rsidRDefault="00E921B4" w:rsidP="00E921B4">
      <w:pPr>
        <w:rPr>
          <w:rtl/>
        </w:rPr>
      </w:pPr>
    </w:p>
    <w:p w14:paraId="0B5C829B" w14:textId="77777777" w:rsidR="00E921B4" w:rsidRDefault="00E921B4" w:rsidP="00E921B4">
      <w:pPr>
        <w:jc w:val="center"/>
        <w:rPr>
          <w:color w:val="0000FF"/>
          <w:u w:val="single"/>
        </w:rPr>
      </w:pPr>
      <w:hyperlink r:id="rId48" w:history="1">
        <w:r>
          <w:rPr>
            <w:color w:val="0000FF"/>
            <w:u w:val="single"/>
            <w:rtl/>
          </w:rPr>
          <w:t>בעניין עריכה ושינויים במסמכי פסיקה, חקיקה ועוד באתר נבו – הקש כאן</w:t>
        </w:r>
      </w:hyperlink>
    </w:p>
    <w:p w14:paraId="770B2888" w14:textId="77777777" w:rsidR="00E921B4" w:rsidRPr="00E921B4" w:rsidRDefault="00E921B4" w:rsidP="00E921B4">
      <w:pPr>
        <w:jc w:val="center"/>
        <w:rPr>
          <w:color w:val="0000FF"/>
          <w:u w:val="single"/>
        </w:rPr>
      </w:pPr>
    </w:p>
    <w:sectPr w:rsidR="00E921B4" w:rsidRPr="00E921B4" w:rsidSect="00E921B4">
      <w:headerReference w:type="even" r:id="rId49"/>
      <w:headerReference w:type="default" r:id="rId50"/>
      <w:footerReference w:type="even" r:id="rId51"/>
      <w:footerReference w:type="default" r:id="rId5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3122BF" w14:textId="77777777" w:rsidR="00250F5F" w:rsidRDefault="00250F5F" w:rsidP="007E1937">
      <w:r>
        <w:separator/>
      </w:r>
    </w:p>
  </w:endnote>
  <w:endnote w:type="continuationSeparator" w:id="0">
    <w:p w14:paraId="4EA57976" w14:textId="77777777" w:rsidR="00250F5F" w:rsidRDefault="00250F5F" w:rsidP="007E1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E268B" w14:textId="77777777" w:rsidR="00E921B4" w:rsidRDefault="00E921B4" w:rsidP="00E921B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BD95081" w14:textId="77777777" w:rsidR="00BC7B4E" w:rsidRPr="00E921B4" w:rsidRDefault="00E921B4" w:rsidP="00E921B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4B05C" w14:textId="77777777" w:rsidR="00E921B4" w:rsidRDefault="00E921B4" w:rsidP="00E921B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84D46">
      <w:rPr>
        <w:rFonts w:ascii="FrankRuehl" w:hAnsi="FrankRuehl" w:cs="FrankRuehl"/>
        <w:noProof/>
        <w:rtl/>
      </w:rPr>
      <w:t>1</w:t>
    </w:r>
    <w:r>
      <w:rPr>
        <w:rFonts w:ascii="FrankRuehl" w:hAnsi="FrankRuehl" w:cs="FrankRuehl"/>
        <w:rtl/>
      </w:rPr>
      <w:fldChar w:fldCharType="end"/>
    </w:r>
  </w:p>
  <w:p w14:paraId="640E92A9" w14:textId="77777777" w:rsidR="00BC7B4E" w:rsidRPr="00E921B4" w:rsidRDefault="00E921B4" w:rsidP="00E921B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758F2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AD5198" w14:textId="77777777" w:rsidR="00250F5F" w:rsidRDefault="00250F5F" w:rsidP="007E1937">
      <w:r>
        <w:separator/>
      </w:r>
    </w:p>
  </w:footnote>
  <w:footnote w:type="continuationSeparator" w:id="0">
    <w:p w14:paraId="455A2990" w14:textId="77777777" w:rsidR="00250F5F" w:rsidRDefault="00250F5F" w:rsidP="007E19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B10EA" w14:textId="77777777" w:rsidR="00E921B4" w:rsidRPr="00E921B4" w:rsidRDefault="00E921B4" w:rsidP="00E921B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1722-05-21</w:t>
    </w:r>
    <w:r>
      <w:rPr>
        <w:rFonts w:ascii="David" w:hAnsi="David"/>
        <w:color w:val="000000"/>
        <w:sz w:val="22"/>
        <w:szCs w:val="22"/>
        <w:rtl/>
      </w:rPr>
      <w:tab/>
      <w:t xml:space="preserve"> מדינת ישראל נ' אליהו שמעון חיי וקנין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9A939" w14:textId="77777777" w:rsidR="00E921B4" w:rsidRPr="00E921B4" w:rsidRDefault="00E921B4" w:rsidP="00E921B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1722-05-21</w:t>
    </w:r>
    <w:r>
      <w:rPr>
        <w:rFonts w:ascii="David" w:hAnsi="David"/>
        <w:color w:val="000000"/>
        <w:sz w:val="22"/>
        <w:szCs w:val="22"/>
        <w:rtl/>
      </w:rPr>
      <w:tab/>
      <w:t xml:space="preserve"> מדינת ישראל נ' אליהו שמעון חיי וקנין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A61FA3"/>
    <w:multiLevelType w:val="hybridMultilevel"/>
    <w:tmpl w:val="208E3610"/>
    <w:lvl w:ilvl="0" w:tplc="F3802B80">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82B3CBA"/>
    <w:multiLevelType w:val="hybridMultilevel"/>
    <w:tmpl w:val="DC0C75E8"/>
    <w:lvl w:ilvl="0" w:tplc="0409000F">
      <w:start w:val="1"/>
      <w:numFmt w:val="decimal"/>
      <w:lvlText w:val="%1."/>
      <w:lvlJc w:val="left"/>
      <w:pPr>
        <w:ind w:left="720" w:hanging="360"/>
      </w:pPr>
      <w:rPr>
        <w:color w:val="auto"/>
        <w:sz w:val="22"/>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F19136A"/>
    <w:multiLevelType w:val="hybridMultilevel"/>
    <w:tmpl w:val="47200C88"/>
    <w:lvl w:ilvl="0" w:tplc="DCDC8C7E">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3792101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10032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496928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47E3B"/>
    <w:rsid w:val="00084D46"/>
    <w:rsid w:val="00096827"/>
    <w:rsid w:val="001039AC"/>
    <w:rsid w:val="00157D6B"/>
    <w:rsid w:val="001A3BFB"/>
    <w:rsid w:val="001B3967"/>
    <w:rsid w:val="001B5A3B"/>
    <w:rsid w:val="00250F5F"/>
    <w:rsid w:val="007E1937"/>
    <w:rsid w:val="008C1952"/>
    <w:rsid w:val="00A65848"/>
    <w:rsid w:val="00B47E3B"/>
    <w:rsid w:val="00BC7B4E"/>
    <w:rsid w:val="00E32BFE"/>
    <w:rsid w:val="00E73CEF"/>
    <w:rsid w:val="00E921B4"/>
    <w:rsid w:val="00F172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5766C9"/>
  <w15:chartTrackingRefBased/>
  <w15:docId w15:val="{8E4649BA-9578-476D-9C4C-E0477A56D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47E3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47E3B"/>
    <w:pPr>
      <w:tabs>
        <w:tab w:val="center" w:pos="4153"/>
        <w:tab w:val="right" w:pos="8306"/>
      </w:tabs>
    </w:pPr>
  </w:style>
  <w:style w:type="character" w:customStyle="1" w:styleId="a4">
    <w:name w:val="כותרת עליונה תו"/>
    <w:link w:val="a3"/>
    <w:rsid w:val="00B47E3B"/>
    <w:rPr>
      <w:rFonts w:ascii="Times New Roman" w:eastAsia="Times New Roman" w:hAnsi="Times New Roman" w:cs="David"/>
      <w:sz w:val="24"/>
      <w:szCs w:val="24"/>
    </w:rPr>
  </w:style>
  <w:style w:type="paragraph" w:styleId="a5">
    <w:name w:val="footer"/>
    <w:basedOn w:val="a"/>
    <w:link w:val="a6"/>
    <w:rsid w:val="00B47E3B"/>
    <w:pPr>
      <w:tabs>
        <w:tab w:val="center" w:pos="4153"/>
        <w:tab w:val="right" w:pos="8306"/>
      </w:tabs>
    </w:pPr>
  </w:style>
  <w:style w:type="character" w:customStyle="1" w:styleId="a6">
    <w:name w:val="כותרת תחתונה תו"/>
    <w:link w:val="a5"/>
    <w:rsid w:val="00B47E3B"/>
    <w:rPr>
      <w:rFonts w:ascii="Times New Roman" w:eastAsia="Times New Roman" w:hAnsi="Times New Roman" w:cs="David"/>
      <w:sz w:val="24"/>
      <w:szCs w:val="24"/>
    </w:rPr>
  </w:style>
  <w:style w:type="table" w:styleId="a7">
    <w:name w:val="Table Grid"/>
    <w:basedOn w:val="a1"/>
    <w:rsid w:val="00B47E3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47E3B"/>
  </w:style>
  <w:style w:type="character" w:styleId="Hyperlink">
    <w:name w:val="Hyperlink"/>
    <w:rsid w:val="00B47E3B"/>
    <w:rPr>
      <w:color w:val="0000FF"/>
      <w:u w:val="single"/>
    </w:rPr>
  </w:style>
  <w:style w:type="paragraph" w:styleId="a9">
    <w:name w:val="List Paragraph"/>
    <w:basedOn w:val="a"/>
    <w:qFormat/>
    <w:rsid w:val="00B47E3B"/>
    <w:pPr>
      <w:spacing w:after="160" w:line="256" w:lineRule="auto"/>
      <w:ind w:left="720"/>
      <w:contextualSpacing/>
    </w:pPr>
    <w:rPr>
      <w:rFonts w:ascii="Calibri" w:eastAsia="Calibri" w:hAnsi="Calibri" w:cs="Arial"/>
      <w:sz w:val="22"/>
      <w:szCs w:val="22"/>
    </w:rPr>
  </w:style>
  <w:style w:type="character" w:customStyle="1" w:styleId="Ruller4">
    <w:name w:val="Ruller 4 ממוספר תו"/>
    <w:link w:val="Ruller40"/>
    <w:locked/>
    <w:rsid w:val="00B47E3B"/>
    <w:rPr>
      <w:rFonts w:ascii="Garamond" w:hAnsi="Garamond" w:cs="FrankRuehl"/>
      <w:spacing w:val="10"/>
      <w:sz w:val="24"/>
      <w:szCs w:val="28"/>
    </w:rPr>
  </w:style>
  <w:style w:type="paragraph" w:customStyle="1" w:styleId="Ruller40">
    <w:name w:val="Ruller 4 ממוספר"/>
    <w:basedOn w:val="a"/>
    <w:next w:val="a"/>
    <w:link w:val="Ruller4"/>
    <w:rsid w:val="00B47E3B"/>
    <w:pPr>
      <w:tabs>
        <w:tab w:val="left" w:pos="800"/>
      </w:tabs>
      <w:overflowPunct w:val="0"/>
      <w:autoSpaceDE w:val="0"/>
      <w:autoSpaceDN w:val="0"/>
      <w:adjustRightInd w:val="0"/>
      <w:spacing w:line="360" w:lineRule="auto"/>
      <w:jc w:val="both"/>
    </w:pPr>
    <w:rPr>
      <w:rFonts w:ascii="Garamond" w:eastAsia="Calibri" w:hAnsi="Garamond" w:cs="FrankRuehl"/>
      <w:spacing w:val="1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7047553" TargetMode="External"/><Relationship Id="rId39" Type="http://schemas.openxmlformats.org/officeDocument/2006/relationships/hyperlink" Target="http://www.nevo.co.il/case/4001362" TargetMode="External"/><Relationship Id="rId21" Type="http://schemas.openxmlformats.org/officeDocument/2006/relationships/hyperlink" Target="http://www.nevo.co.il/case/27587964" TargetMode="External"/><Relationship Id="rId34" Type="http://schemas.openxmlformats.org/officeDocument/2006/relationships/hyperlink" Target="http://www.nevo.co.il/case/5763166" TargetMode="External"/><Relationship Id="rId42" Type="http://schemas.openxmlformats.org/officeDocument/2006/relationships/hyperlink" Target="http://www.nevo.co.il/case/20409969" TargetMode="External"/><Relationship Id="rId47" Type="http://schemas.openxmlformats.org/officeDocument/2006/relationships/hyperlink" Target="http://www.nevo.co.il/law/70301" TargetMode="External"/><Relationship Id="rId50"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 TargetMode="External"/><Relationship Id="rId29" Type="http://schemas.openxmlformats.org/officeDocument/2006/relationships/hyperlink" Target="http://www.nevo.co.il/law/70301/40jc.a" TargetMode="External"/><Relationship Id="rId11" Type="http://schemas.openxmlformats.org/officeDocument/2006/relationships/hyperlink" Target="http://www.nevo.co.il/law/4216/13" TargetMode="External"/><Relationship Id="rId24" Type="http://schemas.openxmlformats.org/officeDocument/2006/relationships/hyperlink" Target="http://www.nevo.co.il/case/16987388" TargetMode="External"/><Relationship Id="rId32" Type="http://schemas.openxmlformats.org/officeDocument/2006/relationships/hyperlink" Target="https://www.nevo.co.il/psika_html/elyon/14056430-l02.htm" TargetMode="External"/><Relationship Id="rId37" Type="http://schemas.openxmlformats.org/officeDocument/2006/relationships/hyperlink" Target="http://www.nevo.co.il/case/27539883" TargetMode="External"/><Relationship Id="rId40" Type="http://schemas.openxmlformats.org/officeDocument/2006/relationships/hyperlink" Target="http://www.nevo.co.il/law/4216/13" TargetMode="External"/><Relationship Id="rId45" Type="http://schemas.openxmlformats.org/officeDocument/2006/relationships/hyperlink" Target="http://www.nevo.co.il/case/27592536"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evo.co.il/law/4216/7.c" TargetMode="External"/><Relationship Id="rId19" Type="http://schemas.openxmlformats.org/officeDocument/2006/relationships/hyperlink" Target="http://www.nevo.co.il/law/4216/13" TargetMode="External"/><Relationship Id="rId31" Type="http://schemas.openxmlformats.org/officeDocument/2006/relationships/hyperlink" Target="http://www.nevo.co.il/case/13093721" TargetMode="External"/><Relationship Id="rId44" Type="http://schemas.openxmlformats.org/officeDocument/2006/relationships/hyperlink" Target="http://www.nevo.co.il/case/27782907"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case/22830934" TargetMode="External"/><Relationship Id="rId27" Type="http://schemas.openxmlformats.org/officeDocument/2006/relationships/hyperlink" Target="http://www.nevo.co.il/case/27909774"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4393886"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4216/7"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22967740" TargetMode="External"/><Relationship Id="rId33" Type="http://schemas.openxmlformats.org/officeDocument/2006/relationships/hyperlink" Target="http://www.nevo.co.il/case/27587964" TargetMode="External"/><Relationship Id="rId38" Type="http://schemas.openxmlformats.org/officeDocument/2006/relationships/hyperlink" Target="http://www.nevo.co.il/case/27580695" TargetMode="External"/><Relationship Id="rId46" Type="http://schemas.openxmlformats.org/officeDocument/2006/relationships/hyperlink" Target="http://www.nevo.co.il/law/70301/40ja" TargetMode="External"/><Relationship Id="rId20" Type="http://schemas.openxmlformats.org/officeDocument/2006/relationships/hyperlink" Target="http://www.nevo.co.il/law/4216/19a" TargetMode="External"/><Relationship Id="rId41" Type="http://schemas.openxmlformats.org/officeDocument/2006/relationships/hyperlink" Target="http://www.nevo.co.il/law/4216/7"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c.a" TargetMode="External"/><Relationship Id="rId23" Type="http://schemas.openxmlformats.org/officeDocument/2006/relationships/hyperlink" Target="http://www.nevo.co.il/case/17045929" TargetMode="External"/><Relationship Id="rId28" Type="http://schemas.openxmlformats.org/officeDocument/2006/relationships/hyperlink" Target="http://www.nevo.co.il/case/20865710" TargetMode="External"/><Relationship Id="rId36" Type="http://schemas.openxmlformats.org/officeDocument/2006/relationships/hyperlink" Target="http://www.nevo.co.il/case/23827604"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4365</Words>
  <Characters>21826</Characters>
  <Application>Microsoft Office Word</Application>
  <DocSecurity>0</DocSecurity>
  <Lines>181</Lines>
  <Paragraphs>52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26139</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7995492</vt:i4>
      </vt:variant>
      <vt:variant>
        <vt:i4>120</vt:i4>
      </vt:variant>
      <vt:variant>
        <vt:i4>0</vt:i4>
      </vt:variant>
      <vt:variant>
        <vt:i4>5</vt:i4>
      </vt:variant>
      <vt:variant>
        <vt:lpwstr>http://www.nevo.co.il/law/70301</vt:lpwstr>
      </vt:variant>
      <vt:variant>
        <vt:lpwstr/>
      </vt:variant>
      <vt:variant>
        <vt:i4>262155</vt:i4>
      </vt:variant>
      <vt:variant>
        <vt:i4>117</vt:i4>
      </vt:variant>
      <vt:variant>
        <vt:i4>0</vt:i4>
      </vt:variant>
      <vt:variant>
        <vt:i4>5</vt:i4>
      </vt:variant>
      <vt:variant>
        <vt:lpwstr>http://www.nevo.co.il/law/70301/40ja</vt:lpwstr>
      </vt:variant>
      <vt:variant>
        <vt:lpwstr/>
      </vt:variant>
      <vt:variant>
        <vt:i4>3539071</vt:i4>
      </vt:variant>
      <vt:variant>
        <vt:i4>114</vt:i4>
      </vt:variant>
      <vt:variant>
        <vt:i4>0</vt:i4>
      </vt:variant>
      <vt:variant>
        <vt:i4>5</vt:i4>
      </vt:variant>
      <vt:variant>
        <vt:lpwstr>http://www.nevo.co.il/case/27592536</vt:lpwstr>
      </vt:variant>
      <vt:variant>
        <vt:lpwstr/>
      </vt:variant>
      <vt:variant>
        <vt:i4>3604594</vt:i4>
      </vt:variant>
      <vt:variant>
        <vt:i4>111</vt:i4>
      </vt:variant>
      <vt:variant>
        <vt:i4>0</vt:i4>
      </vt:variant>
      <vt:variant>
        <vt:i4>5</vt:i4>
      </vt:variant>
      <vt:variant>
        <vt:lpwstr>http://www.nevo.co.il/case/27782907</vt:lpwstr>
      </vt:variant>
      <vt:variant>
        <vt:lpwstr/>
      </vt:variant>
      <vt:variant>
        <vt:i4>3342460</vt:i4>
      </vt:variant>
      <vt:variant>
        <vt:i4>108</vt:i4>
      </vt:variant>
      <vt:variant>
        <vt:i4>0</vt:i4>
      </vt:variant>
      <vt:variant>
        <vt:i4>5</vt:i4>
      </vt:variant>
      <vt:variant>
        <vt:lpwstr>http://www.nevo.co.il/case/4393886</vt:lpwstr>
      </vt:variant>
      <vt:variant>
        <vt:lpwstr/>
      </vt:variant>
      <vt:variant>
        <vt:i4>3735677</vt:i4>
      </vt:variant>
      <vt:variant>
        <vt:i4>105</vt:i4>
      </vt:variant>
      <vt:variant>
        <vt:i4>0</vt:i4>
      </vt:variant>
      <vt:variant>
        <vt:i4>5</vt:i4>
      </vt:variant>
      <vt:variant>
        <vt:lpwstr>http://www.nevo.co.il/case/20409969</vt:lpwstr>
      </vt:variant>
      <vt:variant>
        <vt:lpwstr/>
      </vt:variant>
      <vt:variant>
        <vt:i4>4784202</vt:i4>
      </vt:variant>
      <vt:variant>
        <vt:i4>102</vt:i4>
      </vt:variant>
      <vt:variant>
        <vt:i4>0</vt:i4>
      </vt:variant>
      <vt:variant>
        <vt:i4>5</vt:i4>
      </vt:variant>
      <vt:variant>
        <vt:lpwstr>http://www.nevo.co.il/law/4216/7</vt:lpwstr>
      </vt:variant>
      <vt:variant>
        <vt:lpwstr/>
      </vt:variant>
      <vt:variant>
        <vt:i4>5177418</vt:i4>
      </vt:variant>
      <vt:variant>
        <vt:i4>99</vt:i4>
      </vt:variant>
      <vt:variant>
        <vt:i4>0</vt:i4>
      </vt:variant>
      <vt:variant>
        <vt:i4>5</vt:i4>
      </vt:variant>
      <vt:variant>
        <vt:lpwstr>http://www.nevo.co.il/law/4216/13</vt:lpwstr>
      </vt:variant>
      <vt:variant>
        <vt:lpwstr/>
      </vt:variant>
      <vt:variant>
        <vt:i4>3473523</vt:i4>
      </vt:variant>
      <vt:variant>
        <vt:i4>96</vt:i4>
      </vt:variant>
      <vt:variant>
        <vt:i4>0</vt:i4>
      </vt:variant>
      <vt:variant>
        <vt:i4>5</vt:i4>
      </vt:variant>
      <vt:variant>
        <vt:lpwstr>http://www.nevo.co.il/case/4001362</vt:lpwstr>
      </vt:variant>
      <vt:variant>
        <vt:lpwstr/>
      </vt:variant>
      <vt:variant>
        <vt:i4>4063357</vt:i4>
      </vt:variant>
      <vt:variant>
        <vt:i4>93</vt:i4>
      </vt:variant>
      <vt:variant>
        <vt:i4>0</vt:i4>
      </vt:variant>
      <vt:variant>
        <vt:i4>5</vt:i4>
      </vt:variant>
      <vt:variant>
        <vt:lpwstr>http://www.nevo.co.il/case/27580695</vt:lpwstr>
      </vt:variant>
      <vt:variant>
        <vt:lpwstr/>
      </vt:variant>
      <vt:variant>
        <vt:i4>3539064</vt:i4>
      </vt:variant>
      <vt:variant>
        <vt:i4>90</vt:i4>
      </vt:variant>
      <vt:variant>
        <vt:i4>0</vt:i4>
      </vt:variant>
      <vt:variant>
        <vt:i4>5</vt:i4>
      </vt:variant>
      <vt:variant>
        <vt:lpwstr>http://www.nevo.co.il/case/27539883</vt:lpwstr>
      </vt:variant>
      <vt:variant>
        <vt:lpwstr/>
      </vt:variant>
      <vt:variant>
        <vt:i4>3997811</vt:i4>
      </vt:variant>
      <vt:variant>
        <vt:i4>87</vt:i4>
      </vt:variant>
      <vt:variant>
        <vt:i4>0</vt:i4>
      </vt:variant>
      <vt:variant>
        <vt:i4>5</vt:i4>
      </vt:variant>
      <vt:variant>
        <vt:lpwstr>http://www.nevo.co.il/case/23827604</vt:lpwstr>
      </vt:variant>
      <vt:variant>
        <vt:lpwstr/>
      </vt:variant>
      <vt:variant>
        <vt:i4>7995492</vt:i4>
      </vt:variant>
      <vt:variant>
        <vt:i4>84</vt:i4>
      </vt:variant>
      <vt:variant>
        <vt:i4>0</vt:i4>
      </vt:variant>
      <vt:variant>
        <vt:i4>5</vt:i4>
      </vt:variant>
      <vt:variant>
        <vt:lpwstr>http://www.nevo.co.il/law/70301</vt:lpwstr>
      </vt:variant>
      <vt:variant>
        <vt:lpwstr/>
      </vt:variant>
      <vt:variant>
        <vt:i4>3407990</vt:i4>
      </vt:variant>
      <vt:variant>
        <vt:i4>81</vt:i4>
      </vt:variant>
      <vt:variant>
        <vt:i4>0</vt:i4>
      </vt:variant>
      <vt:variant>
        <vt:i4>5</vt:i4>
      </vt:variant>
      <vt:variant>
        <vt:lpwstr>http://www.nevo.co.il/case/5763166</vt:lpwstr>
      </vt:variant>
      <vt:variant>
        <vt:lpwstr/>
      </vt:variant>
      <vt:variant>
        <vt:i4>3539058</vt:i4>
      </vt:variant>
      <vt:variant>
        <vt:i4>78</vt:i4>
      </vt:variant>
      <vt:variant>
        <vt:i4>0</vt:i4>
      </vt:variant>
      <vt:variant>
        <vt:i4>5</vt:i4>
      </vt:variant>
      <vt:variant>
        <vt:lpwstr>http://www.nevo.co.il/case/27587964</vt:lpwstr>
      </vt:variant>
      <vt:variant>
        <vt:lpwstr/>
      </vt:variant>
      <vt:variant>
        <vt:i4>4390961</vt:i4>
      </vt:variant>
      <vt:variant>
        <vt:i4>75</vt:i4>
      </vt:variant>
      <vt:variant>
        <vt:i4>0</vt:i4>
      </vt:variant>
      <vt:variant>
        <vt:i4>5</vt:i4>
      </vt:variant>
      <vt:variant>
        <vt:lpwstr>https://www.nevo.co.il/psika_html/elyon/14056430-l02.htm</vt:lpwstr>
      </vt:variant>
      <vt:variant>
        <vt:lpwstr/>
      </vt:variant>
      <vt:variant>
        <vt:i4>3145849</vt:i4>
      </vt:variant>
      <vt:variant>
        <vt:i4>72</vt:i4>
      </vt:variant>
      <vt:variant>
        <vt:i4>0</vt:i4>
      </vt:variant>
      <vt:variant>
        <vt:i4>5</vt:i4>
      </vt:variant>
      <vt:variant>
        <vt:lpwstr>http://www.nevo.co.il/case/13093721</vt:lpwstr>
      </vt:variant>
      <vt:variant>
        <vt:lpwstr/>
      </vt:variant>
      <vt:variant>
        <vt:i4>7995492</vt:i4>
      </vt:variant>
      <vt:variant>
        <vt:i4>69</vt:i4>
      </vt:variant>
      <vt:variant>
        <vt:i4>0</vt:i4>
      </vt:variant>
      <vt:variant>
        <vt:i4>5</vt:i4>
      </vt:variant>
      <vt:variant>
        <vt:lpwstr>http://www.nevo.co.il/law/70301</vt:lpwstr>
      </vt:variant>
      <vt:variant>
        <vt:lpwstr/>
      </vt:variant>
      <vt:variant>
        <vt:i4>6750245</vt:i4>
      </vt:variant>
      <vt:variant>
        <vt:i4>66</vt:i4>
      </vt:variant>
      <vt:variant>
        <vt:i4>0</vt:i4>
      </vt:variant>
      <vt:variant>
        <vt:i4>5</vt:i4>
      </vt:variant>
      <vt:variant>
        <vt:lpwstr>http://www.nevo.co.il/law/70301/40jc.a</vt:lpwstr>
      </vt:variant>
      <vt:variant>
        <vt:lpwstr/>
      </vt:variant>
      <vt:variant>
        <vt:i4>4063349</vt:i4>
      </vt:variant>
      <vt:variant>
        <vt:i4>63</vt:i4>
      </vt:variant>
      <vt:variant>
        <vt:i4>0</vt:i4>
      </vt:variant>
      <vt:variant>
        <vt:i4>5</vt:i4>
      </vt:variant>
      <vt:variant>
        <vt:lpwstr>http://www.nevo.co.il/case/20865710</vt:lpwstr>
      </vt:variant>
      <vt:variant>
        <vt:lpwstr/>
      </vt:variant>
      <vt:variant>
        <vt:i4>3473524</vt:i4>
      </vt:variant>
      <vt:variant>
        <vt:i4>60</vt:i4>
      </vt:variant>
      <vt:variant>
        <vt:i4>0</vt:i4>
      </vt:variant>
      <vt:variant>
        <vt:i4>5</vt:i4>
      </vt:variant>
      <vt:variant>
        <vt:lpwstr>http://www.nevo.co.il/case/27909774</vt:lpwstr>
      </vt:variant>
      <vt:variant>
        <vt:lpwstr/>
      </vt:variant>
      <vt:variant>
        <vt:i4>3145842</vt:i4>
      </vt:variant>
      <vt:variant>
        <vt:i4>57</vt:i4>
      </vt:variant>
      <vt:variant>
        <vt:i4>0</vt:i4>
      </vt:variant>
      <vt:variant>
        <vt:i4>5</vt:i4>
      </vt:variant>
      <vt:variant>
        <vt:lpwstr>http://www.nevo.co.il/case/27047553</vt:lpwstr>
      </vt:variant>
      <vt:variant>
        <vt:lpwstr/>
      </vt:variant>
      <vt:variant>
        <vt:i4>3670135</vt:i4>
      </vt:variant>
      <vt:variant>
        <vt:i4>54</vt:i4>
      </vt:variant>
      <vt:variant>
        <vt:i4>0</vt:i4>
      </vt:variant>
      <vt:variant>
        <vt:i4>5</vt:i4>
      </vt:variant>
      <vt:variant>
        <vt:lpwstr>http://www.nevo.co.il/case/22967740</vt:lpwstr>
      </vt:variant>
      <vt:variant>
        <vt:lpwstr/>
      </vt:variant>
      <vt:variant>
        <vt:i4>3604601</vt:i4>
      </vt:variant>
      <vt:variant>
        <vt:i4>51</vt:i4>
      </vt:variant>
      <vt:variant>
        <vt:i4>0</vt:i4>
      </vt:variant>
      <vt:variant>
        <vt:i4>5</vt:i4>
      </vt:variant>
      <vt:variant>
        <vt:lpwstr>http://www.nevo.co.il/case/16987388</vt:lpwstr>
      </vt:variant>
      <vt:variant>
        <vt:lpwstr/>
      </vt:variant>
      <vt:variant>
        <vt:i4>3539070</vt:i4>
      </vt:variant>
      <vt:variant>
        <vt:i4>48</vt:i4>
      </vt:variant>
      <vt:variant>
        <vt:i4>0</vt:i4>
      </vt:variant>
      <vt:variant>
        <vt:i4>5</vt:i4>
      </vt:variant>
      <vt:variant>
        <vt:lpwstr>http://www.nevo.co.il/case/17045929</vt:lpwstr>
      </vt:variant>
      <vt:variant>
        <vt:lpwstr/>
      </vt:variant>
      <vt:variant>
        <vt:i4>3735676</vt:i4>
      </vt:variant>
      <vt:variant>
        <vt:i4>45</vt:i4>
      </vt:variant>
      <vt:variant>
        <vt:i4>0</vt:i4>
      </vt:variant>
      <vt:variant>
        <vt:i4>5</vt:i4>
      </vt:variant>
      <vt:variant>
        <vt:lpwstr>http://www.nevo.co.il/case/22830934</vt:lpwstr>
      </vt:variant>
      <vt:variant>
        <vt:lpwstr/>
      </vt:variant>
      <vt:variant>
        <vt:i4>3539058</vt:i4>
      </vt:variant>
      <vt:variant>
        <vt:i4>42</vt:i4>
      </vt:variant>
      <vt:variant>
        <vt:i4>0</vt:i4>
      </vt:variant>
      <vt:variant>
        <vt:i4>5</vt:i4>
      </vt:variant>
      <vt:variant>
        <vt:lpwstr>http://www.nevo.co.il/case/27587964</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8257637</vt:i4>
      </vt:variant>
      <vt:variant>
        <vt:i4>33</vt:i4>
      </vt:variant>
      <vt:variant>
        <vt:i4>0</vt:i4>
      </vt:variant>
      <vt:variant>
        <vt:i4>5</vt:i4>
      </vt:variant>
      <vt:variant>
        <vt:lpwstr>http://www.nevo.co.il/law/4216</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6750245</vt:i4>
      </vt:variant>
      <vt:variant>
        <vt:i4>24</vt:i4>
      </vt:variant>
      <vt:variant>
        <vt:i4>0</vt:i4>
      </vt:variant>
      <vt:variant>
        <vt:i4>5</vt:i4>
      </vt:variant>
      <vt:variant>
        <vt:lpwstr>http://www.nevo.co.il/law/70301/40jc.a</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7995492</vt:i4>
      </vt:variant>
      <vt:variant>
        <vt:i4>18</vt:i4>
      </vt:variant>
      <vt:variant>
        <vt:i4>0</vt:i4>
      </vt:variant>
      <vt:variant>
        <vt:i4>5</vt:i4>
      </vt:variant>
      <vt:variant>
        <vt:lpwstr>http://www.nevo.co.il/law/70301</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4784202</vt:i4>
      </vt:variant>
      <vt:variant>
        <vt:i4>3</vt:i4>
      </vt:variant>
      <vt:variant>
        <vt:i4>0</vt:i4>
      </vt:variant>
      <vt:variant>
        <vt:i4>5</vt:i4>
      </vt:variant>
      <vt:variant>
        <vt:lpwstr>http://www.nevo.co.il/law/4216/7</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2025-04-23T01:02:00Z</dcterms:created>
  <dcterms:modified xsi:type="dcterms:W3CDTF">2025-04-23T01:02:00Z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1722</vt:lpwstr>
  </property>
  <property fmtid="{D5CDD505-2E9C-101B-9397-08002B2CF9AE}" pid="6" name="NEWPARTB">
    <vt:lpwstr>05</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אליהו שמעון חיי וקנין</vt:lpwstr>
  </property>
  <property fmtid="{D5CDD505-2E9C-101B-9397-08002B2CF9AE}" pid="10" name="LAWYER">
    <vt:lpwstr>קובי אוחיון;מיכאל עירוני</vt:lpwstr>
  </property>
  <property fmtid="{D5CDD505-2E9C-101B-9397-08002B2CF9AE}" pid="11" name="JUDGE">
    <vt:lpwstr>ביאלין אלעזר</vt:lpwstr>
  </property>
  <property fmtid="{D5CDD505-2E9C-101B-9397-08002B2CF9AE}" pid="12" name="CITY">
    <vt:lpwstr>י-ם</vt:lpwstr>
  </property>
  <property fmtid="{D5CDD505-2E9C-101B-9397-08002B2CF9AE}" pid="13" name="DATE">
    <vt:lpwstr>20230719</vt:lpwstr>
  </property>
  <property fmtid="{D5CDD505-2E9C-101B-9397-08002B2CF9AE}" pid="14" name="TYPE_N_DATE">
    <vt:lpwstr>38020230719</vt:lpwstr>
  </property>
  <property fmtid="{D5CDD505-2E9C-101B-9397-08002B2CF9AE}" pid="15" name="WORDNUMPAGES">
    <vt:lpwstr>13</vt:lpwstr>
  </property>
  <property fmtid="{D5CDD505-2E9C-101B-9397-08002B2CF9AE}" pid="16" name="TYPE_ABS_DATE">
    <vt:lpwstr>380020230719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27587964:2;22830934;17045929;16987388;22967740;27047553;27909774;20865710;13093721;5763166;23827604;27539883;27580695;4001362;20409969;4393886;27782907;27592536</vt:lpwstr>
  </property>
  <property fmtid="{D5CDD505-2E9C-101B-9397-08002B2CF9AE}" pid="36" name="LAWLISTTMP1">
    <vt:lpwstr>4216/007.a;007.c;013:2;019a;007</vt:lpwstr>
  </property>
  <property fmtid="{D5CDD505-2E9C-101B-9397-08002B2CF9AE}" pid="37" name="LAWLISTTMP2">
    <vt:lpwstr>70301/40jc.a;40ja</vt:lpwstr>
  </property>
</Properties>
</file>