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13A96" w:rsidRPr="003177C3" w14:paraId="08CACAA2" w14:textId="77777777" w:rsidTr="00A30CD1">
        <w:trPr>
          <w:trHeight w:hRule="exact" w:val="418"/>
          <w:jc w:val="center"/>
        </w:trPr>
        <w:tc>
          <w:tcPr>
            <w:tcW w:w="8721" w:type="dxa"/>
            <w:gridSpan w:val="2"/>
          </w:tcPr>
          <w:p w14:paraId="5FE900A6" w14:textId="77777777" w:rsidR="00313A96" w:rsidRPr="003177C3" w:rsidRDefault="00313A96" w:rsidP="001675F7">
            <w:pPr>
              <w:pStyle w:val="a4"/>
              <w:jc w:val="center"/>
              <w:rPr>
                <w:rFonts w:ascii="Tahoma" w:hAnsi="Tahoma" w:cs="Tahoma"/>
                <w:color w:val="000080"/>
                <w:rtl/>
              </w:rPr>
            </w:pPr>
            <w:bookmarkStart w:id="0" w:name="FirstLawyer"/>
            <w:r w:rsidRPr="003177C3">
              <w:rPr>
                <w:rFonts w:ascii="Tahoma" w:hAnsi="Tahoma" w:cs="Tahoma"/>
                <w:b/>
                <w:bCs/>
                <w:color w:val="000080"/>
                <w:rtl/>
              </w:rPr>
              <w:t>בית משפט השלום בבאר שבע</w:t>
            </w:r>
          </w:p>
        </w:tc>
      </w:tr>
      <w:tr w:rsidR="00313A96" w:rsidRPr="003177C3" w14:paraId="60143F15" w14:textId="77777777" w:rsidTr="00A30CD1">
        <w:trPr>
          <w:trHeight w:val="337"/>
          <w:jc w:val="center"/>
        </w:trPr>
        <w:tc>
          <w:tcPr>
            <w:tcW w:w="5054" w:type="dxa"/>
          </w:tcPr>
          <w:p w14:paraId="66CC52A9" w14:textId="77777777" w:rsidR="00313A96" w:rsidRPr="003177C3" w:rsidRDefault="00313A96" w:rsidP="001675F7">
            <w:pPr>
              <w:rPr>
                <w:rFonts w:cs="FrankRuehl"/>
                <w:sz w:val="28"/>
                <w:szCs w:val="28"/>
                <w:rtl/>
              </w:rPr>
            </w:pPr>
            <w:r w:rsidRPr="003177C3">
              <w:rPr>
                <w:rFonts w:cs="FrankRuehl"/>
                <w:sz w:val="28"/>
                <w:szCs w:val="28"/>
                <w:rtl/>
              </w:rPr>
              <w:t>ת"פ</w:t>
            </w:r>
            <w:r w:rsidRPr="003177C3">
              <w:rPr>
                <w:rFonts w:cs="FrankRuehl" w:hint="cs"/>
                <w:sz w:val="28"/>
                <w:szCs w:val="28"/>
                <w:rtl/>
              </w:rPr>
              <w:t xml:space="preserve"> </w:t>
            </w:r>
            <w:r w:rsidRPr="003177C3">
              <w:rPr>
                <w:rFonts w:cs="FrankRuehl"/>
                <w:sz w:val="28"/>
                <w:szCs w:val="28"/>
                <w:rtl/>
              </w:rPr>
              <w:t>29177-05-21</w:t>
            </w:r>
            <w:r w:rsidRPr="003177C3">
              <w:rPr>
                <w:rFonts w:cs="FrankRuehl" w:hint="cs"/>
                <w:sz w:val="28"/>
                <w:szCs w:val="28"/>
                <w:rtl/>
              </w:rPr>
              <w:t xml:space="preserve"> </w:t>
            </w:r>
            <w:r w:rsidRPr="003177C3">
              <w:rPr>
                <w:rFonts w:cs="FrankRuehl"/>
                <w:sz w:val="28"/>
                <w:szCs w:val="28"/>
                <w:rtl/>
              </w:rPr>
              <w:t>מדינת ישראל נ' חמדיה</w:t>
            </w:r>
          </w:p>
          <w:p w14:paraId="478C04DF" w14:textId="77777777" w:rsidR="00313A96" w:rsidRPr="003177C3" w:rsidRDefault="00313A96" w:rsidP="001675F7">
            <w:pPr>
              <w:pStyle w:val="a4"/>
              <w:rPr>
                <w:rFonts w:cs="FrankRuehl"/>
                <w:sz w:val="28"/>
                <w:szCs w:val="28"/>
                <w:rtl/>
              </w:rPr>
            </w:pPr>
          </w:p>
        </w:tc>
        <w:tc>
          <w:tcPr>
            <w:tcW w:w="3667" w:type="dxa"/>
          </w:tcPr>
          <w:p w14:paraId="61A3B2EE" w14:textId="77777777" w:rsidR="00313A96" w:rsidRPr="003177C3" w:rsidRDefault="00313A96" w:rsidP="001675F7">
            <w:pPr>
              <w:pStyle w:val="a4"/>
              <w:jc w:val="right"/>
              <w:rPr>
                <w:rFonts w:cs="FrankRuehl"/>
                <w:sz w:val="28"/>
                <w:szCs w:val="28"/>
                <w:rtl/>
              </w:rPr>
            </w:pPr>
          </w:p>
        </w:tc>
      </w:tr>
    </w:tbl>
    <w:p w14:paraId="03C4F4AE" w14:textId="77777777" w:rsidR="00313A96" w:rsidRPr="003177C3" w:rsidRDefault="00313A96" w:rsidP="00313A96">
      <w:pPr>
        <w:pStyle w:val="a4"/>
        <w:rPr>
          <w:rtl/>
        </w:rPr>
      </w:pPr>
      <w:r w:rsidRPr="003177C3">
        <w:rPr>
          <w:rFonts w:hint="cs"/>
          <w:rtl/>
        </w:rPr>
        <w:t xml:space="preserve"> </w:t>
      </w:r>
    </w:p>
    <w:p w14:paraId="35EB67D7" w14:textId="77777777" w:rsidR="00313A96" w:rsidRPr="003177C3" w:rsidRDefault="00313A96" w:rsidP="00313A96">
      <w:pPr>
        <w:rPr>
          <w:rtl/>
        </w:rPr>
      </w:pPr>
    </w:p>
    <w:p w14:paraId="22FB7887" w14:textId="77777777" w:rsidR="00313A96" w:rsidRPr="003177C3" w:rsidRDefault="00313A96" w:rsidP="00313A9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13A96" w:rsidRPr="003177C3" w14:paraId="1EDAF911" w14:textId="77777777" w:rsidTr="00313A96">
        <w:trPr>
          <w:trHeight w:val="295"/>
          <w:jc w:val="center"/>
        </w:trPr>
        <w:tc>
          <w:tcPr>
            <w:tcW w:w="923" w:type="dxa"/>
            <w:tcBorders>
              <w:top w:val="nil"/>
              <w:left w:val="nil"/>
              <w:bottom w:val="nil"/>
              <w:right w:val="nil"/>
            </w:tcBorders>
            <w:shd w:val="clear" w:color="auto" w:fill="auto"/>
          </w:tcPr>
          <w:p w14:paraId="244B8938" w14:textId="77777777" w:rsidR="00313A96" w:rsidRPr="003177C3" w:rsidRDefault="00313A96" w:rsidP="00313A96">
            <w:pPr>
              <w:jc w:val="both"/>
              <w:rPr>
                <w:rFonts w:ascii="David" w:hAnsi="David"/>
                <w:sz w:val="26"/>
                <w:szCs w:val="26"/>
              </w:rPr>
            </w:pPr>
            <w:r w:rsidRPr="003177C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0DBE956" w14:textId="77777777" w:rsidR="00313A96" w:rsidRPr="003177C3" w:rsidRDefault="00313A96" w:rsidP="001675F7">
            <w:pPr>
              <w:rPr>
                <w:rFonts w:ascii="David" w:hAnsi="David"/>
                <w:b/>
                <w:bCs/>
                <w:sz w:val="26"/>
                <w:szCs w:val="26"/>
                <w:rtl/>
              </w:rPr>
            </w:pPr>
            <w:r w:rsidRPr="003177C3">
              <w:rPr>
                <w:rFonts w:ascii="David" w:hAnsi="David"/>
                <w:b/>
                <w:bCs/>
                <w:sz w:val="26"/>
                <w:szCs w:val="26"/>
                <w:rtl/>
              </w:rPr>
              <w:t>כבוד השופט, סגן הנשיא  אבישי כהן</w:t>
            </w:r>
          </w:p>
          <w:p w14:paraId="0F93405E" w14:textId="77777777" w:rsidR="00313A96" w:rsidRPr="003177C3" w:rsidRDefault="00313A96" w:rsidP="001675F7">
            <w:pPr>
              <w:rPr>
                <w:rFonts w:ascii="David" w:hAnsi="David"/>
                <w:sz w:val="26"/>
                <w:szCs w:val="26"/>
                <w:rtl/>
              </w:rPr>
            </w:pPr>
          </w:p>
          <w:p w14:paraId="1F190B80" w14:textId="77777777" w:rsidR="00313A96" w:rsidRPr="003177C3" w:rsidRDefault="00313A96" w:rsidP="00313A96">
            <w:pPr>
              <w:jc w:val="both"/>
              <w:rPr>
                <w:rFonts w:ascii="David" w:hAnsi="David"/>
                <w:sz w:val="26"/>
                <w:szCs w:val="26"/>
              </w:rPr>
            </w:pPr>
          </w:p>
        </w:tc>
      </w:tr>
      <w:tr w:rsidR="00313A96" w:rsidRPr="003177C3" w14:paraId="74187A49" w14:textId="77777777" w:rsidTr="00313A96">
        <w:trPr>
          <w:trHeight w:val="355"/>
          <w:jc w:val="center"/>
        </w:trPr>
        <w:tc>
          <w:tcPr>
            <w:tcW w:w="923" w:type="dxa"/>
            <w:tcBorders>
              <w:top w:val="nil"/>
              <w:left w:val="nil"/>
              <w:bottom w:val="nil"/>
              <w:right w:val="nil"/>
            </w:tcBorders>
            <w:shd w:val="clear" w:color="auto" w:fill="auto"/>
          </w:tcPr>
          <w:p w14:paraId="5191CEEA" w14:textId="77777777" w:rsidR="00313A96" w:rsidRPr="003177C3" w:rsidRDefault="00313A96" w:rsidP="00313A96">
            <w:pPr>
              <w:jc w:val="both"/>
              <w:rPr>
                <w:rFonts w:ascii="David" w:hAnsi="David"/>
                <w:sz w:val="26"/>
                <w:szCs w:val="26"/>
              </w:rPr>
            </w:pPr>
            <w:bookmarkStart w:id="1" w:name="FirstAppellant"/>
            <w:bookmarkStart w:id="2" w:name="LastJudge"/>
            <w:bookmarkEnd w:id="2"/>
            <w:r w:rsidRPr="003177C3">
              <w:rPr>
                <w:rFonts w:ascii="David" w:hAnsi="David"/>
                <w:sz w:val="26"/>
                <w:szCs w:val="26"/>
                <w:rtl/>
              </w:rPr>
              <w:t>בעניין:</w:t>
            </w:r>
          </w:p>
        </w:tc>
        <w:tc>
          <w:tcPr>
            <w:tcW w:w="3219" w:type="dxa"/>
            <w:tcBorders>
              <w:top w:val="nil"/>
              <w:left w:val="nil"/>
              <w:bottom w:val="nil"/>
              <w:right w:val="nil"/>
            </w:tcBorders>
            <w:shd w:val="clear" w:color="auto" w:fill="auto"/>
          </w:tcPr>
          <w:p w14:paraId="61BBBF02" w14:textId="77777777" w:rsidR="00313A96" w:rsidRPr="003177C3" w:rsidRDefault="00313A96" w:rsidP="00313A96">
            <w:pPr>
              <w:suppressLineNumbers/>
            </w:pPr>
            <w:r w:rsidRPr="003177C3">
              <w:rPr>
                <w:rFonts w:ascii="Arial" w:hAnsi="Arial" w:hint="cs"/>
                <w:b/>
                <w:bCs/>
                <w:sz w:val="26"/>
                <w:szCs w:val="26"/>
                <w:rtl/>
              </w:rPr>
              <w:t>ה</w:t>
            </w:r>
            <w:r w:rsidRPr="003177C3">
              <w:rPr>
                <w:rFonts w:ascii="Arial" w:hAnsi="Arial"/>
                <w:b/>
                <w:bCs/>
                <w:sz w:val="26"/>
                <w:szCs w:val="26"/>
                <w:rtl/>
              </w:rPr>
              <w:t>מאשימה</w:t>
            </w:r>
          </w:p>
          <w:p w14:paraId="7A9BA9B5" w14:textId="77777777" w:rsidR="00313A96" w:rsidRPr="003177C3" w:rsidRDefault="00313A96" w:rsidP="001675F7">
            <w:pPr>
              <w:rPr>
                <w:rFonts w:ascii="David" w:hAnsi="David"/>
                <w:sz w:val="26"/>
                <w:szCs w:val="26"/>
              </w:rPr>
            </w:pPr>
          </w:p>
        </w:tc>
        <w:tc>
          <w:tcPr>
            <w:tcW w:w="4678" w:type="dxa"/>
            <w:tcBorders>
              <w:top w:val="nil"/>
              <w:left w:val="nil"/>
              <w:bottom w:val="nil"/>
              <w:right w:val="nil"/>
            </w:tcBorders>
            <w:shd w:val="clear" w:color="auto" w:fill="auto"/>
            <w:vAlign w:val="center"/>
          </w:tcPr>
          <w:p w14:paraId="40CA79DE" w14:textId="77777777" w:rsidR="00313A96" w:rsidRPr="003177C3" w:rsidRDefault="00313A96" w:rsidP="00313A96">
            <w:pPr>
              <w:suppressLineNumbers/>
            </w:pPr>
            <w:r w:rsidRPr="003177C3">
              <w:rPr>
                <w:rFonts w:ascii="Arial" w:hAnsi="Arial"/>
                <w:b/>
                <w:bCs/>
                <w:sz w:val="26"/>
                <w:szCs w:val="26"/>
                <w:rtl/>
              </w:rPr>
              <w:t>מדינת ישראל</w:t>
            </w:r>
            <w:r w:rsidRPr="003177C3">
              <w:rPr>
                <w:rFonts w:ascii="Arial" w:hAnsi="Arial" w:hint="cs"/>
                <w:b/>
                <w:bCs/>
                <w:sz w:val="26"/>
                <w:szCs w:val="26"/>
                <w:rtl/>
              </w:rPr>
              <w:t xml:space="preserve"> </w:t>
            </w:r>
            <w:r w:rsidRPr="003177C3">
              <w:rPr>
                <w:rFonts w:ascii="Arial" w:hAnsi="Arial"/>
                <w:b/>
                <w:bCs/>
                <w:sz w:val="26"/>
                <w:szCs w:val="26"/>
                <w:rtl/>
              </w:rPr>
              <w:t xml:space="preserve">ע"י ב"כ </w:t>
            </w:r>
            <w:r w:rsidRPr="003177C3">
              <w:rPr>
                <w:rFonts w:ascii="Arial" w:hAnsi="Arial" w:hint="cs"/>
                <w:b/>
                <w:bCs/>
                <w:sz w:val="26"/>
                <w:szCs w:val="26"/>
                <w:rtl/>
              </w:rPr>
              <w:t>עו"ד ליטל פרץ</w:t>
            </w:r>
          </w:p>
          <w:p w14:paraId="32B20FE4" w14:textId="77777777" w:rsidR="00313A96" w:rsidRPr="003177C3" w:rsidRDefault="00313A96" w:rsidP="001675F7">
            <w:pPr>
              <w:rPr>
                <w:rFonts w:ascii="David" w:hAnsi="David"/>
                <w:sz w:val="26"/>
                <w:szCs w:val="26"/>
              </w:rPr>
            </w:pPr>
          </w:p>
        </w:tc>
      </w:tr>
      <w:bookmarkEnd w:id="1"/>
      <w:tr w:rsidR="00313A96" w:rsidRPr="003177C3" w14:paraId="7A65C83D" w14:textId="77777777" w:rsidTr="00313A96">
        <w:trPr>
          <w:trHeight w:val="355"/>
          <w:jc w:val="center"/>
        </w:trPr>
        <w:tc>
          <w:tcPr>
            <w:tcW w:w="923" w:type="dxa"/>
            <w:tcBorders>
              <w:top w:val="nil"/>
              <w:left w:val="nil"/>
              <w:bottom w:val="nil"/>
              <w:right w:val="nil"/>
            </w:tcBorders>
            <w:shd w:val="clear" w:color="auto" w:fill="auto"/>
          </w:tcPr>
          <w:p w14:paraId="6A184844" w14:textId="77777777" w:rsidR="00313A96" w:rsidRPr="003177C3" w:rsidRDefault="00313A96" w:rsidP="00313A9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0993B62" w14:textId="77777777" w:rsidR="00313A96" w:rsidRPr="003177C3" w:rsidRDefault="00313A96" w:rsidP="00313A96">
            <w:pPr>
              <w:jc w:val="center"/>
              <w:rPr>
                <w:rFonts w:ascii="David" w:hAnsi="David"/>
                <w:b/>
                <w:bCs/>
                <w:sz w:val="26"/>
                <w:szCs w:val="26"/>
                <w:rtl/>
              </w:rPr>
            </w:pPr>
          </w:p>
          <w:p w14:paraId="518800E8" w14:textId="77777777" w:rsidR="00313A96" w:rsidRPr="003177C3" w:rsidRDefault="00313A96" w:rsidP="00313A96">
            <w:pPr>
              <w:jc w:val="center"/>
              <w:rPr>
                <w:rFonts w:ascii="David" w:hAnsi="David"/>
                <w:b/>
                <w:bCs/>
                <w:sz w:val="26"/>
                <w:szCs w:val="26"/>
                <w:rtl/>
              </w:rPr>
            </w:pPr>
            <w:r w:rsidRPr="003177C3">
              <w:rPr>
                <w:rFonts w:ascii="David" w:hAnsi="David"/>
                <w:b/>
                <w:bCs/>
                <w:sz w:val="26"/>
                <w:szCs w:val="26"/>
                <w:rtl/>
              </w:rPr>
              <w:t>נגד</w:t>
            </w:r>
          </w:p>
          <w:p w14:paraId="6997AA1B" w14:textId="77777777" w:rsidR="00313A96" w:rsidRPr="003177C3" w:rsidRDefault="00313A96" w:rsidP="00313A96">
            <w:pPr>
              <w:jc w:val="both"/>
              <w:rPr>
                <w:rFonts w:ascii="David" w:hAnsi="David"/>
                <w:sz w:val="26"/>
                <w:szCs w:val="26"/>
              </w:rPr>
            </w:pPr>
          </w:p>
        </w:tc>
      </w:tr>
      <w:tr w:rsidR="00313A96" w:rsidRPr="003177C3" w14:paraId="767A1230" w14:textId="77777777" w:rsidTr="00313A96">
        <w:trPr>
          <w:trHeight w:val="355"/>
          <w:jc w:val="center"/>
        </w:trPr>
        <w:tc>
          <w:tcPr>
            <w:tcW w:w="923" w:type="dxa"/>
            <w:tcBorders>
              <w:top w:val="nil"/>
              <w:left w:val="nil"/>
              <w:bottom w:val="nil"/>
              <w:right w:val="nil"/>
            </w:tcBorders>
            <w:shd w:val="clear" w:color="auto" w:fill="auto"/>
          </w:tcPr>
          <w:p w14:paraId="2DBFC4B9" w14:textId="77777777" w:rsidR="00313A96" w:rsidRPr="003177C3" w:rsidRDefault="00313A96" w:rsidP="001675F7">
            <w:pPr>
              <w:rPr>
                <w:rFonts w:ascii="David" w:hAnsi="David"/>
                <w:sz w:val="26"/>
                <w:szCs w:val="26"/>
                <w:rtl/>
              </w:rPr>
            </w:pPr>
          </w:p>
        </w:tc>
        <w:tc>
          <w:tcPr>
            <w:tcW w:w="3219" w:type="dxa"/>
            <w:tcBorders>
              <w:top w:val="nil"/>
              <w:left w:val="nil"/>
              <w:bottom w:val="nil"/>
              <w:right w:val="nil"/>
            </w:tcBorders>
            <w:shd w:val="clear" w:color="auto" w:fill="auto"/>
          </w:tcPr>
          <w:p w14:paraId="30EAAAB9" w14:textId="77777777" w:rsidR="00313A96" w:rsidRPr="003177C3" w:rsidRDefault="00313A96" w:rsidP="001675F7">
            <w:pPr>
              <w:rPr>
                <w:rFonts w:ascii="Arial" w:hAnsi="Arial"/>
                <w:b/>
                <w:bCs/>
                <w:sz w:val="26"/>
                <w:szCs w:val="26"/>
                <w:rtl/>
              </w:rPr>
            </w:pPr>
            <w:r w:rsidRPr="003177C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5A459EB" w14:textId="77777777" w:rsidR="00313A96" w:rsidRPr="003177C3" w:rsidRDefault="00313A96" w:rsidP="00313A96">
            <w:pPr>
              <w:suppressLineNumbers/>
            </w:pPr>
            <w:r w:rsidRPr="003177C3">
              <w:rPr>
                <w:rFonts w:ascii="Arial" w:hAnsi="Arial"/>
                <w:b/>
                <w:bCs/>
                <w:sz w:val="26"/>
                <w:szCs w:val="26"/>
                <w:rtl/>
              </w:rPr>
              <w:t>הילאל חמדיה</w:t>
            </w:r>
            <w:r w:rsidRPr="003177C3">
              <w:rPr>
                <w:rFonts w:ascii="Arial" w:hAnsi="Arial" w:hint="cs"/>
                <w:b/>
                <w:bCs/>
                <w:sz w:val="26"/>
                <w:szCs w:val="26"/>
                <w:rtl/>
              </w:rPr>
              <w:t xml:space="preserve"> </w:t>
            </w:r>
            <w:r w:rsidRPr="003177C3">
              <w:rPr>
                <w:rFonts w:ascii="Arial" w:hAnsi="Arial"/>
                <w:b/>
                <w:bCs/>
                <w:sz w:val="26"/>
                <w:szCs w:val="26"/>
                <w:rtl/>
              </w:rPr>
              <w:t xml:space="preserve">ע"י ב"כ </w:t>
            </w:r>
            <w:r w:rsidRPr="003177C3">
              <w:rPr>
                <w:rFonts w:ascii="Arial" w:hAnsi="Arial" w:hint="cs"/>
                <w:b/>
                <w:bCs/>
                <w:sz w:val="26"/>
                <w:szCs w:val="26"/>
                <w:rtl/>
              </w:rPr>
              <w:t>עו"ד אפרת צרפתי בשם עו"ד עינת בסרגליק</w:t>
            </w:r>
          </w:p>
          <w:p w14:paraId="7D1A569F" w14:textId="77777777" w:rsidR="00313A96" w:rsidRPr="003177C3" w:rsidRDefault="00313A96" w:rsidP="001675F7">
            <w:pPr>
              <w:rPr>
                <w:rFonts w:ascii="David" w:hAnsi="David"/>
                <w:sz w:val="26"/>
                <w:szCs w:val="26"/>
              </w:rPr>
            </w:pPr>
          </w:p>
        </w:tc>
      </w:tr>
    </w:tbl>
    <w:p w14:paraId="4418A22A" w14:textId="77777777" w:rsidR="003177C3" w:rsidRPr="003177C3" w:rsidRDefault="003177C3" w:rsidP="003177C3">
      <w:pPr>
        <w:rPr>
          <w:sz w:val="26"/>
          <w:szCs w:val="26"/>
          <w:rtl/>
        </w:rPr>
      </w:pPr>
    </w:p>
    <w:p w14:paraId="0012004D" w14:textId="77777777" w:rsidR="00A30CD1" w:rsidRPr="00A30CD1" w:rsidRDefault="00A30CD1" w:rsidP="00A30CD1">
      <w:pPr>
        <w:spacing w:before="120" w:after="120" w:line="240" w:lineRule="exact"/>
        <w:ind w:left="283" w:hanging="283"/>
        <w:jc w:val="both"/>
        <w:rPr>
          <w:rFonts w:ascii="FrankRuehl" w:hAnsi="FrankRuehl" w:cs="FrankRuehl"/>
          <w:rtl/>
        </w:rPr>
      </w:pPr>
    </w:p>
    <w:p w14:paraId="4DA231AF" w14:textId="77777777" w:rsidR="0066666B" w:rsidRPr="0066666B" w:rsidRDefault="0066666B" w:rsidP="0066666B">
      <w:pPr>
        <w:spacing w:before="120" w:after="120" w:line="240" w:lineRule="exact"/>
        <w:ind w:left="283" w:hanging="283"/>
        <w:jc w:val="both"/>
        <w:rPr>
          <w:rFonts w:ascii="FrankRuehl" w:hAnsi="FrankRuehl" w:cs="FrankRuehl"/>
          <w:rtl/>
        </w:rPr>
      </w:pPr>
    </w:p>
    <w:p w14:paraId="6258EAC1" w14:textId="77777777" w:rsidR="002F1BF9" w:rsidRDefault="002F1BF9" w:rsidP="002F1BF9">
      <w:pPr>
        <w:rPr>
          <w:sz w:val="26"/>
          <w:szCs w:val="26"/>
          <w:rtl/>
        </w:rPr>
      </w:pPr>
      <w:bookmarkStart w:id="3" w:name="LawTable"/>
      <w:bookmarkEnd w:id="3"/>
    </w:p>
    <w:p w14:paraId="0832CFF9" w14:textId="77777777" w:rsidR="002F1BF9" w:rsidRPr="002F1BF9" w:rsidRDefault="002F1BF9" w:rsidP="002F1BF9">
      <w:pPr>
        <w:spacing w:before="120" w:after="120" w:line="240" w:lineRule="exact"/>
        <w:ind w:left="283" w:hanging="283"/>
        <w:jc w:val="both"/>
        <w:rPr>
          <w:rFonts w:ascii="FrankRuehl" w:hAnsi="FrankRuehl" w:cs="FrankRuehl"/>
          <w:rtl/>
        </w:rPr>
      </w:pPr>
    </w:p>
    <w:p w14:paraId="20613F7A" w14:textId="77777777" w:rsidR="002F1BF9" w:rsidRPr="002F1BF9" w:rsidRDefault="002F1BF9" w:rsidP="002F1BF9">
      <w:pPr>
        <w:spacing w:before="120" w:after="120" w:line="240" w:lineRule="exact"/>
        <w:ind w:left="283" w:hanging="283"/>
        <w:jc w:val="both"/>
        <w:rPr>
          <w:rFonts w:ascii="FrankRuehl" w:hAnsi="FrankRuehl" w:cs="FrankRuehl"/>
          <w:rtl/>
        </w:rPr>
      </w:pPr>
    </w:p>
    <w:p w14:paraId="4DCCF1C1" w14:textId="77777777" w:rsidR="002F1BF9" w:rsidRPr="002F1BF9" w:rsidRDefault="002F1BF9" w:rsidP="002F1BF9">
      <w:pPr>
        <w:spacing w:before="120" w:after="120" w:line="240" w:lineRule="exact"/>
        <w:ind w:left="283" w:hanging="283"/>
        <w:jc w:val="both"/>
        <w:rPr>
          <w:rFonts w:ascii="FrankRuehl" w:hAnsi="FrankRuehl" w:cs="FrankRuehl"/>
          <w:rtl/>
        </w:rPr>
      </w:pPr>
      <w:r w:rsidRPr="002F1BF9">
        <w:rPr>
          <w:rFonts w:ascii="FrankRuehl" w:hAnsi="FrankRuehl" w:cs="FrankRuehl"/>
          <w:rtl/>
        </w:rPr>
        <w:t xml:space="preserve">חקיקה שאוזכרה: </w:t>
      </w:r>
    </w:p>
    <w:p w14:paraId="4A634910" w14:textId="77777777" w:rsidR="002F1BF9" w:rsidRPr="002F1BF9" w:rsidRDefault="002F1BF9" w:rsidP="002F1BF9">
      <w:pPr>
        <w:spacing w:before="120" w:after="120" w:line="240" w:lineRule="exact"/>
        <w:ind w:left="283" w:hanging="283"/>
        <w:jc w:val="both"/>
        <w:rPr>
          <w:rFonts w:ascii="FrankRuehl" w:hAnsi="FrankRuehl" w:cs="FrankRuehl"/>
          <w:rtl/>
        </w:rPr>
      </w:pPr>
      <w:hyperlink r:id="rId7" w:history="1">
        <w:r w:rsidRPr="002F1BF9">
          <w:rPr>
            <w:rFonts w:ascii="FrankRuehl" w:hAnsi="FrankRuehl" w:cs="FrankRuehl"/>
            <w:color w:val="0000FF"/>
            <w:rtl/>
          </w:rPr>
          <w:t>פקודת הסמים המסוכנים [נוסח חדש], תשל"ג-1973</w:t>
        </w:r>
      </w:hyperlink>
      <w:r w:rsidRPr="002F1BF9">
        <w:rPr>
          <w:rFonts w:ascii="FrankRuehl" w:hAnsi="FrankRuehl" w:cs="FrankRuehl"/>
          <w:rtl/>
        </w:rPr>
        <w:t xml:space="preserve">: סע'  </w:t>
      </w:r>
      <w:hyperlink r:id="rId8" w:history="1">
        <w:r w:rsidRPr="002F1BF9">
          <w:rPr>
            <w:rFonts w:ascii="FrankRuehl" w:hAnsi="FrankRuehl" w:cs="FrankRuehl"/>
            <w:color w:val="0000FF"/>
            <w:rtl/>
          </w:rPr>
          <w:t>6</w:t>
        </w:r>
      </w:hyperlink>
      <w:r w:rsidRPr="002F1BF9">
        <w:rPr>
          <w:rFonts w:ascii="FrankRuehl" w:hAnsi="FrankRuehl" w:cs="FrankRuehl"/>
          <w:rtl/>
        </w:rPr>
        <w:t xml:space="preserve">, </w:t>
      </w:r>
      <w:hyperlink r:id="rId9" w:history="1">
        <w:r w:rsidRPr="002F1BF9">
          <w:rPr>
            <w:rFonts w:ascii="FrankRuehl" w:hAnsi="FrankRuehl" w:cs="FrankRuehl"/>
            <w:color w:val="0000FF"/>
            <w:rtl/>
          </w:rPr>
          <w:t>7 (א)</w:t>
        </w:r>
      </w:hyperlink>
      <w:r w:rsidRPr="002F1BF9">
        <w:rPr>
          <w:rFonts w:ascii="FrankRuehl" w:hAnsi="FrankRuehl" w:cs="FrankRuehl"/>
          <w:rtl/>
        </w:rPr>
        <w:t xml:space="preserve">, </w:t>
      </w:r>
      <w:hyperlink r:id="rId10" w:history="1">
        <w:r w:rsidRPr="002F1BF9">
          <w:rPr>
            <w:rFonts w:ascii="FrankRuehl" w:hAnsi="FrankRuehl" w:cs="FrankRuehl"/>
            <w:color w:val="0000FF"/>
            <w:rtl/>
          </w:rPr>
          <w:t>7(ג)</w:t>
        </w:r>
      </w:hyperlink>
    </w:p>
    <w:p w14:paraId="5DF6BD62" w14:textId="77777777" w:rsidR="002F1BF9" w:rsidRPr="002F1BF9" w:rsidRDefault="002F1BF9" w:rsidP="002F1BF9">
      <w:pPr>
        <w:spacing w:before="120" w:after="120" w:line="240" w:lineRule="exact"/>
        <w:ind w:left="283" w:hanging="283"/>
        <w:jc w:val="both"/>
        <w:rPr>
          <w:rFonts w:ascii="FrankRuehl" w:hAnsi="FrankRuehl" w:cs="FrankRuehl"/>
          <w:rtl/>
        </w:rPr>
      </w:pPr>
      <w:hyperlink r:id="rId11" w:history="1">
        <w:r w:rsidRPr="002F1BF9">
          <w:rPr>
            <w:rFonts w:ascii="FrankRuehl" w:hAnsi="FrankRuehl" w:cs="FrankRuehl"/>
            <w:color w:val="0000FF"/>
            <w:rtl/>
          </w:rPr>
          <w:t>חוק העונשין, תשל"ז-1977</w:t>
        </w:r>
      </w:hyperlink>
      <w:r w:rsidRPr="002F1BF9">
        <w:rPr>
          <w:rFonts w:ascii="FrankRuehl" w:hAnsi="FrankRuehl" w:cs="FrankRuehl"/>
          <w:rtl/>
        </w:rPr>
        <w:t xml:space="preserve">: סע'  </w:t>
      </w:r>
      <w:hyperlink r:id="rId12" w:history="1">
        <w:r w:rsidRPr="002F1BF9">
          <w:rPr>
            <w:rFonts w:ascii="FrankRuehl" w:hAnsi="FrankRuehl" w:cs="FrankRuehl"/>
            <w:color w:val="0000FF"/>
            <w:rtl/>
          </w:rPr>
          <w:t>40 ט</w:t>
        </w:r>
      </w:hyperlink>
      <w:r w:rsidRPr="002F1BF9">
        <w:rPr>
          <w:rFonts w:ascii="FrankRuehl" w:hAnsi="FrankRuehl" w:cs="FrankRuehl"/>
          <w:rtl/>
        </w:rPr>
        <w:t xml:space="preserve">, </w:t>
      </w:r>
      <w:hyperlink r:id="rId13" w:history="1">
        <w:r w:rsidRPr="002F1BF9">
          <w:rPr>
            <w:rFonts w:ascii="FrankRuehl" w:hAnsi="FrankRuehl" w:cs="FrankRuehl"/>
            <w:color w:val="0000FF"/>
            <w:rtl/>
          </w:rPr>
          <w:t>40 יא</w:t>
        </w:r>
      </w:hyperlink>
      <w:r w:rsidRPr="002F1BF9">
        <w:rPr>
          <w:rFonts w:ascii="FrankRuehl" w:hAnsi="FrankRuehl" w:cs="FrankRuehl"/>
          <w:rtl/>
        </w:rPr>
        <w:t xml:space="preserve">, </w:t>
      </w:r>
      <w:hyperlink r:id="rId14" w:history="1">
        <w:r w:rsidRPr="002F1BF9">
          <w:rPr>
            <w:rFonts w:ascii="FrankRuehl" w:hAnsi="FrankRuehl" w:cs="FrankRuehl"/>
            <w:color w:val="0000FF"/>
            <w:rtl/>
          </w:rPr>
          <w:t>40יג(א)</w:t>
        </w:r>
      </w:hyperlink>
    </w:p>
    <w:p w14:paraId="5DCC38E2" w14:textId="77777777" w:rsidR="002F1BF9" w:rsidRPr="002F1BF9" w:rsidRDefault="002F1BF9" w:rsidP="002F1BF9">
      <w:pPr>
        <w:spacing w:before="120" w:after="120" w:line="240" w:lineRule="exact"/>
        <w:ind w:left="283" w:hanging="283"/>
        <w:jc w:val="both"/>
        <w:rPr>
          <w:rFonts w:ascii="FrankRuehl" w:hAnsi="FrankRuehl" w:cs="FrankRuehl"/>
          <w:rtl/>
        </w:rPr>
      </w:pPr>
      <w:hyperlink r:id="rId15" w:history="1">
        <w:r w:rsidRPr="002F1BF9">
          <w:rPr>
            <w:rFonts w:ascii="FrankRuehl" w:hAnsi="FrankRuehl" w:cs="FrankRuehl"/>
            <w:color w:val="0000FF"/>
            <w:rtl/>
          </w:rPr>
          <w:t>תקנות העונשין (התחייבות להימנע מעבירה), תש"ף-2019</w:t>
        </w:r>
      </w:hyperlink>
    </w:p>
    <w:p w14:paraId="7EAF1F99" w14:textId="77777777" w:rsidR="002F1BF9" w:rsidRPr="002F1BF9" w:rsidRDefault="002F1BF9" w:rsidP="002F1BF9">
      <w:pPr>
        <w:rPr>
          <w:sz w:val="26"/>
          <w:szCs w:val="26"/>
          <w:rtl/>
        </w:rPr>
      </w:pPr>
      <w:bookmarkStart w:id="4" w:name="LawTable_End"/>
      <w:bookmarkEnd w:id="4"/>
    </w:p>
    <w:p w14:paraId="1F5C2732" w14:textId="77777777" w:rsidR="00313A96" w:rsidRPr="0066666B" w:rsidRDefault="00313A96" w:rsidP="0066666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3A96" w14:paraId="62E08776" w14:textId="77777777" w:rsidTr="00313A96">
        <w:trPr>
          <w:trHeight w:val="355"/>
          <w:jc w:val="center"/>
        </w:trPr>
        <w:tc>
          <w:tcPr>
            <w:tcW w:w="8820" w:type="dxa"/>
            <w:tcBorders>
              <w:top w:val="nil"/>
              <w:left w:val="nil"/>
              <w:bottom w:val="nil"/>
              <w:right w:val="nil"/>
            </w:tcBorders>
            <w:shd w:val="clear" w:color="auto" w:fill="auto"/>
          </w:tcPr>
          <w:p w14:paraId="2D587152" w14:textId="77777777" w:rsidR="003177C3" w:rsidRPr="003177C3" w:rsidRDefault="003177C3" w:rsidP="003177C3">
            <w:pPr>
              <w:jc w:val="center"/>
              <w:rPr>
                <w:rFonts w:ascii="David" w:hAnsi="David"/>
                <w:b/>
                <w:bCs/>
                <w:sz w:val="32"/>
                <w:szCs w:val="32"/>
                <w:u w:val="single"/>
                <w:rtl/>
              </w:rPr>
            </w:pPr>
            <w:bookmarkStart w:id="5" w:name="PsakDin" w:colFirst="0" w:colLast="0"/>
            <w:bookmarkEnd w:id="0"/>
            <w:r w:rsidRPr="003177C3">
              <w:rPr>
                <w:rFonts w:ascii="David" w:hAnsi="David"/>
                <w:b/>
                <w:bCs/>
                <w:sz w:val="32"/>
                <w:szCs w:val="32"/>
                <w:u w:val="single"/>
                <w:rtl/>
              </w:rPr>
              <w:t>גזר דין</w:t>
            </w:r>
          </w:p>
          <w:p w14:paraId="35002D8F" w14:textId="77777777" w:rsidR="00313A96" w:rsidRPr="003177C3" w:rsidRDefault="00313A96" w:rsidP="003177C3">
            <w:pPr>
              <w:jc w:val="center"/>
              <w:rPr>
                <w:rFonts w:ascii="David" w:hAnsi="David"/>
                <w:bCs/>
                <w:sz w:val="32"/>
                <w:szCs w:val="32"/>
                <w:u w:val="single"/>
                <w:rtl/>
              </w:rPr>
            </w:pPr>
          </w:p>
        </w:tc>
      </w:tr>
      <w:bookmarkEnd w:id="5"/>
    </w:tbl>
    <w:p w14:paraId="5AB9A2C4" w14:textId="77777777" w:rsidR="00313A96" w:rsidRPr="000F2247" w:rsidRDefault="00313A96" w:rsidP="00313A96">
      <w:pPr>
        <w:rPr>
          <w:rFonts w:ascii="Arial" w:hAnsi="Arial"/>
          <w:b/>
          <w:bCs/>
          <w:sz w:val="26"/>
          <w:szCs w:val="26"/>
          <w:rtl/>
        </w:rPr>
      </w:pPr>
    </w:p>
    <w:p w14:paraId="1EA61E6F" w14:textId="77777777" w:rsidR="00313A96" w:rsidRDefault="00313A96" w:rsidP="00313A96">
      <w:pPr>
        <w:pStyle w:val="aa"/>
        <w:spacing w:line="360" w:lineRule="auto"/>
        <w:jc w:val="both"/>
        <w:rPr>
          <w:rFonts w:ascii="David" w:hAnsi="David" w:cs="David"/>
          <w:sz w:val="24"/>
          <w:szCs w:val="24"/>
        </w:rPr>
      </w:pPr>
    </w:p>
    <w:p w14:paraId="65EA4B02" w14:textId="77777777" w:rsidR="00313A96" w:rsidRDefault="00313A96" w:rsidP="00313A96">
      <w:pPr>
        <w:pStyle w:val="aa"/>
        <w:numPr>
          <w:ilvl w:val="0"/>
          <w:numId w:val="2"/>
        </w:numPr>
        <w:spacing w:line="360" w:lineRule="auto"/>
        <w:jc w:val="both"/>
        <w:rPr>
          <w:rFonts w:ascii="David" w:hAnsi="David" w:cs="David"/>
          <w:sz w:val="24"/>
          <w:szCs w:val="24"/>
        </w:rPr>
      </w:pPr>
      <w:bookmarkStart w:id="6" w:name="ABSTRACT_START"/>
      <w:bookmarkEnd w:id="6"/>
      <w:r>
        <w:rPr>
          <w:rFonts w:ascii="David" w:hAnsi="David" w:cs="David"/>
          <w:sz w:val="24"/>
          <w:szCs w:val="24"/>
          <w:rtl/>
        </w:rPr>
        <w:t xml:space="preserve">הנאשם הודה והורשע בכתב אישום מתוקן בעבירות של </w:t>
      </w:r>
      <w:r>
        <w:rPr>
          <w:rFonts w:ascii="David" w:hAnsi="David" w:cs="David"/>
          <w:b/>
          <w:bCs/>
          <w:sz w:val="24"/>
          <w:szCs w:val="24"/>
          <w:rtl/>
        </w:rPr>
        <w:t xml:space="preserve">גידול, ייצור, הכנת סמים מסוכנים, </w:t>
      </w:r>
      <w:r>
        <w:rPr>
          <w:rFonts w:ascii="David" w:hAnsi="David" w:cs="David"/>
          <w:sz w:val="24"/>
          <w:szCs w:val="24"/>
          <w:rtl/>
        </w:rPr>
        <w:t xml:space="preserve">לפי </w:t>
      </w:r>
      <w:hyperlink r:id="rId16" w:history="1">
        <w:r w:rsidR="00A30CD1" w:rsidRPr="00A30CD1">
          <w:rPr>
            <w:rStyle w:val="Hyperlink"/>
            <w:rFonts w:ascii="David" w:hAnsi="David" w:cs="David"/>
            <w:sz w:val="24"/>
            <w:szCs w:val="24"/>
            <w:rtl/>
          </w:rPr>
          <w:t>סעיף 6</w:t>
        </w:r>
      </w:hyperlink>
      <w:r>
        <w:rPr>
          <w:rFonts w:ascii="David" w:hAnsi="David" w:cs="David"/>
          <w:sz w:val="24"/>
          <w:szCs w:val="24"/>
          <w:rtl/>
        </w:rPr>
        <w:t xml:space="preserve"> ל</w:t>
      </w:r>
      <w:hyperlink r:id="rId17" w:history="1">
        <w:r w:rsidR="003177C3" w:rsidRPr="003177C3">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"הפקודה"</w:t>
      </w:r>
      <w:r>
        <w:rPr>
          <w:rFonts w:ascii="David" w:hAnsi="David" w:cs="David"/>
          <w:sz w:val="24"/>
          <w:szCs w:val="24"/>
          <w:rtl/>
        </w:rPr>
        <w:t xml:space="preserve">) וכן בעבירה של החזקת סם מסוכן שלא לצריכה עצמית עבירה לפי </w:t>
      </w:r>
      <w:hyperlink r:id="rId18" w:history="1">
        <w:r w:rsidR="00A30CD1" w:rsidRPr="00A30CD1">
          <w:rPr>
            <w:rStyle w:val="Hyperlink"/>
            <w:rFonts w:ascii="David" w:hAnsi="David" w:cs="David"/>
            <w:sz w:val="24"/>
            <w:szCs w:val="24"/>
            <w:rtl/>
          </w:rPr>
          <w:t>סעיף 7 (א)</w:t>
        </w:r>
      </w:hyperlink>
      <w:r>
        <w:rPr>
          <w:rFonts w:ascii="David" w:hAnsi="David" w:cs="David"/>
          <w:sz w:val="24"/>
          <w:szCs w:val="24"/>
          <w:rtl/>
        </w:rPr>
        <w:t xml:space="preserve"> ביחד עם </w:t>
      </w:r>
      <w:hyperlink r:id="rId19" w:history="1">
        <w:r w:rsidR="00A30CD1" w:rsidRPr="00A30CD1">
          <w:rPr>
            <w:rStyle w:val="Hyperlink"/>
            <w:rFonts w:ascii="David" w:hAnsi="David" w:cs="David"/>
            <w:sz w:val="24"/>
            <w:szCs w:val="24"/>
            <w:rtl/>
          </w:rPr>
          <w:t>7(ג)</w:t>
        </w:r>
      </w:hyperlink>
      <w:r>
        <w:rPr>
          <w:rFonts w:ascii="David" w:hAnsi="David" w:cs="David"/>
          <w:sz w:val="24"/>
          <w:szCs w:val="24"/>
          <w:rtl/>
        </w:rPr>
        <w:t xml:space="preserve"> רישא לפקודה. </w:t>
      </w:r>
      <w:bookmarkStart w:id="7" w:name="ABSTRACT_END"/>
      <w:bookmarkEnd w:id="7"/>
    </w:p>
    <w:p w14:paraId="684C7EE4"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כפי העולה מעובדות כתב האישום המתוקן, בתאריך 04.05.21 נמצא כי הנאשם הסב 2 חדרים בביתו למעבדה לגידול סמים בכך שהתקין מערכות אוורור ומיזוג, שנאים, </w:t>
      </w:r>
      <w:r>
        <w:rPr>
          <w:rFonts w:ascii="David" w:hAnsi="David" w:cs="David"/>
          <w:sz w:val="24"/>
          <w:szCs w:val="24"/>
          <w:rtl/>
        </w:rPr>
        <w:lastRenderedPageBreak/>
        <w:t xml:space="preserve">מערכות חימום ותאורה. </w:t>
      </w:r>
      <w:r>
        <w:rPr>
          <w:rFonts w:ascii="David" w:hAnsi="David" w:cs="David"/>
          <w:b/>
          <w:bCs/>
          <w:sz w:val="24"/>
          <w:szCs w:val="24"/>
          <w:rtl/>
        </w:rPr>
        <w:t>הנאשם נמצא מגדל 191 שתילי סם מסוג קנבוס במשקל כולל של 3 ק"ג</w:t>
      </w:r>
      <w:r>
        <w:rPr>
          <w:rFonts w:ascii="David" w:hAnsi="David" w:cs="David"/>
          <w:sz w:val="24"/>
          <w:szCs w:val="24"/>
          <w:rtl/>
        </w:rPr>
        <w:t xml:space="preserve"> ללא היתר או רישיון. </w:t>
      </w:r>
    </w:p>
    <w:p w14:paraId="59ACD1A2" w14:textId="77777777" w:rsidR="00313A96" w:rsidRDefault="00313A96" w:rsidP="00313A96">
      <w:pPr>
        <w:pStyle w:val="aa"/>
        <w:spacing w:line="360" w:lineRule="auto"/>
        <w:ind w:left="1352"/>
        <w:jc w:val="both"/>
        <w:rPr>
          <w:rFonts w:ascii="David" w:hAnsi="David" w:cs="David"/>
          <w:sz w:val="24"/>
          <w:szCs w:val="24"/>
        </w:rPr>
      </w:pPr>
      <w:r>
        <w:rPr>
          <w:rFonts w:ascii="David" w:hAnsi="David" w:cs="David"/>
          <w:sz w:val="24"/>
          <w:szCs w:val="24"/>
          <w:rtl/>
        </w:rPr>
        <w:t xml:space="preserve">באותו מעמד, בחצר ביתו נמצא כי הנאשם הסב מבנה למעבדה לגידול סם בכך שהתקין במקום תאורה, מגשי הצפה, עציצים, מנורות חימום מערכות אוורור ועוד. באותו מעמד </w:t>
      </w:r>
      <w:r>
        <w:rPr>
          <w:rFonts w:ascii="David" w:hAnsi="David" w:cs="David"/>
          <w:b/>
          <w:bCs/>
          <w:sz w:val="24"/>
          <w:szCs w:val="24"/>
          <w:rtl/>
        </w:rPr>
        <w:t>הנאשם החזיק 6 ק"ג סם מסוג קנבוס שלא לצריכתו העצמית</w:t>
      </w:r>
      <w:r>
        <w:rPr>
          <w:rFonts w:ascii="David" w:hAnsi="David" w:cs="David"/>
          <w:sz w:val="24"/>
          <w:szCs w:val="24"/>
          <w:rtl/>
        </w:rPr>
        <w:t xml:space="preserve"> וללא היתר או רישיון. </w:t>
      </w:r>
    </w:p>
    <w:p w14:paraId="55F327C4" w14:textId="77777777" w:rsidR="00313A96" w:rsidRDefault="00313A96" w:rsidP="00313A96">
      <w:pPr>
        <w:pStyle w:val="aa"/>
        <w:spacing w:line="360" w:lineRule="auto"/>
        <w:ind w:left="1352"/>
        <w:jc w:val="both"/>
        <w:rPr>
          <w:rFonts w:ascii="David" w:hAnsi="David" w:cs="David"/>
          <w:sz w:val="24"/>
          <w:szCs w:val="24"/>
        </w:rPr>
      </w:pPr>
      <w:r>
        <w:rPr>
          <w:rFonts w:ascii="David" w:hAnsi="David" w:cs="David"/>
          <w:sz w:val="24"/>
          <w:szCs w:val="24"/>
          <w:rtl/>
        </w:rPr>
        <w:t xml:space="preserve">בנוסף נמצא הנאשם מחזיק במעבדות חומרי דישון שונים, משקל אלקטרוני, מכלי מים ועוד. </w:t>
      </w:r>
    </w:p>
    <w:p w14:paraId="6C4963F7" w14:textId="77777777" w:rsidR="00313A96" w:rsidRDefault="00313A96" w:rsidP="00313A96">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ביום 12.07.22 הגיעו הצדדים להסדר דיוני, לפיו כתב האישום תוקן, הנאשם הודה והורשע במיוחס לו בכתב האישום המתוקן. לבקשת ההגנה נשלח הנאשם לקבלת תסקיר שירות המבחן, ההסדר לא כלל הסכמה עונשית כלשהי. </w:t>
      </w:r>
    </w:p>
    <w:p w14:paraId="568CEBCC" w14:textId="77777777" w:rsidR="00313A96" w:rsidRDefault="00313A96" w:rsidP="00313A96">
      <w:pPr>
        <w:pStyle w:val="aa"/>
        <w:rPr>
          <w:rFonts w:ascii="David" w:hAnsi="David" w:cs="David"/>
          <w:sz w:val="24"/>
          <w:szCs w:val="24"/>
        </w:rPr>
      </w:pPr>
    </w:p>
    <w:p w14:paraId="773ECEB1" w14:textId="77777777" w:rsidR="00313A96" w:rsidRDefault="00313A96" w:rsidP="00313A96">
      <w:pPr>
        <w:pStyle w:val="aa"/>
        <w:spacing w:line="360" w:lineRule="auto"/>
        <w:jc w:val="both"/>
        <w:rPr>
          <w:rFonts w:ascii="David" w:hAnsi="David" w:cs="David"/>
          <w:sz w:val="24"/>
          <w:szCs w:val="24"/>
        </w:rPr>
      </w:pPr>
    </w:p>
    <w:p w14:paraId="3F8C577C" w14:textId="77777777" w:rsidR="00313A96" w:rsidRDefault="00313A96" w:rsidP="00313A96">
      <w:pPr>
        <w:pStyle w:val="aa"/>
        <w:rPr>
          <w:rFonts w:ascii="David" w:hAnsi="David" w:cs="David"/>
          <w:sz w:val="24"/>
          <w:szCs w:val="24"/>
          <w:rtl/>
        </w:rPr>
      </w:pPr>
      <w:r>
        <w:rPr>
          <w:rFonts w:ascii="David" w:hAnsi="David" w:cs="David"/>
          <w:b/>
          <w:bCs/>
          <w:sz w:val="24"/>
          <w:szCs w:val="24"/>
          <w:u w:val="single"/>
          <w:rtl/>
        </w:rPr>
        <w:t>תסקיר שירות המבחן</w:t>
      </w:r>
    </w:p>
    <w:p w14:paraId="0604FB34"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 </w:t>
      </w:r>
      <w:r>
        <w:rPr>
          <w:rFonts w:ascii="David" w:hAnsi="David" w:cs="David" w:hint="cs"/>
          <w:b/>
          <w:bCs/>
          <w:sz w:val="24"/>
          <w:szCs w:val="24"/>
          <w:rtl/>
        </w:rPr>
        <w:t xml:space="preserve">בתסקיר מיום 02.10.22 </w:t>
      </w:r>
      <w:r>
        <w:rPr>
          <w:rFonts w:ascii="David" w:hAnsi="David" w:cs="David" w:hint="cs"/>
          <w:sz w:val="24"/>
          <w:szCs w:val="24"/>
          <w:rtl/>
        </w:rPr>
        <w:t>סקר שירות המבחן את הרקע האישי והמשפחתי של הנאשם. בן 36 נשוי ואב ל- 4 ילדים בגילאי 4 עד 10, אשתו בהריון, במסגרת תיק המעצר מצוי בתנאי מעצר בית לילי, מזה כ 3 חודשים עובד כנהג משאית בחברת גלידות שבבעלות אחיו. מערכת היחסים בין הנאשם לבני משפחת המוצא תקינה, לגבי המערכת הזוגית ציין הנאשם כי בטרם ביצוע העבירה חוו בני הזוג קושי בחייהם המשותפים נוצר קרע, בעקבותיו עזבה האישה את הבית ועברה לבית הוריה, באותה תקופה נישא הנאשם לאישה שנייה, ממנה התגרש לאחר 3 חודשים, לטענת הנאשם הקשיים במערכת היחסים הזוגית היו חלק מהסיבות לביצוע העבירות נשוא תיק זה. כיום בני הזוג בקשר טוב הכולל שיתוף והתייעצות.</w:t>
      </w:r>
    </w:p>
    <w:p w14:paraId="0825B47D" w14:textId="77777777" w:rsidR="00313A96" w:rsidRDefault="00313A96" w:rsidP="00313A96">
      <w:pPr>
        <w:pStyle w:val="aa"/>
        <w:spacing w:line="360" w:lineRule="auto"/>
        <w:ind w:left="1352"/>
        <w:jc w:val="both"/>
        <w:rPr>
          <w:rFonts w:ascii="David" w:hAnsi="David" w:cs="David"/>
          <w:sz w:val="24"/>
          <w:szCs w:val="24"/>
          <w:rtl/>
        </w:rPr>
      </w:pPr>
      <w:r>
        <w:rPr>
          <w:rFonts w:ascii="David" w:hAnsi="David" w:cs="David"/>
          <w:sz w:val="24"/>
          <w:szCs w:val="24"/>
          <w:rtl/>
        </w:rPr>
        <w:t xml:space="preserve">הנאשם בעל עבר פלילי קודם בעבירות שאינן ממין העניין שבפניי, הנאשם מסר כי במהלך 3 שנים אחרונות השתמש בחומרים ממכרים, החל במפגשים חברתיים ולאחר המשבר הזוגי וקשיים נוספים החל בשימוש  בתדירות גבוהה לבדו, כאשר צריכת הסם גרמה לו להשכיח הקשיים עימם התמודד באותה תקופה. לטענת הנאשם לאחר מעצרו הפסיק השימוש בסמים לחלוטין ושלל נזקקות טיפולית בתחום זה. בדיקות שתן שמסר הנאשם נמצאו נקיות משרידי סם. </w:t>
      </w:r>
    </w:p>
    <w:p w14:paraId="2989D489" w14:textId="77777777" w:rsidR="00313A96" w:rsidRDefault="00313A96" w:rsidP="00313A96">
      <w:pPr>
        <w:pStyle w:val="aa"/>
        <w:spacing w:line="360" w:lineRule="auto"/>
        <w:ind w:left="1352"/>
        <w:jc w:val="both"/>
        <w:rPr>
          <w:rFonts w:ascii="David" w:hAnsi="David" w:cs="David"/>
          <w:sz w:val="24"/>
          <w:szCs w:val="24"/>
        </w:rPr>
      </w:pPr>
      <w:r>
        <w:rPr>
          <w:rFonts w:ascii="David" w:hAnsi="David" w:cs="David"/>
          <w:sz w:val="24"/>
          <w:szCs w:val="24"/>
          <w:rtl/>
        </w:rPr>
        <w:t xml:space="preserve">ביחס לעבירות נשוא כתב האישום, הנאשם הודה במיוחס לו, לקח אחריות מלאה על מעשיו, לטענתו בשל המשבר הזוגי בו היה שרוי באותה תקופה וכן נוכח קשיי השתלבות בתעסוקה, החל בגידול סמים. הנאשם המעיט בשיתוף כיצד ומדוע עלתה לו המחשבה לעשות כן וניכר כי התקשה לשחזר את שאירע. הנאשם התמקד בכך שכיום נמצא במקום אחר, ניתק קשריו עם חברים מהעבר, הביע צער על מעשיו והצהיר שלא ישוב לצרוך סמים. </w:t>
      </w:r>
    </w:p>
    <w:p w14:paraId="27AB5D4B" w14:textId="77777777" w:rsidR="00313A96" w:rsidRDefault="00313A96" w:rsidP="00313A96">
      <w:pPr>
        <w:pStyle w:val="aa"/>
        <w:spacing w:line="360" w:lineRule="auto"/>
        <w:ind w:left="1352"/>
        <w:jc w:val="both"/>
        <w:rPr>
          <w:rFonts w:ascii="David" w:hAnsi="David" w:cs="David"/>
          <w:sz w:val="24"/>
          <w:szCs w:val="24"/>
        </w:rPr>
      </w:pPr>
      <w:r>
        <w:rPr>
          <w:rFonts w:ascii="David" w:hAnsi="David" w:cs="David"/>
          <w:sz w:val="24"/>
          <w:szCs w:val="24"/>
          <w:rtl/>
        </w:rPr>
        <w:lastRenderedPageBreak/>
        <w:t xml:space="preserve">שירות המבחן ציין שבתסקיר המעצר עלה כי הנאשם אינו מתאים לשילוב במרכזי יום לנפגעי סמים אלא זקוק לשיחות פרטניות. כמו כן שולב הנאשם בקבוצת פיקוח מעצר במסגרת שירות המבחן, מעדכון מנחת הקבוצה עלה שהנאשם התמיד בהגעתו לקבוצה ושיתף פעולה, שירות המבחן הציע לנאשם להשתלב בקבוצה טיפולית והוא נעתר בחיוב. </w:t>
      </w:r>
    </w:p>
    <w:p w14:paraId="7426D1B2" w14:textId="77777777" w:rsidR="00313A96" w:rsidRDefault="00313A96" w:rsidP="00313A96">
      <w:pPr>
        <w:pStyle w:val="aa"/>
        <w:spacing w:line="360" w:lineRule="auto"/>
        <w:ind w:left="1352"/>
        <w:jc w:val="both"/>
        <w:rPr>
          <w:rFonts w:ascii="David" w:hAnsi="David" w:cs="David"/>
          <w:sz w:val="24"/>
          <w:szCs w:val="24"/>
          <w:rtl/>
        </w:rPr>
      </w:pPr>
      <w:r>
        <w:rPr>
          <w:rFonts w:ascii="David" w:hAnsi="David" w:cs="David"/>
          <w:sz w:val="24"/>
          <w:szCs w:val="24"/>
          <w:rtl/>
        </w:rPr>
        <w:t xml:space="preserve">שירות המבחן התרשם כי הנאשם מתקשה להתמודד ולשתף בקשיים בחייו, הקושי הזוגי הוביל לביצוע העבירות. הנאשם נטה להדגיש השינוי לטובה שחל בו והתקשה לשחזר ולבחון לעומק את מעשיו. שירות המבחן ציין כי הנאשם שולב בקבוצת פיקוחי מעצר וביטא רצון למוכנות להמשיך בשילוב בקבוצה על מנת לבחון דפוסיו ולקבל כלים להתמודדות בעתיד. על רקע האמור סבר שירות המבחן שיש חשיבות בהטלת ענישה שיקומית הכולל הטלת צו מבחן לשנה במהלכה ישולב בקבוצה טיפולית וכן הטלת צו של"צ בהיקף של 340 שעות במתנ"ס שגב שלום בתפקיד אחזקה וניקיון. </w:t>
      </w:r>
    </w:p>
    <w:p w14:paraId="1047967F" w14:textId="77777777" w:rsidR="00313A96" w:rsidRDefault="00313A96" w:rsidP="00313A96">
      <w:pPr>
        <w:spacing w:line="360" w:lineRule="auto"/>
        <w:jc w:val="both"/>
        <w:rPr>
          <w:rFonts w:ascii="David" w:hAnsi="David"/>
          <w:bCs/>
          <w:u w:val="single"/>
          <w:rtl/>
        </w:rPr>
      </w:pPr>
      <w:r>
        <w:rPr>
          <w:rFonts w:ascii="David" w:hAnsi="David"/>
          <w:bCs/>
          <w:u w:val="single"/>
          <w:rtl/>
        </w:rPr>
        <w:t>טיעוני הצדדים</w:t>
      </w:r>
    </w:p>
    <w:p w14:paraId="2565514B"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b/>
          <w:bCs/>
          <w:sz w:val="24"/>
          <w:szCs w:val="24"/>
          <w:u w:val="single"/>
          <w:rtl/>
        </w:rPr>
        <w:t xml:space="preserve">ב"כ המאשימה </w:t>
      </w:r>
      <w:r>
        <w:rPr>
          <w:rFonts w:ascii="David" w:hAnsi="David" w:cs="David"/>
          <w:sz w:val="24"/>
          <w:szCs w:val="24"/>
          <w:rtl/>
        </w:rPr>
        <w:t xml:space="preserve">  ציינה נסיבות כתב האישום, הנאשם הסב חדרים בביתו למעבדות לגידול סמים, נמצא מחזיק 191 שתילי סם מסוג קנבוס במשקל 3 ק"ג כמו כן בחצר ביתו נמצאה מעבדה נוספת, כמו כן נמצא ציוד וכן הנאשם נמצא מחזיק 6 ק"ג סם מסוג קנבוס. </w:t>
      </w:r>
    </w:p>
    <w:p w14:paraId="3AEC64D7" w14:textId="77777777" w:rsidR="00313A96" w:rsidRDefault="00313A96" w:rsidP="00313A96">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ב"כ המאשימה, עמדה על הערכים המוגנים שנפגעו, וכן הדגישה   שמגדלי הסמים הם אלו העומדים בראש השרשרת של הפצת הסמים. המדובר בעבירות המסכנות כלל הציבור, פוגעות בשלומו, בריאותו ורכושו של הציבור. שכן עבירות אלו הינן צוהר לביצוע עבירות רכוש לצורך השגת הסם. </w:t>
      </w:r>
    </w:p>
    <w:p w14:paraId="19E56798"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הנאשם הנדון עמד בראש כמי שייצר וגידל הסמים, הנאשם הקים וניהל מעבדה, מהתמונות עולה כי מדובר בגידול משמעותי. הנאשם הקים מעבדה מקצועית כולל ציוד ייעודי, מדובר בעבירה שקדם לה תכנון מוקדם וכן הקמת מעבדה דורשת רכישת ידע וציוד. בנוסף לכך נמצא הנאשם מחזיק ב 6 ק"ג סם מסוג קנבוס. אין כל ספק שהנאשם היה  חלק ממערך הפצת הסם. לאור האמור טענה ב"כ המאשימה כי הפגיעה בערכים המוגנים הינה גבוהה. </w:t>
      </w:r>
    </w:p>
    <w:p w14:paraId="10C403BE"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המאשימה הפנתה לפסיקה לפיה יש להחמיר בענישה של אלו העוסקים בגידול סמים וכן למדיניות הענישה הנהוגה בפסיקה,  המאשימה עתרה למתחם הנע בין 12 ל 36 חודשי מאסר בפועל בנוגע לעבירה של גידול. ולעניין החזקת הסמים עתרה למתחם הנע בין 15 ל 30 חודשי מאסר בפועל. </w:t>
      </w:r>
    </w:p>
    <w:p w14:paraId="4AD05B7A"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המאשימה ציינה כי הנאשם הודה ולקח אחריות על מעשיו. מתסקיר שירות המבחן שהוגש לא ברורה המלצת שירות המבחן, שכן הנאשם ממעיט בהסברים בנוגע לרקע לביצוע העבירות, אינו מספק הסבר המניח את הדעת, מציין שלא  ביצע העבירות למטרת רווח כלכלי.   </w:t>
      </w:r>
    </w:p>
    <w:p w14:paraId="36522DCA"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המאשימה, עתרה להטלת עונש מאסר בפועל בחלקו האמצעי-בינוני של המתחמים בצירוף הטלת ענישה נלווית. </w:t>
      </w:r>
    </w:p>
    <w:p w14:paraId="09B36964" w14:textId="77777777" w:rsidR="00313A96" w:rsidRDefault="00313A96" w:rsidP="00313A96">
      <w:pPr>
        <w:spacing w:line="360" w:lineRule="auto"/>
        <w:ind w:left="272" w:firstLine="720"/>
        <w:jc w:val="both"/>
        <w:rPr>
          <w:rFonts w:ascii="David" w:hAnsi="David"/>
        </w:rPr>
      </w:pPr>
      <w:r>
        <w:rPr>
          <w:rFonts w:ascii="David" w:hAnsi="David"/>
          <w:rtl/>
        </w:rPr>
        <w:t>ב"כ המאשימה הגישה תמונות ודו"ח מז"פ (</w:t>
      </w:r>
      <w:r>
        <w:rPr>
          <w:rFonts w:ascii="David" w:hAnsi="David"/>
          <w:b/>
          <w:bCs/>
          <w:rtl/>
        </w:rPr>
        <w:t>ת/3 ות/4</w:t>
      </w:r>
      <w:r>
        <w:rPr>
          <w:rFonts w:ascii="David" w:hAnsi="David"/>
          <w:rtl/>
        </w:rPr>
        <w:t xml:space="preserve">). </w:t>
      </w:r>
    </w:p>
    <w:p w14:paraId="42DECDFC" w14:textId="77777777" w:rsidR="00313A96" w:rsidRDefault="00313A96" w:rsidP="00313A96">
      <w:pPr>
        <w:pStyle w:val="aa"/>
        <w:numPr>
          <w:ilvl w:val="0"/>
          <w:numId w:val="2"/>
        </w:numPr>
        <w:spacing w:line="360" w:lineRule="auto"/>
        <w:jc w:val="both"/>
        <w:rPr>
          <w:rFonts w:ascii="David" w:hAnsi="David" w:cs="David"/>
          <w:sz w:val="24"/>
          <w:szCs w:val="24"/>
          <w:rtl/>
        </w:rPr>
      </w:pPr>
      <w:r>
        <w:rPr>
          <w:rFonts w:ascii="David" w:hAnsi="David" w:cs="David"/>
          <w:b/>
          <w:bCs/>
          <w:sz w:val="24"/>
          <w:szCs w:val="24"/>
          <w:u w:val="single"/>
          <w:rtl/>
        </w:rPr>
        <w:t>ב"כ הנאשם</w:t>
      </w:r>
      <w:r>
        <w:rPr>
          <w:rFonts w:ascii="David" w:hAnsi="David" w:cs="David"/>
          <w:sz w:val="24"/>
          <w:szCs w:val="24"/>
          <w:rtl/>
        </w:rPr>
        <w:t xml:space="preserve"> ציינה, כי זוהי הרשעתו הראשונה של הנאשם בעבירות סמים, עברו הפלילי מינורי וישן משנת 2008- 2009. </w:t>
      </w:r>
    </w:p>
    <w:p w14:paraId="78912046" w14:textId="77777777" w:rsidR="00313A96" w:rsidRDefault="00313A96" w:rsidP="00313A96">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ב"כ הנאשם, הדגישה שכתב האישום תוקן, הנאשם הודה במיוחס לו, מדובר בעבירות ממאי שנה שעברה, מאז שוחרר הנאשם בחלופת מעצר, עבר הליך טיפולי, מצוי תחת צו פיקוח מעצרים. היא ציינה שמתסקיר שהוגש בהליך המעצר עלה שהנאשם הפנים חומרת המעשים ויש בכך כדי לשקף ההליך הטיפולי שעבר הנאשם, הקושי האישי עימו התמודד באותה תקופה ועובדת היותו מחוסר עבודה. </w:t>
      </w:r>
    </w:p>
    <w:p w14:paraId="72901490"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הנאשם הסבירה כי במסגרת הליך המעצר השתלב הנאשם בקבוצה במסגרת צו המעצרים ומתסקיר המעצר עולה שהוא שיתף מעולמו הפנימי והגיע באופן מתמיד. גם במסגרת התסקיר הנוכחי, מצוין הנסיבות שהובילו לביצוע העבירה, הודאתו במיוחס לו, שכן כבר בשלב החקירה הודה, מכאן ניתן ללמוד שאין מדובר בעבריין סמים או סוחר סמים. </w:t>
      </w:r>
    </w:p>
    <w:p w14:paraId="1C71D153"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כיום הנאשם מתפקד, אשתו שבה לגור עימו, לפני מספר חודשים נולדה לו בת, מאז ביצוע העבירה ועד היום לא הסתבך שוב בפלילים. הנאשם הקפיד על התנאים המגבילים, שמר על קשר רציף עם שירות המבחן. ההליך המשפטי היוו עבורו גורם הרתעתי משמעותי. בעניין זה ישנה חשיבות לענישה שיקומית לצורך שיקום התא המשפחתי. </w:t>
      </w:r>
    </w:p>
    <w:p w14:paraId="55781E1D"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הנאשם, עתרה למתחם ענישה הנע בין מספר חודשי מאסר שירוצו בעבודת שירות ועד 18 חודשי מאסר בפועל. ב"כ המאשימה טענה שיש  לאמץ המלצת שירות המבחן ולהורות על סטייה משיקולי שיקום או לחילופין למקם עונשו של הנאשם בתחתית המתחם ולהשית על הנאשם עונש מאסר בפועל שירוצה בעבודת שירות. </w:t>
      </w:r>
    </w:p>
    <w:p w14:paraId="7C282AE1"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הנאשם, הפנתה לאסופת פסיקה כתימוכין לעמדתה. </w:t>
      </w:r>
    </w:p>
    <w:p w14:paraId="2C01EC9B"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ב"כ הנאשם, הדגישה כי הנאשם הביע נכונות לכל הליך טיפולי, הוא הופנה למרכז יום אך לא נמצא מתאים שכן לא קיימת נזקקות בעניין הסמים. הנאשם השתמש בעבר בסמים כיום אינו עושה שימוש בסם ולכן לא היה כל צורך בהליך משולב גמילה. </w:t>
      </w:r>
    </w:p>
    <w:p w14:paraId="60DEBB51" w14:textId="77777777" w:rsidR="00313A96" w:rsidRDefault="00313A96" w:rsidP="00313A96">
      <w:pPr>
        <w:pStyle w:val="aa"/>
        <w:numPr>
          <w:ilvl w:val="0"/>
          <w:numId w:val="2"/>
        </w:numPr>
        <w:spacing w:line="360" w:lineRule="auto"/>
        <w:jc w:val="both"/>
        <w:rPr>
          <w:rFonts w:ascii="David" w:hAnsi="David" w:cs="David"/>
          <w:sz w:val="24"/>
          <w:szCs w:val="24"/>
        </w:rPr>
      </w:pPr>
      <w:r>
        <w:rPr>
          <w:rFonts w:ascii="David" w:hAnsi="David" w:cs="David"/>
          <w:sz w:val="24"/>
          <w:szCs w:val="24"/>
          <w:rtl/>
        </w:rPr>
        <w:t>דברי הנאשם – הסביר שהיה בתקופה קשה לבדו ,  מצטער על מה שעשה.</w:t>
      </w:r>
    </w:p>
    <w:p w14:paraId="5BC4F76E" w14:textId="77777777" w:rsidR="00313A96" w:rsidRDefault="00313A96" w:rsidP="00313A96">
      <w:pPr>
        <w:spacing w:line="360" w:lineRule="auto"/>
        <w:jc w:val="both"/>
        <w:rPr>
          <w:rFonts w:ascii="David" w:hAnsi="David"/>
          <w:bCs/>
          <w:u w:val="single"/>
        </w:rPr>
      </w:pPr>
      <w:r>
        <w:rPr>
          <w:rFonts w:ascii="David" w:hAnsi="David"/>
          <w:bCs/>
          <w:u w:val="single"/>
          <w:rtl/>
        </w:rPr>
        <w:t>דיון - קביעת מתחם העונש ההולם</w:t>
      </w:r>
    </w:p>
    <w:p w14:paraId="2E550B1B" w14:textId="77777777" w:rsidR="00313A96" w:rsidRDefault="00313A96" w:rsidP="00313A96">
      <w:pPr>
        <w:pStyle w:val="aa"/>
        <w:numPr>
          <w:ilvl w:val="0"/>
          <w:numId w:val="2"/>
        </w:numPr>
        <w:spacing w:after="0" w:line="360" w:lineRule="auto"/>
        <w:jc w:val="both"/>
        <w:rPr>
          <w:rFonts w:eastAsia="Times New Roman" w:cs="David"/>
          <w:sz w:val="24"/>
          <w:szCs w:val="24"/>
          <w:rtl/>
        </w:rPr>
      </w:pPr>
      <w:r>
        <w:rPr>
          <w:rFonts w:eastAsia="Times New Roman" w:cs="David"/>
          <w:sz w:val="24"/>
          <w:szCs w:val="24"/>
          <w:rtl/>
        </w:rPr>
        <w:t xml:space="preserve">כתב האישום מתאר רצף אירועים דומים אשר התרחשו בסמיכות זמנים זה לזה כמו כן לטעמי יש לראות בסמים שנתפסן בחזקתו של הנאשם כחלק ממערך הגידול, ומכאן שלטעמי יש לקבוע  </w:t>
      </w:r>
      <w:r>
        <w:rPr>
          <w:rFonts w:eastAsia="Times New Roman" w:cs="David"/>
          <w:b/>
          <w:bCs/>
          <w:sz w:val="24"/>
          <w:szCs w:val="24"/>
          <w:rtl/>
        </w:rPr>
        <w:t>מתחם עונש הולם אחד</w:t>
      </w:r>
      <w:r>
        <w:rPr>
          <w:rFonts w:eastAsia="Times New Roman" w:cs="David"/>
          <w:sz w:val="24"/>
          <w:szCs w:val="24"/>
          <w:rtl/>
        </w:rPr>
        <w:t xml:space="preserve">, וזאת בהתאם </w:t>
      </w:r>
      <w:hyperlink r:id="rId20" w:history="1">
        <w:r w:rsidR="00A30CD1" w:rsidRPr="00A30CD1">
          <w:rPr>
            <w:rStyle w:val="Hyperlink"/>
            <w:rFonts w:eastAsia="Times New Roman" w:cs="David" w:hint="eastAsia"/>
            <w:sz w:val="24"/>
            <w:szCs w:val="24"/>
            <w:rtl/>
          </w:rPr>
          <w:t>לסעיף</w:t>
        </w:r>
        <w:r w:rsidR="00A30CD1" w:rsidRPr="00A30CD1">
          <w:rPr>
            <w:rStyle w:val="Hyperlink"/>
            <w:rFonts w:eastAsia="Times New Roman" w:cs="David"/>
            <w:sz w:val="24"/>
            <w:szCs w:val="24"/>
            <w:rtl/>
          </w:rPr>
          <w:t xml:space="preserve"> 40</w:t>
        </w:r>
        <w:r w:rsidR="00A30CD1" w:rsidRPr="00A30CD1">
          <w:rPr>
            <w:rStyle w:val="Hyperlink"/>
            <w:rFonts w:eastAsia="Times New Roman" w:cs="David" w:hint="eastAsia"/>
            <w:sz w:val="24"/>
            <w:szCs w:val="24"/>
            <w:rtl/>
          </w:rPr>
          <w:t>יג</w:t>
        </w:r>
        <w:r w:rsidR="00A30CD1" w:rsidRPr="00A30CD1">
          <w:rPr>
            <w:rStyle w:val="Hyperlink"/>
            <w:rFonts w:eastAsia="Times New Roman" w:cs="David"/>
            <w:sz w:val="24"/>
            <w:szCs w:val="24"/>
            <w:rtl/>
          </w:rPr>
          <w:t>(</w:t>
        </w:r>
        <w:r w:rsidR="00A30CD1" w:rsidRPr="00A30CD1">
          <w:rPr>
            <w:rStyle w:val="Hyperlink"/>
            <w:rFonts w:eastAsia="Times New Roman" w:cs="David" w:hint="eastAsia"/>
            <w:sz w:val="24"/>
            <w:szCs w:val="24"/>
            <w:rtl/>
          </w:rPr>
          <w:t>א</w:t>
        </w:r>
        <w:r w:rsidR="00A30CD1" w:rsidRPr="00A30CD1">
          <w:rPr>
            <w:rStyle w:val="Hyperlink"/>
            <w:rFonts w:eastAsia="Times New Roman" w:cs="David"/>
            <w:sz w:val="24"/>
            <w:szCs w:val="24"/>
            <w:rtl/>
          </w:rPr>
          <w:t>)</w:t>
        </w:r>
      </w:hyperlink>
      <w:r>
        <w:rPr>
          <w:rFonts w:eastAsia="Times New Roman" w:cs="David"/>
          <w:sz w:val="24"/>
          <w:szCs w:val="24"/>
          <w:rtl/>
        </w:rPr>
        <w:t xml:space="preserve"> לחוק ולמבחן הקשר ההדוק שנקבע בע"פ ג'אבר. </w:t>
      </w:r>
    </w:p>
    <w:p w14:paraId="0F97E3FA" w14:textId="77777777" w:rsidR="00313A96" w:rsidRDefault="00313A96" w:rsidP="00313A96">
      <w:pPr>
        <w:pStyle w:val="a"/>
        <w:numPr>
          <w:ilvl w:val="0"/>
          <w:numId w:val="2"/>
        </w:numPr>
        <w:tabs>
          <w:tab w:val="left" w:pos="720"/>
        </w:tabs>
        <w:jc w:val="both"/>
        <w:rPr>
          <w:rtl/>
        </w:rPr>
      </w:pPr>
      <w:r>
        <w:rPr>
          <w:rFonts w:hint="cs"/>
          <w:rtl/>
        </w:rPr>
        <w:t xml:space="preserve">המלחמה בנגע הסמים הינה קשה ובלתי פוסקת, </w:t>
      </w:r>
      <w:r>
        <w:rPr>
          <w:rFonts w:hint="cs"/>
          <w:b/>
          <w:bCs/>
          <w:rtl/>
        </w:rPr>
        <w:t>הערך המוגן</w:t>
      </w:r>
      <w:r>
        <w:rPr>
          <w:rFonts w:hint="cs"/>
          <w:rtl/>
        </w:rPr>
        <w:t xml:space="preserve"> הנפגע  הינו ההגנה מפני הנזקים הישירים והעקיפים אשר נגרמים לחברה בכללותה עקב השימוש בסמים.  </w:t>
      </w:r>
    </w:p>
    <w:p w14:paraId="5111A724" w14:textId="77777777" w:rsidR="00313A96" w:rsidRDefault="00313A96" w:rsidP="00313A96">
      <w:pPr>
        <w:pStyle w:val="a"/>
        <w:numPr>
          <w:ilvl w:val="0"/>
          <w:numId w:val="0"/>
        </w:numPr>
        <w:tabs>
          <w:tab w:val="left" w:pos="720"/>
        </w:tabs>
        <w:ind w:left="1352"/>
        <w:jc w:val="both"/>
        <w:rPr>
          <w:bCs/>
        </w:rPr>
      </w:pPr>
      <w:r>
        <w:rPr>
          <w:rFonts w:hint="cs"/>
          <w:rtl/>
        </w:rPr>
        <w:t xml:space="preserve">על הצורך  להילחם בנגע הסמים, עמד בית המשפט העליון לא אחת בפסיקתו, </w:t>
      </w:r>
      <w:r>
        <w:rPr>
          <w:rFonts w:hint="cs"/>
          <w:b/>
          <w:rtl/>
        </w:rPr>
        <w:t>ראו דברי כב' הש' ברלינר ב</w:t>
      </w:r>
      <w:hyperlink r:id="rId21" w:history="1">
        <w:r w:rsidR="003177C3" w:rsidRPr="003177C3">
          <w:rPr>
            <w:b/>
            <w:color w:val="0000FF"/>
            <w:u w:val="single"/>
            <w:rtl/>
          </w:rPr>
          <w:t>ע"פ 170/07</w:t>
        </w:r>
      </w:hyperlink>
      <w:r>
        <w:rPr>
          <w:rFonts w:hint="cs"/>
          <w:b/>
          <w:rtl/>
        </w:rPr>
        <w:t xml:space="preserve"> </w:t>
      </w:r>
      <w:r>
        <w:rPr>
          <w:rFonts w:hint="cs"/>
          <w:bCs/>
          <w:rtl/>
        </w:rPr>
        <w:t>מטיס נ' מדינת ישראל</w:t>
      </w:r>
      <w:r>
        <w:rPr>
          <w:rFonts w:hint="cs"/>
          <w:b/>
          <w:rtl/>
        </w:rPr>
        <w:t xml:space="preserve"> ביחס שימוש עצמי בסמים מסוג קנאביס וחשיש:</w:t>
      </w:r>
    </w:p>
    <w:p w14:paraId="2D45E832" w14:textId="77777777" w:rsidR="00313A96" w:rsidRDefault="00313A96" w:rsidP="00313A96">
      <w:pPr>
        <w:pStyle w:val="a"/>
        <w:numPr>
          <w:ilvl w:val="0"/>
          <w:numId w:val="0"/>
        </w:numPr>
        <w:tabs>
          <w:tab w:val="left" w:pos="720"/>
        </w:tabs>
        <w:ind w:left="1352"/>
        <w:jc w:val="both"/>
        <w:rPr>
          <w:bCs/>
          <w:rtl/>
        </w:rPr>
      </w:pPr>
      <w:r>
        <w:rPr>
          <w:rFonts w:hint="cs"/>
          <w:b/>
          <w:rtl/>
        </w:rPr>
        <w:t>"</w:t>
      </w:r>
      <w:r>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hint="cs"/>
          <w:b/>
          <w:rtl/>
        </w:rPr>
        <w:t>".</w:t>
      </w:r>
    </w:p>
    <w:p w14:paraId="6DE99104" w14:textId="77777777" w:rsidR="00313A96" w:rsidRDefault="00313A96" w:rsidP="00313A96">
      <w:pPr>
        <w:pStyle w:val="a"/>
        <w:numPr>
          <w:ilvl w:val="0"/>
          <w:numId w:val="0"/>
        </w:numPr>
        <w:tabs>
          <w:tab w:val="left" w:pos="720"/>
        </w:tabs>
        <w:ind w:left="1352"/>
        <w:jc w:val="both"/>
      </w:pPr>
      <w:r>
        <w:rPr>
          <w:rFonts w:hint="cs"/>
          <w:rtl/>
        </w:rPr>
        <w:t xml:space="preserve">לאחרונה,  בית המשפט העליון שב והדגיש כי קנבוס היה ועודנו נותר סם מסוכן (ראה </w:t>
      </w:r>
      <w:hyperlink r:id="rId22" w:history="1">
        <w:r w:rsidR="003177C3" w:rsidRPr="003177C3">
          <w:rPr>
            <w:color w:val="0000FF"/>
            <w:u w:val="single"/>
            <w:rtl/>
          </w:rPr>
          <w:t>רע"פ 174/21</w:t>
        </w:r>
      </w:hyperlink>
      <w:r>
        <w:rPr>
          <w:rFonts w:hint="cs"/>
          <w:rtl/>
        </w:rPr>
        <w:t xml:space="preserve"> </w:t>
      </w:r>
      <w:r>
        <w:rPr>
          <w:rFonts w:hint="cs"/>
          <w:b/>
          <w:bCs/>
          <w:rtl/>
        </w:rPr>
        <w:t>סויסה נ' מדינת ישראל</w:t>
      </w:r>
      <w:r>
        <w:rPr>
          <w:rFonts w:hint="cs"/>
          <w:rtl/>
        </w:rPr>
        <w:t xml:space="preserve"> (25.02.21) וככלל מגמת הענישה בעבירות סמים, היא של החמרה והרתעה ( ראה </w:t>
      </w:r>
      <w:hyperlink r:id="rId23" w:history="1">
        <w:r w:rsidR="003177C3" w:rsidRPr="003177C3">
          <w:rPr>
            <w:color w:val="0000FF"/>
            <w:u w:val="single"/>
            <w:rtl/>
          </w:rPr>
          <w:t>ע"פ 8048/19</w:t>
        </w:r>
      </w:hyperlink>
      <w:r>
        <w:rPr>
          <w:rFonts w:hint="cs"/>
          <w:rtl/>
        </w:rPr>
        <w:t xml:space="preserve"> </w:t>
      </w:r>
      <w:r>
        <w:rPr>
          <w:rFonts w:hint="cs"/>
          <w:bCs/>
          <w:rtl/>
        </w:rPr>
        <w:t>פיצ'חדזה נ' מדינת ישראל</w:t>
      </w:r>
      <w:r>
        <w:rPr>
          <w:rFonts w:hint="cs"/>
          <w:rtl/>
        </w:rPr>
        <w:t>, פסקה 11 (20.6.2020)).</w:t>
      </w:r>
    </w:p>
    <w:p w14:paraId="346D31E7" w14:textId="77777777" w:rsidR="00313A96" w:rsidRDefault="00313A96" w:rsidP="00313A96">
      <w:pPr>
        <w:pStyle w:val="a"/>
        <w:numPr>
          <w:ilvl w:val="0"/>
          <w:numId w:val="2"/>
        </w:numPr>
        <w:tabs>
          <w:tab w:val="left" w:pos="720"/>
        </w:tabs>
        <w:jc w:val="both"/>
        <w:rPr>
          <w:rtl/>
        </w:rPr>
      </w:pPr>
      <w:r>
        <w:rPr>
          <w:rFonts w:hint="cs"/>
          <w:rtl/>
        </w:rPr>
        <w:t xml:space="preserve">בחינת מידת </w:t>
      </w:r>
      <w:r>
        <w:rPr>
          <w:rFonts w:hint="cs"/>
          <w:b/>
          <w:bCs/>
          <w:rtl/>
        </w:rPr>
        <w:t>הפגיעה בערכים המוגנים</w:t>
      </w:r>
      <w:r>
        <w:rPr>
          <w:rFonts w:hint="cs"/>
          <w:rtl/>
        </w:rPr>
        <w:t xml:space="preserve"> מובילה למסקנה כי הפגיעה היא ברף הבינוני – גבוה, בשים לב לכך, שמדובר בגידול 191 שתילי קנבוס במשקל כולל של למעלה 3 ק"ג וכן בהחזקת סם מסוג קנבוס במשקל 6 ק"ג. כמו כן יש לציין כי הנאשם הסב חלק מביתו למעבדה לגידול סמים. </w:t>
      </w:r>
    </w:p>
    <w:p w14:paraId="5C2030AD" w14:textId="77777777" w:rsidR="00313A96" w:rsidRDefault="00313A96" w:rsidP="00313A96">
      <w:pPr>
        <w:pStyle w:val="a"/>
        <w:numPr>
          <w:ilvl w:val="0"/>
          <w:numId w:val="2"/>
        </w:numPr>
        <w:tabs>
          <w:tab w:val="left" w:pos="720"/>
        </w:tabs>
        <w:jc w:val="both"/>
        <w:rPr>
          <w:rtl/>
        </w:rPr>
      </w:pPr>
      <w:r>
        <w:rPr>
          <w:rFonts w:hint="cs"/>
          <w:rtl/>
        </w:rPr>
        <w:t xml:space="preserve">בחינת </w:t>
      </w:r>
      <w:r>
        <w:rPr>
          <w:rFonts w:hint="cs"/>
          <w:b/>
          <w:bCs/>
          <w:rtl/>
        </w:rPr>
        <w:t>מדיניות הענישה הנוהגת</w:t>
      </w:r>
      <w:r>
        <w:rPr>
          <w:rFonts w:hint="cs"/>
          <w:rtl/>
        </w:rPr>
        <w:t xml:space="preserve"> מעלה כי במקרים דומים הוטלו על נאשמים עונשים במנעד ענישה רחב כמפורט להלן: </w:t>
      </w:r>
    </w:p>
    <w:p w14:paraId="59F83ACE" w14:textId="77777777" w:rsidR="00313A96" w:rsidRDefault="003177C3" w:rsidP="00313A96">
      <w:pPr>
        <w:pStyle w:val="a"/>
        <w:numPr>
          <w:ilvl w:val="0"/>
          <w:numId w:val="3"/>
        </w:numPr>
        <w:tabs>
          <w:tab w:val="left" w:pos="720"/>
        </w:tabs>
        <w:jc w:val="both"/>
        <w:rPr>
          <w:rtl/>
        </w:rPr>
      </w:pPr>
      <w:hyperlink r:id="rId24" w:history="1">
        <w:r w:rsidRPr="003177C3">
          <w:rPr>
            <w:color w:val="0000FF"/>
            <w:u w:val="single"/>
            <w:rtl/>
          </w:rPr>
          <w:t>רע"פ 2151/21</w:t>
        </w:r>
      </w:hyperlink>
      <w:r w:rsidR="00313A96">
        <w:rPr>
          <w:rFonts w:hint="cs"/>
          <w:u w:val="single"/>
          <w:rtl/>
        </w:rPr>
        <w:t xml:space="preserve"> </w:t>
      </w:r>
      <w:r w:rsidR="00313A96">
        <w:rPr>
          <w:rFonts w:hint="cs"/>
          <w:b/>
          <w:bCs/>
          <w:u w:val="single"/>
          <w:rtl/>
        </w:rPr>
        <w:t>דהן נ' מדינת ישראל</w:t>
      </w:r>
      <w:r w:rsidR="00313A96">
        <w:rPr>
          <w:rFonts w:hint="cs"/>
          <w:u w:val="single"/>
          <w:rtl/>
        </w:rPr>
        <w:t xml:space="preserve"> (07.04.21)</w:t>
      </w:r>
      <w:r w:rsidR="00313A96">
        <w:rPr>
          <w:rFonts w:hint="cs"/>
          <w:rtl/>
        </w:rPr>
        <w:t xml:space="preserve"> נדחה ערעורו של נאשם אשר הורשע על פי הודאתו בעבירות של גידול סם והחזקת סם שלא לצריכה עצמית, </w:t>
      </w:r>
      <w:r w:rsidR="00313A96">
        <w:rPr>
          <w:rFonts w:hint="cs"/>
          <w:b/>
          <w:bCs/>
          <w:rtl/>
        </w:rPr>
        <w:t>הנאשם נמצא מחזיק כ 100 שתילי סם מסוג קנבוס במשקל 23 ק"ג,</w:t>
      </w:r>
      <w:r w:rsidR="00313A96">
        <w:rPr>
          <w:rFonts w:hint="cs"/>
          <w:rtl/>
        </w:rPr>
        <w:t xml:space="preserve"> הנאשם ביצע העבירות ביחד עם שנים אחרים. </w:t>
      </w:r>
      <w:r w:rsidR="00313A96">
        <w:rPr>
          <w:rFonts w:hint="cs"/>
          <w:u w:val="single"/>
          <w:rtl/>
        </w:rPr>
        <w:t>בית משפט השלום קבע מתחם ענישה הנע בין 8 ל 24 חודשי מאסר בפועל</w:t>
      </w:r>
      <w:r w:rsidR="00313A96">
        <w:rPr>
          <w:rFonts w:hint="cs"/>
          <w:rtl/>
        </w:rPr>
        <w:t xml:space="preserve">. הנאשם נעדר עבר פלילי, שהה במעצר למעלה מחודש ימים, הוגש בעניינו תסקיר שלילי. נדון ל 9 חודשי מאסר בפועל שירוצו בעבודת שירות. </w:t>
      </w:r>
      <w:r w:rsidR="00313A96">
        <w:rPr>
          <w:rFonts w:hint="cs"/>
          <w:u w:val="single"/>
          <w:rtl/>
        </w:rPr>
        <w:t xml:space="preserve">ערעור המדינה על קולת העונש התקבל ועונשו של הנאשם הוחמר ל 18 חודשי מאסר בפועל </w:t>
      </w:r>
      <w:r w:rsidR="00313A96">
        <w:rPr>
          <w:rFonts w:hint="cs"/>
          <w:rtl/>
        </w:rPr>
        <w:t xml:space="preserve">. </w:t>
      </w:r>
    </w:p>
    <w:p w14:paraId="22F4E880" w14:textId="77777777" w:rsidR="00313A96" w:rsidRDefault="003177C3" w:rsidP="00313A96">
      <w:pPr>
        <w:pStyle w:val="a"/>
        <w:numPr>
          <w:ilvl w:val="0"/>
          <w:numId w:val="3"/>
        </w:numPr>
        <w:tabs>
          <w:tab w:val="left" w:pos="720"/>
        </w:tabs>
        <w:jc w:val="both"/>
      </w:pPr>
      <w:hyperlink r:id="rId25" w:history="1">
        <w:r w:rsidRPr="003177C3">
          <w:rPr>
            <w:color w:val="0000FF"/>
            <w:u w:val="single"/>
            <w:rtl/>
          </w:rPr>
          <w:t>רע"פ 513/21</w:t>
        </w:r>
      </w:hyperlink>
      <w:r w:rsidR="00313A96">
        <w:rPr>
          <w:rFonts w:hint="cs"/>
          <w:u w:val="single"/>
          <w:rtl/>
        </w:rPr>
        <w:t xml:space="preserve"> </w:t>
      </w:r>
      <w:r w:rsidR="00313A96">
        <w:rPr>
          <w:rFonts w:hint="cs"/>
          <w:b/>
          <w:bCs/>
          <w:u w:val="single"/>
          <w:rtl/>
        </w:rPr>
        <w:t>יהושע נ' מדינת ישראל</w:t>
      </w:r>
      <w:r w:rsidR="00313A96">
        <w:rPr>
          <w:rFonts w:hint="cs"/>
          <w:b/>
          <w:bCs/>
          <w:rtl/>
        </w:rPr>
        <w:t xml:space="preserve"> (</w:t>
      </w:r>
      <w:r w:rsidR="00313A96">
        <w:rPr>
          <w:rFonts w:hint="cs"/>
          <w:rtl/>
        </w:rPr>
        <w:t>04.03.21) נדחה ערעור של נאשם אשר הורשע בעבירה של גידול סם, הנאשם נמצא מגדל 60 שתילים במשקל כולל של 10 ק"ג</w:t>
      </w:r>
      <w:r w:rsidR="00313A96">
        <w:rPr>
          <w:rFonts w:hint="cs"/>
          <w:b/>
          <w:bCs/>
          <w:rtl/>
        </w:rPr>
        <w:t>. בית משפט השלום קבע מתחם ענישה הנע בין 6 חודשי מאסר בפועל ועד 24 חודשי מאסר בפועל.</w:t>
      </w:r>
      <w:r w:rsidR="00313A96">
        <w:rPr>
          <w:rFonts w:hint="cs"/>
          <w:rtl/>
        </w:rPr>
        <w:t xml:space="preserve"> בית משפט השלום סטה ממתחם ענישה והנאשם נדון הנאשם לצו של"צ בהיקף 150 שעות, ערעור המדינה על קולת העונש התקבל, הנאשם נדון ל 10 חודשי מאסר בפועל. בקשת רשות ערעור שהגיש הנאשם נדחתה. </w:t>
      </w:r>
    </w:p>
    <w:p w14:paraId="28882D0D" w14:textId="77777777" w:rsidR="00313A96" w:rsidRDefault="003177C3" w:rsidP="00313A96">
      <w:pPr>
        <w:pStyle w:val="a"/>
        <w:numPr>
          <w:ilvl w:val="0"/>
          <w:numId w:val="3"/>
        </w:numPr>
        <w:tabs>
          <w:tab w:val="left" w:pos="720"/>
        </w:tabs>
        <w:jc w:val="both"/>
      </w:pPr>
      <w:hyperlink r:id="rId26" w:history="1">
        <w:r w:rsidRPr="003177C3">
          <w:rPr>
            <w:color w:val="0000FF"/>
            <w:u w:val="single"/>
            <w:rtl/>
          </w:rPr>
          <w:t>רע"פ 3991/20</w:t>
        </w:r>
      </w:hyperlink>
      <w:r w:rsidR="00313A96">
        <w:rPr>
          <w:rFonts w:hint="cs"/>
          <w:u w:val="single"/>
          <w:rtl/>
        </w:rPr>
        <w:t xml:space="preserve"> </w:t>
      </w:r>
      <w:r w:rsidR="00313A96">
        <w:rPr>
          <w:rFonts w:hint="cs"/>
          <w:b/>
          <w:bCs/>
          <w:u w:val="single"/>
          <w:rtl/>
        </w:rPr>
        <w:t>פרנק נ' מדינת ישראל</w:t>
      </w:r>
      <w:r w:rsidR="00313A96">
        <w:rPr>
          <w:rFonts w:hint="cs"/>
          <w:u w:val="single"/>
          <w:rtl/>
        </w:rPr>
        <w:t xml:space="preserve"> (28.06.20)</w:t>
      </w:r>
      <w:r w:rsidR="00313A96">
        <w:rPr>
          <w:rFonts w:hint="cs"/>
          <w:rtl/>
        </w:rPr>
        <w:t xml:space="preserve"> נדחה ערעורו של נאשם אשר הורשע בהתאם להודאתו בשלוש עבירות של גידול סם מסוכן, החזקת סם מסוכן, החזקת כלים לצורך הכנת סם, הנאשם גידל סם מסוג קנבוס בשתי דירות ששכר וכן בביתו, </w:t>
      </w:r>
      <w:r w:rsidR="00313A96">
        <w:rPr>
          <w:rFonts w:hint="cs"/>
          <w:b/>
          <w:bCs/>
          <w:rtl/>
        </w:rPr>
        <w:t>נמצאו בסך הכל 188 שתילים במשקל של כ 19.5 ק"ג בנוסף</w:t>
      </w:r>
      <w:r w:rsidR="00313A96">
        <w:rPr>
          <w:rFonts w:hint="cs"/>
          <w:rtl/>
        </w:rPr>
        <w:t xml:space="preserve"> נמצא מחזיק כ 862 גרם סם מסוג קנבוס שלא לצריכה עצמית</w:t>
      </w:r>
      <w:r w:rsidR="00313A96">
        <w:rPr>
          <w:rFonts w:hint="cs"/>
          <w:b/>
          <w:bCs/>
          <w:rtl/>
        </w:rPr>
        <w:t>. בית משפט השלום קבע מתחם ענישה הנע בין 8 ל 20 חודשי מאסר בפועל</w:t>
      </w:r>
      <w:r w:rsidR="00313A96">
        <w:rPr>
          <w:rFonts w:hint="cs"/>
          <w:rtl/>
        </w:rPr>
        <w:t xml:space="preserve">, הנאשם צעיר בעל עבר פלילי שאינו מכביד נדון ל 10 חודשי מאסר בפועל. בית המשפט המחוזי דחה ערעור הנאשם על חומרת העונש. בית המשפט העליון דחה גם כן הערעור תוך שציין שאין שינוי בנוגע להתייחסות לסם הקנבוס. </w:t>
      </w:r>
    </w:p>
    <w:p w14:paraId="0B350831" w14:textId="77777777" w:rsidR="00313A96" w:rsidRDefault="003177C3" w:rsidP="00313A96">
      <w:pPr>
        <w:pStyle w:val="a"/>
        <w:numPr>
          <w:ilvl w:val="0"/>
          <w:numId w:val="3"/>
        </w:numPr>
        <w:tabs>
          <w:tab w:val="left" w:pos="720"/>
        </w:tabs>
        <w:jc w:val="both"/>
        <w:rPr>
          <w:u w:val="single"/>
        </w:rPr>
      </w:pPr>
      <w:hyperlink r:id="rId27" w:history="1">
        <w:r w:rsidRPr="003177C3">
          <w:rPr>
            <w:color w:val="0000FF"/>
            <w:u w:val="single"/>
            <w:rtl/>
          </w:rPr>
          <w:t>עפ"ג (מרכז) 45102-06-22</w:t>
        </w:r>
      </w:hyperlink>
      <w:r w:rsidR="00313A96">
        <w:rPr>
          <w:rFonts w:hint="cs"/>
          <w:u w:val="single"/>
          <w:rtl/>
        </w:rPr>
        <w:t xml:space="preserve"> </w:t>
      </w:r>
      <w:r w:rsidR="00313A96">
        <w:rPr>
          <w:rFonts w:hint="cs"/>
          <w:b/>
          <w:bCs/>
          <w:u w:val="single"/>
          <w:rtl/>
        </w:rPr>
        <w:t>וטורי נ' מדינת ישראל</w:t>
      </w:r>
      <w:r w:rsidR="00313A96">
        <w:rPr>
          <w:rFonts w:hint="cs"/>
          <w:u w:val="single"/>
          <w:rtl/>
        </w:rPr>
        <w:t xml:space="preserve"> (04.12.22) –</w:t>
      </w:r>
      <w:r w:rsidR="00313A96">
        <w:rPr>
          <w:rFonts w:hint="cs"/>
          <w:rtl/>
        </w:rPr>
        <w:t xml:space="preserve">הנאשם הורשע בהתאם להודאתו בעבירות של החזקת סם שלא לצריכה עצמית, נטילת חשמל, גידול סם מסוכן והחזקת כלים להכנת סם מסוכן שלא לצריכה עצמית, בכך ששכר דירה והקים בה מעבדה לגידול סמים, הנאשם נמצא מגדל 290 שתילי סם מסוג קנבוס וכן נמצא מחזיק בדירה סם מסוג קנבוס וחשיש בכמויות שונות. בית משפט השלום קבע מתחם ענישה הנע בין 9 ל 18 חודשי מאסר בפועל. הנאשם נעדר עבר פלילי נדון ל 10 חודשי מאסר בפועל. ערעור שהוגש לבית משפט מחוזי נדחה. בית המשפט המחוזי עמד בפסק דינו על מדיניות הענישה הראויה בעבירות גידול סמים והחזקת סמים ומצא כי מתחם העונש שנקבע ראוי וסביר. </w:t>
      </w:r>
    </w:p>
    <w:p w14:paraId="0C8809AF" w14:textId="77777777" w:rsidR="00313A96" w:rsidRDefault="003177C3" w:rsidP="00313A96">
      <w:pPr>
        <w:pStyle w:val="a"/>
        <w:numPr>
          <w:ilvl w:val="0"/>
          <w:numId w:val="3"/>
        </w:numPr>
        <w:tabs>
          <w:tab w:val="left" w:pos="720"/>
        </w:tabs>
        <w:jc w:val="both"/>
      </w:pPr>
      <w:hyperlink r:id="rId28" w:history="1">
        <w:r w:rsidRPr="003177C3">
          <w:rPr>
            <w:color w:val="0000FF"/>
            <w:u w:val="single"/>
            <w:rtl/>
          </w:rPr>
          <w:t>עפ"ג (מרכז) 10371-03-22</w:t>
        </w:r>
      </w:hyperlink>
      <w:r w:rsidR="00313A96">
        <w:rPr>
          <w:rFonts w:hint="cs"/>
          <w:b/>
          <w:bCs/>
          <w:u w:val="single"/>
          <w:rtl/>
        </w:rPr>
        <w:t xml:space="preserve"> בכר נ' מדינת ישראל</w:t>
      </w:r>
      <w:r w:rsidR="00313A96">
        <w:rPr>
          <w:rFonts w:hint="cs"/>
          <w:rtl/>
        </w:rPr>
        <w:t xml:space="preserve"> (12.09.22) הנאשם הורשע בהתאם להודאתו בעבירה של גידול סם, בכך ששכר דירה והקים בה מעבדה לגידול סמים, נמצא מחזיק 94 שתילים במשקל 3.8 ק"ג. </w:t>
      </w:r>
      <w:r w:rsidR="00313A96">
        <w:rPr>
          <w:rFonts w:hint="cs"/>
          <w:b/>
          <w:bCs/>
          <w:rtl/>
        </w:rPr>
        <w:t>בית משפט השלום קבע מתחם ענישה הנע בין 10 ל 24 חודשי מאסר בפועל</w:t>
      </w:r>
      <w:r w:rsidR="00313A96">
        <w:rPr>
          <w:rFonts w:hint="cs"/>
          <w:rtl/>
        </w:rPr>
        <w:t xml:space="preserve">, הנאשם צעיר בעל עבר פלילי שאינו ממין העניין, </w:t>
      </w:r>
      <w:r w:rsidR="00313A96">
        <w:rPr>
          <w:rFonts w:hint="cs"/>
          <w:b/>
          <w:bCs/>
          <w:rtl/>
        </w:rPr>
        <w:t>נדון ל 10 חודשי מאסר בפועל</w:t>
      </w:r>
      <w:r w:rsidR="00313A96">
        <w:rPr>
          <w:rFonts w:hint="cs"/>
          <w:rtl/>
        </w:rPr>
        <w:t xml:space="preserve">. בית המשפט המחוזי סבר כי המדובר במתחם הולם וראוי וכי העונש שהוטל על הנאשם מאוזן וראוי בנסיבות העניין. </w:t>
      </w:r>
    </w:p>
    <w:p w14:paraId="59E835CC" w14:textId="77777777" w:rsidR="00313A96" w:rsidRDefault="00313A96" w:rsidP="00313A96">
      <w:pPr>
        <w:pStyle w:val="a"/>
        <w:numPr>
          <w:ilvl w:val="0"/>
          <w:numId w:val="2"/>
        </w:numPr>
        <w:tabs>
          <w:tab w:val="left" w:pos="720"/>
        </w:tabs>
        <w:jc w:val="both"/>
      </w:pPr>
      <w:r>
        <w:rPr>
          <w:rFonts w:hint="cs"/>
          <w:rtl/>
        </w:rPr>
        <w:t xml:space="preserve">במסגרת </w:t>
      </w:r>
      <w:r>
        <w:rPr>
          <w:rFonts w:hint="cs"/>
          <w:b/>
          <w:bCs/>
          <w:rtl/>
        </w:rPr>
        <w:t xml:space="preserve">הנסיבות הקשורות בביצוע העבירה </w:t>
      </w:r>
      <w:r>
        <w:rPr>
          <w:rFonts w:hint="cs"/>
          <w:rtl/>
        </w:rPr>
        <w:t>(</w:t>
      </w:r>
      <w:hyperlink r:id="rId29" w:history="1">
        <w:r w:rsidR="00A30CD1" w:rsidRPr="00A30CD1">
          <w:rPr>
            <w:rStyle w:val="Hyperlink"/>
            <w:rFonts w:hint="eastAsia"/>
            <w:rtl/>
          </w:rPr>
          <w:t>סעיף</w:t>
        </w:r>
        <w:r w:rsidR="00A30CD1" w:rsidRPr="00A30CD1">
          <w:rPr>
            <w:rStyle w:val="Hyperlink"/>
            <w:rtl/>
          </w:rPr>
          <w:t xml:space="preserve"> 40 ט</w:t>
        </w:r>
      </w:hyperlink>
      <w:r>
        <w:rPr>
          <w:rFonts w:hint="cs"/>
          <w:rtl/>
        </w:rPr>
        <w:t xml:space="preserve">' לחוק), יש לתת את הדעת לשיקולים הבאים: הנאשם הקים בביתו מעבדה לגידול סמים, הנאשם נמצא מגדל 191 שתילי סם מסוג קנבוס במשקל 3 ק"ג וכן נמצא מחזיק סם מסוג קנבוס במשקל של 6 ק"ג . יש לציין כי מדובר במעשה שקדם לו תכנון מוקדם מוקפד ביותר, הנאשם הסב ביתו למעבדה לגידול סמים, התקין אמצעים שונים לצורך גידול הסם ניכר כי באותה העת זה היה עיסוקו העיקרי. </w:t>
      </w:r>
    </w:p>
    <w:p w14:paraId="3C64A7EE" w14:textId="77777777" w:rsidR="00313A96" w:rsidRDefault="00313A96" w:rsidP="00313A96">
      <w:pPr>
        <w:pStyle w:val="a"/>
        <w:numPr>
          <w:ilvl w:val="0"/>
          <w:numId w:val="0"/>
        </w:numPr>
        <w:tabs>
          <w:tab w:val="left" w:pos="720"/>
        </w:tabs>
        <w:ind w:left="720"/>
      </w:pPr>
      <w:r>
        <w:rPr>
          <w:rFonts w:hint="cs"/>
          <w:rtl/>
        </w:rPr>
        <w:t>בהתאם לתיקון 113 ל</w:t>
      </w:r>
      <w:hyperlink r:id="rId30" w:history="1">
        <w:r w:rsidR="003177C3" w:rsidRPr="003177C3">
          <w:rPr>
            <w:color w:val="0000FF"/>
            <w:u w:val="single"/>
            <w:rtl/>
          </w:rPr>
          <w:t>חוק העונשין</w:t>
        </w:r>
      </w:hyperlink>
      <w:r>
        <w:rPr>
          <w:rFonts w:hint="cs"/>
          <w:rtl/>
        </w:rPr>
        <w:t xml:space="preserve"> אני קובע כי  </w:t>
      </w:r>
      <w:r>
        <w:rPr>
          <w:rFonts w:hint="cs"/>
          <w:b/>
          <w:bCs/>
          <w:rtl/>
        </w:rPr>
        <w:t>מתחם העונש ההולם, בנסיבות תיק זה, נע בין 10 חודשי מאסר בפועל  לבין 24 חודשי מאסר בפועל</w:t>
      </w:r>
      <w:r>
        <w:rPr>
          <w:rFonts w:hint="cs"/>
          <w:rtl/>
        </w:rPr>
        <w:t xml:space="preserve">. </w:t>
      </w:r>
    </w:p>
    <w:p w14:paraId="7C8B209C" w14:textId="77777777" w:rsidR="00313A96" w:rsidRDefault="00313A96" w:rsidP="00313A96">
      <w:pPr>
        <w:pStyle w:val="a"/>
        <w:numPr>
          <w:ilvl w:val="0"/>
          <w:numId w:val="0"/>
        </w:numPr>
        <w:tabs>
          <w:tab w:val="left" w:pos="720"/>
        </w:tabs>
        <w:ind w:left="720"/>
        <w:rPr>
          <w:rtl/>
        </w:rPr>
      </w:pPr>
    </w:p>
    <w:p w14:paraId="006F07FF" w14:textId="77777777" w:rsidR="00313A96" w:rsidRDefault="00313A96" w:rsidP="00313A96">
      <w:pPr>
        <w:spacing w:line="360" w:lineRule="auto"/>
        <w:jc w:val="both"/>
        <w:rPr>
          <w:rFonts w:ascii="David" w:hAnsi="David"/>
          <w:bCs/>
          <w:u w:val="single"/>
          <w:rtl/>
        </w:rPr>
      </w:pPr>
      <w:r>
        <w:rPr>
          <w:rFonts w:ascii="David" w:hAnsi="David"/>
          <w:bCs/>
          <w:u w:val="single"/>
          <w:rtl/>
        </w:rPr>
        <w:t>גזירת העונש המתאים לנאשם</w:t>
      </w:r>
    </w:p>
    <w:p w14:paraId="3E9276E9" w14:textId="77777777" w:rsidR="00313A96" w:rsidRDefault="00313A96" w:rsidP="00313A96">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בגזירת העונש המתאים לנאשם, יש להתחשב </w:t>
      </w:r>
      <w:r>
        <w:rPr>
          <w:rFonts w:ascii="David" w:hAnsi="David" w:cs="David"/>
          <w:b/>
          <w:bCs/>
          <w:sz w:val="24"/>
          <w:szCs w:val="24"/>
          <w:rtl/>
        </w:rPr>
        <w:t>בנסיבות שאינן קשורות בביצוע העבירה</w:t>
      </w:r>
      <w:r>
        <w:rPr>
          <w:rFonts w:ascii="David" w:hAnsi="David" w:cs="David"/>
          <w:sz w:val="24"/>
          <w:szCs w:val="24"/>
          <w:rtl/>
        </w:rPr>
        <w:t xml:space="preserve"> (</w:t>
      </w:r>
      <w:hyperlink r:id="rId31" w:history="1">
        <w:r w:rsidR="00A30CD1" w:rsidRPr="00A30CD1">
          <w:rPr>
            <w:rStyle w:val="Hyperlink"/>
            <w:rFonts w:ascii="David" w:hAnsi="David" w:cs="David"/>
            <w:sz w:val="24"/>
            <w:szCs w:val="24"/>
            <w:rtl/>
          </w:rPr>
          <w:t>סעיף 40 יא</w:t>
        </w:r>
      </w:hyperlink>
      <w:r>
        <w:rPr>
          <w:rFonts w:ascii="David" w:hAnsi="David" w:cs="David"/>
          <w:sz w:val="24"/>
          <w:szCs w:val="24"/>
          <w:rtl/>
        </w:rPr>
        <w:t>'). במסגרת זו מן הראוי לתת את הדעת לנסיבות הבאות:</w:t>
      </w:r>
    </w:p>
    <w:p w14:paraId="13E8A81B" w14:textId="77777777" w:rsidR="00313A96" w:rsidRDefault="00313A96" w:rsidP="00313A96">
      <w:pPr>
        <w:spacing w:line="360" w:lineRule="auto"/>
        <w:ind w:left="1620"/>
        <w:jc w:val="both"/>
        <w:rPr>
          <w:rFonts w:ascii="David" w:hAnsi="David"/>
        </w:rPr>
      </w:pPr>
      <w:r>
        <w:rPr>
          <w:rFonts w:ascii="David" w:hAnsi="David"/>
          <w:rtl/>
        </w:rPr>
        <w:t xml:space="preserve">הנאשם בן 36, בעל עבר פלילי שאינו ממין העניין שבפני, טרם מעצרו בגין תיק זה ניהל אורח חיים נורמטיבי. הנאשם נטל אחריות מלאה  על מעשיו, לדבריו הרקע לביצוע העבירה משבר זוגי שחווה וחוסר יכולתו להשתלב בתעסוקה בעת ההיא, כמו כן ציין כי באותה התקופה צרך סמים בתדירות גבוהה.   במסגרת הליך המעצר שולב הנאשם בהליך טיפולי ושיתף פעולה עם ההליך. כאמור שירות המבחן המליץ על ענישה שיקומית. יחד עם זאת עולה מהתסקיר כי הנאשם נמצא בראשיתו של ההליך הטיפולי, שירות המבחן מנמק המלצתו בעיקר בשל שיתוף הפעולה שביטא הנאשם במסגרת הליך המעצר ולא בשל הליך שיקומי-טיפולי שעבר הנאשם, יש לציין כי המלצת שירות המבחן למרות חשיבותה הרבה אינה מחייבת את בית המשפט והיא בגדר המלצה בלבד. במכלול הנסיבות שבפניי ובעיקר נוכח חומרת העבירות, לא מצאתי מקום לסטות ממתחם העונש שקבעתי. </w:t>
      </w:r>
    </w:p>
    <w:p w14:paraId="5F85E27B" w14:textId="77777777" w:rsidR="00313A96" w:rsidRDefault="00313A96" w:rsidP="00313A96">
      <w:pPr>
        <w:spacing w:line="360" w:lineRule="auto"/>
        <w:ind w:left="1620"/>
        <w:jc w:val="both"/>
        <w:rPr>
          <w:rFonts w:ascii="David" w:hAnsi="David"/>
        </w:rPr>
      </w:pPr>
      <w:r>
        <w:rPr>
          <w:rFonts w:ascii="David" w:hAnsi="David"/>
          <w:rtl/>
        </w:rPr>
        <w:t xml:space="preserve">למרות האמור, נוכח עברו הפלילי של הנאשם ובנסיבותיו האישיות שכפי שפורטו בתסקיר שירות המבחן אני סבור כי יש למקם עונשו של הנאשם בתחתית המתחם שקבעתי. </w:t>
      </w:r>
    </w:p>
    <w:p w14:paraId="2E4E7E3F" w14:textId="77777777" w:rsidR="00313A96" w:rsidRDefault="00313A96" w:rsidP="00313A96">
      <w:pPr>
        <w:numPr>
          <w:ilvl w:val="0"/>
          <w:numId w:val="2"/>
        </w:numPr>
        <w:spacing w:after="160" w:line="360" w:lineRule="auto"/>
        <w:jc w:val="both"/>
        <w:rPr>
          <w:rFonts w:ascii="David" w:hAnsi="David"/>
          <w:rtl/>
        </w:rPr>
      </w:pPr>
      <w:r>
        <w:rPr>
          <w:rFonts w:ascii="David" w:hAnsi="David"/>
          <w:b/>
          <w:bCs/>
          <w:u w:val="single"/>
          <w:rtl/>
        </w:rPr>
        <w:t>אשר על-כן, הנני גוזר על הנאשם את העונשים הבאים</w:t>
      </w:r>
      <w:r>
        <w:rPr>
          <w:rFonts w:ascii="David" w:hAnsi="David"/>
          <w:rtl/>
        </w:rPr>
        <w:t>:</w:t>
      </w:r>
    </w:p>
    <w:p w14:paraId="144E1081" w14:textId="77777777" w:rsidR="00313A96" w:rsidRDefault="00313A96" w:rsidP="00313A96">
      <w:pPr>
        <w:numPr>
          <w:ilvl w:val="0"/>
          <w:numId w:val="4"/>
        </w:numPr>
        <w:tabs>
          <w:tab w:val="num" w:pos="716"/>
        </w:tabs>
        <w:spacing w:line="360" w:lineRule="auto"/>
        <w:ind w:left="925" w:hanging="539"/>
        <w:jc w:val="both"/>
        <w:rPr>
          <w:b/>
          <w:bCs/>
          <w:u w:val="single"/>
        </w:rPr>
      </w:pPr>
      <w:r>
        <w:rPr>
          <w:rtl/>
        </w:rPr>
        <w:t xml:space="preserve">10 חודשי מאסר בפועל בניכוי ימי מעצרו בגין תיק זה. הנאשם יתייצב לריצוי מאסרו בבית סוהר דקל ביום 29.1.23 עד השעה 08:30 בצירוף ת"ז ופרוטוקול גזר הדין. </w:t>
      </w:r>
    </w:p>
    <w:p w14:paraId="11DBE1A2" w14:textId="77777777" w:rsidR="00313A96" w:rsidRDefault="00313A96" w:rsidP="00313A96">
      <w:pPr>
        <w:numPr>
          <w:ilvl w:val="0"/>
          <w:numId w:val="4"/>
        </w:numPr>
        <w:tabs>
          <w:tab w:val="num" w:pos="716"/>
        </w:tabs>
        <w:spacing w:line="360" w:lineRule="auto"/>
        <w:ind w:left="925" w:hanging="539"/>
        <w:jc w:val="both"/>
        <w:rPr>
          <w:rtl/>
        </w:rPr>
      </w:pPr>
      <w:r>
        <w:rPr>
          <w:rtl/>
        </w:rPr>
        <w:t>7 חודשי מאסר על תנאי, לתקופה של 3 שנים מתום ריצוי מאסרו, שלא יעבור כל עבֵרה על פקודת הסמים מסוג פשע.</w:t>
      </w:r>
    </w:p>
    <w:p w14:paraId="3B6BC33E" w14:textId="77777777" w:rsidR="00313A96" w:rsidRDefault="00313A96" w:rsidP="00313A96">
      <w:pPr>
        <w:numPr>
          <w:ilvl w:val="0"/>
          <w:numId w:val="4"/>
        </w:numPr>
        <w:tabs>
          <w:tab w:val="num" w:pos="716"/>
        </w:tabs>
        <w:spacing w:line="360" w:lineRule="auto"/>
        <w:ind w:left="925" w:hanging="539"/>
        <w:jc w:val="both"/>
      </w:pPr>
      <w:r>
        <w:rPr>
          <w:rtl/>
        </w:rPr>
        <w:t xml:space="preserve">3 חודשי מאסר על תנאי, לתקופה של 3 שנים מתום ריצוי מאסרו, שלא יעבור כל עבֵרה על </w:t>
      </w:r>
      <w:hyperlink r:id="rId32" w:history="1">
        <w:r w:rsidR="003177C3" w:rsidRPr="003177C3">
          <w:rPr>
            <w:color w:val="0000FF"/>
            <w:u w:val="single"/>
            <w:rtl/>
          </w:rPr>
          <w:t>פקודת הסמים המסוכנים</w:t>
        </w:r>
      </w:hyperlink>
      <w:r>
        <w:rPr>
          <w:rtl/>
        </w:rPr>
        <w:t xml:space="preserve"> מסוג עוון.</w:t>
      </w:r>
    </w:p>
    <w:p w14:paraId="302DEEA0" w14:textId="77777777" w:rsidR="00313A96" w:rsidRDefault="00313A96" w:rsidP="00313A96">
      <w:pPr>
        <w:numPr>
          <w:ilvl w:val="0"/>
          <w:numId w:val="4"/>
        </w:numPr>
        <w:tabs>
          <w:tab w:val="num" w:pos="716"/>
        </w:tabs>
        <w:spacing w:line="360" w:lineRule="auto"/>
        <w:ind w:left="925" w:hanging="539"/>
        <w:jc w:val="both"/>
      </w:pPr>
      <w:r>
        <w:rPr>
          <w:rtl/>
        </w:rPr>
        <w:t>קנס כספי בסך 15,000 ₪ או  4 חודשי מאסר תמורתו. הקנס ישולם ב -15  תשלומים חודשיים שווים ורצופים, החל מיום 1.10.24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6D284671" w14:textId="77777777" w:rsidR="00313A96" w:rsidRDefault="00313A96" w:rsidP="00313A96">
      <w:pPr>
        <w:spacing w:line="360" w:lineRule="auto"/>
        <w:ind w:firstLine="720"/>
        <w:jc w:val="both"/>
      </w:pPr>
      <w:r>
        <w:rPr>
          <w:rtl/>
        </w:rPr>
        <w:t xml:space="preserve">את הקנס ניתן לשלם באחת מהדרכים הבאות: </w:t>
      </w:r>
    </w:p>
    <w:p w14:paraId="3D23407B" w14:textId="77777777" w:rsidR="00313A96" w:rsidRDefault="00313A96" w:rsidP="00313A96">
      <w:pPr>
        <w:numPr>
          <w:ilvl w:val="0"/>
          <w:numId w:val="5"/>
        </w:numPr>
        <w:spacing w:line="360" w:lineRule="auto"/>
        <w:jc w:val="both"/>
      </w:pPr>
      <w:r>
        <w:rPr>
          <w:rtl/>
        </w:rPr>
        <w:t xml:space="preserve">בכרטיס אשראי – באתר המקוון של רשות האכיפה והגבייה, </w:t>
      </w:r>
      <w:hyperlink r:id="rId33" w:history="1">
        <w:r>
          <w:rPr>
            <w:rStyle w:val="Hyperlink"/>
          </w:rPr>
          <w:t>www.eca.gov.il</w:t>
        </w:r>
      </w:hyperlink>
      <w:r>
        <w:t xml:space="preserve"> </w:t>
      </w:r>
      <w:r>
        <w:rPr>
          <w:rtl/>
        </w:rPr>
        <w:t>.</w:t>
      </w:r>
    </w:p>
    <w:p w14:paraId="0C6D8A06" w14:textId="77777777" w:rsidR="00313A96" w:rsidRDefault="00313A96" w:rsidP="00313A96">
      <w:pPr>
        <w:numPr>
          <w:ilvl w:val="0"/>
          <w:numId w:val="5"/>
        </w:numPr>
        <w:spacing w:line="360" w:lineRule="auto"/>
        <w:jc w:val="both"/>
        <w:rPr>
          <w:rtl/>
        </w:rPr>
      </w:pPr>
      <w:r>
        <w:rPr>
          <w:rtl/>
        </w:rPr>
        <w:t>מוקד שירות טלפוני בשרות עצמי (מרכז גבייה)</w:t>
      </w:r>
      <w:r w:rsidR="003177C3">
        <w:rPr>
          <w:rtl/>
        </w:rPr>
        <w:t xml:space="preserve"> </w:t>
      </w:r>
      <w:r>
        <w:rPr>
          <w:rtl/>
        </w:rPr>
        <w:t xml:space="preserve"> – בטלפון 35592* או בטלפון 073-2055000</w:t>
      </w:r>
    </w:p>
    <w:p w14:paraId="6154CBC3" w14:textId="77777777" w:rsidR="00313A96" w:rsidRDefault="00313A96" w:rsidP="00313A96">
      <w:pPr>
        <w:numPr>
          <w:ilvl w:val="0"/>
          <w:numId w:val="5"/>
        </w:numPr>
        <w:spacing w:line="360" w:lineRule="auto"/>
        <w:jc w:val="both"/>
        <w:rPr>
          <w:rtl/>
        </w:rPr>
      </w:pPr>
      <w:r>
        <w:rPr>
          <w:rtl/>
        </w:rPr>
        <w:t>במזומן בכל סניף של בנק הדואר – בהצגת תעודת זהות בלבד (אין צורך בהצגת בשוברי תשלום).</w:t>
      </w:r>
    </w:p>
    <w:p w14:paraId="0D19F1E7" w14:textId="77777777" w:rsidR="00313A96" w:rsidRDefault="00313A96" w:rsidP="00313A96">
      <w:pPr>
        <w:rPr>
          <w:rFonts w:ascii="Arial" w:hAnsi="Arial" w:cs="Arial"/>
          <w:sz w:val="22"/>
          <w:szCs w:val="22"/>
        </w:rPr>
      </w:pPr>
    </w:p>
    <w:p w14:paraId="3761DA46" w14:textId="77777777" w:rsidR="00313A96" w:rsidRDefault="00313A96" w:rsidP="00313A96">
      <w:pPr>
        <w:numPr>
          <w:ilvl w:val="0"/>
          <w:numId w:val="4"/>
        </w:numPr>
        <w:tabs>
          <w:tab w:val="num" w:pos="716"/>
        </w:tabs>
        <w:spacing w:line="360" w:lineRule="auto"/>
        <w:ind w:left="925" w:hanging="539"/>
        <w:jc w:val="both"/>
      </w:pPr>
      <w:r>
        <w:rPr>
          <w:rtl/>
        </w:rPr>
        <w:t xml:space="preserve">הנאשם יצהיר בהתאם </w:t>
      </w:r>
      <w:hyperlink r:id="rId34" w:history="1">
        <w:r w:rsidR="00A30CD1" w:rsidRPr="00A30CD1">
          <w:rPr>
            <w:rStyle w:val="Hyperlink"/>
            <w:rtl/>
          </w:rPr>
          <w:t>לתקנות העונשין (התחייבות להימנע מעבירה),</w:t>
        </w:r>
      </w:hyperlink>
      <w:r>
        <w:rPr>
          <w:rtl/>
        </w:rPr>
        <w:t xml:space="preserve"> התש"ף-2019, על התחייבות כספית שלא לעבור כל עבירה על </w:t>
      </w:r>
      <w:hyperlink r:id="rId35" w:history="1">
        <w:r w:rsidR="003177C3" w:rsidRPr="003177C3">
          <w:rPr>
            <w:color w:val="0000FF"/>
            <w:u w:val="single"/>
            <w:rtl/>
          </w:rPr>
          <w:t>פקודת הסמים המסוכנים</w:t>
        </w:r>
      </w:hyperlink>
      <w:r>
        <w:rPr>
          <w:rtl/>
        </w:rPr>
        <w:t>. ההתחייבות תהא לתקופה של שנתיים מתום ריצוי מאסרו ובסך של 3,000 ₪.</w:t>
      </w:r>
    </w:p>
    <w:p w14:paraId="3FFF817A" w14:textId="77777777" w:rsidR="00313A96" w:rsidRDefault="00313A96" w:rsidP="00313A96">
      <w:pPr>
        <w:spacing w:line="360" w:lineRule="auto"/>
        <w:jc w:val="both"/>
        <w:rPr>
          <w:rFonts w:ascii="David" w:hAnsi="David"/>
        </w:rPr>
      </w:pPr>
    </w:p>
    <w:p w14:paraId="4816FB30" w14:textId="77777777" w:rsidR="00313A96" w:rsidRDefault="00313A96" w:rsidP="00313A96">
      <w:pPr>
        <w:spacing w:line="360" w:lineRule="auto"/>
        <w:jc w:val="both"/>
        <w:rPr>
          <w:rFonts w:ascii="David" w:hAnsi="David"/>
          <w:rtl/>
        </w:rPr>
      </w:pPr>
      <w:r>
        <w:rPr>
          <w:rFonts w:ascii="David" w:hAnsi="David"/>
          <w:rtl/>
        </w:rPr>
        <w:t xml:space="preserve">מורה על השמדת הסמים. לגבי ציוד המעבדה מורה על חילוטו או השמדתו בהתאם להחלטת קצין חקירות.  </w:t>
      </w:r>
    </w:p>
    <w:p w14:paraId="34AF406C" w14:textId="77777777" w:rsidR="00313A96" w:rsidRDefault="00313A96" w:rsidP="00313A96">
      <w:pPr>
        <w:spacing w:line="360" w:lineRule="auto"/>
        <w:jc w:val="both"/>
        <w:rPr>
          <w:rtl/>
        </w:rPr>
      </w:pPr>
    </w:p>
    <w:p w14:paraId="42473CDC" w14:textId="77777777" w:rsidR="00313A96" w:rsidRDefault="00313A96" w:rsidP="00313A96">
      <w:pPr>
        <w:spacing w:line="360" w:lineRule="auto"/>
        <w:jc w:val="both"/>
        <w:rPr>
          <w:rtl/>
        </w:rPr>
      </w:pPr>
      <w:r>
        <w:rPr>
          <w:rtl/>
        </w:rPr>
        <w:t>המזכירות תסגור את התיק.</w:t>
      </w:r>
    </w:p>
    <w:p w14:paraId="41F6A4A8" w14:textId="77777777" w:rsidR="00313A96" w:rsidRDefault="00313A96" w:rsidP="00313A96">
      <w:pPr>
        <w:rPr>
          <w:rtl/>
        </w:rPr>
      </w:pPr>
    </w:p>
    <w:p w14:paraId="2E17879D" w14:textId="77777777" w:rsidR="00313A96" w:rsidRDefault="00313A96" w:rsidP="00313A96">
      <w:pPr>
        <w:spacing w:line="360" w:lineRule="auto"/>
        <w:jc w:val="both"/>
        <w:rPr>
          <w:rFonts w:ascii="David" w:hAnsi="David"/>
        </w:rPr>
      </w:pPr>
      <w:r>
        <w:rPr>
          <w:rFonts w:ascii="David" w:hAnsi="David"/>
          <w:rtl/>
        </w:rPr>
        <w:t xml:space="preserve">הודעה זכות ערעור לבית-המשפט המחוזי תוך 45 ימים. </w:t>
      </w:r>
    </w:p>
    <w:p w14:paraId="57BA6FEB" w14:textId="77777777" w:rsidR="00313A96" w:rsidRDefault="00313A96" w:rsidP="00313A96">
      <w:pPr>
        <w:rPr>
          <w:rFonts w:ascii="Arial" w:hAnsi="Arial"/>
          <w:b/>
          <w:bCs/>
          <w:sz w:val="26"/>
          <w:szCs w:val="26"/>
          <w:rtl/>
        </w:rPr>
      </w:pPr>
    </w:p>
    <w:p w14:paraId="26647B11" w14:textId="77777777" w:rsidR="00313A96" w:rsidRPr="003177C3" w:rsidRDefault="003177C3" w:rsidP="00313A96">
      <w:pPr>
        <w:rPr>
          <w:rFonts w:ascii="Arial" w:hAnsi="Arial"/>
          <w:b/>
          <w:bCs/>
          <w:color w:val="FFFFFF"/>
          <w:sz w:val="2"/>
          <w:szCs w:val="2"/>
          <w:rtl/>
        </w:rPr>
      </w:pPr>
      <w:r w:rsidRPr="003177C3">
        <w:rPr>
          <w:rFonts w:ascii="Arial" w:hAnsi="Arial"/>
          <w:b/>
          <w:bCs/>
          <w:color w:val="FFFFFF"/>
          <w:sz w:val="2"/>
          <w:szCs w:val="2"/>
          <w:rtl/>
        </w:rPr>
        <w:t>5129371</w:t>
      </w:r>
    </w:p>
    <w:p w14:paraId="77D1F5D7" w14:textId="77777777" w:rsidR="00313A96" w:rsidRDefault="003177C3" w:rsidP="00313A96">
      <w:pPr>
        <w:rPr>
          <w:rFonts w:ascii="Arial" w:hAnsi="Arial"/>
          <w:b/>
          <w:bCs/>
          <w:sz w:val="26"/>
          <w:szCs w:val="26"/>
        </w:rPr>
      </w:pPr>
      <w:bookmarkStart w:id="8" w:name="Nitan"/>
      <w:r w:rsidRPr="003177C3">
        <w:rPr>
          <w:rFonts w:ascii="Arial" w:hAnsi="Arial"/>
          <w:b/>
          <w:bCs/>
          <w:color w:val="FFFFFF"/>
          <w:sz w:val="2"/>
          <w:szCs w:val="2"/>
          <w:rtl/>
        </w:rPr>
        <w:t>54678313</w:t>
      </w:r>
      <w:r>
        <w:rPr>
          <w:rFonts w:ascii="Arial" w:hAnsi="Arial"/>
          <w:b/>
          <w:bCs/>
          <w:sz w:val="26"/>
          <w:szCs w:val="26"/>
          <w:rtl/>
        </w:rPr>
        <w:t xml:space="preserve">ניתן היום,  י"ט כסלו תשפ"ג, 13 דצמבר 2022, בנוכחות הצדדים. </w:t>
      </w:r>
      <w:bookmarkEnd w:id="8"/>
    </w:p>
    <w:p w14:paraId="4CD141ED" w14:textId="77777777" w:rsidR="00313A96" w:rsidRDefault="00313A96" w:rsidP="003177C3">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12DAEEA7" w14:textId="77777777" w:rsidR="00313A96" w:rsidRDefault="00313A96" w:rsidP="00313A96">
      <w:pPr>
        <w:jc w:val="center"/>
        <w:rPr>
          <w:rFonts w:ascii="Arial" w:hAnsi="Arial"/>
          <w:b/>
          <w:bCs/>
          <w:sz w:val="26"/>
          <w:szCs w:val="26"/>
          <w:rtl/>
        </w:rPr>
      </w:pPr>
    </w:p>
    <w:p w14:paraId="74023011" w14:textId="77777777" w:rsidR="00313A96" w:rsidRPr="000F2247" w:rsidRDefault="00313A96" w:rsidP="00313A96">
      <w:pPr>
        <w:rPr>
          <w:rFonts w:ascii="Arial" w:hAnsi="Arial"/>
          <w:b/>
          <w:bCs/>
          <w:sz w:val="26"/>
          <w:szCs w:val="26"/>
          <w:rtl/>
        </w:rPr>
      </w:pPr>
    </w:p>
    <w:p w14:paraId="12FAED3F" w14:textId="77777777" w:rsidR="00313A96" w:rsidRPr="000F2247" w:rsidRDefault="00313A96" w:rsidP="00313A96">
      <w:pPr>
        <w:rPr>
          <w:rFonts w:ascii="Arial" w:hAnsi="Arial"/>
          <w:b/>
          <w:bCs/>
          <w:sz w:val="26"/>
          <w:szCs w:val="26"/>
          <w:rtl/>
        </w:rPr>
      </w:pPr>
    </w:p>
    <w:p w14:paraId="3F6C411C" w14:textId="77777777" w:rsidR="00281A7C" w:rsidRPr="003177C3" w:rsidRDefault="00281A7C" w:rsidP="003177C3">
      <w:pPr>
        <w:keepNext/>
        <w:rPr>
          <w:rFonts w:ascii="David" w:hAnsi="David"/>
          <w:color w:val="000000"/>
          <w:sz w:val="22"/>
          <w:szCs w:val="22"/>
          <w:rtl/>
        </w:rPr>
      </w:pPr>
    </w:p>
    <w:p w14:paraId="370AA3FE" w14:textId="77777777" w:rsidR="003177C3" w:rsidRPr="003177C3" w:rsidRDefault="003177C3" w:rsidP="003177C3">
      <w:pPr>
        <w:keepNext/>
        <w:rPr>
          <w:rFonts w:ascii="David" w:hAnsi="David"/>
          <w:color w:val="000000"/>
          <w:sz w:val="22"/>
          <w:szCs w:val="22"/>
          <w:rtl/>
        </w:rPr>
      </w:pPr>
      <w:r w:rsidRPr="003177C3">
        <w:rPr>
          <w:rFonts w:ascii="David" w:hAnsi="David"/>
          <w:color w:val="000000"/>
          <w:sz w:val="22"/>
          <w:szCs w:val="22"/>
          <w:rtl/>
        </w:rPr>
        <w:t>אבישי כהן 54678313</w:t>
      </w:r>
    </w:p>
    <w:p w14:paraId="2E42126E" w14:textId="77777777" w:rsidR="003177C3" w:rsidRDefault="003177C3" w:rsidP="003177C3">
      <w:r w:rsidRPr="003177C3">
        <w:rPr>
          <w:color w:val="000000"/>
          <w:rtl/>
        </w:rPr>
        <w:t>נוסח מסמך זה כפוף לשינויי ניסוח ועריכה</w:t>
      </w:r>
    </w:p>
    <w:p w14:paraId="37C9C08E" w14:textId="77777777" w:rsidR="003177C3" w:rsidRDefault="003177C3" w:rsidP="003177C3">
      <w:pPr>
        <w:rPr>
          <w:rtl/>
        </w:rPr>
      </w:pPr>
    </w:p>
    <w:p w14:paraId="51ECE313" w14:textId="77777777" w:rsidR="003177C3" w:rsidRDefault="003177C3" w:rsidP="003177C3">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7D0216E" w14:textId="77777777" w:rsidR="003177C3" w:rsidRPr="003177C3" w:rsidRDefault="003177C3" w:rsidP="003177C3">
      <w:pPr>
        <w:jc w:val="center"/>
        <w:rPr>
          <w:color w:val="0000FF"/>
          <w:u w:val="single"/>
        </w:rPr>
      </w:pPr>
    </w:p>
    <w:sectPr w:rsidR="003177C3" w:rsidRPr="003177C3" w:rsidSect="003177C3">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82AA8" w14:textId="77777777" w:rsidR="00CF0F8D" w:rsidRDefault="00CF0F8D" w:rsidP="00722CBC">
      <w:r>
        <w:separator/>
      </w:r>
    </w:p>
  </w:endnote>
  <w:endnote w:type="continuationSeparator" w:id="0">
    <w:p w14:paraId="6FF3B15B" w14:textId="77777777" w:rsidR="00CF0F8D" w:rsidRDefault="00CF0F8D" w:rsidP="0072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CEDCE" w14:textId="77777777" w:rsidR="003177C3" w:rsidRDefault="003177C3" w:rsidP="003177C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6BE2C3" w14:textId="77777777" w:rsidR="001675F7" w:rsidRPr="003177C3" w:rsidRDefault="003177C3" w:rsidP="003177C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235C7" w14:textId="77777777" w:rsidR="003177C3" w:rsidRDefault="003177C3" w:rsidP="003177C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3DF2">
      <w:rPr>
        <w:rFonts w:ascii="FrankRuehl" w:hAnsi="FrankRuehl" w:cs="FrankRuehl"/>
        <w:noProof/>
        <w:rtl/>
      </w:rPr>
      <w:t>1</w:t>
    </w:r>
    <w:r>
      <w:rPr>
        <w:rFonts w:ascii="FrankRuehl" w:hAnsi="FrankRuehl" w:cs="FrankRuehl"/>
        <w:rtl/>
      </w:rPr>
      <w:fldChar w:fldCharType="end"/>
    </w:r>
  </w:p>
  <w:p w14:paraId="16A5EA36" w14:textId="77777777" w:rsidR="001675F7" w:rsidRPr="003177C3" w:rsidRDefault="003177C3" w:rsidP="003177C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3133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0AF31" w14:textId="77777777" w:rsidR="00CF0F8D" w:rsidRDefault="00CF0F8D" w:rsidP="00722CBC">
      <w:r>
        <w:separator/>
      </w:r>
    </w:p>
  </w:footnote>
  <w:footnote w:type="continuationSeparator" w:id="0">
    <w:p w14:paraId="491472DB" w14:textId="77777777" w:rsidR="00CF0F8D" w:rsidRDefault="00CF0F8D" w:rsidP="00722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2C29" w14:textId="77777777" w:rsidR="003177C3" w:rsidRPr="003177C3" w:rsidRDefault="003177C3" w:rsidP="003177C3">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29177-05-21</w:t>
    </w:r>
    <w:r>
      <w:rPr>
        <w:rFonts w:ascii="David" w:hAnsi="David"/>
        <w:color w:val="000000"/>
        <w:sz w:val="22"/>
        <w:szCs w:val="22"/>
        <w:rtl/>
      </w:rPr>
      <w:tab/>
      <w:t xml:space="preserve"> מדינת ישראל נ' הילאל חמדיה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DDC63" w14:textId="77777777" w:rsidR="003177C3" w:rsidRPr="003177C3" w:rsidRDefault="003177C3" w:rsidP="003177C3">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29177-05-21</w:t>
    </w:r>
    <w:r>
      <w:rPr>
        <w:rFonts w:ascii="David" w:hAnsi="David"/>
        <w:color w:val="000000"/>
        <w:sz w:val="22"/>
        <w:szCs w:val="22"/>
        <w:rtl/>
      </w:rPr>
      <w:tab/>
      <w:t xml:space="preserve"> מדינת ישראל נ' הילאל חמדיה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43542A63"/>
    <w:multiLevelType w:val="hybridMultilevel"/>
    <w:tmpl w:val="6CA216FC"/>
    <w:lvl w:ilvl="0" w:tplc="0F8A6080">
      <w:start w:val="1"/>
      <w:numFmt w:val="decimal"/>
      <w:lvlText w:val="%1."/>
      <w:lvlJc w:val="left"/>
      <w:pPr>
        <w:ind w:left="1352" w:hanging="360"/>
      </w:pPr>
      <w:rPr>
        <w:b w:val="0"/>
        <w:bCs w:val="0"/>
      </w:rPr>
    </w:lvl>
    <w:lvl w:ilvl="1" w:tplc="BA8AEE14">
      <w:start w:val="1"/>
      <w:numFmt w:val="hebrew1"/>
      <w:lvlText w:val="%2."/>
      <w:lvlJc w:val="left"/>
      <w:pPr>
        <w:ind w:left="1440" w:hanging="360"/>
      </w:pPr>
      <w:rPr>
        <w:rFonts w:ascii="David" w:eastAsia="Calibri" w:hAnsi="David" w:cs="David"/>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25715F"/>
    <w:multiLevelType w:val="hybridMultilevel"/>
    <w:tmpl w:val="F0440B4E"/>
    <w:lvl w:ilvl="0" w:tplc="1A8236A6">
      <w:start w:val="1"/>
      <w:numFmt w:val="hebrew1"/>
      <w:lvlText w:val="%1."/>
      <w:lvlJc w:val="left"/>
      <w:pPr>
        <w:ind w:left="1712" w:hanging="360"/>
      </w:pPr>
      <w:rPr>
        <w:rFonts w:ascii="David" w:eastAsia="Times New Roman" w:hAnsi="David" w:cs="David"/>
        <w:u w:val="single"/>
      </w:rPr>
    </w:lvl>
    <w:lvl w:ilvl="1" w:tplc="04090019">
      <w:start w:val="1"/>
      <w:numFmt w:val="lowerLetter"/>
      <w:lvlText w:val="%2."/>
      <w:lvlJc w:val="left"/>
      <w:pPr>
        <w:ind w:left="2432" w:hanging="360"/>
      </w:pPr>
    </w:lvl>
    <w:lvl w:ilvl="2" w:tplc="0409001B">
      <w:start w:val="1"/>
      <w:numFmt w:val="lowerRoman"/>
      <w:lvlText w:val="%3."/>
      <w:lvlJc w:val="right"/>
      <w:pPr>
        <w:ind w:left="3152" w:hanging="180"/>
      </w:pPr>
    </w:lvl>
    <w:lvl w:ilvl="3" w:tplc="0409000F">
      <w:start w:val="1"/>
      <w:numFmt w:val="decimal"/>
      <w:lvlText w:val="%4."/>
      <w:lvlJc w:val="left"/>
      <w:pPr>
        <w:ind w:left="3872" w:hanging="360"/>
      </w:pPr>
    </w:lvl>
    <w:lvl w:ilvl="4" w:tplc="04090019">
      <w:start w:val="1"/>
      <w:numFmt w:val="lowerLetter"/>
      <w:lvlText w:val="%5."/>
      <w:lvlJc w:val="left"/>
      <w:pPr>
        <w:ind w:left="4592" w:hanging="360"/>
      </w:pPr>
    </w:lvl>
    <w:lvl w:ilvl="5" w:tplc="0409001B">
      <w:start w:val="1"/>
      <w:numFmt w:val="lowerRoman"/>
      <w:lvlText w:val="%6."/>
      <w:lvlJc w:val="right"/>
      <w:pPr>
        <w:ind w:left="5312" w:hanging="180"/>
      </w:pPr>
    </w:lvl>
    <w:lvl w:ilvl="6" w:tplc="0409000F">
      <w:start w:val="1"/>
      <w:numFmt w:val="decimal"/>
      <w:lvlText w:val="%7."/>
      <w:lvlJc w:val="left"/>
      <w:pPr>
        <w:ind w:left="6032" w:hanging="360"/>
      </w:pPr>
    </w:lvl>
    <w:lvl w:ilvl="7" w:tplc="04090019">
      <w:start w:val="1"/>
      <w:numFmt w:val="lowerLetter"/>
      <w:lvlText w:val="%8."/>
      <w:lvlJc w:val="left"/>
      <w:pPr>
        <w:ind w:left="6752" w:hanging="360"/>
      </w:pPr>
    </w:lvl>
    <w:lvl w:ilvl="8" w:tplc="0409001B">
      <w:start w:val="1"/>
      <w:numFmt w:val="lowerRoman"/>
      <w:lvlText w:val="%9."/>
      <w:lvlJc w:val="right"/>
      <w:pPr>
        <w:ind w:left="7472" w:hanging="180"/>
      </w:pPr>
    </w:lvl>
  </w:abstractNum>
  <w:num w:numId="1" w16cid:durableId="1147576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7872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68207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7400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008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3A96"/>
    <w:rsid w:val="00101D7D"/>
    <w:rsid w:val="001675F7"/>
    <w:rsid w:val="001B5A3B"/>
    <w:rsid w:val="00281A7C"/>
    <w:rsid w:val="002F1BF9"/>
    <w:rsid w:val="00313A96"/>
    <w:rsid w:val="003177C3"/>
    <w:rsid w:val="00444FAA"/>
    <w:rsid w:val="004E3DF2"/>
    <w:rsid w:val="004F375F"/>
    <w:rsid w:val="0066666B"/>
    <w:rsid w:val="00722CBC"/>
    <w:rsid w:val="00A30CD1"/>
    <w:rsid w:val="00CA0455"/>
    <w:rsid w:val="00CE57F4"/>
    <w:rsid w:val="00CF0F8D"/>
    <w:rsid w:val="00E910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32180F"/>
  <w15:chartTrackingRefBased/>
  <w15:docId w15:val="{8A195A01-7778-4DB0-B549-7676F886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13A9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13A96"/>
    <w:pPr>
      <w:tabs>
        <w:tab w:val="center" w:pos="4153"/>
        <w:tab w:val="right" w:pos="8306"/>
      </w:tabs>
    </w:pPr>
  </w:style>
  <w:style w:type="character" w:customStyle="1" w:styleId="a5">
    <w:name w:val="כותרת עליונה תו"/>
    <w:link w:val="a4"/>
    <w:rsid w:val="00313A96"/>
    <w:rPr>
      <w:rFonts w:ascii="Times New Roman" w:eastAsia="Times New Roman" w:hAnsi="Times New Roman" w:cs="David"/>
      <w:sz w:val="24"/>
      <w:szCs w:val="24"/>
    </w:rPr>
  </w:style>
  <w:style w:type="paragraph" w:styleId="a6">
    <w:name w:val="footer"/>
    <w:basedOn w:val="a0"/>
    <w:link w:val="a7"/>
    <w:rsid w:val="00313A96"/>
    <w:pPr>
      <w:tabs>
        <w:tab w:val="center" w:pos="4153"/>
        <w:tab w:val="right" w:pos="8306"/>
      </w:tabs>
    </w:pPr>
  </w:style>
  <w:style w:type="character" w:customStyle="1" w:styleId="a7">
    <w:name w:val="כותרת תחתונה תו"/>
    <w:link w:val="a6"/>
    <w:rsid w:val="00313A96"/>
    <w:rPr>
      <w:rFonts w:ascii="Times New Roman" w:eastAsia="Times New Roman" w:hAnsi="Times New Roman" w:cs="David"/>
      <w:sz w:val="24"/>
      <w:szCs w:val="24"/>
    </w:rPr>
  </w:style>
  <w:style w:type="table" w:styleId="a8">
    <w:name w:val="Table Grid"/>
    <w:basedOn w:val="a2"/>
    <w:rsid w:val="00313A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13A96"/>
  </w:style>
  <w:style w:type="character" w:styleId="Hyperlink">
    <w:name w:val="Hyperlink"/>
    <w:rsid w:val="00313A96"/>
    <w:rPr>
      <w:color w:val="0000FF"/>
      <w:u w:val="single"/>
    </w:rPr>
  </w:style>
  <w:style w:type="paragraph" w:styleId="aa">
    <w:name w:val="List Paragraph"/>
    <w:basedOn w:val="a0"/>
    <w:qFormat/>
    <w:rsid w:val="00313A96"/>
    <w:pPr>
      <w:spacing w:after="160" w:line="254" w:lineRule="auto"/>
      <w:ind w:left="720"/>
      <w:contextualSpacing/>
    </w:pPr>
    <w:rPr>
      <w:rFonts w:ascii="Calibri" w:eastAsia="Calibri" w:hAnsi="Calibri" w:cs="Arial"/>
      <w:sz w:val="22"/>
      <w:szCs w:val="22"/>
    </w:rPr>
  </w:style>
  <w:style w:type="paragraph" w:customStyle="1" w:styleId="a">
    <w:name w:val="ממוספר"/>
    <w:basedOn w:val="a0"/>
    <w:rsid w:val="00313A96"/>
    <w:pPr>
      <w:numPr>
        <w:numId w:val="1"/>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6772988" TargetMode="External"/><Relationship Id="rId39" Type="http://schemas.openxmlformats.org/officeDocument/2006/relationships/footer" Target="footer1.xml"/><Relationship Id="rId21" Type="http://schemas.openxmlformats.org/officeDocument/2006/relationships/hyperlink" Target="http://www.nevo.co.il/case/5681787" TargetMode="External"/><Relationship Id="rId34" Type="http://schemas.openxmlformats.org/officeDocument/2006/relationships/hyperlink" Target="http://www.nevo.co.il/law/163224"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70301/40jc.a" TargetMode="External"/><Relationship Id="rId29" Type="http://schemas.openxmlformats.org/officeDocument/2006/relationships/hyperlink" Target="http://www.nevo.co.il/law/70301/40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502816" TargetMode="External"/><Relationship Id="rId32" Type="http://schemas.openxmlformats.org/officeDocument/2006/relationships/hyperlink" Target="http://www.nevo.co.il/law/4216"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163224" TargetMode="External"/><Relationship Id="rId23" Type="http://schemas.openxmlformats.org/officeDocument/2006/relationships/hyperlink" Target="http://www.nevo.co.il/case/26246488" TargetMode="External"/><Relationship Id="rId28" Type="http://schemas.openxmlformats.org/officeDocument/2006/relationships/hyperlink" Target="http://www.nevo.co.il/case/28374949"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case/27313460" TargetMode="External"/><Relationship Id="rId27" Type="http://schemas.openxmlformats.org/officeDocument/2006/relationships/hyperlink" Target="http://www.nevo.co.il/case/28708953"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347635" TargetMode="External"/><Relationship Id="rId33" Type="http://schemas.openxmlformats.org/officeDocument/2006/relationships/hyperlink" Target="http://www.eca.gov.il"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2536</Words>
  <Characters>12683</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15189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4849744</vt:i4>
      </vt:variant>
      <vt:variant>
        <vt:i4>81</vt:i4>
      </vt:variant>
      <vt:variant>
        <vt:i4>0</vt:i4>
      </vt:variant>
      <vt:variant>
        <vt:i4>5</vt:i4>
      </vt:variant>
      <vt:variant>
        <vt:lpwstr>http://www.nevo.co.il/law/163224</vt:lpwstr>
      </vt:variant>
      <vt:variant>
        <vt:lpwstr/>
      </vt:variant>
      <vt:variant>
        <vt:i4>7864368</vt:i4>
      </vt:variant>
      <vt:variant>
        <vt:i4>78</vt:i4>
      </vt:variant>
      <vt:variant>
        <vt:i4>0</vt:i4>
      </vt:variant>
      <vt:variant>
        <vt:i4>5</vt:i4>
      </vt:variant>
      <vt:variant>
        <vt:lpwstr>http://www.eca.gov.il/</vt:lpwstr>
      </vt:variant>
      <vt:variant>
        <vt:lpwstr/>
      </vt:variant>
      <vt:variant>
        <vt:i4>8257637</vt:i4>
      </vt:variant>
      <vt:variant>
        <vt:i4>75</vt:i4>
      </vt:variant>
      <vt:variant>
        <vt:i4>0</vt:i4>
      </vt:variant>
      <vt:variant>
        <vt:i4>5</vt:i4>
      </vt:variant>
      <vt:variant>
        <vt:lpwstr>http://www.nevo.co.il/law/4216</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3211378</vt:i4>
      </vt:variant>
      <vt:variant>
        <vt:i4>63</vt:i4>
      </vt:variant>
      <vt:variant>
        <vt:i4>0</vt:i4>
      </vt:variant>
      <vt:variant>
        <vt:i4>5</vt:i4>
      </vt:variant>
      <vt:variant>
        <vt:lpwstr>http://www.nevo.co.il/case/28374949</vt:lpwstr>
      </vt:variant>
      <vt:variant>
        <vt:lpwstr/>
      </vt:variant>
      <vt:variant>
        <vt:i4>3670133</vt:i4>
      </vt:variant>
      <vt:variant>
        <vt:i4>60</vt:i4>
      </vt:variant>
      <vt:variant>
        <vt:i4>0</vt:i4>
      </vt:variant>
      <vt:variant>
        <vt:i4>5</vt:i4>
      </vt:variant>
      <vt:variant>
        <vt:lpwstr>http://www.nevo.co.il/case/28708953</vt:lpwstr>
      </vt:variant>
      <vt:variant>
        <vt:lpwstr/>
      </vt:variant>
      <vt:variant>
        <vt:i4>4128892</vt:i4>
      </vt:variant>
      <vt:variant>
        <vt:i4>57</vt:i4>
      </vt:variant>
      <vt:variant>
        <vt:i4>0</vt:i4>
      </vt:variant>
      <vt:variant>
        <vt:i4>5</vt:i4>
      </vt:variant>
      <vt:variant>
        <vt:lpwstr>http://www.nevo.co.il/case/26772988</vt:lpwstr>
      </vt:variant>
      <vt:variant>
        <vt:lpwstr/>
      </vt:variant>
      <vt:variant>
        <vt:i4>3473521</vt:i4>
      </vt:variant>
      <vt:variant>
        <vt:i4>54</vt:i4>
      </vt:variant>
      <vt:variant>
        <vt:i4>0</vt:i4>
      </vt:variant>
      <vt:variant>
        <vt:i4>5</vt:i4>
      </vt:variant>
      <vt:variant>
        <vt:lpwstr>http://www.nevo.co.il/case/27347635</vt:lpwstr>
      </vt:variant>
      <vt:variant>
        <vt:lpwstr/>
      </vt:variant>
      <vt:variant>
        <vt:i4>3407995</vt:i4>
      </vt:variant>
      <vt:variant>
        <vt:i4>51</vt:i4>
      </vt:variant>
      <vt:variant>
        <vt:i4>0</vt:i4>
      </vt:variant>
      <vt:variant>
        <vt:i4>5</vt:i4>
      </vt:variant>
      <vt:variant>
        <vt:lpwstr>http://www.nevo.co.il/case/27502816</vt:lpwstr>
      </vt:variant>
      <vt:variant>
        <vt:lpwstr/>
      </vt:variant>
      <vt:variant>
        <vt:i4>4063346</vt:i4>
      </vt:variant>
      <vt:variant>
        <vt:i4>48</vt:i4>
      </vt:variant>
      <vt:variant>
        <vt:i4>0</vt:i4>
      </vt:variant>
      <vt:variant>
        <vt:i4>5</vt:i4>
      </vt:variant>
      <vt:variant>
        <vt:lpwstr>http://www.nevo.co.il/case/26246488</vt:lpwstr>
      </vt:variant>
      <vt:variant>
        <vt:lpwstr/>
      </vt:variant>
      <vt:variant>
        <vt:i4>3407990</vt:i4>
      </vt:variant>
      <vt:variant>
        <vt:i4>45</vt:i4>
      </vt:variant>
      <vt:variant>
        <vt:i4>0</vt:i4>
      </vt:variant>
      <vt:variant>
        <vt:i4>5</vt:i4>
      </vt:variant>
      <vt:variant>
        <vt:lpwstr>http://www.nevo.co.il/case/27313460</vt:lpwstr>
      </vt:variant>
      <vt:variant>
        <vt:lpwstr/>
      </vt:variant>
      <vt:variant>
        <vt:i4>3997819</vt:i4>
      </vt:variant>
      <vt:variant>
        <vt:i4>42</vt:i4>
      </vt:variant>
      <vt:variant>
        <vt:i4>0</vt:i4>
      </vt:variant>
      <vt:variant>
        <vt:i4>5</vt:i4>
      </vt:variant>
      <vt:variant>
        <vt:lpwstr>http://www.nevo.co.il/case/5681787</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4849744</vt:i4>
      </vt:variant>
      <vt:variant>
        <vt:i4>24</vt:i4>
      </vt:variant>
      <vt:variant>
        <vt:i4>0</vt:i4>
      </vt:variant>
      <vt:variant>
        <vt:i4>5</vt:i4>
      </vt:variant>
      <vt:variant>
        <vt:lpwstr>http://www.nevo.co.il/law/163224</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29177</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הילאל חמדיה</vt:lpwstr>
  </property>
  <property fmtid="{D5CDD505-2E9C-101B-9397-08002B2CF9AE}" pid="10" name="LAWYER">
    <vt:lpwstr>ליטל פרץ; אפרת צרפתי;עינת בסרגליק</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20221213</vt:lpwstr>
  </property>
  <property fmtid="{D5CDD505-2E9C-101B-9397-08002B2CF9AE}" pid="14" name="TYPE_N_DATE">
    <vt:lpwstr>38020221213</vt:lpwstr>
  </property>
  <property fmtid="{D5CDD505-2E9C-101B-9397-08002B2CF9AE}" pid="15" name="WORDNUMPAGES">
    <vt:lpwstr>8</vt:lpwstr>
  </property>
  <property fmtid="{D5CDD505-2E9C-101B-9397-08002B2CF9AE}" pid="16" name="TYPE_ABS_DATE">
    <vt:lpwstr>380020221213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5681787;27313460;26246488;27502816;27347635;26772988;28708953;28374949</vt:lpwstr>
  </property>
  <property fmtid="{D5CDD505-2E9C-101B-9397-08002B2CF9AE}" pid="36" name="LAWLISTTMP1">
    <vt:lpwstr>4216/006;007.a;007.c</vt:lpwstr>
  </property>
  <property fmtid="{D5CDD505-2E9C-101B-9397-08002B2CF9AE}" pid="37" name="LAWLISTTMP2">
    <vt:lpwstr>70301/40jc.a;040i;40ja</vt:lpwstr>
  </property>
  <property fmtid="{D5CDD505-2E9C-101B-9397-08002B2CF9AE}" pid="38" name="LAWLISTTMP3">
    <vt:lpwstr>163224</vt:lpwstr>
  </property>
</Properties>
</file>