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B03C6" w:rsidRPr="00B44F47" w14:paraId="30E0A3B0" w14:textId="77777777" w:rsidTr="00A7519A">
        <w:trPr>
          <w:trHeight w:hRule="exact" w:val="418"/>
          <w:jc w:val="center"/>
        </w:trPr>
        <w:tc>
          <w:tcPr>
            <w:tcW w:w="8721" w:type="dxa"/>
            <w:gridSpan w:val="2"/>
          </w:tcPr>
          <w:p w14:paraId="235938B1" w14:textId="77777777" w:rsidR="00BB03C6" w:rsidRPr="00B44F47" w:rsidRDefault="00BB03C6" w:rsidP="00B42F91">
            <w:pPr>
              <w:pStyle w:val="a3"/>
              <w:jc w:val="center"/>
              <w:rPr>
                <w:rFonts w:ascii="Tahoma" w:hAnsi="Tahoma" w:cs="Tahoma"/>
                <w:color w:val="000080"/>
                <w:rtl/>
              </w:rPr>
            </w:pPr>
            <w:bookmarkStart w:id="0" w:name="FirstLawyer"/>
            <w:bookmarkStart w:id="1" w:name="LastJudge"/>
            <w:r w:rsidRPr="00B44F47">
              <w:rPr>
                <w:rFonts w:ascii="Tahoma" w:hAnsi="Tahoma" w:cs="Tahoma"/>
                <w:b/>
                <w:bCs/>
                <w:color w:val="000080"/>
                <w:rtl/>
              </w:rPr>
              <w:t>בית משפט השלום בירושלים</w:t>
            </w:r>
          </w:p>
        </w:tc>
      </w:tr>
      <w:tr w:rsidR="00BB03C6" w:rsidRPr="00B44F47" w14:paraId="56DB745A" w14:textId="77777777" w:rsidTr="00A7519A">
        <w:trPr>
          <w:trHeight w:val="337"/>
          <w:jc w:val="center"/>
        </w:trPr>
        <w:tc>
          <w:tcPr>
            <w:tcW w:w="5054" w:type="dxa"/>
          </w:tcPr>
          <w:p w14:paraId="34F4520F" w14:textId="77777777" w:rsidR="00BB03C6" w:rsidRPr="00B44F47" w:rsidRDefault="00BB03C6" w:rsidP="00B42F91">
            <w:pPr>
              <w:rPr>
                <w:rFonts w:cs="FrankRuehl"/>
                <w:sz w:val="28"/>
                <w:szCs w:val="28"/>
                <w:rtl/>
              </w:rPr>
            </w:pPr>
            <w:r w:rsidRPr="00B44F47">
              <w:rPr>
                <w:rFonts w:cs="FrankRuehl"/>
                <w:sz w:val="28"/>
                <w:szCs w:val="28"/>
                <w:rtl/>
              </w:rPr>
              <w:t>ת"פ</w:t>
            </w:r>
            <w:r w:rsidRPr="00B44F47">
              <w:rPr>
                <w:rFonts w:cs="FrankRuehl" w:hint="cs"/>
                <w:sz w:val="28"/>
                <w:szCs w:val="28"/>
                <w:rtl/>
              </w:rPr>
              <w:t xml:space="preserve"> </w:t>
            </w:r>
            <w:r w:rsidRPr="00B44F47">
              <w:rPr>
                <w:rFonts w:cs="FrankRuehl"/>
                <w:sz w:val="28"/>
                <w:szCs w:val="28"/>
                <w:rtl/>
              </w:rPr>
              <w:t>43544-05-21</w:t>
            </w:r>
            <w:r w:rsidRPr="00B44F47">
              <w:rPr>
                <w:rFonts w:cs="FrankRuehl" w:hint="cs"/>
                <w:sz w:val="28"/>
                <w:szCs w:val="28"/>
                <w:rtl/>
              </w:rPr>
              <w:t xml:space="preserve"> </w:t>
            </w:r>
            <w:r w:rsidRPr="00B44F47">
              <w:rPr>
                <w:rFonts w:cs="FrankRuehl"/>
                <w:sz w:val="28"/>
                <w:szCs w:val="28"/>
                <w:rtl/>
              </w:rPr>
              <w:t>מדינת ישראל נ' פקר</w:t>
            </w:r>
            <w:r w:rsidRPr="00B44F47">
              <w:rPr>
                <w:rtl/>
              </w:rPr>
              <w:br/>
            </w:r>
            <w:r w:rsidRPr="00B44F47">
              <w:rPr>
                <w:rFonts w:hint="cs"/>
                <w:rtl/>
              </w:rPr>
              <w:t xml:space="preserve">ת"פ </w:t>
            </w:r>
            <w:r w:rsidRPr="00B44F47">
              <w:rPr>
                <w:rFonts w:cs="FrankRuehl"/>
                <w:sz w:val="28"/>
                <w:szCs w:val="28"/>
                <w:rtl/>
              </w:rPr>
              <w:t>64081-07-18</w:t>
            </w:r>
            <w:r w:rsidRPr="00B44F47">
              <w:rPr>
                <w:rFonts w:cs="FrankRuehl" w:hint="cs"/>
                <w:sz w:val="28"/>
                <w:szCs w:val="28"/>
                <w:rtl/>
              </w:rPr>
              <w:t xml:space="preserve"> מדינת ישראל נ' פקר</w:t>
            </w:r>
          </w:p>
          <w:p w14:paraId="1BFCC8FE" w14:textId="77777777" w:rsidR="00BB03C6" w:rsidRPr="00B44F47" w:rsidRDefault="00BB03C6" w:rsidP="00B42F91">
            <w:pPr>
              <w:pStyle w:val="a3"/>
              <w:rPr>
                <w:rFonts w:cs="FrankRuehl"/>
                <w:sz w:val="28"/>
                <w:szCs w:val="28"/>
                <w:rtl/>
              </w:rPr>
            </w:pPr>
          </w:p>
        </w:tc>
        <w:tc>
          <w:tcPr>
            <w:tcW w:w="3667" w:type="dxa"/>
          </w:tcPr>
          <w:p w14:paraId="4BB76CF3" w14:textId="77777777" w:rsidR="00BB03C6" w:rsidRPr="00B44F47" w:rsidRDefault="00BB03C6" w:rsidP="00B42F91">
            <w:pPr>
              <w:pStyle w:val="a3"/>
              <w:jc w:val="right"/>
              <w:rPr>
                <w:rFonts w:cs="FrankRuehl"/>
                <w:sz w:val="28"/>
                <w:szCs w:val="28"/>
                <w:rtl/>
              </w:rPr>
            </w:pPr>
          </w:p>
        </w:tc>
      </w:tr>
    </w:tbl>
    <w:p w14:paraId="3C0B84E0" w14:textId="77777777" w:rsidR="00BB03C6" w:rsidRPr="00B44F47" w:rsidRDefault="00BB03C6" w:rsidP="00BB03C6">
      <w:pPr>
        <w:pStyle w:val="a3"/>
        <w:rPr>
          <w:rtl/>
        </w:rPr>
      </w:pPr>
      <w:r w:rsidRPr="00B44F47">
        <w:rPr>
          <w:rFonts w:hint="cs"/>
          <w:rtl/>
        </w:rPr>
        <w:t xml:space="preserve"> </w:t>
      </w:r>
    </w:p>
    <w:p w14:paraId="20F55999" w14:textId="77777777" w:rsidR="00BB03C6" w:rsidRPr="00B44F47" w:rsidRDefault="00BB03C6" w:rsidP="00BB03C6">
      <w:pPr>
        <w:rPr>
          <w:rtl/>
        </w:rPr>
      </w:pPr>
    </w:p>
    <w:p w14:paraId="7F7AFC59" w14:textId="77777777" w:rsidR="00BB03C6" w:rsidRPr="00B44F47" w:rsidRDefault="00BB03C6" w:rsidP="00BB03C6">
      <w:pPr>
        <w:rPr>
          <w:rtl/>
        </w:rPr>
      </w:pPr>
    </w:p>
    <w:p w14:paraId="2C2FE442" w14:textId="77777777" w:rsidR="00A7519A" w:rsidRPr="00B44F47" w:rsidRDefault="00A7519A" w:rsidP="00B42F91">
      <w:pPr>
        <w:rPr>
          <w:rFonts w:ascii="FrankRuehl" w:hAnsi="FrankRuehl" w:cs="FrankRuehl"/>
          <w:b/>
          <w:bCs/>
          <w:sz w:val="28"/>
          <w:szCs w:val="28"/>
          <w:rtl/>
        </w:rPr>
      </w:pPr>
      <w:bookmarkStart w:id="2" w:name="FirstAppellant"/>
      <w:r w:rsidRPr="00B44F47">
        <w:rPr>
          <w:rFonts w:ascii="FrankRuehl" w:hAnsi="FrankRuehl" w:cs="FrankRuehl"/>
          <w:b/>
          <w:bCs/>
          <w:sz w:val="28"/>
          <w:szCs w:val="28"/>
          <w:rtl/>
        </w:rPr>
        <w:t xml:space="preserve">בפני </w:t>
      </w:r>
      <w:r w:rsidRPr="00B44F47">
        <w:rPr>
          <w:rFonts w:ascii="FrankRuehl" w:hAnsi="FrankRuehl" w:cs="FrankRuehl"/>
          <w:b/>
          <w:bCs/>
          <w:sz w:val="28"/>
          <w:szCs w:val="28"/>
        </w:rPr>
        <w:t>-</w:t>
      </w:r>
      <w:r w:rsidRPr="00B44F47">
        <w:rPr>
          <w:rFonts w:ascii="FrankRuehl" w:hAnsi="FrankRuehl" w:cs="FrankRuehl"/>
          <w:b/>
          <w:bCs/>
          <w:sz w:val="28"/>
          <w:szCs w:val="28"/>
          <w:rtl/>
        </w:rPr>
        <w:t>כבוד השופט  דוד שאול גבאי ריכטר</w:t>
      </w:r>
    </w:p>
    <w:p w14:paraId="4454909E" w14:textId="77777777" w:rsidR="00A7519A" w:rsidRPr="00B44F47" w:rsidRDefault="00A7519A" w:rsidP="00B42F91">
      <w:pPr>
        <w:rPr>
          <w:rFonts w:ascii="FrankRuehl" w:hAnsi="FrankRuehl" w:cs="FrankRuehl"/>
          <w:b/>
          <w:bCs/>
          <w:sz w:val="28"/>
          <w:szCs w:val="28"/>
        </w:rPr>
      </w:pPr>
    </w:p>
    <w:p w14:paraId="7B3CD2AA" w14:textId="77777777" w:rsidR="00A7519A" w:rsidRPr="00B44F47" w:rsidRDefault="00A7519A" w:rsidP="00B42F91">
      <w:pPr>
        <w:rPr>
          <w:rFonts w:ascii="FrankRuehl" w:hAnsi="FrankRuehl" w:cs="FrankRuehl"/>
          <w:b/>
          <w:bCs/>
          <w:sz w:val="28"/>
          <w:szCs w:val="28"/>
          <w:rtl/>
        </w:rPr>
      </w:pPr>
    </w:p>
    <w:p w14:paraId="676AB8B8" w14:textId="77777777" w:rsidR="00A7519A" w:rsidRPr="00B44F47" w:rsidRDefault="00A7519A" w:rsidP="00B42F91">
      <w:pPr>
        <w:rPr>
          <w:rFonts w:ascii="FrankRuehl" w:hAnsi="FrankRuehl" w:cs="FrankRuehl"/>
          <w:b/>
          <w:bCs/>
          <w:sz w:val="28"/>
          <w:szCs w:val="28"/>
        </w:rPr>
      </w:pPr>
      <w:r w:rsidRPr="00B44F47">
        <w:rPr>
          <w:rFonts w:ascii="FrankRuehl" w:hAnsi="FrankRuehl" w:cs="FrankRuehl"/>
          <w:b/>
          <w:bCs/>
          <w:sz w:val="28"/>
          <w:szCs w:val="28"/>
          <w:rtl/>
        </w:rPr>
        <w:t>בעניין:-מדינת ישראל</w:t>
      </w:r>
      <w:r w:rsidRPr="00B44F47">
        <w:rPr>
          <w:rFonts w:ascii="FrankRuehl" w:hAnsi="FrankRuehl" w:cs="FrankRuehl"/>
          <w:b/>
          <w:bCs/>
          <w:sz w:val="28"/>
          <w:szCs w:val="28"/>
          <w:rtl/>
        </w:rPr>
        <w:br/>
        <w:t>ע"י תביעות ירושלים</w:t>
      </w:r>
      <w:r w:rsidRPr="00B44F47">
        <w:rPr>
          <w:rFonts w:ascii="FrankRuehl" w:hAnsi="FrankRuehl" w:cs="FrankRuehl"/>
          <w:b/>
          <w:bCs/>
          <w:sz w:val="28"/>
          <w:szCs w:val="28"/>
        </w:rPr>
        <w:t>-</w:t>
      </w:r>
    </w:p>
    <w:p w14:paraId="043D5984" w14:textId="77777777" w:rsidR="00A7519A" w:rsidRPr="00B44F47" w:rsidRDefault="00A7519A" w:rsidP="00B42F91">
      <w:pPr>
        <w:rPr>
          <w:rFonts w:ascii="FrankRuehl" w:hAnsi="FrankRuehl" w:cs="FrankRuehl"/>
          <w:b/>
          <w:bCs/>
          <w:sz w:val="28"/>
          <w:szCs w:val="28"/>
          <w:rtl/>
        </w:rPr>
      </w:pPr>
      <w:r w:rsidRPr="00B44F47">
        <w:rPr>
          <w:rFonts w:ascii="FrankRuehl" w:hAnsi="FrankRuehl" w:cs="FrankRuehl"/>
          <w:b/>
          <w:bCs/>
          <w:sz w:val="28"/>
          <w:szCs w:val="28"/>
        </w:rPr>
        <w:t>--</w:t>
      </w:r>
      <w:r w:rsidRPr="00B44F47">
        <w:rPr>
          <w:rFonts w:ascii="FrankRuehl" w:hAnsi="FrankRuehl" w:cs="FrankRuehl"/>
          <w:b/>
          <w:bCs/>
          <w:sz w:val="28"/>
          <w:szCs w:val="28"/>
          <w:rtl/>
        </w:rPr>
        <w:t xml:space="preserve">           המאשימה</w:t>
      </w:r>
    </w:p>
    <w:p w14:paraId="409FDB4B" w14:textId="77777777" w:rsidR="00A7519A" w:rsidRPr="00B44F47" w:rsidRDefault="00A7519A" w:rsidP="00B42F91">
      <w:pPr>
        <w:rPr>
          <w:rFonts w:ascii="FrankRuehl" w:hAnsi="FrankRuehl" w:cs="FrankRuehl"/>
          <w:b/>
          <w:bCs/>
          <w:sz w:val="28"/>
          <w:szCs w:val="28"/>
          <w:rtl/>
        </w:rPr>
      </w:pPr>
      <w:r w:rsidRPr="00B44F47">
        <w:rPr>
          <w:rFonts w:ascii="FrankRuehl" w:hAnsi="FrankRuehl" w:cs="FrankRuehl"/>
          <w:b/>
          <w:bCs/>
          <w:sz w:val="28"/>
          <w:szCs w:val="28"/>
          <w:rtl/>
        </w:rPr>
        <w:t>-</w:t>
      </w:r>
    </w:p>
    <w:bookmarkEnd w:id="2"/>
    <w:p w14:paraId="4FACAAE1" w14:textId="77777777" w:rsidR="00A7519A" w:rsidRPr="00B44F47" w:rsidRDefault="00A7519A" w:rsidP="00B42F91">
      <w:pPr>
        <w:rPr>
          <w:rFonts w:ascii="FrankRuehl" w:hAnsi="FrankRuehl" w:cs="FrankRuehl"/>
          <w:b/>
          <w:bCs/>
          <w:sz w:val="28"/>
          <w:szCs w:val="28"/>
          <w:rtl/>
        </w:rPr>
      </w:pPr>
      <w:r w:rsidRPr="00B44F47">
        <w:rPr>
          <w:rFonts w:ascii="FrankRuehl" w:hAnsi="FrankRuehl" w:cs="FrankRuehl"/>
          <w:b/>
          <w:bCs/>
          <w:sz w:val="28"/>
          <w:szCs w:val="28"/>
          <w:rtl/>
        </w:rPr>
        <w:t>נגד</w:t>
      </w:r>
    </w:p>
    <w:p w14:paraId="2E246363" w14:textId="77777777" w:rsidR="00A7519A" w:rsidRPr="00B44F47" w:rsidRDefault="00A7519A" w:rsidP="00B42F91">
      <w:pPr>
        <w:rPr>
          <w:rFonts w:ascii="FrankRuehl" w:hAnsi="FrankRuehl" w:cs="FrankRuehl"/>
          <w:b/>
          <w:bCs/>
          <w:sz w:val="28"/>
          <w:szCs w:val="28"/>
          <w:rtl/>
        </w:rPr>
      </w:pPr>
    </w:p>
    <w:p w14:paraId="4505AB26" w14:textId="77777777" w:rsidR="00A7519A" w:rsidRPr="00B44F47" w:rsidRDefault="00A7519A" w:rsidP="00B42F91">
      <w:pPr>
        <w:rPr>
          <w:rFonts w:ascii="FrankRuehl" w:hAnsi="FrankRuehl" w:cs="FrankRuehl"/>
          <w:b/>
          <w:bCs/>
          <w:sz w:val="28"/>
          <w:szCs w:val="28"/>
          <w:rtl/>
        </w:rPr>
      </w:pPr>
      <w:r w:rsidRPr="00B44F47">
        <w:rPr>
          <w:rFonts w:ascii="FrankRuehl" w:hAnsi="FrankRuehl" w:cs="FrankRuehl"/>
          <w:b/>
          <w:bCs/>
          <w:sz w:val="28"/>
          <w:szCs w:val="28"/>
          <w:rtl/>
        </w:rPr>
        <w:t xml:space="preserve">-נתנאל פקר </w:t>
      </w:r>
      <w:r w:rsidRPr="00B44F47">
        <w:rPr>
          <w:rFonts w:ascii="FrankRuehl" w:hAnsi="FrankRuehl" w:cs="FrankRuehl"/>
          <w:b/>
          <w:bCs/>
          <w:sz w:val="28"/>
          <w:szCs w:val="28"/>
          <w:rtl/>
        </w:rPr>
        <w:br/>
        <w:t>ע"י ב"כ עו"ד חגית רייזמן</w:t>
      </w:r>
      <w:r w:rsidRPr="00B44F47">
        <w:rPr>
          <w:rFonts w:ascii="FrankRuehl" w:hAnsi="FrankRuehl" w:cs="FrankRuehl"/>
          <w:b/>
          <w:bCs/>
          <w:sz w:val="28"/>
          <w:szCs w:val="28"/>
        </w:rPr>
        <w:t>-</w:t>
      </w:r>
    </w:p>
    <w:p w14:paraId="0583B703" w14:textId="77777777" w:rsidR="00A7519A" w:rsidRPr="00B44F47" w:rsidRDefault="00A7519A" w:rsidP="00B42F91">
      <w:pPr>
        <w:rPr>
          <w:rFonts w:ascii="FrankRuehl" w:hAnsi="FrankRuehl" w:cs="FrankRuehl"/>
          <w:b/>
          <w:bCs/>
          <w:sz w:val="28"/>
          <w:szCs w:val="28"/>
          <w:rtl/>
        </w:rPr>
      </w:pPr>
      <w:r w:rsidRPr="00B44F47">
        <w:rPr>
          <w:rFonts w:ascii="FrankRuehl" w:hAnsi="FrankRuehl" w:cs="FrankRuehl"/>
          <w:b/>
          <w:bCs/>
          <w:sz w:val="28"/>
          <w:szCs w:val="28"/>
          <w:rtl/>
        </w:rPr>
        <w:t>-</w:t>
      </w:r>
      <w:r w:rsidRPr="00B44F47">
        <w:rPr>
          <w:rFonts w:ascii="FrankRuehl" w:hAnsi="FrankRuehl" w:cs="FrankRuehl"/>
          <w:b/>
          <w:bCs/>
          <w:sz w:val="28"/>
          <w:szCs w:val="28"/>
        </w:rPr>
        <w:t>-</w:t>
      </w:r>
      <w:r w:rsidRPr="00B44F47">
        <w:rPr>
          <w:rFonts w:ascii="FrankRuehl" w:hAnsi="FrankRuehl" w:cs="FrankRuehl"/>
          <w:b/>
          <w:bCs/>
          <w:sz w:val="28"/>
          <w:szCs w:val="28"/>
          <w:rtl/>
        </w:rPr>
        <w:t xml:space="preserve">            הנאשם</w:t>
      </w:r>
    </w:p>
    <w:p w14:paraId="29109847" w14:textId="77777777" w:rsidR="00A7519A" w:rsidRDefault="00A7519A" w:rsidP="00B44F47">
      <w:pPr>
        <w:spacing w:before="120" w:after="120" w:line="240" w:lineRule="exact"/>
        <w:ind w:left="283" w:hanging="283"/>
        <w:jc w:val="both"/>
        <w:rPr>
          <w:rFonts w:ascii="David" w:hAnsi="David"/>
          <w:sz w:val="26"/>
          <w:szCs w:val="26"/>
          <w:rtl/>
        </w:rPr>
      </w:pPr>
    </w:p>
    <w:p w14:paraId="7CAE9961" w14:textId="77777777" w:rsidR="00A7519A" w:rsidRPr="00A7519A" w:rsidRDefault="00A7519A" w:rsidP="00A7519A">
      <w:pPr>
        <w:spacing w:before="120" w:after="120" w:line="240" w:lineRule="exact"/>
        <w:ind w:left="283" w:hanging="283"/>
        <w:jc w:val="both"/>
        <w:rPr>
          <w:rFonts w:ascii="FrankRuehl" w:hAnsi="FrankRuehl" w:cs="FrankRuehl"/>
          <w:rtl/>
        </w:rPr>
      </w:pPr>
    </w:p>
    <w:p w14:paraId="513F2A47" w14:textId="77777777" w:rsidR="002A1510" w:rsidRPr="002A1510" w:rsidRDefault="002A1510" w:rsidP="002A1510">
      <w:pPr>
        <w:spacing w:before="120" w:after="120" w:line="240" w:lineRule="exact"/>
        <w:ind w:left="283" w:hanging="283"/>
        <w:jc w:val="both"/>
        <w:rPr>
          <w:rFonts w:ascii="FrankRuehl" w:hAnsi="FrankRuehl" w:cs="FrankRuehl"/>
          <w:rtl/>
        </w:rPr>
      </w:pPr>
    </w:p>
    <w:p w14:paraId="7F45D25C" w14:textId="77777777" w:rsidR="00662EAC" w:rsidRDefault="00662EAC" w:rsidP="00662EAC">
      <w:pPr>
        <w:rPr>
          <w:sz w:val="26"/>
          <w:szCs w:val="26"/>
          <w:rtl/>
        </w:rPr>
      </w:pPr>
      <w:bookmarkStart w:id="3" w:name="LawTable"/>
      <w:bookmarkEnd w:id="3"/>
    </w:p>
    <w:p w14:paraId="34A41B31" w14:textId="77777777" w:rsidR="00662EAC" w:rsidRPr="00662EAC" w:rsidRDefault="00662EAC" w:rsidP="00662EAC">
      <w:pPr>
        <w:spacing w:before="120" w:after="120" w:line="240" w:lineRule="exact"/>
        <w:ind w:left="283" w:hanging="283"/>
        <w:jc w:val="both"/>
        <w:rPr>
          <w:rFonts w:ascii="FrankRuehl" w:hAnsi="FrankRuehl" w:cs="FrankRuehl"/>
          <w:rtl/>
        </w:rPr>
      </w:pPr>
    </w:p>
    <w:p w14:paraId="16B405BD" w14:textId="77777777" w:rsidR="00662EAC" w:rsidRPr="00662EAC" w:rsidRDefault="00662EAC" w:rsidP="00662EAC">
      <w:pPr>
        <w:spacing w:before="120" w:after="120" w:line="240" w:lineRule="exact"/>
        <w:ind w:left="283" w:hanging="283"/>
        <w:jc w:val="both"/>
        <w:rPr>
          <w:rFonts w:ascii="FrankRuehl" w:hAnsi="FrankRuehl" w:cs="FrankRuehl"/>
          <w:rtl/>
        </w:rPr>
      </w:pPr>
    </w:p>
    <w:p w14:paraId="134CDC75" w14:textId="77777777" w:rsidR="00662EAC" w:rsidRPr="00662EAC" w:rsidRDefault="00662EAC" w:rsidP="00662EAC">
      <w:pPr>
        <w:spacing w:before="120" w:after="120" w:line="240" w:lineRule="exact"/>
        <w:ind w:left="283" w:hanging="283"/>
        <w:jc w:val="both"/>
        <w:rPr>
          <w:rFonts w:ascii="FrankRuehl" w:hAnsi="FrankRuehl" w:cs="FrankRuehl"/>
          <w:rtl/>
        </w:rPr>
      </w:pPr>
      <w:r w:rsidRPr="00662EAC">
        <w:rPr>
          <w:rFonts w:ascii="FrankRuehl" w:hAnsi="FrankRuehl" w:cs="FrankRuehl"/>
          <w:rtl/>
        </w:rPr>
        <w:t xml:space="preserve">חקיקה שאוזכרה: </w:t>
      </w:r>
    </w:p>
    <w:p w14:paraId="06B24235" w14:textId="77777777" w:rsidR="00662EAC" w:rsidRPr="00662EAC" w:rsidRDefault="00662EAC" w:rsidP="00662EAC">
      <w:pPr>
        <w:spacing w:before="120" w:after="120" w:line="240" w:lineRule="exact"/>
        <w:ind w:left="283" w:hanging="283"/>
        <w:jc w:val="both"/>
        <w:rPr>
          <w:rFonts w:ascii="FrankRuehl" w:hAnsi="FrankRuehl" w:cs="FrankRuehl"/>
          <w:rtl/>
        </w:rPr>
      </w:pPr>
      <w:hyperlink r:id="rId7" w:history="1">
        <w:r w:rsidRPr="00662EAC">
          <w:rPr>
            <w:rFonts w:ascii="FrankRuehl" w:hAnsi="FrankRuehl" w:cs="FrankRuehl"/>
            <w:color w:val="0000FF"/>
            <w:rtl/>
          </w:rPr>
          <w:t>פקודת הסמים המסוכנים [נוסח חדש], תשל"ג-1973</w:t>
        </w:r>
      </w:hyperlink>
      <w:r w:rsidRPr="00662EAC">
        <w:rPr>
          <w:rFonts w:ascii="FrankRuehl" w:hAnsi="FrankRuehl" w:cs="FrankRuehl"/>
          <w:rtl/>
        </w:rPr>
        <w:t xml:space="preserve">: סע'  </w:t>
      </w:r>
      <w:hyperlink r:id="rId8" w:history="1">
        <w:r w:rsidRPr="00662EAC">
          <w:rPr>
            <w:rFonts w:ascii="FrankRuehl" w:hAnsi="FrankRuehl" w:cs="FrankRuehl"/>
            <w:color w:val="0000FF"/>
            <w:rtl/>
          </w:rPr>
          <w:t>7(א)</w:t>
        </w:r>
      </w:hyperlink>
      <w:r w:rsidRPr="00662EAC">
        <w:rPr>
          <w:rFonts w:ascii="FrankRuehl" w:hAnsi="FrankRuehl" w:cs="FrankRuehl"/>
          <w:rtl/>
        </w:rPr>
        <w:t xml:space="preserve">, </w:t>
      </w:r>
      <w:hyperlink r:id="rId9" w:history="1">
        <w:r w:rsidRPr="00662EAC">
          <w:rPr>
            <w:rFonts w:ascii="FrankRuehl" w:hAnsi="FrankRuehl" w:cs="FrankRuehl"/>
            <w:color w:val="0000FF"/>
            <w:rtl/>
          </w:rPr>
          <w:t>7(ג)</w:t>
        </w:r>
      </w:hyperlink>
      <w:r w:rsidRPr="00662EAC">
        <w:rPr>
          <w:rFonts w:ascii="FrankRuehl" w:hAnsi="FrankRuehl" w:cs="FrankRuehl"/>
          <w:rtl/>
        </w:rPr>
        <w:t xml:space="preserve">, </w:t>
      </w:r>
      <w:hyperlink r:id="rId10" w:history="1">
        <w:r w:rsidRPr="00662EAC">
          <w:rPr>
            <w:rFonts w:ascii="FrankRuehl" w:hAnsi="FrankRuehl" w:cs="FrankRuehl"/>
            <w:color w:val="0000FF"/>
            <w:rtl/>
          </w:rPr>
          <w:t>13</w:t>
        </w:r>
      </w:hyperlink>
      <w:r w:rsidRPr="00662EAC">
        <w:rPr>
          <w:rFonts w:ascii="FrankRuehl" w:hAnsi="FrankRuehl" w:cs="FrankRuehl"/>
          <w:rtl/>
        </w:rPr>
        <w:t xml:space="preserve">, </w:t>
      </w:r>
      <w:hyperlink r:id="rId11" w:history="1">
        <w:r w:rsidRPr="00662EAC">
          <w:rPr>
            <w:rFonts w:ascii="FrankRuehl" w:hAnsi="FrankRuehl" w:cs="FrankRuehl"/>
            <w:color w:val="0000FF"/>
            <w:rtl/>
          </w:rPr>
          <w:t>19(א)</w:t>
        </w:r>
      </w:hyperlink>
    </w:p>
    <w:p w14:paraId="7FA2AC96" w14:textId="77777777" w:rsidR="00662EAC" w:rsidRPr="00662EAC" w:rsidRDefault="00662EAC" w:rsidP="00662EAC">
      <w:pPr>
        <w:spacing w:before="120" w:after="120" w:line="240" w:lineRule="exact"/>
        <w:ind w:left="283" w:hanging="283"/>
        <w:jc w:val="both"/>
        <w:rPr>
          <w:rFonts w:ascii="FrankRuehl" w:hAnsi="FrankRuehl" w:cs="FrankRuehl"/>
          <w:rtl/>
        </w:rPr>
      </w:pPr>
      <w:hyperlink r:id="rId12" w:history="1">
        <w:r w:rsidRPr="00662EAC">
          <w:rPr>
            <w:rFonts w:ascii="FrankRuehl" w:hAnsi="FrankRuehl" w:cs="FrankRuehl"/>
            <w:color w:val="0000FF"/>
            <w:rtl/>
          </w:rPr>
          <w:t>חוק העונשין, תשל"ז-1977</w:t>
        </w:r>
      </w:hyperlink>
      <w:r w:rsidRPr="00662EAC">
        <w:rPr>
          <w:rFonts w:ascii="FrankRuehl" w:hAnsi="FrankRuehl" w:cs="FrankRuehl"/>
          <w:rtl/>
        </w:rPr>
        <w:t xml:space="preserve">: סע'  </w:t>
      </w:r>
      <w:hyperlink r:id="rId13" w:history="1">
        <w:r w:rsidRPr="00662EAC">
          <w:rPr>
            <w:rFonts w:ascii="FrankRuehl" w:hAnsi="FrankRuehl" w:cs="FrankRuehl"/>
            <w:color w:val="0000FF"/>
            <w:rtl/>
          </w:rPr>
          <w:t>29 (א)</w:t>
        </w:r>
      </w:hyperlink>
      <w:r w:rsidRPr="00662EAC">
        <w:rPr>
          <w:rFonts w:ascii="FrankRuehl" w:hAnsi="FrankRuehl" w:cs="FrankRuehl"/>
          <w:rtl/>
        </w:rPr>
        <w:t xml:space="preserve">, </w:t>
      </w:r>
      <w:hyperlink r:id="rId14" w:history="1">
        <w:r w:rsidRPr="00662EAC">
          <w:rPr>
            <w:rFonts w:ascii="FrankRuehl" w:hAnsi="FrankRuehl" w:cs="FrankRuehl"/>
            <w:color w:val="0000FF"/>
            <w:rtl/>
          </w:rPr>
          <w:t>40ט'</w:t>
        </w:r>
      </w:hyperlink>
      <w:r w:rsidRPr="00662EAC">
        <w:rPr>
          <w:rFonts w:ascii="FrankRuehl" w:hAnsi="FrankRuehl" w:cs="FrankRuehl"/>
          <w:rtl/>
        </w:rPr>
        <w:t xml:space="preserve">, </w:t>
      </w:r>
      <w:hyperlink r:id="rId15" w:history="1">
        <w:r w:rsidRPr="00662EAC">
          <w:rPr>
            <w:rFonts w:ascii="FrankRuehl" w:hAnsi="FrankRuehl" w:cs="FrankRuehl"/>
            <w:color w:val="0000FF"/>
            <w:rtl/>
          </w:rPr>
          <w:t>191</w:t>
        </w:r>
      </w:hyperlink>
      <w:r w:rsidRPr="00662EAC">
        <w:rPr>
          <w:rFonts w:ascii="FrankRuehl" w:hAnsi="FrankRuehl" w:cs="FrankRuehl"/>
          <w:rtl/>
        </w:rPr>
        <w:t xml:space="preserve">, </w:t>
      </w:r>
      <w:hyperlink r:id="rId16" w:history="1">
        <w:r w:rsidRPr="00662EAC">
          <w:rPr>
            <w:rFonts w:ascii="FrankRuehl" w:hAnsi="FrankRuehl" w:cs="FrankRuehl"/>
            <w:color w:val="0000FF"/>
            <w:rtl/>
          </w:rPr>
          <w:t>216(א)(1)</w:t>
        </w:r>
      </w:hyperlink>
      <w:r w:rsidRPr="00662EAC">
        <w:rPr>
          <w:rFonts w:ascii="FrankRuehl" w:hAnsi="FrankRuehl" w:cs="FrankRuehl"/>
          <w:rtl/>
        </w:rPr>
        <w:t xml:space="preserve">, </w:t>
      </w:r>
      <w:hyperlink r:id="rId17" w:history="1">
        <w:r w:rsidRPr="00662EAC">
          <w:rPr>
            <w:rFonts w:ascii="FrankRuehl" w:hAnsi="FrankRuehl" w:cs="FrankRuehl"/>
            <w:color w:val="0000FF"/>
            <w:rtl/>
          </w:rPr>
          <w:t>40יא</w:t>
        </w:r>
      </w:hyperlink>
    </w:p>
    <w:p w14:paraId="1EC405AF" w14:textId="77777777" w:rsidR="00662EAC" w:rsidRPr="00662EAC" w:rsidRDefault="00662EAC" w:rsidP="00662EAC">
      <w:pPr>
        <w:rPr>
          <w:sz w:val="26"/>
          <w:szCs w:val="26"/>
          <w:rtl/>
        </w:rPr>
      </w:pPr>
      <w:bookmarkStart w:id="4" w:name="LawTable_End"/>
      <w:bookmarkEnd w:id="4"/>
    </w:p>
    <w:p w14:paraId="611AC28B" w14:textId="77777777" w:rsidR="00BB03C6" w:rsidRPr="002A1510" w:rsidRDefault="00BB03C6" w:rsidP="002A1510">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B03C6" w14:paraId="26C6E606" w14:textId="77777777" w:rsidTr="00BB03C6">
        <w:trPr>
          <w:trHeight w:val="355"/>
          <w:jc w:val="center"/>
        </w:trPr>
        <w:tc>
          <w:tcPr>
            <w:tcW w:w="8820" w:type="dxa"/>
            <w:tcBorders>
              <w:top w:val="nil"/>
              <w:left w:val="nil"/>
              <w:bottom w:val="nil"/>
              <w:right w:val="nil"/>
            </w:tcBorders>
            <w:shd w:val="clear" w:color="auto" w:fill="auto"/>
          </w:tcPr>
          <w:p w14:paraId="5AA642A2" w14:textId="77777777" w:rsidR="00B44F47" w:rsidRPr="00B44F47" w:rsidRDefault="00B44F47" w:rsidP="00B44F47">
            <w:pPr>
              <w:jc w:val="center"/>
              <w:rPr>
                <w:rFonts w:ascii="FrankRuehl" w:hAnsi="FrankRuehl" w:cs="FrankRuehl"/>
                <w:b/>
                <w:bCs/>
                <w:sz w:val="52"/>
                <w:szCs w:val="52"/>
                <w:u w:val="single"/>
                <w:rtl/>
              </w:rPr>
            </w:pPr>
            <w:bookmarkStart w:id="5" w:name="PsakDin" w:colFirst="0" w:colLast="0"/>
            <w:bookmarkEnd w:id="0"/>
            <w:bookmarkEnd w:id="1"/>
            <w:r w:rsidRPr="00B44F47">
              <w:rPr>
                <w:rFonts w:ascii="FrankRuehl" w:hAnsi="FrankRuehl" w:cs="FrankRuehl"/>
                <w:b/>
                <w:bCs/>
                <w:sz w:val="52"/>
                <w:szCs w:val="52"/>
                <w:u w:val="single"/>
                <w:rtl/>
              </w:rPr>
              <w:t>גזר דין</w:t>
            </w:r>
          </w:p>
          <w:p w14:paraId="37572F86" w14:textId="77777777" w:rsidR="00BB03C6" w:rsidRPr="00B44F47" w:rsidRDefault="00BB03C6" w:rsidP="00B44F47">
            <w:pPr>
              <w:jc w:val="center"/>
              <w:rPr>
                <w:rFonts w:ascii="FrankRuehl" w:hAnsi="FrankRuehl" w:cs="FrankRuehl"/>
                <w:bCs/>
                <w:sz w:val="32"/>
                <w:szCs w:val="32"/>
                <w:u w:val="single"/>
                <w:rtl/>
              </w:rPr>
            </w:pPr>
          </w:p>
        </w:tc>
      </w:tr>
      <w:bookmarkEnd w:id="5"/>
    </w:tbl>
    <w:p w14:paraId="37732C74" w14:textId="77777777" w:rsidR="00BB03C6" w:rsidRPr="000F2247" w:rsidRDefault="00BB03C6" w:rsidP="00BB03C6">
      <w:pPr>
        <w:rPr>
          <w:rFonts w:ascii="Arial" w:hAnsi="Arial"/>
          <w:b/>
          <w:bCs/>
          <w:sz w:val="26"/>
          <w:szCs w:val="26"/>
          <w:rtl/>
        </w:rPr>
      </w:pPr>
    </w:p>
    <w:p w14:paraId="587D216D" w14:textId="77777777" w:rsidR="00BB03C6" w:rsidRDefault="00BB03C6" w:rsidP="00BB03C6">
      <w:pPr>
        <w:jc w:val="both"/>
        <w:rPr>
          <w:rFonts w:ascii="FrankRuehl" w:hAnsi="FrankRuehl" w:cs="FrankRuehl"/>
          <w:b/>
          <w:bCs/>
          <w:sz w:val="28"/>
          <w:szCs w:val="28"/>
          <w:u w:val="single"/>
        </w:rPr>
      </w:pPr>
      <w:r>
        <w:rPr>
          <w:rFonts w:ascii="FrankRuehl" w:hAnsi="FrankRuehl" w:cs="FrankRuehl"/>
          <w:b/>
          <w:bCs/>
          <w:sz w:val="28"/>
          <w:szCs w:val="28"/>
          <w:u w:val="single"/>
          <w:rtl/>
        </w:rPr>
        <w:t>כתבי האישום</w:t>
      </w:r>
    </w:p>
    <w:p w14:paraId="537830C8" w14:textId="77777777" w:rsidR="00BB03C6" w:rsidRDefault="00BB03C6" w:rsidP="00BB03C6">
      <w:pPr>
        <w:spacing w:line="360" w:lineRule="auto"/>
        <w:jc w:val="both"/>
        <w:rPr>
          <w:rFonts w:ascii="FrankRuehl" w:hAnsi="FrankRuehl" w:cs="FrankRuehl"/>
          <w:sz w:val="28"/>
          <w:szCs w:val="28"/>
          <w:rtl/>
        </w:rPr>
      </w:pPr>
      <w:bookmarkStart w:id="6" w:name="ABSTRACT_START"/>
      <w:bookmarkEnd w:id="6"/>
      <w:r>
        <w:rPr>
          <w:rFonts w:ascii="FrankRuehl" w:hAnsi="FrankRuehl" w:cs="FrankRuehl"/>
          <w:sz w:val="28"/>
          <w:szCs w:val="28"/>
          <w:rtl/>
        </w:rPr>
        <w:t>נגד הנאשם הוגשו שני כתבי אישום בהם הודה במסגרת הסדר טיעון שלא כלל הסכמה עונשית.</w:t>
      </w:r>
    </w:p>
    <w:p w14:paraId="44F44EDC" w14:textId="77777777" w:rsidR="00BB03C6" w:rsidRDefault="00BB03C6" w:rsidP="00BB03C6">
      <w:pPr>
        <w:spacing w:line="360" w:lineRule="auto"/>
        <w:jc w:val="both"/>
        <w:rPr>
          <w:rFonts w:ascii="FrankRuehl" w:hAnsi="FrankRuehl" w:cs="FrankRuehl"/>
          <w:sz w:val="28"/>
          <w:szCs w:val="28"/>
        </w:rPr>
      </w:pPr>
    </w:p>
    <w:p w14:paraId="6B821E78" w14:textId="77777777" w:rsidR="00BB03C6" w:rsidRDefault="00B44F47" w:rsidP="00BB03C6">
      <w:pPr>
        <w:jc w:val="both"/>
        <w:rPr>
          <w:rFonts w:ascii="FrankRuehl" w:hAnsi="FrankRuehl" w:cs="FrankRuehl"/>
          <w:sz w:val="28"/>
          <w:szCs w:val="28"/>
          <w:rtl/>
        </w:rPr>
      </w:pPr>
      <w:hyperlink r:id="rId18" w:history="1">
        <w:r w:rsidRPr="00B44F47">
          <w:rPr>
            <w:rFonts w:ascii="FrankRuehl" w:hAnsi="FrankRuehl" w:cs="FrankRuehl"/>
            <w:b/>
            <w:bCs/>
            <w:color w:val="0000FF"/>
            <w:sz w:val="28"/>
            <w:szCs w:val="28"/>
            <w:u w:val="single"/>
            <w:rtl/>
          </w:rPr>
          <w:t>ת"פ 43544-05-21</w:t>
        </w:r>
      </w:hyperlink>
      <w:r w:rsidR="00BB03C6">
        <w:rPr>
          <w:rFonts w:ascii="FrankRuehl" w:hAnsi="FrankRuehl" w:cs="FrankRuehl"/>
          <w:sz w:val="28"/>
          <w:szCs w:val="28"/>
          <w:rtl/>
        </w:rPr>
        <w:t xml:space="preserve"> (</w:t>
      </w:r>
      <w:r w:rsidR="00BB03C6">
        <w:rPr>
          <w:rFonts w:ascii="FrankRuehl" w:hAnsi="FrankRuehl" w:cs="FrankRuehl"/>
          <w:b/>
          <w:bCs/>
          <w:sz w:val="28"/>
          <w:szCs w:val="28"/>
          <w:rtl/>
        </w:rPr>
        <w:t>התיק העיקרי</w:t>
      </w:r>
      <w:r w:rsidR="00BB03C6">
        <w:rPr>
          <w:rFonts w:ascii="FrankRuehl" w:hAnsi="FrankRuehl" w:cs="FrankRuehl"/>
          <w:sz w:val="28"/>
          <w:szCs w:val="28"/>
          <w:rtl/>
        </w:rPr>
        <w:t xml:space="preserve">) </w:t>
      </w:r>
    </w:p>
    <w:p w14:paraId="79D7C58B" w14:textId="77777777" w:rsidR="00BB03C6" w:rsidRDefault="00BB03C6" w:rsidP="00BB03C6">
      <w:pPr>
        <w:spacing w:after="160" w:line="360" w:lineRule="auto"/>
        <w:jc w:val="both"/>
        <w:rPr>
          <w:rFonts w:ascii="Calibri" w:hAnsi="Calibri" w:cs="FrankRuehl"/>
          <w:sz w:val="28"/>
          <w:szCs w:val="28"/>
          <w:rtl/>
        </w:rPr>
      </w:pPr>
      <w:r>
        <w:rPr>
          <w:rFonts w:ascii="Calibri" w:hAnsi="Calibri" w:cs="FrankRuehl"/>
          <w:b/>
          <w:bCs/>
          <w:sz w:val="28"/>
          <w:szCs w:val="28"/>
          <w:rtl/>
        </w:rPr>
        <w:t>מעובדות האישום הראשון</w:t>
      </w:r>
      <w:r>
        <w:rPr>
          <w:rFonts w:ascii="Calibri" w:hAnsi="Calibri" w:cs="FrankRuehl"/>
          <w:sz w:val="28"/>
          <w:szCs w:val="28"/>
          <w:rtl/>
        </w:rPr>
        <w:t xml:space="preserve"> עולה, כי ביום 11.5.2021, בעודו נוהג הנאשם ברכב, נשא בשקית שחורה מתחת להגה 7.79 גרם נטו קנבוס וכן חמש שקיות ניילון. בנוסף, החזיק בתחתוניו שתי </w:t>
      </w:r>
      <w:r>
        <w:rPr>
          <w:rFonts w:ascii="Calibri" w:hAnsi="Calibri" w:cs="FrankRuehl"/>
          <w:sz w:val="28"/>
          <w:szCs w:val="28"/>
          <w:rtl/>
        </w:rPr>
        <w:lastRenderedPageBreak/>
        <w:t xml:space="preserve">שקיות נוספות אשר הכילו יחד 39.5 גרם נטו קנבוס. כן החזיק הנאשם, טלפון נייד ו – 1,600 ₪ במזומן.    </w:t>
      </w:r>
    </w:p>
    <w:p w14:paraId="65C271AF" w14:textId="77777777" w:rsidR="00BB03C6" w:rsidRDefault="00BB03C6" w:rsidP="00BB03C6">
      <w:pPr>
        <w:spacing w:after="160" w:line="360" w:lineRule="auto"/>
        <w:jc w:val="both"/>
        <w:rPr>
          <w:rFonts w:ascii="Calibri" w:hAnsi="Calibri" w:cs="FrankRuehl"/>
          <w:sz w:val="28"/>
          <w:szCs w:val="28"/>
          <w:rtl/>
        </w:rPr>
      </w:pPr>
      <w:bookmarkStart w:id="7" w:name="ABSTRACT_END"/>
      <w:bookmarkEnd w:id="7"/>
      <w:r>
        <w:rPr>
          <w:rFonts w:ascii="Calibri" w:hAnsi="Calibri" w:cs="FrankRuehl"/>
          <w:b/>
          <w:bCs/>
          <w:sz w:val="28"/>
          <w:szCs w:val="28"/>
          <w:rtl/>
        </w:rPr>
        <w:t xml:space="preserve">מעובדות האישום השני </w:t>
      </w:r>
      <w:r>
        <w:rPr>
          <w:rFonts w:ascii="Calibri" w:hAnsi="Calibri" w:cs="FrankRuehl"/>
          <w:sz w:val="28"/>
          <w:szCs w:val="28"/>
          <w:rtl/>
        </w:rPr>
        <w:t xml:space="preserve"> עולה כי בין התאריכים 7.4.2021 – 10.5.2021, מכר הנאשם לע"א, שלשניים היכרות מוקדמת, בארבע הזדמנויות שונות גרם של קנאביס תמורת 60 שקלים עבור כל גרם. המכירה נעשתה בכך שע"א היה פונה לנאשם באמצעות הווטסאפ ומבקש לרכוש את הסם, ולאחר תיאום, השניים היו נפגשים ומבצעים את העסקה.</w:t>
      </w:r>
    </w:p>
    <w:p w14:paraId="6F904114" w14:textId="77777777" w:rsidR="00BB03C6" w:rsidRDefault="00BB03C6" w:rsidP="00BB03C6">
      <w:pPr>
        <w:spacing w:after="160" w:line="360" w:lineRule="auto"/>
        <w:jc w:val="both"/>
        <w:rPr>
          <w:rFonts w:ascii="Calibri" w:hAnsi="Calibri" w:cs="FrankRuehl"/>
          <w:sz w:val="28"/>
          <w:szCs w:val="28"/>
          <w:rtl/>
        </w:rPr>
      </w:pPr>
      <w:r>
        <w:rPr>
          <w:rFonts w:ascii="Calibri" w:hAnsi="Calibri" w:cs="FrankRuehl"/>
          <w:b/>
          <w:bCs/>
          <w:sz w:val="28"/>
          <w:szCs w:val="28"/>
          <w:rtl/>
        </w:rPr>
        <w:t>מעובדות האישום השלישי</w:t>
      </w:r>
      <w:r>
        <w:rPr>
          <w:rFonts w:ascii="Calibri" w:hAnsi="Calibri" w:cs="FrankRuehl"/>
          <w:sz w:val="28"/>
          <w:szCs w:val="28"/>
          <w:rtl/>
        </w:rPr>
        <w:t xml:space="preserve"> עולה כי ביום 19.4.2021, פנתה א"ע, שלשניים היכרות מוקדמת, וביקשה לרכוש מהנאשם 60 גרם קנבוס תמורת 340 ₪. לאחר תיאום בין השניים, הנאשם הגיע למקום המפגש והטמין את הסם ברכבה של א"ע. ביום 27.4.2021, פנתה שוב א"ע לנאשם וביקשה לבצע את אותה העסקה. הנאשם פגש במתלוננת במקום עבודתה ומסר לה את הסם. בתאריכים 9.5.2021 ו – 10.5.2021 שילמה א"ע לנאשם 680 ₪ עבור שתי העסקאות.</w:t>
      </w:r>
    </w:p>
    <w:p w14:paraId="0C1D9BCC" w14:textId="77777777" w:rsidR="00BB03C6" w:rsidRDefault="00BB03C6" w:rsidP="00BB03C6">
      <w:pPr>
        <w:spacing w:after="160" w:line="360" w:lineRule="auto"/>
        <w:jc w:val="both"/>
        <w:rPr>
          <w:rFonts w:ascii="Calibri" w:hAnsi="Calibri" w:cs="FrankRuehl"/>
          <w:sz w:val="28"/>
          <w:szCs w:val="28"/>
          <w:rtl/>
        </w:rPr>
      </w:pPr>
      <w:r>
        <w:rPr>
          <w:rFonts w:ascii="Calibri" w:hAnsi="Calibri" w:cs="FrankRuehl"/>
          <w:b/>
          <w:bCs/>
          <w:sz w:val="28"/>
          <w:szCs w:val="28"/>
          <w:rtl/>
        </w:rPr>
        <w:t>מעובדות האישום הרביעי</w:t>
      </w:r>
      <w:r>
        <w:rPr>
          <w:rFonts w:ascii="Calibri" w:hAnsi="Calibri" w:cs="FrankRuehl"/>
          <w:sz w:val="28"/>
          <w:szCs w:val="28"/>
          <w:rtl/>
        </w:rPr>
        <w:t xml:space="preserve"> עולה, כי בימים 28.2.2021 ו – 10.3.2021, מכר הנאשם 3 גרם קנבוס בכל פעם, תמורת 200 ₪ בפעם הראשונה ו – 300 ₪ בפעם השניה לר"א שהכיר את הנאשם היכרות מוקדמת. </w:t>
      </w:r>
    </w:p>
    <w:p w14:paraId="66EE9A94" w14:textId="77777777" w:rsidR="00BB03C6" w:rsidRDefault="00BB03C6" w:rsidP="00BB03C6">
      <w:pPr>
        <w:spacing w:after="160" w:line="360" w:lineRule="auto"/>
        <w:jc w:val="both"/>
        <w:rPr>
          <w:rFonts w:ascii="Calibri" w:hAnsi="Calibri" w:cs="FrankRuehl"/>
          <w:sz w:val="28"/>
          <w:szCs w:val="28"/>
          <w:rtl/>
        </w:rPr>
      </w:pPr>
      <w:r>
        <w:rPr>
          <w:rFonts w:ascii="Calibri" w:hAnsi="Calibri" w:cs="FrankRuehl"/>
          <w:sz w:val="28"/>
          <w:szCs w:val="28"/>
          <w:rtl/>
        </w:rPr>
        <w:t xml:space="preserve">בגין כל אלה, הורשע הנאשם בעבירות של </w:t>
      </w:r>
      <w:r>
        <w:rPr>
          <w:rFonts w:ascii="Calibri" w:hAnsi="Calibri" w:cs="FrankRuehl"/>
          <w:b/>
          <w:bCs/>
          <w:sz w:val="28"/>
          <w:szCs w:val="28"/>
          <w:rtl/>
        </w:rPr>
        <w:t>החזקת סמים שלא לצריכה עצמית</w:t>
      </w:r>
      <w:r>
        <w:rPr>
          <w:rFonts w:ascii="Calibri" w:hAnsi="Calibri" w:cs="FrankRuehl"/>
          <w:sz w:val="28"/>
          <w:szCs w:val="28"/>
          <w:rtl/>
        </w:rPr>
        <w:t xml:space="preserve">, עבירה לפי </w:t>
      </w:r>
      <w:hyperlink r:id="rId19" w:history="1">
        <w:r w:rsidR="00A7519A" w:rsidRPr="00A7519A">
          <w:rPr>
            <w:rStyle w:val="Hyperlink"/>
            <w:rFonts w:ascii="Calibri" w:hAnsi="Calibri" w:cs="FrankRuehl" w:hint="eastAsia"/>
            <w:sz w:val="28"/>
            <w:szCs w:val="28"/>
            <w:rtl/>
          </w:rPr>
          <w:t>סעיף</w:t>
        </w:r>
        <w:r w:rsidR="00A7519A" w:rsidRPr="00A7519A">
          <w:rPr>
            <w:rStyle w:val="Hyperlink"/>
            <w:rFonts w:ascii="Calibri" w:hAnsi="Calibri" w:cs="FrankRuehl"/>
            <w:sz w:val="28"/>
            <w:szCs w:val="28"/>
            <w:rtl/>
          </w:rPr>
          <w:t xml:space="preserve"> 7(</w:t>
        </w:r>
        <w:r w:rsidR="00A7519A" w:rsidRPr="00A7519A">
          <w:rPr>
            <w:rStyle w:val="Hyperlink"/>
            <w:rFonts w:ascii="Calibri" w:hAnsi="Calibri" w:cs="FrankRuehl" w:hint="eastAsia"/>
            <w:sz w:val="28"/>
            <w:szCs w:val="28"/>
            <w:rtl/>
          </w:rPr>
          <w:t>א</w:t>
        </w:r>
        <w:r w:rsidR="00A7519A" w:rsidRPr="00A7519A">
          <w:rPr>
            <w:rStyle w:val="Hyperlink"/>
            <w:rFonts w:ascii="Calibri" w:hAnsi="Calibri" w:cs="FrankRuehl"/>
            <w:sz w:val="28"/>
            <w:szCs w:val="28"/>
            <w:rtl/>
          </w:rPr>
          <w:t>)</w:t>
        </w:r>
      </w:hyperlink>
      <w:r>
        <w:rPr>
          <w:rFonts w:ascii="Calibri" w:hAnsi="Calibri" w:cs="FrankRuehl"/>
          <w:sz w:val="28"/>
          <w:szCs w:val="28"/>
          <w:rtl/>
        </w:rPr>
        <w:t xml:space="preserve"> + </w:t>
      </w:r>
      <w:hyperlink r:id="rId20" w:history="1">
        <w:r w:rsidR="00A7519A" w:rsidRPr="00A7519A">
          <w:rPr>
            <w:rStyle w:val="Hyperlink"/>
            <w:rFonts w:ascii="Calibri" w:hAnsi="Calibri" w:cs="FrankRuehl"/>
            <w:sz w:val="28"/>
            <w:szCs w:val="28"/>
            <w:rtl/>
          </w:rPr>
          <w:t>7(</w:t>
        </w:r>
        <w:r w:rsidR="00A7519A" w:rsidRPr="00A7519A">
          <w:rPr>
            <w:rStyle w:val="Hyperlink"/>
            <w:rFonts w:ascii="Calibri" w:hAnsi="Calibri" w:cs="FrankRuehl" w:hint="eastAsia"/>
            <w:sz w:val="28"/>
            <w:szCs w:val="28"/>
            <w:rtl/>
          </w:rPr>
          <w:t>ג</w:t>
        </w:r>
        <w:r w:rsidR="00A7519A" w:rsidRPr="00A7519A">
          <w:rPr>
            <w:rStyle w:val="Hyperlink"/>
            <w:rFonts w:ascii="Calibri" w:hAnsi="Calibri" w:cs="FrankRuehl"/>
            <w:sz w:val="28"/>
            <w:szCs w:val="28"/>
            <w:rtl/>
          </w:rPr>
          <w:t>)</w:t>
        </w:r>
      </w:hyperlink>
      <w:r>
        <w:rPr>
          <w:rFonts w:ascii="Calibri" w:hAnsi="Calibri" w:cs="FrankRuehl"/>
          <w:sz w:val="28"/>
          <w:szCs w:val="28"/>
          <w:rtl/>
        </w:rPr>
        <w:t xml:space="preserve"> רישא ל</w:t>
      </w:r>
      <w:hyperlink r:id="rId21" w:history="1">
        <w:r w:rsidR="00B44F47" w:rsidRPr="00B44F47">
          <w:rPr>
            <w:rFonts w:ascii="Calibri" w:hAnsi="Calibri" w:cs="FrankRuehl" w:hint="eastAsia"/>
            <w:color w:val="0000FF"/>
            <w:sz w:val="28"/>
            <w:szCs w:val="28"/>
            <w:u w:val="single"/>
            <w:rtl/>
          </w:rPr>
          <w:t>פקודת</w:t>
        </w:r>
        <w:r w:rsidR="00B44F47" w:rsidRPr="00B44F47">
          <w:rPr>
            <w:rFonts w:ascii="Calibri" w:hAnsi="Calibri" w:cs="FrankRuehl"/>
            <w:color w:val="0000FF"/>
            <w:sz w:val="28"/>
            <w:szCs w:val="28"/>
            <w:u w:val="single"/>
            <w:rtl/>
          </w:rPr>
          <w:t xml:space="preserve"> </w:t>
        </w:r>
        <w:r w:rsidR="00B44F47" w:rsidRPr="00B44F47">
          <w:rPr>
            <w:rFonts w:ascii="Calibri" w:hAnsi="Calibri" w:cs="FrankRuehl" w:hint="eastAsia"/>
            <w:color w:val="0000FF"/>
            <w:sz w:val="28"/>
            <w:szCs w:val="28"/>
            <w:u w:val="single"/>
            <w:rtl/>
          </w:rPr>
          <w:t>הסמים</w:t>
        </w:r>
        <w:r w:rsidR="00B44F47" w:rsidRPr="00B44F47">
          <w:rPr>
            <w:rFonts w:ascii="Calibri" w:hAnsi="Calibri" w:cs="FrankRuehl"/>
            <w:color w:val="0000FF"/>
            <w:sz w:val="28"/>
            <w:szCs w:val="28"/>
            <w:u w:val="single"/>
            <w:rtl/>
          </w:rPr>
          <w:t xml:space="preserve"> </w:t>
        </w:r>
        <w:r w:rsidR="00B44F47" w:rsidRPr="00B44F47">
          <w:rPr>
            <w:rFonts w:ascii="Calibri" w:hAnsi="Calibri" w:cs="FrankRuehl" w:hint="eastAsia"/>
            <w:color w:val="0000FF"/>
            <w:sz w:val="28"/>
            <w:szCs w:val="28"/>
            <w:u w:val="single"/>
            <w:rtl/>
          </w:rPr>
          <w:t>המסוכנים</w:t>
        </w:r>
      </w:hyperlink>
      <w:r>
        <w:rPr>
          <w:rFonts w:ascii="Calibri" w:hAnsi="Calibri" w:cs="FrankRuehl"/>
          <w:sz w:val="28"/>
          <w:szCs w:val="28"/>
          <w:rtl/>
        </w:rPr>
        <w:t xml:space="preserve"> (נוסח חדש), תשל"ג – 1973 (</w:t>
      </w:r>
      <w:r>
        <w:rPr>
          <w:rFonts w:ascii="Calibri" w:hAnsi="Calibri" w:cs="FrankRuehl"/>
          <w:b/>
          <w:bCs/>
          <w:sz w:val="28"/>
          <w:szCs w:val="28"/>
          <w:rtl/>
        </w:rPr>
        <w:t>הפקודה</w:t>
      </w:r>
      <w:r>
        <w:rPr>
          <w:rFonts w:ascii="Calibri" w:hAnsi="Calibri" w:cs="FrankRuehl"/>
          <w:sz w:val="28"/>
          <w:szCs w:val="28"/>
          <w:rtl/>
        </w:rPr>
        <w:t xml:space="preserve">), </w:t>
      </w:r>
      <w:r>
        <w:rPr>
          <w:rFonts w:ascii="Calibri" w:hAnsi="Calibri" w:cs="FrankRuehl"/>
          <w:b/>
          <w:bCs/>
          <w:sz w:val="28"/>
          <w:szCs w:val="28"/>
          <w:rtl/>
        </w:rPr>
        <w:t>וב-8 (שמונה) עבירות של סחר בסמים מסוכנים</w:t>
      </w:r>
      <w:r>
        <w:rPr>
          <w:rFonts w:ascii="Calibri" w:hAnsi="Calibri" w:cs="FrankRuehl"/>
          <w:sz w:val="28"/>
          <w:szCs w:val="28"/>
          <w:rtl/>
        </w:rPr>
        <w:t xml:space="preserve">, עבירה לפי </w:t>
      </w:r>
      <w:hyperlink r:id="rId22" w:history="1">
        <w:r w:rsidR="00A7519A" w:rsidRPr="00A7519A">
          <w:rPr>
            <w:rStyle w:val="Hyperlink"/>
            <w:rFonts w:ascii="Calibri" w:hAnsi="Calibri" w:cs="FrankRuehl" w:hint="eastAsia"/>
            <w:sz w:val="28"/>
            <w:szCs w:val="28"/>
            <w:rtl/>
          </w:rPr>
          <w:t>סעיף</w:t>
        </w:r>
        <w:r w:rsidR="00A7519A" w:rsidRPr="00A7519A">
          <w:rPr>
            <w:rStyle w:val="Hyperlink"/>
            <w:rFonts w:ascii="Calibri" w:hAnsi="Calibri" w:cs="FrankRuehl"/>
            <w:sz w:val="28"/>
            <w:szCs w:val="28"/>
            <w:rtl/>
          </w:rPr>
          <w:t xml:space="preserve"> 13</w:t>
        </w:r>
      </w:hyperlink>
      <w:r>
        <w:rPr>
          <w:rFonts w:ascii="Calibri" w:hAnsi="Calibri" w:cs="FrankRuehl"/>
          <w:sz w:val="28"/>
          <w:szCs w:val="28"/>
          <w:rtl/>
        </w:rPr>
        <w:t xml:space="preserve"> + </w:t>
      </w:r>
      <w:hyperlink r:id="rId23" w:history="1">
        <w:r w:rsidR="00A7519A" w:rsidRPr="00A7519A">
          <w:rPr>
            <w:rStyle w:val="Hyperlink"/>
            <w:rFonts w:ascii="Calibri" w:hAnsi="Calibri" w:cs="FrankRuehl"/>
            <w:sz w:val="28"/>
            <w:szCs w:val="28"/>
            <w:rtl/>
          </w:rPr>
          <w:t>19(</w:t>
        </w:r>
        <w:r w:rsidR="00A7519A" w:rsidRPr="00A7519A">
          <w:rPr>
            <w:rStyle w:val="Hyperlink"/>
            <w:rFonts w:ascii="Calibri" w:hAnsi="Calibri" w:cs="FrankRuehl" w:hint="eastAsia"/>
            <w:sz w:val="28"/>
            <w:szCs w:val="28"/>
            <w:rtl/>
          </w:rPr>
          <w:t>א</w:t>
        </w:r>
        <w:r w:rsidR="00A7519A" w:rsidRPr="00A7519A">
          <w:rPr>
            <w:rStyle w:val="Hyperlink"/>
            <w:rFonts w:ascii="Calibri" w:hAnsi="Calibri" w:cs="FrankRuehl"/>
            <w:sz w:val="28"/>
            <w:szCs w:val="28"/>
            <w:rtl/>
          </w:rPr>
          <w:t>)</w:t>
        </w:r>
      </w:hyperlink>
      <w:r>
        <w:rPr>
          <w:rFonts w:ascii="Calibri" w:hAnsi="Calibri" w:cs="FrankRuehl"/>
          <w:sz w:val="28"/>
          <w:szCs w:val="28"/>
          <w:rtl/>
        </w:rPr>
        <w:t xml:space="preserve"> לפקודה + סעיף </w:t>
      </w:r>
      <w:hyperlink r:id="rId24" w:history="1">
        <w:r w:rsidR="00A7519A" w:rsidRPr="00A7519A">
          <w:rPr>
            <w:rStyle w:val="Hyperlink"/>
            <w:rFonts w:ascii="Calibri" w:hAnsi="Calibri" w:cs="FrankRuehl"/>
            <w:sz w:val="28"/>
            <w:szCs w:val="28"/>
            <w:rtl/>
          </w:rPr>
          <w:t>29 (</w:t>
        </w:r>
        <w:r w:rsidR="00A7519A" w:rsidRPr="00A7519A">
          <w:rPr>
            <w:rStyle w:val="Hyperlink"/>
            <w:rFonts w:ascii="Calibri" w:hAnsi="Calibri" w:cs="FrankRuehl" w:hint="eastAsia"/>
            <w:sz w:val="28"/>
            <w:szCs w:val="28"/>
            <w:rtl/>
          </w:rPr>
          <w:t>א</w:t>
        </w:r>
        <w:r w:rsidR="00A7519A" w:rsidRPr="00A7519A">
          <w:rPr>
            <w:rStyle w:val="Hyperlink"/>
            <w:rFonts w:ascii="Calibri" w:hAnsi="Calibri" w:cs="FrankRuehl"/>
            <w:sz w:val="28"/>
            <w:szCs w:val="28"/>
            <w:rtl/>
          </w:rPr>
          <w:t>)</w:t>
        </w:r>
      </w:hyperlink>
      <w:r>
        <w:rPr>
          <w:rFonts w:ascii="Calibri" w:hAnsi="Calibri" w:cs="FrankRuehl"/>
          <w:sz w:val="28"/>
          <w:szCs w:val="28"/>
          <w:rtl/>
        </w:rPr>
        <w:t xml:space="preserve"> ל</w:t>
      </w:r>
      <w:hyperlink r:id="rId25" w:history="1">
        <w:r w:rsidR="00B44F47" w:rsidRPr="00B44F47">
          <w:rPr>
            <w:rFonts w:ascii="Calibri" w:hAnsi="Calibri" w:cs="FrankRuehl" w:hint="eastAsia"/>
            <w:color w:val="0000FF"/>
            <w:sz w:val="28"/>
            <w:szCs w:val="28"/>
            <w:u w:val="single"/>
            <w:rtl/>
          </w:rPr>
          <w:t>חוק</w:t>
        </w:r>
        <w:r w:rsidR="00B44F47" w:rsidRPr="00B44F47">
          <w:rPr>
            <w:rFonts w:ascii="Calibri" w:hAnsi="Calibri" w:cs="FrankRuehl"/>
            <w:color w:val="0000FF"/>
            <w:sz w:val="28"/>
            <w:szCs w:val="28"/>
            <w:u w:val="single"/>
            <w:rtl/>
          </w:rPr>
          <w:t xml:space="preserve"> </w:t>
        </w:r>
        <w:r w:rsidR="00B44F47" w:rsidRPr="00B44F47">
          <w:rPr>
            <w:rFonts w:ascii="Calibri" w:hAnsi="Calibri" w:cs="FrankRuehl" w:hint="eastAsia"/>
            <w:color w:val="0000FF"/>
            <w:sz w:val="28"/>
            <w:szCs w:val="28"/>
            <w:u w:val="single"/>
            <w:rtl/>
          </w:rPr>
          <w:t>העונשין</w:t>
        </w:r>
      </w:hyperlink>
      <w:r>
        <w:rPr>
          <w:rFonts w:ascii="Calibri" w:hAnsi="Calibri" w:cs="FrankRuehl"/>
          <w:sz w:val="28"/>
          <w:szCs w:val="28"/>
          <w:rtl/>
        </w:rPr>
        <w:t>, תשל"ז – 1977 (</w:t>
      </w:r>
      <w:r>
        <w:rPr>
          <w:rFonts w:ascii="Calibri" w:hAnsi="Calibri" w:cs="FrankRuehl"/>
          <w:b/>
          <w:bCs/>
          <w:sz w:val="28"/>
          <w:szCs w:val="28"/>
          <w:rtl/>
        </w:rPr>
        <w:t>חוק העונשין</w:t>
      </w:r>
      <w:r>
        <w:rPr>
          <w:rFonts w:ascii="Calibri" w:hAnsi="Calibri" w:cs="FrankRuehl"/>
          <w:sz w:val="28"/>
          <w:szCs w:val="28"/>
          <w:rtl/>
        </w:rPr>
        <w:t>).</w:t>
      </w:r>
    </w:p>
    <w:p w14:paraId="6AAD05D1" w14:textId="77777777" w:rsidR="00BB03C6" w:rsidRDefault="00BB03C6" w:rsidP="00BB03C6">
      <w:pPr>
        <w:spacing w:after="160"/>
        <w:jc w:val="both"/>
        <w:rPr>
          <w:rFonts w:ascii="Calibri" w:hAnsi="Calibri" w:cs="FrankRuehl"/>
          <w:b/>
          <w:bCs/>
          <w:sz w:val="28"/>
          <w:szCs w:val="28"/>
          <w:u w:val="single"/>
          <w:rtl/>
        </w:rPr>
      </w:pPr>
    </w:p>
    <w:p w14:paraId="0AC50BE7" w14:textId="77777777" w:rsidR="00BB03C6" w:rsidRDefault="00B44F47" w:rsidP="00BB03C6">
      <w:pPr>
        <w:spacing w:after="160"/>
        <w:jc w:val="both"/>
        <w:rPr>
          <w:rFonts w:ascii="Calibri" w:hAnsi="Calibri" w:cs="FrankRuehl"/>
          <w:b/>
          <w:bCs/>
          <w:sz w:val="28"/>
          <w:szCs w:val="28"/>
          <w:u w:val="single"/>
          <w:rtl/>
        </w:rPr>
      </w:pPr>
      <w:hyperlink r:id="rId26" w:history="1">
        <w:r w:rsidRPr="00B44F47">
          <w:rPr>
            <w:rFonts w:ascii="Calibri" w:hAnsi="Calibri" w:cs="FrankRuehl" w:hint="eastAsia"/>
            <w:b/>
            <w:bCs/>
            <w:color w:val="0000FF"/>
            <w:sz w:val="28"/>
            <w:szCs w:val="28"/>
            <w:u w:val="single"/>
            <w:rtl/>
          </w:rPr>
          <w:t>ת</w:t>
        </w:r>
        <w:r w:rsidRPr="00B44F47">
          <w:rPr>
            <w:rFonts w:ascii="Calibri" w:hAnsi="Calibri" w:cs="FrankRuehl"/>
            <w:b/>
            <w:bCs/>
            <w:color w:val="0000FF"/>
            <w:sz w:val="28"/>
            <w:szCs w:val="28"/>
            <w:u w:val="single"/>
            <w:rtl/>
          </w:rPr>
          <w:t>"</w:t>
        </w:r>
        <w:r w:rsidRPr="00B44F47">
          <w:rPr>
            <w:rFonts w:ascii="Calibri" w:hAnsi="Calibri" w:cs="FrankRuehl" w:hint="eastAsia"/>
            <w:b/>
            <w:bCs/>
            <w:color w:val="0000FF"/>
            <w:sz w:val="28"/>
            <w:szCs w:val="28"/>
            <w:u w:val="single"/>
            <w:rtl/>
          </w:rPr>
          <w:t>פ</w:t>
        </w:r>
        <w:r w:rsidRPr="00B44F47">
          <w:rPr>
            <w:rFonts w:ascii="Calibri" w:hAnsi="Calibri" w:cs="FrankRuehl"/>
            <w:b/>
            <w:bCs/>
            <w:color w:val="0000FF"/>
            <w:sz w:val="28"/>
            <w:szCs w:val="28"/>
            <w:u w:val="single"/>
            <w:rtl/>
          </w:rPr>
          <w:t xml:space="preserve"> 64081-07-18</w:t>
        </w:r>
      </w:hyperlink>
      <w:r w:rsidR="00BB03C6">
        <w:rPr>
          <w:rFonts w:ascii="Calibri" w:hAnsi="Calibri" w:cs="FrankRuehl"/>
          <w:b/>
          <w:bCs/>
          <w:sz w:val="28"/>
          <w:szCs w:val="28"/>
          <w:rtl/>
        </w:rPr>
        <w:t xml:space="preserve"> (התיק המצורף)</w:t>
      </w:r>
    </w:p>
    <w:p w14:paraId="446662C0" w14:textId="77777777" w:rsidR="00BB03C6" w:rsidRDefault="00BB03C6" w:rsidP="00BB03C6">
      <w:pPr>
        <w:spacing w:after="160" w:line="360" w:lineRule="auto"/>
        <w:jc w:val="both"/>
        <w:rPr>
          <w:rFonts w:ascii="Calibri" w:hAnsi="Calibri" w:cs="FrankRuehl"/>
          <w:sz w:val="28"/>
          <w:szCs w:val="28"/>
          <w:rtl/>
        </w:rPr>
      </w:pPr>
      <w:r>
        <w:rPr>
          <w:rFonts w:ascii="Calibri" w:hAnsi="Calibri" w:cs="FrankRuehl"/>
          <w:sz w:val="28"/>
          <w:szCs w:val="28"/>
          <w:rtl/>
        </w:rPr>
        <w:t xml:space="preserve">על פי עובדות כתב האישום, ביום 25.2.2018, בשעה 04:13 ביציאה ממועדון ה"אליסיום" ברחוב האומן בירושלים, התפתחה קטטה בין מספר צעירים במקום. באותן נסיבות, שהו במקום מספק שוטרים שהחלו להפריד בין הצדדים. בשלב מסוים, הבחין אחד השוטרים בנאשם תוקף אדם אחר ונותן לו מכה בראשו. בהמשך, השתתף הנאשם בקטטה שהייתה במקום. בגין מעשים אלה, הורשע הנאשם בעבירות של </w:t>
      </w:r>
      <w:r>
        <w:rPr>
          <w:rFonts w:ascii="Calibri" w:hAnsi="Calibri" w:cs="FrankRuehl"/>
          <w:b/>
          <w:bCs/>
          <w:sz w:val="28"/>
          <w:szCs w:val="28"/>
          <w:rtl/>
        </w:rPr>
        <w:t>תגרה</w:t>
      </w:r>
      <w:r>
        <w:rPr>
          <w:rFonts w:ascii="Calibri" w:hAnsi="Calibri" w:cs="FrankRuehl"/>
          <w:sz w:val="28"/>
          <w:szCs w:val="28"/>
          <w:rtl/>
        </w:rPr>
        <w:t xml:space="preserve">, לפי </w:t>
      </w:r>
      <w:hyperlink r:id="rId27" w:history="1">
        <w:r w:rsidR="00A7519A" w:rsidRPr="00A7519A">
          <w:rPr>
            <w:rStyle w:val="Hyperlink"/>
            <w:rFonts w:ascii="Calibri" w:hAnsi="Calibri" w:cs="FrankRuehl" w:hint="eastAsia"/>
            <w:sz w:val="28"/>
            <w:szCs w:val="28"/>
            <w:rtl/>
          </w:rPr>
          <w:t>סעיף</w:t>
        </w:r>
        <w:r w:rsidR="00A7519A" w:rsidRPr="00A7519A">
          <w:rPr>
            <w:rStyle w:val="Hyperlink"/>
            <w:rFonts w:ascii="Calibri" w:hAnsi="Calibri" w:cs="FrankRuehl"/>
            <w:sz w:val="28"/>
            <w:szCs w:val="28"/>
            <w:rtl/>
          </w:rPr>
          <w:t xml:space="preserve"> 191</w:t>
        </w:r>
      </w:hyperlink>
      <w:r>
        <w:rPr>
          <w:rFonts w:ascii="Calibri" w:hAnsi="Calibri" w:cs="FrankRuehl"/>
          <w:sz w:val="28"/>
          <w:szCs w:val="28"/>
          <w:rtl/>
        </w:rPr>
        <w:t xml:space="preserve"> ל</w:t>
      </w:r>
      <w:hyperlink r:id="rId28" w:history="1">
        <w:r w:rsidR="00B44F47" w:rsidRPr="00B44F47">
          <w:rPr>
            <w:rFonts w:ascii="Calibri" w:hAnsi="Calibri" w:cs="FrankRuehl" w:hint="eastAsia"/>
            <w:color w:val="0000FF"/>
            <w:sz w:val="28"/>
            <w:szCs w:val="28"/>
            <w:u w:val="single"/>
            <w:rtl/>
          </w:rPr>
          <w:t>חוק</w:t>
        </w:r>
        <w:r w:rsidR="00B44F47" w:rsidRPr="00B44F47">
          <w:rPr>
            <w:rFonts w:ascii="Calibri" w:hAnsi="Calibri" w:cs="FrankRuehl"/>
            <w:color w:val="0000FF"/>
            <w:sz w:val="28"/>
            <w:szCs w:val="28"/>
            <w:u w:val="single"/>
            <w:rtl/>
          </w:rPr>
          <w:t xml:space="preserve"> </w:t>
        </w:r>
        <w:r w:rsidR="00B44F47" w:rsidRPr="00B44F47">
          <w:rPr>
            <w:rFonts w:ascii="Calibri" w:hAnsi="Calibri" w:cs="FrankRuehl" w:hint="eastAsia"/>
            <w:color w:val="0000FF"/>
            <w:sz w:val="28"/>
            <w:szCs w:val="28"/>
            <w:u w:val="single"/>
            <w:rtl/>
          </w:rPr>
          <w:t>העונשין</w:t>
        </w:r>
      </w:hyperlink>
      <w:r>
        <w:rPr>
          <w:rFonts w:ascii="Calibri" w:hAnsi="Calibri" w:cs="FrankRuehl"/>
          <w:sz w:val="28"/>
          <w:szCs w:val="28"/>
          <w:rtl/>
        </w:rPr>
        <w:t xml:space="preserve"> ו</w:t>
      </w:r>
      <w:r>
        <w:rPr>
          <w:rFonts w:ascii="Calibri" w:hAnsi="Calibri" w:cs="FrankRuehl"/>
          <w:b/>
          <w:bCs/>
          <w:sz w:val="28"/>
          <w:szCs w:val="28"/>
          <w:rtl/>
        </w:rPr>
        <w:t>בהתנהגות פרועה במקום ציבורי</w:t>
      </w:r>
      <w:r>
        <w:rPr>
          <w:rFonts w:ascii="Calibri" w:hAnsi="Calibri" w:cs="FrankRuehl"/>
          <w:sz w:val="28"/>
          <w:szCs w:val="28"/>
          <w:rtl/>
        </w:rPr>
        <w:t xml:space="preserve">, לפי </w:t>
      </w:r>
      <w:hyperlink r:id="rId29" w:history="1">
        <w:r w:rsidR="00A7519A" w:rsidRPr="00A7519A">
          <w:rPr>
            <w:rStyle w:val="Hyperlink"/>
            <w:rFonts w:ascii="Calibri" w:hAnsi="Calibri" w:cs="FrankRuehl" w:hint="eastAsia"/>
            <w:sz w:val="28"/>
            <w:szCs w:val="28"/>
            <w:rtl/>
          </w:rPr>
          <w:t>סעיף</w:t>
        </w:r>
        <w:r w:rsidR="00A7519A" w:rsidRPr="00A7519A">
          <w:rPr>
            <w:rStyle w:val="Hyperlink"/>
            <w:rFonts w:ascii="Calibri" w:hAnsi="Calibri" w:cs="FrankRuehl"/>
            <w:sz w:val="28"/>
            <w:szCs w:val="28"/>
            <w:rtl/>
          </w:rPr>
          <w:t xml:space="preserve"> 216(</w:t>
        </w:r>
        <w:r w:rsidR="00A7519A" w:rsidRPr="00A7519A">
          <w:rPr>
            <w:rStyle w:val="Hyperlink"/>
            <w:rFonts w:ascii="Calibri" w:hAnsi="Calibri" w:cs="FrankRuehl" w:hint="eastAsia"/>
            <w:sz w:val="28"/>
            <w:szCs w:val="28"/>
            <w:rtl/>
          </w:rPr>
          <w:t>א</w:t>
        </w:r>
        <w:r w:rsidR="00A7519A" w:rsidRPr="00A7519A">
          <w:rPr>
            <w:rStyle w:val="Hyperlink"/>
            <w:rFonts w:ascii="Calibri" w:hAnsi="Calibri" w:cs="FrankRuehl"/>
            <w:sz w:val="28"/>
            <w:szCs w:val="28"/>
            <w:rtl/>
          </w:rPr>
          <w:t>)(1)</w:t>
        </w:r>
      </w:hyperlink>
      <w:r>
        <w:rPr>
          <w:rFonts w:ascii="Calibri" w:hAnsi="Calibri" w:cs="FrankRuehl"/>
          <w:sz w:val="28"/>
          <w:szCs w:val="28"/>
          <w:rtl/>
        </w:rPr>
        <w:t xml:space="preserve"> לחוק העונשין.</w:t>
      </w:r>
    </w:p>
    <w:p w14:paraId="26E744AE" w14:textId="77777777" w:rsidR="00BB03C6" w:rsidRDefault="00BB03C6" w:rsidP="00BB03C6">
      <w:pPr>
        <w:spacing w:after="160" w:line="360" w:lineRule="auto"/>
        <w:jc w:val="both"/>
        <w:rPr>
          <w:rFonts w:ascii="Calibri" w:hAnsi="Calibri" w:cs="FrankRuehl"/>
          <w:b/>
          <w:bCs/>
          <w:sz w:val="28"/>
          <w:szCs w:val="28"/>
          <w:u w:val="single"/>
          <w:rtl/>
        </w:rPr>
      </w:pPr>
    </w:p>
    <w:p w14:paraId="11429464" w14:textId="77777777" w:rsidR="00BB03C6" w:rsidRDefault="00BB03C6" w:rsidP="00BB03C6">
      <w:pPr>
        <w:spacing w:after="160"/>
        <w:jc w:val="both"/>
        <w:rPr>
          <w:rFonts w:ascii="Calibri" w:hAnsi="Calibri" w:cs="FrankRuehl"/>
          <w:b/>
          <w:bCs/>
          <w:sz w:val="28"/>
          <w:szCs w:val="28"/>
          <w:u w:val="single"/>
          <w:rtl/>
        </w:rPr>
      </w:pPr>
      <w:r>
        <w:rPr>
          <w:rFonts w:ascii="Calibri" w:hAnsi="Calibri" w:cs="FrankRuehl"/>
          <w:b/>
          <w:bCs/>
          <w:sz w:val="28"/>
          <w:szCs w:val="28"/>
          <w:u w:val="single"/>
          <w:rtl/>
        </w:rPr>
        <w:lastRenderedPageBreak/>
        <w:t>מהלך הדיון</w:t>
      </w:r>
    </w:p>
    <w:p w14:paraId="42437740" w14:textId="77777777" w:rsidR="00BB03C6" w:rsidRDefault="00BB03C6" w:rsidP="00BB03C6">
      <w:pPr>
        <w:spacing w:after="160" w:line="360" w:lineRule="auto"/>
        <w:jc w:val="both"/>
        <w:rPr>
          <w:rFonts w:ascii="FrankRuehl" w:hAnsi="FrankRuehl" w:cs="FrankRuehl"/>
          <w:sz w:val="28"/>
          <w:szCs w:val="28"/>
          <w:rtl/>
        </w:rPr>
      </w:pPr>
      <w:r>
        <w:rPr>
          <w:rFonts w:ascii="Calibri" w:hAnsi="Calibri" w:cs="FrankRuehl"/>
          <w:sz w:val="28"/>
          <w:szCs w:val="28"/>
          <w:rtl/>
        </w:rPr>
        <w:t>הנאשם נעצר ביום 11.5.2021 במסגרת הליך של מעצר ימים בתיק העיקרי. ביום 23.5.2021 הוגש כתב האישום נגד הנאשם יחד עם בקשה למעצר עד תום ההליכים נגדו. הנאשם שוחרר למעצר בית מלא ביום 7.6.2021 ושוהה בתנאים אלה עד היום. ביום 18.10.2021 הודה והורשע הנאשם בשני התיקים, במסגרת הסדר טיעון, שלא כלל הסכמה עונשית</w:t>
      </w:r>
      <w:r>
        <w:rPr>
          <w:rFonts w:ascii="Calibri" w:hAnsi="Calibri" w:cs="FrankRuehl" w:hint="cs"/>
          <w:sz w:val="28"/>
          <w:szCs w:val="28"/>
          <w:rtl/>
        </w:rPr>
        <w:t>,</w:t>
      </w:r>
      <w:r>
        <w:rPr>
          <w:rFonts w:ascii="Calibri" w:hAnsi="Calibri" w:cs="FrankRuehl"/>
          <w:sz w:val="28"/>
          <w:szCs w:val="28"/>
          <w:rtl/>
        </w:rPr>
        <w:t xml:space="preserve"> ונשלח לשירות מבחן, כאשר הסניגורית ביקשה לבחון את התאמתו של הנאשם לבית משפט קהילתי. ביום 10.11.2021 שירות המבחן הגיש תסקיר מעצר, ולאחר שבחן את אפשרות שילובו של הנאשם בבית </w:t>
      </w:r>
      <w:r>
        <w:rPr>
          <w:rFonts w:ascii="Calibri" w:hAnsi="Calibri" w:cs="FrankRuehl" w:hint="cs"/>
          <w:sz w:val="28"/>
          <w:szCs w:val="28"/>
          <w:rtl/>
        </w:rPr>
        <w:t>ה</w:t>
      </w:r>
      <w:r>
        <w:rPr>
          <w:rFonts w:ascii="Calibri" w:hAnsi="Calibri" w:cs="FrankRuehl"/>
          <w:sz w:val="28"/>
          <w:szCs w:val="28"/>
          <w:rtl/>
        </w:rPr>
        <w:t xml:space="preserve">משפט </w:t>
      </w:r>
      <w:r>
        <w:rPr>
          <w:rFonts w:ascii="Calibri" w:hAnsi="Calibri" w:cs="FrankRuehl" w:hint="cs"/>
          <w:sz w:val="28"/>
          <w:szCs w:val="28"/>
          <w:rtl/>
        </w:rPr>
        <w:t>ה</w:t>
      </w:r>
      <w:r>
        <w:rPr>
          <w:rFonts w:ascii="Calibri" w:hAnsi="Calibri" w:cs="FrankRuehl"/>
          <w:sz w:val="28"/>
          <w:szCs w:val="28"/>
          <w:rtl/>
        </w:rPr>
        <w:t xml:space="preserve">קהילתי, מצא כי אינו מתאים, בעיקר בשל העובדה כי הנאשם סירב לקחת חלק במסלול טיפולי. בהמשך, ביקשה הסנגורית לשלוח את הנאשם לממונה </w:t>
      </w:r>
      <w:r>
        <w:rPr>
          <w:rFonts w:ascii="Calibri" w:hAnsi="Calibri" w:cs="FrankRuehl" w:hint="cs"/>
          <w:sz w:val="28"/>
          <w:szCs w:val="28"/>
          <w:rtl/>
        </w:rPr>
        <w:t>ע</w:t>
      </w:r>
      <w:r>
        <w:rPr>
          <w:rFonts w:ascii="Calibri" w:hAnsi="Calibri" w:cs="FrankRuehl"/>
          <w:sz w:val="28"/>
          <w:szCs w:val="28"/>
          <w:rtl/>
        </w:rPr>
        <w:t>ל</w:t>
      </w:r>
      <w:r>
        <w:rPr>
          <w:rFonts w:ascii="Calibri" w:hAnsi="Calibri" w:cs="FrankRuehl" w:hint="cs"/>
          <w:sz w:val="28"/>
          <w:szCs w:val="28"/>
          <w:rtl/>
        </w:rPr>
        <w:t xml:space="preserve"> </w:t>
      </w:r>
      <w:r>
        <w:rPr>
          <w:rFonts w:ascii="Calibri" w:hAnsi="Calibri" w:cs="FrankRuehl"/>
          <w:sz w:val="28"/>
          <w:szCs w:val="28"/>
          <w:rtl/>
        </w:rPr>
        <w:t>עבודות שירות ונעתרתי לבקשה.</w:t>
      </w:r>
    </w:p>
    <w:p w14:paraId="3142B18F" w14:textId="77777777" w:rsidR="00BB03C6" w:rsidRDefault="00BB03C6" w:rsidP="00BB03C6">
      <w:pPr>
        <w:spacing w:after="160" w:line="360" w:lineRule="auto"/>
        <w:jc w:val="both"/>
        <w:rPr>
          <w:rFonts w:ascii="FrankRuehl" w:hAnsi="FrankRuehl" w:cs="FrankRuehl"/>
          <w:sz w:val="28"/>
          <w:szCs w:val="28"/>
          <w:rtl/>
        </w:rPr>
      </w:pPr>
    </w:p>
    <w:p w14:paraId="66A29696" w14:textId="77777777" w:rsidR="00BB03C6" w:rsidRDefault="00BB03C6" w:rsidP="00BB03C6">
      <w:pPr>
        <w:spacing w:after="160"/>
        <w:jc w:val="both"/>
        <w:rPr>
          <w:rFonts w:ascii="FrankRuehl" w:hAnsi="FrankRuehl" w:cs="FrankRuehl"/>
          <w:b/>
          <w:bCs/>
          <w:sz w:val="28"/>
          <w:szCs w:val="28"/>
          <w:u w:val="single"/>
          <w:rtl/>
        </w:rPr>
      </w:pPr>
      <w:r>
        <w:rPr>
          <w:rFonts w:ascii="FrankRuehl" w:hAnsi="FrankRuehl" w:cs="FrankRuehl"/>
          <w:b/>
          <w:bCs/>
          <w:sz w:val="28"/>
          <w:szCs w:val="28"/>
          <w:u w:val="single"/>
          <w:rtl/>
        </w:rPr>
        <w:t>עבר פלילי</w:t>
      </w:r>
    </w:p>
    <w:p w14:paraId="0677D7F4" w14:textId="77777777" w:rsidR="00BB03C6" w:rsidRDefault="00BB03C6" w:rsidP="00BB03C6">
      <w:pPr>
        <w:spacing w:after="160" w:line="360" w:lineRule="auto"/>
        <w:jc w:val="both"/>
        <w:rPr>
          <w:rFonts w:ascii="FrankRuehl" w:hAnsi="FrankRuehl" w:cs="FrankRuehl"/>
          <w:sz w:val="28"/>
          <w:szCs w:val="28"/>
          <w:rtl/>
        </w:rPr>
      </w:pPr>
      <w:r>
        <w:rPr>
          <w:rFonts w:ascii="FrankRuehl" w:hAnsi="FrankRuehl" w:cs="FrankRuehl"/>
          <w:sz w:val="28"/>
          <w:szCs w:val="28"/>
          <w:rtl/>
        </w:rPr>
        <w:t>בעברו של הנאשם הרשעה אחת משנת 2021 בעבירה של תקיפה סתם (משנת 2018) בה הוטל עליו צו התחייבות להימנע מעבירה.</w:t>
      </w:r>
    </w:p>
    <w:p w14:paraId="3EA46EDA" w14:textId="77777777" w:rsidR="00BB03C6" w:rsidRDefault="00BB03C6" w:rsidP="00BB03C6">
      <w:pPr>
        <w:spacing w:after="160" w:line="360" w:lineRule="auto"/>
        <w:jc w:val="both"/>
        <w:rPr>
          <w:rFonts w:ascii="FrankRuehl" w:hAnsi="FrankRuehl" w:cs="FrankRuehl"/>
          <w:sz w:val="28"/>
          <w:szCs w:val="28"/>
          <w:rtl/>
        </w:rPr>
      </w:pPr>
    </w:p>
    <w:p w14:paraId="453D7869" w14:textId="77777777" w:rsidR="00BB03C6" w:rsidRDefault="00BB03C6" w:rsidP="00BB03C6">
      <w:pPr>
        <w:spacing w:after="160"/>
        <w:jc w:val="both"/>
        <w:rPr>
          <w:rFonts w:ascii="Calibri" w:hAnsi="Calibri" w:cs="FrankRuehl"/>
          <w:b/>
          <w:bCs/>
          <w:sz w:val="28"/>
          <w:szCs w:val="28"/>
          <w:u w:val="single"/>
          <w:rtl/>
        </w:rPr>
      </w:pPr>
      <w:r>
        <w:rPr>
          <w:rFonts w:ascii="Calibri" w:hAnsi="Calibri" w:cs="FrankRuehl"/>
          <w:b/>
          <w:bCs/>
          <w:sz w:val="28"/>
          <w:szCs w:val="28"/>
          <w:u w:val="single"/>
          <w:rtl/>
        </w:rPr>
        <w:t>תסקיר שירות המבחן</w:t>
      </w:r>
    </w:p>
    <w:p w14:paraId="62413E77" w14:textId="77777777" w:rsidR="00BB03C6" w:rsidRDefault="00BB03C6" w:rsidP="00BB03C6">
      <w:pPr>
        <w:spacing w:after="160" w:line="360" w:lineRule="auto"/>
        <w:jc w:val="both"/>
        <w:rPr>
          <w:rFonts w:ascii="Calibri" w:hAnsi="Calibri" w:cs="FrankRuehl"/>
          <w:sz w:val="28"/>
          <w:szCs w:val="28"/>
          <w:rtl/>
        </w:rPr>
      </w:pPr>
      <w:r>
        <w:rPr>
          <w:rFonts w:ascii="Calibri" w:hAnsi="Calibri" w:cs="FrankRuehl"/>
          <w:sz w:val="28"/>
          <w:szCs w:val="28"/>
          <w:rtl/>
        </w:rPr>
        <w:t xml:space="preserve">מהתסקיר שהוגש בעניינו של הנאשם, עולה כי הוא כבן 24, רווק ומתגורר היום בבית אביו ביישוב חריש ושוהה בתנאים מגבילים. טרם מעצרו בתיק זה, התגורר בבית אמו בירושלים ומסר כי סיים בהצלחה את שנת הלימודים האקדמית הראשונה בניהול מערכות בריאות במכללת "הדסה". כן מסר, כי לאחרונה לא עבד, זאת לאחר פיטוריו ממפעל מזון בו עבד במשך מספר חודשים, בגלל משבר הקורונה. הנאשם סיים 12 שנות לימוד בתיכון מקצועי צבאי "אורט חלל ותעופה" במעלה אדומים, בו למד במגמת חשמל וסיים עם תעודת בגרות מלאה. במקביל ללימודיו, עבד בתחום המשלוחים. לאחר סיום לימודיו, התגייס לצה"ל ושירת שירות צבאי מלא כטכנאי מזגנים בחיל האוויר. כאמור, לאחר השחרור החל לעבוד במפעל מזון, אך פוטר לאחר מספר חודשי עבודה עקב משבר הקורונה. אשר לתיק העיקרי, הודה הנאשם באופן הצהרתי ופורמאלי בעובדות כתב האישום ומִזער מחומרת העבירות, תוך שביטא כעס ומרמור כלפי מערכת אכיפת החוק והמדינה. לדבריו, חווה תסכול באותה תקופה </w:t>
      </w:r>
      <w:r>
        <w:rPr>
          <w:rFonts w:ascii="Calibri" w:hAnsi="Calibri" w:cs="FrankRuehl" w:hint="cs"/>
          <w:sz w:val="28"/>
          <w:szCs w:val="28"/>
          <w:rtl/>
        </w:rPr>
        <w:t>משום שפ</w:t>
      </w:r>
      <w:r>
        <w:rPr>
          <w:rFonts w:ascii="Calibri" w:hAnsi="Calibri" w:cs="FrankRuehl"/>
          <w:sz w:val="28"/>
          <w:szCs w:val="28"/>
          <w:rtl/>
        </w:rPr>
        <w:t>וטר מעבודתו ונאלץ להתגורר בבית הוריו וחיפש מקור פרנסה קל</w:t>
      </w:r>
      <w:r>
        <w:rPr>
          <w:rFonts w:ascii="Calibri" w:hAnsi="Calibri" w:cs="FrankRuehl" w:hint="cs"/>
          <w:sz w:val="28"/>
          <w:szCs w:val="28"/>
          <w:rtl/>
        </w:rPr>
        <w:t>,</w:t>
      </w:r>
      <w:r>
        <w:rPr>
          <w:rFonts w:ascii="Calibri" w:hAnsi="Calibri" w:cs="FrankRuehl"/>
          <w:sz w:val="28"/>
          <w:szCs w:val="28"/>
          <w:rtl/>
        </w:rPr>
        <w:t xml:space="preserve"> וכי חלק מהסמים נועדו לשימושו האישי. אשר לתיק המצורף, הנאשם תיאר כי חברו היה מעורב בוויכוח עם אנשים אחרים שבילו במועדון והתפתחה קטטה בין הצדדים, כאשר לדבריו פעל מתוך הגנה עצמית ואינו מזהה בכך אלימות יזומה מצדו. אשר לשימוש בסמים, הנאשם סיפר כי החל להשתמש בקנאביס לאחר שחרורו ועד למעצרו תיאר שימוש יומיומי, אלא שלדבריו מאז מעצרו הפסיק להשתמש ובדיקה לגילוי שרידי סם שמסר נמצאה שלילית להימצאות סמים. שירות המבחן מסר כי הציע מספר פעמים לנאשם להצטרף לטיפול בתחום הסמים, גם במסגרת צו הפיקוח שהוטל עליו בהליך המעצר, אך הנאשם שב וסירב בטענה כי אינו זקוק לטיפול בתחום זה. נוכח האמור, שירות המבחן המליץ להטיל על הנאשם מאסר בפועל בדמות של עבודות שירות.</w:t>
      </w:r>
    </w:p>
    <w:p w14:paraId="7C0651C4" w14:textId="77777777" w:rsidR="00BB03C6" w:rsidRDefault="00BB03C6" w:rsidP="00BB03C6">
      <w:pPr>
        <w:spacing w:after="160" w:line="360" w:lineRule="auto"/>
        <w:jc w:val="both"/>
        <w:rPr>
          <w:rFonts w:ascii="Calibri" w:hAnsi="Calibri" w:cs="FrankRuehl"/>
          <w:b/>
          <w:bCs/>
          <w:sz w:val="28"/>
          <w:szCs w:val="28"/>
          <w:u w:val="single"/>
          <w:rtl/>
        </w:rPr>
      </w:pPr>
    </w:p>
    <w:p w14:paraId="197BB3AF" w14:textId="77777777" w:rsidR="00BB03C6" w:rsidRDefault="00BB03C6" w:rsidP="00BB03C6">
      <w:pPr>
        <w:spacing w:after="160" w:line="360" w:lineRule="auto"/>
        <w:jc w:val="both"/>
        <w:rPr>
          <w:rFonts w:ascii="Calibri" w:hAnsi="Calibri" w:cs="FrankRuehl"/>
          <w:b/>
          <w:bCs/>
          <w:sz w:val="28"/>
          <w:szCs w:val="28"/>
          <w:u w:val="single"/>
          <w:rtl/>
        </w:rPr>
      </w:pPr>
      <w:r>
        <w:rPr>
          <w:rFonts w:ascii="Calibri" w:hAnsi="Calibri" w:cs="FrankRuehl"/>
          <w:b/>
          <w:bCs/>
          <w:sz w:val="28"/>
          <w:szCs w:val="28"/>
          <w:u w:val="single"/>
          <w:rtl/>
        </w:rPr>
        <w:t>חוות דעת הממונה על עבודות שירות</w:t>
      </w:r>
    </w:p>
    <w:p w14:paraId="39A8EE35" w14:textId="77777777" w:rsidR="00BB03C6" w:rsidRDefault="00BB03C6" w:rsidP="00BB03C6">
      <w:pPr>
        <w:spacing w:after="160" w:line="360" w:lineRule="auto"/>
        <w:jc w:val="both"/>
        <w:rPr>
          <w:rFonts w:ascii="Calibri" w:hAnsi="Calibri" w:cs="FrankRuehl"/>
          <w:sz w:val="28"/>
          <w:szCs w:val="28"/>
          <w:rtl/>
        </w:rPr>
      </w:pPr>
      <w:r>
        <w:rPr>
          <w:rFonts w:ascii="Calibri" w:hAnsi="Calibri" w:cs="FrankRuehl"/>
          <w:sz w:val="28"/>
          <w:szCs w:val="28"/>
          <w:rtl/>
        </w:rPr>
        <w:t>הממונה הגיש חוות דעת אודות כשירות של הנאשם לבצע עבודות שירות ומצא אותו כשיר לביצוע. הממונה ביקש להציב את הנאשם ב"מפעל חיים" בירושלים.</w:t>
      </w:r>
    </w:p>
    <w:p w14:paraId="20C7327C" w14:textId="77777777" w:rsidR="00BB03C6" w:rsidRDefault="00BB03C6" w:rsidP="00BB03C6">
      <w:pPr>
        <w:spacing w:after="160" w:line="360" w:lineRule="auto"/>
        <w:jc w:val="both"/>
        <w:rPr>
          <w:rFonts w:ascii="Calibri" w:hAnsi="Calibri" w:cs="FrankRuehl"/>
          <w:sz w:val="28"/>
          <w:szCs w:val="28"/>
          <w:rtl/>
        </w:rPr>
      </w:pPr>
    </w:p>
    <w:p w14:paraId="14E8809D" w14:textId="77777777" w:rsidR="00BB03C6" w:rsidRDefault="00BB03C6" w:rsidP="00BB03C6">
      <w:pPr>
        <w:spacing w:after="160" w:line="360" w:lineRule="auto"/>
        <w:jc w:val="both"/>
        <w:rPr>
          <w:rFonts w:ascii="Calibri" w:hAnsi="Calibri" w:cs="FrankRuehl"/>
          <w:b/>
          <w:bCs/>
          <w:sz w:val="28"/>
          <w:szCs w:val="28"/>
          <w:u w:val="single"/>
        </w:rPr>
      </w:pPr>
      <w:r>
        <w:rPr>
          <w:rFonts w:ascii="Calibri" w:hAnsi="Calibri" w:cs="FrankRuehl"/>
          <w:b/>
          <w:bCs/>
          <w:sz w:val="28"/>
          <w:szCs w:val="28"/>
          <w:u w:val="single"/>
          <w:rtl/>
        </w:rPr>
        <w:t>טיעונים לעונש</w:t>
      </w:r>
    </w:p>
    <w:p w14:paraId="369AB80A" w14:textId="77777777" w:rsidR="00BB03C6" w:rsidRDefault="00BB03C6" w:rsidP="00BB03C6">
      <w:pPr>
        <w:spacing w:after="160" w:line="360" w:lineRule="auto"/>
        <w:jc w:val="both"/>
        <w:rPr>
          <w:rFonts w:ascii="Calibri" w:hAnsi="Calibri" w:cs="FrankRuehl"/>
          <w:sz w:val="28"/>
          <w:szCs w:val="28"/>
          <w:rtl/>
        </w:rPr>
      </w:pPr>
      <w:r>
        <w:rPr>
          <w:rFonts w:ascii="Calibri" w:hAnsi="Calibri" w:cs="FrankRuehl"/>
          <w:sz w:val="28"/>
          <w:szCs w:val="28"/>
          <w:rtl/>
        </w:rPr>
        <w:t xml:space="preserve">הצדדים לא הגיעו להסכמה עונשית. </w:t>
      </w:r>
    </w:p>
    <w:p w14:paraId="68932987" w14:textId="77777777" w:rsidR="00BB03C6" w:rsidRDefault="00BB03C6" w:rsidP="00BB03C6">
      <w:pPr>
        <w:spacing w:after="160" w:line="360" w:lineRule="auto"/>
        <w:jc w:val="both"/>
        <w:rPr>
          <w:rFonts w:ascii="Calibri" w:hAnsi="Calibri" w:cs="FrankRuehl"/>
          <w:sz w:val="28"/>
          <w:szCs w:val="28"/>
          <w:rtl/>
        </w:rPr>
      </w:pPr>
      <w:r>
        <w:rPr>
          <w:rFonts w:ascii="Calibri" w:hAnsi="Calibri" w:cs="FrankRuehl"/>
          <w:sz w:val="28"/>
          <w:szCs w:val="28"/>
          <w:rtl/>
        </w:rPr>
        <w:t xml:space="preserve">ב"כ המאשימה הדגישה את חומרת מעשיו של הנאשם וביקשה להטיל עליו עונש של שנתיים מאסר וענישה נלווית. </w:t>
      </w:r>
    </w:p>
    <w:p w14:paraId="70AD0E56" w14:textId="77777777" w:rsidR="00BB03C6" w:rsidRDefault="00BB03C6" w:rsidP="00BB03C6">
      <w:pPr>
        <w:spacing w:after="160" w:line="360" w:lineRule="auto"/>
        <w:jc w:val="both"/>
        <w:rPr>
          <w:rFonts w:ascii="Calibri" w:hAnsi="Calibri" w:cs="FrankRuehl"/>
          <w:sz w:val="28"/>
          <w:szCs w:val="28"/>
          <w:rtl/>
        </w:rPr>
      </w:pPr>
      <w:r>
        <w:rPr>
          <w:rFonts w:ascii="Calibri" w:hAnsi="Calibri" w:cs="FrankRuehl"/>
          <w:sz w:val="28"/>
          <w:szCs w:val="28"/>
          <w:rtl/>
        </w:rPr>
        <w:t>ב"כ הנאשם</w:t>
      </w:r>
      <w:r>
        <w:rPr>
          <w:rFonts w:ascii="Calibri" w:hAnsi="Calibri" w:cs="FrankRuehl" w:hint="cs"/>
          <w:sz w:val="28"/>
          <w:szCs w:val="28"/>
          <w:rtl/>
        </w:rPr>
        <w:t xml:space="preserve"> ביקשה להסתפק בתקופה מינימלית של עבודות שירות תוך שהדגישה את מעלותיו של הנאשם ואת המחיר ששילם על הפשע שבצע.</w:t>
      </w:r>
    </w:p>
    <w:p w14:paraId="3A0BE178" w14:textId="77777777" w:rsidR="00BB03C6" w:rsidRDefault="00BB03C6" w:rsidP="00BB03C6">
      <w:pPr>
        <w:spacing w:after="160" w:line="360" w:lineRule="auto"/>
        <w:jc w:val="both"/>
        <w:rPr>
          <w:rFonts w:ascii="Calibri" w:hAnsi="Calibri" w:cs="FrankRuehl"/>
          <w:sz w:val="28"/>
          <w:szCs w:val="28"/>
          <w:rtl/>
        </w:rPr>
      </w:pPr>
      <w:r>
        <w:rPr>
          <w:rFonts w:ascii="Calibri" w:hAnsi="Calibri" w:cs="FrankRuehl" w:hint="cs"/>
          <w:sz w:val="28"/>
          <w:szCs w:val="28"/>
          <w:rtl/>
        </w:rPr>
        <w:t>שמעתי את הנאשם ואת הוריו.</w:t>
      </w:r>
    </w:p>
    <w:p w14:paraId="74D5858B" w14:textId="77777777" w:rsidR="00BB03C6" w:rsidRDefault="00BB03C6" w:rsidP="00BB03C6">
      <w:pPr>
        <w:spacing w:after="160"/>
        <w:jc w:val="both"/>
        <w:rPr>
          <w:rFonts w:ascii="Calibri" w:hAnsi="Calibri" w:cs="FrankRuehl"/>
          <w:b/>
          <w:bCs/>
          <w:sz w:val="28"/>
          <w:szCs w:val="28"/>
          <w:u w:val="single"/>
          <w:rtl/>
        </w:rPr>
      </w:pPr>
    </w:p>
    <w:p w14:paraId="3E71143E" w14:textId="77777777" w:rsidR="00BB03C6" w:rsidRDefault="00BB03C6" w:rsidP="00BB03C6">
      <w:pPr>
        <w:spacing w:after="160" w:line="360" w:lineRule="auto"/>
        <w:jc w:val="both"/>
        <w:rPr>
          <w:rFonts w:ascii="Calibri" w:hAnsi="Calibri" w:cs="FrankRuehl"/>
          <w:b/>
          <w:bCs/>
          <w:sz w:val="28"/>
          <w:szCs w:val="28"/>
          <w:u w:val="single"/>
          <w:rtl/>
        </w:rPr>
      </w:pPr>
      <w:r>
        <w:rPr>
          <w:rFonts w:ascii="Calibri" w:hAnsi="Calibri" w:cs="FrankRuehl"/>
          <w:b/>
          <w:bCs/>
          <w:sz w:val="28"/>
          <w:szCs w:val="28"/>
          <w:u w:val="single"/>
          <w:rtl/>
        </w:rPr>
        <w:t xml:space="preserve">קביעת מתחם הענישה </w:t>
      </w:r>
      <w:r>
        <w:rPr>
          <w:rFonts w:ascii="Calibri" w:hAnsi="Calibri" w:cs="FrankRuehl"/>
          <w:sz w:val="28"/>
          <w:szCs w:val="28"/>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132253FC" w14:textId="77777777" w:rsidR="00BB03C6" w:rsidRDefault="00BB03C6" w:rsidP="00BB03C6">
      <w:pPr>
        <w:spacing w:after="160"/>
        <w:jc w:val="both"/>
        <w:rPr>
          <w:rFonts w:ascii="Calibri" w:hAnsi="Calibri" w:cs="FrankRuehl"/>
          <w:b/>
          <w:bCs/>
          <w:sz w:val="28"/>
          <w:szCs w:val="28"/>
          <w:u w:val="single"/>
          <w:rtl/>
        </w:rPr>
      </w:pPr>
    </w:p>
    <w:p w14:paraId="26FCACA3" w14:textId="77777777" w:rsidR="00BB03C6" w:rsidRDefault="00BB03C6" w:rsidP="00BB03C6">
      <w:pPr>
        <w:spacing w:line="360" w:lineRule="auto"/>
        <w:jc w:val="both"/>
        <w:rPr>
          <w:rFonts w:ascii="Calibri" w:hAnsi="Calibri" w:cs="FrankRuehl"/>
          <w:sz w:val="28"/>
          <w:szCs w:val="28"/>
          <w:rtl/>
        </w:rPr>
      </w:pPr>
      <w:r>
        <w:rPr>
          <w:rFonts w:ascii="Calibri" w:hAnsi="Calibri" w:cs="FrankRuehl"/>
          <w:b/>
          <w:bCs/>
          <w:sz w:val="28"/>
          <w:szCs w:val="28"/>
          <w:u w:val="single"/>
          <w:rtl/>
        </w:rPr>
        <w:t xml:space="preserve">אשר לערך המוגן </w:t>
      </w:r>
      <w:r>
        <w:rPr>
          <w:rFonts w:ascii="Calibri" w:hAnsi="Calibri" w:cs="FrankRuehl"/>
          <w:sz w:val="28"/>
          <w:szCs w:val="28"/>
          <w:rtl/>
        </w:rPr>
        <w:t xml:space="preserve">– </w:t>
      </w:r>
      <w:r>
        <w:rPr>
          <w:rFonts w:ascii="Calibri" w:hAnsi="Calibri" w:cs="FrankRuehl"/>
          <w:b/>
          <w:bCs/>
          <w:sz w:val="28"/>
          <w:szCs w:val="28"/>
          <w:rtl/>
        </w:rPr>
        <w:t>עבירות הסמים</w:t>
      </w:r>
      <w:r>
        <w:rPr>
          <w:rFonts w:ascii="Calibri" w:hAnsi="Calibri" w:cs="FrankRuehl"/>
          <w:sz w:val="28"/>
          <w:szCs w:val="28"/>
          <w:rtl/>
        </w:rPr>
        <w:t xml:space="preserve"> אותן עבר הנאשם פוגעות בערך המוגן של  שמירה על שלום הציבור ובריאותו מפני נגע הסמים, שתוצאות השימוש בהם וההתמכרות אליהם קשות, ארוכות טווח ורחבות היקף וחורגות מעניינו של אדם אחד, ונוגעות לכלל החברה. ר' בהקשר זה: רע"פ </w:t>
      </w:r>
      <w:hyperlink r:id="rId30" w:history="1">
        <w:r w:rsidR="002A1510" w:rsidRPr="002A1510">
          <w:rPr>
            <w:rStyle w:val="Hyperlink"/>
            <w:rFonts w:ascii="Calibri" w:hAnsi="Calibri" w:cs="FrankRuehl"/>
            <w:sz w:val="28"/>
            <w:szCs w:val="28"/>
            <w:rtl/>
          </w:rPr>
          <w:t>3343/07</w:t>
        </w:r>
      </w:hyperlink>
      <w:r>
        <w:rPr>
          <w:rFonts w:ascii="Calibri" w:hAnsi="Calibri" w:cs="FrankRuehl"/>
          <w:sz w:val="28"/>
          <w:szCs w:val="28"/>
          <w:rtl/>
        </w:rPr>
        <w:t xml:space="preserve"> </w:t>
      </w:r>
      <w:r>
        <w:rPr>
          <w:rFonts w:ascii="Calibri" w:hAnsi="Calibri" w:cs="FrankRuehl"/>
          <w:b/>
          <w:bCs/>
          <w:sz w:val="28"/>
          <w:szCs w:val="28"/>
          <w:u w:val="single"/>
          <w:rtl/>
        </w:rPr>
        <w:t>מכאוי</w:t>
      </w:r>
      <w:r>
        <w:rPr>
          <w:rFonts w:ascii="Calibri" w:hAnsi="Calibri" w:cs="FrankRuehl"/>
          <w:sz w:val="28"/>
          <w:szCs w:val="28"/>
          <w:rtl/>
        </w:rPr>
        <w:t xml:space="preserve"> נ' </w:t>
      </w:r>
      <w:r>
        <w:rPr>
          <w:rFonts w:ascii="Calibri" w:hAnsi="Calibri" w:cs="FrankRuehl"/>
          <w:b/>
          <w:bCs/>
          <w:sz w:val="28"/>
          <w:szCs w:val="28"/>
          <w:u w:val="single"/>
          <w:rtl/>
        </w:rPr>
        <w:t>מ"</w:t>
      </w:r>
      <w:r>
        <w:rPr>
          <w:rFonts w:ascii="Calibri" w:hAnsi="Calibri" w:cs="FrankRuehl"/>
          <w:sz w:val="28"/>
          <w:szCs w:val="28"/>
          <w:rtl/>
        </w:rPr>
        <w:t>י (מיום 26.7.2017). בעניינו הפגיעה בערך המוגן בתיק העיקרי היא בינונית. על אף שמדובר בריבוי מקרי סחר, סוג הסם וכמותו מפחיתים מן הפגיעה בערך המוגן. אשר לתיק המצורף, הערך המוגן שנפגע הינו שמירה על שלום גופו של האדם. הפגיעה כאן היא בינונית.</w:t>
      </w:r>
    </w:p>
    <w:p w14:paraId="4677A4A2" w14:textId="77777777" w:rsidR="00BB03C6" w:rsidRDefault="00BB03C6" w:rsidP="00BB03C6">
      <w:pPr>
        <w:spacing w:after="160"/>
        <w:jc w:val="both"/>
        <w:rPr>
          <w:rFonts w:ascii="Calibri" w:hAnsi="Calibri" w:cs="FrankRuehl"/>
          <w:b/>
          <w:bCs/>
          <w:sz w:val="28"/>
          <w:szCs w:val="28"/>
          <w:u w:val="single"/>
          <w:rtl/>
        </w:rPr>
      </w:pPr>
    </w:p>
    <w:p w14:paraId="76F3B643" w14:textId="77777777" w:rsidR="00BB03C6" w:rsidRDefault="00BB03C6" w:rsidP="00BB03C6">
      <w:pPr>
        <w:spacing w:after="160" w:line="360" w:lineRule="auto"/>
        <w:jc w:val="both"/>
        <w:rPr>
          <w:rFonts w:ascii="Calibri" w:hAnsi="Calibri" w:cs="FrankRuehl"/>
          <w:sz w:val="28"/>
          <w:szCs w:val="28"/>
          <w:rtl/>
        </w:rPr>
      </w:pPr>
      <w:r>
        <w:rPr>
          <w:rFonts w:ascii="Calibri" w:hAnsi="Calibri" w:cs="FrankRuehl"/>
          <w:b/>
          <w:bCs/>
          <w:sz w:val="28"/>
          <w:szCs w:val="28"/>
          <w:u w:val="single"/>
          <w:rtl/>
        </w:rPr>
        <w:t xml:space="preserve">נסיבות הקשורות בביצוע העבירה, לפי </w:t>
      </w:r>
      <w:hyperlink r:id="rId31" w:history="1">
        <w:r w:rsidR="00A7519A" w:rsidRPr="00A7519A">
          <w:rPr>
            <w:rStyle w:val="Hyperlink"/>
            <w:rFonts w:ascii="Calibri" w:hAnsi="Calibri" w:cs="FrankRuehl" w:hint="eastAsia"/>
            <w:b/>
            <w:bCs/>
            <w:sz w:val="28"/>
            <w:szCs w:val="28"/>
            <w:rtl/>
          </w:rPr>
          <w:t>סעיף</w:t>
        </w:r>
        <w:r w:rsidR="00A7519A" w:rsidRPr="00A7519A">
          <w:rPr>
            <w:rStyle w:val="Hyperlink"/>
            <w:rFonts w:ascii="Calibri" w:hAnsi="Calibri" w:cs="FrankRuehl"/>
            <w:b/>
            <w:bCs/>
            <w:sz w:val="28"/>
            <w:szCs w:val="28"/>
            <w:rtl/>
          </w:rPr>
          <w:t xml:space="preserve"> 40</w:t>
        </w:r>
        <w:r w:rsidR="00A7519A" w:rsidRPr="00A7519A">
          <w:rPr>
            <w:rStyle w:val="Hyperlink"/>
            <w:rFonts w:ascii="Calibri" w:hAnsi="Calibri" w:cs="FrankRuehl" w:hint="eastAsia"/>
            <w:b/>
            <w:bCs/>
            <w:sz w:val="28"/>
            <w:szCs w:val="28"/>
            <w:rtl/>
          </w:rPr>
          <w:t>ט</w:t>
        </w:r>
        <w:r w:rsidR="00A7519A" w:rsidRPr="00A7519A">
          <w:rPr>
            <w:rStyle w:val="Hyperlink"/>
            <w:rFonts w:ascii="Calibri" w:hAnsi="Calibri" w:cs="FrankRuehl"/>
            <w:b/>
            <w:bCs/>
            <w:sz w:val="28"/>
            <w:szCs w:val="28"/>
            <w:rtl/>
          </w:rPr>
          <w:t>'</w:t>
        </w:r>
      </w:hyperlink>
      <w:r>
        <w:rPr>
          <w:rFonts w:ascii="Calibri" w:hAnsi="Calibri" w:cs="FrankRuehl"/>
          <w:b/>
          <w:bCs/>
          <w:sz w:val="28"/>
          <w:szCs w:val="28"/>
          <w:u w:val="single"/>
          <w:rtl/>
        </w:rPr>
        <w:t xml:space="preserve"> ל</w:t>
      </w:r>
      <w:hyperlink r:id="rId32" w:history="1">
        <w:r w:rsidR="00B44F47" w:rsidRPr="00B44F47">
          <w:rPr>
            <w:rFonts w:ascii="Calibri" w:hAnsi="Calibri" w:cs="FrankRuehl" w:hint="eastAsia"/>
            <w:b/>
            <w:bCs/>
            <w:color w:val="0000FF"/>
            <w:sz w:val="28"/>
            <w:szCs w:val="28"/>
            <w:u w:val="single"/>
            <w:rtl/>
          </w:rPr>
          <w:t>חוק</w:t>
        </w:r>
        <w:r w:rsidR="00B44F47" w:rsidRPr="00B44F47">
          <w:rPr>
            <w:rFonts w:ascii="Calibri" w:hAnsi="Calibri" w:cs="FrankRuehl"/>
            <w:b/>
            <w:bCs/>
            <w:color w:val="0000FF"/>
            <w:sz w:val="28"/>
            <w:szCs w:val="28"/>
            <w:u w:val="single"/>
            <w:rtl/>
          </w:rPr>
          <w:t xml:space="preserve"> </w:t>
        </w:r>
        <w:r w:rsidR="00B44F47" w:rsidRPr="00B44F47">
          <w:rPr>
            <w:rFonts w:ascii="Calibri" w:hAnsi="Calibri" w:cs="FrankRuehl" w:hint="eastAsia"/>
            <w:b/>
            <w:bCs/>
            <w:color w:val="0000FF"/>
            <w:sz w:val="28"/>
            <w:szCs w:val="28"/>
            <w:u w:val="single"/>
            <w:rtl/>
          </w:rPr>
          <w:t>העונשין</w:t>
        </w:r>
      </w:hyperlink>
      <w:r>
        <w:rPr>
          <w:rFonts w:ascii="Calibri" w:hAnsi="Calibri" w:cs="FrankRuehl"/>
          <w:b/>
          <w:bCs/>
          <w:sz w:val="28"/>
          <w:szCs w:val="28"/>
          <w:rtl/>
        </w:rPr>
        <w:t xml:space="preserve"> – </w:t>
      </w:r>
      <w:r>
        <w:rPr>
          <w:rFonts w:ascii="Calibri" w:hAnsi="Calibri" w:cs="FrankRuehl"/>
          <w:sz w:val="28"/>
          <w:szCs w:val="28"/>
          <w:rtl/>
        </w:rPr>
        <w:t xml:space="preserve">בין הנסיבות הקשורות בביצוע העבירה יש לשקול את אלה, לעניין קביעת המתחם: </w:t>
      </w:r>
      <w:r>
        <w:rPr>
          <w:rFonts w:ascii="Calibri" w:hAnsi="Calibri" w:cs="FrankRuehl"/>
          <w:b/>
          <w:bCs/>
          <w:sz w:val="28"/>
          <w:szCs w:val="28"/>
          <w:rtl/>
        </w:rPr>
        <w:t>אשר לתיק העיקרי</w:t>
      </w:r>
      <w:r>
        <w:rPr>
          <w:rFonts w:ascii="Calibri" w:hAnsi="Calibri" w:cs="FrankRuehl"/>
          <w:sz w:val="28"/>
          <w:szCs w:val="28"/>
          <w:rtl/>
        </w:rPr>
        <w:t xml:space="preserve"> - מדובר בעבירות שבוצעו מתוך מניע כלכלי, למרות שמדובר במכירות של גרמים בודדים ולמכרים בלבד של הנאשם; על הנזק הנגרם מסמים עמדתי, ובוודאי שמדובר בנזק משמעותי שעה שמדובר במספר מקרי סחר. לקולא בהקשר זה, הפצת הסם רק לחבריו של הנאשם ולא ל"לקוחות אקראיים"; הגם שהנאשם הוא צעיר יחסית, בוודאי שידע את הפסול שבמעשים, ואין כל סיבה נראית לעין, מלבד בצע כסף, לביצוע העבירות, כך שיכולתו להימנע מביצוען ברורה. </w:t>
      </w:r>
      <w:r>
        <w:rPr>
          <w:rFonts w:ascii="Calibri" w:hAnsi="Calibri" w:cs="FrankRuehl"/>
          <w:b/>
          <w:bCs/>
          <w:sz w:val="28"/>
          <w:szCs w:val="28"/>
          <w:rtl/>
        </w:rPr>
        <w:t>אשר לתיק המצורף</w:t>
      </w:r>
      <w:r>
        <w:rPr>
          <w:rFonts w:ascii="Calibri" w:hAnsi="Calibri" w:cs="FrankRuehl"/>
          <w:sz w:val="28"/>
          <w:szCs w:val="28"/>
          <w:rtl/>
        </w:rPr>
        <w:t xml:space="preserve"> – </w:t>
      </w:r>
      <w:r>
        <w:rPr>
          <w:rFonts w:ascii="Calibri" w:hAnsi="Calibri" w:cs="FrankRuehl" w:hint="cs"/>
          <w:sz w:val="28"/>
          <w:szCs w:val="28"/>
          <w:rtl/>
        </w:rPr>
        <w:t>אין</w:t>
      </w:r>
      <w:r>
        <w:rPr>
          <w:rFonts w:ascii="Calibri" w:hAnsi="Calibri" w:cs="FrankRuehl"/>
          <w:sz w:val="28"/>
          <w:szCs w:val="28"/>
          <w:rtl/>
        </w:rPr>
        <w:t xml:space="preserve"> מדובר בעבירה מתוכננת, אלא כניסה לתגרה שהנאשם יכול היה להימנע ממנה בקלות, לו היה בוחר שלא לקחת בה חלק. הנאשם נצפה כשהוא מכה אדם אחר בראשו והנזק הצפוי להיגרם מעבירות מסוג זה הוא רב.</w:t>
      </w:r>
    </w:p>
    <w:p w14:paraId="7EA41941" w14:textId="77777777" w:rsidR="00BB03C6" w:rsidRDefault="00BB03C6" w:rsidP="00BB03C6">
      <w:pPr>
        <w:spacing w:after="160"/>
        <w:jc w:val="both"/>
        <w:rPr>
          <w:rFonts w:ascii="Calibri" w:hAnsi="Calibri" w:cs="FrankRuehl"/>
          <w:b/>
          <w:bCs/>
          <w:sz w:val="28"/>
          <w:szCs w:val="28"/>
          <w:u w:val="single"/>
          <w:rtl/>
        </w:rPr>
      </w:pPr>
    </w:p>
    <w:p w14:paraId="7869C89F" w14:textId="77777777" w:rsidR="00BB03C6" w:rsidRDefault="00BB03C6" w:rsidP="00BB03C6">
      <w:pPr>
        <w:spacing w:after="160" w:line="360" w:lineRule="auto"/>
        <w:jc w:val="both"/>
        <w:rPr>
          <w:rFonts w:ascii="Calibri" w:hAnsi="Calibri" w:cs="FrankRuehl"/>
          <w:sz w:val="28"/>
          <w:szCs w:val="28"/>
          <w:rtl/>
        </w:rPr>
      </w:pPr>
      <w:r>
        <w:rPr>
          <w:rFonts w:ascii="Calibri" w:hAnsi="Calibri" w:cs="FrankRuehl"/>
          <w:b/>
          <w:bCs/>
          <w:sz w:val="28"/>
          <w:szCs w:val="28"/>
          <w:u w:val="single"/>
          <w:rtl/>
        </w:rPr>
        <w:t>מדיניות הענישה הנוהגת</w:t>
      </w:r>
      <w:r>
        <w:rPr>
          <w:rFonts w:ascii="Calibri" w:hAnsi="Calibri" w:cs="FrankRuehl"/>
          <w:b/>
          <w:bCs/>
          <w:sz w:val="28"/>
          <w:szCs w:val="28"/>
          <w:rtl/>
        </w:rPr>
        <w:t xml:space="preserve"> – </w:t>
      </w:r>
      <w:r>
        <w:rPr>
          <w:rFonts w:ascii="Calibri" w:hAnsi="Calibri" w:cs="FrankRuehl"/>
          <w:sz w:val="28"/>
          <w:szCs w:val="28"/>
          <w:rtl/>
        </w:rPr>
        <w:t>סקירת הפסיקה בנסיבות של סחר בסמים מלמדת כי הכלל הוא מאסר בפועל ולעתים קרובות מדובר בענישה דו-ספרתית. אלא שכל מקרה בנסיבותיו וישנם גם מקרים חריגים המסתיימים בענישה מופחתת, בעיקר פרי של שיקום.  ב</w:t>
      </w:r>
      <w:hyperlink r:id="rId33" w:history="1">
        <w:r w:rsidR="00B44F47" w:rsidRPr="00B44F47">
          <w:rPr>
            <w:rFonts w:ascii="Calibri" w:hAnsi="Calibri" w:cs="FrankRuehl" w:hint="eastAsia"/>
            <w:color w:val="0000FF"/>
            <w:sz w:val="28"/>
            <w:szCs w:val="28"/>
            <w:u w:val="single"/>
            <w:rtl/>
          </w:rPr>
          <w:t>רע</w:t>
        </w:r>
        <w:r w:rsidR="00B44F47" w:rsidRPr="00B44F47">
          <w:rPr>
            <w:rFonts w:ascii="Calibri" w:hAnsi="Calibri" w:cs="FrankRuehl"/>
            <w:color w:val="0000FF"/>
            <w:sz w:val="28"/>
            <w:szCs w:val="28"/>
            <w:u w:val="single"/>
            <w:rtl/>
          </w:rPr>
          <w:t>"</w:t>
        </w:r>
        <w:r w:rsidR="00B44F47" w:rsidRPr="00B44F47">
          <w:rPr>
            <w:rFonts w:ascii="Calibri" w:hAnsi="Calibri" w:cs="FrankRuehl" w:hint="eastAsia"/>
            <w:color w:val="0000FF"/>
            <w:sz w:val="28"/>
            <w:szCs w:val="28"/>
            <w:u w:val="single"/>
            <w:rtl/>
          </w:rPr>
          <w:t>פ</w:t>
        </w:r>
        <w:r w:rsidR="00B44F47" w:rsidRPr="00B44F47">
          <w:rPr>
            <w:rFonts w:ascii="Calibri" w:hAnsi="Calibri" w:cs="FrankRuehl"/>
            <w:color w:val="0000FF"/>
            <w:sz w:val="28"/>
            <w:szCs w:val="28"/>
            <w:u w:val="single"/>
            <w:rtl/>
          </w:rPr>
          <w:t xml:space="preserve"> 1183/18</w:t>
        </w:r>
      </w:hyperlink>
      <w:r>
        <w:rPr>
          <w:rFonts w:ascii="Calibri" w:hAnsi="Calibri" w:cs="FrankRuehl"/>
          <w:sz w:val="28"/>
          <w:szCs w:val="28"/>
          <w:rtl/>
        </w:rPr>
        <w:t xml:space="preserve"> </w:t>
      </w:r>
      <w:r>
        <w:rPr>
          <w:rFonts w:ascii="Calibri" w:hAnsi="Calibri" w:cs="FrankRuehl"/>
          <w:b/>
          <w:bCs/>
          <w:sz w:val="28"/>
          <w:szCs w:val="28"/>
          <w:u w:val="single"/>
          <w:rtl/>
        </w:rPr>
        <w:t>ששון</w:t>
      </w:r>
      <w:r>
        <w:rPr>
          <w:rFonts w:ascii="Calibri" w:hAnsi="Calibri" w:cs="FrankRuehl"/>
          <w:sz w:val="28"/>
          <w:szCs w:val="28"/>
          <w:rtl/>
        </w:rPr>
        <w:t xml:space="preserve"> נ' </w:t>
      </w:r>
      <w:r>
        <w:rPr>
          <w:rFonts w:ascii="Calibri" w:hAnsi="Calibri" w:cs="FrankRuehl"/>
          <w:b/>
          <w:bCs/>
          <w:sz w:val="28"/>
          <w:szCs w:val="28"/>
          <w:u w:val="single"/>
          <w:rtl/>
        </w:rPr>
        <w:t>מ"י</w:t>
      </w:r>
      <w:r>
        <w:rPr>
          <w:rFonts w:ascii="Calibri" w:hAnsi="Calibri" w:cs="FrankRuehl"/>
          <w:sz w:val="28"/>
          <w:szCs w:val="28"/>
          <w:rtl/>
        </w:rPr>
        <w:t xml:space="preserve"> (מיום 21.3.2018) אושר מתחם שבין מס' חודשי מאסר לרבות עבודות שירות עד 12 חודשי מאסר בנסיבות של 2 עסקאות ב-</w:t>
      </w:r>
      <w:r>
        <w:rPr>
          <w:rFonts w:ascii="Calibri" w:hAnsi="Calibri" w:cs="FrankRuehl"/>
          <w:sz w:val="28"/>
          <w:szCs w:val="28"/>
        </w:rPr>
        <w:t>LSD</w:t>
      </w:r>
      <w:r>
        <w:rPr>
          <w:rFonts w:ascii="Calibri" w:hAnsi="Calibri" w:cs="FrankRuehl"/>
          <w:sz w:val="28"/>
          <w:szCs w:val="28"/>
          <w:rtl/>
        </w:rPr>
        <w:t xml:space="preserve"> והתיק הסתיים ב-5 חודשי מאסר לריצוי בעבודות שירות, כאשר בית המשפט העליון סבר כי יש קושי שלא להרשיע בעבירות מסוג זה. ב</w:t>
      </w:r>
      <w:hyperlink r:id="rId34" w:history="1">
        <w:r w:rsidR="00B44F47" w:rsidRPr="00B44F47">
          <w:rPr>
            <w:rFonts w:ascii="Calibri" w:hAnsi="Calibri" w:cs="FrankRuehl" w:hint="eastAsia"/>
            <w:color w:val="0000FF"/>
            <w:sz w:val="28"/>
            <w:szCs w:val="28"/>
            <w:u w:val="single"/>
            <w:rtl/>
          </w:rPr>
          <w:t>רע</w:t>
        </w:r>
        <w:r w:rsidR="00B44F47" w:rsidRPr="00B44F47">
          <w:rPr>
            <w:rFonts w:ascii="Calibri" w:hAnsi="Calibri" w:cs="FrankRuehl"/>
            <w:color w:val="0000FF"/>
            <w:sz w:val="28"/>
            <w:szCs w:val="28"/>
            <w:u w:val="single"/>
            <w:rtl/>
          </w:rPr>
          <w:t>"</w:t>
        </w:r>
        <w:r w:rsidR="00B44F47" w:rsidRPr="00B44F47">
          <w:rPr>
            <w:rFonts w:ascii="Calibri" w:hAnsi="Calibri" w:cs="FrankRuehl" w:hint="eastAsia"/>
            <w:color w:val="0000FF"/>
            <w:sz w:val="28"/>
            <w:szCs w:val="28"/>
            <w:u w:val="single"/>
            <w:rtl/>
          </w:rPr>
          <w:t>פ</w:t>
        </w:r>
        <w:r w:rsidR="00B44F47" w:rsidRPr="00B44F47">
          <w:rPr>
            <w:rFonts w:ascii="Calibri" w:hAnsi="Calibri" w:cs="FrankRuehl"/>
            <w:color w:val="0000FF"/>
            <w:sz w:val="28"/>
            <w:szCs w:val="28"/>
            <w:u w:val="single"/>
            <w:rtl/>
          </w:rPr>
          <w:t xml:space="preserve"> 1370/17</w:t>
        </w:r>
      </w:hyperlink>
      <w:r>
        <w:rPr>
          <w:rFonts w:ascii="Calibri" w:hAnsi="Calibri" w:cs="FrankRuehl"/>
          <w:sz w:val="28"/>
          <w:szCs w:val="28"/>
          <w:rtl/>
        </w:rPr>
        <w:t xml:space="preserve"> </w:t>
      </w:r>
      <w:r>
        <w:rPr>
          <w:rFonts w:ascii="Calibri" w:hAnsi="Calibri" w:cs="FrankRuehl"/>
          <w:b/>
          <w:bCs/>
          <w:sz w:val="28"/>
          <w:szCs w:val="28"/>
          <w:u w:val="single"/>
          <w:rtl/>
        </w:rPr>
        <w:t>בן נעים</w:t>
      </w:r>
      <w:r>
        <w:rPr>
          <w:rFonts w:ascii="Calibri" w:hAnsi="Calibri" w:cs="FrankRuehl"/>
          <w:sz w:val="28"/>
          <w:szCs w:val="28"/>
          <w:rtl/>
        </w:rPr>
        <w:t xml:space="preserve"> נ' </w:t>
      </w:r>
      <w:r>
        <w:rPr>
          <w:rFonts w:ascii="Calibri" w:hAnsi="Calibri" w:cs="FrankRuehl"/>
          <w:b/>
          <w:bCs/>
          <w:sz w:val="28"/>
          <w:szCs w:val="28"/>
          <w:u w:val="single"/>
          <w:rtl/>
        </w:rPr>
        <w:t xml:space="preserve">מ"י </w:t>
      </w:r>
      <w:r>
        <w:rPr>
          <w:rFonts w:ascii="Calibri" w:hAnsi="Calibri" w:cs="FrankRuehl"/>
          <w:sz w:val="28"/>
          <w:szCs w:val="28"/>
          <w:rtl/>
        </w:rPr>
        <w:t>(מיום 20.4.2017) אושר עונש של 16 חודשי מאסר בפועל ומתחם ענישה שבין 12 ל-24 חודשי מאסר בעניין אישום של ריבוי מקרים של סחר בחשיש. ב</w:t>
      </w:r>
      <w:hyperlink r:id="rId35" w:history="1">
        <w:r w:rsidR="00B44F47" w:rsidRPr="00B44F47">
          <w:rPr>
            <w:rFonts w:ascii="Calibri" w:hAnsi="Calibri" w:cs="FrankRuehl" w:hint="eastAsia"/>
            <w:color w:val="0000FF"/>
            <w:sz w:val="28"/>
            <w:szCs w:val="28"/>
            <w:u w:val="single"/>
            <w:rtl/>
          </w:rPr>
          <w:t>עפ</w:t>
        </w:r>
        <w:r w:rsidR="00B44F47" w:rsidRPr="00B44F47">
          <w:rPr>
            <w:rFonts w:ascii="Calibri" w:hAnsi="Calibri" w:cs="FrankRuehl"/>
            <w:color w:val="0000FF"/>
            <w:sz w:val="28"/>
            <w:szCs w:val="28"/>
            <w:u w:val="single"/>
            <w:rtl/>
          </w:rPr>
          <w:t>"</w:t>
        </w:r>
        <w:r w:rsidR="00B44F47" w:rsidRPr="00B44F47">
          <w:rPr>
            <w:rFonts w:ascii="Calibri" w:hAnsi="Calibri" w:cs="FrankRuehl" w:hint="eastAsia"/>
            <w:color w:val="0000FF"/>
            <w:sz w:val="28"/>
            <w:szCs w:val="28"/>
            <w:u w:val="single"/>
            <w:rtl/>
          </w:rPr>
          <w:t>ג</w:t>
        </w:r>
        <w:r w:rsidR="00B44F47" w:rsidRPr="00B44F47">
          <w:rPr>
            <w:rFonts w:ascii="Calibri" w:hAnsi="Calibri" w:cs="FrankRuehl"/>
            <w:color w:val="0000FF"/>
            <w:sz w:val="28"/>
            <w:szCs w:val="28"/>
            <w:u w:val="single"/>
            <w:rtl/>
          </w:rPr>
          <w:t xml:space="preserve"> (</w:t>
        </w:r>
        <w:r w:rsidR="00B44F47" w:rsidRPr="00B44F47">
          <w:rPr>
            <w:rFonts w:ascii="Calibri" w:hAnsi="Calibri" w:cs="FrankRuehl" w:hint="eastAsia"/>
            <w:color w:val="0000FF"/>
            <w:sz w:val="28"/>
            <w:szCs w:val="28"/>
            <w:u w:val="single"/>
            <w:rtl/>
          </w:rPr>
          <w:t>חיפה</w:t>
        </w:r>
        <w:r w:rsidR="00B44F47" w:rsidRPr="00B44F47">
          <w:rPr>
            <w:rFonts w:ascii="Calibri" w:hAnsi="Calibri" w:cs="FrankRuehl"/>
            <w:color w:val="0000FF"/>
            <w:sz w:val="28"/>
            <w:szCs w:val="28"/>
            <w:u w:val="single"/>
            <w:rtl/>
          </w:rPr>
          <w:t>) 53901-05-15</w:t>
        </w:r>
      </w:hyperlink>
      <w:r>
        <w:rPr>
          <w:rFonts w:ascii="Calibri" w:hAnsi="Calibri" w:cs="FrankRuehl"/>
          <w:sz w:val="28"/>
          <w:szCs w:val="28"/>
          <w:rtl/>
        </w:rPr>
        <w:t xml:space="preserve"> </w:t>
      </w:r>
      <w:r>
        <w:rPr>
          <w:rFonts w:ascii="Calibri" w:hAnsi="Calibri" w:cs="FrankRuehl"/>
          <w:b/>
          <w:bCs/>
          <w:sz w:val="28"/>
          <w:szCs w:val="28"/>
          <w:u w:val="single"/>
          <w:rtl/>
        </w:rPr>
        <w:t>איטח</w:t>
      </w:r>
      <w:r>
        <w:rPr>
          <w:rFonts w:ascii="Calibri" w:hAnsi="Calibri" w:cs="FrankRuehl"/>
          <w:sz w:val="28"/>
          <w:szCs w:val="28"/>
          <w:rtl/>
        </w:rPr>
        <w:t xml:space="preserve"> נ' </w:t>
      </w:r>
      <w:r>
        <w:rPr>
          <w:rFonts w:ascii="Calibri" w:hAnsi="Calibri" w:cs="FrankRuehl"/>
          <w:b/>
          <w:bCs/>
          <w:sz w:val="28"/>
          <w:szCs w:val="28"/>
          <w:u w:val="single"/>
          <w:rtl/>
        </w:rPr>
        <w:t>מ"י</w:t>
      </w:r>
      <w:r>
        <w:rPr>
          <w:rFonts w:ascii="Calibri" w:hAnsi="Calibri" w:cs="FrankRuehl"/>
          <w:sz w:val="28"/>
          <w:szCs w:val="28"/>
          <w:rtl/>
        </w:rPr>
        <w:t xml:space="preserve"> (מיום 20.7.2015) אושר עונש של מאסר על תנאי, מבחן ו-200 שעות של"ץ במקרה של סיוע לביצוע 3 עסקאות סמים מסוג מריחואנה. נסיבות אחרונות אלו קלות מענייננו, וגם שם נקבע כי לא ניתן להימנע מהרשעה בעבירות מסוג זה. </w:t>
      </w:r>
    </w:p>
    <w:p w14:paraId="0D427F44" w14:textId="77777777" w:rsidR="00BB03C6" w:rsidRDefault="00BB03C6" w:rsidP="00BB03C6">
      <w:pPr>
        <w:spacing w:after="160"/>
        <w:jc w:val="both"/>
        <w:rPr>
          <w:rFonts w:ascii="Calibri" w:hAnsi="Calibri" w:cs="FrankRuehl"/>
          <w:b/>
          <w:bCs/>
          <w:sz w:val="28"/>
          <w:szCs w:val="28"/>
          <w:u w:val="single"/>
          <w:rtl/>
        </w:rPr>
      </w:pPr>
    </w:p>
    <w:p w14:paraId="4B18FEC9" w14:textId="77777777" w:rsidR="00BB03C6" w:rsidRDefault="00BB03C6" w:rsidP="00BB03C6">
      <w:pPr>
        <w:spacing w:after="160" w:line="360" w:lineRule="auto"/>
        <w:jc w:val="both"/>
        <w:rPr>
          <w:rFonts w:ascii="Calibri" w:hAnsi="Calibri" w:cs="FrankRuehl"/>
          <w:sz w:val="28"/>
          <w:szCs w:val="28"/>
          <w:rtl/>
        </w:rPr>
      </w:pPr>
      <w:r>
        <w:rPr>
          <w:rFonts w:ascii="Calibri" w:hAnsi="Calibri" w:cs="FrankRuehl"/>
          <w:b/>
          <w:bCs/>
          <w:sz w:val="28"/>
          <w:szCs w:val="28"/>
          <w:u w:val="single"/>
          <w:rtl/>
        </w:rPr>
        <w:t>מתחם הענישה</w:t>
      </w:r>
      <w:r>
        <w:rPr>
          <w:rFonts w:ascii="Calibri" w:hAnsi="Calibri" w:cs="FrankRuehl"/>
          <w:sz w:val="28"/>
          <w:szCs w:val="28"/>
          <w:rtl/>
        </w:rPr>
        <w:t xml:space="preserve"> – לפיכך, מתחם הענישה בתיק העיקרי צריך לעמוד על בין 6 ל-18 חודשי מאסר, זאת לאחר שאני סבור כי מדובר במסכת אירועים אחת, בשל סמיכות הזמנים, סוג הסם והקשר ההדוק שבין האירועים הכרוכים זה בזה. בתיק המצורף צריך לעמוד מתחם הענישה על מאסר על-תנאי ועד 6 חודשי מאסר.  </w:t>
      </w:r>
    </w:p>
    <w:p w14:paraId="18F34FDF" w14:textId="77777777" w:rsidR="00BB03C6" w:rsidRDefault="00BB03C6" w:rsidP="00BB03C6">
      <w:pPr>
        <w:spacing w:after="160"/>
        <w:jc w:val="both"/>
        <w:rPr>
          <w:rFonts w:ascii="Calibri" w:hAnsi="Calibri" w:cs="FrankRuehl"/>
          <w:b/>
          <w:bCs/>
          <w:sz w:val="28"/>
          <w:szCs w:val="28"/>
          <w:u w:val="single"/>
          <w:rtl/>
        </w:rPr>
      </w:pPr>
    </w:p>
    <w:p w14:paraId="494BD23D" w14:textId="77777777" w:rsidR="00BB03C6" w:rsidRDefault="00BB03C6" w:rsidP="00BB03C6">
      <w:pPr>
        <w:spacing w:after="160" w:line="360" w:lineRule="auto"/>
        <w:jc w:val="both"/>
        <w:rPr>
          <w:rFonts w:ascii="Calibri" w:hAnsi="Calibri" w:cs="FrankRuehl"/>
          <w:sz w:val="28"/>
          <w:szCs w:val="28"/>
          <w:rtl/>
        </w:rPr>
      </w:pPr>
      <w:r>
        <w:rPr>
          <w:rFonts w:ascii="Calibri" w:hAnsi="Calibri" w:cs="FrankRuehl"/>
          <w:b/>
          <w:bCs/>
          <w:sz w:val="28"/>
          <w:szCs w:val="28"/>
          <w:u w:val="single"/>
          <w:rtl/>
        </w:rPr>
        <w:t xml:space="preserve">נסיבות שאינן קשורות בביצוע העבירה לפי </w:t>
      </w:r>
      <w:hyperlink r:id="rId36" w:history="1">
        <w:r w:rsidR="00A7519A" w:rsidRPr="00A7519A">
          <w:rPr>
            <w:rStyle w:val="Hyperlink"/>
            <w:rFonts w:ascii="Calibri" w:hAnsi="Calibri" w:cs="FrankRuehl" w:hint="eastAsia"/>
            <w:b/>
            <w:bCs/>
            <w:sz w:val="28"/>
            <w:szCs w:val="28"/>
            <w:rtl/>
          </w:rPr>
          <w:t>סעיף</w:t>
        </w:r>
        <w:r w:rsidR="00A7519A" w:rsidRPr="00A7519A">
          <w:rPr>
            <w:rStyle w:val="Hyperlink"/>
            <w:rFonts w:ascii="Calibri" w:hAnsi="Calibri" w:cs="FrankRuehl"/>
            <w:b/>
            <w:bCs/>
            <w:sz w:val="28"/>
            <w:szCs w:val="28"/>
            <w:rtl/>
          </w:rPr>
          <w:t xml:space="preserve"> 40</w:t>
        </w:r>
        <w:r w:rsidR="00A7519A" w:rsidRPr="00A7519A">
          <w:rPr>
            <w:rStyle w:val="Hyperlink"/>
            <w:rFonts w:ascii="Calibri" w:hAnsi="Calibri" w:cs="FrankRuehl" w:hint="eastAsia"/>
            <w:b/>
            <w:bCs/>
            <w:sz w:val="28"/>
            <w:szCs w:val="28"/>
            <w:rtl/>
          </w:rPr>
          <w:t>י</w:t>
        </w:r>
        <w:r w:rsidR="00A7519A" w:rsidRPr="00A7519A">
          <w:rPr>
            <w:rStyle w:val="Hyperlink"/>
            <w:rFonts w:ascii="Calibri" w:hAnsi="Calibri" w:cs="FrankRuehl"/>
            <w:b/>
            <w:bCs/>
            <w:sz w:val="28"/>
            <w:szCs w:val="28"/>
            <w:rtl/>
          </w:rPr>
          <w:t>"</w:t>
        </w:r>
        <w:r w:rsidR="00A7519A" w:rsidRPr="00A7519A">
          <w:rPr>
            <w:rStyle w:val="Hyperlink"/>
            <w:rFonts w:ascii="Calibri" w:hAnsi="Calibri" w:cs="FrankRuehl" w:hint="eastAsia"/>
            <w:b/>
            <w:bCs/>
            <w:sz w:val="28"/>
            <w:szCs w:val="28"/>
            <w:rtl/>
          </w:rPr>
          <w:t>א</w:t>
        </w:r>
      </w:hyperlink>
      <w:r>
        <w:rPr>
          <w:rFonts w:ascii="Calibri" w:hAnsi="Calibri" w:cs="FrankRuehl"/>
          <w:b/>
          <w:bCs/>
          <w:sz w:val="28"/>
          <w:szCs w:val="28"/>
          <w:u w:val="single"/>
          <w:rtl/>
        </w:rPr>
        <w:t xml:space="preserve"> ל</w:t>
      </w:r>
      <w:hyperlink r:id="rId37" w:history="1">
        <w:r w:rsidR="00B44F47" w:rsidRPr="00B44F47">
          <w:rPr>
            <w:rFonts w:ascii="Calibri" w:hAnsi="Calibri" w:cs="FrankRuehl" w:hint="eastAsia"/>
            <w:b/>
            <w:bCs/>
            <w:color w:val="0000FF"/>
            <w:sz w:val="28"/>
            <w:szCs w:val="28"/>
            <w:u w:val="single"/>
            <w:rtl/>
          </w:rPr>
          <w:t>חוק</w:t>
        </w:r>
        <w:r w:rsidR="00B44F47" w:rsidRPr="00B44F47">
          <w:rPr>
            <w:rFonts w:ascii="Calibri" w:hAnsi="Calibri" w:cs="FrankRuehl"/>
            <w:b/>
            <w:bCs/>
            <w:color w:val="0000FF"/>
            <w:sz w:val="28"/>
            <w:szCs w:val="28"/>
            <w:u w:val="single"/>
            <w:rtl/>
          </w:rPr>
          <w:t xml:space="preserve"> </w:t>
        </w:r>
        <w:r w:rsidR="00B44F47" w:rsidRPr="00B44F47">
          <w:rPr>
            <w:rFonts w:ascii="Calibri" w:hAnsi="Calibri" w:cs="FrankRuehl" w:hint="eastAsia"/>
            <w:b/>
            <w:bCs/>
            <w:color w:val="0000FF"/>
            <w:sz w:val="28"/>
            <w:szCs w:val="28"/>
            <w:u w:val="single"/>
            <w:rtl/>
          </w:rPr>
          <w:t>העונשין</w:t>
        </w:r>
      </w:hyperlink>
      <w:r>
        <w:rPr>
          <w:rFonts w:ascii="Calibri" w:hAnsi="Calibri" w:cs="FrankRuehl"/>
          <w:b/>
          <w:bCs/>
          <w:sz w:val="28"/>
          <w:szCs w:val="28"/>
          <w:rtl/>
        </w:rPr>
        <w:t xml:space="preserve"> – </w:t>
      </w:r>
      <w:r>
        <w:rPr>
          <w:rFonts w:ascii="Calibri" w:hAnsi="Calibri" w:cs="FrankRuehl"/>
          <w:sz w:val="28"/>
          <w:szCs w:val="28"/>
          <w:rtl/>
        </w:rPr>
        <w:t xml:space="preserve">ניתן  לתת משקל לנסיבות הבאות שאינן קשורות בביצוע העבירה, במסגרת גזירת העונש בתוך המתחם: מחד הנאשם צעיר בגילו, בחור נורמטיבי, סיים שירות צבאי מלא </w:t>
      </w:r>
      <w:r>
        <w:rPr>
          <w:rFonts w:ascii="Calibri" w:hAnsi="Calibri" w:cs="FrankRuehl" w:hint="cs"/>
          <w:sz w:val="28"/>
          <w:szCs w:val="28"/>
          <w:rtl/>
        </w:rPr>
        <w:t xml:space="preserve">ולמד במכללה וסיים שם שנה ראשונה. הנאשם היה עצור תקופה ארוכה, ונתון תקופה ארוכה במעצר בית ללא הפרת תנאים. אינני מקבל את עמדת שירות המבחן לעניין קבלת האחריות, שכן הנאשם הודה בשני כתבי אישום וחסך בזמן שיפוטי ניכר. חבל שהנאשם לא השכיל להירתם לטיפול ואולם הדבר לא יביא להחמרה בעונשו. </w:t>
      </w:r>
    </w:p>
    <w:p w14:paraId="7CCD38C9" w14:textId="77777777" w:rsidR="00BB03C6" w:rsidRDefault="00BB03C6" w:rsidP="00BB03C6">
      <w:pPr>
        <w:spacing w:after="160" w:line="360" w:lineRule="auto"/>
        <w:jc w:val="both"/>
        <w:rPr>
          <w:rFonts w:ascii="Calibri" w:hAnsi="Calibri" w:cs="FrankRuehl"/>
          <w:b/>
          <w:bCs/>
          <w:sz w:val="28"/>
          <w:szCs w:val="28"/>
          <w:u w:val="single"/>
          <w:rtl/>
        </w:rPr>
      </w:pPr>
    </w:p>
    <w:p w14:paraId="680873EC" w14:textId="77777777" w:rsidR="00BB03C6" w:rsidRDefault="00BB03C6" w:rsidP="00BB03C6">
      <w:pPr>
        <w:spacing w:after="160" w:line="360" w:lineRule="auto"/>
        <w:jc w:val="both"/>
        <w:rPr>
          <w:rFonts w:ascii="Calibri" w:hAnsi="Calibri" w:cs="FrankRuehl"/>
          <w:sz w:val="28"/>
          <w:szCs w:val="28"/>
          <w:rtl/>
        </w:rPr>
      </w:pPr>
      <w:r>
        <w:rPr>
          <w:rFonts w:ascii="Calibri" w:hAnsi="Calibri" w:cs="FrankRuehl"/>
          <w:b/>
          <w:bCs/>
          <w:sz w:val="28"/>
          <w:szCs w:val="28"/>
          <w:u w:val="single"/>
          <w:rtl/>
        </w:rPr>
        <w:t>המיקום במתחם</w:t>
      </w:r>
      <w:r>
        <w:rPr>
          <w:rFonts w:ascii="Calibri" w:hAnsi="Calibri" w:cs="FrankRuehl"/>
          <w:sz w:val="28"/>
          <w:szCs w:val="28"/>
          <w:rtl/>
        </w:rPr>
        <w:t xml:space="preserve"> – בנסיבות העניין יש למקם את הנאשם </w:t>
      </w:r>
      <w:r>
        <w:rPr>
          <w:rFonts w:ascii="Calibri" w:hAnsi="Calibri" w:cs="FrankRuehl" w:hint="cs"/>
          <w:sz w:val="28"/>
          <w:szCs w:val="28"/>
          <w:rtl/>
        </w:rPr>
        <w:t>בתחילת המתחם ועד לאמצעו.</w:t>
      </w:r>
    </w:p>
    <w:p w14:paraId="27541D25" w14:textId="77777777" w:rsidR="00BB03C6" w:rsidRDefault="00BB03C6" w:rsidP="00BB03C6">
      <w:pPr>
        <w:spacing w:after="160" w:line="360" w:lineRule="auto"/>
        <w:jc w:val="both"/>
        <w:rPr>
          <w:rFonts w:ascii="Calibri" w:hAnsi="Calibri" w:cs="FrankRuehl"/>
          <w:b/>
          <w:bCs/>
          <w:sz w:val="28"/>
          <w:szCs w:val="28"/>
          <w:u w:val="single"/>
          <w:rtl/>
        </w:rPr>
      </w:pPr>
    </w:p>
    <w:p w14:paraId="60EEEA4F" w14:textId="77777777" w:rsidR="00BB03C6" w:rsidRDefault="00BB03C6" w:rsidP="00BB03C6">
      <w:pPr>
        <w:spacing w:after="160" w:line="360" w:lineRule="auto"/>
        <w:jc w:val="both"/>
        <w:rPr>
          <w:rFonts w:ascii="Calibri" w:hAnsi="Calibri" w:cs="FrankRuehl"/>
          <w:b/>
          <w:bCs/>
          <w:sz w:val="28"/>
          <w:szCs w:val="28"/>
          <w:u w:val="single"/>
          <w:rtl/>
        </w:rPr>
      </w:pPr>
      <w:r>
        <w:rPr>
          <w:rFonts w:ascii="Calibri" w:hAnsi="Calibri" w:cs="FrankRuehl"/>
          <w:b/>
          <w:bCs/>
          <w:sz w:val="28"/>
          <w:szCs w:val="28"/>
          <w:u w:val="single"/>
          <w:rtl/>
        </w:rPr>
        <w:t>גזירת הדין</w:t>
      </w:r>
    </w:p>
    <w:p w14:paraId="489FB8AF" w14:textId="77777777" w:rsidR="00BB03C6" w:rsidRDefault="00BB03C6" w:rsidP="00BB03C6">
      <w:pPr>
        <w:spacing w:after="160" w:line="360" w:lineRule="auto"/>
        <w:jc w:val="both"/>
        <w:rPr>
          <w:rFonts w:ascii="Calibri" w:hAnsi="Calibri" w:cs="FrankRuehl"/>
          <w:sz w:val="28"/>
          <w:szCs w:val="28"/>
          <w:rtl/>
        </w:rPr>
      </w:pPr>
      <w:r>
        <w:rPr>
          <w:rFonts w:ascii="Calibri" w:hAnsi="Calibri" w:cs="FrankRuehl"/>
          <w:sz w:val="28"/>
          <w:szCs w:val="28"/>
          <w:rtl/>
        </w:rPr>
        <w:t>לפיכך, אני מחליט לגזור על הנאשם את העונשים הבאים:</w:t>
      </w:r>
    </w:p>
    <w:p w14:paraId="327CDF33" w14:textId="77777777" w:rsidR="00BB03C6" w:rsidRDefault="00BB03C6" w:rsidP="00BB03C6">
      <w:pPr>
        <w:pStyle w:val="a9"/>
        <w:numPr>
          <w:ilvl w:val="0"/>
          <w:numId w:val="1"/>
        </w:numPr>
        <w:spacing w:after="160" w:line="360" w:lineRule="auto"/>
        <w:jc w:val="both"/>
        <w:rPr>
          <w:rFonts w:ascii="Calibri" w:hAnsi="Calibri" w:cs="FrankRuehl"/>
          <w:sz w:val="28"/>
          <w:szCs w:val="28"/>
        </w:rPr>
      </w:pPr>
      <w:r>
        <w:rPr>
          <w:rFonts w:ascii="Calibri" w:hAnsi="Calibri" w:cs="FrankRuehl" w:hint="cs"/>
          <w:sz w:val="28"/>
          <w:szCs w:val="28"/>
          <w:rtl/>
        </w:rPr>
        <w:t>6 חודשי מאסר לריצוי בעבודות שירות. העבודות יבוצעו ב"מפעל חיים" בירושלים החל מיום 7.4.2022 מועד בו על הנאשם להתייצב במשרדי הממונה בבאר שבע עד לשעה 08:00 לתחילת ביצוע העבודות. הנאשם הוזהר כי אם לא יבצע כראוי את העבודות, ניתן יהיה להמיר את העונש למאסר בפועל ללא החלטה שיפוטית. מתקופת העונש יש להפחית את מלוא ימי מעצרו של הנאשם בתיק זה ע"פ חישוב שב"ס שיכריע;</w:t>
      </w:r>
    </w:p>
    <w:p w14:paraId="7B8B8842" w14:textId="77777777" w:rsidR="00BB03C6" w:rsidRDefault="00BB03C6" w:rsidP="00BB03C6">
      <w:pPr>
        <w:pStyle w:val="a9"/>
        <w:numPr>
          <w:ilvl w:val="0"/>
          <w:numId w:val="1"/>
        </w:numPr>
        <w:spacing w:after="160" w:line="360" w:lineRule="auto"/>
        <w:jc w:val="both"/>
        <w:rPr>
          <w:rFonts w:ascii="Calibri" w:hAnsi="Calibri" w:cs="FrankRuehl"/>
          <w:sz w:val="28"/>
          <w:szCs w:val="28"/>
        </w:rPr>
      </w:pPr>
      <w:r>
        <w:rPr>
          <w:rFonts w:ascii="Calibri" w:hAnsi="Calibri" w:cs="FrankRuehl" w:hint="cs"/>
          <w:sz w:val="28"/>
          <w:szCs w:val="28"/>
          <w:rtl/>
        </w:rPr>
        <w:t>חודש מאסר שלא ירוצה אלא אם יעבור הנאשם בתוך 3 שנים מסיום עבודות השירות כל עבירת עוון לפי פקודת הסמים;</w:t>
      </w:r>
    </w:p>
    <w:p w14:paraId="32F738EC" w14:textId="77777777" w:rsidR="00BB03C6" w:rsidRDefault="00BB03C6" w:rsidP="00BB03C6">
      <w:pPr>
        <w:pStyle w:val="a9"/>
        <w:numPr>
          <w:ilvl w:val="0"/>
          <w:numId w:val="1"/>
        </w:numPr>
        <w:spacing w:after="160" w:line="360" w:lineRule="auto"/>
        <w:jc w:val="both"/>
        <w:rPr>
          <w:rFonts w:ascii="Calibri" w:hAnsi="Calibri" w:cs="FrankRuehl"/>
          <w:sz w:val="28"/>
          <w:szCs w:val="28"/>
        </w:rPr>
      </w:pPr>
      <w:r>
        <w:rPr>
          <w:rFonts w:ascii="Calibri" w:hAnsi="Calibri" w:cs="FrankRuehl" w:hint="cs"/>
          <w:sz w:val="28"/>
          <w:szCs w:val="28"/>
          <w:rtl/>
        </w:rPr>
        <w:t>6 חודשי מאסר שלא ירוצו, אלא אם יעבור הנאשם בתוך 3 שנים מסיום עבודות השירות כל עבירת פשע לפי פקודת הסמים;</w:t>
      </w:r>
    </w:p>
    <w:p w14:paraId="514F93C5" w14:textId="77777777" w:rsidR="00BB03C6" w:rsidRDefault="00BB03C6" w:rsidP="00BB03C6">
      <w:pPr>
        <w:pStyle w:val="a9"/>
        <w:numPr>
          <w:ilvl w:val="0"/>
          <w:numId w:val="1"/>
        </w:numPr>
        <w:spacing w:after="160" w:line="360" w:lineRule="auto"/>
        <w:jc w:val="both"/>
        <w:rPr>
          <w:rFonts w:ascii="Calibri" w:hAnsi="Calibri" w:cs="FrankRuehl"/>
          <w:sz w:val="28"/>
          <w:szCs w:val="28"/>
        </w:rPr>
      </w:pPr>
      <w:r>
        <w:rPr>
          <w:rFonts w:ascii="Calibri" w:hAnsi="Calibri" w:cs="FrankRuehl" w:hint="cs"/>
          <w:sz w:val="28"/>
          <w:szCs w:val="28"/>
          <w:rtl/>
        </w:rPr>
        <w:t xml:space="preserve">6 חודשי מפסילה מלקבל או מלהחזיר ברישיון נהיגה, וזאת במשך שנתיים מהיום, לבל יעבור הנאשם כל עבירה לפי </w:t>
      </w:r>
      <w:hyperlink r:id="rId38" w:history="1">
        <w:r w:rsidR="00B44F47" w:rsidRPr="00B44F47">
          <w:rPr>
            <w:rFonts w:ascii="Calibri" w:hAnsi="Calibri" w:cs="FrankRuehl" w:hint="eastAsia"/>
            <w:color w:val="0000FF"/>
            <w:sz w:val="28"/>
            <w:szCs w:val="28"/>
            <w:u w:val="single"/>
            <w:rtl/>
          </w:rPr>
          <w:t>פקודת</w:t>
        </w:r>
        <w:r w:rsidR="00B44F47" w:rsidRPr="00B44F47">
          <w:rPr>
            <w:rFonts w:ascii="Calibri" w:hAnsi="Calibri" w:cs="FrankRuehl"/>
            <w:color w:val="0000FF"/>
            <w:sz w:val="28"/>
            <w:szCs w:val="28"/>
            <w:u w:val="single"/>
            <w:rtl/>
          </w:rPr>
          <w:t xml:space="preserve"> </w:t>
        </w:r>
        <w:r w:rsidR="00B44F47" w:rsidRPr="00B44F47">
          <w:rPr>
            <w:rFonts w:ascii="Calibri" w:hAnsi="Calibri" w:cs="FrankRuehl" w:hint="eastAsia"/>
            <w:color w:val="0000FF"/>
            <w:sz w:val="28"/>
            <w:szCs w:val="28"/>
            <w:u w:val="single"/>
            <w:rtl/>
          </w:rPr>
          <w:t>הסמים</w:t>
        </w:r>
        <w:r w:rsidR="00B44F47" w:rsidRPr="00B44F47">
          <w:rPr>
            <w:rFonts w:ascii="Calibri" w:hAnsi="Calibri" w:cs="FrankRuehl"/>
            <w:color w:val="0000FF"/>
            <w:sz w:val="28"/>
            <w:szCs w:val="28"/>
            <w:u w:val="single"/>
            <w:rtl/>
          </w:rPr>
          <w:t xml:space="preserve"> </w:t>
        </w:r>
        <w:r w:rsidR="00B44F47" w:rsidRPr="00B44F47">
          <w:rPr>
            <w:rFonts w:ascii="Calibri" w:hAnsi="Calibri" w:cs="FrankRuehl" w:hint="eastAsia"/>
            <w:color w:val="0000FF"/>
            <w:sz w:val="28"/>
            <w:szCs w:val="28"/>
            <w:u w:val="single"/>
            <w:rtl/>
          </w:rPr>
          <w:t>המסוכנים</w:t>
        </w:r>
      </w:hyperlink>
      <w:r>
        <w:rPr>
          <w:rFonts w:ascii="Calibri" w:hAnsi="Calibri" w:cs="FrankRuehl" w:hint="cs"/>
          <w:sz w:val="28"/>
          <w:szCs w:val="28"/>
          <w:rtl/>
        </w:rPr>
        <w:t>;</w:t>
      </w:r>
    </w:p>
    <w:p w14:paraId="74E4C4D4" w14:textId="77777777" w:rsidR="00BB03C6" w:rsidRDefault="00BB03C6" w:rsidP="00BB03C6">
      <w:pPr>
        <w:pStyle w:val="a9"/>
        <w:numPr>
          <w:ilvl w:val="0"/>
          <w:numId w:val="1"/>
        </w:numPr>
        <w:spacing w:after="160" w:line="360" w:lineRule="auto"/>
        <w:jc w:val="both"/>
        <w:rPr>
          <w:rFonts w:ascii="Calibri" w:hAnsi="Calibri" w:cs="FrankRuehl"/>
          <w:sz w:val="28"/>
          <w:szCs w:val="28"/>
        </w:rPr>
      </w:pPr>
      <w:r>
        <w:rPr>
          <w:rFonts w:ascii="Calibri" w:hAnsi="Calibri" w:cs="FrankRuehl" w:hint="cs"/>
          <w:sz w:val="28"/>
          <w:szCs w:val="28"/>
          <w:rtl/>
        </w:rPr>
        <w:t>קנס בסך 5,000 ₪ או 20 יום מאסר תמורתו אם לא ישולם. הקנס יקוזז במלואו מההפקדה שבתיק המ"ת והיתרה תושב למפקידים. הוראה זו תגבר על כל עיקול. אם אין יתרה לקיזוז, הקנס ישולם עד ליום 1.7.2022;</w:t>
      </w:r>
    </w:p>
    <w:p w14:paraId="075FF82C" w14:textId="77777777" w:rsidR="00BB03C6" w:rsidRDefault="00BB03C6" w:rsidP="00BB03C6">
      <w:pPr>
        <w:pStyle w:val="a9"/>
        <w:numPr>
          <w:ilvl w:val="0"/>
          <w:numId w:val="1"/>
        </w:numPr>
        <w:spacing w:after="160" w:line="360" w:lineRule="auto"/>
        <w:jc w:val="both"/>
        <w:rPr>
          <w:rFonts w:ascii="Calibri" w:hAnsi="Calibri" w:cs="FrankRuehl"/>
          <w:sz w:val="28"/>
          <w:szCs w:val="28"/>
        </w:rPr>
      </w:pPr>
      <w:r>
        <w:rPr>
          <w:rFonts w:ascii="Calibri" w:hAnsi="Calibri" w:cs="FrankRuehl" w:hint="cs"/>
          <w:sz w:val="28"/>
          <w:szCs w:val="28"/>
          <w:rtl/>
        </w:rPr>
        <w:t xml:space="preserve">התחייבות בסך 10,000 ₪ שלא לעבור כל עבירת פשע לפי </w:t>
      </w:r>
      <w:hyperlink r:id="rId39" w:history="1">
        <w:r w:rsidR="00B44F47" w:rsidRPr="00B44F47">
          <w:rPr>
            <w:rFonts w:ascii="Calibri" w:hAnsi="Calibri" w:cs="FrankRuehl" w:hint="eastAsia"/>
            <w:color w:val="0000FF"/>
            <w:sz w:val="28"/>
            <w:szCs w:val="28"/>
            <w:u w:val="single"/>
            <w:rtl/>
          </w:rPr>
          <w:t>פקודת</w:t>
        </w:r>
        <w:r w:rsidR="00B44F47" w:rsidRPr="00B44F47">
          <w:rPr>
            <w:rFonts w:ascii="Calibri" w:hAnsi="Calibri" w:cs="FrankRuehl"/>
            <w:color w:val="0000FF"/>
            <w:sz w:val="28"/>
            <w:szCs w:val="28"/>
            <w:u w:val="single"/>
            <w:rtl/>
          </w:rPr>
          <w:t xml:space="preserve"> </w:t>
        </w:r>
        <w:r w:rsidR="00B44F47" w:rsidRPr="00B44F47">
          <w:rPr>
            <w:rFonts w:ascii="Calibri" w:hAnsi="Calibri" w:cs="FrankRuehl" w:hint="eastAsia"/>
            <w:color w:val="0000FF"/>
            <w:sz w:val="28"/>
            <w:szCs w:val="28"/>
            <w:u w:val="single"/>
            <w:rtl/>
          </w:rPr>
          <w:t>הסמים</w:t>
        </w:r>
        <w:r w:rsidR="00B44F47" w:rsidRPr="00B44F47">
          <w:rPr>
            <w:rFonts w:ascii="Calibri" w:hAnsi="Calibri" w:cs="FrankRuehl"/>
            <w:color w:val="0000FF"/>
            <w:sz w:val="28"/>
            <w:szCs w:val="28"/>
            <w:u w:val="single"/>
            <w:rtl/>
          </w:rPr>
          <w:t xml:space="preserve"> </w:t>
        </w:r>
        <w:r w:rsidR="00B44F47" w:rsidRPr="00B44F47">
          <w:rPr>
            <w:rFonts w:ascii="Calibri" w:hAnsi="Calibri" w:cs="FrankRuehl" w:hint="eastAsia"/>
            <w:color w:val="0000FF"/>
            <w:sz w:val="28"/>
            <w:szCs w:val="28"/>
            <w:u w:val="single"/>
            <w:rtl/>
          </w:rPr>
          <w:t>המסוכנים</w:t>
        </w:r>
      </w:hyperlink>
      <w:r>
        <w:rPr>
          <w:rFonts w:ascii="Calibri" w:hAnsi="Calibri" w:cs="FrankRuehl" w:hint="cs"/>
          <w:sz w:val="28"/>
          <w:szCs w:val="28"/>
          <w:rtl/>
        </w:rPr>
        <w:t xml:space="preserve"> בתוך שנתיים מהיום.</w:t>
      </w:r>
    </w:p>
    <w:p w14:paraId="07C06CE8" w14:textId="77777777" w:rsidR="00BB03C6" w:rsidRPr="00720D86" w:rsidRDefault="00BB03C6" w:rsidP="00BB03C6">
      <w:pPr>
        <w:pStyle w:val="a9"/>
        <w:numPr>
          <w:ilvl w:val="0"/>
          <w:numId w:val="1"/>
        </w:numPr>
        <w:spacing w:after="160" w:line="360" w:lineRule="auto"/>
        <w:jc w:val="both"/>
        <w:rPr>
          <w:rFonts w:ascii="Calibri" w:hAnsi="Calibri" w:cs="FrankRuehl"/>
          <w:sz w:val="28"/>
          <w:szCs w:val="28"/>
          <w:rtl/>
        </w:rPr>
      </w:pPr>
      <w:r>
        <w:rPr>
          <w:rFonts w:ascii="Calibri" w:hAnsi="Calibri" w:cs="FrankRuehl" w:hint="cs"/>
          <w:sz w:val="28"/>
          <w:szCs w:val="28"/>
          <w:rtl/>
        </w:rPr>
        <w:t>מכריז על הנאשם סוחר סמים ומורה על השמדת הסמים וחילוט המוצגים שנתפסו.</w:t>
      </w:r>
    </w:p>
    <w:p w14:paraId="7C1EA73E" w14:textId="77777777" w:rsidR="00BB03C6" w:rsidRDefault="00B44F47" w:rsidP="00BB03C6">
      <w:pPr>
        <w:spacing w:after="160" w:line="360" w:lineRule="auto"/>
        <w:jc w:val="both"/>
        <w:rPr>
          <w:rFonts w:ascii="Calibri" w:hAnsi="Calibri" w:cs="FrankRuehl"/>
          <w:sz w:val="28"/>
          <w:szCs w:val="28"/>
          <w:rtl/>
        </w:rPr>
      </w:pPr>
      <w:r w:rsidRPr="00B44F47">
        <w:rPr>
          <w:rFonts w:ascii="Calibri" w:hAnsi="Calibri" w:cs="FrankRuehl"/>
          <w:color w:val="FFFFFF"/>
          <w:sz w:val="2"/>
          <w:szCs w:val="2"/>
          <w:rtl/>
        </w:rPr>
        <w:t>5129371</w:t>
      </w:r>
      <w:r w:rsidR="00BB03C6">
        <w:rPr>
          <w:rFonts w:ascii="Calibri" w:hAnsi="Calibri" w:cs="FrankRuehl"/>
          <w:sz w:val="28"/>
          <w:szCs w:val="28"/>
          <w:rtl/>
        </w:rPr>
        <w:t>יש לשלוח לשירות המבחן ולממונה על עבודות השירות.</w:t>
      </w:r>
    </w:p>
    <w:p w14:paraId="3F02E0BF" w14:textId="77777777" w:rsidR="00BB03C6" w:rsidRDefault="00B44F47" w:rsidP="00BB03C6">
      <w:pPr>
        <w:spacing w:after="160" w:line="360" w:lineRule="auto"/>
        <w:jc w:val="both"/>
        <w:rPr>
          <w:rFonts w:ascii="Calibri" w:hAnsi="Calibri" w:cs="FrankRuehl"/>
          <w:sz w:val="28"/>
          <w:szCs w:val="28"/>
          <w:rtl/>
        </w:rPr>
      </w:pPr>
      <w:r w:rsidRPr="00B44F47">
        <w:rPr>
          <w:rFonts w:ascii="Calibri" w:hAnsi="Calibri" w:cs="FrankRuehl"/>
          <w:color w:val="FFFFFF"/>
          <w:sz w:val="2"/>
          <w:szCs w:val="2"/>
          <w:rtl/>
        </w:rPr>
        <w:t>54678313</w:t>
      </w:r>
      <w:r w:rsidR="00BB03C6">
        <w:rPr>
          <w:rFonts w:ascii="Calibri" w:hAnsi="Calibri" w:cs="FrankRuehl"/>
          <w:sz w:val="28"/>
          <w:szCs w:val="28"/>
          <w:rtl/>
        </w:rPr>
        <w:t>זכות ערעור כחוק.</w:t>
      </w:r>
    </w:p>
    <w:p w14:paraId="6C74D687" w14:textId="77777777" w:rsidR="00BB03C6" w:rsidRPr="000F2247" w:rsidRDefault="00BB03C6" w:rsidP="00BB03C6">
      <w:pPr>
        <w:rPr>
          <w:rFonts w:ascii="Arial" w:hAnsi="Arial"/>
          <w:b/>
          <w:bCs/>
          <w:sz w:val="26"/>
          <w:szCs w:val="26"/>
          <w:rtl/>
        </w:rPr>
      </w:pPr>
    </w:p>
    <w:p w14:paraId="5956DC66" w14:textId="77777777" w:rsidR="00BB03C6" w:rsidRPr="000F2247" w:rsidRDefault="00B44F47" w:rsidP="00BB03C6">
      <w:pPr>
        <w:rPr>
          <w:rFonts w:ascii="Arial" w:hAnsi="Arial"/>
          <w:b/>
          <w:bCs/>
          <w:sz w:val="26"/>
          <w:szCs w:val="26"/>
          <w:rtl/>
        </w:rPr>
      </w:pPr>
      <w:bookmarkStart w:id="8" w:name="Nitan"/>
      <w:r>
        <w:rPr>
          <w:rFonts w:ascii="Arial" w:hAnsi="Arial"/>
          <w:b/>
          <w:bCs/>
          <w:sz w:val="26"/>
          <w:szCs w:val="26"/>
          <w:rtl/>
        </w:rPr>
        <w:t xml:space="preserve">ניתן היום,  י"ג אדר א' תשפ"ב, 14 פברואר 2022, במעמד הצדדים. </w:t>
      </w:r>
      <w:bookmarkEnd w:id="8"/>
    </w:p>
    <w:p w14:paraId="7452097F" w14:textId="77777777" w:rsidR="00BB03C6" w:rsidRPr="000F2247" w:rsidRDefault="00BB03C6" w:rsidP="00B44F4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A43422E" w14:textId="77777777" w:rsidR="00BB03C6" w:rsidRPr="00A7519A" w:rsidRDefault="00A7519A" w:rsidP="00BB03C6">
      <w:pPr>
        <w:jc w:val="center"/>
        <w:rPr>
          <w:rFonts w:ascii="Arial" w:hAnsi="Arial"/>
          <w:b/>
          <w:bCs/>
          <w:color w:val="FFFFFF"/>
          <w:sz w:val="2"/>
          <w:szCs w:val="2"/>
          <w:rtl/>
        </w:rPr>
      </w:pPr>
      <w:r w:rsidRPr="00A7519A">
        <w:rPr>
          <w:rFonts w:ascii="Arial" w:hAnsi="Arial"/>
          <w:b/>
          <w:bCs/>
          <w:color w:val="FFFFFF"/>
          <w:sz w:val="2"/>
          <w:szCs w:val="2"/>
          <w:rtl/>
        </w:rPr>
        <w:t>5129371</w:t>
      </w:r>
    </w:p>
    <w:p w14:paraId="514E87B2" w14:textId="77777777" w:rsidR="004225E3" w:rsidRPr="00A7519A" w:rsidRDefault="00A7519A" w:rsidP="00B44F47">
      <w:pPr>
        <w:keepNext/>
        <w:rPr>
          <w:rFonts w:ascii="David" w:hAnsi="David"/>
          <w:color w:val="FFFFFF"/>
          <w:sz w:val="2"/>
          <w:szCs w:val="2"/>
          <w:rtl/>
        </w:rPr>
      </w:pPr>
      <w:r w:rsidRPr="00A7519A">
        <w:rPr>
          <w:rFonts w:ascii="David" w:hAnsi="David"/>
          <w:color w:val="FFFFFF"/>
          <w:sz w:val="2"/>
          <w:szCs w:val="2"/>
          <w:rtl/>
        </w:rPr>
        <w:t>54678313</w:t>
      </w:r>
    </w:p>
    <w:p w14:paraId="4CB89F37" w14:textId="77777777" w:rsidR="00B44F47" w:rsidRDefault="00B44F47" w:rsidP="00B44F47">
      <w:pPr>
        <w:rPr>
          <w:rtl/>
        </w:rPr>
      </w:pPr>
    </w:p>
    <w:p w14:paraId="61C0DBDE" w14:textId="77777777" w:rsidR="00B44F47" w:rsidRDefault="00B44F47" w:rsidP="00B44F47">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3EBFBA27" w14:textId="77777777" w:rsidR="00A7519A" w:rsidRPr="00A7519A" w:rsidRDefault="00A7519A" w:rsidP="00A7519A">
      <w:pPr>
        <w:keepNext/>
        <w:rPr>
          <w:rFonts w:ascii="David" w:hAnsi="David"/>
          <w:color w:val="000000"/>
          <w:sz w:val="22"/>
          <w:szCs w:val="22"/>
          <w:rtl/>
        </w:rPr>
      </w:pPr>
    </w:p>
    <w:p w14:paraId="5C553039" w14:textId="77777777" w:rsidR="00A7519A" w:rsidRPr="00A7519A" w:rsidRDefault="00A7519A" w:rsidP="00A7519A">
      <w:pPr>
        <w:keepNext/>
        <w:rPr>
          <w:rFonts w:ascii="David" w:hAnsi="David"/>
          <w:color w:val="000000"/>
          <w:sz w:val="22"/>
          <w:szCs w:val="22"/>
          <w:rtl/>
        </w:rPr>
      </w:pPr>
      <w:r w:rsidRPr="00A7519A">
        <w:rPr>
          <w:rFonts w:ascii="David" w:hAnsi="David"/>
          <w:color w:val="000000"/>
          <w:sz w:val="22"/>
          <w:szCs w:val="22"/>
          <w:rtl/>
        </w:rPr>
        <w:t>דוד שאול גבאי ריכטר 54678313-/</w:t>
      </w:r>
    </w:p>
    <w:p w14:paraId="4B27F48A" w14:textId="77777777" w:rsidR="00B44F47" w:rsidRPr="00B44F47" w:rsidRDefault="00A7519A" w:rsidP="00A7519A">
      <w:pPr>
        <w:rPr>
          <w:color w:val="0000FF"/>
          <w:u w:val="single"/>
        </w:rPr>
      </w:pPr>
      <w:r w:rsidRPr="00A7519A">
        <w:rPr>
          <w:color w:val="000000"/>
          <w:u w:val="single"/>
          <w:rtl/>
        </w:rPr>
        <w:t>נוסח מסמך זה כפוף לשינויי ניסוח ועריכה</w:t>
      </w:r>
    </w:p>
    <w:sectPr w:rsidR="00B44F47" w:rsidRPr="00B44F47" w:rsidSect="00A7519A">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0775C4" w14:textId="77777777" w:rsidR="00380949" w:rsidRDefault="00380949" w:rsidP="00A00C9A">
      <w:r>
        <w:separator/>
      </w:r>
    </w:p>
  </w:endnote>
  <w:endnote w:type="continuationSeparator" w:id="0">
    <w:p w14:paraId="4FB09362" w14:textId="77777777" w:rsidR="00380949" w:rsidRDefault="00380949" w:rsidP="00A00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2CF24" w14:textId="77777777" w:rsidR="00A7519A" w:rsidRDefault="00A7519A" w:rsidP="00A7519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4D16495" w14:textId="77777777" w:rsidR="00B42F91" w:rsidRPr="00A7519A" w:rsidRDefault="00A7519A" w:rsidP="00A7519A">
    <w:pPr>
      <w:pStyle w:val="a5"/>
      <w:pBdr>
        <w:top w:val="single" w:sz="4" w:space="1" w:color="auto"/>
        <w:between w:val="single" w:sz="4" w:space="0" w:color="auto"/>
      </w:pBdr>
      <w:spacing w:after="60"/>
      <w:jc w:val="center"/>
      <w:rPr>
        <w:rFonts w:ascii="FrankRuehl" w:hAnsi="FrankRuehl" w:cs="FrankRuehl"/>
        <w:color w:val="000000"/>
      </w:rPr>
    </w:pPr>
    <w:r w:rsidRPr="00A7519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0DCD9" w14:textId="77777777" w:rsidR="00A7519A" w:rsidRDefault="00A7519A" w:rsidP="00A7519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24850">
      <w:rPr>
        <w:rFonts w:ascii="FrankRuehl" w:hAnsi="FrankRuehl" w:cs="FrankRuehl"/>
        <w:noProof/>
        <w:rtl/>
      </w:rPr>
      <w:t>1</w:t>
    </w:r>
    <w:r>
      <w:rPr>
        <w:rFonts w:ascii="FrankRuehl" w:hAnsi="FrankRuehl" w:cs="FrankRuehl"/>
        <w:rtl/>
      </w:rPr>
      <w:fldChar w:fldCharType="end"/>
    </w:r>
  </w:p>
  <w:p w14:paraId="2CE5492D" w14:textId="77777777" w:rsidR="00B42F91" w:rsidRPr="00A7519A" w:rsidRDefault="00A7519A" w:rsidP="00A7519A">
    <w:pPr>
      <w:pStyle w:val="a5"/>
      <w:pBdr>
        <w:top w:val="single" w:sz="4" w:space="1" w:color="auto"/>
        <w:between w:val="single" w:sz="4" w:space="0" w:color="auto"/>
      </w:pBdr>
      <w:spacing w:after="60"/>
      <w:jc w:val="center"/>
      <w:rPr>
        <w:rFonts w:ascii="FrankRuehl" w:hAnsi="FrankRuehl" w:cs="FrankRuehl"/>
        <w:color w:val="000000"/>
      </w:rPr>
    </w:pPr>
    <w:r w:rsidRPr="00A7519A">
      <w:rPr>
        <w:rFonts w:ascii="FrankRuehl" w:hAnsi="FrankRuehl" w:cs="FrankRuehl"/>
        <w:color w:val="000000"/>
      </w:rPr>
      <w:pict w14:anchorId="32CBCC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EC6A1B" w14:textId="77777777" w:rsidR="00380949" w:rsidRDefault="00380949" w:rsidP="00A00C9A">
      <w:r>
        <w:separator/>
      </w:r>
    </w:p>
  </w:footnote>
  <w:footnote w:type="continuationSeparator" w:id="0">
    <w:p w14:paraId="082463A2" w14:textId="77777777" w:rsidR="00380949" w:rsidRDefault="00380949" w:rsidP="00A00C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0E23D" w14:textId="77777777" w:rsidR="00B44F47" w:rsidRPr="00A7519A" w:rsidRDefault="00A7519A" w:rsidP="00A7519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43544-05-21</w:t>
    </w:r>
    <w:r>
      <w:rPr>
        <w:rFonts w:ascii="David" w:hAnsi="David"/>
        <w:color w:val="000000"/>
        <w:sz w:val="22"/>
        <w:szCs w:val="22"/>
        <w:rtl/>
      </w:rPr>
      <w:tab/>
      <w:t xml:space="preserve"> מדינת ישראל נ' נתנאל פקר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A4C84" w14:textId="77777777" w:rsidR="00B44F47" w:rsidRPr="00A7519A" w:rsidRDefault="00A7519A" w:rsidP="00A7519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43544-05-21</w:t>
    </w:r>
    <w:r>
      <w:rPr>
        <w:rFonts w:ascii="David" w:hAnsi="David"/>
        <w:color w:val="000000"/>
        <w:sz w:val="22"/>
        <w:szCs w:val="22"/>
        <w:rtl/>
      </w:rPr>
      <w:tab/>
      <w:t xml:space="preserve"> מדינת ישראל נ' נתנאל פקר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0118AA"/>
    <w:multiLevelType w:val="hybridMultilevel"/>
    <w:tmpl w:val="BE6E3BF8"/>
    <w:lvl w:ilvl="0" w:tplc="180E4BA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3691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B03C6"/>
    <w:rsid w:val="001B5A3B"/>
    <w:rsid w:val="002A1510"/>
    <w:rsid w:val="00380949"/>
    <w:rsid w:val="004225E3"/>
    <w:rsid w:val="004F79C3"/>
    <w:rsid w:val="00662EAC"/>
    <w:rsid w:val="006955BF"/>
    <w:rsid w:val="00724850"/>
    <w:rsid w:val="009D4355"/>
    <w:rsid w:val="00A00C9A"/>
    <w:rsid w:val="00A7519A"/>
    <w:rsid w:val="00B42F91"/>
    <w:rsid w:val="00B44F47"/>
    <w:rsid w:val="00BB03C6"/>
    <w:rsid w:val="00C41E70"/>
    <w:rsid w:val="00C813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3A99601"/>
  <w15:chartTrackingRefBased/>
  <w15:docId w15:val="{35CBA78D-7E14-4F5F-94A4-AFDA0173B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B03C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B03C6"/>
    <w:pPr>
      <w:tabs>
        <w:tab w:val="center" w:pos="4153"/>
        <w:tab w:val="right" w:pos="8306"/>
      </w:tabs>
    </w:pPr>
  </w:style>
  <w:style w:type="character" w:customStyle="1" w:styleId="a4">
    <w:name w:val="כותרת עליונה תו"/>
    <w:link w:val="a3"/>
    <w:rsid w:val="00BB03C6"/>
    <w:rPr>
      <w:rFonts w:ascii="Times New Roman" w:eastAsia="Times New Roman" w:hAnsi="Times New Roman" w:cs="David"/>
      <w:sz w:val="24"/>
      <w:szCs w:val="24"/>
    </w:rPr>
  </w:style>
  <w:style w:type="paragraph" w:styleId="a5">
    <w:name w:val="footer"/>
    <w:basedOn w:val="a"/>
    <w:link w:val="a6"/>
    <w:rsid w:val="00BB03C6"/>
    <w:pPr>
      <w:tabs>
        <w:tab w:val="center" w:pos="4153"/>
        <w:tab w:val="right" w:pos="8306"/>
      </w:tabs>
    </w:pPr>
  </w:style>
  <w:style w:type="character" w:customStyle="1" w:styleId="a6">
    <w:name w:val="כותרת תחתונה תו"/>
    <w:link w:val="a5"/>
    <w:rsid w:val="00BB03C6"/>
    <w:rPr>
      <w:rFonts w:ascii="Times New Roman" w:eastAsia="Times New Roman" w:hAnsi="Times New Roman" w:cs="David"/>
      <w:sz w:val="24"/>
      <w:szCs w:val="24"/>
    </w:rPr>
  </w:style>
  <w:style w:type="table" w:styleId="a7">
    <w:name w:val="Table Grid"/>
    <w:basedOn w:val="a1"/>
    <w:rsid w:val="00BB03C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B03C6"/>
  </w:style>
  <w:style w:type="paragraph" w:styleId="a9">
    <w:name w:val="List Paragraph"/>
    <w:basedOn w:val="a"/>
    <w:qFormat/>
    <w:rsid w:val="00BB03C6"/>
    <w:pPr>
      <w:ind w:left="720"/>
      <w:contextualSpacing/>
    </w:pPr>
  </w:style>
  <w:style w:type="character" w:styleId="Hyperlink">
    <w:name w:val="Hyperlink"/>
    <w:rsid w:val="00B44F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9.a" TargetMode="External"/><Relationship Id="rId18" Type="http://schemas.openxmlformats.org/officeDocument/2006/relationships/hyperlink" Target="http://www.nevo.co.il/case/27639240" TargetMode="External"/><Relationship Id="rId26" Type="http://schemas.openxmlformats.org/officeDocument/2006/relationships/hyperlink" Target="http://www.nevo.co.il/case/24417203" TargetMode="External"/><Relationship Id="rId39" Type="http://schemas.openxmlformats.org/officeDocument/2006/relationships/hyperlink" Target="http://www.nevo.co.il/law/4216" TargetMode="External"/><Relationship Id="rId21" Type="http://schemas.openxmlformats.org/officeDocument/2006/relationships/hyperlink" Target="http://www.nevo.co.il/law/4216" TargetMode="External"/><Relationship Id="rId34" Type="http://schemas.openxmlformats.org/officeDocument/2006/relationships/hyperlink" Target="http://www.nevo.co.il/case/22240058"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216.a.1" TargetMode="External"/><Relationship Id="rId29" Type="http://schemas.openxmlformats.org/officeDocument/2006/relationships/hyperlink" Target="http://www.nevo.co.il/law/70301/216.a.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70301/29.a"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191" TargetMode="External"/><Relationship Id="rId23" Type="http://schemas.openxmlformats.org/officeDocument/2006/relationships/hyperlink" Target="http://www.nevo.co.il/law/4216/19.a"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40ja"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4216/7.a" TargetMode="External"/><Relationship Id="rId31" Type="http://schemas.openxmlformats.org/officeDocument/2006/relationships/hyperlink" Target="http://www.nevo.co.il/law/70301/40i"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4216/13" TargetMode="External"/><Relationship Id="rId27" Type="http://schemas.openxmlformats.org/officeDocument/2006/relationships/hyperlink" Target="http://www.nevo.co.il/law/70301/191" TargetMode="External"/><Relationship Id="rId30" Type="http://schemas.openxmlformats.org/officeDocument/2006/relationships/hyperlink" Target="http://www.nevo.co.il/case/5896323" TargetMode="External"/><Relationship Id="rId35" Type="http://schemas.openxmlformats.org/officeDocument/2006/relationships/hyperlink" Target="http://www.nevo.co.il/case/20321459" TargetMode="External"/><Relationship Id="rId43"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3748897" TargetMode="External"/><Relationship Id="rId38" Type="http://schemas.openxmlformats.org/officeDocument/2006/relationships/hyperlink" Target="http://www.nevo.co.il/law/4216" TargetMode="External"/><Relationship Id="rId46" Type="http://schemas.openxmlformats.org/officeDocument/2006/relationships/theme" Target="theme/theme1.xml"/><Relationship Id="rId20" Type="http://schemas.openxmlformats.org/officeDocument/2006/relationships/hyperlink" Target="http://www.nevo.co.il/law/4216/7.c"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1913</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11458</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8257637</vt:i4>
      </vt:variant>
      <vt:variant>
        <vt:i4>96</vt:i4>
      </vt:variant>
      <vt:variant>
        <vt:i4>0</vt:i4>
      </vt:variant>
      <vt:variant>
        <vt:i4>5</vt:i4>
      </vt:variant>
      <vt:variant>
        <vt:lpwstr>http://www.nevo.co.il/law/4216</vt:lpwstr>
      </vt:variant>
      <vt:variant>
        <vt:lpwstr/>
      </vt:variant>
      <vt:variant>
        <vt:i4>8257637</vt:i4>
      </vt:variant>
      <vt:variant>
        <vt:i4>93</vt:i4>
      </vt:variant>
      <vt:variant>
        <vt:i4>0</vt:i4>
      </vt:variant>
      <vt:variant>
        <vt:i4>5</vt:i4>
      </vt:variant>
      <vt:variant>
        <vt:lpwstr>http://www.nevo.co.il/law/4216</vt:lpwstr>
      </vt:variant>
      <vt:variant>
        <vt:lpwstr/>
      </vt:variant>
      <vt:variant>
        <vt:i4>7995492</vt:i4>
      </vt:variant>
      <vt:variant>
        <vt:i4>90</vt:i4>
      </vt:variant>
      <vt:variant>
        <vt:i4>0</vt:i4>
      </vt:variant>
      <vt:variant>
        <vt:i4>5</vt:i4>
      </vt:variant>
      <vt:variant>
        <vt:lpwstr>http://www.nevo.co.il/law/70301</vt:lpwstr>
      </vt:variant>
      <vt:variant>
        <vt:lpwstr/>
      </vt:variant>
      <vt:variant>
        <vt:i4>262155</vt:i4>
      </vt:variant>
      <vt:variant>
        <vt:i4>87</vt:i4>
      </vt:variant>
      <vt:variant>
        <vt:i4>0</vt:i4>
      </vt:variant>
      <vt:variant>
        <vt:i4>5</vt:i4>
      </vt:variant>
      <vt:variant>
        <vt:lpwstr>http://www.nevo.co.il/law/70301/40ja</vt:lpwstr>
      </vt:variant>
      <vt:variant>
        <vt:lpwstr/>
      </vt:variant>
      <vt:variant>
        <vt:i4>3473522</vt:i4>
      </vt:variant>
      <vt:variant>
        <vt:i4>84</vt:i4>
      </vt:variant>
      <vt:variant>
        <vt:i4>0</vt:i4>
      </vt:variant>
      <vt:variant>
        <vt:i4>5</vt:i4>
      </vt:variant>
      <vt:variant>
        <vt:lpwstr>http://www.nevo.co.il/case/20321459</vt:lpwstr>
      </vt:variant>
      <vt:variant>
        <vt:lpwstr/>
      </vt:variant>
      <vt:variant>
        <vt:i4>3473522</vt:i4>
      </vt:variant>
      <vt:variant>
        <vt:i4>81</vt:i4>
      </vt:variant>
      <vt:variant>
        <vt:i4>0</vt:i4>
      </vt:variant>
      <vt:variant>
        <vt:i4>5</vt:i4>
      </vt:variant>
      <vt:variant>
        <vt:lpwstr>http://www.nevo.co.il/case/22240058</vt:lpwstr>
      </vt:variant>
      <vt:variant>
        <vt:lpwstr/>
      </vt:variant>
      <vt:variant>
        <vt:i4>3407995</vt:i4>
      </vt:variant>
      <vt:variant>
        <vt:i4>78</vt:i4>
      </vt:variant>
      <vt:variant>
        <vt:i4>0</vt:i4>
      </vt:variant>
      <vt:variant>
        <vt:i4>5</vt:i4>
      </vt:variant>
      <vt:variant>
        <vt:lpwstr>http://www.nevo.co.il/case/23748897</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http://www.nevo.co.il/law/70301/40i</vt:lpwstr>
      </vt:variant>
      <vt:variant>
        <vt:lpwstr/>
      </vt:variant>
      <vt:variant>
        <vt:i4>3932280</vt:i4>
      </vt:variant>
      <vt:variant>
        <vt:i4>69</vt:i4>
      </vt:variant>
      <vt:variant>
        <vt:i4>0</vt:i4>
      </vt:variant>
      <vt:variant>
        <vt:i4>5</vt:i4>
      </vt:variant>
      <vt:variant>
        <vt:lpwstr>http://www.nevo.co.il/case/5896323</vt:lpwstr>
      </vt:variant>
      <vt:variant>
        <vt:lpwstr/>
      </vt:variant>
      <vt:variant>
        <vt:i4>6553648</vt:i4>
      </vt:variant>
      <vt:variant>
        <vt:i4>66</vt:i4>
      </vt:variant>
      <vt:variant>
        <vt:i4>0</vt:i4>
      </vt:variant>
      <vt:variant>
        <vt:i4>5</vt:i4>
      </vt:variant>
      <vt:variant>
        <vt:lpwstr>http://www.nevo.co.il/law/70301/216.a.1</vt:lpwstr>
      </vt:variant>
      <vt:variant>
        <vt:lpwstr/>
      </vt:variant>
      <vt:variant>
        <vt:i4>7995492</vt:i4>
      </vt:variant>
      <vt:variant>
        <vt:i4>63</vt:i4>
      </vt:variant>
      <vt:variant>
        <vt:i4>0</vt:i4>
      </vt:variant>
      <vt:variant>
        <vt:i4>5</vt:i4>
      </vt:variant>
      <vt:variant>
        <vt:lpwstr>http://www.nevo.co.il/law/70301</vt:lpwstr>
      </vt:variant>
      <vt:variant>
        <vt:lpwstr/>
      </vt:variant>
      <vt:variant>
        <vt:i4>7077988</vt:i4>
      </vt:variant>
      <vt:variant>
        <vt:i4>60</vt:i4>
      </vt:variant>
      <vt:variant>
        <vt:i4>0</vt:i4>
      </vt:variant>
      <vt:variant>
        <vt:i4>5</vt:i4>
      </vt:variant>
      <vt:variant>
        <vt:lpwstr>http://www.nevo.co.il/law/70301/191</vt:lpwstr>
      </vt:variant>
      <vt:variant>
        <vt:lpwstr/>
      </vt:variant>
      <vt:variant>
        <vt:i4>3211379</vt:i4>
      </vt:variant>
      <vt:variant>
        <vt:i4>57</vt:i4>
      </vt:variant>
      <vt:variant>
        <vt:i4>0</vt:i4>
      </vt:variant>
      <vt:variant>
        <vt:i4>5</vt:i4>
      </vt:variant>
      <vt:variant>
        <vt:lpwstr>http://www.nevo.co.il/case/24417203</vt:lpwstr>
      </vt:variant>
      <vt:variant>
        <vt:lpwstr/>
      </vt:variant>
      <vt:variant>
        <vt:i4>7995492</vt:i4>
      </vt:variant>
      <vt:variant>
        <vt:i4>54</vt:i4>
      </vt:variant>
      <vt:variant>
        <vt:i4>0</vt:i4>
      </vt:variant>
      <vt:variant>
        <vt:i4>5</vt:i4>
      </vt:variant>
      <vt:variant>
        <vt:lpwstr>http://www.nevo.co.il/law/70301</vt:lpwstr>
      </vt:variant>
      <vt:variant>
        <vt:lpwstr/>
      </vt:variant>
      <vt:variant>
        <vt:i4>852041</vt:i4>
      </vt:variant>
      <vt:variant>
        <vt:i4>51</vt:i4>
      </vt:variant>
      <vt:variant>
        <vt:i4>0</vt:i4>
      </vt:variant>
      <vt:variant>
        <vt:i4>5</vt:i4>
      </vt:variant>
      <vt:variant>
        <vt:lpwstr>http://www.nevo.co.il/law/70301/29.a</vt:lpwstr>
      </vt:variant>
      <vt:variant>
        <vt:lpwstr/>
      </vt:variant>
      <vt:variant>
        <vt:i4>6357107</vt:i4>
      </vt:variant>
      <vt:variant>
        <vt:i4>48</vt:i4>
      </vt:variant>
      <vt:variant>
        <vt:i4>0</vt:i4>
      </vt:variant>
      <vt:variant>
        <vt:i4>5</vt:i4>
      </vt:variant>
      <vt:variant>
        <vt:lpwstr>http://www.nevo.co.il/law/4216/19.a</vt:lpwstr>
      </vt:variant>
      <vt:variant>
        <vt:lpwstr/>
      </vt:variant>
      <vt:variant>
        <vt:i4>5177418</vt:i4>
      </vt:variant>
      <vt:variant>
        <vt:i4>45</vt:i4>
      </vt:variant>
      <vt:variant>
        <vt:i4>0</vt:i4>
      </vt:variant>
      <vt:variant>
        <vt:i4>5</vt:i4>
      </vt:variant>
      <vt:variant>
        <vt:lpwstr>http://www.nevo.co.il/law/4216/13</vt:lpwstr>
      </vt:variant>
      <vt:variant>
        <vt:lpwstr/>
      </vt:variant>
      <vt:variant>
        <vt:i4>8257637</vt:i4>
      </vt:variant>
      <vt:variant>
        <vt:i4>42</vt:i4>
      </vt:variant>
      <vt:variant>
        <vt:i4>0</vt:i4>
      </vt:variant>
      <vt:variant>
        <vt:i4>5</vt:i4>
      </vt:variant>
      <vt:variant>
        <vt:lpwstr>http://www.nevo.co.il/law/4216</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3735666</vt:i4>
      </vt:variant>
      <vt:variant>
        <vt:i4>33</vt:i4>
      </vt:variant>
      <vt:variant>
        <vt:i4>0</vt:i4>
      </vt:variant>
      <vt:variant>
        <vt:i4>5</vt:i4>
      </vt:variant>
      <vt:variant>
        <vt:lpwstr>http://www.nevo.co.il/case/27639240</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6553648</vt:i4>
      </vt:variant>
      <vt:variant>
        <vt:i4>27</vt:i4>
      </vt:variant>
      <vt:variant>
        <vt:i4>0</vt:i4>
      </vt:variant>
      <vt:variant>
        <vt:i4>5</vt:i4>
      </vt:variant>
      <vt:variant>
        <vt:lpwstr>http://www.nevo.co.il/law/70301/216.a.1</vt:lpwstr>
      </vt:variant>
      <vt:variant>
        <vt:lpwstr/>
      </vt:variant>
      <vt:variant>
        <vt:i4>7077988</vt:i4>
      </vt:variant>
      <vt:variant>
        <vt:i4>24</vt:i4>
      </vt:variant>
      <vt:variant>
        <vt:i4>0</vt:i4>
      </vt:variant>
      <vt:variant>
        <vt:i4>5</vt:i4>
      </vt:variant>
      <vt:variant>
        <vt:lpwstr>http://www.nevo.co.il/law/70301/191</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852041</vt:i4>
      </vt:variant>
      <vt:variant>
        <vt:i4>18</vt:i4>
      </vt:variant>
      <vt:variant>
        <vt:i4>0</vt:i4>
      </vt:variant>
      <vt:variant>
        <vt:i4>5</vt:i4>
      </vt:variant>
      <vt:variant>
        <vt:lpwstr>http://www.nevo.co.il/law/70301/29.a</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2025-04-23T01:03:00Z</dcterms:created>
  <dcterms:modified xsi:type="dcterms:W3CDTF">2025-04-23T01:03:00Z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43544;64081</vt:lpwstr>
  </property>
  <property fmtid="{D5CDD505-2E9C-101B-9397-08002B2CF9AE}" pid="6" name="NEWPARTB">
    <vt:lpwstr>05;07</vt:lpwstr>
  </property>
  <property fmtid="{D5CDD505-2E9C-101B-9397-08002B2CF9AE}" pid="7" name="NEWPARTC">
    <vt:lpwstr>21;18</vt:lpwstr>
  </property>
  <property fmtid="{D5CDD505-2E9C-101B-9397-08002B2CF9AE}" pid="8" name="APPELLANT">
    <vt:lpwstr>מדינת ישראל</vt:lpwstr>
  </property>
  <property fmtid="{D5CDD505-2E9C-101B-9397-08002B2CF9AE}" pid="9" name="APPELLEE">
    <vt:lpwstr>נתנאל פקר</vt:lpwstr>
  </property>
  <property fmtid="{D5CDD505-2E9C-101B-9397-08002B2CF9AE}" pid="10" name="LAWYER">
    <vt:lpwstr>חגית רייזמן</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20220214</vt:lpwstr>
  </property>
  <property fmtid="{D5CDD505-2E9C-101B-9397-08002B2CF9AE}" pid="14" name="TYPE_N_DATE">
    <vt:lpwstr>38020220214</vt:lpwstr>
  </property>
  <property fmtid="{D5CDD505-2E9C-101B-9397-08002B2CF9AE}" pid="15" name="WORDNUMPAGES">
    <vt:lpwstr>7</vt:lpwstr>
  </property>
  <property fmtid="{D5CDD505-2E9C-101B-9397-08002B2CF9AE}" pid="16" name="TYPE_ABS_DATE">
    <vt:lpwstr>380020220214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27639240;24417203;5896323;23748897;22240058;20321459</vt:lpwstr>
  </property>
  <property fmtid="{D5CDD505-2E9C-101B-9397-08002B2CF9AE}" pid="36" name="LAWLISTTMP1">
    <vt:lpwstr>4216/007.a;007.c;013;019.a</vt:lpwstr>
  </property>
  <property fmtid="{D5CDD505-2E9C-101B-9397-08002B2CF9AE}" pid="37" name="LAWLISTTMP2">
    <vt:lpwstr>70301/029.a;191;216.a.1;040i;40ja</vt:lpwstr>
  </property>
</Properties>
</file>