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D5B76" w:rsidRPr="0084676C" w14:paraId="073C65E2" w14:textId="77777777" w:rsidTr="00465710">
        <w:trPr>
          <w:gridAfter w:val="1"/>
          <w:wAfter w:w="99" w:type="dxa"/>
          <w:trHeight w:hRule="exact" w:val="418"/>
          <w:jc w:val="center"/>
        </w:trPr>
        <w:tc>
          <w:tcPr>
            <w:tcW w:w="8721" w:type="dxa"/>
            <w:gridSpan w:val="4"/>
          </w:tcPr>
          <w:p w14:paraId="5CFA3E7F" w14:textId="77777777" w:rsidR="008D5B76" w:rsidRPr="0084676C" w:rsidRDefault="008D5B76" w:rsidP="00CB5338">
            <w:pPr>
              <w:pStyle w:val="a5"/>
              <w:jc w:val="center"/>
              <w:rPr>
                <w:rFonts w:ascii="Tahoma" w:hAnsi="Tahoma" w:cs="Tahoma"/>
                <w:color w:val="000080"/>
                <w:rtl/>
              </w:rPr>
            </w:pPr>
            <w:bookmarkStart w:id="0" w:name="LastJudge"/>
            <w:r w:rsidRPr="0084676C">
              <w:rPr>
                <w:rFonts w:ascii="Tahoma" w:hAnsi="Tahoma" w:cs="Tahoma"/>
                <w:b/>
                <w:bCs/>
                <w:color w:val="000080"/>
                <w:rtl/>
              </w:rPr>
              <w:t>בית משפט השלום בבאר שבע</w:t>
            </w:r>
          </w:p>
        </w:tc>
      </w:tr>
      <w:tr w:rsidR="008D5B76" w:rsidRPr="0084676C" w14:paraId="09233979" w14:textId="77777777" w:rsidTr="00465710">
        <w:trPr>
          <w:gridAfter w:val="1"/>
          <w:wAfter w:w="99" w:type="dxa"/>
          <w:trHeight w:val="337"/>
          <w:jc w:val="center"/>
        </w:trPr>
        <w:tc>
          <w:tcPr>
            <w:tcW w:w="5054" w:type="dxa"/>
            <w:gridSpan w:val="3"/>
          </w:tcPr>
          <w:p w14:paraId="331D371D" w14:textId="77777777" w:rsidR="008D5B76" w:rsidRPr="0084676C" w:rsidRDefault="008D5B76" w:rsidP="00CB5338">
            <w:pPr>
              <w:rPr>
                <w:rFonts w:cs="FrankRuehl"/>
                <w:sz w:val="28"/>
                <w:szCs w:val="28"/>
                <w:rtl/>
              </w:rPr>
            </w:pPr>
            <w:r w:rsidRPr="0084676C">
              <w:rPr>
                <w:rFonts w:cs="FrankRuehl"/>
                <w:sz w:val="28"/>
                <w:szCs w:val="28"/>
                <w:rtl/>
              </w:rPr>
              <w:t>ת"פ</w:t>
            </w:r>
            <w:r w:rsidRPr="0084676C">
              <w:rPr>
                <w:rFonts w:cs="FrankRuehl" w:hint="cs"/>
                <w:sz w:val="28"/>
                <w:szCs w:val="28"/>
                <w:rtl/>
              </w:rPr>
              <w:t xml:space="preserve"> </w:t>
            </w:r>
            <w:r w:rsidRPr="0084676C">
              <w:rPr>
                <w:rFonts w:cs="FrankRuehl"/>
                <w:sz w:val="28"/>
                <w:szCs w:val="28"/>
                <w:rtl/>
              </w:rPr>
              <w:t>44174-05-21</w:t>
            </w:r>
            <w:r w:rsidRPr="0084676C">
              <w:rPr>
                <w:rFonts w:cs="FrankRuehl" w:hint="cs"/>
                <w:sz w:val="28"/>
                <w:szCs w:val="28"/>
                <w:rtl/>
              </w:rPr>
              <w:t xml:space="preserve"> </w:t>
            </w:r>
            <w:r w:rsidRPr="0084676C">
              <w:rPr>
                <w:rFonts w:cs="FrankRuehl"/>
                <w:sz w:val="28"/>
                <w:szCs w:val="28"/>
                <w:rtl/>
              </w:rPr>
              <w:t>מדינת ישראל נ' אבו עסא</w:t>
            </w:r>
          </w:p>
          <w:p w14:paraId="02D82D3A" w14:textId="77777777" w:rsidR="008D5B76" w:rsidRPr="0084676C" w:rsidRDefault="008D5B76" w:rsidP="00CB5338">
            <w:pPr>
              <w:pStyle w:val="a5"/>
              <w:rPr>
                <w:rFonts w:cs="FrankRuehl"/>
                <w:sz w:val="28"/>
                <w:szCs w:val="28"/>
                <w:rtl/>
              </w:rPr>
            </w:pPr>
          </w:p>
        </w:tc>
        <w:tc>
          <w:tcPr>
            <w:tcW w:w="3667" w:type="dxa"/>
          </w:tcPr>
          <w:p w14:paraId="3A4BCDCE" w14:textId="77777777" w:rsidR="008D5B76" w:rsidRPr="0084676C" w:rsidRDefault="008D5B76" w:rsidP="00CB5338">
            <w:pPr>
              <w:pStyle w:val="a5"/>
              <w:jc w:val="right"/>
              <w:rPr>
                <w:rFonts w:cs="FrankRuehl"/>
                <w:sz w:val="28"/>
                <w:szCs w:val="28"/>
                <w:rtl/>
              </w:rPr>
            </w:pPr>
          </w:p>
        </w:tc>
      </w:tr>
      <w:tr w:rsidR="008D5B76" w:rsidRPr="0084676C" w14:paraId="386F72B8" w14:textId="77777777" w:rsidTr="004657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609513" w14:textId="77777777" w:rsidR="008D5B76" w:rsidRPr="0084676C" w:rsidRDefault="008D5B76" w:rsidP="008D5B76">
            <w:pPr>
              <w:jc w:val="both"/>
              <w:rPr>
                <w:rFonts w:ascii="David" w:hAnsi="David"/>
                <w:sz w:val="26"/>
                <w:szCs w:val="26"/>
              </w:rPr>
            </w:pPr>
            <w:r w:rsidRPr="0084676C">
              <w:rPr>
                <w:rFonts w:hint="cs"/>
                <w:rtl/>
              </w:rPr>
              <w:t xml:space="preserve"> </w:t>
            </w:r>
            <w:r w:rsidRPr="0084676C">
              <w:rPr>
                <w:rFonts w:ascii="David" w:hAnsi="David" w:hint="cs"/>
                <w:sz w:val="26"/>
                <w:szCs w:val="26"/>
                <w:rtl/>
              </w:rPr>
              <w:t>ל</w:t>
            </w:r>
            <w:r w:rsidRPr="0084676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F43C3A2" w14:textId="77777777" w:rsidR="008D5B76" w:rsidRPr="0084676C" w:rsidRDefault="008D5B76" w:rsidP="00CB5338">
            <w:pPr>
              <w:rPr>
                <w:rFonts w:ascii="David" w:hAnsi="David"/>
                <w:b/>
                <w:bCs/>
                <w:sz w:val="26"/>
                <w:szCs w:val="26"/>
                <w:rtl/>
              </w:rPr>
            </w:pPr>
            <w:r w:rsidRPr="0084676C">
              <w:rPr>
                <w:rFonts w:ascii="David" w:hAnsi="David"/>
                <w:b/>
                <w:bCs/>
                <w:sz w:val="26"/>
                <w:szCs w:val="26"/>
                <w:rtl/>
              </w:rPr>
              <w:t>כבוד השופט  יריב בן דוד</w:t>
            </w:r>
          </w:p>
          <w:p w14:paraId="25B4ED81" w14:textId="77777777" w:rsidR="008D5B76" w:rsidRPr="0084676C" w:rsidRDefault="008D5B76" w:rsidP="00CB5338">
            <w:pPr>
              <w:rPr>
                <w:rFonts w:ascii="David" w:hAnsi="David"/>
                <w:sz w:val="26"/>
                <w:szCs w:val="26"/>
                <w:rtl/>
              </w:rPr>
            </w:pPr>
          </w:p>
          <w:p w14:paraId="29082490" w14:textId="77777777" w:rsidR="008D5B76" w:rsidRPr="0084676C" w:rsidRDefault="008D5B76" w:rsidP="008D5B76">
            <w:pPr>
              <w:jc w:val="both"/>
              <w:rPr>
                <w:rFonts w:ascii="David" w:hAnsi="David"/>
                <w:sz w:val="26"/>
                <w:szCs w:val="26"/>
              </w:rPr>
            </w:pPr>
          </w:p>
        </w:tc>
      </w:tr>
      <w:tr w:rsidR="008D5B76" w:rsidRPr="0084676C" w14:paraId="7006D9B3" w14:textId="77777777" w:rsidTr="004657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90BE7C" w14:textId="77777777" w:rsidR="008D5B76" w:rsidRPr="0084676C" w:rsidRDefault="008D5B76" w:rsidP="008D5B76">
            <w:pPr>
              <w:jc w:val="both"/>
              <w:rPr>
                <w:rFonts w:ascii="David" w:hAnsi="David"/>
                <w:sz w:val="26"/>
                <w:szCs w:val="26"/>
              </w:rPr>
            </w:pPr>
            <w:bookmarkStart w:id="1" w:name="FirstAppellant"/>
            <w:r w:rsidRPr="0084676C">
              <w:rPr>
                <w:rFonts w:ascii="David" w:hAnsi="David"/>
                <w:sz w:val="26"/>
                <w:szCs w:val="26"/>
                <w:rtl/>
              </w:rPr>
              <w:t>בעניין:</w:t>
            </w:r>
          </w:p>
        </w:tc>
        <w:tc>
          <w:tcPr>
            <w:tcW w:w="3219" w:type="dxa"/>
            <w:tcBorders>
              <w:top w:val="nil"/>
              <w:left w:val="nil"/>
              <w:bottom w:val="nil"/>
              <w:right w:val="nil"/>
            </w:tcBorders>
            <w:shd w:val="clear" w:color="auto" w:fill="auto"/>
          </w:tcPr>
          <w:p w14:paraId="19E85305" w14:textId="77777777" w:rsidR="008D5B76" w:rsidRPr="0084676C" w:rsidRDefault="008D5B76" w:rsidP="008D5B76">
            <w:pPr>
              <w:suppressLineNumbers/>
            </w:pPr>
            <w:r w:rsidRPr="0084676C">
              <w:rPr>
                <w:rFonts w:ascii="Arial" w:hAnsi="Arial" w:hint="cs"/>
                <w:b/>
                <w:bCs/>
                <w:sz w:val="26"/>
                <w:szCs w:val="26"/>
                <w:rtl/>
              </w:rPr>
              <w:t>ה</w:t>
            </w:r>
            <w:r w:rsidRPr="0084676C">
              <w:rPr>
                <w:rFonts w:ascii="Arial" w:hAnsi="Arial"/>
                <w:b/>
                <w:bCs/>
                <w:sz w:val="26"/>
                <w:szCs w:val="26"/>
                <w:rtl/>
              </w:rPr>
              <w:t>מאשימה</w:t>
            </w:r>
          </w:p>
          <w:p w14:paraId="00C5B499" w14:textId="77777777" w:rsidR="008D5B76" w:rsidRPr="0084676C" w:rsidRDefault="008D5B76" w:rsidP="00CB533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BADF386" w14:textId="77777777" w:rsidR="008D5B76" w:rsidRPr="0084676C" w:rsidRDefault="008D5B76" w:rsidP="008D5B76">
            <w:pPr>
              <w:suppressLineNumbers/>
            </w:pPr>
            <w:r w:rsidRPr="0084676C">
              <w:rPr>
                <w:rFonts w:ascii="Arial" w:hAnsi="Arial"/>
                <w:b/>
                <w:bCs/>
                <w:sz w:val="26"/>
                <w:szCs w:val="26"/>
                <w:rtl/>
              </w:rPr>
              <w:t>מדינת ישראל</w:t>
            </w:r>
            <w:r w:rsidRPr="0084676C">
              <w:rPr>
                <w:rFonts w:ascii="Arial" w:hAnsi="Arial" w:hint="cs"/>
                <w:b/>
                <w:bCs/>
                <w:sz w:val="26"/>
                <w:szCs w:val="26"/>
                <w:rtl/>
              </w:rPr>
              <w:t xml:space="preserve"> </w:t>
            </w:r>
            <w:r w:rsidRPr="0084676C">
              <w:rPr>
                <w:rFonts w:ascii="Arial" w:hAnsi="Arial"/>
                <w:b/>
                <w:bCs/>
                <w:sz w:val="26"/>
                <w:szCs w:val="26"/>
                <w:rtl/>
              </w:rPr>
              <w:t>–</w:t>
            </w:r>
            <w:r w:rsidRPr="0084676C">
              <w:rPr>
                <w:rFonts w:ascii="Arial" w:hAnsi="Arial" w:hint="cs"/>
                <w:b/>
                <w:bCs/>
                <w:sz w:val="26"/>
                <w:szCs w:val="26"/>
                <w:rtl/>
              </w:rPr>
              <w:t xml:space="preserve"> תביעות נגב </w:t>
            </w:r>
          </w:p>
          <w:p w14:paraId="1B644063" w14:textId="77777777" w:rsidR="008D5B76" w:rsidRPr="0084676C" w:rsidRDefault="008D5B76" w:rsidP="00CB5338">
            <w:pPr>
              <w:rPr>
                <w:rFonts w:ascii="David" w:hAnsi="David"/>
                <w:sz w:val="26"/>
                <w:szCs w:val="26"/>
              </w:rPr>
            </w:pPr>
          </w:p>
        </w:tc>
      </w:tr>
      <w:bookmarkEnd w:id="1"/>
      <w:tr w:rsidR="008D5B76" w:rsidRPr="0084676C" w14:paraId="0D5C7599" w14:textId="77777777" w:rsidTr="004657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DA89A8" w14:textId="77777777" w:rsidR="008D5B76" w:rsidRPr="0084676C" w:rsidRDefault="008D5B76" w:rsidP="008D5B7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7DFE5F2" w14:textId="77777777" w:rsidR="008D5B76" w:rsidRPr="0084676C" w:rsidRDefault="008D5B76" w:rsidP="008D5B76">
            <w:pPr>
              <w:jc w:val="center"/>
              <w:rPr>
                <w:rFonts w:ascii="David" w:hAnsi="David"/>
                <w:b/>
                <w:bCs/>
                <w:sz w:val="26"/>
                <w:szCs w:val="26"/>
                <w:rtl/>
              </w:rPr>
            </w:pPr>
          </w:p>
          <w:p w14:paraId="73854EAD" w14:textId="77777777" w:rsidR="008D5B76" w:rsidRPr="0084676C" w:rsidRDefault="008D5B76" w:rsidP="008D5B76">
            <w:pPr>
              <w:jc w:val="center"/>
              <w:rPr>
                <w:rFonts w:ascii="David" w:hAnsi="David"/>
                <w:b/>
                <w:bCs/>
                <w:sz w:val="26"/>
                <w:szCs w:val="26"/>
                <w:rtl/>
              </w:rPr>
            </w:pPr>
            <w:r w:rsidRPr="0084676C">
              <w:rPr>
                <w:rFonts w:ascii="David" w:hAnsi="David"/>
                <w:b/>
                <w:bCs/>
                <w:sz w:val="26"/>
                <w:szCs w:val="26"/>
                <w:rtl/>
              </w:rPr>
              <w:t>נגד</w:t>
            </w:r>
          </w:p>
          <w:p w14:paraId="5C2833EA" w14:textId="77777777" w:rsidR="008D5B76" w:rsidRPr="0084676C" w:rsidRDefault="008D5B76" w:rsidP="008D5B76">
            <w:pPr>
              <w:jc w:val="both"/>
              <w:rPr>
                <w:rFonts w:ascii="David" w:hAnsi="David"/>
                <w:sz w:val="26"/>
                <w:szCs w:val="26"/>
              </w:rPr>
            </w:pPr>
          </w:p>
        </w:tc>
      </w:tr>
      <w:tr w:rsidR="008D5B76" w:rsidRPr="0084676C" w14:paraId="3227DE08" w14:textId="77777777" w:rsidTr="004657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181D0A" w14:textId="77777777" w:rsidR="008D5B76" w:rsidRPr="0084676C" w:rsidRDefault="008D5B76" w:rsidP="00CB5338">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B1ED3C9" w14:textId="77777777" w:rsidR="008D5B76" w:rsidRPr="0084676C" w:rsidRDefault="008D5B76" w:rsidP="00CB5338">
            <w:pPr>
              <w:rPr>
                <w:rFonts w:ascii="Arial" w:hAnsi="Arial"/>
                <w:b/>
                <w:bCs/>
                <w:sz w:val="26"/>
                <w:szCs w:val="26"/>
                <w:rtl/>
              </w:rPr>
            </w:pPr>
            <w:r w:rsidRPr="0084676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8AFA6F9" w14:textId="77777777" w:rsidR="008D5B76" w:rsidRPr="0084676C" w:rsidRDefault="008D5B76" w:rsidP="008D5B76">
            <w:pPr>
              <w:suppressLineNumbers/>
              <w:rPr>
                <w:rFonts w:ascii="Arial" w:hAnsi="Arial"/>
                <w:b/>
                <w:bCs/>
                <w:sz w:val="26"/>
                <w:szCs w:val="26"/>
                <w:rtl/>
              </w:rPr>
            </w:pPr>
            <w:r w:rsidRPr="0084676C">
              <w:rPr>
                <w:rFonts w:ascii="Arial" w:hAnsi="Arial"/>
                <w:b/>
                <w:bCs/>
                <w:sz w:val="26"/>
                <w:szCs w:val="26"/>
                <w:rtl/>
              </w:rPr>
              <w:t>יאסין אבו עסא</w:t>
            </w:r>
            <w:r w:rsidRPr="0084676C">
              <w:rPr>
                <w:rFonts w:ascii="Arial" w:hAnsi="Arial" w:hint="cs"/>
                <w:b/>
                <w:bCs/>
                <w:sz w:val="26"/>
                <w:szCs w:val="26"/>
                <w:rtl/>
              </w:rPr>
              <w:t xml:space="preserve"> </w:t>
            </w:r>
            <w:r w:rsidRPr="0084676C">
              <w:rPr>
                <w:rFonts w:ascii="Arial" w:hAnsi="Arial"/>
                <w:b/>
                <w:bCs/>
                <w:sz w:val="26"/>
                <w:szCs w:val="26"/>
                <w:rtl/>
              </w:rPr>
              <w:t>–</w:t>
            </w:r>
            <w:r w:rsidRPr="0084676C">
              <w:rPr>
                <w:rFonts w:ascii="Arial" w:hAnsi="Arial" w:hint="cs"/>
                <w:b/>
                <w:bCs/>
                <w:sz w:val="26"/>
                <w:szCs w:val="26"/>
                <w:rtl/>
              </w:rPr>
              <w:t xml:space="preserve"> בעצמו </w:t>
            </w:r>
          </w:p>
          <w:p w14:paraId="05A5A050" w14:textId="77777777" w:rsidR="008D5B76" w:rsidRPr="0084676C" w:rsidRDefault="008D5B76" w:rsidP="008D5B76">
            <w:pPr>
              <w:suppressLineNumbers/>
            </w:pPr>
            <w:r w:rsidRPr="0084676C">
              <w:rPr>
                <w:rFonts w:ascii="Arial" w:hAnsi="Arial" w:hint="cs"/>
                <w:b/>
                <w:bCs/>
                <w:sz w:val="26"/>
                <w:szCs w:val="26"/>
                <w:rtl/>
              </w:rPr>
              <w:t>ע</w:t>
            </w:r>
            <w:r w:rsidRPr="0084676C">
              <w:rPr>
                <w:rFonts w:ascii="Arial" w:hAnsi="Arial"/>
                <w:b/>
                <w:bCs/>
                <w:sz w:val="26"/>
                <w:szCs w:val="26"/>
                <w:rtl/>
              </w:rPr>
              <w:t>"י ב"כ עוה"ד</w:t>
            </w:r>
            <w:r w:rsidRPr="0084676C">
              <w:rPr>
                <w:rFonts w:hint="cs"/>
                <w:b/>
                <w:bCs/>
                <w:sz w:val="26"/>
                <w:szCs w:val="26"/>
                <w:rtl/>
              </w:rPr>
              <w:t xml:space="preserve"> אבנר שמש</w:t>
            </w:r>
            <w:r w:rsidRPr="0084676C">
              <w:rPr>
                <w:rFonts w:hint="cs"/>
                <w:rtl/>
              </w:rPr>
              <w:t xml:space="preserve"> </w:t>
            </w:r>
          </w:p>
          <w:p w14:paraId="3E03C84C" w14:textId="77777777" w:rsidR="008D5B76" w:rsidRPr="0084676C" w:rsidRDefault="008D5B76" w:rsidP="00CB5338">
            <w:pPr>
              <w:rPr>
                <w:rFonts w:ascii="David" w:hAnsi="David"/>
                <w:sz w:val="26"/>
                <w:szCs w:val="26"/>
              </w:rPr>
            </w:pPr>
          </w:p>
        </w:tc>
      </w:tr>
      <w:bookmarkEnd w:id="2"/>
    </w:tbl>
    <w:p w14:paraId="3E7DAB41" w14:textId="77777777" w:rsidR="0084676C" w:rsidRPr="0084676C" w:rsidRDefault="0084676C" w:rsidP="0084676C">
      <w:pPr>
        <w:spacing w:before="120" w:after="120" w:line="240" w:lineRule="exact"/>
        <w:ind w:left="283" w:hanging="283"/>
        <w:jc w:val="both"/>
        <w:rPr>
          <w:rFonts w:ascii="FrankRuehl" w:hAnsi="FrankRuehl" w:cs="FrankRuehl"/>
          <w:rtl/>
        </w:rPr>
      </w:pPr>
    </w:p>
    <w:p w14:paraId="761FA7FD" w14:textId="77777777" w:rsidR="0084676C" w:rsidRPr="0084676C" w:rsidRDefault="0084676C" w:rsidP="0084676C">
      <w:pPr>
        <w:rPr>
          <w:sz w:val="26"/>
          <w:szCs w:val="26"/>
          <w:rtl/>
        </w:rPr>
      </w:pPr>
    </w:p>
    <w:p w14:paraId="377C8AC6" w14:textId="77777777" w:rsidR="001D03E6" w:rsidRPr="001D03E6" w:rsidRDefault="001D03E6" w:rsidP="001D03E6">
      <w:pPr>
        <w:spacing w:before="120" w:after="120" w:line="240" w:lineRule="exact"/>
        <w:ind w:left="283" w:hanging="283"/>
        <w:jc w:val="both"/>
        <w:rPr>
          <w:rFonts w:ascii="FrankRuehl" w:hAnsi="FrankRuehl" w:cs="FrankRuehl"/>
          <w:rtl/>
        </w:rPr>
      </w:pPr>
    </w:p>
    <w:p w14:paraId="3FE49D21" w14:textId="77777777" w:rsidR="00AC542B" w:rsidRPr="00AC542B" w:rsidRDefault="00AC542B" w:rsidP="00AC542B">
      <w:pPr>
        <w:spacing w:before="120" w:after="120" w:line="240" w:lineRule="exact"/>
        <w:ind w:left="283" w:hanging="283"/>
        <w:jc w:val="both"/>
        <w:rPr>
          <w:rFonts w:ascii="FrankRuehl" w:hAnsi="FrankRuehl" w:cs="FrankRuehl"/>
          <w:rtl/>
        </w:rPr>
      </w:pPr>
    </w:p>
    <w:p w14:paraId="406CD49A" w14:textId="77777777" w:rsidR="008B0384" w:rsidRDefault="008B0384" w:rsidP="008B0384">
      <w:pPr>
        <w:rPr>
          <w:sz w:val="26"/>
          <w:szCs w:val="26"/>
          <w:rtl/>
        </w:rPr>
      </w:pPr>
      <w:bookmarkStart w:id="3" w:name="LawTable"/>
      <w:bookmarkEnd w:id="3"/>
    </w:p>
    <w:p w14:paraId="2A24FB14" w14:textId="77777777" w:rsidR="008B0384" w:rsidRPr="008B0384" w:rsidRDefault="008B0384" w:rsidP="008B0384">
      <w:pPr>
        <w:spacing w:before="120" w:after="120" w:line="240" w:lineRule="exact"/>
        <w:ind w:left="283" w:hanging="283"/>
        <w:jc w:val="both"/>
        <w:rPr>
          <w:rFonts w:ascii="FrankRuehl" w:hAnsi="FrankRuehl" w:cs="FrankRuehl"/>
          <w:rtl/>
        </w:rPr>
      </w:pPr>
    </w:p>
    <w:p w14:paraId="67C0EDA7" w14:textId="77777777" w:rsidR="008B0384" w:rsidRPr="008B0384" w:rsidRDefault="008B0384" w:rsidP="008B0384">
      <w:pPr>
        <w:spacing w:before="120" w:after="120" w:line="240" w:lineRule="exact"/>
        <w:ind w:left="283" w:hanging="283"/>
        <w:jc w:val="both"/>
        <w:rPr>
          <w:rFonts w:ascii="FrankRuehl" w:hAnsi="FrankRuehl" w:cs="FrankRuehl"/>
          <w:rtl/>
        </w:rPr>
      </w:pPr>
    </w:p>
    <w:p w14:paraId="6F6A1321" w14:textId="77777777" w:rsidR="008B0384" w:rsidRPr="008B0384" w:rsidRDefault="008B0384" w:rsidP="008B0384">
      <w:pPr>
        <w:spacing w:before="120" w:after="120" w:line="240" w:lineRule="exact"/>
        <w:ind w:left="283" w:hanging="283"/>
        <w:jc w:val="both"/>
        <w:rPr>
          <w:rFonts w:ascii="FrankRuehl" w:hAnsi="FrankRuehl" w:cs="FrankRuehl"/>
          <w:rtl/>
        </w:rPr>
      </w:pPr>
      <w:r w:rsidRPr="008B0384">
        <w:rPr>
          <w:rFonts w:ascii="FrankRuehl" w:hAnsi="FrankRuehl" w:cs="FrankRuehl"/>
          <w:rtl/>
        </w:rPr>
        <w:t xml:space="preserve">חקיקה שאוזכרה: </w:t>
      </w:r>
    </w:p>
    <w:p w14:paraId="536CD5AB" w14:textId="77777777" w:rsidR="008B0384" w:rsidRPr="008B0384" w:rsidRDefault="008B0384" w:rsidP="008B0384">
      <w:pPr>
        <w:spacing w:before="120" w:after="120" w:line="240" w:lineRule="exact"/>
        <w:ind w:left="283" w:hanging="283"/>
        <w:jc w:val="both"/>
        <w:rPr>
          <w:rFonts w:ascii="FrankRuehl" w:hAnsi="FrankRuehl" w:cs="FrankRuehl"/>
          <w:rtl/>
        </w:rPr>
      </w:pPr>
      <w:hyperlink r:id="rId7" w:history="1">
        <w:r w:rsidRPr="008B0384">
          <w:rPr>
            <w:rFonts w:ascii="FrankRuehl" w:hAnsi="FrankRuehl" w:cs="FrankRuehl"/>
            <w:color w:val="0000FF"/>
            <w:rtl/>
          </w:rPr>
          <w:t>פקודת הסמים המסוכנים [נוסח חדש], תשל"ג-1973</w:t>
        </w:r>
      </w:hyperlink>
      <w:r w:rsidRPr="008B0384">
        <w:rPr>
          <w:rFonts w:ascii="FrankRuehl" w:hAnsi="FrankRuehl" w:cs="FrankRuehl"/>
          <w:rtl/>
        </w:rPr>
        <w:t xml:space="preserve">: סע'  </w:t>
      </w:r>
      <w:hyperlink r:id="rId8" w:history="1">
        <w:r w:rsidRPr="008B0384">
          <w:rPr>
            <w:rFonts w:ascii="FrankRuehl" w:hAnsi="FrankRuehl" w:cs="FrankRuehl"/>
            <w:color w:val="0000FF"/>
            <w:rtl/>
          </w:rPr>
          <w:t>6</w:t>
        </w:r>
      </w:hyperlink>
    </w:p>
    <w:p w14:paraId="114DE48E" w14:textId="77777777" w:rsidR="008B0384" w:rsidRPr="008B0384" w:rsidRDefault="008B0384" w:rsidP="008B0384">
      <w:pPr>
        <w:spacing w:before="120" w:after="120" w:line="240" w:lineRule="exact"/>
        <w:ind w:left="283" w:hanging="283"/>
        <w:jc w:val="both"/>
        <w:rPr>
          <w:rFonts w:ascii="FrankRuehl" w:hAnsi="FrankRuehl" w:cs="FrankRuehl"/>
          <w:rtl/>
        </w:rPr>
      </w:pPr>
      <w:hyperlink r:id="rId9" w:history="1">
        <w:r w:rsidRPr="008B0384">
          <w:rPr>
            <w:rFonts w:ascii="FrankRuehl" w:hAnsi="FrankRuehl" w:cs="FrankRuehl"/>
            <w:color w:val="0000FF"/>
            <w:rtl/>
          </w:rPr>
          <w:t>חוק העונשין, תשל"ז-1977</w:t>
        </w:r>
      </w:hyperlink>
      <w:r w:rsidRPr="008B0384">
        <w:rPr>
          <w:rFonts w:ascii="FrankRuehl" w:hAnsi="FrankRuehl" w:cs="FrankRuehl"/>
          <w:rtl/>
        </w:rPr>
        <w:t xml:space="preserve">: סע'  </w:t>
      </w:r>
      <w:hyperlink r:id="rId10" w:history="1">
        <w:r w:rsidRPr="008B0384">
          <w:rPr>
            <w:rFonts w:ascii="FrankRuehl" w:hAnsi="FrankRuehl" w:cs="FrankRuehl"/>
            <w:color w:val="0000FF"/>
            <w:rtl/>
          </w:rPr>
          <w:t>40ב</w:t>
        </w:r>
      </w:hyperlink>
      <w:r w:rsidRPr="008B0384">
        <w:rPr>
          <w:rFonts w:ascii="FrankRuehl" w:hAnsi="FrankRuehl" w:cs="FrankRuehl"/>
          <w:rtl/>
        </w:rPr>
        <w:t xml:space="preserve">, </w:t>
      </w:r>
      <w:hyperlink r:id="rId11" w:history="1">
        <w:r w:rsidRPr="008B0384">
          <w:rPr>
            <w:rFonts w:ascii="FrankRuehl" w:hAnsi="FrankRuehl" w:cs="FrankRuehl"/>
            <w:color w:val="0000FF"/>
            <w:rtl/>
          </w:rPr>
          <w:t>40ג(א)</w:t>
        </w:r>
      </w:hyperlink>
      <w:r w:rsidRPr="008B0384">
        <w:rPr>
          <w:rFonts w:ascii="FrankRuehl" w:hAnsi="FrankRuehl" w:cs="FrankRuehl"/>
          <w:rtl/>
        </w:rPr>
        <w:t xml:space="preserve">, </w:t>
      </w:r>
      <w:hyperlink r:id="rId12" w:history="1">
        <w:r w:rsidRPr="008B0384">
          <w:rPr>
            <w:rFonts w:ascii="FrankRuehl" w:hAnsi="FrankRuehl" w:cs="FrankRuehl"/>
            <w:color w:val="0000FF"/>
            <w:rtl/>
          </w:rPr>
          <w:t>40ט</w:t>
        </w:r>
      </w:hyperlink>
      <w:r w:rsidRPr="008B0384">
        <w:rPr>
          <w:rFonts w:ascii="FrankRuehl" w:hAnsi="FrankRuehl" w:cs="FrankRuehl"/>
          <w:rtl/>
        </w:rPr>
        <w:t xml:space="preserve">, </w:t>
      </w:r>
      <w:hyperlink r:id="rId13" w:history="1">
        <w:r w:rsidRPr="008B0384">
          <w:rPr>
            <w:rFonts w:ascii="FrankRuehl" w:hAnsi="FrankRuehl" w:cs="FrankRuehl"/>
            <w:color w:val="0000FF"/>
            <w:rtl/>
          </w:rPr>
          <w:t>40יא</w:t>
        </w:r>
      </w:hyperlink>
    </w:p>
    <w:p w14:paraId="7445D07C" w14:textId="77777777" w:rsidR="008B0384" w:rsidRPr="008B0384" w:rsidRDefault="008B0384" w:rsidP="008B0384">
      <w:pPr>
        <w:rPr>
          <w:sz w:val="26"/>
          <w:szCs w:val="26"/>
          <w:rtl/>
        </w:rPr>
      </w:pPr>
      <w:bookmarkStart w:id="4" w:name="LawTable_End"/>
      <w:bookmarkEnd w:id="4"/>
    </w:p>
    <w:p w14:paraId="355C0807" w14:textId="77777777" w:rsidR="008D5B76" w:rsidRPr="00AC542B" w:rsidRDefault="008D5B76" w:rsidP="00AC542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5B76" w14:paraId="79D830A9" w14:textId="77777777" w:rsidTr="008D5B76">
        <w:trPr>
          <w:trHeight w:val="355"/>
          <w:jc w:val="center"/>
        </w:trPr>
        <w:tc>
          <w:tcPr>
            <w:tcW w:w="8820" w:type="dxa"/>
            <w:tcBorders>
              <w:top w:val="nil"/>
              <w:left w:val="nil"/>
              <w:bottom w:val="nil"/>
              <w:right w:val="nil"/>
            </w:tcBorders>
            <w:shd w:val="clear" w:color="auto" w:fill="auto"/>
          </w:tcPr>
          <w:p w14:paraId="26ACCC70" w14:textId="77777777" w:rsidR="0084676C" w:rsidRPr="0084676C" w:rsidRDefault="0084676C" w:rsidP="0084676C">
            <w:pPr>
              <w:jc w:val="center"/>
              <w:rPr>
                <w:rFonts w:ascii="David" w:hAnsi="David"/>
                <w:b/>
                <w:bCs/>
                <w:sz w:val="32"/>
                <w:szCs w:val="32"/>
                <w:u w:val="single"/>
                <w:rtl/>
              </w:rPr>
            </w:pPr>
            <w:bookmarkStart w:id="5" w:name="PsakDin" w:colFirst="0" w:colLast="0"/>
            <w:bookmarkEnd w:id="0"/>
            <w:r w:rsidRPr="0084676C">
              <w:rPr>
                <w:rFonts w:ascii="David" w:hAnsi="David"/>
                <w:b/>
                <w:bCs/>
                <w:sz w:val="32"/>
                <w:szCs w:val="32"/>
                <w:u w:val="single"/>
                <w:rtl/>
              </w:rPr>
              <w:t>גזר דין</w:t>
            </w:r>
          </w:p>
          <w:p w14:paraId="4E2B9AA3" w14:textId="77777777" w:rsidR="008D5B76" w:rsidRPr="0084676C" w:rsidRDefault="008D5B76" w:rsidP="0084676C">
            <w:pPr>
              <w:jc w:val="center"/>
              <w:rPr>
                <w:rFonts w:ascii="David" w:hAnsi="David"/>
                <w:bCs/>
                <w:sz w:val="32"/>
                <w:szCs w:val="32"/>
                <w:u w:val="single"/>
                <w:rtl/>
              </w:rPr>
            </w:pPr>
          </w:p>
        </w:tc>
      </w:tr>
      <w:bookmarkEnd w:id="5"/>
    </w:tbl>
    <w:p w14:paraId="75CFAE3D" w14:textId="77777777" w:rsidR="008D5B76" w:rsidRPr="000F2247" w:rsidRDefault="008D5B76" w:rsidP="008D5B76">
      <w:pPr>
        <w:rPr>
          <w:rFonts w:ascii="Arial" w:hAnsi="Arial"/>
          <w:b/>
          <w:bCs/>
          <w:sz w:val="26"/>
          <w:szCs w:val="26"/>
          <w:rtl/>
        </w:rPr>
      </w:pPr>
    </w:p>
    <w:p w14:paraId="3B5C5B43" w14:textId="77777777" w:rsidR="008D5B76" w:rsidRDefault="008D5B76" w:rsidP="008D5B76">
      <w:pPr>
        <w:pStyle w:val="11"/>
      </w:pPr>
      <w:r>
        <w:rPr>
          <w:rtl/>
        </w:rPr>
        <w:t>רקע</w:t>
      </w:r>
      <w:bookmarkStart w:id="6" w:name="ABSTRACT_START"/>
      <w:bookmarkEnd w:id="6"/>
    </w:p>
    <w:p w14:paraId="6125F1FA" w14:textId="77777777" w:rsidR="008D5B76" w:rsidRDefault="008D5B76" w:rsidP="008D5B76">
      <w:pPr>
        <w:pStyle w:val="a"/>
        <w:numPr>
          <w:ilvl w:val="1"/>
          <w:numId w:val="3"/>
        </w:numPr>
        <w:tabs>
          <w:tab w:val="num" w:pos="-58"/>
        </w:tabs>
        <w:ind w:left="651"/>
      </w:pPr>
      <w:r>
        <w:rPr>
          <w:rFonts w:hint="cs"/>
          <w:rtl/>
        </w:rPr>
        <w:t xml:space="preserve">הנאשם הורשע על פי הודאתו בכתב אישום מתוקן המייחס לו עבירת סיוע לגידול סמים מסוכנים בניגוד </w:t>
      </w:r>
      <w:hyperlink r:id="rId14" w:history="1">
        <w:r w:rsidR="001D03E6" w:rsidRPr="001D03E6">
          <w:rPr>
            <w:rStyle w:val="Hyperlink"/>
            <w:rFonts w:hint="eastAsia"/>
            <w:rtl/>
          </w:rPr>
          <w:t>לסעיף</w:t>
        </w:r>
        <w:r w:rsidR="001D03E6" w:rsidRPr="001D03E6">
          <w:rPr>
            <w:rStyle w:val="Hyperlink"/>
            <w:rtl/>
          </w:rPr>
          <w:t xml:space="preserve"> 6</w:t>
        </w:r>
      </w:hyperlink>
      <w:r>
        <w:rPr>
          <w:rFonts w:hint="cs"/>
          <w:rtl/>
        </w:rPr>
        <w:t xml:space="preserve"> ל</w:t>
      </w:r>
      <w:hyperlink r:id="rId15" w:history="1">
        <w:r w:rsidR="0084676C" w:rsidRPr="0084676C">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14:paraId="07C0FF75" w14:textId="77777777" w:rsidR="008D5B76" w:rsidRDefault="008D5B76" w:rsidP="008D5B76">
      <w:pPr>
        <w:pStyle w:val="ab"/>
        <w:rPr>
          <w:rtl/>
        </w:rPr>
      </w:pPr>
      <w:r>
        <w:rPr>
          <w:rFonts w:hint="cs"/>
          <w:rtl/>
        </w:rPr>
        <w:t>על פי עובדות כתב האישום, במהלך תקופה לא ידועה אשר קדמה ליום 9.5.21, סייע הנאשם לאחר לגדל 600 שתילי סם קנביס במשקל נטו של 18 ק"ג (להלן: "</w:t>
      </w:r>
      <w:r>
        <w:rPr>
          <w:rFonts w:hint="cs"/>
          <w:b/>
          <w:bCs/>
          <w:rtl/>
        </w:rPr>
        <w:t>הסמים</w:t>
      </w:r>
      <w:r>
        <w:rPr>
          <w:rFonts w:hint="cs"/>
          <w:rtl/>
        </w:rPr>
        <w:t>"), בכך שאפשר לאחר לגדל הסמים בחצר ביתו שבפזורת תל שבע (להלן: "</w:t>
      </w:r>
      <w:r>
        <w:rPr>
          <w:rFonts w:hint="cs"/>
          <w:b/>
          <w:bCs/>
          <w:rtl/>
        </w:rPr>
        <w:t>החצר</w:t>
      </w:r>
      <w:r>
        <w:rPr>
          <w:rFonts w:hint="cs"/>
          <w:rtl/>
        </w:rPr>
        <w:t>").</w:t>
      </w:r>
    </w:p>
    <w:p w14:paraId="1214D3BE" w14:textId="77777777" w:rsidR="008D5B76" w:rsidRDefault="008D5B76" w:rsidP="008D5B76">
      <w:pPr>
        <w:pStyle w:val="11"/>
      </w:pPr>
      <w:bookmarkStart w:id="7" w:name="ABSTRACT_END"/>
      <w:bookmarkEnd w:id="7"/>
      <w:r>
        <w:rPr>
          <w:rtl/>
        </w:rPr>
        <w:lastRenderedPageBreak/>
        <w:t>תסקיר שירות המבחן</w:t>
      </w:r>
    </w:p>
    <w:p w14:paraId="440BE841" w14:textId="77777777" w:rsidR="008D5B76" w:rsidRDefault="008D5B76" w:rsidP="008D5B76">
      <w:pPr>
        <w:pStyle w:val="a"/>
        <w:numPr>
          <w:ilvl w:val="1"/>
          <w:numId w:val="3"/>
        </w:numPr>
        <w:ind w:left="651" w:hanging="425"/>
        <w:rPr>
          <w:rtl/>
        </w:rPr>
      </w:pPr>
      <w:r>
        <w:rPr>
          <w:rFonts w:hint="cs"/>
          <w:rtl/>
        </w:rPr>
        <w:t>לאחר הרשעתו הופנה הנאשם לשירות המבחן.</w:t>
      </w:r>
    </w:p>
    <w:p w14:paraId="17D9E35A" w14:textId="77777777" w:rsidR="008D5B76" w:rsidRDefault="008D5B76" w:rsidP="008D5B76">
      <w:pPr>
        <w:pStyle w:val="a"/>
        <w:numPr>
          <w:ilvl w:val="0"/>
          <w:numId w:val="0"/>
        </w:numPr>
        <w:tabs>
          <w:tab w:val="left" w:pos="720"/>
        </w:tabs>
        <w:ind w:left="651"/>
        <w:rPr>
          <w:rtl/>
        </w:rPr>
      </w:pPr>
      <w:r>
        <w:rPr>
          <w:rFonts w:hint="cs"/>
          <w:rtl/>
        </w:rPr>
        <w:t>ביום 12.9.23 התקבל תסקיר שירות המבחן במסגרתו הומלץ על ענישה בדמות עונש הרתעתי וצו של"צ בהיקף של 400 שעות.</w:t>
      </w:r>
    </w:p>
    <w:p w14:paraId="1CF3B017" w14:textId="77777777" w:rsidR="008D5B76" w:rsidRDefault="008D5B76" w:rsidP="008D5B76">
      <w:pPr>
        <w:pStyle w:val="ab"/>
        <w:rPr>
          <w:rtl/>
        </w:rPr>
      </w:pPr>
      <w:r>
        <w:rPr>
          <w:rFonts w:hint="cs"/>
          <w:rtl/>
        </w:rPr>
        <w:t>על פי נתוני התסקיר, הנאשם בן 26, נשוי, אב לשני ילדים ומתגורר עם משפחתו בפזורת תל שבע. הנאשם סיים 9 שנות לימוד והחל מגיל 14, התחבר לחברה שולית, נשר מהלימודים והחל לעבוד בתחום השמירה ובעבודות מזדמנות, וללא יציבות תעסוקתית עד ליום זה.</w:t>
      </w:r>
    </w:p>
    <w:p w14:paraId="4BB72544" w14:textId="77777777" w:rsidR="008D5B76" w:rsidRDefault="008D5B76" w:rsidP="008D5B76">
      <w:pPr>
        <w:pStyle w:val="ab"/>
        <w:rPr>
          <w:rtl/>
        </w:rPr>
      </w:pPr>
      <w:r>
        <w:rPr>
          <w:rFonts w:hint="cs"/>
          <w:rtl/>
        </w:rPr>
        <w:t>נמסר כי הנאשם מקבל קצבת נכות מהמוסד לביטוח לאומי על רקע מצבו הרפואי של בנו.</w:t>
      </w:r>
    </w:p>
    <w:p w14:paraId="4C1D8369" w14:textId="77777777" w:rsidR="008D5B76" w:rsidRDefault="008D5B76" w:rsidP="008D5B76">
      <w:pPr>
        <w:pStyle w:val="ab"/>
        <w:rPr>
          <w:rtl/>
        </w:rPr>
      </w:pPr>
      <w:r>
        <w:rPr>
          <w:rFonts w:hint="cs"/>
          <w:rtl/>
        </w:rPr>
        <w:t>נמסר כי שלוש בדיקות שתן שנערכו לנאשם נמצאו נקיות.</w:t>
      </w:r>
    </w:p>
    <w:p w14:paraId="23472797" w14:textId="77777777" w:rsidR="008D5B76" w:rsidRDefault="008D5B76" w:rsidP="008D5B76">
      <w:pPr>
        <w:pStyle w:val="ab"/>
        <w:rPr>
          <w:rtl/>
        </w:rPr>
      </w:pPr>
      <w:r>
        <w:rPr>
          <w:rFonts w:hint="cs"/>
          <w:rtl/>
        </w:rPr>
        <w:t xml:space="preserve">נמסר כי הנאשם הודה בביצוע העבירה אך נטל אחריות חלקית למעשיו עת בה מסר כי שניים מקרובי משפחתו הרחוקים שכנעו אותו להקצות חלק מחצר ביתו לטובת גידול סמים תמורת כסף לאחר שהסבירו לו כי לא יהיה מעורב בפלילים, וכי חלקו בענין לא יהווה עבירה על החוק. </w:t>
      </w:r>
    </w:p>
    <w:p w14:paraId="7BC69A87" w14:textId="77777777" w:rsidR="008D5B76" w:rsidRDefault="008D5B76" w:rsidP="008D5B76">
      <w:pPr>
        <w:pStyle w:val="ab"/>
        <w:rPr>
          <w:rtl/>
        </w:rPr>
      </w:pPr>
      <w:r>
        <w:rPr>
          <w:rFonts w:hint="cs"/>
          <w:rtl/>
        </w:rPr>
        <w:t>להערכת שירות המבחן, העבירה בוצעה על רקע שיקול דעת לקוי, תועלתנות, קושי בקבלת החלטות, ללא מחשבה על ההשלכות העתידיות, ובמטרה להשיג כסף קל.</w:t>
      </w:r>
    </w:p>
    <w:p w14:paraId="0D23229C" w14:textId="77777777" w:rsidR="008D5B76" w:rsidRDefault="008D5B76" w:rsidP="008D5B76">
      <w:pPr>
        <w:pStyle w:val="ab"/>
        <w:rPr>
          <w:rtl/>
        </w:rPr>
      </w:pPr>
      <w:r>
        <w:rPr>
          <w:rFonts w:hint="cs"/>
          <w:rtl/>
        </w:rPr>
        <w:t>שירות המבחן התרשם מקיומה של נזקקות טיפולית במישורי רכישת מיומנויות אדפטיביות, זיהוי מצבי סיכון והימנעות מהם. הנאשם שלל נזקקות טיפולית, שלל כל כוונה פלילית במעשיו ומסר כי למד מהתנהגותו השגויה ולא יחזור עליה בשנית.</w:t>
      </w:r>
    </w:p>
    <w:p w14:paraId="17F36E00" w14:textId="77777777" w:rsidR="008D5B76" w:rsidRDefault="008D5B76" w:rsidP="008D5B76">
      <w:pPr>
        <w:pStyle w:val="ab"/>
        <w:rPr>
          <w:rtl/>
        </w:rPr>
      </w:pPr>
      <w:r>
        <w:rPr>
          <w:rFonts w:hint="cs"/>
          <w:u w:val="single"/>
          <w:rtl/>
        </w:rPr>
        <w:t>גורמי סיכוי לשיקום</w:t>
      </w:r>
      <w:r>
        <w:rPr>
          <w:rFonts w:hint="cs"/>
          <w:rtl/>
        </w:rPr>
        <w:t>: הנאשם נעדר עבר פלילי, בעל יכולות קוגניטיביות תקינות אשר גדל במשפחה נורמטיבית, בעל שאיפות לעתיד.</w:t>
      </w:r>
    </w:p>
    <w:p w14:paraId="70CFB9BC" w14:textId="77777777" w:rsidR="008D5B76" w:rsidRDefault="008D5B76" w:rsidP="008D5B76">
      <w:pPr>
        <w:pStyle w:val="ab"/>
        <w:rPr>
          <w:rtl/>
        </w:rPr>
      </w:pPr>
      <w:r>
        <w:rPr>
          <w:rFonts w:hint="cs"/>
          <w:u w:val="single"/>
          <w:rtl/>
        </w:rPr>
        <w:t>גורמי סיכון לעבריינות</w:t>
      </w:r>
      <w:r>
        <w:rPr>
          <w:rFonts w:hint="cs"/>
          <w:rtl/>
        </w:rPr>
        <w:t>: נטילת אחריות חלקית אשר שוללת כוונה פלילית; אי יציבות במסגרות לימוד/תעסוקה; גבולותיו הפנימיים של הנאשם רופפים והוא פועל לעתים מתוך אינטרסים צרים במחיר עבירה על החוק.</w:t>
      </w:r>
    </w:p>
    <w:p w14:paraId="6C1542ED" w14:textId="77777777" w:rsidR="008D5B76" w:rsidRDefault="008D5B76" w:rsidP="008D5B76">
      <w:pPr>
        <w:pStyle w:val="11"/>
        <w:rPr>
          <w:rtl/>
        </w:rPr>
      </w:pPr>
      <w:r>
        <w:rPr>
          <w:rtl/>
        </w:rPr>
        <w:t>טיעונים לעונש</w:t>
      </w:r>
    </w:p>
    <w:p w14:paraId="06B57204" w14:textId="77777777" w:rsidR="008D5B76" w:rsidRDefault="008D5B76" w:rsidP="008D5B76">
      <w:pPr>
        <w:pStyle w:val="a"/>
        <w:numPr>
          <w:ilvl w:val="1"/>
          <w:numId w:val="3"/>
        </w:numPr>
        <w:ind w:left="651" w:hanging="425"/>
        <w:rPr>
          <w:rtl/>
        </w:rPr>
      </w:pPr>
      <w:r>
        <w:rPr>
          <w:rFonts w:hint="cs"/>
          <w:rtl/>
        </w:rPr>
        <w:t>בדיון שנערך ביום 13.2.24, הגישה המאשימה רישום פלילי (</w:t>
      </w:r>
      <w:r>
        <w:rPr>
          <w:rFonts w:hint="cs"/>
          <w:b/>
          <w:bCs/>
          <w:rtl/>
        </w:rPr>
        <w:t>ת/1</w:t>
      </w:r>
      <w:r>
        <w:rPr>
          <w:rFonts w:hint="cs"/>
          <w:rtl/>
        </w:rPr>
        <w:t>) וטיעונים לעונש בכתב (</w:t>
      </w:r>
      <w:r>
        <w:rPr>
          <w:rFonts w:hint="cs"/>
          <w:b/>
          <w:bCs/>
          <w:rtl/>
        </w:rPr>
        <w:t>ת/2</w:t>
      </w:r>
      <w:r>
        <w:rPr>
          <w:rFonts w:hint="cs"/>
          <w:rtl/>
        </w:rPr>
        <w:t>). ב"כ הנאשם הגיש מסמך ממקום עבודתו של הנאשם (</w:t>
      </w:r>
      <w:r>
        <w:rPr>
          <w:rFonts w:hint="cs"/>
          <w:b/>
          <w:bCs/>
          <w:rtl/>
        </w:rPr>
        <w:t>נ/1</w:t>
      </w:r>
      <w:r>
        <w:rPr>
          <w:rFonts w:hint="cs"/>
          <w:rtl/>
        </w:rPr>
        <w:t>).</w:t>
      </w:r>
    </w:p>
    <w:p w14:paraId="79E3B6ED" w14:textId="77777777" w:rsidR="008D5B76" w:rsidRDefault="008D5B76" w:rsidP="008D5B76">
      <w:pPr>
        <w:pStyle w:val="a"/>
        <w:numPr>
          <w:ilvl w:val="0"/>
          <w:numId w:val="0"/>
        </w:numPr>
        <w:ind w:left="651"/>
        <w:rPr>
          <w:rtl/>
        </w:rPr>
      </w:pPr>
      <w:r>
        <w:rPr>
          <w:rFonts w:hint="cs"/>
          <w:b/>
          <w:bCs/>
          <w:rtl/>
        </w:rPr>
        <w:lastRenderedPageBreak/>
        <w:t>ב"כ המאשימה</w:t>
      </w:r>
      <w:r>
        <w:rPr>
          <w:rFonts w:hint="cs"/>
          <w:rtl/>
        </w:rPr>
        <w:t xml:space="preserve"> הפנתה לערכים המוגנים שנפגעו ובהם בריאות הציבור ובטחונו, והגנה מפני נגע הסמים המהווה מחולל פשיעה על כלל גווניה – עבירות רכוש, אלימות, תעבורה וסמים. לשיטת ב"כ המאשימה, הפגיעה בערכים אלה היא במידה גבוהה ועל מתחם העונש ההולם בגין המעשים לנוע בין 14 ל-33 חודשי מאסר בפועל.</w:t>
      </w:r>
    </w:p>
    <w:p w14:paraId="2FED9A22" w14:textId="77777777" w:rsidR="008D5B76" w:rsidRDefault="008D5B76" w:rsidP="008D5B76">
      <w:pPr>
        <w:pStyle w:val="ab"/>
        <w:spacing w:before="240"/>
        <w:rPr>
          <w:rtl/>
        </w:rPr>
      </w:pPr>
      <w:r>
        <w:rPr>
          <w:rFonts w:hint="cs"/>
          <w:rtl/>
        </w:rPr>
        <w:t>לאור היעדרו של עבר פלילי, עתרה ב"כ המאשימה לענישה בחלקו התחתון של מתחם הענישה לצד מאסר מותנה ארוך ומרתיע, פסילת רישיון נהיגה, קנס משמעותי וחתימה על התחייבות.</w:t>
      </w:r>
    </w:p>
    <w:p w14:paraId="493EE3E4" w14:textId="77777777" w:rsidR="008D5B76" w:rsidRDefault="008D5B76" w:rsidP="008D5B76">
      <w:pPr>
        <w:pStyle w:val="a"/>
        <w:numPr>
          <w:ilvl w:val="1"/>
          <w:numId w:val="3"/>
        </w:numPr>
        <w:ind w:left="651" w:hanging="425"/>
        <w:rPr>
          <w:rtl/>
        </w:rPr>
      </w:pPr>
      <w:r>
        <w:rPr>
          <w:rFonts w:hint="cs"/>
          <w:b/>
          <w:bCs/>
          <w:rtl/>
        </w:rPr>
        <w:t>ב"כ הנאשם</w:t>
      </w:r>
      <w:r>
        <w:rPr>
          <w:rFonts w:hint="cs"/>
          <w:rtl/>
        </w:rPr>
        <w:t xml:space="preserve"> טען כי המאשימה הציגה פסיקה של עבירה מוגמרת, ואילו בענייננו, נדון הנאשם בגין סיוע לעבירת הגידול. עוד נטען כי הסיוע במקרה הנדון הוא ברף נמוך אשר מצא ביטוי אך בהסכמת הנאשם לשימוש אחר בשטחו לצורך גידול הסמים.</w:t>
      </w:r>
    </w:p>
    <w:p w14:paraId="0CB97DFE" w14:textId="77777777" w:rsidR="008D5B76" w:rsidRDefault="008D5B76" w:rsidP="008D5B76">
      <w:pPr>
        <w:pStyle w:val="ab"/>
        <w:rPr>
          <w:rtl/>
        </w:rPr>
      </w:pPr>
      <w:r>
        <w:rPr>
          <w:rFonts w:eastAsia="David" w:hint="cs"/>
          <w:rtl/>
        </w:rPr>
        <w:t xml:space="preserve">עוד טען ב"כ הנאשם לחלוף זמן, במהלכו שהה הנאשם תחת תנאים מגבילים ושיתף פעולה עם שירות המבחן. </w:t>
      </w:r>
    </w:p>
    <w:p w14:paraId="43233CC9" w14:textId="77777777" w:rsidR="008D5B76" w:rsidRDefault="008D5B76" w:rsidP="008D5B76">
      <w:pPr>
        <w:pStyle w:val="ab"/>
        <w:rPr>
          <w:rtl/>
        </w:rPr>
      </w:pPr>
      <w:r>
        <w:rPr>
          <w:rFonts w:hint="cs"/>
          <w:rtl/>
        </w:rPr>
        <w:t>ב"כ הנאשם טען כי הנאשם היה עצור מאחורי סורג ובריח תקופה של כחודשיים.</w:t>
      </w:r>
    </w:p>
    <w:p w14:paraId="39DFB7BF" w14:textId="77777777" w:rsidR="008D5B76" w:rsidRDefault="008D5B76" w:rsidP="008D5B76">
      <w:pPr>
        <w:pStyle w:val="ab"/>
      </w:pPr>
      <w:r>
        <w:rPr>
          <w:rFonts w:hint="cs"/>
          <w:rtl/>
        </w:rPr>
        <w:t>ב"כ הנאשם עתר לאמץ את המלצת שירות המבחן.</w:t>
      </w:r>
    </w:p>
    <w:p w14:paraId="5698F43A" w14:textId="77777777" w:rsidR="008D5B76" w:rsidRDefault="008D5B76" w:rsidP="008D5B76">
      <w:pPr>
        <w:pStyle w:val="a"/>
        <w:numPr>
          <w:ilvl w:val="1"/>
          <w:numId w:val="3"/>
        </w:numPr>
        <w:ind w:left="651" w:hanging="425"/>
        <w:rPr>
          <w:rtl/>
        </w:rPr>
      </w:pPr>
      <w:r>
        <w:rPr>
          <w:rFonts w:hint="cs"/>
          <w:rtl/>
        </w:rPr>
        <w:t xml:space="preserve">ב"כ הצדדים הפנו לפסיקה התומכת לשיטתם בעתירתם העונשית. </w:t>
      </w:r>
    </w:p>
    <w:p w14:paraId="44DE26BE" w14:textId="77777777" w:rsidR="008D5B76" w:rsidRDefault="008D5B76" w:rsidP="008D5B76">
      <w:pPr>
        <w:pStyle w:val="a"/>
        <w:numPr>
          <w:ilvl w:val="1"/>
          <w:numId w:val="3"/>
        </w:numPr>
        <w:ind w:left="651" w:hanging="425"/>
      </w:pPr>
      <w:r>
        <w:rPr>
          <w:rFonts w:hint="cs"/>
          <w:rtl/>
        </w:rPr>
        <w:t xml:space="preserve">בדבריו האחרונים, מסר </w:t>
      </w:r>
      <w:r>
        <w:rPr>
          <w:rFonts w:hint="cs"/>
          <w:b/>
          <w:bCs/>
          <w:rtl/>
        </w:rPr>
        <w:t>הנאשם</w:t>
      </w:r>
      <w:r>
        <w:rPr>
          <w:rFonts w:hint="cs"/>
          <w:rtl/>
        </w:rPr>
        <w:t>:</w:t>
      </w:r>
    </w:p>
    <w:p w14:paraId="1981206A" w14:textId="77777777" w:rsidR="008D5B76" w:rsidRDefault="008D5B76" w:rsidP="008D5B76">
      <w:pPr>
        <w:pStyle w:val="ad"/>
        <w:rPr>
          <w:rtl/>
        </w:rPr>
      </w:pPr>
      <w:r>
        <w:rPr>
          <w:rFonts w:hint="cs"/>
          <w:rtl/>
        </w:rPr>
        <w:t>"אני מצטער. עשיתי טעות שגידלתי. לשאלת הסניגור אם היום יבקשו ממני שטח לגידול אני אגיד שלא כי אסור. היום אי אפשר להשפיע עליי"</w:t>
      </w:r>
    </w:p>
    <w:p w14:paraId="09C550BD" w14:textId="77777777" w:rsidR="008D5B76" w:rsidRDefault="008D5B76" w:rsidP="008D5B76">
      <w:pPr>
        <w:pStyle w:val="11"/>
        <w:rPr>
          <w:rtl/>
        </w:rPr>
      </w:pPr>
      <w:r>
        <w:rPr>
          <w:rtl/>
        </w:rPr>
        <w:t>מתחם העונש ההולם</w:t>
      </w:r>
    </w:p>
    <w:p w14:paraId="71B7080C" w14:textId="77777777" w:rsidR="008D5B76" w:rsidRDefault="008D5B76" w:rsidP="008D5B76">
      <w:pPr>
        <w:pStyle w:val="a"/>
        <w:numPr>
          <w:ilvl w:val="1"/>
          <w:numId w:val="3"/>
        </w:numPr>
        <w:ind w:left="651" w:hanging="425"/>
      </w:pPr>
      <w:bookmarkStart w:id="8" w:name="_Hlk157318527"/>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16" w:history="1">
        <w:r w:rsidR="001D03E6" w:rsidRPr="001D03E6">
          <w:rPr>
            <w:rStyle w:val="Hyperlink"/>
            <w:rFonts w:hint="eastAsia"/>
            <w:rtl/>
          </w:rPr>
          <w:t>סעיף</w:t>
        </w:r>
        <w:r w:rsidR="001D03E6" w:rsidRPr="001D03E6">
          <w:rPr>
            <w:rStyle w:val="Hyperlink"/>
            <w:rtl/>
          </w:rPr>
          <w:t xml:space="preserve"> 40ג(א)</w:t>
        </w:r>
      </w:hyperlink>
      <w:r>
        <w:rPr>
          <w:rFonts w:hint="cs"/>
          <w:rtl/>
        </w:rPr>
        <w:t xml:space="preserve"> ל</w:t>
      </w:r>
      <w:hyperlink r:id="rId17" w:history="1">
        <w:r w:rsidR="0084676C" w:rsidRPr="0084676C">
          <w:rPr>
            <w:color w:val="0000FF"/>
            <w:u w:val="single"/>
            <w:rtl/>
          </w:rPr>
          <w:t>חוק העונשין</w:t>
        </w:r>
      </w:hyperlink>
      <w:r>
        <w:rPr>
          <w:rFonts w:hint="cs"/>
          <w:rtl/>
        </w:rPr>
        <w:t>).</w:t>
      </w:r>
    </w:p>
    <w:bookmarkEnd w:id="8"/>
    <w:p w14:paraId="15BCA6B4" w14:textId="77777777" w:rsidR="008D5B76" w:rsidRDefault="008D5B76" w:rsidP="008D5B76">
      <w:pPr>
        <w:pStyle w:val="ab"/>
        <w:rPr>
          <w:rtl/>
        </w:rPr>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18" w:history="1">
        <w:r w:rsidR="001D03E6" w:rsidRPr="001D03E6">
          <w:rPr>
            <w:rStyle w:val="Hyperlink"/>
            <w:rFonts w:hint="eastAsia"/>
            <w:rtl/>
          </w:rPr>
          <w:t>סעיף</w:t>
        </w:r>
        <w:r w:rsidR="001D03E6" w:rsidRPr="001D03E6">
          <w:rPr>
            <w:rStyle w:val="Hyperlink"/>
            <w:rtl/>
          </w:rPr>
          <w:t xml:space="preserve"> 40ב</w:t>
        </w:r>
      </w:hyperlink>
      <w:r>
        <w:rPr>
          <w:rFonts w:hint="cs"/>
          <w:rtl/>
        </w:rPr>
        <w:t xml:space="preserve"> ל</w:t>
      </w:r>
      <w:hyperlink r:id="rId19" w:history="1">
        <w:r w:rsidR="0084676C" w:rsidRPr="0084676C">
          <w:rPr>
            <w:color w:val="0000FF"/>
            <w:u w:val="single"/>
            <w:rtl/>
          </w:rPr>
          <w:t>חוק העונשין</w:t>
        </w:r>
      </w:hyperlink>
      <w:r>
        <w:rPr>
          <w:rFonts w:hint="cs"/>
          <w:rtl/>
        </w:rPr>
        <w:t>).</w:t>
      </w:r>
    </w:p>
    <w:p w14:paraId="01540210" w14:textId="77777777" w:rsidR="008D5B76" w:rsidRDefault="008D5B76" w:rsidP="008D5B76">
      <w:pPr>
        <w:pStyle w:val="a"/>
        <w:numPr>
          <w:ilvl w:val="1"/>
          <w:numId w:val="3"/>
        </w:numPr>
        <w:tabs>
          <w:tab w:val="num" w:pos="-58"/>
        </w:tabs>
        <w:ind w:left="651"/>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0EDFDBE9" w14:textId="77777777" w:rsidR="008D5B76" w:rsidRDefault="008D5B76" w:rsidP="008D5B76">
      <w:pPr>
        <w:pStyle w:val="ab"/>
        <w:rPr>
          <w:rtl/>
        </w:rPr>
      </w:pPr>
      <w:r>
        <w:rPr>
          <w:rFonts w:hint="cs"/>
          <w:rtl/>
        </w:rPr>
        <w:t>במעשיו פגע הנאשם  בערכים אלו פגיעה בלתי מבוטלת, בהיותו מסייע לגורם הראשון והמרכזי בשרשרת הפצת הסם – הגורם האחראי על ייצור הסם.</w:t>
      </w:r>
    </w:p>
    <w:p w14:paraId="3D0420AF" w14:textId="77777777" w:rsidR="008D5B76" w:rsidRDefault="008D5B76" w:rsidP="008D5B76">
      <w:pPr>
        <w:pStyle w:val="ab"/>
        <w:rPr>
          <w:rtl/>
        </w:rPr>
      </w:pPr>
      <w:r>
        <w:rPr>
          <w:rFonts w:hint="cs"/>
          <w:rtl/>
        </w:rPr>
        <w:t xml:space="preserve">ר' בענין זה </w:t>
      </w:r>
      <w:hyperlink r:id="rId20" w:history="1">
        <w:r w:rsidR="0084676C" w:rsidRPr="0084676C">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6266B0E7" w14:textId="77777777" w:rsidR="008D5B76" w:rsidRDefault="008D5B76" w:rsidP="008D5B76">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1" w:history="1">
        <w:r w:rsidR="0084676C" w:rsidRPr="0084676C">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189D6F7A" w14:textId="77777777" w:rsidR="008D5B76" w:rsidRDefault="008D5B76" w:rsidP="008D5B76">
      <w:pPr>
        <w:pStyle w:val="a"/>
        <w:numPr>
          <w:ilvl w:val="1"/>
          <w:numId w:val="3"/>
        </w:numPr>
        <w:ind w:left="651" w:hanging="425"/>
        <w:rPr>
          <w:rtl/>
        </w:rPr>
      </w:pPr>
      <w:r>
        <w:rPr>
          <w:rFonts w:hint="cs"/>
          <w:rtl/>
        </w:rPr>
        <w:t>מעיון בפסיקה הקיימת במקרים דומים, בחלקם חמורים יותר וחמורים פחות, עולה התמונה הבאה:</w:t>
      </w:r>
    </w:p>
    <w:p w14:paraId="6ACA61D3" w14:textId="77777777" w:rsidR="008D5B76" w:rsidRDefault="0084676C" w:rsidP="008D5B76">
      <w:pPr>
        <w:pStyle w:val="a0"/>
        <w:rPr>
          <w:rtl/>
        </w:rPr>
      </w:pPr>
      <w:hyperlink r:id="rId22" w:history="1">
        <w:r w:rsidRPr="0084676C">
          <w:rPr>
            <w:color w:val="0000FF"/>
            <w:u w:val="single"/>
            <w:rtl/>
          </w:rPr>
          <w:t>ע"פ 2139/22</w:t>
        </w:r>
      </w:hyperlink>
      <w:r w:rsidR="008D5B76">
        <w:rPr>
          <w:rFonts w:hint="cs"/>
          <w:rtl/>
        </w:rPr>
        <w:t xml:space="preserve"> </w:t>
      </w:r>
      <w:r w:rsidR="008D5B76">
        <w:rPr>
          <w:rFonts w:hint="cs"/>
          <w:b/>
          <w:bCs/>
          <w:rtl/>
        </w:rPr>
        <w:t>שלום ג'נאח נ' מדינת ישראל</w:t>
      </w:r>
      <w:r w:rsidR="008D5B76">
        <w:rPr>
          <w:rFonts w:hint="cs"/>
          <w:rtl/>
        </w:rPr>
        <w:t xml:space="preserve"> (נבו 14.7.2022)</w:t>
      </w:r>
    </w:p>
    <w:p w14:paraId="7117D8EE" w14:textId="77777777" w:rsidR="008D5B76" w:rsidRDefault="008D5B76" w:rsidP="008D5B76">
      <w:pPr>
        <w:pStyle w:val="-"/>
        <w:rPr>
          <w:rtl/>
        </w:rPr>
      </w:pPr>
      <w:r>
        <w:rPr>
          <w:rFonts w:hint="cs"/>
          <w:rtl/>
        </w:rPr>
        <w:t xml:space="preserve">כלל המערערים, למעט מערער 5, הורשעו על פי הודאתם </w:t>
      </w:r>
      <w:r>
        <w:rPr>
          <w:rFonts w:hint="cs"/>
          <w:u w:val="single"/>
          <w:rtl/>
        </w:rPr>
        <w:t>בסיוע</w:t>
      </w:r>
      <w:r>
        <w:rPr>
          <w:rFonts w:hint="cs"/>
          <w:rtl/>
        </w:rPr>
        <w:t xml:space="preserve"> לגידול 790 שתילי סם קנביס. האחרון הורשע בעבירה המושלמת של גידול הסם וגניבה בנסיבות מחמירות (חשמל), לצד החזקת 82 ק"ג של עלי קנביס מיובשים. המדובר בהקמת מעבדה מאובזרת בתוך מחסן גדול ששכר לשם כך מערער 5. המסייעים סייעו בהקמת המעבדה ובתפעולה. המתחם שנקבע למערער 5 נע בין 24 ל-48 חודשי מאסר ואילו </w:t>
      </w:r>
      <w:r>
        <w:rPr>
          <w:rFonts w:hint="cs"/>
          <w:b/>
          <w:bCs/>
          <w:rtl/>
        </w:rPr>
        <w:t>לשאר המערערים המסייעים, מתחם שנע בין 10 ל-20 חודשי מאסר</w:t>
      </w:r>
      <w:r>
        <w:rPr>
          <w:rFonts w:hint="cs"/>
          <w:rtl/>
        </w:rPr>
        <w:t xml:space="preserve">. שלושה מסייעים נדונו ל-14 חודשי מאסר ורק אחד מהם נדון ל-10 חודשי מאסר בעקבות הצטברות של נסיבות מקלות והעדר עבר פלילי. למעט שניים מהמסייעים אשר הופנו לקבלת חוות דעת ממונה, נדחה ערעורם של האחרים. </w:t>
      </w:r>
    </w:p>
    <w:p w14:paraId="3AEA1746" w14:textId="77777777" w:rsidR="008D5B76" w:rsidRDefault="0084676C" w:rsidP="008D5B76">
      <w:pPr>
        <w:pStyle w:val="a0"/>
        <w:ind w:left="1218"/>
        <w:rPr>
          <w:rtl/>
        </w:rPr>
      </w:pPr>
      <w:hyperlink r:id="rId23" w:history="1">
        <w:r w:rsidRPr="0084676C">
          <w:rPr>
            <w:color w:val="0000FF"/>
            <w:u w:val="single"/>
            <w:rtl/>
          </w:rPr>
          <w:t>רע"פ 7906/19</w:t>
        </w:r>
      </w:hyperlink>
      <w:r w:rsidR="008D5B76">
        <w:rPr>
          <w:rFonts w:hint="cs"/>
          <w:rtl/>
        </w:rPr>
        <w:t xml:space="preserve"> </w:t>
      </w:r>
      <w:r w:rsidR="008D5B76">
        <w:rPr>
          <w:rFonts w:hint="cs"/>
          <w:b/>
          <w:bCs/>
          <w:rtl/>
        </w:rPr>
        <w:t>אברהם אדרי נ' מדינת ישראל</w:t>
      </w:r>
      <w:r w:rsidR="008D5B76">
        <w:rPr>
          <w:rFonts w:hint="cs"/>
          <w:rtl/>
        </w:rPr>
        <w:t xml:space="preserve"> (נבו 3.12.2019)</w:t>
      </w:r>
    </w:p>
    <w:p w14:paraId="418BB92A" w14:textId="77777777" w:rsidR="008D5B76" w:rsidRDefault="008D5B76" w:rsidP="008D5B76">
      <w:pPr>
        <w:pStyle w:val="-"/>
        <w:rPr>
          <w:rtl/>
        </w:rPr>
      </w:pPr>
      <w:r>
        <w:rPr>
          <w:rFonts w:hint="cs"/>
          <w:rtl/>
        </w:rPr>
        <w:t xml:space="preserve">הנאשם הורשע על פי הודאתו </w:t>
      </w:r>
      <w:r>
        <w:rPr>
          <w:rFonts w:hint="cs"/>
          <w:u w:val="single"/>
          <w:rtl/>
        </w:rPr>
        <w:t>בסיוע</w:t>
      </w:r>
      <w:r>
        <w:rPr>
          <w:rFonts w:hint="cs"/>
          <w:rtl/>
        </w:rPr>
        <w:t xml:space="preserve"> לגידול של 1,494 שתילי קנביס, </w:t>
      </w:r>
      <w:r>
        <w:rPr>
          <w:rFonts w:hint="cs"/>
          <w:u w:val="single"/>
          <w:rtl/>
        </w:rPr>
        <w:t>סיוע</w:t>
      </w:r>
      <w:r>
        <w:rPr>
          <w:rFonts w:hint="cs"/>
          <w:rtl/>
        </w:rPr>
        <w:t xml:space="preserve"> להחזקת 17.4 ק"ג קנביס </w:t>
      </w:r>
      <w:r>
        <w:rPr>
          <w:rFonts w:hint="cs"/>
          <w:u w:val="single"/>
          <w:rtl/>
        </w:rPr>
        <w:t>וסיוע</w:t>
      </w:r>
      <w:r>
        <w:rPr>
          <w:rFonts w:hint="cs"/>
          <w:rtl/>
        </w:rPr>
        <w:t xml:space="preserve"> להחזקת כלים להכנת סם, בכך שסייע להקים מעבדה לגידול קנביס. המתחם שנקבע בערכאה הדיונית נע בין 6 ל-18 חודשי מאסר והנאשם נדון ל-12 חודשי מאסר בשל קיומו של עבר פלילי. </w:t>
      </w:r>
      <w:r>
        <w:rPr>
          <w:rFonts w:hint="cs"/>
          <w:b/>
          <w:bCs/>
          <w:rtl/>
        </w:rPr>
        <w:t>בית-המשפט המחוזי קיבל את ערעור המאשימה, הדגיש כי מדובר בסטייה מובהקת לקולא מהענישה הראויה והחמיר את עונשו של הנאשם לכדי 18 חודשי מאסר</w:t>
      </w:r>
      <w:r>
        <w:rPr>
          <w:rFonts w:hint="cs"/>
          <w:rtl/>
        </w:rPr>
        <w:t>. בקשת הרשות לערעור של הנאשם נדחתה.</w:t>
      </w:r>
    </w:p>
    <w:p w14:paraId="284B46D8" w14:textId="77777777" w:rsidR="008D5B76" w:rsidRDefault="0084676C" w:rsidP="008D5B76">
      <w:pPr>
        <w:pStyle w:val="a0"/>
        <w:ind w:left="1218"/>
        <w:rPr>
          <w:rtl/>
        </w:rPr>
      </w:pPr>
      <w:hyperlink r:id="rId24" w:history="1">
        <w:r w:rsidRPr="0084676C">
          <w:rPr>
            <w:color w:val="0000FF"/>
            <w:u w:val="single"/>
            <w:rtl/>
          </w:rPr>
          <w:t>רע"פ 3991/20</w:t>
        </w:r>
      </w:hyperlink>
      <w:r w:rsidR="008D5B76">
        <w:rPr>
          <w:rFonts w:hint="cs"/>
          <w:rtl/>
        </w:rPr>
        <w:t xml:space="preserve"> </w:t>
      </w:r>
      <w:r w:rsidR="008D5B76">
        <w:rPr>
          <w:rFonts w:hint="cs"/>
          <w:b/>
          <w:bCs/>
          <w:rtl/>
        </w:rPr>
        <w:t>אלכס פרנק נ' מדינת ישראל</w:t>
      </w:r>
      <w:r w:rsidR="008D5B76">
        <w:rPr>
          <w:rFonts w:hint="cs"/>
          <w:rtl/>
        </w:rPr>
        <w:t xml:space="preserve"> (נבו 28.06.2020) </w:t>
      </w:r>
    </w:p>
    <w:p w14:paraId="6AE983FD" w14:textId="77777777" w:rsidR="008D5B76" w:rsidRDefault="008D5B76" w:rsidP="008D5B76">
      <w:pPr>
        <w:pStyle w:val="-"/>
        <w:rPr>
          <w:rtl/>
        </w:rPr>
      </w:pPr>
      <w:r>
        <w:rPr>
          <w:rFonts w:hint="cs"/>
          <w:rtl/>
        </w:rPr>
        <w:t xml:space="preserve">הנאשם הורשע על פי הודאתו ב-3 עבירות החזקת כלים לגידול ו-3 עבירות גידול סם ב-3 דירות בסך כולל של 188 שתילים במשקל מצטבר של 19.5 ק"ג. בנוסף, הורשע ב-2 עבירות של החזקת סך כולל של 862 גרם קנבוס של"ע. </w:t>
      </w:r>
      <w:r>
        <w:rPr>
          <w:rFonts w:hint="cs"/>
          <w:b/>
          <w:bCs/>
          <w:rtl/>
        </w:rPr>
        <w:t>המתחם שנקבע נע בין 8 ל-20 חודשי מאסר</w:t>
      </w:r>
      <w:r>
        <w:rPr>
          <w:rFonts w:hint="cs"/>
          <w:rtl/>
        </w:rPr>
        <w:t>. בשל 2 הרשעות קודמות, נדון הנאשם ל-10 חודשי מאסר בפועל. הן ערעורו והן בקשת הרשות לערעור נדחו.</w:t>
      </w:r>
    </w:p>
    <w:p w14:paraId="1B79719B" w14:textId="77777777" w:rsidR="008D5B76" w:rsidRDefault="0084676C" w:rsidP="008D5B76">
      <w:pPr>
        <w:pStyle w:val="a0"/>
      </w:pPr>
      <w:hyperlink r:id="rId25" w:history="1">
        <w:r w:rsidRPr="0084676C">
          <w:rPr>
            <w:color w:val="0000FF"/>
            <w:u w:val="single"/>
            <w:rtl/>
          </w:rPr>
          <w:t>רע"פ 7166/23</w:t>
        </w:r>
      </w:hyperlink>
      <w:r w:rsidR="008D5B76">
        <w:rPr>
          <w:rFonts w:hint="cs"/>
          <w:rtl/>
        </w:rPr>
        <w:t xml:space="preserve"> </w:t>
      </w:r>
      <w:r w:rsidR="008D5B76">
        <w:rPr>
          <w:rFonts w:hint="cs"/>
          <w:b/>
          <w:bCs/>
          <w:rtl/>
        </w:rPr>
        <w:t>עופר אמסלם נ' מדינת ישראל</w:t>
      </w:r>
      <w:r w:rsidR="008D5B76">
        <w:rPr>
          <w:rFonts w:hint="cs"/>
          <w:rtl/>
        </w:rPr>
        <w:t xml:space="preserve"> (נבו 28.09.2023) </w:t>
      </w:r>
    </w:p>
    <w:p w14:paraId="1D0801FB" w14:textId="77777777" w:rsidR="008D5B76" w:rsidRDefault="008D5B76" w:rsidP="008D5B76">
      <w:pPr>
        <w:pStyle w:val="-"/>
        <w:rPr>
          <w:rtl/>
        </w:rPr>
      </w:pPr>
      <w:r>
        <w:rPr>
          <w:rFonts w:hint="cs"/>
          <w:rtl/>
        </w:rPr>
        <w:t xml:space="preserve">הנאשם הורשע על פי הודאתו בשני כתבי אישום כדלהלן: </w:t>
      </w:r>
      <w:r>
        <w:rPr>
          <w:rFonts w:hint="cs"/>
          <w:b/>
          <w:bCs/>
          <w:rtl/>
        </w:rPr>
        <w:t>א.</w:t>
      </w:r>
      <w:r>
        <w:rPr>
          <w:rFonts w:hint="cs"/>
          <w:rtl/>
        </w:rPr>
        <w:t xml:space="preserve"> גידול 99 שתילי קנביס במשקל 240 גרם, החזקת כלים והחזקת 34 גרם קנביס ו-33 גרם וחשיש. </w:t>
      </w:r>
      <w:r>
        <w:rPr>
          <w:rFonts w:hint="cs"/>
          <w:b/>
          <w:bCs/>
          <w:rtl/>
        </w:rPr>
        <w:t>ב.</w:t>
      </w:r>
      <w:r>
        <w:rPr>
          <w:rFonts w:hint="cs"/>
          <w:rtl/>
        </w:rPr>
        <w:t xml:space="preserve"> גידול 98 שתילי קנביס במשקל של כ-10 ק"ג והחזקת 3.2 ק"ג קנביס. </w:t>
      </w:r>
      <w:r>
        <w:rPr>
          <w:rFonts w:hint="cs"/>
          <w:b/>
          <w:bCs/>
          <w:rtl/>
        </w:rPr>
        <w:t xml:space="preserve">בית-המשפט קבע שני מתחמים נפרדים לכתבי האישום: </w:t>
      </w:r>
      <w:r>
        <w:rPr>
          <w:rFonts w:hint="cs"/>
          <w:b/>
          <w:bCs/>
          <w:u w:val="single"/>
          <w:rtl/>
        </w:rPr>
        <w:t>כל אחד</w:t>
      </w:r>
      <w:r>
        <w:rPr>
          <w:rFonts w:hint="cs"/>
          <w:b/>
          <w:bCs/>
          <w:rtl/>
        </w:rPr>
        <w:t xml:space="preserve"> שנע בין 10 ל-36 חודשי מאסר</w:t>
      </w:r>
      <w:r>
        <w:rPr>
          <w:rFonts w:hint="cs"/>
          <w:rtl/>
        </w:rPr>
        <w:t>. ובשל שיקולי שיקום, חרג מהמתחמים וגזר את דינו ל-9 חודשי עבודות שירות. ערעור המאשימה התקבל ובית-המשפט המחוזי החמיר את עונשו לכדי 10 חודשי מאסר בפועל. בקשת הרשות לערעור נדחתה.</w:t>
      </w:r>
    </w:p>
    <w:p w14:paraId="5740B646" w14:textId="77777777" w:rsidR="008D5B76" w:rsidRDefault="0084676C" w:rsidP="008D5B76">
      <w:pPr>
        <w:pStyle w:val="a0"/>
        <w:ind w:left="1218"/>
        <w:rPr>
          <w:rtl/>
        </w:rPr>
      </w:pPr>
      <w:hyperlink r:id="rId26" w:history="1">
        <w:r w:rsidRPr="0084676C">
          <w:rPr>
            <w:color w:val="0000FF"/>
            <w:u w:val="single"/>
            <w:rtl/>
          </w:rPr>
          <w:t>רע"פ 513/21</w:t>
        </w:r>
      </w:hyperlink>
      <w:r w:rsidR="008D5B76">
        <w:rPr>
          <w:rFonts w:hint="cs"/>
          <w:rtl/>
        </w:rPr>
        <w:t xml:space="preserve"> </w:t>
      </w:r>
      <w:r w:rsidR="008D5B76">
        <w:rPr>
          <w:rFonts w:hint="cs"/>
          <w:b/>
          <w:bCs/>
          <w:rtl/>
        </w:rPr>
        <w:t>עידן יהושע נ' מדינת ישראל</w:t>
      </w:r>
      <w:r w:rsidR="008D5B76">
        <w:rPr>
          <w:rFonts w:hint="cs"/>
          <w:rtl/>
        </w:rPr>
        <w:t xml:space="preserve"> (נבו 04.03.2021) </w:t>
      </w:r>
    </w:p>
    <w:p w14:paraId="689D8F31" w14:textId="77777777" w:rsidR="008D5B76" w:rsidRDefault="008D5B76" w:rsidP="008D5B76">
      <w:pPr>
        <w:pStyle w:val="-"/>
        <w:rPr>
          <w:rtl/>
        </w:rPr>
      </w:pPr>
      <w:r>
        <w:rPr>
          <w:rFonts w:hint="cs"/>
          <w:rtl/>
        </w:rPr>
        <w:t xml:space="preserve">הנאשם הורשע על פי הודאתו בגידול 60 שתילי קנביס במשקל 10 ק"ג במחסן, תוך הסתייעות בחומרי דישון, מד טמפרטורה, אדניות ומנורות. המתחם שנקבע בבית-משפט השלום באשקלון נע בין 6 חודשי עבודות שירות ל-24 חודשי מאסר. בית-המשפט סטה ממתחם העונש בשל נסיבות אישיות וגזר דינו ל-150 שעות של"צ. בית-המשפט המחוזי קיבל את ערעור המאשימה, קבע כי הרף התחתון של מתחם הענישה איננו משקף את חומרת המעשים וכי הנימוקים שבגינם בוצעה החריגה ממתחם העונש הם נימוקים של נסיבות אישיות (להבדיל משיקולי שיקום) </w:t>
      </w:r>
      <w:r>
        <w:rPr>
          <w:rFonts w:hint="cs"/>
          <w:b/>
          <w:bCs/>
          <w:rtl/>
        </w:rPr>
        <w:t>והעמיד את עונשו של הנאשם על 10 חודשי מאסר</w:t>
      </w:r>
      <w:r>
        <w:rPr>
          <w:rFonts w:hint="cs"/>
          <w:rtl/>
        </w:rPr>
        <w:t>. בקשת הרשות לערעור נדחתה.</w:t>
      </w:r>
    </w:p>
    <w:p w14:paraId="7F8B3CFD" w14:textId="77777777" w:rsidR="008D5B76" w:rsidRDefault="008D5B76" w:rsidP="008D5B76">
      <w:pPr>
        <w:pStyle w:val="a0"/>
        <w:ind w:left="1218"/>
        <w:rPr>
          <w:rtl/>
        </w:rPr>
      </w:pPr>
      <w:r>
        <w:rPr>
          <w:rFonts w:hint="cs"/>
          <w:rtl/>
        </w:rPr>
        <w:t xml:space="preserve">ת"פ (מח' ב"ש) </w:t>
      </w:r>
      <w:hyperlink r:id="rId27" w:history="1">
        <w:r w:rsidR="00AC542B" w:rsidRPr="00AC542B">
          <w:rPr>
            <w:color w:val="0000FF"/>
            <w:u w:val="single"/>
            <w:rtl/>
          </w:rPr>
          <w:t xml:space="preserve">26719-08-20 </w:t>
        </w:r>
      </w:hyperlink>
      <w:r>
        <w:rPr>
          <w:rFonts w:hint="cs"/>
          <w:rtl/>
        </w:rPr>
        <w:t xml:space="preserve"> </w:t>
      </w:r>
      <w:r>
        <w:rPr>
          <w:rFonts w:hint="cs"/>
          <w:b/>
          <w:bCs/>
          <w:rtl/>
        </w:rPr>
        <w:t>מדינת ישראל נ' אבייב</w:t>
      </w:r>
      <w:r>
        <w:rPr>
          <w:rFonts w:hint="cs"/>
          <w:rtl/>
        </w:rPr>
        <w:t xml:space="preserve"> (נבו 28.12.2021)</w:t>
      </w:r>
    </w:p>
    <w:p w14:paraId="1BAFAF39" w14:textId="77777777" w:rsidR="008D5B76" w:rsidRDefault="008D5B76" w:rsidP="008D5B76">
      <w:pPr>
        <w:pStyle w:val="-"/>
        <w:rPr>
          <w:rtl/>
        </w:rPr>
      </w:pPr>
      <w:r>
        <w:rPr>
          <w:rFonts w:hint="cs"/>
          <w:rtl/>
        </w:rPr>
        <w:t xml:space="preserve">הנאשם הורשע בגידול 500 שתילי קנביס (במשקל כולל של כ-120 ק"ג) במעבדה שהקים בביתו, והשחתת מתקן חשמל ונטילת חשמל בכך שהתחבר "פיראטית" לעמוד חשמל. הנאשמת הורשעה </w:t>
      </w:r>
      <w:r>
        <w:rPr>
          <w:rFonts w:hint="cs"/>
          <w:u w:val="single"/>
          <w:rtl/>
        </w:rPr>
        <w:t>בסיוע</w:t>
      </w:r>
      <w:r>
        <w:rPr>
          <w:rFonts w:hint="cs"/>
          <w:rtl/>
        </w:rPr>
        <w:t xml:space="preserve"> לגידול הסם וטיפול בו. המתחם שנקבע לנאשם נע בין 30 ל-60 חודשי מאסר. </w:t>
      </w:r>
      <w:r>
        <w:rPr>
          <w:rFonts w:hint="cs"/>
          <w:b/>
          <w:bCs/>
          <w:rtl/>
        </w:rPr>
        <w:t>המתחם שנקבע לנאשמת נע בין 12 ל-24 חודשי מאסר</w:t>
      </w:r>
      <w:r>
        <w:rPr>
          <w:rFonts w:hint="cs"/>
          <w:rtl/>
        </w:rPr>
        <w:t>. בשל שיקולי שיקום, נדונה הנאשמת ל-9 חודשי עבודות שירות.</w:t>
      </w:r>
    </w:p>
    <w:p w14:paraId="3DE1D42E" w14:textId="77777777" w:rsidR="008D5B76" w:rsidRDefault="0084676C" w:rsidP="008D5B76">
      <w:pPr>
        <w:pStyle w:val="a0"/>
        <w:ind w:left="1218"/>
      </w:pPr>
      <w:hyperlink r:id="rId28" w:history="1">
        <w:r w:rsidRPr="0084676C">
          <w:rPr>
            <w:color w:val="0000FF"/>
            <w:u w:val="single"/>
            <w:rtl/>
          </w:rPr>
          <w:t>עפ"ג (מח' ב"ש) 13696-01-20</w:t>
        </w:r>
      </w:hyperlink>
      <w:r w:rsidR="008D5B76">
        <w:rPr>
          <w:rFonts w:hint="cs"/>
          <w:rtl/>
        </w:rPr>
        <w:t xml:space="preserve"> </w:t>
      </w:r>
      <w:r w:rsidR="008D5B76">
        <w:rPr>
          <w:rFonts w:hint="cs"/>
          <w:b/>
          <w:bCs/>
          <w:rtl/>
        </w:rPr>
        <w:t>אמסלם נ' מדינת ישראל</w:t>
      </w:r>
      <w:r w:rsidR="008D5B76">
        <w:rPr>
          <w:rFonts w:hint="cs"/>
          <w:rtl/>
        </w:rPr>
        <w:t xml:space="preserve"> (נבו 20.05.20) </w:t>
      </w:r>
    </w:p>
    <w:p w14:paraId="1B95C493" w14:textId="77777777" w:rsidR="008D5B76" w:rsidRDefault="008D5B76" w:rsidP="008D5B76">
      <w:pPr>
        <w:pStyle w:val="-"/>
        <w:rPr>
          <w:rtl/>
        </w:rPr>
      </w:pPr>
      <w:r>
        <w:rPr>
          <w:rFonts w:hint="cs"/>
          <w:rtl/>
        </w:rPr>
        <w:t xml:space="preserve">הנאשם הורשע על פי הודאתו בגידול 122 שתילי קנביס במשקל כולל של 7 ק"ג, תוך שימוש בכלים מתאימים, וכן החזיק בדירתו 2 ק"ג קנביס שלא לצריכתו העצמית. </w:t>
      </w:r>
      <w:r>
        <w:rPr>
          <w:rFonts w:hint="cs"/>
          <w:b/>
          <w:bCs/>
          <w:rtl/>
        </w:rPr>
        <w:t>המתחם שנקבע נע בין 12 ל-30 חודשי מאסר</w:t>
      </w:r>
      <w:r>
        <w:rPr>
          <w:rFonts w:hint="cs"/>
          <w:rtl/>
        </w:rPr>
        <w:t>. בהיעדר עבר פלילי ובשל מצבו הכלכלי והמשפחתי, נדון הנאשם ל-12 חודשי מאסר. בדחותו את ערעורו של הנאשם, קבע בית-המשפט המחוזי את הדברים הבאים:</w:t>
      </w:r>
    </w:p>
    <w:p w14:paraId="5BA30967" w14:textId="77777777" w:rsidR="008D5B76" w:rsidRDefault="008D5B76" w:rsidP="008D5B76">
      <w:pPr>
        <w:pStyle w:val="ad"/>
        <w:rPr>
          <w:rtl/>
        </w:rPr>
      </w:pPr>
      <w:r>
        <w:rPr>
          <w:rFonts w:hint="cs"/>
          <w:rtl/>
        </w:rPr>
        <w:t>"בעבר, רוב הסמים הגיעו לישראל בדרך של יבוא מארצות אחרות, קרובות ורחוקות, וכמעט שלא גידלו סמים בארץ. בשנים האחרונות התופעה של גידול סמים בחממות במבנים שונים, הולכת ומתרחבת, עד הפיכתה לתחום עיסוק עברייני לעצמו, המושך אליו גם כאלה שאינם עבריינים מובהקים. האמצעים והידע זמינים לכל, הרווח הכספי הצפוי רב מאוד, וסיכויי החשיפה אינם גבוהים, ובהתאם לכך הפיתוי גדול. במצב דברים זה נדרשת ענישה משמעותית, שתהלום את חומרת המעשה ואת טיב והיקף הפגיעות והנזקים הכרוכים בשימוש בסמים, ותהווה משקל נגד לפיתוי, בהרתעת מי שמהרהר באפשרות להשיג רווח כספי קל מגידול סמים מפני צעד נמהר זה, ששכרו עשוי לצאת בהפסדו</w:t>
      </w:r>
      <w:r>
        <w:t>."</w:t>
      </w:r>
    </w:p>
    <w:p w14:paraId="18AC91A2" w14:textId="77777777" w:rsidR="008D5B76" w:rsidRDefault="0084676C" w:rsidP="008D5B76">
      <w:pPr>
        <w:pStyle w:val="a0"/>
        <w:ind w:left="1218"/>
        <w:rPr>
          <w:rtl/>
        </w:rPr>
      </w:pPr>
      <w:hyperlink r:id="rId29" w:history="1">
        <w:r w:rsidRPr="0084676C">
          <w:rPr>
            <w:color w:val="0000FF"/>
            <w:u w:val="single"/>
            <w:rtl/>
          </w:rPr>
          <w:t>עפ"ג (מח' ב"ש) 37569-06-21</w:t>
        </w:r>
      </w:hyperlink>
      <w:r w:rsidR="008D5B76">
        <w:rPr>
          <w:rFonts w:hint="cs"/>
          <w:rtl/>
        </w:rPr>
        <w:t xml:space="preserve"> </w:t>
      </w:r>
      <w:r w:rsidR="008D5B76">
        <w:rPr>
          <w:rFonts w:hint="cs"/>
          <w:b/>
          <w:bCs/>
          <w:rtl/>
        </w:rPr>
        <w:t>רפאילוב נ' מדינת ישראל</w:t>
      </w:r>
      <w:r w:rsidR="008D5B76">
        <w:rPr>
          <w:rFonts w:hint="cs"/>
          <w:rtl/>
        </w:rPr>
        <w:t xml:space="preserve"> (13.10.21) </w:t>
      </w:r>
    </w:p>
    <w:p w14:paraId="2F5BA5D5" w14:textId="77777777" w:rsidR="008D5B76" w:rsidRDefault="008D5B76" w:rsidP="008D5B76">
      <w:pPr>
        <w:pStyle w:val="-"/>
        <w:rPr>
          <w:rtl/>
        </w:rPr>
      </w:pPr>
      <w:r>
        <w:rPr>
          <w:rFonts w:hint="cs"/>
          <w:rtl/>
        </w:rPr>
        <w:t xml:space="preserve">הנאשם הורשע על פי הודאתו בגידול של 220 שתילי קנביס, במשקל כולל של כ-10 ק"ג בחממה מאולתרת מאחורי ביתו במושב. </w:t>
      </w:r>
      <w:r>
        <w:rPr>
          <w:rFonts w:hint="cs"/>
          <w:b/>
          <w:bCs/>
          <w:rtl/>
        </w:rPr>
        <w:t>המתחם שנקבע נע בין 13 ל-30 חודשי מאסר בפועל.</w:t>
      </w:r>
      <w:r>
        <w:rPr>
          <w:rFonts w:hint="cs"/>
          <w:rtl/>
        </w:rPr>
        <w:t xml:space="preserve"> חרף קיומו של עבר פלילי ישן, בשים לב לנסיבות חייו האישיות של הנאשם, נדון האחרון ל-13 חודשי מאסר. הערעור לבית-המשפט המחוזי נמשך לבקשת הנאשם.</w:t>
      </w:r>
    </w:p>
    <w:p w14:paraId="69F595C6" w14:textId="77777777" w:rsidR="008D5B76" w:rsidRDefault="0084676C" w:rsidP="008D5B76">
      <w:pPr>
        <w:pStyle w:val="a0"/>
        <w:ind w:left="1218"/>
        <w:rPr>
          <w:rtl/>
        </w:rPr>
      </w:pPr>
      <w:hyperlink r:id="rId30" w:history="1">
        <w:r w:rsidRPr="0084676C">
          <w:rPr>
            <w:color w:val="0000FF"/>
            <w:u w:val="single"/>
            <w:rtl/>
          </w:rPr>
          <w:t>ת"פ (מח' ב"ש) 68419-10-21</w:t>
        </w:r>
      </w:hyperlink>
      <w:r w:rsidR="008D5B76">
        <w:rPr>
          <w:rFonts w:hint="cs"/>
          <w:rtl/>
        </w:rPr>
        <w:t xml:space="preserve"> </w:t>
      </w:r>
      <w:r w:rsidR="008D5B76">
        <w:rPr>
          <w:rFonts w:hint="cs"/>
          <w:b/>
          <w:bCs/>
          <w:rtl/>
        </w:rPr>
        <w:t>מדינת ישראל נ' דניס טורצקי</w:t>
      </w:r>
      <w:r w:rsidR="008D5B76">
        <w:rPr>
          <w:rFonts w:hint="cs"/>
          <w:rtl/>
        </w:rPr>
        <w:t xml:space="preserve"> (נבו 22.6.2022)</w:t>
      </w:r>
    </w:p>
    <w:p w14:paraId="0D7FAC04" w14:textId="77777777" w:rsidR="008D5B76" w:rsidRDefault="008D5B76" w:rsidP="008D5B76">
      <w:pPr>
        <w:pStyle w:val="-"/>
        <w:rPr>
          <w:rtl/>
        </w:rPr>
      </w:pPr>
      <w:r>
        <w:rPr>
          <w:rFonts w:hint="cs"/>
          <w:rtl/>
        </w:rPr>
        <w:t xml:space="preserve">הנאשמים הורשעו על פי הודאתם </w:t>
      </w:r>
      <w:r>
        <w:rPr>
          <w:rFonts w:hint="cs"/>
          <w:u w:val="single"/>
          <w:rtl/>
        </w:rPr>
        <w:t>בסיוע</w:t>
      </w:r>
      <w:r>
        <w:rPr>
          <w:rFonts w:hint="cs"/>
          <w:rtl/>
        </w:rPr>
        <w:t xml:space="preserve"> לגידול 176 שתילי קנביס במשקל של 58.76 ק"ג בדירה וסיוע לנטילת חשמל. האחד חתם על חוזה שכירות לדירה וסייע לשנע ציוד לצורך הגידול. השני שהה פעמיים בדירה על מנת לוודא שאף אחד לא לוקח משם סמים.  </w:t>
      </w:r>
      <w:r>
        <w:rPr>
          <w:rFonts w:hint="cs"/>
          <w:b/>
          <w:bCs/>
          <w:rtl/>
        </w:rPr>
        <w:t>המתחם שנקבע לכל אחד מהנאשמים: בין 7 ל-20 חודשי מאסר</w:t>
      </w:r>
      <w:r>
        <w:rPr>
          <w:rFonts w:hint="cs"/>
          <w:rtl/>
        </w:rPr>
        <w:t>. בהעדר עבר פלילי לנאשמים ושיקולי הרתעה מנגד, נדונו הנאשמים ל-9 חודשי מאסר (מאחורי סורג ובריח).</w:t>
      </w:r>
    </w:p>
    <w:p w14:paraId="75F6DC2F" w14:textId="77777777" w:rsidR="008D5B76" w:rsidRDefault="008D5B76" w:rsidP="008D5B76">
      <w:pPr>
        <w:pStyle w:val="a"/>
        <w:numPr>
          <w:ilvl w:val="1"/>
          <w:numId w:val="3"/>
        </w:numPr>
        <w:ind w:left="651" w:hanging="425"/>
        <w:rPr>
          <w:rtl/>
        </w:rPr>
      </w:pPr>
      <w:r>
        <w:rPr>
          <w:rFonts w:hint="cs"/>
          <w:rtl/>
        </w:rPr>
        <w:t>בבחינת נסיבות הקשורות בביצוע העבירה (</w:t>
      </w:r>
      <w:hyperlink r:id="rId31" w:history="1">
        <w:r w:rsidR="001D03E6" w:rsidRPr="001D03E6">
          <w:rPr>
            <w:rStyle w:val="Hyperlink"/>
            <w:rFonts w:hint="eastAsia"/>
            <w:rtl/>
          </w:rPr>
          <w:t>סעיף</w:t>
        </w:r>
        <w:r w:rsidR="001D03E6" w:rsidRPr="001D03E6">
          <w:rPr>
            <w:rStyle w:val="Hyperlink"/>
            <w:rtl/>
          </w:rPr>
          <w:t xml:space="preserve"> 40ט</w:t>
        </w:r>
      </w:hyperlink>
      <w:r>
        <w:rPr>
          <w:rFonts w:hint="cs"/>
          <w:rtl/>
        </w:rPr>
        <w:t xml:space="preserve"> ל</w:t>
      </w:r>
      <w:hyperlink r:id="rId32" w:history="1">
        <w:r w:rsidR="0084676C" w:rsidRPr="0084676C">
          <w:rPr>
            <w:color w:val="0000FF"/>
            <w:u w:val="single"/>
            <w:rtl/>
          </w:rPr>
          <w:t>חוק העונשין</w:t>
        </w:r>
      </w:hyperlink>
      <w:r>
        <w:rPr>
          <w:rFonts w:hint="cs"/>
          <w:rtl/>
        </w:rPr>
        <w:t>) נשקלו הבאים:</w:t>
      </w:r>
    </w:p>
    <w:p w14:paraId="1A69E2E6" w14:textId="77777777" w:rsidR="008D5B76" w:rsidRDefault="008D5B76" w:rsidP="008D5B76">
      <w:pPr>
        <w:pStyle w:val="ab"/>
        <w:rPr>
          <w:rtl/>
        </w:rPr>
      </w:pPr>
      <w:r w:rsidRPr="006F77C1">
        <w:rPr>
          <w:rFonts w:hint="cs"/>
          <w:u w:val="single"/>
          <w:rtl/>
        </w:rPr>
        <w:t>כמות סם ושתילים</w:t>
      </w:r>
      <w:r>
        <w:rPr>
          <w:rFonts w:hint="cs"/>
          <w:rtl/>
        </w:rPr>
        <w:t xml:space="preserve">: המדובר בסיוע לגידול של כמות סמים משמעותית – 600 שתילים במשקל כולל של 18 קילוגרמים. </w:t>
      </w:r>
    </w:p>
    <w:p w14:paraId="6B3253B7" w14:textId="77777777" w:rsidR="008D5B76" w:rsidRDefault="008D5B76" w:rsidP="008D5B76">
      <w:pPr>
        <w:pStyle w:val="ab"/>
        <w:rPr>
          <w:rtl/>
        </w:rPr>
      </w:pPr>
      <w:r w:rsidRPr="006F77C1">
        <w:rPr>
          <w:rFonts w:hint="cs"/>
          <w:u w:val="single"/>
          <w:rtl/>
        </w:rPr>
        <w:t>תכנון המעשים וחלקו של הנאשם בביצוע המעשים</w:t>
      </w:r>
      <w:r>
        <w:rPr>
          <w:rFonts w:hint="cs"/>
          <w:rtl/>
        </w:rPr>
        <w:t xml:space="preserve">: גידול סמים מצריך הכנות ומחשבה מקדימה, וניתן ללמוד מכמות ומשקל הסמים שנתפסו כי מדובר במעשים מתוכננים אשר נמשכו לאורך זמן. </w:t>
      </w:r>
    </w:p>
    <w:p w14:paraId="04C27C3C" w14:textId="77777777" w:rsidR="008D5B76" w:rsidRDefault="008D5B76" w:rsidP="008D5B76">
      <w:pPr>
        <w:pStyle w:val="ab"/>
        <w:rPr>
          <w:rtl/>
        </w:rPr>
      </w:pPr>
      <w:r>
        <w:rPr>
          <w:rFonts w:hint="cs"/>
          <w:rtl/>
        </w:rPr>
        <w:t xml:space="preserve">סבורני כי לא ניתן לקבל את עמדת ב"כ הנאשם, לפיה מדובר בסיוע ברף נמוך, שכן מעשי הנאשם אפשרו את קיום העבירה בבחינת גורם בלעדיו לא ניתן היה להוציא את גידול הסמים לפועל. </w:t>
      </w:r>
    </w:p>
    <w:p w14:paraId="3424BAE0" w14:textId="77777777" w:rsidR="008D5B76" w:rsidRDefault="008D5B76" w:rsidP="008D5B76">
      <w:pPr>
        <w:pStyle w:val="ab"/>
        <w:rPr>
          <w:rtl/>
        </w:rPr>
      </w:pPr>
      <w:r>
        <w:rPr>
          <w:rFonts w:hint="cs"/>
          <w:rtl/>
        </w:rPr>
        <w:t>מאידך, אין המדובר ב"מעבדה" מתוחכמת ומאובזרת לייצור סמים, אלא בגידול סמים פשוט ובסיסי, וברי כי הנאשם אינו הגורם הדומיננטי בגידול הסמים.</w:t>
      </w:r>
    </w:p>
    <w:p w14:paraId="0021FC3F" w14:textId="77777777" w:rsidR="008D5B76" w:rsidRDefault="008D5B76" w:rsidP="008D5B76">
      <w:pPr>
        <w:pStyle w:val="ab"/>
        <w:rPr>
          <w:rtl/>
        </w:rPr>
      </w:pPr>
      <w:r>
        <w:rPr>
          <w:rFonts w:hint="cs"/>
          <w:u w:val="single"/>
          <w:rtl/>
        </w:rPr>
        <w:t>פוטנציאל נזק</w:t>
      </w:r>
      <w:r>
        <w:rPr>
          <w:rFonts w:hint="cs"/>
          <w:rtl/>
        </w:rPr>
        <w:t>: פוטנציאל הנזק לצד מעשי הנאשם הוא משמעותי. מדובר במאות שתילי סם, אשר עלולים היו להגיע לאלפי צרכנים, לרבות לצרכנים "חדשים" וצעירים. דומה כי מיותר יהיה להרחיב בדבר נזקים בריאותיים  חברתיים וכלכליים אשר לצד שימוש אינטנסיבי בסמים.</w:t>
      </w:r>
    </w:p>
    <w:p w14:paraId="32D69A56" w14:textId="77777777" w:rsidR="008D5B76" w:rsidRDefault="008D5B76" w:rsidP="008D5B76">
      <w:pPr>
        <w:pStyle w:val="ab"/>
        <w:rPr>
          <w:rtl/>
        </w:rPr>
      </w:pPr>
      <w:r>
        <w:rPr>
          <w:rFonts w:hint="cs"/>
          <w:rtl/>
        </w:rPr>
        <w:t xml:space="preserve">כמות שתילי הסמים הרבה מלמדת אף היא על פוטנציאל נזק ממשי, שכן לצידה פוטנציאל יבול סמים אף במשקל גבוה מזה שנתפס בפועל (בענין זה ר' למשל </w:t>
      </w:r>
      <w:hyperlink r:id="rId33" w:history="1">
        <w:r w:rsidR="0084676C" w:rsidRPr="0084676C">
          <w:rPr>
            <w:color w:val="0000FF"/>
            <w:u w:val="single"/>
            <w:rtl/>
          </w:rPr>
          <w:t>עפ"ג (מח' באר שבע) 6525-09-21</w:t>
        </w:r>
      </w:hyperlink>
      <w:r>
        <w:rPr>
          <w:rFonts w:hint="cs"/>
          <w:rtl/>
        </w:rPr>
        <w:t xml:space="preserve"> </w:t>
      </w:r>
      <w:r>
        <w:rPr>
          <w:rFonts w:hint="cs"/>
          <w:b/>
          <w:bCs/>
          <w:rtl/>
        </w:rPr>
        <w:t>גל סבן נ' מדינת ישראל</w:t>
      </w:r>
      <w:r>
        <w:rPr>
          <w:rFonts w:hint="cs"/>
          <w:rtl/>
        </w:rPr>
        <w:t xml:space="preserve"> (פורסם בנבו). </w:t>
      </w:r>
    </w:p>
    <w:p w14:paraId="6DEB977A" w14:textId="77777777" w:rsidR="008D5B76" w:rsidRDefault="008D5B76" w:rsidP="008D5B76">
      <w:pPr>
        <w:pStyle w:val="ab"/>
        <w:rPr>
          <w:rtl/>
        </w:rPr>
      </w:pPr>
      <w:r>
        <w:rPr>
          <w:rFonts w:hint="cs"/>
          <w:u w:val="single"/>
          <w:rtl/>
        </w:rPr>
        <w:t>הרקע לביצוע המעשים</w:t>
      </w:r>
      <w:r>
        <w:rPr>
          <w:rFonts w:hint="cs"/>
          <w:rtl/>
        </w:rPr>
        <w:t>: ככלל עבירות מסוג זה מבוצעות לצורך הפקת רווח כלכלי על חשבון נזקים חברתיים משמעותיים. כך גם בענייננו עת בה מסר הנאשם לשירות המבחן כי מצבו הכלכלי הקשה היה ברקע הסכמתו לאפשר את גידול הסם בחצר ביתו עבור תמורה כספית.</w:t>
      </w:r>
    </w:p>
    <w:p w14:paraId="021F216E" w14:textId="77777777" w:rsidR="008D5B76" w:rsidRDefault="008D5B76" w:rsidP="008D5B76">
      <w:pPr>
        <w:pStyle w:val="a"/>
        <w:numPr>
          <w:ilvl w:val="0"/>
          <w:numId w:val="0"/>
        </w:numPr>
        <w:ind w:left="651"/>
        <w:rPr>
          <w:b/>
          <w:bCs/>
        </w:rPr>
      </w:pPr>
      <w:r>
        <w:rPr>
          <w:rFonts w:hint="cs"/>
          <w:b/>
          <w:bCs/>
          <w:rtl/>
        </w:rPr>
        <w:t>נוכח אלו , סבורני כי הפגיעה בערכים המוגנים היא במידה משמעותית ויש לקבוע מתחם עונש הולם אשר ינוע בין 9  ל-24 חודשי מאסר בפועל.</w:t>
      </w:r>
    </w:p>
    <w:p w14:paraId="7F52210B" w14:textId="77777777" w:rsidR="008D5B76" w:rsidRDefault="008D5B76" w:rsidP="008D5B76">
      <w:pPr>
        <w:pStyle w:val="11"/>
        <w:rPr>
          <w:rtl/>
        </w:rPr>
      </w:pPr>
      <w:r>
        <w:rPr>
          <w:rtl/>
        </w:rPr>
        <w:t>שיקולי הענישה בתוך מתחם העונש</w:t>
      </w:r>
    </w:p>
    <w:p w14:paraId="0CCAAA06" w14:textId="77777777" w:rsidR="008D5B76" w:rsidRDefault="008D5B76" w:rsidP="008D5B76">
      <w:pPr>
        <w:pStyle w:val="a"/>
        <w:numPr>
          <w:ilvl w:val="1"/>
          <w:numId w:val="3"/>
        </w:numPr>
        <w:ind w:left="651" w:hanging="425"/>
        <w:rPr>
          <w:rtl/>
        </w:rPr>
      </w:pPr>
      <w:r>
        <w:rPr>
          <w:rFonts w:hint="cs"/>
          <w:rtl/>
        </w:rPr>
        <w:t>בגזירת העונש המתאים לנאשם בתוך מתחם העונש, נשקלו הנסיבות הבאות שאינן קשורות בביצוע העבירה (</w:t>
      </w:r>
      <w:hyperlink r:id="rId34" w:history="1">
        <w:r w:rsidR="001D03E6" w:rsidRPr="001D03E6">
          <w:rPr>
            <w:rStyle w:val="Hyperlink"/>
            <w:rFonts w:hint="eastAsia"/>
            <w:rtl/>
          </w:rPr>
          <w:t>סעיף</w:t>
        </w:r>
        <w:r w:rsidR="001D03E6" w:rsidRPr="001D03E6">
          <w:rPr>
            <w:rStyle w:val="Hyperlink"/>
            <w:rtl/>
          </w:rPr>
          <w:t xml:space="preserve"> 40יא</w:t>
        </w:r>
      </w:hyperlink>
      <w:r>
        <w:rPr>
          <w:rFonts w:hint="cs"/>
          <w:rtl/>
        </w:rPr>
        <w:t xml:space="preserve"> ל</w:t>
      </w:r>
      <w:hyperlink r:id="rId35" w:history="1">
        <w:r w:rsidR="0084676C" w:rsidRPr="0084676C">
          <w:rPr>
            <w:color w:val="0000FF"/>
            <w:u w:val="single"/>
            <w:rtl/>
          </w:rPr>
          <w:t>חוק העונשין</w:t>
        </w:r>
      </w:hyperlink>
      <w:r>
        <w:rPr>
          <w:rFonts w:hint="cs"/>
          <w:rtl/>
        </w:rPr>
        <w:t>):</w:t>
      </w:r>
    </w:p>
    <w:p w14:paraId="55E95882" w14:textId="77777777" w:rsidR="008D5B76" w:rsidRDefault="008D5B76" w:rsidP="008D5B76">
      <w:pPr>
        <w:pStyle w:val="ab"/>
        <w:rPr>
          <w:rtl/>
        </w:rPr>
      </w:pPr>
      <w:r>
        <w:rPr>
          <w:rFonts w:hint="cs"/>
          <w:u w:val="single"/>
          <w:rtl/>
        </w:rPr>
        <w:t>עבר פלילי</w:t>
      </w:r>
      <w:r>
        <w:rPr>
          <w:rFonts w:hint="cs"/>
          <w:rtl/>
        </w:rPr>
        <w:t>: הנאשם נעדר עבר פלילי.</w:t>
      </w:r>
    </w:p>
    <w:p w14:paraId="73F55322" w14:textId="77777777" w:rsidR="008D5B76" w:rsidRDefault="008D5B76" w:rsidP="008D5B76">
      <w:pPr>
        <w:pStyle w:val="ab"/>
      </w:pPr>
      <w:r>
        <w:rPr>
          <w:rFonts w:hint="cs"/>
          <w:u w:val="single"/>
          <w:rtl/>
        </w:rPr>
        <w:t>נטילת האחריות של הנאשם על מעשיו ומאמציו לחזור למוטב</w:t>
      </w:r>
      <w:r>
        <w:rPr>
          <w:rFonts w:hint="cs"/>
          <w:rtl/>
        </w:rPr>
        <w:t xml:space="preserve">: הודאת נאשם מגלמת (בדרך כלל) קבלת אחריות על ביצוע המעשים, ונלווה לה חסכון משמעותי מזמנם של עדי התביעה, ומזמנו של בית-המשפט. בענייננו, הודה בביצוע המעשים הן בביהמ"ש והן בפני שירות המבחן (אם כי התרשמות קצינת המבחן היא מנטילת אחריות חלקית). </w:t>
      </w:r>
    </w:p>
    <w:p w14:paraId="25832C60" w14:textId="77777777" w:rsidR="008D5B76" w:rsidRDefault="008D5B76" w:rsidP="008D5B76">
      <w:pPr>
        <w:pStyle w:val="ab"/>
        <w:rPr>
          <w:rtl/>
        </w:rPr>
      </w:pPr>
      <w:r>
        <w:rPr>
          <w:rFonts w:hint="cs"/>
          <w:u w:val="single"/>
          <w:rtl/>
        </w:rPr>
        <w:t>חלוף הזמן</w:t>
      </w:r>
      <w:r>
        <w:rPr>
          <w:rFonts w:hint="cs"/>
          <w:rtl/>
        </w:rPr>
        <w:t>: העבירה בוצעה לפני למעלה משלוש שנים. הנאשם היה עצור מיום 7.5.21 עד יום 29.6.21, ולאחר מכן היה נתון תחת תנאים מגבילים תקופה ממושכת.</w:t>
      </w:r>
    </w:p>
    <w:p w14:paraId="344A1D71" w14:textId="77777777" w:rsidR="008D5B76" w:rsidRDefault="008D5B76" w:rsidP="008D5B76">
      <w:pPr>
        <w:pStyle w:val="a"/>
        <w:numPr>
          <w:ilvl w:val="1"/>
          <w:numId w:val="3"/>
        </w:numPr>
        <w:ind w:left="651" w:hanging="425"/>
        <w:rPr>
          <w:rtl/>
        </w:rPr>
      </w:pPr>
      <w:r>
        <w:rPr>
          <w:rFonts w:hint="cs"/>
          <w:rtl/>
        </w:rPr>
        <w:t xml:space="preserve">אשר להמלצת שירות המבחן, ידוע כי מדובר בגורם מקצועי ממליץ שהמלצתו חשובה ובעלת משקל רב. ברם, שירות המבחן לא שוקל בהמלצתו את כלל הנסיבות שעל בית-המשפט לשקול. ר' בעניין זה </w:t>
      </w:r>
      <w:hyperlink r:id="rId36" w:history="1">
        <w:r w:rsidR="0084676C" w:rsidRPr="0084676C">
          <w:rPr>
            <w:color w:val="0000FF"/>
            <w:u w:val="single"/>
            <w:rtl/>
          </w:rPr>
          <w:t>רע"פ 765/14</w:t>
        </w:r>
      </w:hyperlink>
      <w:r w:rsidR="0084676C">
        <w:rPr>
          <w:rFonts w:hint="cs"/>
          <w:rtl/>
        </w:rPr>
        <w:t xml:space="preserve"> </w:t>
      </w:r>
      <w:r>
        <w:rPr>
          <w:rFonts w:hint="cs"/>
          <w:b/>
          <w:bCs/>
          <w:rtl/>
        </w:rPr>
        <w:t>סמי אחרינו נ' מדינת ישראל</w:t>
      </w:r>
      <w:r w:rsidR="0084676C">
        <w:rPr>
          <w:rFonts w:hint="cs"/>
          <w:rtl/>
        </w:rPr>
        <w:t xml:space="preserve"> </w:t>
      </w:r>
      <w:r>
        <w:rPr>
          <w:rFonts w:hint="cs"/>
          <w:rtl/>
        </w:rPr>
        <w:t>(נבו 13.03.2014):</w:t>
      </w:r>
    </w:p>
    <w:p w14:paraId="1A58453B" w14:textId="77777777" w:rsidR="008D5B76" w:rsidRDefault="008D5B76" w:rsidP="008D5B76">
      <w:pPr>
        <w:pStyle w:val="ad"/>
        <w:rPr>
          <w:rtl/>
        </w:rPr>
      </w:pPr>
      <w:r>
        <w:rPr>
          <w:rFonts w:hint="cs"/>
          <w:rtl/>
        </w:rPr>
        <w:t>"המלצתו של שירות המבחן אינה מחייבת את בתי המשפט. שירות המבחן, בבואו להמליץ על מידת העונש, מעמיד לנגד עיניו בעיקר את מאפייניו של הנאשם הספציפי, ובדגש על שיקולי שיקום. לעומת זאת, שיקולי הענישה שעל בית המשפט לשקול הינם רחבים יותר וכוללים שיקולים נוספים</w:t>
      </w:r>
      <w:r>
        <w:t>."</w:t>
      </w:r>
    </w:p>
    <w:p w14:paraId="47649F5B" w14:textId="77777777" w:rsidR="008D5B76" w:rsidRDefault="008D5B76" w:rsidP="008D5B76">
      <w:pPr>
        <w:pStyle w:val="a"/>
        <w:numPr>
          <w:ilvl w:val="0"/>
          <w:numId w:val="0"/>
        </w:numPr>
        <w:ind w:left="651"/>
        <w:rPr>
          <w:rtl/>
        </w:rPr>
      </w:pPr>
      <w:r>
        <w:rPr>
          <w:rFonts w:hint="cs"/>
          <w:rtl/>
        </w:rPr>
        <w:t>סבורני כי במקרה זה המלצת שירות המבחן מקלה עם הנאשם באופן שאינו עולה בקנה אחד עם כלל שיקולי הענישה הנדרשים לענין.</w:t>
      </w:r>
    </w:p>
    <w:p w14:paraId="7A42455D" w14:textId="77777777" w:rsidR="008D5B76" w:rsidRDefault="008D5B76" w:rsidP="008D5B76">
      <w:pPr>
        <w:pStyle w:val="a"/>
        <w:numPr>
          <w:ilvl w:val="1"/>
          <w:numId w:val="3"/>
        </w:numPr>
        <w:ind w:left="651" w:hanging="425"/>
        <w:rPr>
          <w:rtl/>
        </w:rPr>
      </w:pPr>
      <w:r>
        <w:rPr>
          <w:rFonts w:hint="cs"/>
          <w:rtl/>
        </w:rPr>
        <w:t>בשקלול מכלול הנסיבות, מצאתי לקבוע את עונשו של הנאשם בתחתית מתחם הענישה.</w:t>
      </w:r>
    </w:p>
    <w:p w14:paraId="5B6C02C9" w14:textId="77777777" w:rsidR="008D5B76" w:rsidRDefault="008D5B76" w:rsidP="008D5B76">
      <w:pPr>
        <w:pStyle w:val="a"/>
        <w:numPr>
          <w:ilvl w:val="0"/>
          <w:numId w:val="0"/>
        </w:numPr>
        <w:ind w:left="651"/>
      </w:pPr>
      <w:r>
        <w:rPr>
          <w:rFonts w:hint="cs"/>
          <w:rtl/>
        </w:rPr>
        <w:t>עם זאת, ובהינתן כי הנאשם שהה תקופה של כחודשיים במעצר מאחורי סורג ובריח, סבורני כי יהיה זה צודק וראוי בנסיבות הענין לאפשר את ריצוי עונש המאסר בדרך של עבודות שירות (ללא ניכוי תקופת המעצר).</w:t>
      </w:r>
    </w:p>
    <w:p w14:paraId="59B3B88D" w14:textId="77777777" w:rsidR="008D5B76" w:rsidRDefault="008D5B76" w:rsidP="008D5B76">
      <w:pPr>
        <w:rPr>
          <w:rFonts w:ascii="Arial" w:hAnsi="Arial"/>
          <w:b/>
          <w:bCs/>
          <w:sz w:val="26"/>
          <w:szCs w:val="26"/>
          <w:rtl/>
        </w:rPr>
      </w:pPr>
    </w:p>
    <w:p w14:paraId="5EBBE9C3" w14:textId="77777777" w:rsidR="008D5B76" w:rsidRDefault="008D5B76" w:rsidP="008D5B76">
      <w:pPr>
        <w:pStyle w:val="2"/>
        <w:rPr>
          <w:rtl/>
        </w:rPr>
      </w:pPr>
      <w:r>
        <w:rPr>
          <w:rtl/>
        </w:rPr>
        <w:t>סוף דבר</w:t>
      </w:r>
    </w:p>
    <w:p w14:paraId="6A03D74C" w14:textId="77777777" w:rsidR="008D5B76" w:rsidRDefault="008D5B76" w:rsidP="008D5B76">
      <w:pPr>
        <w:pStyle w:val="a"/>
        <w:numPr>
          <w:ilvl w:val="1"/>
          <w:numId w:val="3"/>
        </w:numPr>
        <w:ind w:left="651" w:hanging="425"/>
        <w:rPr>
          <w:rFonts w:ascii="Times New Roman" w:eastAsia="Times New Roman" w:hAnsi="Times New Roman" w:cs="Times New Roman"/>
          <w:rtl/>
        </w:rPr>
      </w:pPr>
      <w:r>
        <w:rPr>
          <w:rFonts w:hint="cs"/>
          <w:rtl/>
        </w:rPr>
        <w:t>נוכח האמור, אני דן את הנאשם לעונשים הבאים:</w:t>
      </w:r>
    </w:p>
    <w:p w14:paraId="3067694F" w14:textId="77777777" w:rsidR="008D5B76" w:rsidRDefault="008D5B76" w:rsidP="008D5B76">
      <w:pPr>
        <w:pStyle w:val="a0"/>
        <w:numPr>
          <w:ilvl w:val="0"/>
          <w:numId w:val="4"/>
        </w:numPr>
        <w:ind w:left="1218"/>
        <w:jc w:val="both"/>
      </w:pPr>
      <w:r>
        <w:rPr>
          <w:rFonts w:hint="cs"/>
          <w:rtl/>
        </w:rPr>
        <w:t xml:space="preserve">9 חודשי מאסר בפועל, אשר ירוצו בדרך של עבודות שירות ב"פארק המשחקים" בכתובת ההסתדרות 82 בבאר-שבע, </w:t>
      </w:r>
      <w:r w:rsidRPr="007C7F45">
        <w:rPr>
          <w:rFonts w:hint="cs"/>
          <w:rtl/>
        </w:rPr>
        <w:t>רמות</w:t>
      </w:r>
      <w:r>
        <w:rPr>
          <w:rFonts w:hint="cs"/>
          <w:rtl/>
        </w:rPr>
        <w:t>, במשך חמישה ימים בשבוע, 8.5 שעות ביום או לפי קביעה אחרת של הממונה על עבודות השירות.</w:t>
      </w:r>
    </w:p>
    <w:p w14:paraId="0A3FC85B" w14:textId="77777777" w:rsidR="008D5B76" w:rsidRDefault="008D5B76" w:rsidP="008D5B76">
      <w:pPr>
        <w:pStyle w:val="-"/>
        <w:rPr>
          <w:rtl/>
        </w:rPr>
      </w:pPr>
      <w:r>
        <w:rPr>
          <w:rFonts w:hint="cs"/>
          <w:rtl/>
        </w:rPr>
        <w:t>הנאשם יתייצב לריצוי עונשו ביום 31.10.24 בשעה 8:00 במשרדי הממונה על עבודות השירות במפקדת מחוז דרום של שב"ס ליד כלא באר-שבע.</w:t>
      </w:r>
    </w:p>
    <w:p w14:paraId="4BF5F791" w14:textId="77777777" w:rsidR="008D5B76" w:rsidRDefault="008D5B76" w:rsidP="008D5B76">
      <w:pPr>
        <w:pStyle w:val="-"/>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36274B78" w14:textId="77777777" w:rsidR="008D5B76" w:rsidRDefault="008D5B76" w:rsidP="008D5B76">
      <w:pPr>
        <w:pStyle w:val="a0"/>
        <w:numPr>
          <w:ilvl w:val="0"/>
          <w:numId w:val="4"/>
        </w:numPr>
        <w:ind w:left="1218"/>
        <w:jc w:val="both"/>
        <w:rPr>
          <w:rtl/>
        </w:rPr>
      </w:pPr>
      <w:r>
        <w:rPr>
          <w:rFonts w:hint="cs"/>
          <w:rtl/>
        </w:rPr>
        <w:t xml:space="preserve">12 חודשי מאסר על תנאי, לתקופה של 3 שנים שלא יעבור כל עבֵרה מסוג פשע שבפקודת הסמים. </w:t>
      </w:r>
    </w:p>
    <w:p w14:paraId="1C87139C" w14:textId="77777777" w:rsidR="008D5B76" w:rsidRDefault="008D5B76" w:rsidP="008D5B76">
      <w:pPr>
        <w:pStyle w:val="a0"/>
        <w:numPr>
          <w:ilvl w:val="0"/>
          <w:numId w:val="4"/>
        </w:numPr>
        <w:ind w:left="1218"/>
        <w:jc w:val="both"/>
        <w:rPr>
          <w:rtl/>
        </w:rPr>
      </w:pPr>
      <w:r>
        <w:rPr>
          <w:rFonts w:hint="cs"/>
          <w:rtl/>
        </w:rPr>
        <w:t>6 חודשי מאסר על תנאי לתקופה של 3 שנים שלא יעבור כל עבירה מסוג עוון שבפקודת הסמים.</w:t>
      </w:r>
    </w:p>
    <w:p w14:paraId="0508196C" w14:textId="77777777" w:rsidR="008D5B76" w:rsidRDefault="008D5B76" w:rsidP="008D5B76">
      <w:pPr>
        <w:pStyle w:val="a0"/>
        <w:numPr>
          <w:ilvl w:val="0"/>
          <w:numId w:val="4"/>
        </w:numPr>
        <w:ind w:left="1218"/>
        <w:jc w:val="both"/>
      </w:pPr>
      <w:r>
        <w:rPr>
          <w:rFonts w:hint="cs"/>
          <w:rtl/>
        </w:rPr>
        <w:t xml:space="preserve">קנס כספי בסך 10,000 ₪ או 75 ימי מאסר תמורתו. </w:t>
      </w:r>
    </w:p>
    <w:p w14:paraId="22C3FE3B" w14:textId="77777777" w:rsidR="008D5B76" w:rsidRPr="00F05BA6" w:rsidRDefault="008D5B76" w:rsidP="008D5B76">
      <w:pPr>
        <w:pStyle w:val="a0"/>
        <w:numPr>
          <w:ilvl w:val="0"/>
          <w:numId w:val="4"/>
        </w:numPr>
        <w:ind w:left="1218"/>
        <w:jc w:val="both"/>
        <w:rPr>
          <w:rtl/>
        </w:rPr>
      </w:pPr>
      <w:r>
        <w:rPr>
          <w:rFonts w:hint="cs"/>
          <w:rtl/>
        </w:rPr>
        <w:t>פסילת רישיון נהיגה למשך 6 חודשים אשר תופעל ככל והנאשם יעבור עבירות סמים בתוך 3 שנים מהיום.</w:t>
      </w:r>
    </w:p>
    <w:p w14:paraId="53FCE789" w14:textId="77777777" w:rsidR="008D5B76" w:rsidRDefault="008D5B76" w:rsidP="008D5B76">
      <w:pPr>
        <w:spacing w:line="360" w:lineRule="auto"/>
        <w:jc w:val="both"/>
        <w:rPr>
          <w:rtl/>
        </w:rPr>
      </w:pPr>
    </w:p>
    <w:p w14:paraId="284B6543" w14:textId="77777777" w:rsidR="008D5B76" w:rsidRDefault="008D5B76" w:rsidP="008D5B76">
      <w:pPr>
        <w:spacing w:line="360" w:lineRule="auto"/>
        <w:jc w:val="both"/>
        <w:rPr>
          <w:rtl/>
        </w:rPr>
      </w:pPr>
    </w:p>
    <w:p w14:paraId="6F7883CB" w14:textId="77777777" w:rsidR="008D5B76" w:rsidRDefault="008D5B76" w:rsidP="008D5B76">
      <w:pPr>
        <w:spacing w:line="360" w:lineRule="auto"/>
        <w:jc w:val="both"/>
        <w:rPr>
          <w:rtl/>
        </w:rPr>
      </w:pPr>
    </w:p>
    <w:p w14:paraId="7D64F562" w14:textId="77777777" w:rsidR="008D5B76" w:rsidRDefault="008D5B76" w:rsidP="008D5B76">
      <w:pPr>
        <w:spacing w:line="360" w:lineRule="auto"/>
        <w:jc w:val="both"/>
      </w:pPr>
    </w:p>
    <w:p w14:paraId="2526AD82" w14:textId="77777777" w:rsidR="008D5B76" w:rsidRDefault="008D5B76" w:rsidP="008D5B76">
      <w:pPr>
        <w:spacing w:line="360" w:lineRule="auto"/>
        <w:jc w:val="both"/>
        <w:rPr>
          <w:b/>
          <w:bCs/>
        </w:rPr>
      </w:pPr>
      <w:r>
        <w:rPr>
          <w:rFonts w:hint="cs"/>
          <w:b/>
          <w:bCs/>
          <w:rtl/>
        </w:rPr>
        <w:t>את הקנס ניתן לשלם כעבור 3 ימים מהיום באחת מהדרכים הבאות:</w:t>
      </w:r>
    </w:p>
    <w:p w14:paraId="57DB2646" w14:textId="77777777" w:rsidR="008D5B76" w:rsidRDefault="008D5B76" w:rsidP="008D5B76">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hyperlink w:history="1">
        <w:r w:rsidRPr="0084676C">
          <w:rPr>
            <w:rStyle w:val="Hyperlink"/>
            <w:b/>
            <w:bCs/>
            <w:color w:val="000000"/>
            <w:u w:val="none"/>
          </w:rPr>
          <w:t>-Hyperlink Removed-</w:t>
        </w:r>
      </w:hyperlink>
      <w:r>
        <w:rPr>
          <w:rFonts w:hint="cs"/>
          <w:b/>
          <w:bCs/>
          <w:rtl/>
        </w:rPr>
        <w:t>.</w:t>
      </w:r>
    </w:p>
    <w:p w14:paraId="0D58214D" w14:textId="77777777" w:rsidR="008D5B76" w:rsidRDefault="008D5B76" w:rsidP="008D5B76">
      <w:pPr>
        <w:numPr>
          <w:ilvl w:val="0"/>
          <w:numId w:val="5"/>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09024099" w14:textId="77777777" w:rsidR="008D5B76" w:rsidRDefault="008D5B76" w:rsidP="008D5B76">
      <w:pPr>
        <w:numPr>
          <w:ilvl w:val="0"/>
          <w:numId w:val="5"/>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3674D4D8" w14:textId="77777777" w:rsidR="008D5B76" w:rsidRDefault="008D5B76" w:rsidP="008D5B76">
      <w:pPr>
        <w:spacing w:line="360" w:lineRule="auto"/>
        <w:jc w:val="both"/>
      </w:pPr>
    </w:p>
    <w:p w14:paraId="3B164334" w14:textId="77777777" w:rsidR="008D5B76" w:rsidRDefault="008D5B76" w:rsidP="008D5B76">
      <w:pPr>
        <w:spacing w:line="360" w:lineRule="auto"/>
        <w:jc w:val="both"/>
      </w:pPr>
      <w:r>
        <w:rPr>
          <w:rFonts w:hint="cs"/>
          <w:rtl/>
        </w:rPr>
        <w:t>מורה על השמדת מוצג הסמים.</w:t>
      </w:r>
    </w:p>
    <w:p w14:paraId="601CE879" w14:textId="77777777" w:rsidR="008D5B76" w:rsidRDefault="008D5B76" w:rsidP="008D5B76">
      <w:pPr>
        <w:spacing w:line="360" w:lineRule="auto"/>
        <w:jc w:val="both"/>
        <w:rPr>
          <w:rtl/>
        </w:rPr>
      </w:pPr>
    </w:p>
    <w:p w14:paraId="500F47D7" w14:textId="77777777" w:rsidR="008D5B76" w:rsidRDefault="008D5B76" w:rsidP="008D5B76">
      <w:pPr>
        <w:spacing w:line="360" w:lineRule="auto"/>
        <w:jc w:val="both"/>
        <w:rPr>
          <w:rtl/>
        </w:rPr>
      </w:pPr>
      <w:r>
        <w:rPr>
          <w:rFonts w:hint="cs"/>
          <w:rtl/>
        </w:rPr>
        <w:t>המזכירות תסגור את התיק ותעביר את הפרוטוקול לממונה על עבודות השירות.</w:t>
      </w:r>
    </w:p>
    <w:p w14:paraId="7543F3CB" w14:textId="77777777" w:rsidR="008D5B76" w:rsidRDefault="008D5B76" w:rsidP="008D5B76">
      <w:pPr>
        <w:rPr>
          <w:rtl/>
        </w:rPr>
      </w:pPr>
    </w:p>
    <w:p w14:paraId="4AECBA24" w14:textId="77777777" w:rsidR="008D5B76" w:rsidRPr="0084676C" w:rsidRDefault="0084676C" w:rsidP="008D5B76">
      <w:pPr>
        <w:spacing w:after="160" w:line="254" w:lineRule="auto"/>
        <w:rPr>
          <w:rFonts w:ascii="Calibri" w:hAnsi="Calibri" w:cs="Arial"/>
          <w:color w:val="FFFFFF"/>
          <w:sz w:val="2"/>
          <w:szCs w:val="2"/>
          <w:rtl/>
        </w:rPr>
      </w:pPr>
      <w:r w:rsidRPr="0084676C">
        <w:rPr>
          <w:rFonts w:ascii="Calibri" w:hAnsi="Calibri" w:cs="Arial"/>
          <w:color w:val="FFFFFF"/>
          <w:sz w:val="2"/>
          <w:szCs w:val="2"/>
          <w:rtl/>
        </w:rPr>
        <w:t>5129371</w:t>
      </w:r>
    </w:p>
    <w:p w14:paraId="76ADD99B" w14:textId="77777777" w:rsidR="008D5B76" w:rsidRDefault="0084676C" w:rsidP="008D5B76">
      <w:pPr>
        <w:spacing w:line="360" w:lineRule="auto"/>
        <w:jc w:val="both"/>
        <w:rPr>
          <w:rFonts w:ascii="David" w:hAnsi="David"/>
        </w:rPr>
      </w:pPr>
      <w:r w:rsidRPr="0084676C">
        <w:rPr>
          <w:b/>
          <w:bCs/>
          <w:color w:val="FFFFFF"/>
          <w:sz w:val="2"/>
          <w:szCs w:val="2"/>
          <w:rtl/>
        </w:rPr>
        <w:t>54678313</w:t>
      </w:r>
      <w:r w:rsidR="008D5B76">
        <w:rPr>
          <w:rFonts w:hint="cs"/>
          <w:b/>
          <w:bCs/>
          <w:rtl/>
        </w:rPr>
        <w:t>זכות ערעור בתוך 45 יום לבית המשפט המחוזי</w:t>
      </w:r>
      <w:r w:rsidR="008D5B76">
        <w:rPr>
          <w:rFonts w:hint="cs"/>
          <w:rtl/>
        </w:rPr>
        <w:t>.</w:t>
      </w:r>
    </w:p>
    <w:p w14:paraId="06820A0C" w14:textId="77777777" w:rsidR="008D5B76" w:rsidRPr="000F2247" w:rsidRDefault="008D5B76" w:rsidP="008D5B76">
      <w:pPr>
        <w:pStyle w:val="a"/>
        <w:numPr>
          <w:ilvl w:val="0"/>
          <w:numId w:val="0"/>
        </w:numPr>
        <w:tabs>
          <w:tab w:val="num" w:pos="1080"/>
        </w:tabs>
        <w:ind w:left="651" w:hanging="425"/>
        <w:rPr>
          <w:rFonts w:ascii="Arial" w:hAnsi="Arial"/>
          <w:b/>
          <w:bCs/>
          <w:sz w:val="26"/>
          <w:szCs w:val="26"/>
          <w:rtl/>
        </w:rPr>
      </w:pPr>
      <w:r>
        <w:rPr>
          <w:rtl/>
        </w:rPr>
        <w:t xml:space="preserve">  </w:t>
      </w:r>
    </w:p>
    <w:p w14:paraId="45C80FDA" w14:textId="77777777" w:rsidR="008D5B76" w:rsidRPr="000F2247" w:rsidRDefault="0084676C" w:rsidP="008D5B76">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כ"ו תשרי תשפ"ה, 28 אוקטובר 2024, בנוכחות הצדדים. </w:t>
      </w:r>
      <w:bookmarkEnd w:id="9"/>
      <w:r w:rsidR="008D5B76">
        <w:rPr>
          <w:rFonts w:ascii="Arial" w:hAnsi="Arial"/>
          <w:b/>
          <w:bCs/>
          <w:sz w:val="26"/>
          <w:szCs w:val="26"/>
          <w:rtl/>
        </w:rPr>
        <w:tab/>
      </w:r>
      <w:r w:rsidR="008D5B76">
        <w:rPr>
          <w:rFonts w:ascii="Arial" w:hAnsi="Arial"/>
          <w:b/>
          <w:bCs/>
          <w:sz w:val="26"/>
          <w:szCs w:val="26"/>
          <w:rtl/>
        </w:rPr>
        <w:tab/>
      </w:r>
      <w:r w:rsidR="008D5B76">
        <w:rPr>
          <w:rFonts w:ascii="Arial" w:hAnsi="Arial"/>
          <w:b/>
          <w:bCs/>
          <w:sz w:val="26"/>
          <w:szCs w:val="26"/>
          <w:rtl/>
        </w:rPr>
        <w:tab/>
      </w:r>
      <w:r w:rsidR="008D5B76">
        <w:rPr>
          <w:rFonts w:ascii="Arial" w:hAnsi="Arial"/>
          <w:b/>
          <w:bCs/>
          <w:sz w:val="26"/>
          <w:szCs w:val="26"/>
          <w:rtl/>
        </w:rPr>
        <w:tab/>
      </w:r>
      <w:r w:rsidR="008D5B76">
        <w:rPr>
          <w:rFonts w:ascii="Arial" w:hAnsi="Arial"/>
          <w:b/>
          <w:bCs/>
          <w:sz w:val="26"/>
          <w:szCs w:val="26"/>
          <w:rtl/>
        </w:rPr>
        <w:tab/>
      </w:r>
      <w:r w:rsidR="008D5B76">
        <w:rPr>
          <w:rFonts w:ascii="Arial" w:hAnsi="Arial"/>
          <w:b/>
          <w:bCs/>
          <w:sz w:val="26"/>
          <w:szCs w:val="26"/>
          <w:rtl/>
        </w:rPr>
        <w:tab/>
      </w:r>
      <w:r w:rsidR="008D5B76">
        <w:rPr>
          <w:rFonts w:ascii="Arial" w:hAnsi="Arial"/>
          <w:b/>
          <w:bCs/>
          <w:sz w:val="26"/>
          <w:szCs w:val="26"/>
          <w:rtl/>
        </w:rPr>
        <w:tab/>
      </w:r>
      <w:r w:rsidR="008D5B76">
        <w:rPr>
          <w:rFonts w:ascii="Arial" w:hAnsi="Arial" w:hint="cs"/>
          <w:b/>
          <w:bCs/>
          <w:sz w:val="26"/>
          <w:szCs w:val="26"/>
          <w:rtl/>
        </w:rPr>
        <w:t xml:space="preserve">         </w:t>
      </w:r>
    </w:p>
    <w:p w14:paraId="2714FF74" w14:textId="77777777" w:rsidR="0084676C" w:rsidRDefault="0084676C" w:rsidP="0084676C">
      <w:pPr>
        <w:rPr>
          <w:rtl/>
        </w:rPr>
      </w:pPr>
    </w:p>
    <w:p w14:paraId="6B98D623" w14:textId="77777777" w:rsidR="0084676C" w:rsidRDefault="0084676C" w:rsidP="0084676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15BE41D" w14:textId="77777777" w:rsidR="00465710" w:rsidRPr="00465710" w:rsidRDefault="00465710" w:rsidP="00465710">
      <w:pPr>
        <w:keepNext/>
        <w:rPr>
          <w:rFonts w:ascii="David" w:hAnsi="David"/>
          <w:color w:val="000000"/>
          <w:sz w:val="22"/>
          <w:szCs w:val="22"/>
          <w:rtl/>
        </w:rPr>
      </w:pPr>
    </w:p>
    <w:p w14:paraId="1D4B1FDA" w14:textId="77777777" w:rsidR="00465710" w:rsidRPr="00465710" w:rsidRDefault="00465710" w:rsidP="00465710">
      <w:pPr>
        <w:keepNext/>
        <w:rPr>
          <w:rFonts w:ascii="David" w:hAnsi="David"/>
          <w:color w:val="000000"/>
          <w:sz w:val="22"/>
          <w:szCs w:val="22"/>
          <w:rtl/>
        </w:rPr>
      </w:pPr>
      <w:r w:rsidRPr="00465710">
        <w:rPr>
          <w:rFonts w:ascii="David" w:hAnsi="David"/>
          <w:color w:val="000000"/>
          <w:sz w:val="22"/>
          <w:szCs w:val="22"/>
          <w:rtl/>
        </w:rPr>
        <w:t>יריב בן דוד 54678313-/</w:t>
      </w:r>
    </w:p>
    <w:p w14:paraId="6611B693" w14:textId="77777777" w:rsidR="0084676C" w:rsidRPr="0084676C" w:rsidRDefault="00465710" w:rsidP="00465710">
      <w:pPr>
        <w:rPr>
          <w:color w:val="0000FF"/>
          <w:u w:val="single"/>
        </w:rPr>
      </w:pPr>
      <w:r w:rsidRPr="00465710">
        <w:rPr>
          <w:color w:val="000000"/>
          <w:u w:val="single"/>
          <w:rtl/>
        </w:rPr>
        <w:t>נוסח מסמך זה כפוף לשינויי ניסוח ועריכה</w:t>
      </w:r>
    </w:p>
    <w:sectPr w:rsidR="0084676C" w:rsidRPr="0084676C" w:rsidSect="0046571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0FD36" w14:textId="77777777" w:rsidR="001065E8" w:rsidRDefault="001065E8" w:rsidP="009D5110">
      <w:r>
        <w:separator/>
      </w:r>
    </w:p>
  </w:endnote>
  <w:endnote w:type="continuationSeparator" w:id="0">
    <w:p w14:paraId="03DB6D16" w14:textId="77777777" w:rsidR="001065E8" w:rsidRDefault="001065E8" w:rsidP="009D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4798A" w14:textId="77777777" w:rsidR="00465710" w:rsidRDefault="00465710" w:rsidP="0046571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27977F" w14:textId="77777777" w:rsidR="00CB5338" w:rsidRPr="00465710" w:rsidRDefault="00465710" w:rsidP="00465710">
    <w:pPr>
      <w:pStyle w:val="a7"/>
      <w:pBdr>
        <w:top w:val="single" w:sz="4" w:space="1" w:color="auto"/>
        <w:between w:val="single" w:sz="4" w:space="0" w:color="auto"/>
      </w:pBdr>
      <w:spacing w:after="60"/>
      <w:jc w:val="center"/>
      <w:rPr>
        <w:rFonts w:ascii="FrankRuehl" w:hAnsi="FrankRuehl" w:cs="FrankRuehl"/>
        <w:color w:val="000000"/>
      </w:rPr>
    </w:pPr>
    <w:r w:rsidRPr="004657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1CE8B" w14:textId="77777777" w:rsidR="00465710" w:rsidRDefault="00465710" w:rsidP="0046571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4F81">
      <w:rPr>
        <w:rFonts w:ascii="FrankRuehl" w:hAnsi="FrankRuehl" w:cs="FrankRuehl"/>
        <w:noProof/>
        <w:rtl/>
      </w:rPr>
      <w:t>1</w:t>
    </w:r>
    <w:r>
      <w:rPr>
        <w:rFonts w:ascii="FrankRuehl" w:hAnsi="FrankRuehl" w:cs="FrankRuehl"/>
        <w:rtl/>
      </w:rPr>
      <w:fldChar w:fldCharType="end"/>
    </w:r>
  </w:p>
  <w:p w14:paraId="169D8623" w14:textId="77777777" w:rsidR="00CB5338" w:rsidRPr="00465710" w:rsidRDefault="00465710" w:rsidP="00465710">
    <w:pPr>
      <w:pStyle w:val="a7"/>
      <w:pBdr>
        <w:top w:val="single" w:sz="4" w:space="1" w:color="auto"/>
        <w:between w:val="single" w:sz="4" w:space="0" w:color="auto"/>
      </w:pBdr>
      <w:spacing w:after="60"/>
      <w:jc w:val="center"/>
      <w:rPr>
        <w:rFonts w:ascii="FrankRuehl" w:hAnsi="FrankRuehl" w:cs="FrankRuehl"/>
        <w:color w:val="000000"/>
      </w:rPr>
    </w:pPr>
    <w:r w:rsidRPr="00465710">
      <w:rPr>
        <w:rFonts w:ascii="FrankRuehl" w:hAnsi="FrankRuehl" w:cs="FrankRuehl"/>
        <w:color w:val="000000"/>
      </w:rPr>
      <w:pict w14:anchorId="40AD8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9E06B" w14:textId="77777777" w:rsidR="001065E8" w:rsidRDefault="001065E8" w:rsidP="009D5110">
      <w:r>
        <w:separator/>
      </w:r>
    </w:p>
  </w:footnote>
  <w:footnote w:type="continuationSeparator" w:id="0">
    <w:p w14:paraId="71903811" w14:textId="77777777" w:rsidR="001065E8" w:rsidRDefault="001065E8" w:rsidP="009D5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BB678" w14:textId="77777777" w:rsidR="0084676C" w:rsidRPr="00465710" w:rsidRDefault="00465710" w:rsidP="0046571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44174-05-21</w:t>
    </w:r>
    <w:r>
      <w:rPr>
        <w:rFonts w:ascii="David" w:hAnsi="David"/>
        <w:color w:val="000000"/>
        <w:sz w:val="22"/>
        <w:szCs w:val="22"/>
        <w:rtl/>
      </w:rPr>
      <w:tab/>
      <w:t xml:space="preserve"> מדינת ישראל נ' יאסין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44AF9" w14:textId="77777777" w:rsidR="0084676C" w:rsidRPr="00465710" w:rsidRDefault="00465710" w:rsidP="00465710">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44174-05-21</w:t>
    </w:r>
    <w:r>
      <w:rPr>
        <w:rFonts w:ascii="David" w:hAnsi="David"/>
        <w:color w:val="000000"/>
        <w:sz w:val="22"/>
        <w:szCs w:val="22"/>
        <w:rtl/>
      </w:rPr>
      <w:tab/>
      <w:t xml:space="preserve"> מדינת ישראל נ' יאסין אבו עסא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41885D70">
      <w:start w:val="1"/>
      <w:numFmt w:val="bullet"/>
      <w:lvlText w:val=""/>
      <w:lvlJc w:val="left"/>
      <w:pPr>
        <w:ind w:left="720" w:hanging="360"/>
      </w:pPr>
      <w:rPr>
        <w:rFonts w:ascii="Symbol" w:hAnsi="Symbol" w:hint="default"/>
      </w:rPr>
    </w:lvl>
    <w:lvl w:ilvl="1" w:tplc="FB98AF58">
      <w:start w:val="1"/>
      <w:numFmt w:val="bullet"/>
      <w:lvlText w:val="o"/>
      <w:lvlJc w:val="left"/>
      <w:pPr>
        <w:ind w:left="1440" w:hanging="360"/>
      </w:pPr>
      <w:rPr>
        <w:rFonts w:ascii="Courier New" w:hAnsi="Courier New" w:cs="Times New Roman" w:hint="default"/>
      </w:rPr>
    </w:lvl>
    <w:lvl w:ilvl="2" w:tplc="4322E140">
      <w:start w:val="1"/>
      <w:numFmt w:val="bullet"/>
      <w:lvlText w:val=""/>
      <w:lvlJc w:val="left"/>
      <w:pPr>
        <w:ind w:left="2160" w:hanging="360"/>
      </w:pPr>
      <w:rPr>
        <w:rFonts w:ascii="Wingdings" w:hAnsi="Wingdings" w:hint="default"/>
      </w:rPr>
    </w:lvl>
    <w:lvl w:ilvl="3" w:tplc="16E6C348">
      <w:start w:val="1"/>
      <w:numFmt w:val="bullet"/>
      <w:lvlText w:val=""/>
      <w:lvlJc w:val="left"/>
      <w:pPr>
        <w:ind w:left="2880" w:hanging="360"/>
      </w:pPr>
      <w:rPr>
        <w:rFonts w:ascii="Symbol" w:hAnsi="Symbol" w:hint="default"/>
      </w:rPr>
    </w:lvl>
    <w:lvl w:ilvl="4" w:tplc="31781F32">
      <w:start w:val="1"/>
      <w:numFmt w:val="bullet"/>
      <w:lvlText w:val="o"/>
      <w:lvlJc w:val="left"/>
      <w:pPr>
        <w:ind w:left="3600" w:hanging="360"/>
      </w:pPr>
      <w:rPr>
        <w:rFonts w:ascii="Courier New" w:hAnsi="Courier New" w:cs="Times New Roman" w:hint="default"/>
      </w:rPr>
    </w:lvl>
    <w:lvl w:ilvl="5" w:tplc="2C1C7A06">
      <w:start w:val="1"/>
      <w:numFmt w:val="bullet"/>
      <w:lvlText w:val=""/>
      <w:lvlJc w:val="left"/>
      <w:pPr>
        <w:ind w:left="4320" w:hanging="360"/>
      </w:pPr>
      <w:rPr>
        <w:rFonts w:ascii="Wingdings" w:hAnsi="Wingdings" w:hint="default"/>
      </w:rPr>
    </w:lvl>
    <w:lvl w:ilvl="6" w:tplc="C3E8327A">
      <w:start w:val="1"/>
      <w:numFmt w:val="bullet"/>
      <w:lvlText w:val=""/>
      <w:lvlJc w:val="left"/>
      <w:pPr>
        <w:ind w:left="5040" w:hanging="360"/>
      </w:pPr>
      <w:rPr>
        <w:rFonts w:ascii="Symbol" w:hAnsi="Symbol" w:hint="default"/>
      </w:rPr>
    </w:lvl>
    <w:lvl w:ilvl="7" w:tplc="ED12934C">
      <w:start w:val="1"/>
      <w:numFmt w:val="bullet"/>
      <w:lvlText w:val="o"/>
      <w:lvlJc w:val="left"/>
      <w:pPr>
        <w:ind w:left="5760" w:hanging="360"/>
      </w:pPr>
      <w:rPr>
        <w:rFonts w:ascii="Courier New" w:hAnsi="Courier New" w:cs="Times New Roman" w:hint="default"/>
      </w:rPr>
    </w:lvl>
    <w:lvl w:ilvl="8" w:tplc="5832CDE6">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88A48348">
      <w:start w:val="1"/>
      <w:numFmt w:val="hebrew1"/>
      <w:pStyle w:val="a0"/>
      <w:lvlText w:val="%1."/>
      <w:lvlJc w:val="center"/>
      <w:pPr>
        <w:ind w:left="1080" w:hanging="360"/>
      </w:pPr>
    </w:lvl>
    <w:lvl w:ilvl="1" w:tplc="E7A060F2">
      <w:start w:val="1"/>
      <w:numFmt w:val="lowerLetter"/>
      <w:lvlText w:val="%2."/>
      <w:lvlJc w:val="left"/>
      <w:pPr>
        <w:ind w:left="1800" w:hanging="360"/>
      </w:pPr>
    </w:lvl>
    <w:lvl w:ilvl="2" w:tplc="A53EBF5C">
      <w:start w:val="1"/>
      <w:numFmt w:val="lowerRoman"/>
      <w:lvlText w:val="%3."/>
      <w:lvlJc w:val="right"/>
      <w:pPr>
        <w:ind w:left="2520" w:hanging="180"/>
      </w:pPr>
    </w:lvl>
    <w:lvl w:ilvl="3" w:tplc="C2D04878">
      <w:start w:val="1"/>
      <w:numFmt w:val="decimal"/>
      <w:lvlText w:val="%4."/>
      <w:lvlJc w:val="left"/>
      <w:pPr>
        <w:ind w:left="3240" w:hanging="360"/>
      </w:pPr>
    </w:lvl>
    <w:lvl w:ilvl="4" w:tplc="A82AEC00">
      <w:start w:val="1"/>
      <w:numFmt w:val="lowerLetter"/>
      <w:lvlText w:val="%5."/>
      <w:lvlJc w:val="left"/>
      <w:pPr>
        <w:ind w:left="3960" w:hanging="360"/>
      </w:pPr>
    </w:lvl>
    <w:lvl w:ilvl="5" w:tplc="3E9417F0">
      <w:start w:val="1"/>
      <w:numFmt w:val="lowerRoman"/>
      <w:lvlText w:val="%6."/>
      <w:lvlJc w:val="right"/>
      <w:pPr>
        <w:ind w:left="4680" w:hanging="180"/>
      </w:pPr>
    </w:lvl>
    <w:lvl w:ilvl="6" w:tplc="D97E53CE">
      <w:start w:val="1"/>
      <w:numFmt w:val="decimal"/>
      <w:lvlText w:val="%7."/>
      <w:lvlJc w:val="left"/>
      <w:pPr>
        <w:ind w:left="5400" w:hanging="360"/>
      </w:pPr>
    </w:lvl>
    <w:lvl w:ilvl="7" w:tplc="6FE063DA">
      <w:start w:val="1"/>
      <w:numFmt w:val="lowerLetter"/>
      <w:lvlText w:val="%8."/>
      <w:lvlJc w:val="left"/>
      <w:pPr>
        <w:ind w:left="6120" w:hanging="360"/>
      </w:pPr>
    </w:lvl>
    <w:lvl w:ilvl="8" w:tplc="022241E4">
      <w:start w:val="1"/>
      <w:numFmt w:val="lowerRoman"/>
      <w:lvlText w:val="%9."/>
      <w:lvlJc w:val="right"/>
      <w:pPr>
        <w:ind w:left="6840" w:hanging="180"/>
      </w:pPr>
    </w:lvl>
  </w:abstractNum>
  <w:num w:numId="1" w16cid:durableId="1908176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12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2385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6239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6482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5B76"/>
    <w:rsid w:val="001065E8"/>
    <w:rsid w:val="001B5A3B"/>
    <w:rsid w:val="001D03E6"/>
    <w:rsid w:val="003114BD"/>
    <w:rsid w:val="00462EF0"/>
    <w:rsid w:val="00463504"/>
    <w:rsid w:val="00465710"/>
    <w:rsid w:val="005B5D17"/>
    <w:rsid w:val="00661A01"/>
    <w:rsid w:val="007D3DB0"/>
    <w:rsid w:val="0084676C"/>
    <w:rsid w:val="008B0384"/>
    <w:rsid w:val="008D5B76"/>
    <w:rsid w:val="009D5110"/>
    <w:rsid w:val="00AC542B"/>
    <w:rsid w:val="00CB5338"/>
    <w:rsid w:val="00CD4F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68E661"/>
  <w15:chartTrackingRefBased/>
  <w15:docId w15:val="{B84D3E56-44F1-4416-B727-BD965C26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D5B76"/>
    <w:pPr>
      <w:bidi/>
    </w:pPr>
    <w:rPr>
      <w:rFonts w:ascii="Times New Roman" w:eastAsia="Times New Roman" w:hAnsi="Times New Roman" w:cs="David"/>
      <w:sz w:val="24"/>
      <w:szCs w:val="24"/>
    </w:rPr>
  </w:style>
  <w:style w:type="paragraph" w:styleId="1">
    <w:name w:val="heading 1"/>
    <w:basedOn w:val="a1"/>
    <w:next w:val="a1"/>
    <w:link w:val="10"/>
    <w:qFormat/>
    <w:rsid w:val="008D5B76"/>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8D5B76"/>
    <w:pPr>
      <w:tabs>
        <w:tab w:val="center" w:pos="4153"/>
        <w:tab w:val="right" w:pos="8306"/>
      </w:tabs>
    </w:pPr>
  </w:style>
  <w:style w:type="character" w:customStyle="1" w:styleId="a6">
    <w:name w:val="כותרת עליונה תו"/>
    <w:link w:val="a5"/>
    <w:rsid w:val="008D5B76"/>
    <w:rPr>
      <w:rFonts w:ascii="Times New Roman" w:eastAsia="Times New Roman" w:hAnsi="Times New Roman" w:cs="David"/>
      <w:sz w:val="24"/>
      <w:szCs w:val="24"/>
    </w:rPr>
  </w:style>
  <w:style w:type="paragraph" w:styleId="a7">
    <w:name w:val="footer"/>
    <w:basedOn w:val="a1"/>
    <w:link w:val="a8"/>
    <w:rsid w:val="008D5B76"/>
    <w:pPr>
      <w:tabs>
        <w:tab w:val="center" w:pos="4153"/>
        <w:tab w:val="right" w:pos="8306"/>
      </w:tabs>
    </w:pPr>
  </w:style>
  <w:style w:type="character" w:customStyle="1" w:styleId="a8">
    <w:name w:val="כותרת תחתונה תו"/>
    <w:link w:val="a7"/>
    <w:rsid w:val="008D5B76"/>
    <w:rPr>
      <w:rFonts w:ascii="Times New Roman" w:eastAsia="Times New Roman" w:hAnsi="Times New Roman" w:cs="David"/>
      <w:sz w:val="24"/>
      <w:szCs w:val="24"/>
    </w:rPr>
  </w:style>
  <w:style w:type="table" w:styleId="a9">
    <w:name w:val="Table Grid"/>
    <w:basedOn w:val="a3"/>
    <w:rsid w:val="008D5B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8D5B76"/>
  </w:style>
  <w:style w:type="character" w:styleId="Hyperlink">
    <w:name w:val="Hyperlink"/>
    <w:rsid w:val="008D5B76"/>
    <w:rPr>
      <w:color w:val="0000FF"/>
      <w:u w:val="single"/>
    </w:rPr>
  </w:style>
  <w:style w:type="paragraph" w:customStyle="1" w:styleId="ab">
    <w:name w:val="ללא מספור"/>
    <w:rsid w:val="008D5B76"/>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8D5B76"/>
    <w:pPr>
      <w:numPr>
        <w:ilvl w:val="1"/>
        <w:numId w:val="1"/>
      </w:numPr>
      <w:tabs>
        <w:tab w:val="clear" w:pos="2911"/>
        <w:tab w:val="num" w:pos="360"/>
        <w:tab w:val="num" w:pos="1440"/>
      </w:tabs>
      <w:spacing w:after="240" w:line="360" w:lineRule="auto"/>
      <w:ind w:left="720" w:firstLine="0"/>
      <w:contextualSpacing w:val="0"/>
      <w:jc w:val="both"/>
    </w:pPr>
    <w:rPr>
      <w:rFonts w:ascii="David" w:eastAsia="David" w:hAnsi="David"/>
    </w:rPr>
  </w:style>
  <w:style w:type="paragraph" w:customStyle="1" w:styleId="11">
    <w:name w:val="כותר 1"/>
    <w:basedOn w:val="1"/>
    <w:rsid w:val="008D5B76"/>
    <w:pPr>
      <w:spacing w:after="240" w:line="360" w:lineRule="auto"/>
    </w:pPr>
    <w:rPr>
      <w:rFonts w:ascii="Arial" w:eastAsia="David" w:hAnsi="Arial" w:cs="David"/>
      <w:b/>
      <w:bCs/>
      <w:color w:val="auto"/>
      <w:sz w:val="24"/>
      <w:szCs w:val="24"/>
      <w:u w:val="single"/>
    </w:rPr>
  </w:style>
  <w:style w:type="paragraph" w:customStyle="1" w:styleId="2">
    <w:name w:val="כותר 2"/>
    <w:next w:val="a"/>
    <w:rsid w:val="008D5B76"/>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d">
    <w:name w:val="צטוט"/>
    <w:next w:val="ab"/>
    <w:rsid w:val="008D5B76"/>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8D5B76"/>
    <w:pPr>
      <w:bidi/>
      <w:spacing w:after="120" w:line="360" w:lineRule="auto"/>
      <w:ind w:left="1218"/>
      <w:jc w:val="both"/>
    </w:pPr>
    <w:rPr>
      <w:rFonts w:ascii="David" w:hAnsi="David" w:cs="David"/>
      <w:sz w:val="24"/>
      <w:szCs w:val="24"/>
    </w:rPr>
  </w:style>
  <w:style w:type="paragraph" w:customStyle="1" w:styleId="a0">
    <w:name w:val="מספור אות"/>
    <w:next w:val="-"/>
    <w:rsid w:val="008D5B76"/>
    <w:pPr>
      <w:numPr>
        <w:numId w:val="2"/>
      </w:numPr>
      <w:bidi/>
      <w:spacing w:before="240" w:after="120" w:line="360" w:lineRule="auto"/>
    </w:pPr>
    <w:rPr>
      <w:rFonts w:ascii="David" w:hAnsi="David" w:cs="David"/>
      <w:sz w:val="24"/>
      <w:szCs w:val="24"/>
    </w:rPr>
  </w:style>
  <w:style w:type="paragraph" w:styleId="ac">
    <w:name w:val="List Paragraph"/>
    <w:basedOn w:val="a1"/>
    <w:qFormat/>
    <w:rsid w:val="008D5B76"/>
    <w:pPr>
      <w:ind w:left="720"/>
      <w:contextualSpacing/>
    </w:pPr>
  </w:style>
  <w:style w:type="character" w:customStyle="1" w:styleId="10">
    <w:name w:val="כותרת 1 תו"/>
    <w:link w:val="1"/>
    <w:rsid w:val="008D5B76"/>
    <w:rPr>
      <w:rFonts w:ascii="Calibri Light" w:eastAsia="Times New Roman" w:hAnsi="Calibri Light"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7347635" TargetMode="External"/><Relationship Id="rId39" Type="http://schemas.openxmlformats.org/officeDocument/2006/relationships/header" Target="header2.xml"/><Relationship Id="rId21" Type="http://schemas.openxmlformats.org/officeDocument/2006/relationships/hyperlink" Target="http://www.nevo.co.il/case/5988308"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11269774" TargetMode="External"/><Relationship Id="rId29" Type="http://schemas.openxmlformats.org/officeDocument/2006/relationships/hyperlink" Target="http://www.nevo.co.il/case/2771161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6772988"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230247" TargetMode="External"/><Relationship Id="rId28" Type="http://schemas.openxmlformats.org/officeDocument/2006/relationships/hyperlink" Target="http://www.nevo.co.il/case/26338342" TargetMode="External"/><Relationship Id="rId36" Type="http://schemas.openxmlformats.org/officeDocument/2006/relationships/hyperlink" Target="http://www.nevo.co.il/case/11279253"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8437031" TargetMode="External"/><Relationship Id="rId27" Type="http://schemas.openxmlformats.org/officeDocument/2006/relationships/hyperlink" Target="http://www.nevo.co.il/case/29142360" TargetMode="External"/><Relationship Id="rId30" Type="http://schemas.openxmlformats.org/officeDocument/2006/relationships/hyperlink" Target="http://www.nevo.co.il/case/28045970"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30055845" TargetMode="External"/><Relationship Id="rId33" Type="http://schemas.openxmlformats.org/officeDocument/2006/relationships/hyperlink" Target="http://www.nevo.co.il/case/3023097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2677</Words>
  <Characters>13387</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16032</CharactersWithSpaces>
  <SharedDoc>false</SharedDoc>
  <HLinks>
    <vt:vector size="186" baseType="variant">
      <vt:variant>
        <vt:i4>393283</vt:i4>
      </vt:variant>
      <vt:variant>
        <vt:i4>93</vt:i4>
      </vt:variant>
      <vt:variant>
        <vt:i4>0</vt:i4>
      </vt:variant>
      <vt:variant>
        <vt:i4>5</vt:i4>
      </vt:variant>
      <vt:variant>
        <vt:lpwstr>http://www.nevo.co.il/advertisements/nevo-100.doc</vt:lpwstr>
      </vt:variant>
      <vt:variant>
        <vt:lpwstr/>
      </vt:variant>
      <vt:variant>
        <vt:i4>4128880</vt:i4>
      </vt:variant>
      <vt:variant>
        <vt:i4>87</vt:i4>
      </vt:variant>
      <vt:variant>
        <vt:i4>0</vt:i4>
      </vt:variant>
      <vt:variant>
        <vt:i4>5</vt:i4>
      </vt:variant>
      <vt:variant>
        <vt:lpwstr>http://www.nevo.co.il/case/11279253</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3539070</vt:i4>
      </vt:variant>
      <vt:variant>
        <vt:i4>78</vt:i4>
      </vt:variant>
      <vt:variant>
        <vt:i4>0</vt:i4>
      </vt:variant>
      <vt:variant>
        <vt:i4>5</vt:i4>
      </vt:variant>
      <vt:variant>
        <vt:lpwstr>http://www.nevo.co.il/case/30230971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3145841</vt:i4>
      </vt:variant>
      <vt:variant>
        <vt:i4>69</vt:i4>
      </vt:variant>
      <vt:variant>
        <vt:i4>0</vt:i4>
      </vt:variant>
      <vt:variant>
        <vt:i4>5</vt:i4>
      </vt:variant>
      <vt:variant>
        <vt:lpwstr>http://www.nevo.co.il/case/28045970</vt:lpwstr>
      </vt:variant>
      <vt:variant>
        <vt:lpwstr/>
      </vt:variant>
      <vt:variant>
        <vt:i4>3473524</vt:i4>
      </vt:variant>
      <vt:variant>
        <vt:i4>66</vt:i4>
      </vt:variant>
      <vt:variant>
        <vt:i4>0</vt:i4>
      </vt:variant>
      <vt:variant>
        <vt:i4>5</vt:i4>
      </vt:variant>
      <vt:variant>
        <vt:lpwstr>http://www.nevo.co.il/case/27711613</vt:lpwstr>
      </vt:variant>
      <vt:variant>
        <vt:lpwstr/>
      </vt:variant>
      <vt:variant>
        <vt:i4>3997810</vt:i4>
      </vt:variant>
      <vt:variant>
        <vt:i4>63</vt:i4>
      </vt:variant>
      <vt:variant>
        <vt:i4>0</vt:i4>
      </vt:variant>
      <vt:variant>
        <vt:i4>5</vt:i4>
      </vt:variant>
      <vt:variant>
        <vt:lpwstr>http://www.nevo.co.il/case/26338342</vt:lpwstr>
      </vt:variant>
      <vt:variant>
        <vt:lpwstr/>
      </vt:variant>
      <vt:variant>
        <vt:i4>3604602</vt:i4>
      </vt:variant>
      <vt:variant>
        <vt:i4>60</vt:i4>
      </vt:variant>
      <vt:variant>
        <vt:i4>0</vt:i4>
      </vt:variant>
      <vt:variant>
        <vt:i4>5</vt:i4>
      </vt:variant>
      <vt:variant>
        <vt:lpwstr>http://www.nevo.co.il/case/29142360</vt:lpwstr>
      </vt:variant>
      <vt:variant>
        <vt:lpwstr/>
      </vt:variant>
      <vt:variant>
        <vt:i4>3473521</vt:i4>
      </vt:variant>
      <vt:variant>
        <vt:i4>57</vt:i4>
      </vt:variant>
      <vt:variant>
        <vt:i4>0</vt:i4>
      </vt:variant>
      <vt:variant>
        <vt:i4>5</vt:i4>
      </vt:variant>
      <vt:variant>
        <vt:lpwstr>http://www.nevo.co.il/case/27347635</vt:lpwstr>
      </vt:variant>
      <vt:variant>
        <vt:lpwstr/>
      </vt:variant>
      <vt:variant>
        <vt:i4>3276921</vt:i4>
      </vt:variant>
      <vt:variant>
        <vt:i4>54</vt:i4>
      </vt:variant>
      <vt:variant>
        <vt:i4>0</vt:i4>
      </vt:variant>
      <vt:variant>
        <vt:i4>5</vt:i4>
      </vt:variant>
      <vt:variant>
        <vt:lpwstr>http://www.nevo.co.il/case/30055845</vt:lpwstr>
      </vt:variant>
      <vt:variant>
        <vt:lpwstr/>
      </vt:variant>
      <vt:variant>
        <vt:i4>4128892</vt:i4>
      </vt:variant>
      <vt:variant>
        <vt:i4>51</vt:i4>
      </vt:variant>
      <vt:variant>
        <vt:i4>0</vt:i4>
      </vt:variant>
      <vt:variant>
        <vt:i4>5</vt:i4>
      </vt:variant>
      <vt:variant>
        <vt:lpwstr>http://www.nevo.co.il/case/26772988</vt:lpwstr>
      </vt:variant>
      <vt:variant>
        <vt:lpwstr/>
      </vt:variant>
      <vt:variant>
        <vt:i4>3407987</vt:i4>
      </vt:variant>
      <vt:variant>
        <vt:i4>48</vt:i4>
      </vt:variant>
      <vt:variant>
        <vt:i4>0</vt:i4>
      </vt:variant>
      <vt:variant>
        <vt:i4>5</vt:i4>
      </vt:variant>
      <vt:variant>
        <vt:lpwstr>http://www.nevo.co.il/case/26230247</vt:lpwstr>
      </vt:variant>
      <vt:variant>
        <vt:lpwstr/>
      </vt:variant>
      <vt:variant>
        <vt:i4>3276927</vt:i4>
      </vt:variant>
      <vt:variant>
        <vt:i4>45</vt:i4>
      </vt:variant>
      <vt:variant>
        <vt:i4>0</vt:i4>
      </vt:variant>
      <vt:variant>
        <vt:i4>5</vt:i4>
      </vt:variant>
      <vt:variant>
        <vt:lpwstr>http://www.nevo.co.il/case/28437031</vt:lpwstr>
      </vt:variant>
      <vt:variant>
        <vt:lpwstr/>
      </vt:variant>
      <vt:variant>
        <vt:i4>3539061</vt:i4>
      </vt:variant>
      <vt:variant>
        <vt:i4>42</vt:i4>
      </vt:variant>
      <vt:variant>
        <vt:i4>0</vt:i4>
      </vt:variant>
      <vt:variant>
        <vt:i4>5</vt:i4>
      </vt:variant>
      <vt:variant>
        <vt:lpwstr>http://www.nevo.co.il/case/5988308</vt:lpwstr>
      </vt:variant>
      <vt:variant>
        <vt:lpwstr/>
      </vt:variant>
      <vt:variant>
        <vt:i4>3997812</vt:i4>
      </vt:variant>
      <vt:variant>
        <vt:i4>39</vt:i4>
      </vt:variant>
      <vt:variant>
        <vt:i4>0</vt:i4>
      </vt:variant>
      <vt:variant>
        <vt:i4>5</vt:i4>
      </vt:variant>
      <vt:variant>
        <vt:lpwstr>http://www.nevo.co.il/case/11269774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44174</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יאסין אבו עסא</vt:lpwstr>
  </property>
  <property fmtid="{D5CDD505-2E9C-101B-9397-08002B2CF9AE}" pid="10" name="LAWYER">
    <vt:lpwstr>אבנר שמש</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20241028</vt:lpwstr>
  </property>
  <property fmtid="{D5CDD505-2E9C-101B-9397-08002B2CF9AE}" pid="14" name="TYPE_N_DATE">
    <vt:lpwstr>38020241028</vt:lpwstr>
  </property>
  <property fmtid="{D5CDD505-2E9C-101B-9397-08002B2CF9AE}" pid="15" name="WORDNUMPAGES">
    <vt:lpwstr>10</vt:lpwstr>
  </property>
  <property fmtid="{D5CDD505-2E9C-101B-9397-08002B2CF9AE}" pid="16" name="TYPE_ABS_DATE">
    <vt:lpwstr>380020241028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11269774;5988308;28437031;26230247;26772988;30055845;27347635;29142360;26338342;27711613;28045970;30230971;11279253</vt:lpwstr>
  </property>
  <property fmtid="{D5CDD505-2E9C-101B-9397-08002B2CF9AE}" pid="36" name="LAWLISTTMP1">
    <vt:lpwstr>4216/006</vt:lpwstr>
  </property>
  <property fmtid="{D5CDD505-2E9C-101B-9397-08002B2CF9AE}" pid="37" name="LAWLISTTMP2">
    <vt:lpwstr>70301/040c.a;040b;040i;40ja</vt:lpwstr>
  </property>
</Properties>
</file>