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3973E" w14:textId="77777777" w:rsidR="007A2C97" w:rsidRPr="00B2181B" w:rsidRDefault="007A2C97" w:rsidP="007A2C97">
      <w:pPr>
        <w:pStyle w:val="a4"/>
        <w:jc w:val="center"/>
        <w:rPr>
          <w:rFonts w:ascii="Tahoma" w:hAnsi="Tahoma" w:cs="Tahoma"/>
          <w:b/>
          <w:bCs/>
          <w:color w:val="000080"/>
          <w:sz w:val="24"/>
          <w:szCs w:val="24"/>
        </w:rPr>
      </w:pPr>
      <w:bookmarkStart w:id="0" w:name="LastJudge"/>
      <w:r w:rsidRPr="00B2181B">
        <w:rPr>
          <w:rFonts w:ascii="Tahoma" w:hAnsi="Tahoma" w:cs="Tahoma"/>
          <w:b/>
          <w:bCs/>
          <w:noProof w:val="0"/>
          <w:color w:val="000080"/>
          <w:sz w:val="24"/>
          <w:szCs w:val="24"/>
          <w:rtl/>
        </w:rPr>
        <w:t>בית משפט השלום בקריית גת</w:t>
      </w:r>
    </w:p>
    <w:p w14:paraId="607DD6E6" w14:textId="77777777" w:rsidR="007A2C97" w:rsidRPr="0066689D" w:rsidRDefault="007A2C97" w:rsidP="007A2C97">
      <w:r w:rsidRPr="0066689D">
        <w:pict w14:anchorId="6A60CB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העתק החלטה"/>
            <w10:wrap anchorx="margin" anchory="margin"/>
          </v:shape>
        </w:pict>
      </w:r>
    </w:p>
    <w:p w14:paraId="56AA2A4B" w14:textId="77777777" w:rsidR="007A2C97" w:rsidRPr="00B2181B" w:rsidRDefault="007A2C97" w:rsidP="00B2181B">
      <w:pPr>
        <w:spacing w:before="120" w:after="120" w:line="240" w:lineRule="exact"/>
        <w:rPr>
          <w:rFonts w:ascii="David" w:hAnsi="David"/>
          <w:b/>
          <w:bCs/>
          <w:sz w:val="26"/>
          <w:szCs w:val="26"/>
          <w:rtl/>
        </w:rPr>
      </w:pPr>
      <w:r w:rsidRPr="00B2181B">
        <w:rPr>
          <w:rFonts w:ascii="David" w:hAnsi="David"/>
          <w:b/>
          <w:bCs/>
          <w:sz w:val="26"/>
          <w:szCs w:val="26"/>
          <w:rtl/>
        </w:rPr>
        <w:t>ת"פ 47080-05-21 מדינת ישראל נ' פרץ</w:t>
      </w:r>
    </w:p>
    <w:p w14:paraId="592558EF" w14:textId="77777777" w:rsidR="007A2C97" w:rsidRPr="00B2181B" w:rsidRDefault="007A2C97" w:rsidP="00B2181B">
      <w:pPr>
        <w:spacing w:before="120" w:after="120" w:line="240" w:lineRule="exact"/>
        <w:rPr>
          <w:rFonts w:ascii="David" w:hAnsi="David"/>
          <w:b/>
          <w:bCs/>
          <w:sz w:val="26"/>
          <w:szCs w:val="26"/>
          <w:rtl/>
        </w:rPr>
      </w:pPr>
    </w:p>
    <w:p w14:paraId="08D1B2ED" w14:textId="77777777" w:rsidR="007A2C97" w:rsidRPr="00B2181B" w:rsidRDefault="007A2C97" w:rsidP="00B2181B">
      <w:pPr>
        <w:spacing w:before="120" w:after="120" w:line="240" w:lineRule="exact"/>
        <w:rPr>
          <w:rFonts w:ascii="David" w:hAnsi="David"/>
          <w:b/>
          <w:bCs/>
          <w:sz w:val="26"/>
          <w:szCs w:val="26"/>
          <w:rtl/>
        </w:rPr>
      </w:pPr>
      <w:r w:rsidRPr="00B2181B">
        <w:rPr>
          <w:rFonts w:ascii="David" w:hAnsi="David"/>
          <w:b/>
          <w:bCs/>
          <w:sz w:val="26"/>
          <w:szCs w:val="26"/>
          <w:rtl/>
        </w:rPr>
        <w:t xml:space="preserve">לפני כב' השופטת בכירה נגה שמואלי-מאייר </w:t>
      </w:r>
    </w:p>
    <w:p w14:paraId="6FC9E95D" w14:textId="77777777" w:rsidR="007A2C97" w:rsidRPr="00B2181B" w:rsidRDefault="007A2C97" w:rsidP="00B2181B">
      <w:pPr>
        <w:spacing w:before="120" w:after="120" w:line="240" w:lineRule="exact"/>
        <w:rPr>
          <w:rFonts w:ascii="David" w:hAnsi="David"/>
          <w:b/>
          <w:bCs/>
          <w:sz w:val="26"/>
          <w:szCs w:val="26"/>
          <w:rtl/>
        </w:rPr>
      </w:pPr>
    </w:p>
    <w:tbl>
      <w:tblPr>
        <w:bidiVisual/>
        <w:tblW w:w="8820" w:type="dxa"/>
        <w:jc w:val="center"/>
        <w:tblLook w:val="01E0" w:firstRow="1" w:lastRow="1" w:firstColumn="1" w:lastColumn="1" w:noHBand="0" w:noVBand="0"/>
      </w:tblPr>
      <w:tblGrid>
        <w:gridCol w:w="6690"/>
        <w:gridCol w:w="2130"/>
      </w:tblGrid>
      <w:tr w:rsidR="0043359C" w:rsidRPr="00B2181B" w14:paraId="31F78CC5" w14:textId="77777777" w:rsidTr="00BD1B8C">
        <w:trPr>
          <w:jc w:val="center"/>
        </w:trPr>
        <w:tc>
          <w:tcPr>
            <w:tcW w:w="6690" w:type="dxa"/>
          </w:tcPr>
          <w:p w14:paraId="300A88A0" w14:textId="77777777" w:rsidR="0043359C" w:rsidRPr="00B2181B" w:rsidRDefault="0043359C" w:rsidP="00B2181B">
            <w:pPr>
              <w:spacing w:before="120" w:after="120" w:line="240" w:lineRule="exact"/>
              <w:rPr>
                <w:rFonts w:ascii="David" w:hAnsi="David"/>
                <w:b/>
                <w:bCs/>
                <w:sz w:val="26"/>
                <w:szCs w:val="26"/>
              </w:rPr>
            </w:pPr>
            <w:bookmarkStart w:id="1" w:name="FirstAppellant"/>
            <w:bookmarkStart w:id="2" w:name="FirstLawyer"/>
            <w:r w:rsidRPr="00B2181B">
              <w:rPr>
                <w:rFonts w:ascii="David" w:hAnsi="David"/>
                <w:b/>
                <w:bCs/>
                <w:sz w:val="26"/>
                <w:szCs w:val="26"/>
                <w:rtl/>
              </w:rPr>
              <w:t>מדינת ישראל</w:t>
            </w:r>
          </w:p>
          <w:p w14:paraId="1F283513" w14:textId="77777777" w:rsidR="0043359C" w:rsidRPr="00B2181B" w:rsidRDefault="0043359C" w:rsidP="00B2181B">
            <w:pPr>
              <w:spacing w:before="120" w:after="120" w:line="240" w:lineRule="exact"/>
              <w:rPr>
                <w:rFonts w:ascii="David" w:hAnsi="David"/>
                <w:b/>
                <w:bCs/>
                <w:sz w:val="26"/>
                <w:szCs w:val="26"/>
                <w:rtl/>
              </w:rPr>
            </w:pPr>
            <w:r w:rsidRPr="00B2181B">
              <w:rPr>
                <w:rFonts w:ascii="David" w:hAnsi="David"/>
                <w:b/>
                <w:bCs/>
                <w:sz w:val="26"/>
                <w:szCs w:val="26"/>
                <w:rtl/>
              </w:rPr>
              <w:t xml:space="preserve">ע"י ב"כ עוה"ד ליטל נאווי ועוה"ד לימור כהן-גולן – נוכחות </w:t>
            </w:r>
          </w:p>
        </w:tc>
        <w:tc>
          <w:tcPr>
            <w:tcW w:w="2130" w:type="dxa"/>
          </w:tcPr>
          <w:p w14:paraId="6488D04C" w14:textId="77777777" w:rsidR="0043359C" w:rsidRPr="00B2181B" w:rsidRDefault="0043359C" w:rsidP="00B2181B">
            <w:pPr>
              <w:bidi w:val="0"/>
              <w:spacing w:before="120" w:after="120" w:line="240" w:lineRule="exact"/>
              <w:jc w:val="right"/>
              <w:rPr>
                <w:rFonts w:ascii="David" w:hAnsi="David"/>
                <w:b/>
                <w:bCs/>
                <w:sz w:val="26"/>
                <w:szCs w:val="26"/>
                <w:rtl/>
              </w:rPr>
            </w:pPr>
            <w:r w:rsidRPr="00B2181B">
              <w:rPr>
                <w:rFonts w:ascii="David" w:hAnsi="David"/>
                <w:b/>
                <w:bCs/>
                <w:sz w:val="26"/>
                <w:szCs w:val="26"/>
                <w:rtl/>
              </w:rPr>
              <w:t>המאשימה</w:t>
            </w:r>
          </w:p>
          <w:p w14:paraId="6FABEEDD" w14:textId="77777777" w:rsidR="0043359C" w:rsidRPr="00B2181B" w:rsidRDefault="0043359C" w:rsidP="00B2181B">
            <w:pPr>
              <w:spacing w:before="120" w:after="120" w:line="240" w:lineRule="exact"/>
              <w:jc w:val="right"/>
              <w:rPr>
                <w:rFonts w:ascii="David" w:hAnsi="David"/>
                <w:b/>
                <w:bCs/>
                <w:sz w:val="26"/>
                <w:szCs w:val="26"/>
                <w:rtl/>
              </w:rPr>
            </w:pPr>
          </w:p>
        </w:tc>
      </w:tr>
      <w:bookmarkEnd w:id="1"/>
      <w:bookmarkEnd w:id="2"/>
      <w:tr w:rsidR="0043359C" w:rsidRPr="00B2181B" w14:paraId="35C6D148" w14:textId="77777777" w:rsidTr="00BD1B8C">
        <w:trPr>
          <w:jc w:val="center"/>
        </w:trPr>
        <w:tc>
          <w:tcPr>
            <w:tcW w:w="8820" w:type="dxa"/>
            <w:gridSpan w:val="2"/>
          </w:tcPr>
          <w:p w14:paraId="00E03E68" w14:textId="77777777" w:rsidR="0043359C" w:rsidRPr="00B2181B" w:rsidRDefault="0043359C" w:rsidP="00B2181B">
            <w:pPr>
              <w:spacing w:before="240" w:after="240" w:line="240" w:lineRule="exact"/>
              <w:jc w:val="center"/>
              <w:rPr>
                <w:rFonts w:ascii="David" w:hAnsi="David"/>
                <w:b/>
                <w:bCs/>
                <w:sz w:val="26"/>
                <w:szCs w:val="26"/>
                <w:rtl/>
              </w:rPr>
            </w:pPr>
            <w:r w:rsidRPr="00B2181B">
              <w:rPr>
                <w:rFonts w:ascii="David" w:hAnsi="David"/>
                <w:b/>
                <w:bCs/>
                <w:sz w:val="26"/>
                <w:szCs w:val="26"/>
                <w:rtl/>
              </w:rPr>
              <w:t>נ ג ד</w:t>
            </w:r>
          </w:p>
        </w:tc>
      </w:tr>
      <w:tr w:rsidR="0043359C" w:rsidRPr="00B2181B" w14:paraId="595311D0" w14:textId="77777777" w:rsidTr="00BD1B8C">
        <w:trPr>
          <w:jc w:val="center"/>
        </w:trPr>
        <w:tc>
          <w:tcPr>
            <w:tcW w:w="6690" w:type="dxa"/>
          </w:tcPr>
          <w:p w14:paraId="27578529" w14:textId="77777777" w:rsidR="0043359C" w:rsidRPr="00B2181B" w:rsidRDefault="0043359C" w:rsidP="00B2181B">
            <w:pPr>
              <w:spacing w:before="120" w:after="120" w:line="240" w:lineRule="exact"/>
              <w:rPr>
                <w:rFonts w:ascii="David" w:hAnsi="David"/>
                <w:b/>
                <w:bCs/>
                <w:sz w:val="26"/>
                <w:szCs w:val="26"/>
              </w:rPr>
            </w:pPr>
            <w:r w:rsidRPr="00B2181B">
              <w:rPr>
                <w:rFonts w:ascii="David" w:hAnsi="David"/>
                <w:b/>
                <w:bCs/>
                <w:sz w:val="26"/>
                <w:szCs w:val="26"/>
                <w:rtl/>
              </w:rPr>
              <w:t xml:space="preserve">איתי דוד פרץ – נוכח </w:t>
            </w:r>
          </w:p>
          <w:p w14:paraId="639C3834" w14:textId="77777777" w:rsidR="0043359C" w:rsidRPr="00B2181B" w:rsidRDefault="0043359C" w:rsidP="00B2181B">
            <w:pPr>
              <w:spacing w:before="120" w:after="120" w:line="240" w:lineRule="exact"/>
              <w:rPr>
                <w:rFonts w:ascii="David" w:hAnsi="David"/>
                <w:b/>
                <w:bCs/>
                <w:sz w:val="26"/>
                <w:szCs w:val="26"/>
              </w:rPr>
            </w:pPr>
            <w:r w:rsidRPr="00B2181B">
              <w:rPr>
                <w:rFonts w:ascii="David" w:hAnsi="David"/>
                <w:b/>
                <w:bCs/>
                <w:sz w:val="26"/>
                <w:szCs w:val="26"/>
                <w:rtl/>
              </w:rPr>
              <w:t xml:space="preserve">ע"י ב"כ עו"ד רון בן שבת – נוכח </w:t>
            </w:r>
          </w:p>
        </w:tc>
        <w:tc>
          <w:tcPr>
            <w:tcW w:w="2130" w:type="dxa"/>
          </w:tcPr>
          <w:p w14:paraId="7B251993" w14:textId="77777777" w:rsidR="0043359C" w:rsidRPr="00B2181B" w:rsidRDefault="0043359C" w:rsidP="00B2181B">
            <w:pPr>
              <w:spacing w:before="120" w:after="120" w:line="240" w:lineRule="exact"/>
              <w:jc w:val="right"/>
              <w:rPr>
                <w:rFonts w:ascii="David" w:hAnsi="David"/>
                <w:b/>
                <w:bCs/>
                <w:sz w:val="26"/>
                <w:szCs w:val="26"/>
                <w:rtl/>
              </w:rPr>
            </w:pPr>
            <w:r w:rsidRPr="00B2181B">
              <w:rPr>
                <w:rFonts w:ascii="David" w:hAnsi="David"/>
                <w:b/>
                <w:bCs/>
                <w:sz w:val="26"/>
                <w:szCs w:val="26"/>
                <w:rtl/>
              </w:rPr>
              <w:t>הנאשם</w:t>
            </w:r>
          </w:p>
        </w:tc>
      </w:tr>
    </w:tbl>
    <w:p w14:paraId="62DF4AAD" w14:textId="77777777" w:rsidR="0043359C" w:rsidRPr="0066689D" w:rsidRDefault="0043359C" w:rsidP="00F12608">
      <w:pPr>
        <w:spacing w:line="360" w:lineRule="auto"/>
        <w:rPr>
          <w:rFonts w:ascii="David" w:hAnsi="David" w:hint="cs"/>
          <w:b/>
          <w:bCs/>
          <w:sz w:val="28"/>
          <w:szCs w:val="28"/>
          <w:rtl/>
        </w:rPr>
      </w:pPr>
    </w:p>
    <w:p w14:paraId="2B40C131" w14:textId="77777777" w:rsidR="007A2C97" w:rsidRDefault="007A2C97" w:rsidP="00CC60E1">
      <w:pPr>
        <w:spacing w:line="360" w:lineRule="auto"/>
        <w:rPr>
          <w:rFonts w:ascii="David" w:hAnsi="David" w:hint="cs"/>
          <w:sz w:val="28"/>
          <w:szCs w:val="28"/>
          <w:rtl/>
        </w:rPr>
      </w:pPr>
    </w:p>
    <w:p w14:paraId="6E402F51" w14:textId="77777777" w:rsidR="00B2181B" w:rsidRPr="00B2181B" w:rsidRDefault="00B2181B" w:rsidP="00B2181B">
      <w:pPr>
        <w:spacing w:before="120" w:after="120" w:line="240" w:lineRule="exact"/>
        <w:ind w:left="283" w:hanging="283"/>
        <w:jc w:val="both"/>
        <w:rPr>
          <w:rFonts w:ascii="FrankRuehl" w:hAnsi="FrankRuehl" w:cs="FrankRuehl"/>
          <w:rtl/>
        </w:rPr>
      </w:pPr>
      <w:bookmarkStart w:id="3" w:name="LawTable"/>
      <w:bookmarkEnd w:id="3"/>
    </w:p>
    <w:p w14:paraId="2F64314F" w14:textId="77777777" w:rsidR="00B2181B" w:rsidRPr="00B2181B" w:rsidRDefault="00B2181B" w:rsidP="00B2181B">
      <w:pPr>
        <w:spacing w:before="120" w:after="120" w:line="240" w:lineRule="exact"/>
        <w:ind w:left="283" w:hanging="283"/>
        <w:jc w:val="both"/>
        <w:rPr>
          <w:rFonts w:ascii="FrankRuehl" w:hAnsi="FrankRuehl" w:cs="FrankRuehl"/>
          <w:rtl/>
        </w:rPr>
      </w:pPr>
      <w:r w:rsidRPr="00B2181B">
        <w:rPr>
          <w:rFonts w:ascii="FrankRuehl" w:hAnsi="FrankRuehl" w:cs="FrankRuehl"/>
          <w:rtl/>
        </w:rPr>
        <w:t xml:space="preserve">חקיקה שאוזכרה: </w:t>
      </w:r>
    </w:p>
    <w:p w14:paraId="31C47958" w14:textId="77777777" w:rsidR="00B2181B" w:rsidRPr="00B2181B" w:rsidRDefault="00B2181B" w:rsidP="00B2181B">
      <w:pPr>
        <w:spacing w:before="120" w:after="120" w:line="240" w:lineRule="exact"/>
        <w:ind w:left="283" w:hanging="283"/>
        <w:jc w:val="both"/>
        <w:rPr>
          <w:rFonts w:ascii="FrankRuehl" w:hAnsi="FrankRuehl" w:cs="FrankRuehl"/>
          <w:color w:val="0000FF"/>
          <w:rtl/>
        </w:rPr>
      </w:pPr>
      <w:hyperlink r:id="rId7" w:history="1">
        <w:r w:rsidRPr="00B2181B">
          <w:rPr>
            <w:rStyle w:val="Hyperlink"/>
            <w:rFonts w:ascii="FrankRuehl" w:hAnsi="FrankRuehl" w:cs="FrankRuehl"/>
            <w:u w:val="none"/>
            <w:rtl/>
          </w:rPr>
          <w:t>פקודת הסמים המסוכנים [נוסח חדש], תשל"ג-1973</w:t>
        </w:r>
      </w:hyperlink>
      <w:r w:rsidRPr="00B2181B">
        <w:rPr>
          <w:rFonts w:ascii="FrankRuehl" w:hAnsi="FrankRuehl" w:cs="FrankRuehl"/>
          <w:color w:val="0000FF"/>
          <w:rtl/>
        </w:rPr>
        <w:t xml:space="preserve">: סע'  </w:t>
      </w:r>
      <w:hyperlink r:id="rId8" w:history="1">
        <w:r w:rsidRPr="00B2181B">
          <w:rPr>
            <w:rStyle w:val="Hyperlink"/>
            <w:rFonts w:ascii="FrankRuehl" w:hAnsi="FrankRuehl" w:cs="FrankRuehl"/>
            <w:u w:val="none"/>
          </w:rPr>
          <w:t>7.</w:t>
        </w:r>
        <w:r w:rsidRPr="00B2181B">
          <w:rPr>
            <w:rStyle w:val="Hyperlink"/>
            <w:rFonts w:ascii="FrankRuehl" w:hAnsi="FrankRuehl" w:cs="FrankRuehl"/>
            <w:u w:val="none"/>
            <w:rtl/>
          </w:rPr>
          <w:t>א</w:t>
        </w:r>
        <w:r w:rsidRPr="00B2181B">
          <w:rPr>
            <w:rStyle w:val="Hyperlink"/>
            <w:rFonts w:ascii="FrankRuehl" w:hAnsi="FrankRuehl" w:cs="FrankRuehl"/>
            <w:u w:val="none"/>
          </w:rPr>
          <w:t>.</w:t>
        </w:r>
      </w:hyperlink>
      <w:r w:rsidRPr="00B2181B">
        <w:rPr>
          <w:rFonts w:ascii="FrankRuehl" w:hAnsi="FrankRuehl" w:cs="FrankRuehl"/>
          <w:color w:val="0000FF"/>
          <w:rtl/>
        </w:rPr>
        <w:t xml:space="preserve">, </w:t>
      </w:r>
      <w:hyperlink r:id="rId9" w:history="1">
        <w:r w:rsidRPr="00B2181B">
          <w:rPr>
            <w:rStyle w:val="Hyperlink"/>
            <w:rFonts w:ascii="FrankRuehl" w:hAnsi="FrankRuehl" w:cs="FrankRuehl"/>
            <w:u w:val="none"/>
          </w:rPr>
          <w:t>7.</w:t>
        </w:r>
        <w:r w:rsidRPr="00B2181B">
          <w:rPr>
            <w:rStyle w:val="Hyperlink"/>
            <w:rFonts w:ascii="FrankRuehl" w:hAnsi="FrankRuehl" w:cs="FrankRuehl"/>
            <w:u w:val="none"/>
            <w:rtl/>
          </w:rPr>
          <w:t>ג</w:t>
        </w:r>
      </w:hyperlink>
    </w:p>
    <w:p w14:paraId="596FF00C" w14:textId="77777777" w:rsidR="00B2181B" w:rsidRPr="00B2181B" w:rsidRDefault="00B2181B" w:rsidP="00B2181B">
      <w:pPr>
        <w:spacing w:before="120" w:after="120" w:line="240" w:lineRule="exact"/>
        <w:ind w:left="283" w:hanging="283"/>
        <w:jc w:val="both"/>
        <w:rPr>
          <w:rFonts w:ascii="FrankRuehl" w:hAnsi="FrankRuehl" w:cs="FrankRuehl"/>
          <w:color w:val="0000FF"/>
          <w:rtl/>
        </w:rPr>
      </w:pPr>
      <w:hyperlink r:id="rId10" w:history="1">
        <w:r w:rsidRPr="00B2181B">
          <w:rPr>
            <w:rStyle w:val="Hyperlink"/>
            <w:rFonts w:ascii="FrankRuehl" w:hAnsi="FrankRuehl" w:cs="FrankRuehl"/>
            <w:u w:val="none"/>
            <w:rtl/>
          </w:rPr>
          <w:t>פקודת התעבורה [נוסח חדש</w:t>
        </w:r>
        <w:r w:rsidRPr="00B2181B">
          <w:rPr>
            <w:rStyle w:val="Hyperlink"/>
            <w:rFonts w:ascii="FrankRuehl" w:hAnsi="FrankRuehl" w:cs="FrankRuehl"/>
            <w:u w:val="none"/>
          </w:rPr>
          <w:t>]</w:t>
        </w:r>
      </w:hyperlink>
      <w:r w:rsidRPr="00B2181B">
        <w:rPr>
          <w:rFonts w:ascii="FrankRuehl" w:hAnsi="FrankRuehl" w:cs="FrankRuehl"/>
          <w:color w:val="0000FF"/>
          <w:rtl/>
        </w:rPr>
        <w:t xml:space="preserve">: סע'  </w:t>
      </w:r>
      <w:hyperlink r:id="rId11" w:history="1">
        <w:r w:rsidRPr="00B2181B">
          <w:rPr>
            <w:rStyle w:val="Hyperlink"/>
            <w:rFonts w:ascii="FrankRuehl" w:hAnsi="FrankRuehl" w:cs="FrankRuehl"/>
            <w:u w:val="none"/>
          </w:rPr>
          <w:t>62</w:t>
        </w:r>
      </w:hyperlink>
      <w:r w:rsidRPr="00B2181B">
        <w:rPr>
          <w:rFonts w:ascii="FrankRuehl" w:hAnsi="FrankRuehl" w:cs="FrankRuehl"/>
          <w:color w:val="0000FF"/>
          <w:rtl/>
        </w:rPr>
        <w:t>(3)</w:t>
      </w:r>
    </w:p>
    <w:p w14:paraId="3658D659" w14:textId="77777777" w:rsidR="00B2181B" w:rsidRPr="00B2181B" w:rsidRDefault="00B2181B" w:rsidP="00B2181B">
      <w:pPr>
        <w:spacing w:before="120" w:after="120" w:line="240" w:lineRule="exact"/>
        <w:ind w:left="283" w:hanging="283"/>
        <w:jc w:val="both"/>
        <w:rPr>
          <w:rFonts w:ascii="FrankRuehl" w:hAnsi="FrankRuehl" w:cs="FrankRuehl"/>
          <w:color w:val="0000FF"/>
          <w:rtl/>
        </w:rPr>
      </w:pPr>
      <w:hyperlink r:id="rId12" w:history="1">
        <w:r w:rsidRPr="00B2181B">
          <w:rPr>
            <w:rStyle w:val="Hyperlink"/>
            <w:rFonts w:ascii="FrankRuehl" w:hAnsi="FrankRuehl" w:cs="FrankRuehl"/>
            <w:u w:val="none"/>
            <w:rtl/>
          </w:rPr>
          <w:t>חוק העונשין, תשל"ז-1977</w:t>
        </w:r>
      </w:hyperlink>
      <w:r w:rsidRPr="00B2181B">
        <w:rPr>
          <w:rFonts w:ascii="FrankRuehl" w:hAnsi="FrankRuehl" w:cs="FrankRuehl"/>
          <w:color w:val="0000FF"/>
          <w:rtl/>
        </w:rPr>
        <w:t xml:space="preserve">: סע'  </w:t>
      </w:r>
      <w:hyperlink r:id="rId13" w:history="1">
        <w:r w:rsidRPr="00B2181B">
          <w:rPr>
            <w:rStyle w:val="Hyperlink"/>
            <w:rFonts w:ascii="FrankRuehl" w:hAnsi="FrankRuehl" w:cs="FrankRuehl"/>
            <w:u w:val="none"/>
          </w:rPr>
          <w:t>40</w:t>
        </w:r>
        <w:r w:rsidRPr="00B2181B">
          <w:rPr>
            <w:rStyle w:val="Hyperlink"/>
            <w:rFonts w:ascii="FrankRuehl" w:hAnsi="FrankRuehl" w:cs="FrankRuehl"/>
            <w:u w:val="none"/>
            <w:rtl/>
          </w:rPr>
          <w:t>ג</w:t>
        </w:r>
      </w:hyperlink>
      <w:r w:rsidRPr="00B2181B">
        <w:rPr>
          <w:rFonts w:ascii="FrankRuehl" w:hAnsi="FrankRuehl" w:cs="FrankRuehl"/>
          <w:color w:val="0000FF"/>
          <w:rtl/>
        </w:rPr>
        <w:t xml:space="preserve">(א), </w:t>
      </w:r>
      <w:hyperlink r:id="rId14" w:history="1">
        <w:r w:rsidRPr="00B2181B">
          <w:rPr>
            <w:rStyle w:val="Hyperlink"/>
            <w:rFonts w:ascii="FrankRuehl" w:hAnsi="FrankRuehl" w:cs="FrankRuehl"/>
            <w:u w:val="none"/>
          </w:rPr>
          <w:t>40</w:t>
        </w:r>
        <w:r w:rsidRPr="00B2181B">
          <w:rPr>
            <w:rStyle w:val="Hyperlink"/>
            <w:rFonts w:ascii="FrankRuehl" w:hAnsi="FrankRuehl" w:cs="FrankRuehl"/>
            <w:u w:val="none"/>
            <w:rtl/>
          </w:rPr>
          <w:t>ד</w:t>
        </w:r>
      </w:hyperlink>
      <w:r w:rsidRPr="00B2181B">
        <w:rPr>
          <w:rFonts w:ascii="FrankRuehl" w:hAnsi="FrankRuehl" w:cs="FrankRuehl"/>
          <w:color w:val="0000FF"/>
          <w:rtl/>
        </w:rPr>
        <w:t xml:space="preserve">(א), </w:t>
      </w:r>
      <w:hyperlink r:id="rId15" w:history="1">
        <w:r w:rsidRPr="00B2181B">
          <w:rPr>
            <w:rStyle w:val="Hyperlink"/>
            <w:rFonts w:ascii="FrankRuehl" w:hAnsi="FrankRuehl" w:cs="FrankRuehl"/>
            <w:u w:val="none"/>
          </w:rPr>
          <w:t>54</w:t>
        </w:r>
      </w:hyperlink>
      <w:r w:rsidRPr="00B2181B">
        <w:rPr>
          <w:rFonts w:ascii="FrankRuehl" w:hAnsi="FrankRuehl" w:cs="FrankRuehl"/>
          <w:color w:val="0000FF"/>
          <w:rtl/>
        </w:rPr>
        <w:t xml:space="preserve">, </w:t>
      </w:r>
      <w:hyperlink r:id="rId16" w:history="1">
        <w:r w:rsidRPr="00B2181B">
          <w:rPr>
            <w:rStyle w:val="Hyperlink"/>
            <w:rFonts w:ascii="FrankRuehl" w:hAnsi="FrankRuehl" w:cs="FrankRuehl"/>
            <w:u w:val="none"/>
          </w:rPr>
          <w:t>56</w:t>
        </w:r>
      </w:hyperlink>
      <w:r w:rsidRPr="00B2181B">
        <w:rPr>
          <w:rFonts w:ascii="FrankRuehl" w:hAnsi="FrankRuehl" w:cs="FrankRuehl"/>
          <w:color w:val="0000FF"/>
          <w:rtl/>
        </w:rPr>
        <w:t xml:space="preserve">, </w:t>
      </w:r>
      <w:hyperlink r:id="rId17" w:history="1">
        <w:r w:rsidRPr="00B2181B">
          <w:rPr>
            <w:rStyle w:val="Hyperlink"/>
            <w:rFonts w:ascii="FrankRuehl" w:hAnsi="FrankRuehl" w:cs="FrankRuehl"/>
            <w:u w:val="none"/>
          </w:rPr>
          <w:t>56</w:t>
        </w:r>
      </w:hyperlink>
      <w:r w:rsidRPr="00B2181B">
        <w:rPr>
          <w:rFonts w:ascii="FrankRuehl" w:hAnsi="FrankRuehl" w:cs="FrankRuehl"/>
          <w:color w:val="0000FF"/>
          <w:rtl/>
        </w:rPr>
        <w:t>(א)</w:t>
      </w:r>
    </w:p>
    <w:p w14:paraId="0923F3F2" w14:textId="77777777" w:rsidR="00B2181B" w:rsidRDefault="00B2181B" w:rsidP="00B2181B">
      <w:pPr>
        <w:spacing w:before="120" w:after="120" w:line="240" w:lineRule="exact"/>
        <w:ind w:left="283" w:hanging="283"/>
        <w:jc w:val="both"/>
        <w:rPr>
          <w:rFonts w:ascii="FrankRuehl" w:hAnsi="FrankRuehl" w:cs="FrankRuehl" w:hint="cs"/>
          <w:color w:val="0000FF"/>
          <w:rtl/>
        </w:rPr>
      </w:pPr>
      <w:hyperlink r:id="rId18" w:history="1">
        <w:r w:rsidRPr="00B2181B">
          <w:rPr>
            <w:rStyle w:val="Hyperlink"/>
            <w:rFonts w:ascii="FrankRuehl" w:hAnsi="FrankRuehl" w:cs="FrankRuehl"/>
            <w:u w:val="none"/>
            <w:rtl/>
          </w:rPr>
          <w:t>תקנות התעבורה, תשכ"א-1961 - לא מרובדות</w:t>
        </w:r>
      </w:hyperlink>
      <w:r w:rsidRPr="00B2181B">
        <w:rPr>
          <w:rFonts w:ascii="FrankRuehl" w:hAnsi="FrankRuehl" w:cs="FrankRuehl"/>
          <w:color w:val="0000FF"/>
          <w:rtl/>
        </w:rPr>
        <w:t xml:space="preserve">: סע'  </w:t>
      </w:r>
      <w:hyperlink r:id="rId19" w:history="1">
        <w:r w:rsidRPr="00B2181B">
          <w:rPr>
            <w:rStyle w:val="Hyperlink"/>
            <w:rFonts w:ascii="FrankRuehl" w:hAnsi="FrankRuehl" w:cs="FrankRuehl"/>
            <w:u w:val="none"/>
          </w:rPr>
          <w:t xml:space="preserve">26 </w:t>
        </w:r>
      </w:hyperlink>
      <w:r w:rsidRPr="00B2181B">
        <w:rPr>
          <w:rFonts w:ascii="FrankRuehl" w:hAnsi="FrankRuehl" w:cs="FrankRuehl"/>
          <w:color w:val="0000FF"/>
          <w:rtl/>
        </w:rPr>
        <w:t>(2)</w:t>
      </w:r>
    </w:p>
    <w:p w14:paraId="435235B3" w14:textId="77777777" w:rsidR="007C2E7B" w:rsidRDefault="007C2E7B" w:rsidP="00B2181B">
      <w:pPr>
        <w:spacing w:before="120" w:after="120" w:line="240" w:lineRule="exact"/>
        <w:ind w:left="283" w:hanging="283"/>
        <w:jc w:val="both"/>
        <w:rPr>
          <w:rFonts w:ascii="FrankRuehl" w:hAnsi="FrankRuehl" w:cs="FrankRuehl" w:hint="cs"/>
          <w:color w:val="0000FF"/>
          <w:rtl/>
        </w:rPr>
      </w:pPr>
    </w:p>
    <w:p w14:paraId="43E2E300" w14:textId="77777777" w:rsidR="00A72A4B" w:rsidRDefault="00A72A4B" w:rsidP="00A72A4B">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722B6212" w14:textId="77777777" w:rsidR="00A72A4B" w:rsidRDefault="00A72A4B" w:rsidP="00A72A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72A4B">
        <w:rPr>
          <w:rFonts w:cs="FrankRuehl" w:hint="cs"/>
          <w:szCs w:val="26"/>
          <w:rtl/>
        </w:rPr>
        <w:t>בית משפט השלום בקריית גת גזר לנאשם, אשר הורשע על פי הודאתו בהחזקת סם לצריכה עצמית, צו של"צ של 250 שעות, צו מבחן, קנס 2,000 ₪ או 20 ימי מאסר חלף הקנס וכן הורה על חידוש מאסר מותנה שרבץ לחובת הנאשם בשל הרשעה קודמת.</w:t>
      </w:r>
    </w:p>
    <w:p w14:paraId="055E3C09" w14:textId="77777777" w:rsidR="00A72A4B" w:rsidRDefault="00A72A4B" w:rsidP="00A72A4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הארכת תקופת התנאי</w:t>
      </w:r>
    </w:p>
    <w:p w14:paraId="0B31E38A" w14:textId="77777777" w:rsidR="00A72A4B" w:rsidRDefault="00A72A4B" w:rsidP="00A72A4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שיקולים</w:t>
      </w:r>
    </w:p>
    <w:p w14:paraId="13F2D670" w14:textId="77777777" w:rsidR="007C2E7B" w:rsidRPr="00A72A4B" w:rsidRDefault="00A72A4B" w:rsidP="00A72A4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r w:rsidR="007C2E7B" w:rsidRPr="00A72A4B">
        <w:rPr>
          <w:rFonts w:cs="FrankRuehl" w:hint="cs"/>
          <w:szCs w:val="26"/>
          <w:rtl/>
        </w:rPr>
        <w:t xml:space="preserve"> </w:t>
      </w:r>
    </w:p>
    <w:p w14:paraId="66194E18" w14:textId="77777777" w:rsidR="00A72A4B" w:rsidRDefault="00A72A4B" w:rsidP="00A72A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3D5CC87" w14:textId="77777777" w:rsidR="00A72A4B" w:rsidRDefault="007C2E7B" w:rsidP="00A72A4B">
      <w:pPr>
        <w:pBdr>
          <w:top w:val="single" w:sz="4" w:space="1" w:color="auto"/>
          <w:bottom w:val="single" w:sz="4" w:space="1" w:color="auto"/>
        </w:pBdr>
        <w:spacing w:after="120" w:line="320" w:lineRule="exact"/>
        <w:jc w:val="both"/>
        <w:rPr>
          <w:rFonts w:cs="FrankRuehl"/>
          <w:szCs w:val="26"/>
        </w:rPr>
      </w:pPr>
      <w:r w:rsidRPr="00A72A4B">
        <w:rPr>
          <w:rFonts w:cs="FrankRuehl" w:hint="cs"/>
          <w:szCs w:val="26"/>
          <w:rtl/>
        </w:rPr>
        <w:t xml:space="preserve">על פי העובדות שעל בסיסן הורשע, הנאשם נהג ברכבו כאשר הוא תחת השפעת קנאבוס וקוקאין. בחיפוש ברכב נמצא קוקאין במשקל 0.1 גרם. שירות המבחן המליץ להאריך מאסר מותנה שעמד לחובת הנאשם בשל הרשעה קודמת ולהשית עליו של"צ. </w:t>
      </w:r>
    </w:p>
    <w:p w14:paraId="6C1440C4" w14:textId="77777777" w:rsidR="00A72A4B" w:rsidRDefault="00A72A4B" w:rsidP="00A72A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05846E" w14:textId="77777777" w:rsidR="007C2E7B" w:rsidRPr="00A72A4B" w:rsidRDefault="007C2E7B" w:rsidP="00A72A4B">
      <w:pPr>
        <w:pBdr>
          <w:top w:val="single" w:sz="4" w:space="1" w:color="auto"/>
          <w:bottom w:val="single" w:sz="4" w:space="1" w:color="auto"/>
        </w:pBdr>
        <w:spacing w:after="120" w:line="320" w:lineRule="exact"/>
        <w:jc w:val="both"/>
        <w:rPr>
          <w:rFonts w:cs="FrankRuehl"/>
          <w:szCs w:val="26"/>
          <w:rtl/>
        </w:rPr>
      </w:pPr>
      <w:r w:rsidRPr="00A72A4B">
        <w:rPr>
          <w:rFonts w:cs="FrankRuehl" w:hint="cs"/>
          <w:szCs w:val="26"/>
          <w:rtl/>
        </w:rPr>
        <w:t>בית המשפט גזר את העונש כמפורט לעיל וקבע כך:</w:t>
      </w:r>
    </w:p>
    <w:p w14:paraId="4EB65916" w14:textId="77777777" w:rsidR="007C2E7B" w:rsidRPr="00A72A4B" w:rsidRDefault="007C2E7B" w:rsidP="00A72A4B">
      <w:pPr>
        <w:pBdr>
          <w:top w:val="single" w:sz="4" w:space="1" w:color="auto"/>
          <w:bottom w:val="single" w:sz="4" w:space="1" w:color="auto"/>
        </w:pBdr>
        <w:spacing w:after="120" w:line="320" w:lineRule="exact"/>
        <w:jc w:val="both"/>
        <w:rPr>
          <w:rFonts w:cs="FrankRuehl"/>
          <w:szCs w:val="26"/>
          <w:rtl/>
        </w:rPr>
      </w:pPr>
      <w:r w:rsidRPr="00A72A4B">
        <w:rPr>
          <w:rFonts w:cs="FrankRuehl"/>
          <w:szCs w:val="26"/>
          <w:rtl/>
        </w:rPr>
        <w:lastRenderedPageBreak/>
        <w:t xml:space="preserve">נגע הסמים פשה בארצנו כמגיפה </w:t>
      </w:r>
      <w:r w:rsidRPr="00A72A4B">
        <w:rPr>
          <w:rFonts w:cs="FrankRuehl" w:hint="cs"/>
          <w:szCs w:val="26"/>
          <w:rtl/>
        </w:rPr>
        <w:t>ו</w:t>
      </w:r>
      <w:r w:rsidRPr="00A72A4B">
        <w:rPr>
          <w:rFonts w:cs="FrankRuehl"/>
          <w:szCs w:val="26"/>
          <w:rtl/>
        </w:rPr>
        <w:t>בתי המשפט לתרום את חלקם במלחמה בנגע זה באמצעות הטלת עונשים חמורים ומרתיעים</w:t>
      </w:r>
      <w:r w:rsidRPr="00A72A4B">
        <w:rPr>
          <w:rFonts w:cs="FrankRuehl" w:hint="cs"/>
          <w:szCs w:val="26"/>
          <w:rtl/>
        </w:rPr>
        <w:t>.</w:t>
      </w:r>
    </w:p>
    <w:p w14:paraId="448474C3" w14:textId="77777777" w:rsidR="007C2E7B" w:rsidRPr="00A72A4B" w:rsidRDefault="007C2E7B" w:rsidP="00A72A4B">
      <w:pPr>
        <w:pBdr>
          <w:top w:val="single" w:sz="4" w:space="1" w:color="auto"/>
          <w:bottom w:val="single" w:sz="4" w:space="1" w:color="auto"/>
        </w:pBdr>
        <w:spacing w:after="120" w:line="320" w:lineRule="exact"/>
        <w:jc w:val="both"/>
        <w:rPr>
          <w:rFonts w:cs="FrankRuehl"/>
          <w:szCs w:val="26"/>
        </w:rPr>
      </w:pPr>
      <w:r w:rsidRPr="00A72A4B">
        <w:rPr>
          <w:rFonts w:cs="FrankRuehl" w:hint="cs"/>
          <w:szCs w:val="26"/>
          <w:rtl/>
        </w:rPr>
        <w:t xml:space="preserve">במקרה הנדון, מדובר </w:t>
      </w:r>
      <w:r w:rsidRPr="00A72A4B">
        <w:rPr>
          <w:rFonts w:cs="FrankRuehl"/>
          <w:szCs w:val="26"/>
          <w:rtl/>
        </w:rPr>
        <w:t>באירוע בודד ובכמות סם שאינה גבוהה</w:t>
      </w:r>
      <w:r w:rsidRPr="00A72A4B">
        <w:rPr>
          <w:rFonts w:cs="FrankRuehl" w:hint="cs"/>
          <w:szCs w:val="26"/>
          <w:rtl/>
        </w:rPr>
        <w:t>.</w:t>
      </w:r>
      <w:r w:rsidRPr="00A72A4B">
        <w:rPr>
          <w:rFonts w:cs="FrankRuehl"/>
          <w:szCs w:val="26"/>
          <w:rtl/>
        </w:rPr>
        <w:t xml:space="preserve"> מנגד, המדובר בסם מסוג קוקאין</w:t>
      </w:r>
      <w:r w:rsidRPr="00A72A4B">
        <w:rPr>
          <w:rFonts w:cs="FrankRuehl" w:hint="cs"/>
          <w:szCs w:val="26"/>
          <w:rtl/>
        </w:rPr>
        <w:t>, שאינו נמנה על הסמים הקלים.</w:t>
      </w:r>
      <w:r w:rsidRPr="00A72A4B">
        <w:rPr>
          <w:rFonts w:cs="FrankRuehl"/>
          <w:szCs w:val="26"/>
          <w:rtl/>
        </w:rPr>
        <w:t xml:space="preserve"> </w:t>
      </w:r>
      <w:r w:rsidRPr="00A72A4B">
        <w:rPr>
          <w:rFonts w:cs="FrankRuehl" w:hint="cs"/>
          <w:szCs w:val="26"/>
          <w:rtl/>
        </w:rPr>
        <w:t xml:space="preserve">לאור זאת, </w:t>
      </w:r>
      <w:r w:rsidRPr="00A72A4B">
        <w:rPr>
          <w:rFonts w:cs="FrankRuehl"/>
          <w:szCs w:val="26"/>
          <w:rtl/>
        </w:rPr>
        <w:t>מידת הפגיעה בערכים</w:t>
      </w:r>
      <w:r w:rsidRPr="00A72A4B">
        <w:rPr>
          <w:rFonts w:cs="FrankRuehl" w:hint="cs"/>
          <w:szCs w:val="26"/>
          <w:rtl/>
        </w:rPr>
        <w:t xml:space="preserve"> המוגנים</w:t>
      </w:r>
      <w:r w:rsidRPr="00A72A4B">
        <w:rPr>
          <w:rFonts w:cs="FrankRuehl"/>
          <w:szCs w:val="26"/>
          <w:rtl/>
        </w:rPr>
        <w:t xml:space="preserve"> </w:t>
      </w:r>
      <w:r w:rsidRPr="00A72A4B">
        <w:rPr>
          <w:rFonts w:cs="FrankRuehl" w:hint="cs"/>
          <w:szCs w:val="26"/>
          <w:rtl/>
        </w:rPr>
        <w:t>היא</w:t>
      </w:r>
      <w:r w:rsidRPr="00A72A4B">
        <w:rPr>
          <w:rFonts w:cs="FrankRuehl"/>
          <w:szCs w:val="26"/>
          <w:rtl/>
        </w:rPr>
        <w:t xml:space="preserve"> ברף בינוני – נמוך. </w:t>
      </w:r>
    </w:p>
    <w:p w14:paraId="28803987" w14:textId="77777777" w:rsidR="007C2E7B" w:rsidRPr="00A72A4B" w:rsidRDefault="007C2E7B" w:rsidP="00A72A4B">
      <w:pPr>
        <w:pBdr>
          <w:top w:val="single" w:sz="4" w:space="1" w:color="auto"/>
          <w:bottom w:val="single" w:sz="4" w:space="1" w:color="auto"/>
        </w:pBdr>
        <w:spacing w:after="120" w:line="320" w:lineRule="exact"/>
        <w:jc w:val="both"/>
        <w:rPr>
          <w:rFonts w:cs="FrankRuehl"/>
          <w:szCs w:val="26"/>
          <w:rtl/>
        </w:rPr>
      </w:pPr>
      <w:r w:rsidRPr="00A72A4B">
        <w:rPr>
          <w:rFonts w:cs="FrankRuehl"/>
          <w:szCs w:val="26"/>
          <w:rtl/>
        </w:rPr>
        <w:t>סקירת הפסיקה מלמדת כי במקרים שבהם דובר בנאשמים שהחזיקו לצריכתם העצמית, הן סם מסוג חשיש או קנבוס והן סם מסוג קוקאין בכמויות הדומות לעניינינו נקבעו מתחמי ענישה הנעים בין מאסר מותנה לבין עונשי מאסר שאורכם נמדד בכמה חודשים</w:t>
      </w:r>
      <w:r w:rsidRPr="00A72A4B">
        <w:rPr>
          <w:rFonts w:cs="FrankRuehl" w:hint="cs"/>
          <w:szCs w:val="26"/>
          <w:rtl/>
        </w:rPr>
        <w:t>. ב</w:t>
      </w:r>
      <w:r w:rsidRPr="00A72A4B">
        <w:rPr>
          <w:rFonts w:cs="FrankRuehl"/>
          <w:szCs w:val="26"/>
          <w:rtl/>
        </w:rPr>
        <w:t>נוגע למדיניות הענישה הנוהגת בעבירה של נהיגה תחת השפעת סמים, סקירת הפסיקה מלמדת כי על דרך הכלל מושתים עונשים בדמות מאסרים מותנים או כמה חודשים  מאסר שניתן לרצותם בעבודות שירות ברף התחתון לבין 12 חודשים מאסר בפועל ברף העליון</w:t>
      </w:r>
      <w:r w:rsidRPr="00A72A4B">
        <w:rPr>
          <w:rFonts w:cs="FrankRuehl" w:hint="cs"/>
          <w:szCs w:val="26"/>
          <w:rtl/>
        </w:rPr>
        <w:t>.</w:t>
      </w:r>
    </w:p>
    <w:p w14:paraId="5A2BBDF8" w14:textId="77777777" w:rsidR="007C2E7B" w:rsidRPr="00A72A4B" w:rsidRDefault="007C2E7B" w:rsidP="00A72A4B">
      <w:pPr>
        <w:pBdr>
          <w:top w:val="single" w:sz="4" w:space="1" w:color="auto"/>
          <w:bottom w:val="single" w:sz="4" w:space="1" w:color="auto"/>
        </w:pBdr>
        <w:spacing w:after="120" w:line="320" w:lineRule="exact"/>
        <w:jc w:val="both"/>
        <w:rPr>
          <w:rFonts w:cs="FrankRuehl"/>
          <w:szCs w:val="26"/>
          <w:rtl/>
        </w:rPr>
      </w:pPr>
      <w:r w:rsidRPr="00A72A4B">
        <w:rPr>
          <w:rFonts w:cs="FrankRuehl"/>
          <w:szCs w:val="26"/>
          <w:rtl/>
        </w:rPr>
        <w:t>ב</w:t>
      </w:r>
      <w:r w:rsidRPr="00A72A4B">
        <w:rPr>
          <w:rFonts w:cs="FrankRuehl" w:hint="cs"/>
          <w:szCs w:val="26"/>
          <w:rtl/>
        </w:rPr>
        <w:t>מקרה הנדון, ב</w:t>
      </w:r>
      <w:r w:rsidRPr="00A72A4B">
        <w:rPr>
          <w:rFonts w:cs="FrankRuehl"/>
          <w:szCs w:val="26"/>
          <w:rtl/>
        </w:rPr>
        <w:t xml:space="preserve">גין מכלול מעשיו של הנאשם מתחם העונש </w:t>
      </w:r>
      <w:r w:rsidRPr="00A72A4B">
        <w:rPr>
          <w:rFonts w:cs="FrankRuehl" w:hint="cs"/>
          <w:szCs w:val="26"/>
          <w:rtl/>
        </w:rPr>
        <w:t>הוא</w:t>
      </w:r>
      <w:r w:rsidRPr="00A72A4B">
        <w:rPr>
          <w:rFonts w:cs="FrankRuehl"/>
          <w:szCs w:val="26"/>
          <w:rtl/>
        </w:rPr>
        <w:t xml:space="preserve"> כמה חודשי מאסר שיכול וירוצו בעבודות שירות </w:t>
      </w:r>
      <w:r w:rsidRPr="00A72A4B">
        <w:rPr>
          <w:rFonts w:cs="FrankRuehl" w:hint="cs"/>
          <w:szCs w:val="26"/>
          <w:rtl/>
        </w:rPr>
        <w:t>ועד</w:t>
      </w:r>
      <w:r w:rsidRPr="00A72A4B">
        <w:rPr>
          <w:rFonts w:cs="FrankRuehl"/>
          <w:szCs w:val="26"/>
          <w:rtl/>
        </w:rPr>
        <w:t xml:space="preserve"> 10 חודשי מאסר בפועל.</w:t>
      </w:r>
    </w:p>
    <w:p w14:paraId="5B23A956" w14:textId="77777777" w:rsidR="007C2E7B" w:rsidRPr="00A72A4B" w:rsidRDefault="007C2E7B" w:rsidP="00A72A4B">
      <w:pPr>
        <w:pBdr>
          <w:top w:val="single" w:sz="4" w:space="1" w:color="auto"/>
          <w:bottom w:val="single" w:sz="4" w:space="1" w:color="auto"/>
        </w:pBdr>
        <w:spacing w:after="120" w:line="320" w:lineRule="exact"/>
        <w:jc w:val="both"/>
        <w:rPr>
          <w:rFonts w:cs="FrankRuehl"/>
          <w:szCs w:val="26"/>
          <w:rtl/>
        </w:rPr>
      </w:pPr>
      <w:r w:rsidRPr="00A72A4B">
        <w:rPr>
          <w:rFonts w:cs="FrankRuehl" w:hint="cs"/>
          <w:szCs w:val="26"/>
          <w:rtl/>
        </w:rPr>
        <w:t xml:space="preserve">שאלת הסטייה לקולה מהמתחם והארכת המאסר המותנה: </w:t>
      </w:r>
      <w:hyperlink r:id="rId20" w:history="1">
        <w:r w:rsidRPr="00A72A4B">
          <w:rPr>
            <w:rFonts w:cs="FrankRuehl" w:hint="cs"/>
            <w:szCs w:val="26"/>
            <w:rtl/>
          </w:rPr>
          <w:t xml:space="preserve">לפי </w:t>
        </w:r>
        <w:r w:rsidRPr="00A72A4B">
          <w:rPr>
            <w:rFonts w:cs="FrankRuehl"/>
            <w:szCs w:val="26"/>
            <w:rtl/>
          </w:rPr>
          <w:t>סעיף 40ד(א)</w:t>
        </w:r>
      </w:hyperlink>
      <w:r w:rsidRPr="00A72A4B">
        <w:rPr>
          <w:rFonts w:cs="FrankRuehl"/>
          <w:szCs w:val="26"/>
          <w:rtl/>
        </w:rPr>
        <w:t xml:space="preserve"> ל</w:t>
      </w:r>
      <w:hyperlink r:id="rId21" w:history="1">
        <w:r w:rsidRPr="00A72A4B">
          <w:rPr>
            <w:rFonts w:cs="FrankRuehl"/>
            <w:szCs w:val="26"/>
            <w:rtl/>
          </w:rPr>
          <w:t>חוק העונשין</w:t>
        </w:r>
      </w:hyperlink>
      <w:r w:rsidRPr="00A72A4B">
        <w:rPr>
          <w:rFonts w:cs="FrankRuehl"/>
          <w:szCs w:val="26"/>
          <w:rtl/>
        </w:rPr>
        <w:t>, מקום שבו מצא בית המשפט כי הנאשם השתקם או כי קיים סיכוי של ממש שישתקם בעתיד, כי אז יהא רשאי לסטות לקולה ממתחם העונש.</w:t>
      </w:r>
      <w:r w:rsidRPr="00A72A4B">
        <w:rPr>
          <w:rFonts w:cs="FrankRuehl" w:hint="cs"/>
          <w:szCs w:val="26"/>
          <w:rtl/>
        </w:rPr>
        <w:t xml:space="preserve"> במקרה הנוכחי </w:t>
      </w:r>
      <w:r w:rsidRPr="00A72A4B">
        <w:rPr>
          <w:rFonts w:cs="FrankRuehl"/>
          <w:szCs w:val="26"/>
          <w:rtl/>
        </w:rPr>
        <w:t xml:space="preserve">יש מקום לסטות לקולה מהמתחם </w:t>
      </w:r>
      <w:r w:rsidRPr="00A72A4B">
        <w:rPr>
          <w:rFonts w:cs="FrankRuehl" w:hint="cs"/>
          <w:szCs w:val="26"/>
          <w:rtl/>
        </w:rPr>
        <w:t>שכן</w:t>
      </w:r>
      <w:r w:rsidRPr="00A72A4B">
        <w:rPr>
          <w:rFonts w:cs="FrankRuehl"/>
          <w:szCs w:val="26"/>
          <w:rtl/>
        </w:rPr>
        <w:t xml:space="preserve"> קיים סיכוי של ממש </w:t>
      </w:r>
      <w:r w:rsidRPr="00A72A4B">
        <w:rPr>
          <w:rFonts w:cs="FrankRuehl" w:hint="cs"/>
          <w:szCs w:val="26"/>
          <w:rtl/>
        </w:rPr>
        <w:t>ש</w:t>
      </w:r>
      <w:r w:rsidRPr="00A72A4B">
        <w:rPr>
          <w:rFonts w:cs="FrankRuehl"/>
          <w:szCs w:val="26"/>
          <w:rtl/>
        </w:rPr>
        <w:t>הנאשם ישתקם בעתיד.</w:t>
      </w:r>
      <w:r w:rsidRPr="00A72A4B">
        <w:rPr>
          <w:rFonts w:cs="FrankRuehl" w:hint="cs"/>
          <w:szCs w:val="26"/>
          <w:rtl/>
        </w:rPr>
        <w:t xml:space="preserve"> בית המשפט ציין כי התרשם </w:t>
      </w:r>
      <w:r w:rsidRPr="00A72A4B">
        <w:rPr>
          <w:rFonts w:cs="FrankRuehl"/>
          <w:szCs w:val="26"/>
          <w:rtl/>
        </w:rPr>
        <w:t xml:space="preserve">מהנאשם ושוכנע כי הלה מכה על חטא ומביע חרטה כנה. כמו כן, ניכר </w:t>
      </w:r>
      <w:r w:rsidRPr="00A72A4B">
        <w:rPr>
          <w:rFonts w:cs="FrankRuehl" w:hint="cs"/>
          <w:szCs w:val="26"/>
          <w:rtl/>
        </w:rPr>
        <w:t>ש</w:t>
      </w:r>
      <w:r w:rsidRPr="00A72A4B">
        <w:rPr>
          <w:rFonts w:cs="FrankRuehl"/>
          <w:szCs w:val="26"/>
          <w:rtl/>
        </w:rPr>
        <w:t xml:space="preserve">ההליכים המשפטיים יצרו השפעה מרתיעה עבורו </w:t>
      </w:r>
      <w:r w:rsidRPr="00A72A4B">
        <w:rPr>
          <w:rFonts w:cs="FrankRuehl" w:hint="cs"/>
          <w:szCs w:val="26"/>
          <w:rtl/>
        </w:rPr>
        <w:t>ו</w:t>
      </w:r>
      <w:r w:rsidRPr="00A72A4B">
        <w:rPr>
          <w:rFonts w:cs="FrankRuehl"/>
          <w:szCs w:val="26"/>
          <w:rtl/>
        </w:rPr>
        <w:t>כי ב</w:t>
      </w:r>
      <w:r w:rsidRPr="00A72A4B">
        <w:rPr>
          <w:rFonts w:cs="FrankRuehl" w:hint="cs"/>
          <w:szCs w:val="26"/>
          <w:rtl/>
        </w:rPr>
        <w:t>זמן שחלף מאז בוצעו העבירות</w:t>
      </w:r>
      <w:r w:rsidRPr="00A72A4B">
        <w:rPr>
          <w:rFonts w:cs="FrankRuehl"/>
          <w:szCs w:val="26"/>
          <w:rtl/>
        </w:rPr>
        <w:t xml:space="preserve"> הנאשם מסר בדיקות שהעידו על ניקיונו מסמים </w:t>
      </w:r>
      <w:r w:rsidRPr="00A72A4B">
        <w:rPr>
          <w:rFonts w:cs="FrankRuehl" w:hint="cs"/>
          <w:szCs w:val="26"/>
          <w:rtl/>
        </w:rPr>
        <w:t>הוא</w:t>
      </w:r>
      <w:r w:rsidRPr="00A72A4B">
        <w:rPr>
          <w:rFonts w:cs="FrankRuehl"/>
          <w:szCs w:val="26"/>
          <w:rtl/>
        </w:rPr>
        <w:t xml:space="preserve"> נמנע לשוב ולהסתבך בפלילים. </w:t>
      </w:r>
      <w:r w:rsidRPr="00A72A4B">
        <w:rPr>
          <w:rFonts w:cs="FrankRuehl" w:hint="cs"/>
          <w:szCs w:val="26"/>
          <w:rtl/>
        </w:rPr>
        <w:t>מדובר על פרק זמן של כארבע שנים מאז בוצעו העבירות.</w:t>
      </w:r>
    </w:p>
    <w:p w14:paraId="022424B5" w14:textId="77777777" w:rsidR="007C2E7B" w:rsidRPr="00A72A4B" w:rsidRDefault="007C2E7B" w:rsidP="00A72A4B">
      <w:pPr>
        <w:pStyle w:val="ListParagraph"/>
        <w:pBdr>
          <w:top w:val="single" w:sz="4" w:space="1" w:color="auto"/>
          <w:bottom w:val="single" w:sz="4" w:space="1" w:color="auto"/>
        </w:pBdr>
        <w:spacing w:after="120" w:line="320" w:lineRule="exact"/>
        <w:ind w:left="0" w:firstLine="0"/>
        <w:rPr>
          <w:rFonts w:ascii="Times New Roman" w:hAnsi="Times New Roman" w:cs="FrankRuehl"/>
          <w:szCs w:val="26"/>
          <w:rtl/>
        </w:rPr>
      </w:pPr>
      <w:r w:rsidRPr="00A72A4B">
        <w:rPr>
          <w:rFonts w:ascii="Times New Roman" w:hAnsi="Times New Roman" w:cs="FrankRuehl"/>
          <w:szCs w:val="26"/>
          <w:rtl/>
        </w:rPr>
        <w:t xml:space="preserve">אין הכרח שהנאשם יעבור שיקום "מוסדי" במסגרת טיפולית כלשהי, ולעיתים די בכך שבית המשפט ישתכנע שהנאשם מנהל אורח חיים נורמטיבי, משתף פעולה עם רשויות החוק </w:t>
      </w:r>
      <w:r w:rsidRPr="00A72A4B">
        <w:rPr>
          <w:rFonts w:ascii="Times New Roman" w:hAnsi="Times New Roman" w:cs="FrankRuehl" w:hint="cs"/>
          <w:szCs w:val="26"/>
          <w:rtl/>
        </w:rPr>
        <w:t>ו</w:t>
      </w:r>
      <w:r w:rsidRPr="00A72A4B">
        <w:rPr>
          <w:rFonts w:ascii="Times New Roman" w:hAnsi="Times New Roman" w:cs="FrankRuehl"/>
          <w:szCs w:val="26"/>
          <w:rtl/>
        </w:rPr>
        <w:t xml:space="preserve">לא מסתבך עוד בפלילים, כדי לקבוע </w:t>
      </w:r>
      <w:r w:rsidRPr="00A72A4B">
        <w:rPr>
          <w:rFonts w:ascii="Times New Roman" w:hAnsi="Times New Roman" w:cs="FrankRuehl" w:hint="cs"/>
          <w:szCs w:val="26"/>
          <w:rtl/>
        </w:rPr>
        <w:t>שה</w:t>
      </w:r>
      <w:r w:rsidRPr="00A72A4B">
        <w:rPr>
          <w:rFonts w:ascii="Times New Roman" w:hAnsi="Times New Roman" w:cs="FrankRuehl"/>
          <w:szCs w:val="26"/>
          <w:rtl/>
        </w:rPr>
        <w:t>נאשם "השתקם או שיש סיכוי של ממש שישתקם בעתיד"</w:t>
      </w:r>
      <w:r w:rsidRPr="00A72A4B">
        <w:rPr>
          <w:rFonts w:ascii="Times New Roman" w:hAnsi="Times New Roman" w:cs="FrankRuehl" w:hint="cs"/>
          <w:szCs w:val="26"/>
          <w:rtl/>
        </w:rPr>
        <w:t xml:space="preserve">. לאור האמור, </w:t>
      </w:r>
      <w:r w:rsidRPr="00A72A4B">
        <w:rPr>
          <w:rFonts w:ascii="Times New Roman" w:hAnsi="Times New Roman" w:cs="FrankRuehl"/>
          <w:szCs w:val="26"/>
          <w:rtl/>
        </w:rPr>
        <w:t>יש לבכר במקרה הנדון את שיקולי השיקום על פני יתר השיקולים שבענישה, לסטות לקולה ממתחם העונש ההולם</w:t>
      </w:r>
      <w:r w:rsidRPr="00A72A4B">
        <w:rPr>
          <w:rFonts w:ascii="Times New Roman" w:hAnsi="Times New Roman" w:cs="FrankRuehl" w:hint="cs"/>
          <w:szCs w:val="26"/>
          <w:rtl/>
        </w:rPr>
        <w:t xml:space="preserve"> ואף להאריך את המאסר המותנה. </w:t>
      </w:r>
    </w:p>
    <w:p w14:paraId="3FA0ECC6" w14:textId="77777777" w:rsidR="007C2E7B" w:rsidRPr="00B2181B" w:rsidRDefault="007C2E7B" w:rsidP="00A72A4B">
      <w:pPr>
        <w:pBdr>
          <w:top w:val="single" w:sz="4" w:space="1" w:color="auto"/>
          <w:bottom w:val="single" w:sz="4" w:space="1" w:color="auto"/>
        </w:pBdr>
        <w:spacing w:after="120" w:line="320" w:lineRule="exact"/>
        <w:jc w:val="both"/>
        <w:rPr>
          <w:rFonts w:ascii="FrankRuehl" w:hAnsi="FrankRuehl" w:cs="FrankRuehl" w:hint="cs"/>
          <w:color w:val="0000FF"/>
          <w:rtl/>
        </w:rPr>
      </w:pPr>
      <w:r w:rsidRPr="00A72A4B">
        <w:rPr>
          <w:rFonts w:cs="FrankRuehl"/>
          <w:szCs w:val="26"/>
          <w:rtl/>
        </w:rPr>
        <w:t>שיקול דעתו של בית המשפט בשאלת הארכת המאסר המותנה צריך להתמקד "במצבים שבהם מוצדק לתת לנאשם הזדמנות נוספת לחזור לדרך הישר, כאשר הוא מראה סימנים המניחים יסוד לציפייה כי כך יהיה"</w:t>
      </w:r>
      <w:r w:rsidRPr="00A72A4B">
        <w:rPr>
          <w:rFonts w:cs="FrankRuehl" w:hint="cs"/>
          <w:szCs w:val="26"/>
          <w:rtl/>
        </w:rPr>
        <w:t xml:space="preserve">. </w:t>
      </w:r>
      <w:r w:rsidRPr="00A72A4B">
        <w:rPr>
          <w:rFonts w:cs="FrankRuehl"/>
          <w:szCs w:val="26"/>
          <w:rtl/>
        </w:rPr>
        <w:t xml:space="preserve">בשים לב לכברת הדרך המשמעותית אותה עבר הנאשם הימנעות מהפעלת המאסר המותנה וחיזוק ידיו בדרכו השיקומית תשרת </w:t>
      </w:r>
      <w:r w:rsidRPr="00A72A4B">
        <w:rPr>
          <w:rFonts w:cs="FrankRuehl" w:hint="cs"/>
          <w:szCs w:val="26"/>
          <w:rtl/>
        </w:rPr>
        <w:t>הן</w:t>
      </w:r>
      <w:r w:rsidRPr="00A72A4B">
        <w:rPr>
          <w:rFonts w:cs="FrankRuehl"/>
          <w:szCs w:val="26"/>
          <w:rtl/>
        </w:rPr>
        <w:t xml:space="preserve"> את טובתו האישית</w:t>
      </w:r>
      <w:r w:rsidRPr="00A72A4B">
        <w:rPr>
          <w:rFonts w:cs="FrankRuehl" w:hint="cs"/>
          <w:szCs w:val="26"/>
          <w:rtl/>
        </w:rPr>
        <w:t xml:space="preserve"> והן</w:t>
      </w:r>
      <w:r w:rsidRPr="00A72A4B">
        <w:rPr>
          <w:rFonts w:cs="FrankRuehl"/>
          <w:szCs w:val="26"/>
          <w:rtl/>
        </w:rPr>
        <w:t xml:space="preserve"> את האינטרס הציבורי כולו</w:t>
      </w:r>
      <w:r w:rsidRPr="00A72A4B">
        <w:rPr>
          <w:rFonts w:cs="FrankRuehl" w:hint="cs"/>
          <w:szCs w:val="26"/>
          <w:rtl/>
        </w:rPr>
        <w:t>.</w:t>
      </w:r>
      <w:bookmarkStart w:id="5" w:name="ABSTRACT_END"/>
      <w:bookmarkEnd w:id="5"/>
    </w:p>
    <w:p w14:paraId="1BA84A8A" w14:textId="77777777" w:rsidR="00CC60E1" w:rsidRPr="00B2181B" w:rsidRDefault="00CC60E1" w:rsidP="00B2181B">
      <w:pPr>
        <w:spacing w:line="360" w:lineRule="auto"/>
        <w:rPr>
          <w:rFonts w:ascii="David" w:hAnsi="David" w:hint="cs"/>
          <w:sz w:val="28"/>
          <w:szCs w:val="28"/>
          <w:rtl/>
        </w:rPr>
      </w:pPr>
      <w:bookmarkStart w:id="6" w:name="LawTable_End"/>
      <w:bookmarkEnd w:id="6"/>
    </w:p>
    <w:tbl>
      <w:tblPr>
        <w:bidiVisual/>
        <w:tblW w:w="8820" w:type="dxa"/>
        <w:jc w:val="center"/>
        <w:tblLook w:val="01E0" w:firstRow="1" w:lastRow="1" w:firstColumn="1" w:lastColumn="1" w:noHBand="0" w:noVBand="0"/>
      </w:tblPr>
      <w:tblGrid>
        <w:gridCol w:w="8820"/>
      </w:tblGrid>
      <w:tr w:rsidR="0043359C" w14:paraId="1A1A7F0F" w14:textId="77777777" w:rsidTr="00BD1B8C">
        <w:trPr>
          <w:jc w:val="center"/>
        </w:trPr>
        <w:tc>
          <w:tcPr>
            <w:tcW w:w="8820" w:type="dxa"/>
          </w:tcPr>
          <w:p w14:paraId="22405C1D" w14:textId="77777777" w:rsidR="0043359C" w:rsidRPr="0066689D" w:rsidRDefault="0066689D" w:rsidP="0066689D">
            <w:pPr>
              <w:bidi w:val="0"/>
              <w:spacing w:line="360" w:lineRule="auto"/>
              <w:jc w:val="center"/>
              <w:rPr>
                <w:rFonts w:ascii="David" w:hAnsi="David"/>
                <w:b/>
                <w:bCs/>
                <w:i/>
                <w:iCs/>
                <w:sz w:val="40"/>
                <w:szCs w:val="40"/>
                <w:u w:val="single"/>
              </w:rPr>
            </w:pPr>
            <w:bookmarkStart w:id="7" w:name="PsakDin" w:colFirst="0" w:colLast="0"/>
            <w:bookmarkEnd w:id="0"/>
            <w:r w:rsidRPr="0066689D">
              <w:rPr>
                <w:rFonts w:ascii="David" w:hAnsi="David"/>
                <w:b/>
                <w:bCs/>
                <w:i/>
                <w:iCs/>
                <w:sz w:val="40"/>
                <w:szCs w:val="40"/>
                <w:u w:val="single"/>
                <w:rtl/>
              </w:rPr>
              <w:t>גזר דין</w:t>
            </w:r>
          </w:p>
        </w:tc>
      </w:tr>
      <w:bookmarkEnd w:id="7"/>
    </w:tbl>
    <w:p w14:paraId="0589109C" w14:textId="77777777" w:rsidR="0043359C" w:rsidRDefault="0043359C" w:rsidP="00F12608">
      <w:pPr>
        <w:spacing w:line="360" w:lineRule="auto"/>
        <w:jc w:val="both"/>
        <w:rPr>
          <w:rFonts w:ascii="David" w:hAnsi="David"/>
        </w:rPr>
      </w:pPr>
    </w:p>
    <w:p w14:paraId="764EDFF3" w14:textId="77777777" w:rsidR="0043359C" w:rsidRDefault="0043359C" w:rsidP="00F12608">
      <w:pPr>
        <w:pStyle w:val="1"/>
        <w:numPr>
          <w:ilvl w:val="0"/>
          <w:numId w:val="1"/>
        </w:numPr>
        <w:spacing w:before="0" w:line="360" w:lineRule="auto"/>
        <w:ind w:left="360"/>
        <w:jc w:val="both"/>
        <w:rPr>
          <w:rFonts w:ascii="David" w:hAnsi="David" w:cs="David"/>
          <w:b/>
          <w:bCs/>
          <w:color w:val="auto"/>
          <w:sz w:val="28"/>
          <w:szCs w:val="28"/>
          <w:u w:val="single"/>
          <w:rtl/>
        </w:rPr>
      </w:pPr>
      <w:r>
        <w:rPr>
          <w:rFonts w:ascii="David" w:hAnsi="David" w:cs="David"/>
          <w:b/>
          <w:bCs/>
          <w:color w:val="auto"/>
          <w:sz w:val="28"/>
          <w:szCs w:val="28"/>
          <w:u w:val="single"/>
          <w:rtl/>
        </w:rPr>
        <w:t>רקע עובדתי</w:t>
      </w:r>
    </w:p>
    <w:p w14:paraId="4AF25EB8" w14:textId="77777777" w:rsidR="0043359C" w:rsidRDefault="0043359C" w:rsidP="00F12608">
      <w:pPr>
        <w:pStyle w:val="ListParagraph"/>
        <w:numPr>
          <w:ilvl w:val="0"/>
          <w:numId w:val="2"/>
        </w:numPr>
        <w:spacing w:after="0"/>
        <w:ind w:left="-58" w:hanging="283"/>
        <w:rPr>
          <w:rtl/>
        </w:rPr>
      </w:pPr>
      <w:r>
        <w:rPr>
          <w:rtl/>
        </w:rPr>
        <w:t xml:space="preserve">הנאשם הורשע על יסוד הודאתו בעבירות של </w:t>
      </w:r>
      <w:r>
        <w:rPr>
          <w:b/>
          <w:bCs/>
          <w:rtl/>
        </w:rPr>
        <w:t xml:space="preserve">החזקת סם לצריכה עצמית </w:t>
      </w:r>
      <w:r>
        <w:rPr>
          <w:rtl/>
        </w:rPr>
        <w:t xml:space="preserve">לפי </w:t>
      </w:r>
      <w:hyperlink r:id="rId22" w:history="1">
        <w:bookmarkStart w:id="8" w:name="Seif1"/>
        <w:r w:rsidR="00CC60E1" w:rsidRPr="00CC60E1">
          <w:rPr>
            <w:rStyle w:val="Hyperlink"/>
            <w:rtl/>
          </w:rPr>
          <w:t xml:space="preserve">סעיפים </w:t>
        </w:r>
        <w:bookmarkEnd w:id="8"/>
        <w:r w:rsidR="00CC60E1" w:rsidRPr="00CC60E1">
          <w:rPr>
            <w:rStyle w:val="Hyperlink"/>
            <w:rtl/>
          </w:rPr>
          <w:t>7(א)+7(ג)</w:t>
        </w:r>
      </w:hyperlink>
      <w:r>
        <w:rPr>
          <w:rtl/>
        </w:rPr>
        <w:t xml:space="preserve"> סיפא </w:t>
      </w:r>
      <w:r>
        <w:rPr>
          <w:u w:val="single"/>
          <w:rtl/>
        </w:rPr>
        <w:t>ל</w:t>
      </w:r>
      <w:hyperlink r:id="rId23" w:history="1">
        <w:r w:rsidR="0066689D" w:rsidRPr="0066689D">
          <w:rPr>
            <w:color w:val="0000FF"/>
            <w:u w:val="single"/>
            <w:rtl/>
          </w:rPr>
          <w:t>פקודת הסמים המסוכנים</w:t>
        </w:r>
      </w:hyperlink>
      <w:r>
        <w:rPr>
          <w:u w:val="single"/>
          <w:rtl/>
        </w:rPr>
        <w:t xml:space="preserve"> [נוסח חדש], התשל"ג-1973</w:t>
      </w:r>
      <w:r>
        <w:rPr>
          <w:rtl/>
        </w:rPr>
        <w:t xml:space="preserve"> (להלן: </w:t>
      </w:r>
      <w:r>
        <w:rPr>
          <w:b/>
          <w:bCs/>
          <w:rtl/>
        </w:rPr>
        <w:t>"הפקודה"</w:t>
      </w:r>
      <w:r>
        <w:rPr>
          <w:rtl/>
        </w:rPr>
        <w:t>); ו</w:t>
      </w:r>
      <w:r>
        <w:rPr>
          <w:b/>
          <w:bCs/>
          <w:rtl/>
        </w:rPr>
        <w:t xml:space="preserve">נהיגה תחת השפעת סמים </w:t>
      </w:r>
      <w:r>
        <w:rPr>
          <w:rtl/>
        </w:rPr>
        <w:t xml:space="preserve">לפי </w:t>
      </w:r>
      <w:hyperlink r:id="rId24" w:history="1">
        <w:bookmarkStart w:id="9" w:name="Seif9"/>
        <w:r w:rsidR="00CC60E1" w:rsidRPr="00CC60E1">
          <w:rPr>
            <w:rStyle w:val="Hyperlink"/>
            <w:rtl/>
          </w:rPr>
          <w:t xml:space="preserve">סעיף </w:t>
        </w:r>
        <w:bookmarkEnd w:id="9"/>
        <w:r w:rsidR="00CC60E1" w:rsidRPr="00CC60E1">
          <w:rPr>
            <w:rStyle w:val="Hyperlink"/>
            <w:rtl/>
          </w:rPr>
          <w:t>62(3)</w:t>
        </w:r>
      </w:hyperlink>
      <w:r>
        <w:rPr>
          <w:rtl/>
        </w:rPr>
        <w:t xml:space="preserve"> </w:t>
      </w:r>
      <w:r>
        <w:rPr>
          <w:u w:val="single"/>
          <w:rtl/>
        </w:rPr>
        <w:t>ל</w:t>
      </w:r>
      <w:hyperlink r:id="rId25" w:history="1">
        <w:r w:rsidR="0066689D" w:rsidRPr="0066689D">
          <w:rPr>
            <w:color w:val="0000FF"/>
            <w:u w:val="single"/>
            <w:rtl/>
          </w:rPr>
          <w:t>פקודת התעבורה</w:t>
        </w:r>
      </w:hyperlink>
      <w:r>
        <w:rPr>
          <w:u w:val="single"/>
          <w:rtl/>
        </w:rPr>
        <w:t xml:space="preserve"> [נ"ח] תשכ"א 1961. </w:t>
      </w:r>
    </w:p>
    <w:p w14:paraId="4F2892FB" w14:textId="77777777" w:rsidR="0043359C" w:rsidRDefault="0043359C" w:rsidP="00F12608">
      <w:pPr>
        <w:pStyle w:val="ListParagraph"/>
        <w:numPr>
          <w:ilvl w:val="0"/>
          <w:numId w:val="2"/>
        </w:numPr>
        <w:spacing w:after="0"/>
        <w:ind w:left="-58" w:hanging="283"/>
        <w:rPr>
          <w:rtl/>
        </w:rPr>
      </w:pPr>
      <w:r>
        <w:rPr>
          <w:rtl/>
        </w:rPr>
        <w:t>כפי שנטען בכתב האישום המתוקן, ביום 18.03.2020 סמוך לשעה 20:21, נהג הנאשם ברכבו מסוג 'הונדה', מ.ר 09452059 (להלן: "</w:t>
      </w:r>
      <w:r>
        <w:rPr>
          <w:b/>
          <w:bCs/>
          <w:rtl/>
        </w:rPr>
        <w:t>הרכב</w:t>
      </w:r>
      <w:r>
        <w:rPr>
          <w:rtl/>
        </w:rPr>
        <w:t xml:space="preserve">") בכביש 40 סמוך לבית קמה כשהוא נתון תחת השפעת סמים מסוכנים מסוג קוקאין וקנבוס. </w:t>
      </w:r>
    </w:p>
    <w:p w14:paraId="629B94BA" w14:textId="77777777" w:rsidR="0043359C" w:rsidRDefault="0043359C" w:rsidP="00F12608">
      <w:pPr>
        <w:pStyle w:val="ListParagraph"/>
        <w:numPr>
          <w:ilvl w:val="0"/>
          <w:numId w:val="2"/>
        </w:numPr>
        <w:spacing w:after="0"/>
        <w:ind w:left="-58" w:hanging="283"/>
      </w:pPr>
      <w:r>
        <w:rPr>
          <w:rtl/>
        </w:rPr>
        <w:lastRenderedPageBreak/>
        <w:t xml:space="preserve">עוד נטען כי באותן נסיבות החזיק הנאשם ברכב בסם מסוג קוקאין במשקל של 0.1 גר' נטו לצריכתו העצמית בלא היתר או רישיון כדין. </w:t>
      </w:r>
    </w:p>
    <w:p w14:paraId="05A592D8" w14:textId="77777777" w:rsidR="0043359C" w:rsidRDefault="0043359C" w:rsidP="00F12608">
      <w:pPr>
        <w:pStyle w:val="ListParagraph"/>
        <w:numPr>
          <w:ilvl w:val="0"/>
          <w:numId w:val="2"/>
        </w:numPr>
        <w:spacing w:after="0"/>
        <w:ind w:left="-58" w:hanging="283"/>
      </w:pPr>
      <w:r>
        <w:rPr>
          <w:rtl/>
        </w:rPr>
        <w:t xml:space="preserve">הצדדים לא הגיעו להסכמות בעניין העונש, אך הוסכם כי הנאשם יישלח לשירות המבחן על מנת שיתקבל תסקיר בעניינו אשר יבחן לבקשת ההגנה את שאלת הארכת המאסר המותנה התלוי ועומד נגדו. עוד הוצהר כי המאשימה תגביל את עתירתה העונשית לעונש בן 6 חודשים שיכול וירוצו בעבודות שירות וענישה נלווית וכי הצדדים ישובו להידבר לאחר קבלת תסקיר. </w:t>
      </w:r>
    </w:p>
    <w:p w14:paraId="3BFF11D4" w14:textId="77777777" w:rsidR="0043359C" w:rsidRDefault="0043359C" w:rsidP="00F12608">
      <w:pPr>
        <w:pStyle w:val="ListParagraph"/>
        <w:numPr>
          <w:ilvl w:val="0"/>
          <w:numId w:val="2"/>
        </w:numPr>
        <w:spacing w:after="0"/>
        <w:ind w:left="-58" w:hanging="283"/>
      </w:pPr>
      <w:r>
        <w:rPr>
          <w:rtl/>
        </w:rPr>
        <w:t>בעניינו של הנאשם התקבלו</w:t>
      </w:r>
      <w:r>
        <w:rPr>
          <w:b/>
          <w:bCs/>
          <w:rtl/>
        </w:rPr>
        <w:t xml:space="preserve"> כמה תסקירים מאת שירות המבחן</w:t>
      </w:r>
      <w:r>
        <w:rPr>
          <w:rtl/>
        </w:rPr>
        <w:t>, ובסופם המלצה להורות על הארכת המאסר המותנה התלוי ועומד נגדו ולהשית עליו ענישה בדמות של"צ בהיקף של 200 שעות וצו מבחן לצד מאסר מותנה, קנס והתחייבות. בתסקיריו, עומד שירות המבחן על קורות חייו וחיי משפחתו של הנאשם, על מאפייניו האישיותיים, יחסו לעבירות, ועוד. מטעמים של צנעת ה</w:t>
      </w:r>
      <w:bookmarkStart w:id="10" w:name="Seif21"/>
      <w:r>
        <w:rPr>
          <w:rtl/>
        </w:rPr>
        <w:t xml:space="preserve">פרט לא </w:t>
      </w:r>
      <w:bookmarkEnd w:id="10"/>
      <w:r>
        <w:rPr>
          <w:rtl/>
        </w:rPr>
        <w:t xml:space="preserve">אעלה עלי גזר הדין את כל המפורט בתסקירים האמורים, מלבד אותם נתונים הרלוונטיים לשאלת העונש. </w:t>
      </w:r>
    </w:p>
    <w:p w14:paraId="435BD60C" w14:textId="77777777" w:rsidR="0043359C" w:rsidRDefault="0043359C" w:rsidP="00F12608">
      <w:pPr>
        <w:pStyle w:val="ListParagraph"/>
        <w:numPr>
          <w:ilvl w:val="0"/>
          <w:numId w:val="2"/>
        </w:numPr>
        <w:spacing w:after="0"/>
        <w:ind w:left="-58" w:hanging="425"/>
      </w:pPr>
      <w:r>
        <w:rPr>
          <w:b/>
          <w:bCs/>
          <w:rtl/>
        </w:rPr>
        <w:t>מחוות דעת הממונה על עבודות השירות</w:t>
      </w:r>
      <w:r>
        <w:rPr>
          <w:rtl/>
        </w:rPr>
        <w:t xml:space="preserve"> אשר התקבלה ביום 05.03.2024, עולה כי הנאשם מתאים לביצוע עבודות שירות. </w:t>
      </w:r>
    </w:p>
    <w:p w14:paraId="352F50A5" w14:textId="77777777" w:rsidR="0043359C" w:rsidRDefault="0043359C" w:rsidP="00F12608">
      <w:pPr>
        <w:pStyle w:val="ListParagraph"/>
        <w:spacing w:after="0"/>
        <w:ind w:left="-58" w:firstLine="0"/>
      </w:pPr>
    </w:p>
    <w:p w14:paraId="73358BF3" w14:textId="77777777" w:rsidR="0043359C" w:rsidRDefault="0043359C" w:rsidP="00F12608">
      <w:pPr>
        <w:pStyle w:val="1"/>
        <w:numPr>
          <w:ilvl w:val="0"/>
          <w:numId w:val="1"/>
        </w:numPr>
        <w:spacing w:before="0" w:line="360" w:lineRule="auto"/>
        <w:ind w:left="360"/>
        <w:jc w:val="both"/>
        <w:rPr>
          <w:rFonts w:ascii="David" w:hAnsi="David" w:cs="David"/>
          <w:b/>
          <w:bCs/>
          <w:color w:val="auto"/>
          <w:sz w:val="28"/>
          <w:szCs w:val="28"/>
          <w:u w:val="single"/>
        </w:rPr>
      </w:pPr>
      <w:r>
        <w:rPr>
          <w:rFonts w:ascii="David" w:hAnsi="David" w:cs="David"/>
          <w:b/>
          <w:bCs/>
          <w:color w:val="auto"/>
          <w:sz w:val="28"/>
          <w:szCs w:val="28"/>
          <w:u w:val="single"/>
          <w:rtl/>
        </w:rPr>
        <w:t>טיעוני הצדדים (עיקר הדברים)</w:t>
      </w:r>
    </w:p>
    <w:p w14:paraId="6846EA74" w14:textId="77777777" w:rsidR="0043359C" w:rsidRDefault="0043359C" w:rsidP="00F12608">
      <w:pPr>
        <w:pStyle w:val="ListParagraph"/>
        <w:numPr>
          <w:ilvl w:val="0"/>
          <w:numId w:val="2"/>
        </w:numPr>
        <w:spacing w:after="0"/>
        <w:ind w:left="-58" w:hanging="425"/>
      </w:pPr>
      <w:r>
        <w:rPr>
          <w:b/>
          <w:bCs/>
          <w:rtl/>
        </w:rPr>
        <w:t>המאשימה</w:t>
      </w:r>
      <w:r>
        <w:rPr>
          <w:rtl/>
        </w:rPr>
        <w:t xml:space="preserve">, עמדה על הערכים המוגנים שנפגעו כתוצאה ממעשיו של הנאשם,  על חומרת מעשיו בדגש על כך שהנאשם נהג כשהוא נתון תחת השפעת סמים מסוג קוקאין וקנבוס. בכל הנוגע למתחמי העונש ההולם, הרי שבמסגרת עבירת הנהיגה תחת השפעת סם הטעימה המאשימה כי יש לקבוע מתחם עונש הולם הנע בין מאסר מותנה לבין כמה חודשים מאסר בפועל לצד פסילה; ואילו בגין החזקת הסם מסוג קוקאין לצריכה עצמית יש מקום לקבוע מתחם עונש הולם הנע בין 12-6 חודשים מאסר. משסברה המאשימה כי יש לראות במכלול מעשיו של הנאשם אירוע אחד, ומשהלה לא מצאה טעמים שיצדיקו סטייה מהמתחמים בשל שיקולי שיקום, עתרה המאשימה להפעלת המאסר המותנה בן 3 החודשים התלוי ועומד נגד הנאשם, תוך שהגבילה את עתירתה העונשית לענישה כוללת בדמות מאסר בן 6 חודשים שיכול וירוצו בעבודות שירות לצד ענישה נלווית בדמות מאסר מותנה, קנס, התחייבות, פסילה בפועל ופסילה מותנית. </w:t>
      </w:r>
    </w:p>
    <w:p w14:paraId="039D43AE" w14:textId="77777777" w:rsidR="0043359C" w:rsidRDefault="0043359C" w:rsidP="00F12608">
      <w:pPr>
        <w:pStyle w:val="ListParagraph"/>
        <w:numPr>
          <w:ilvl w:val="0"/>
          <w:numId w:val="2"/>
        </w:numPr>
        <w:spacing w:after="0"/>
        <w:ind w:left="-58" w:hanging="283"/>
      </w:pPr>
      <w:r>
        <w:rPr>
          <w:b/>
          <w:bCs/>
          <w:rtl/>
        </w:rPr>
        <w:t>בא כוח הנאשם</w:t>
      </w:r>
      <w:r>
        <w:rPr>
          <w:rtl/>
        </w:rPr>
        <w:t xml:space="preserve">, לא </w:t>
      </w:r>
      <w:bookmarkStart w:id="11" w:name="Seif17"/>
      <w:r>
        <w:rPr>
          <w:rtl/>
        </w:rPr>
        <w:t xml:space="preserve">חלק על </w:t>
      </w:r>
      <w:bookmarkEnd w:id="11"/>
      <w:r>
        <w:rPr>
          <w:rtl/>
        </w:rPr>
        <w:t>מתחמי העונש ההולם להם עתרה המאשימה וטען שככל שבית המשפט יאמצם, אזי יש מקום לסטות מהם לקולה בשל שיקולי שיקום. ברוח זו עמד הסנגור על נסיבותיו האישיות של הנאשם; גילו הצעיר; האחריות שהלה לקח על ביצוע העבירות; על שיתוף הפעולה של הנאשם עם שרות המבחן; ועל כך שהפעלת המאסר המותנה התלוי ועומד נגד הנאשם יפגע בפרנסתו ובהליך שיקומו. לאור כל אלה, ביקש הסנגור לאמץ את המלצותיו של שירות המבחן לעניין העונש במלואן וב</w:t>
      </w:r>
      <w:bookmarkStart w:id="12" w:name="Seif22"/>
      <w:r>
        <w:rPr>
          <w:rtl/>
        </w:rPr>
        <w:t xml:space="preserve">כלל זה </w:t>
      </w:r>
      <w:bookmarkEnd w:id="12"/>
      <w:r>
        <w:rPr>
          <w:rtl/>
        </w:rPr>
        <w:t xml:space="preserve">להורות על  הארכת המאסר המותנה התלוי ועומד כנגדו. </w:t>
      </w:r>
    </w:p>
    <w:p w14:paraId="433A0E07" w14:textId="77777777" w:rsidR="0043359C" w:rsidRDefault="0043359C" w:rsidP="00F12608">
      <w:pPr>
        <w:pStyle w:val="ListParagraph"/>
        <w:numPr>
          <w:ilvl w:val="0"/>
          <w:numId w:val="2"/>
        </w:numPr>
        <w:spacing w:after="0"/>
        <w:ind w:left="0" w:hanging="341"/>
      </w:pPr>
      <w:r>
        <w:rPr>
          <w:b/>
          <w:bCs/>
          <w:rtl/>
        </w:rPr>
        <w:t>הנאשם</w:t>
      </w:r>
      <w:r>
        <w:rPr>
          <w:rtl/>
        </w:rPr>
        <w:t xml:space="preserve">, אשר קיבל את "זכות המילה האחרונה", הביע חרטה על מעשיו תוך שמסר כי בארבע השנים שחלפו מאז ביצוע העבירות הוא היטב את דרכיו והעלה את חייו על מסלול נורמטיבי, שיתף פעולה כנדרש עם שירות המבחן ונמנע משימוש בסמים. בהיותו של הנאשם נשוי ואב לשני ילדים קטנים ובהיותו המפרנס העיקרי במשפחתו עתר הנאשם כי בית המשפט יתחשב בו לעניין העונש ולא יפגע בסיכויי שיקומו. </w:t>
      </w:r>
    </w:p>
    <w:p w14:paraId="2538F5A4" w14:textId="77777777" w:rsidR="0043359C" w:rsidRDefault="0043359C" w:rsidP="00F12608">
      <w:pPr>
        <w:pStyle w:val="ListParagraph"/>
        <w:spacing w:after="0"/>
        <w:ind w:left="-58" w:firstLine="0"/>
        <w:jc w:val="center"/>
        <w:rPr>
          <w:b/>
          <w:bCs/>
          <w:sz w:val="32"/>
          <w:szCs w:val="32"/>
          <w:u w:val="single"/>
          <w:rtl/>
        </w:rPr>
      </w:pPr>
      <w:r>
        <w:rPr>
          <w:b/>
          <w:bCs/>
          <w:sz w:val="32"/>
          <w:szCs w:val="32"/>
          <w:u w:val="single"/>
          <w:rtl/>
        </w:rPr>
        <w:t>דיון והכרעה</w:t>
      </w:r>
    </w:p>
    <w:p w14:paraId="153458EA" w14:textId="77777777" w:rsidR="0043359C" w:rsidRDefault="0043359C" w:rsidP="00F12608">
      <w:pPr>
        <w:pStyle w:val="1"/>
        <w:spacing w:before="0" w:line="360" w:lineRule="auto"/>
        <w:ind w:left="-58"/>
        <w:rPr>
          <w:rFonts w:ascii="David" w:hAnsi="David" w:cs="David"/>
          <w:b/>
          <w:bCs/>
          <w:color w:val="auto"/>
          <w:sz w:val="28"/>
          <w:szCs w:val="28"/>
          <w:u w:val="single"/>
          <w:rtl/>
        </w:rPr>
      </w:pPr>
      <w:r>
        <w:rPr>
          <w:rFonts w:ascii="David" w:hAnsi="David" w:cs="David"/>
          <w:b/>
          <w:bCs/>
          <w:color w:val="auto"/>
          <w:sz w:val="28"/>
          <w:szCs w:val="28"/>
          <w:rtl/>
        </w:rPr>
        <w:t>ג.</w:t>
      </w:r>
      <w:r>
        <w:rPr>
          <w:rFonts w:ascii="David" w:hAnsi="David" w:cs="David"/>
          <w:color w:val="auto"/>
          <w:sz w:val="24"/>
          <w:szCs w:val="24"/>
          <w:rtl/>
        </w:rPr>
        <w:t xml:space="preserve">     </w:t>
      </w:r>
      <w:r>
        <w:rPr>
          <w:rFonts w:ascii="David" w:hAnsi="David" w:cs="David"/>
          <w:b/>
          <w:bCs/>
          <w:color w:val="auto"/>
          <w:sz w:val="28"/>
          <w:szCs w:val="28"/>
          <w:u w:val="single"/>
          <w:rtl/>
        </w:rPr>
        <w:t>קביעת מתחם העונש ההולם</w:t>
      </w:r>
    </w:p>
    <w:p w14:paraId="1443D5AA" w14:textId="77777777" w:rsidR="0043359C" w:rsidRDefault="0043359C" w:rsidP="00F12608">
      <w:pPr>
        <w:pStyle w:val="ListParagraph"/>
        <w:numPr>
          <w:ilvl w:val="0"/>
          <w:numId w:val="2"/>
        </w:numPr>
        <w:spacing w:after="0"/>
        <w:ind w:left="-58"/>
        <w:rPr>
          <w:rtl/>
        </w:rPr>
      </w:pPr>
      <w:r>
        <w:rPr>
          <w:rtl/>
        </w:rPr>
        <w:t>מאחר שאין חולק על כך ש</w:t>
      </w:r>
      <w:bookmarkStart w:id="13" w:name="Seif23"/>
      <w:r>
        <w:rPr>
          <w:rtl/>
        </w:rPr>
        <w:t xml:space="preserve">כלל מעשיו </w:t>
      </w:r>
      <w:bookmarkEnd w:id="13"/>
      <w:r>
        <w:rPr>
          <w:rtl/>
        </w:rPr>
        <w:t xml:space="preserve">של הנאשם מהווים "אירוע אחד" ובהתאם למתווה שקבע המחוקק בתיקון 113 </w:t>
      </w:r>
      <w:r>
        <w:rPr>
          <w:u w:val="single"/>
          <w:rtl/>
        </w:rPr>
        <w:t>ל</w:t>
      </w:r>
      <w:hyperlink r:id="rId26" w:history="1">
        <w:r w:rsidR="0066689D" w:rsidRPr="0066689D">
          <w:rPr>
            <w:color w:val="0000FF"/>
            <w:u w:val="single"/>
            <w:rtl/>
          </w:rPr>
          <w:t>חוק העונשין</w:t>
        </w:r>
      </w:hyperlink>
      <w:r>
        <w:rPr>
          <w:rtl/>
        </w:rPr>
        <w:t xml:space="preserve"> (ופורש לאחר מכן בפסיקתו של בית המשפט העליון), אקבע בשלב הראשון את מתחם העונש ההולם את המעשים, ולאחר מכן אבחן אם יש מקום לסטות לקולה מהמתחם האמור או שמא יש לגזור את עונשו של הנאשם בתוך גדריו (על אודות המתווה לגזירת העונש, ראו למשל, </w:t>
      </w:r>
      <w:hyperlink r:id="rId27" w:history="1">
        <w:r w:rsidR="0066689D" w:rsidRPr="0066689D">
          <w:rPr>
            <w:color w:val="0000FF"/>
            <w:u w:val="single"/>
            <w:rtl/>
          </w:rPr>
          <w:t>ע"פ 8641/12</w:t>
        </w:r>
      </w:hyperlink>
      <w:r>
        <w:rPr>
          <w:rtl/>
        </w:rPr>
        <w:t xml:space="preserve"> </w:t>
      </w:r>
      <w:r>
        <w:rPr>
          <w:b/>
          <w:bCs/>
          <w:rtl/>
        </w:rPr>
        <w:t>מוחמד סעד נ' מדינת ישראל</w:t>
      </w:r>
      <w:r>
        <w:rPr>
          <w:rtl/>
        </w:rPr>
        <w:t>, [פורסם בנבו] (05.08.2013)).</w:t>
      </w:r>
    </w:p>
    <w:p w14:paraId="09688745" w14:textId="77777777" w:rsidR="0043359C" w:rsidRDefault="0043359C" w:rsidP="00F12608">
      <w:pPr>
        <w:pStyle w:val="ListParagraph"/>
        <w:numPr>
          <w:ilvl w:val="0"/>
          <w:numId w:val="2"/>
        </w:numPr>
        <w:spacing w:after="0"/>
        <w:ind w:left="-58"/>
        <w:rPr>
          <w:u w:val="single"/>
          <w:rtl/>
        </w:rPr>
      </w:pPr>
      <w:r>
        <w:rPr>
          <w:rtl/>
        </w:rPr>
        <w:t xml:space="preserve">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והכל כאמור </w:t>
      </w:r>
      <w:hyperlink r:id="rId28" w:history="1">
        <w:r w:rsidR="00CC60E1" w:rsidRPr="00CC60E1">
          <w:rPr>
            <w:rStyle w:val="Hyperlink"/>
            <w:rtl/>
          </w:rPr>
          <w:t>ב</w:t>
        </w:r>
        <w:bookmarkStart w:id="14" w:name="Seif10"/>
        <w:r w:rsidR="00CC60E1" w:rsidRPr="00CC60E1">
          <w:rPr>
            <w:rStyle w:val="Hyperlink"/>
            <w:rtl/>
          </w:rPr>
          <w:t xml:space="preserve">סעיף </w:t>
        </w:r>
        <w:bookmarkEnd w:id="14"/>
        <w:r w:rsidR="00CC60E1" w:rsidRPr="00CC60E1">
          <w:rPr>
            <w:rStyle w:val="Hyperlink"/>
            <w:rtl/>
          </w:rPr>
          <w:t>40ג(א)</w:t>
        </w:r>
      </w:hyperlink>
      <w:r>
        <w:rPr>
          <w:rtl/>
        </w:rPr>
        <w:t xml:space="preserve"> </w:t>
      </w:r>
      <w:r>
        <w:rPr>
          <w:u w:val="single"/>
          <w:rtl/>
        </w:rPr>
        <w:t>ל</w:t>
      </w:r>
      <w:hyperlink r:id="rId29" w:history="1">
        <w:r w:rsidR="0066689D" w:rsidRPr="0066689D">
          <w:rPr>
            <w:color w:val="0000FF"/>
            <w:u w:val="single"/>
            <w:rtl/>
          </w:rPr>
          <w:t>חוק העונשין</w:t>
        </w:r>
      </w:hyperlink>
      <w:r>
        <w:rPr>
          <w:u w:val="single"/>
          <w:rtl/>
        </w:rPr>
        <w:t>.</w:t>
      </w:r>
    </w:p>
    <w:p w14:paraId="0A1A1180" w14:textId="77777777" w:rsidR="0043359C" w:rsidRDefault="0043359C" w:rsidP="00F12608">
      <w:pPr>
        <w:pStyle w:val="ListParagraph"/>
        <w:numPr>
          <w:ilvl w:val="0"/>
          <w:numId w:val="2"/>
        </w:numPr>
        <w:spacing w:after="0"/>
        <w:ind w:left="-58"/>
      </w:pPr>
      <w:r>
        <w:rPr>
          <w:rtl/>
        </w:rPr>
        <w:t xml:space="preserve">בכל הנוגע </w:t>
      </w:r>
      <w:r>
        <w:rPr>
          <w:b/>
          <w:bCs/>
          <w:rtl/>
        </w:rPr>
        <w:t>לפגיעה בערכים המוגנים בעבירת החזקת הסם לצריכה עצמית</w:t>
      </w:r>
      <w:r>
        <w:rPr>
          <w:rtl/>
        </w:rPr>
        <w:t xml:space="preserve">, נדמה כי אין צורך להכביר מילים על אודות החומרה הרבה הכרוכה בעבירה זו. </w:t>
      </w:r>
      <w:hyperlink r:id="rId30" w:history="1">
        <w:r w:rsidR="0066689D" w:rsidRPr="0066689D">
          <w:rPr>
            <w:color w:val="0000FF"/>
            <w:u w:val="single"/>
            <w:rtl/>
          </w:rPr>
          <w:t>פקודת הסמים המסוכנים</w:t>
        </w:r>
      </w:hyperlink>
      <w:r>
        <w:rPr>
          <w:rtl/>
        </w:rPr>
        <w:t xml:space="preserve"> נחקקה על מנת להגן על ערכים חברתיים מרכזיים ובראשם החובה להגן על שלומו של הציבור, בריאותו, על בטחונו האישי ועל רכושו. </w:t>
      </w:r>
    </w:p>
    <w:p w14:paraId="251E0E27" w14:textId="77777777" w:rsidR="0043359C" w:rsidRDefault="0043359C" w:rsidP="00F12608">
      <w:pPr>
        <w:pStyle w:val="ListParagraph"/>
        <w:numPr>
          <w:ilvl w:val="0"/>
          <w:numId w:val="2"/>
        </w:numPr>
        <w:spacing w:after="0"/>
        <w:ind w:left="-58" w:hanging="425"/>
      </w:pPr>
      <w:r>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31" w:history="1">
        <w:r w:rsidR="0066689D" w:rsidRPr="0066689D">
          <w:rPr>
            <w:color w:val="0000FF"/>
            <w:u w:val="single"/>
            <w:rtl/>
          </w:rPr>
          <w:t>ע"פ 575/88</w:t>
        </w:r>
      </w:hyperlink>
      <w:r>
        <w:rPr>
          <w:rtl/>
        </w:rPr>
        <w:t xml:space="preserve"> </w:t>
      </w:r>
      <w:r>
        <w:rPr>
          <w:b/>
          <w:bCs/>
          <w:rtl/>
        </w:rPr>
        <w:t>עודה נגד מדינת ישראל</w:t>
      </w:r>
      <w:r>
        <w:rPr>
          <w:rtl/>
        </w:rPr>
        <w:t xml:space="preserve"> [פורסם בנבו] (11.12.1988);</w:t>
      </w:r>
      <w:r>
        <w:rPr>
          <w:u w:val="single"/>
          <w:rtl/>
        </w:rPr>
        <w:t xml:space="preserve"> </w:t>
      </w:r>
      <w:hyperlink r:id="rId32" w:history="1">
        <w:r w:rsidR="0066689D" w:rsidRPr="0066689D">
          <w:rPr>
            <w:color w:val="0000FF"/>
            <w:u w:val="single"/>
            <w:rtl/>
          </w:rPr>
          <w:t>ע"פ 972/11</w:t>
        </w:r>
      </w:hyperlink>
      <w:r>
        <w:rPr>
          <w:rtl/>
        </w:rPr>
        <w:t xml:space="preserve"> </w:t>
      </w:r>
      <w:r>
        <w:rPr>
          <w:b/>
          <w:bCs/>
          <w:rtl/>
        </w:rPr>
        <w:t>מדינת ישראל נגד יונה</w:t>
      </w:r>
      <w:r>
        <w:rPr>
          <w:rtl/>
        </w:rPr>
        <w:t xml:space="preserve"> [פורסם בנבו] (04.07.2012); </w:t>
      </w:r>
      <w:hyperlink r:id="rId33" w:history="1">
        <w:r w:rsidR="0066689D" w:rsidRPr="0066689D">
          <w:rPr>
            <w:color w:val="0000FF"/>
            <w:u w:val="single"/>
            <w:rtl/>
          </w:rPr>
          <w:t>ע"פ 3117/12</w:t>
        </w:r>
      </w:hyperlink>
      <w:r>
        <w:rPr>
          <w:u w:val="single"/>
          <w:rtl/>
        </w:rPr>
        <w:t xml:space="preserve"> </w:t>
      </w:r>
      <w:r>
        <w:rPr>
          <w:b/>
          <w:bCs/>
          <w:rtl/>
        </w:rPr>
        <w:t>ארביב נ' מדינת ישראל</w:t>
      </w:r>
      <w:r>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0D11BFEB" w14:textId="77777777" w:rsidR="0043359C" w:rsidRDefault="0043359C" w:rsidP="00F12608">
      <w:pPr>
        <w:pStyle w:val="3"/>
        <w:numPr>
          <w:ilvl w:val="0"/>
          <w:numId w:val="2"/>
        </w:numPr>
        <w:spacing w:after="0"/>
        <w:ind w:left="-58"/>
        <w:rPr>
          <w:rFonts w:ascii="David" w:hAnsi="David"/>
        </w:rPr>
      </w:pPr>
      <w:r>
        <w:rPr>
          <w:rFonts w:ascii="David" w:hAnsi="David"/>
          <w:rtl/>
        </w:rPr>
        <w:t xml:space="preserve">לנוכח הנסיבות הקשורות בביצוע העבירה כפי שיפורט להלן, ובשים לב לכך שמצד אחד, מדובר באירוע בודד ובכמות סם שאינה גבוהה באופן מיוחד ומנגד, כי המדובר בסם מסוג קוקאין שבו החזיק הנאשם – מצאתי כי במקרה הנדון, </w:t>
      </w:r>
      <w:r>
        <w:rPr>
          <w:rFonts w:ascii="David" w:hAnsi="David"/>
          <w:b/>
          <w:bCs/>
          <w:rtl/>
        </w:rPr>
        <w:t>מידת הפגיעה</w:t>
      </w:r>
      <w:r>
        <w:rPr>
          <w:rFonts w:ascii="David" w:hAnsi="David"/>
          <w:rtl/>
        </w:rPr>
        <w:t xml:space="preserve"> בערכים המוגנים מצויה ברף הבינוני – נמוך. </w:t>
      </w:r>
    </w:p>
    <w:p w14:paraId="7CFC545D" w14:textId="77777777" w:rsidR="0043359C" w:rsidRDefault="0043359C" w:rsidP="00F12608">
      <w:pPr>
        <w:pStyle w:val="ListParagraph"/>
        <w:numPr>
          <w:ilvl w:val="0"/>
          <w:numId w:val="2"/>
        </w:numPr>
        <w:spacing w:after="0"/>
        <w:ind w:left="-58"/>
      </w:pPr>
      <w:r>
        <w:rPr>
          <w:rtl/>
        </w:rPr>
        <w:t xml:space="preserve">כך, וביתר פירוט, בבחינת </w:t>
      </w:r>
      <w:r>
        <w:rPr>
          <w:b/>
          <w:bCs/>
          <w:rtl/>
        </w:rPr>
        <w:t xml:space="preserve">הנסיבות הקשורות בביצוע העבירה, </w:t>
      </w:r>
      <w:r>
        <w:rPr>
          <w:rtl/>
        </w:rPr>
        <w:t xml:space="preserve">נתתי דעתי בראש ובראשונה לסוג הסם שבו החזיק הנאשם ולמשקלו. המדובר בסם מסוכן מסוג קוקאין הנמנה עם "הסמים הקשים", כאשר שנים רבות של מחקרים מדעיים שנעשו בתחום לימדונו כי הנזקים שסם זה מביא עמו קשים מהנזקים הנגרמים עקב שימוש בסמים "קלים" כגון חשיש, מריחואנה או קנבוס. בכל הנוגע למשקל הסם, הרי שנתתי דעתי לכך שהנאשם החזיק בכמות סם שאינה גבוהה באופן מיוחד והנאמדת במשקל של 0.1 גר' נטו של סם מסוכן שנועד לצריכתו העצמית. עוד ולקולה, הבאתי בחשבון כי כעולה מכתב האישום המתוקן, מעשיו של הנאשם מסתכמים באירוע בודד וחד פעמי של החזקת סם לצריכה עצמית. </w:t>
      </w:r>
    </w:p>
    <w:p w14:paraId="773D6440" w14:textId="77777777" w:rsidR="0043359C" w:rsidRDefault="0043359C" w:rsidP="00F12608">
      <w:pPr>
        <w:numPr>
          <w:ilvl w:val="0"/>
          <w:numId w:val="2"/>
        </w:numPr>
        <w:spacing w:line="360" w:lineRule="auto"/>
        <w:ind w:left="-58"/>
        <w:contextualSpacing/>
        <w:jc w:val="both"/>
        <w:rPr>
          <w:rtl/>
        </w:rPr>
      </w:pPr>
      <w:r>
        <w:rPr>
          <w:rFonts w:ascii="David" w:hAnsi="David"/>
          <w:rtl/>
        </w:rPr>
        <w:t xml:space="preserve">אשר </w:t>
      </w:r>
      <w:r>
        <w:rPr>
          <w:rFonts w:ascii="David" w:hAnsi="David"/>
          <w:b/>
          <w:bCs/>
          <w:rtl/>
        </w:rPr>
        <w:t>למדיניות הענישה הנוהגת</w:t>
      </w:r>
      <w:r>
        <w:rPr>
          <w:rFonts w:ascii="David" w:hAnsi="David"/>
          <w:rtl/>
        </w:rPr>
        <w:t xml:space="preserve">, סקירת הפסיקה מלמדת כי במקרים שבהם דובר בנאשמים שהחזיקו לצריכתם העצמית, הן סם מסוג חשיש או קנבוס והן סם מסוג קוקאין בכמויות הדומות לעניינינו נקבעו בעניינם מתחמי ענישה הנעים בין מאסר מותנה לבין עונשי מאסר שאורכם נמדד בכמה חודשים (וראו בעניין זה, למשל, </w:t>
      </w:r>
      <w:r>
        <w:rPr>
          <w:u w:val="single"/>
          <w:rtl/>
        </w:rPr>
        <w:t>ע"פ (מחוזי מרכז) 18937-02-16</w:t>
      </w:r>
      <w:r>
        <w:rPr>
          <w:rtl/>
        </w:rPr>
        <w:t xml:space="preserve"> </w:t>
      </w:r>
      <w:r>
        <w:rPr>
          <w:b/>
          <w:bCs/>
          <w:rtl/>
        </w:rPr>
        <w:t>אלמסימי נ' מדינת ישראל</w:t>
      </w:r>
      <w:r>
        <w:rPr>
          <w:rtl/>
        </w:rPr>
        <w:t xml:space="preserve"> [טרם פורסם במאגרים המשפטיים] (14.06.2016); </w:t>
      </w:r>
      <w:hyperlink r:id="rId34" w:history="1">
        <w:r w:rsidR="0066689D" w:rsidRPr="0066689D">
          <w:rPr>
            <w:color w:val="0000FF"/>
            <w:u w:val="single"/>
            <w:rtl/>
          </w:rPr>
          <w:t>ת"פ (שלום תל אביב) 53788-02-16</w:t>
        </w:r>
      </w:hyperlink>
      <w:r>
        <w:rPr>
          <w:rtl/>
        </w:rPr>
        <w:t xml:space="preserve"> </w:t>
      </w:r>
      <w:r>
        <w:rPr>
          <w:b/>
          <w:bCs/>
          <w:rtl/>
        </w:rPr>
        <w:t xml:space="preserve">מדינת ישראל נ' קלוורי </w:t>
      </w:r>
      <w:r>
        <w:rPr>
          <w:rtl/>
        </w:rPr>
        <w:t>[פורסם בנבו]</w:t>
      </w:r>
      <w:r>
        <w:rPr>
          <w:b/>
          <w:bCs/>
          <w:rtl/>
        </w:rPr>
        <w:t xml:space="preserve"> </w:t>
      </w:r>
      <w:r>
        <w:rPr>
          <w:rtl/>
        </w:rPr>
        <w:t xml:space="preserve">(16.07.2018); </w:t>
      </w:r>
      <w:hyperlink r:id="rId35" w:history="1">
        <w:r w:rsidR="0066689D" w:rsidRPr="0066689D">
          <w:rPr>
            <w:color w:val="0000FF"/>
            <w:u w:val="single"/>
            <w:rtl/>
          </w:rPr>
          <w:t>ת"פ (שלום רחובות) 48281-08-18</w:t>
        </w:r>
      </w:hyperlink>
      <w:r>
        <w:rPr>
          <w:rtl/>
        </w:rPr>
        <w:t xml:space="preserve"> </w:t>
      </w:r>
      <w:r>
        <w:rPr>
          <w:b/>
          <w:bCs/>
          <w:rtl/>
        </w:rPr>
        <w:t xml:space="preserve">מדינת ישראל נ' אבו עדרה </w:t>
      </w:r>
      <w:r>
        <w:rPr>
          <w:rtl/>
        </w:rPr>
        <w:t>[פורסם בנבו] (04.02.2019);</w:t>
      </w:r>
      <w:r>
        <w:rPr>
          <w:rFonts w:ascii="David" w:eastAsia="Times New Roman" w:hAnsi="David"/>
        </w:rPr>
        <w:t xml:space="preserve"> </w:t>
      </w:r>
      <w:r>
        <w:rPr>
          <w:rtl/>
        </w:rPr>
        <w:t xml:space="preserve"> </w:t>
      </w:r>
      <w:hyperlink r:id="rId36" w:history="1">
        <w:r w:rsidR="0066689D" w:rsidRPr="0066689D">
          <w:rPr>
            <w:b/>
            <w:color w:val="0000FF"/>
            <w:u w:val="single"/>
            <w:rtl/>
          </w:rPr>
          <w:t>ת"פ (שלום קריית גת) 54499-11-15</w:t>
        </w:r>
      </w:hyperlink>
      <w:r w:rsidR="0066689D">
        <w:rPr>
          <w:b/>
          <w:rtl/>
        </w:rPr>
        <w:t xml:space="preserve"> </w:t>
      </w:r>
      <w:r>
        <w:rPr>
          <w:b/>
          <w:rtl/>
        </w:rPr>
        <w:t xml:space="preserve"> </w:t>
      </w:r>
      <w:r>
        <w:rPr>
          <w:bCs/>
          <w:rtl/>
        </w:rPr>
        <w:t>מדינת ישראל נ' חדאד</w:t>
      </w:r>
      <w:r>
        <w:rPr>
          <w:rtl/>
        </w:rPr>
        <w:t xml:space="preserve"> [פורסם בנבו] (25.02.2019); </w:t>
      </w:r>
      <w:hyperlink r:id="rId37" w:history="1">
        <w:r w:rsidR="0066689D" w:rsidRPr="0066689D">
          <w:rPr>
            <w:b/>
            <w:color w:val="0000FF"/>
            <w:u w:val="single"/>
            <w:rtl/>
          </w:rPr>
          <w:t>ת"פ (שלום רחובות) 16619-01-18</w:t>
        </w:r>
      </w:hyperlink>
      <w:r>
        <w:rPr>
          <w:b/>
          <w:u w:val="single"/>
          <w:rtl/>
        </w:rPr>
        <w:t>‏</w:t>
      </w:r>
      <w:r>
        <w:rPr>
          <w:b/>
          <w:rtl/>
        </w:rPr>
        <w:t xml:space="preserve"> ‏ </w:t>
      </w:r>
      <w:r>
        <w:rPr>
          <w:bCs/>
          <w:rtl/>
        </w:rPr>
        <w:t>מדינת ישראל נ' פודומסקי</w:t>
      </w:r>
      <w:r>
        <w:rPr>
          <w:rtl/>
        </w:rPr>
        <w:t xml:space="preserve"> [פורסם בנבו] (16.01.2019); </w:t>
      </w:r>
      <w:hyperlink r:id="rId38" w:history="1">
        <w:r w:rsidR="0066689D" w:rsidRPr="0066689D">
          <w:rPr>
            <w:color w:val="0000FF"/>
            <w:u w:val="single"/>
            <w:rtl/>
          </w:rPr>
          <w:t>ת"פ (שלום אשקלון) 52979-07-20</w:t>
        </w:r>
      </w:hyperlink>
      <w:r>
        <w:rPr>
          <w:rtl/>
        </w:rPr>
        <w:t xml:space="preserve"> </w:t>
      </w:r>
      <w:r>
        <w:rPr>
          <w:b/>
          <w:bCs/>
          <w:rtl/>
        </w:rPr>
        <w:t>מדינת ישראל נ' סירקו</w:t>
      </w:r>
      <w:r>
        <w:rPr>
          <w:rtl/>
        </w:rPr>
        <w:t xml:space="preserve"> [טרם פורסם במאגרים המשפטיים] (19.07.2021); </w:t>
      </w:r>
      <w:hyperlink r:id="rId39" w:history="1">
        <w:r w:rsidR="0066689D" w:rsidRPr="0066689D">
          <w:rPr>
            <w:color w:val="0000FF"/>
            <w:u w:val="single"/>
            <w:rtl/>
          </w:rPr>
          <w:t>ת"פ (שלום רחובות) 20127-12</w:t>
        </w:r>
        <w:r w:rsidR="0066689D" w:rsidRPr="0066689D">
          <w:rPr>
            <w:color w:val="0000FF"/>
            <w:u w:val="single"/>
            <w:rtl/>
          </w:rPr>
          <w:t>-</w:t>
        </w:r>
        <w:r w:rsidR="0066689D" w:rsidRPr="0066689D">
          <w:rPr>
            <w:color w:val="0000FF"/>
            <w:u w:val="single"/>
            <w:rtl/>
          </w:rPr>
          <w:t>20</w:t>
        </w:r>
      </w:hyperlink>
      <w:r w:rsidR="0066689D">
        <w:rPr>
          <w:u w:val="single"/>
          <w:rtl/>
        </w:rPr>
        <w:t xml:space="preserve"> </w:t>
      </w:r>
      <w:r>
        <w:rPr>
          <w:b/>
          <w:bCs/>
          <w:rtl/>
        </w:rPr>
        <w:t xml:space="preserve">מדינת ישראל נ' ערוסי </w:t>
      </w:r>
      <w:r>
        <w:rPr>
          <w:rtl/>
        </w:rPr>
        <w:t>[</w:t>
      </w:r>
      <w:r>
        <w:rPr>
          <w:rFonts w:ascii="David" w:eastAsia="Times New Roman" w:hAnsi="David"/>
        </w:rPr>
        <w:t xml:space="preserve"> </w:t>
      </w:r>
      <w:r>
        <w:rPr>
          <w:rtl/>
        </w:rPr>
        <w:t xml:space="preserve">טרם פורסם במאגרים המשפטיים] (20.07.2021); </w:t>
      </w:r>
      <w:hyperlink r:id="rId40" w:history="1">
        <w:r w:rsidR="0066689D" w:rsidRPr="0066689D">
          <w:rPr>
            <w:b/>
            <w:color w:val="0000FF"/>
            <w:u w:val="single"/>
            <w:rtl/>
          </w:rPr>
          <w:t>ת"פ (שלום רחובות) 60489-11-18</w:t>
        </w:r>
      </w:hyperlink>
      <w:r w:rsidR="0066689D">
        <w:rPr>
          <w:b/>
          <w:rtl/>
        </w:rPr>
        <w:t xml:space="preserve"> </w:t>
      </w:r>
      <w:r>
        <w:rPr>
          <w:b/>
          <w:rtl/>
        </w:rPr>
        <w:t xml:space="preserve"> </w:t>
      </w:r>
      <w:r>
        <w:rPr>
          <w:bCs/>
          <w:rtl/>
        </w:rPr>
        <w:t>מדינת ישראל נ' ברדניקוב</w:t>
      </w:r>
      <w:r>
        <w:rPr>
          <w:rtl/>
        </w:rPr>
        <w:t xml:space="preserve"> [פורסם בנבו] (10.08.2020); </w:t>
      </w:r>
      <w:hyperlink r:id="rId41" w:history="1">
        <w:r w:rsidR="0066689D" w:rsidRPr="0066689D">
          <w:rPr>
            <w:color w:val="0000FF"/>
            <w:u w:val="single"/>
            <w:rtl/>
          </w:rPr>
          <w:t>תפ"ק (שלום רמלה) 41272-03-16</w:t>
        </w:r>
      </w:hyperlink>
      <w:r w:rsidR="0066689D">
        <w:rPr>
          <w:rtl/>
        </w:rPr>
        <w:t xml:space="preserve"> </w:t>
      </w:r>
      <w:r>
        <w:rPr>
          <w:b/>
          <w:bCs/>
          <w:rtl/>
        </w:rPr>
        <w:t>מדינת ישראל נ' אבו-כאשף</w:t>
      </w:r>
      <w:r>
        <w:rPr>
          <w:rtl/>
        </w:rPr>
        <w:t xml:space="preserve"> [פורסם בנבו] (09.09.2019); </w:t>
      </w:r>
      <w:r>
        <w:rPr>
          <w:u w:val="single"/>
          <w:rtl/>
        </w:rPr>
        <w:t>ו</w:t>
      </w:r>
      <w:hyperlink r:id="rId42" w:history="1">
        <w:r w:rsidR="0066689D" w:rsidRPr="0066689D">
          <w:rPr>
            <w:color w:val="0000FF"/>
            <w:u w:val="single"/>
            <w:rtl/>
          </w:rPr>
          <w:t>ת"פ (מחוזי תל אביב) 1418-12-17</w:t>
        </w:r>
      </w:hyperlink>
      <w:r w:rsidR="0066689D">
        <w:rPr>
          <w:u w:val="single"/>
          <w:rtl/>
        </w:rPr>
        <w:t xml:space="preserve"> </w:t>
      </w:r>
      <w:r>
        <w:rPr>
          <w:b/>
          <w:bCs/>
          <w:rtl/>
        </w:rPr>
        <w:t xml:space="preserve"> מדינת ישראל נ' פרץ</w:t>
      </w:r>
      <w:r>
        <w:rPr>
          <w:rtl/>
        </w:rPr>
        <w:t xml:space="preserve"> [פורסם בנבו] (06.05.2020)).</w:t>
      </w:r>
    </w:p>
    <w:p w14:paraId="093BDDD2" w14:textId="77777777" w:rsidR="0043359C" w:rsidRDefault="0043359C" w:rsidP="00B2181B">
      <w:pPr>
        <w:pStyle w:val="ListParagraph"/>
        <w:numPr>
          <w:ilvl w:val="0"/>
          <w:numId w:val="2"/>
        </w:numPr>
        <w:tabs>
          <w:tab w:val="left" w:pos="26"/>
        </w:tabs>
        <w:spacing w:after="0"/>
        <w:ind w:left="-58"/>
        <w:rPr>
          <w:b/>
          <w:bCs/>
          <w:rtl/>
        </w:rPr>
      </w:pPr>
      <w:r>
        <w:rPr>
          <w:b/>
          <w:bCs/>
          <w:rtl/>
        </w:rPr>
        <w:t>בכל הנוגע לעבירת הנהיגה תחת השפעת סמים</w:t>
      </w:r>
      <w:r>
        <w:rPr>
          <w:rtl/>
        </w:rPr>
        <w:t xml:space="preserve">, פגע הנאשם בערך המוגן של שמירה על שלומם וביטחונם של ציבור משתמשי הדרך, כשברי שיש בנהיגה מעין  זו סיכון של ממש למשתמשי הדרך כמו גם להולכי הרגל כאחד (ראו לעניין זה, </w:t>
      </w:r>
      <w:hyperlink r:id="rId43" w:history="1">
        <w:r w:rsidR="0066689D" w:rsidRPr="0066689D">
          <w:rPr>
            <w:color w:val="0000FF"/>
            <w:u w:val="single"/>
            <w:rtl/>
          </w:rPr>
          <w:t>רע"פ 5456/11</w:t>
        </w:r>
      </w:hyperlink>
      <w:r w:rsidR="0066689D">
        <w:t xml:space="preserve"> </w:t>
      </w:r>
      <w:r>
        <w:rPr>
          <w:b/>
          <w:bCs/>
          <w:rtl/>
        </w:rPr>
        <w:t xml:space="preserve">שנור נ' מדינת ישראל </w:t>
      </w:r>
      <w:r>
        <w:rPr>
          <w:rtl/>
        </w:rPr>
        <w:t xml:space="preserve">[פורסם בנבו] (25.07.2011), שם קבע בית המשפט העליון כי </w:t>
      </w:r>
      <w:r>
        <w:rPr>
          <w:u w:val="single"/>
          <w:rtl/>
        </w:rPr>
        <w:t>ב</w:t>
      </w:r>
      <w:hyperlink r:id="rId44" w:history="1">
        <w:r w:rsidR="0066689D" w:rsidRPr="0066689D">
          <w:rPr>
            <w:color w:val="0000FF"/>
            <w:u w:val="single"/>
            <w:rtl/>
          </w:rPr>
          <w:t>רע"פ 5297/07</w:t>
        </w:r>
      </w:hyperlink>
      <w:r w:rsidR="0066689D">
        <w:rPr>
          <w:b/>
          <w:bCs/>
          <w:rtl/>
        </w:rPr>
        <w:t xml:space="preserve"> </w:t>
      </w:r>
      <w:r>
        <w:rPr>
          <w:b/>
          <w:bCs/>
          <w:rtl/>
        </w:rPr>
        <w:t>קנטורוביץ נ' מדינת ישראל</w:t>
      </w:r>
      <w:r w:rsidR="0066689D">
        <w:rPr>
          <w:b/>
          <w:bCs/>
          <w:rtl/>
        </w:rPr>
        <w:t xml:space="preserve"> </w:t>
      </w:r>
      <w:r>
        <w:rPr>
          <w:b/>
          <w:bCs/>
          <w:rtl/>
        </w:rPr>
        <w:t>[פורסם בנבו] (09.09.2007), עמד בית המשפט העליון על הצורך להרחיק נהגים שנוהגים בכבישים בהיותם נתונים תחת חומרים אסורים, בזו הלשון: "עסקינן בתופעה מאיימת שיש להירתם ולהילחם למניעתה ולהגן על ביטחון הציבור באמצעות הרחקת נהגים מסוכנים פורעי חוק מהכביש בכל דרך אפשרית (ראו:</w:t>
      </w:r>
      <w:r w:rsidR="0066689D">
        <w:rPr>
          <w:b/>
          <w:bCs/>
          <w:rtl/>
        </w:rPr>
        <w:t xml:space="preserve"> </w:t>
      </w:r>
      <w:hyperlink r:id="rId45" w:history="1">
        <w:r w:rsidR="0066689D" w:rsidRPr="0066689D">
          <w:rPr>
            <w:b/>
            <w:bCs/>
            <w:color w:val="0000FF"/>
            <w:u w:val="single"/>
            <w:rtl/>
          </w:rPr>
          <w:t>בש"פ 1753/07</w:t>
        </w:r>
      </w:hyperlink>
      <w:r w:rsidR="0066689D">
        <w:rPr>
          <w:b/>
          <w:bCs/>
          <w:rtl/>
        </w:rPr>
        <w:t xml:space="preserve"> </w:t>
      </w:r>
      <w:r>
        <w:rPr>
          <w:b/>
          <w:bCs/>
          <w:rtl/>
        </w:rPr>
        <w:t>אבו רקייה נ' מדינת ישראל</w:t>
      </w:r>
      <w:r w:rsidR="0066689D">
        <w:rPr>
          <w:b/>
          <w:bCs/>
          <w:rtl/>
        </w:rPr>
        <w:t xml:space="preserve"> </w:t>
      </w:r>
      <w:r>
        <w:rPr>
          <w:b/>
          <w:bCs/>
          <w:rtl/>
        </w:rPr>
        <w:t>(טרם פורסם, 19.3.2007))".</w:t>
      </w:r>
    </w:p>
    <w:p w14:paraId="58B96A6C" w14:textId="77777777" w:rsidR="0043359C" w:rsidRDefault="0043359C" w:rsidP="00B2181B">
      <w:pPr>
        <w:pStyle w:val="ListParagraph"/>
        <w:numPr>
          <w:ilvl w:val="0"/>
          <w:numId w:val="2"/>
        </w:numPr>
        <w:tabs>
          <w:tab w:val="left" w:pos="26"/>
        </w:tabs>
        <w:spacing w:after="0"/>
        <w:ind w:left="-58"/>
      </w:pPr>
      <w:r>
        <w:rPr>
          <w:rtl/>
        </w:rPr>
        <w:t xml:space="preserve">בשים לב </w:t>
      </w:r>
      <w:r>
        <w:rPr>
          <w:b/>
          <w:bCs/>
          <w:rtl/>
        </w:rPr>
        <w:t>לנסיבות הקשורות בביצוע העבירה,</w:t>
      </w:r>
      <w:r>
        <w:rPr>
          <w:rtl/>
        </w:rPr>
        <w:t xml:space="preserve"> ועת הנאשם נמצא כשהוא נוהג תחת השפעת סם מסוג קנבוס לצד השפעת סם מסוג קוקאין הנמנה עם "הסמים הקשים", שכזכור הנזקים שסם זה מביא עמו קשים מהנזקים הנגרמים עקב שימוש בסמים "קלים" כגון חשיש או קנבוס, ברי כי מידת הפגועה בערך המוגן הינה ממשית. לקולה ייאמר כי כמות הסם השפעתה נהג הנאשם לא פורשה בכתב האישום, כך שניתן להניח לטובתו כי אין המדובר בכמות סם גבוהה באופן מיוחד. </w:t>
      </w:r>
    </w:p>
    <w:p w14:paraId="5C34A6B8" w14:textId="77777777" w:rsidR="0043359C" w:rsidRDefault="0043359C" w:rsidP="00B2181B">
      <w:pPr>
        <w:pStyle w:val="ListParagraph"/>
        <w:numPr>
          <w:ilvl w:val="0"/>
          <w:numId w:val="2"/>
        </w:numPr>
        <w:tabs>
          <w:tab w:val="left" w:pos="26"/>
        </w:tabs>
        <w:spacing w:after="0"/>
        <w:ind w:left="-58"/>
        <w:rPr>
          <w:rtl/>
        </w:rPr>
      </w:pPr>
      <w:r>
        <w:rPr>
          <w:b/>
          <w:bCs/>
          <w:rtl/>
        </w:rPr>
        <w:t>בכל הנוגע לסיבות שהביאו את הנאשם לביצוע העבירות,</w:t>
      </w:r>
      <w:r>
        <w:rPr>
          <w:rtl/>
        </w:rPr>
        <w:t xml:space="preserve"> הרי שלא התעלמתי מטענתו של הנאשם בפני שירות המבחן כי הרקע למעשיו נעוץ בצורך שהוא חש בשיכוך כאבי הבטן העזים מהם הוא סובל, שלהם טרם ניתן הסבר רפואי. ועדיין, אין בכל אלה כדי להצדיק במאומה את ביצוע העבירות שנעברו על ידו שאין להקל ראש בחומרתן. מנגד ולקולה, מצאתי להתחשב בכך שהנאשם שיתף את שירות המבחן בכך שהוא נמנע באופן מוחלט מצריכת סמים מסוכנים ואף תוצאות הבדיקות לאיתור שרידי סם אשר נערכו לו תמכו בדברים, עת הן נמצאו נקיות משרידי סם.</w:t>
      </w:r>
    </w:p>
    <w:p w14:paraId="6AECD9DA" w14:textId="77777777" w:rsidR="0043359C" w:rsidRDefault="0043359C" w:rsidP="00F12608">
      <w:pPr>
        <w:pStyle w:val="ListParagraph"/>
        <w:numPr>
          <w:ilvl w:val="0"/>
          <w:numId w:val="2"/>
        </w:numPr>
        <w:spacing w:after="0"/>
        <w:ind w:left="-58"/>
        <w:rPr>
          <w:u w:val="single"/>
        </w:rPr>
      </w:pPr>
      <w:r>
        <w:rPr>
          <w:b/>
          <w:bCs/>
          <w:rtl/>
        </w:rPr>
        <w:t>כל הנוגע למדיניות הענישה הנוהגת בעבירה של נהיגה תחת השפעת סמים</w:t>
      </w:r>
      <w:r>
        <w:rPr>
          <w:rtl/>
        </w:rPr>
        <w:t xml:space="preserve">, הרי שסקירת הפסיקה מלמדת כי </w:t>
      </w:r>
      <w:r>
        <w:rPr>
          <w:b/>
          <w:bCs/>
          <w:rtl/>
        </w:rPr>
        <w:t>על דרך ה</w:t>
      </w:r>
      <w:bookmarkStart w:id="15" w:name="Seif24"/>
      <w:r>
        <w:rPr>
          <w:b/>
          <w:bCs/>
          <w:rtl/>
        </w:rPr>
        <w:t>כלל</w:t>
      </w:r>
      <w:r>
        <w:rPr>
          <w:rtl/>
        </w:rPr>
        <w:t xml:space="preserve"> מושתים </w:t>
      </w:r>
      <w:bookmarkEnd w:id="15"/>
      <w:r>
        <w:rPr>
          <w:rtl/>
        </w:rPr>
        <w:t xml:space="preserve">על הנאשמים השונים </w:t>
      </w:r>
      <w:r>
        <w:rPr>
          <w:b/>
          <w:bCs/>
          <w:rtl/>
        </w:rPr>
        <w:t>עונשים בדמות מאסרים מותנים או כמה חודשים  מאסר אשר ניתן לרצותם בעבודות שירות ברף התחתון לבין 12 חודשים מאסר בפועל ברף העליון</w:t>
      </w:r>
      <w:r>
        <w:rPr>
          <w:rtl/>
        </w:rPr>
        <w:t xml:space="preserve"> (ראו לעניין זה, </w:t>
      </w:r>
      <w:hyperlink r:id="rId46" w:history="1">
        <w:r w:rsidR="0066689D" w:rsidRPr="0066689D">
          <w:rPr>
            <w:color w:val="0000FF"/>
            <w:u w:val="single"/>
            <w:rtl/>
          </w:rPr>
          <w:t>ת"פ (שלום ב"ש) 54673-05-17</w:t>
        </w:r>
      </w:hyperlink>
      <w:r w:rsidR="0066689D">
        <w:rPr>
          <w:rtl/>
        </w:rPr>
        <w:t xml:space="preserve"> </w:t>
      </w:r>
      <w:r>
        <w:rPr>
          <w:rtl/>
        </w:rPr>
        <w:t xml:space="preserve"> </w:t>
      </w:r>
      <w:r>
        <w:rPr>
          <w:b/>
          <w:bCs/>
          <w:rtl/>
        </w:rPr>
        <w:t>מדינת ישראל נ' אלהואשלה</w:t>
      </w:r>
      <w:r>
        <w:rPr>
          <w:rtl/>
        </w:rPr>
        <w:t xml:space="preserve"> [פורסם בנבו] (13.09.2023); </w:t>
      </w:r>
      <w:hyperlink r:id="rId47" w:history="1">
        <w:r w:rsidR="0066689D" w:rsidRPr="0066689D">
          <w:rPr>
            <w:color w:val="0000FF"/>
            <w:u w:val="single"/>
            <w:rtl/>
          </w:rPr>
          <w:t>ת"פ (שלום עכו) 5466-10-14</w:t>
        </w:r>
      </w:hyperlink>
      <w:r>
        <w:rPr>
          <w:u w:val="single"/>
          <w:rtl/>
        </w:rPr>
        <w:t>‏</w:t>
      </w:r>
      <w:r>
        <w:rPr>
          <w:b/>
          <w:bCs/>
          <w:rtl/>
        </w:rPr>
        <w:t xml:space="preserve"> ‏ מדינת ישראל נ' עומר</w:t>
      </w:r>
      <w:r>
        <w:rPr>
          <w:rtl/>
        </w:rPr>
        <w:t xml:space="preserve"> [פורסם בנבו] (22.06.2016); </w:t>
      </w:r>
      <w:hyperlink r:id="rId48" w:history="1">
        <w:r w:rsidR="0066689D" w:rsidRPr="0066689D">
          <w:rPr>
            <w:color w:val="0000FF"/>
            <w:u w:val="single"/>
            <w:rtl/>
          </w:rPr>
          <w:t>פ"ל (תעבורה מר') 4239-01-23</w:t>
        </w:r>
      </w:hyperlink>
      <w:r w:rsidR="0066689D">
        <w:rPr>
          <w:rtl/>
        </w:rPr>
        <w:t xml:space="preserve"> </w:t>
      </w:r>
      <w:r>
        <w:rPr>
          <w:b/>
          <w:bCs/>
          <w:rtl/>
        </w:rPr>
        <w:t>מדינת ישראל נ' ואהבה</w:t>
      </w:r>
      <w:r>
        <w:rPr>
          <w:rtl/>
        </w:rPr>
        <w:t xml:space="preserve"> [פורסם בנבו] (02.11.2023); </w:t>
      </w:r>
      <w:r w:rsidR="0066689D">
        <w:rPr>
          <w:u w:val="single"/>
        </w:rPr>
        <w:t xml:space="preserve"> </w:t>
      </w:r>
      <w:hyperlink r:id="rId49" w:history="1">
        <w:r w:rsidR="0066689D" w:rsidRPr="0066689D">
          <w:rPr>
            <w:color w:val="0000FF"/>
            <w:u w:val="single"/>
            <w:rtl/>
          </w:rPr>
          <w:t>פ"ל (תעבורה עכו) 1070-04-20</w:t>
        </w:r>
      </w:hyperlink>
      <w:r w:rsidR="0066689D">
        <w:rPr>
          <w:rtl/>
        </w:rPr>
        <w:t xml:space="preserve"> </w:t>
      </w:r>
      <w:r>
        <w:rPr>
          <w:b/>
          <w:bCs/>
          <w:rtl/>
        </w:rPr>
        <w:t>מדינת ישראל</w:t>
      </w:r>
      <w:r w:rsidR="0066689D">
        <w:rPr>
          <w:b/>
          <w:bCs/>
          <w:rtl/>
        </w:rPr>
        <w:t xml:space="preserve"> </w:t>
      </w:r>
      <w:r>
        <w:rPr>
          <w:b/>
          <w:bCs/>
          <w:rtl/>
        </w:rPr>
        <w:t>נ' ח'ואלד</w:t>
      </w:r>
      <w:r>
        <w:rPr>
          <w:rtl/>
        </w:rPr>
        <w:t xml:space="preserve"> [פורסם בנבו] (01.03.2022); </w:t>
      </w:r>
      <w:r w:rsidR="0066689D">
        <w:t xml:space="preserve"> </w:t>
      </w:r>
      <w:hyperlink r:id="rId50" w:history="1">
        <w:r w:rsidR="0066689D" w:rsidRPr="0066689D">
          <w:rPr>
            <w:color w:val="0000FF"/>
            <w:u w:val="single"/>
            <w:rtl/>
          </w:rPr>
          <w:t>ת"פ (שלום ראשל"צ) 64144-09-17</w:t>
        </w:r>
      </w:hyperlink>
      <w:r w:rsidR="0066689D">
        <w:rPr>
          <w:u w:val="single"/>
          <w:rtl/>
        </w:rPr>
        <w:t xml:space="preserve"> </w:t>
      </w:r>
      <w:r>
        <w:rPr>
          <w:b/>
          <w:bCs/>
          <w:rtl/>
        </w:rPr>
        <w:t>מדינת ישראל</w:t>
      </w:r>
      <w:r w:rsidR="0066689D">
        <w:rPr>
          <w:b/>
          <w:bCs/>
          <w:rtl/>
        </w:rPr>
        <w:t xml:space="preserve"> </w:t>
      </w:r>
      <w:r>
        <w:rPr>
          <w:b/>
          <w:bCs/>
          <w:rtl/>
        </w:rPr>
        <w:t>נ' קקזנוב</w:t>
      </w:r>
      <w:r>
        <w:rPr>
          <w:rtl/>
        </w:rPr>
        <w:t xml:space="preserve"> [פורסם בנבו]</w:t>
      </w:r>
      <w:r>
        <w:t xml:space="preserve"> </w:t>
      </w:r>
      <w:r>
        <w:rPr>
          <w:rtl/>
        </w:rPr>
        <w:t xml:space="preserve">(16.07.2019); </w:t>
      </w:r>
      <w:r>
        <w:rPr>
          <w:u w:val="single"/>
          <w:rtl/>
        </w:rPr>
        <w:t>ו</w:t>
      </w:r>
      <w:hyperlink r:id="rId51" w:history="1">
        <w:r w:rsidR="0066689D" w:rsidRPr="0066689D">
          <w:rPr>
            <w:color w:val="0000FF"/>
            <w:u w:val="single"/>
            <w:rtl/>
          </w:rPr>
          <w:t>ת"פ (שלום ת"א) 30086-02-15</w:t>
        </w:r>
      </w:hyperlink>
      <w:r>
        <w:rPr>
          <w:u w:val="single"/>
          <w:rtl/>
        </w:rPr>
        <w:t>‏</w:t>
      </w:r>
      <w:r>
        <w:rPr>
          <w:b/>
          <w:bCs/>
          <w:rtl/>
        </w:rPr>
        <w:t xml:space="preserve"> ‏ מדינת ישראל נ' יום טוב</w:t>
      </w:r>
      <w:r>
        <w:rPr>
          <w:rtl/>
        </w:rPr>
        <w:t xml:space="preserve"> [פורסם בנבו]</w:t>
      </w:r>
      <w:r>
        <w:t xml:space="preserve"> </w:t>
      </w:r>
      <w:r>
        <w:rPr>
          <w:rtl/>
        </w:rPr>
        <w:t>(14.04.2016) ).</w:t>
      </w:r>
    </w:p>
    <w:p w14:paraId="1B6E6773" w14:textId="77777777" w:rsidR="0043359C" w:rsidRDefault="0043359C" w:rsidP="00B2181B">
      <w:pPr>
        <w:pStyle w:val="ListParagraph"/>
        <w:numPr>
          <w:ilvl w:val="0"/>
          <w:numId w:val="2"/>
        </w:numPr>
        <w:tabs>
          <w:tab w:val="left" w:pos="26"/>
          <w:tab w:val="left" w:pos="8164"/>
        </w:tabs>
        <w:spacing w:after="0"/>
        <w:ind w:left="-58" w:right="142"/>
      </w:pPr>
      <w:r>
        <w:rPr>
          <w:rtl/>
        </w:rPr>
        <w:t xml:space="preserve">כאן אף אציין, כי גם לא התעלמתי מהפסיקה אליה הפנו באי כוח הצדדים, אולם הדבר נעשה תוך ביצוע האבחנות המתבקשות. כך ובכל הנוגע לפסיקה אליה הפנתה המאשימה, הרי </w:t>
      </w:r>
      <w:r>
        <w:rPr>
          <w:u w:val="single"/>
          <w:rtl/>
        </w:rPr>
        <w:t>שב</w:t>
      </w:r>
      <w:hyperlink r:id="rId52" w:history="1">
        <w:r w:rsidR="0066689D" w:rsidRPr="0066689D">
          <w:rPr>
            <w:color w:val="0000FF"/>
            <w:u w:val="single"/>
            <w:rtl/>
          </w:rPr>
          <w:t>רע"פ 8719/14</w:t>
        </w:r>
      </w:hyperlink>
      <w:r>
        <w:rPr>
          <w:rtl/>
        </w:rPr>
        <w:t xml:space="preserve"> </w:t>
      </w:r>
      <w:r>
        <w:rPr>
          <w:b/>
          <w:bCs/>
          <w:rtl/>
        </w:rPr>
        <w:t>בן טולילה נ' מדינת ישראל</w:t>
      </w:r>
      <w:r>
        <w:rPr>
          <w:rtl/>
        </w:rPr>
        <w:t xml:space="preserve"> [פורסם בנבו] (14.01.2015), נדחתה בקשת רשות הערעור שהגיש הנאשם, בעל עבר תעבורתי מכביד, שהורשע לאחר שמיעת ראיות בעבירה של נהיגה תחת השפעת סם מסוכן ונידון לפסילת רישיון נהיגה בפועל לתקופה של 28 חודשים, פסילת רישיון נהיגה מותנית לתקופה של 6 חודשים, 6 חודשים מאסר מותנה וקנס. מכאן, שבמקרים דומים לזה שלפניי, בכל הקשור לעבירה של נהיגה בשכרות, אף המאשימה מסכימה כי מתחם הענישה יכול שיתחיל ממאסר מותנה ברף התחתון; </w:t>
      </w:r>
      <w:r>
        <w:rPr>
          <w:u w:val="single"/>
          <w:rtl/>
        </w:rPr>
        <w:t>ב</w:t>
      </w:r>
      <w:hyperlink r:id="rId53" w:history="1">
        <w:r w:rsidR="0066689D" w:rsidRPr="0066689D">
          <w:rPr>
            <w:color w:val="0000FF"/>
            <w:u w:val="single"/>
            <w:rtl/>
          </w:rPr>
          <w:t>ת"פ 9941/08</w:t>
        </w:r>
      </w:hyperlink>
      <w:r>
        <w:rPr>
          <w:u w:val="single"/>
          <w:rtl/>
        </w:rPr>
        <w:t xml:space="preserve"> </w:t>
      </w:r>
      <w:r>
        <w:rPr>
          <w:b/>
          <w:bCs/>
          <w:rtl/>
        </w:rPr>
        <w:t>מדינת ישראל נ' פטחוב</w:t>
      </w:r>
      <w:r>
        <w:rPr>
          <w:rtl/>
        </w:rPr>
        <w:t xml:space="preserve"> [פורסם בנבו] (12.07.2010), בית המשפט השית על הנאשם 3 שנות מאסר לריצוי בפועל לצד ענישה נלווית, לאחר שהלה הורשע על פי הודאתו בכמה עבירות של החזקת סם לשימוש עצמי ובשלוש עבירות של נהיגה בשכרות וזאת בשונה תכלית השוני מעניינינו; </w:t>
      </w:r>
      <w:r>
        <w:rPr>
          <w:u w:val="single"/>
          <w:rtl/>
        </w:rPr>
        <w:t>ב</w:t>
      </w:r>
      <w:hyperlink r:id="rId54" w:history="1">
        <w:r w:rsidR="0066689D" w:rsidRPr="0066689D">
          <w:rPr>
            <w:color w:val="0000FF"/>
            <w:u w:val="single"/>
            <w:rtl/>
          </w:rPr>
          <w:t>רע"פ 864/17</w:t>
        </w:r>
      </w:hyperlink>
      <w:r>
        <w:rPr>
          <w:rtl/>
        </w:rPr>
        <w:t xml:space="preserve"> </w:t>
      </w:r>
      <w:r>
        <w:rPr>
          <w:b/>
          <w:bCs/>
          <w:rtl/>
        </w:rPr>
        <w:t>אלקין נ' מדינת ישראל</w:t>
      </w:r>
      <w:r>
        <w:rPr>
          <w:rtl/>
        </w:rPr>
        <w:t xml:space="preserve"> [פורסם בנבו] 01.04.2018), נטען כי הנאשם נהג בהיותו שיכור, כך שבבדיקת נשיפה אשר נערכה לו נמצא בגופו אלכוהול בריכוז של 345 מיקרוגרם בליטר אויר נשוף. בגין אלו נגזרו על הנאשם עונשים בדמות קנס כספי בסך של 3,000 ₪; 28 חודשים פסילה בפועל (בניכוי 30 ימי פסילה מנהלית); 6 חודשים פסילה מותנית; ו-6 חודשים מאסר מותנה. ברי כי המדובר בנסיבות השונות מענייננו, הן מבחינת העושה והן מבחינת המעשה, כך שיקשה על בית המשפט לגזור מפסיקה זו תובנות לעניינינו. </w:t>
      </w:r>
    </w:p>
    <w:p w14:paraId="758365F0" w14:textId="77777777" w:rsidR="0043359C" w:rsidRDefault="0043359C" w:rsidP="00B2181B">
      <w:pPr>
        <w:pStyle w:val="ListParagraph"/>
        <w:numPr>
          <w:ilvl w:val="0"/>
          <w:numId w:val="2"/>
        </w:numPr>
        <w:tabs>
          <w:tab w:val="left" w:pos="26"/>
          <w:tab w:val="left" w:pos="8164"/>
        </w:tabs>
        <w:spacing w:after="0"/>
        <w:ind w:left="-58" w:right="142"/>
      </w:pPr>
      <w:r>
        <w:rPr>
          <w:rtl/>
        </w:rPr>
        <w:t xml:space="preserve">באשר לפסיקה הנוגעת לעבירת הסמים, החזקת סם לצריכה עצמית, הפנתה המאשימה </w:t>
      </w:r>
      <w:r>
        <w:rPr>
          <w:u w:val="single"/>
          <w:rtl/>
        </w:rPr>
        <w:t>ל</w:t>
      </w:r>
      <w:hyperlink r:id="rId55" w:history="1">
        <w:r w:rsidR="0066689D" w:rsidRPr="0066689D">
          <w:rPr>
            <w:color w:val="0000FF"/>
            <w:u w:val="single"/>
            <w:rtl/>
          </w:rPr>
          <w:t>רע"פ 1473/18</w:t>
        </w:r>
      </w:hyperlink>
      <w:r>
        <w:rPr>
          <w:b/>
          <w:bCs/>
          <w:rtl/>
        </w:rPr>
        <w:t xml:space="preserve"> אוחיון נ' מדינת ישראל</w:t>
      </w:r>
      <w:r>
        <w:rPr>
          <w:rtl/>
        </w:rPr>
        <w:t xml:space="preserve"> [פורסם בנבו] (22.04.2018), שם, נדחתה בקשת רשות ערעור שהגיש הנאשם על פסק דינו של בית המשפט המחוזי, אשר קיבל את ערעור המדינה על גזר דינו של בית משפט השלום. הנאשם, הורשע בהחזקת כ- 2 גר' נטו של סם מסוכן מסוג קוקאין </w:t>
      </w:r>
      <w:r>
        <w:rPr>
          <w:b/>
          <w:bCs/>
          <w:rtl/>
        </w:rPr>
        <w:t xml:space="preserve">שלא </w:t>
      </w:r>
      <w:r>
        <w:rPr>
          <w:rtl/>
        </w:rPr>
        <w:t xml:space="preserve">לצריכתו העצמית. ערכאת הערעור קבעה כי על מתחם העונש ההולם לנוע בין 6 ל- 12 חודשים מאסר בפועל, אך מצאה לחרוג לקולה מגדרי המתחם מטעמי שיקום באופן שבו הושת על הנאשם מאסר בן חודשיים לריצוי בעבודות שירות וענישה נלווית. במקרה זה, המדובר בנאשם אשר החזיק בכמות סם הגבוהה פי כמה מזו שהחזיק הנאשם שלפניי, כך שלדידי, המדובר בנסיבות חמורות מאלו המונחות לפתחי, כך שגם כאן יקשה על בית המשפט לגזור מפסיקה זו תובנות לעניינינו. </w:t>
      </w:r>
    </w:p>
    <w:p w14:paraId="4CEAAD1C" w14:textId="77777777" w:rsidR="0043359C" w:rsidRDefault="0043359C" w:rsidP="00B2181B">
      <w:pPr>
        <w:pStyle w:val="ListParagraph"/>
        <w:numPr>
          <w:ilvl w:val="0"/>
          <w:numId w:val="2"/>
        </w:numPr>
        <w:tabs>
          <w:tab w:val="left" w:pos="26"/>
          <w:tab w:val="left" w:pos="8164"/>
        </w:tabs>
        <w:spacing w:after="0"/>
        <w:ind w:left="-58" w:right="142"/>
      </w:pPr>
      <w:r>
        <w:rPr>
          <w:rtl/>
        </w:rPr>
        <w:t>בכל הנוגע לפסיקה אליה הפנתה ההגנה, הרי ש</w:t>
      </w:r>
      <w:r>
        <w:rPr>
          <w:u w:val="single"/>
          <w:rtl/>
        </w:rPr>
        <w:t>ב</w:t>
      </w:r>
      <w:hyperlink r:id="rId56" w:history="1">
        <w:r w:rsidR="0066689D" w:rsidRPr="0066689D">
          <w:rPr>
            <w:color w:val="0000FF"/>
            <w:u w:val="single"/>
            <w:rtl/>
          </w:rPr>
          <w:t>ת"פ 67471-06-18</w:t>
        </w:r>
      </w:hyperlink>
      <w:r>
        <w:rPr>
          <w:u w:val="single"/>
          <w:rtl/>
        </w:rPr>
        <w:t xml:space="preserve"> </w:t>
      </w:r>
      <w:r>
        <w:rPr>
          <w:b/>
          <w:bCs/>
          <w:rtl/>
        </w:rPr>
        <w:t>מדינת ישראל נ' קורקוס</w:t>
      </w:r>
      <w:r>
        <w:rPr>
          <w:rtl/>
        </w:rPr>
        <w:t xml:space="preserve"> [פורסם בנבו] (27.01.2020), גזר מותב זה על הנאשם שהורשע בביצוע עבירות של החזקת סם לצריכה עצמית; החזקת סם שלא לצריכה עצמית; והחזקת כלים להכנת סם שלא לצריכה עצמית, צו של"צ בהיקף של 400 שעות לצד ענישה נלווית והורה על הארכת המאסר המותנה שהיה תלוי ועומד לחובת הנאשם, משמצא כי יש במקרה הקונקרטי שהונח לפניו לבכר את שיקולי השיקום על פני יתר השיקולים שבענישה ולסטות לקולה ממתחם העונש ההולם; </w:t>
      </w:r>
      <w:r>
        <w:rPr>
          <w:u w:val="single"/>
          <w:rtl/>
        </w:rPr>
        <w:t>וב</w:t>
      </w:r>
      <w:hyperlink r:id="rId57" w:history="1">
        <w:r w:rsidR="0066689D" w:rsidRPr="0066689D">
          <w:rPr>
            <w:color w:val="0000FF"/>
            <w:u w:val="single"/>
            <w:rtl/>
          </w:rPr>
          <w:t>ת"פ 41783-12-17</w:t>
        </w:r>
      </w:hyperlink>
      <w:r>
        <w:rPr>
          <w:u w:val="single"/>
          <w:rtl/>
        </w:rPr>
        <w:t xml:space="preserve"> </w:t>
      </w:r>
      <w:r>
        <w:rPr>
          <w:b/>
          <w:bCs/>
          <w:rtl/>
        </w:rPr>
        <w:t>מדינת ישראל נ' ראובני</w:t>
      </w:r>
      <w:r>
        <w:rPr>
          <w:rtl/>
        </w:rPr>
        <w:t xml:space="preserve"> [פורסם בנבו] (10.10.2019), (פסיקה נוספת שניתנה ע"י מותב זה) נקבע כי יש מקום לסטות לקולה ממתחם הענישה, וזאת לאחר שבית המשפט השתכנע כי קיים סיכוי של ממש כי הנאשם ישתקם בעתיד. פסקי דין אלו אליהם הפנתה ההגנה אכן תומכים בעמדה, לפיה ניתן לחרוג ממתחמי הענישה משיקולי שיקום במקרים המתאימים.</w:t>
      </w:r>
    </w:p>
    <w:p w14:paraId="61FFEE00" w14:textId="77777777" w:rsidR="0043359C" w:rsidRDefault="0043359C" w:rsidP="00B2181B">
      <w:pPr>
        <w:pStyle w:val="ListParagraph"/>
        <w:numPr>
          <w:ilvl w:val="0"/>
          <w:numId w:val="2"/>
        </w:numPr>
        <w:tabs>
          <w:tab w:val="left" w:pos="26"/>
          <w:tab w:val="left" w:pos="8164"/>
        </w:tabs>
        <w:spacing w:after="0"/>
        <w:ind w:left="-58" w:right="142"/>
      </w:pPr>
      <w:r>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Pr>
          <w:b/>
          <w:bCs/>
          <w:rtl/>
        </w:rPr>
        <w:t>ו"אין עסקינן בשיטת ניקוד, או באריתמטיקה. ענישה היא מלאכת מחשבת – ולא מלאכת מחשב"</w:t>
      </w:r>
      <w:r>
        <w:rPr>
          <w:rtl/>
        </w:rPr>
        <w:t xml:space="preserve"> (ראו לעניין זה, </w:t>
      </w:r>
      <w:hyperlink r:id="rId58" w:history="1">
        <w:r w:rsidR="0066689D" w:rsidRPr="0066689D">
          <w:rPr>
            <w:color w:val="0000FF"/>
            <w:u w:val="single"/>
            <w:rtl/>
          </w:rPr>
          <w:t>ע"פ 5768/10</w:t>
        </w:r>
      </w:hyperlink>
      <w:r>
        <w:rPr>
          <w:rtl/>
        </w:rPr>
        <w:t xml:space="preserve"> </w:t>
      </w:r>
      <w:r>
        <w:rPr>
          <w:b/>
          <w:bCs/>
          <w:rtl/>
        </w:rPr>
        <w:t>פלוני נ' מדינת ישראל</w:t>
      </w:r>
      <w:r>
        <w:rPr>
          <w:rtl/>
        </w:rPr>
        <w:t xml:space="preserve">, </w:t>
      </w:r>
      <w:r>
        <w:rPr>
          <w:shd w:val="clear" w:color="auto" w:fill="FAFAFA"/>
          <w:rtl/>
        </w:rPr>
        <w:t>[פורסם בנבו] (</w:t>
      </w:r>
      <w:r>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59" w:history="1">
        <w:r w:rsidR="0066689D" w:rsidRPr="0066689D">
          <w:rPr>
            <w:color w:val="0000FF"/>
            <w:u w:val="single"/>
            <w:rtl/>
          </w:rPr>
          <w:t>ע"פ 433/89</w:t>
        </w:r>
      </w:hyperlink>
      <w:r>
        <w:rPr>
          <w:rtl/>
        </w:rPr>
        <w:t xml:space="preserve"> </w:t>
      </w:r>
      <w:r>
        <w:rPr>
          <w:b/>
          <w:bCs/>
          <w:rtl/>
        </w:rPr>
        <w:t>אטיאס נ' מדינת ישראל</w:t>
      </w:r>
      <w:r>
        <w:rPr>
          <w:rtl/>
        </w:rPr>
        <w:t xml:space="preserve">, פ"ד מג(4) 170, (1989); </w:t>
      </w:r>
      <w:r>
        <w:rPr>
          <w:u w:val="single"/>
          <w:rtl/>
        </w:rPr>
        <w:t>ו</w:t>
      </w:r>
      <w:hyperlink r:id="rId60" w:history="1">
        <w:r w:rsidR="0066689D" w:rsidRPr="0066689D">
          <w:rPr>
            <w:color w:val="0000FF"/>
            <w:u w:val="single"/>
            <w:rtl/>
          </w:rPr>
          <w:t>רע"פ 3173/09</w:t>
        </w:r>
      </w:hyperlink>
      <w:r>
        <w:rPr>
          <w:rtl/>
        </w:rPr>
        <w:t xml:space="preserve"> </w:t>
      </w:r>
      <w:r>
        <w:rPr>
          <w:b/>
          <w:bCs/>
          <w:rtl/>
        </w:rPr>
        <w:t>פראגין נ' מדינת ישראל</w:t>
      </w:r>
      <w:r>
        <w:rPr>
          <w:rtl/>
        </w:rPr>
        <w:t xml:space="preserve">, </w:t>
      </w:r>
      <w:r>
        <w:rPr>
          <w:shd w:val="clear" w:color="auto" w:fill="FAFAFA"/>
          <w:rtl/>
        </w:rPr>
        <w:t>[פורסם בנבו] (</w:t>
      </w:r>
      <w:r>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61" w:history="1">
        <w:r w:rsidR="0066689D" w:rsidRPr="0066689D">
          <w:rPr>
            <w:color w:val="0000FF"/>
            <w:u w:val="single"/>
            <w:rtl/>
          </w:rPr>
          <w:t>ע"פ 1903/13</w:t>
        </w:r>
      </w:hyperlink>
      <w:r>
        <w:rPr>
          <w:rtl/>
        </w:rPr>
        <w:t xml:space="preserve"> </w:t>
      </w:r>
      <w:r>
        <w:rPr>
          <w:b/>
          <w:bCs/>
          <w:rtl/>
        </w:rPr>
        <w:t>עיאשה נ' מדינת ישראל</w:t>
      </w:r>
      <w:r>
        <w:rPr>
          <w:rtl/>
        </w:rPr>
        <w:t xml:space="preserve">, </w:t>
      </w:r>
      <w:r>
        <w:rPr>
          <w:shd w:val="clear" w:color="auto" w:fill="FAFAFA"/>
          <w:rtl/>
        </w:rPr>
        <w:t>[פורסם בנבו] (</w:t>
      </w:r>
      <w:r>
        <w:rPr>
          <w:rtl/>
        </w:rPr>
        <w:t>25.06.2013)).</w:t>
      </w:r>
    </w:p>
    <w:p w14:paraId="325A663E" w14:textId="77777777" w:rsidR="0043359C" w:rsidRDefault="0043359C" w:rsidP="00B2181B">
      <w:pPr>
        <w:pStyle w:val="ListParagraph"/>
        <w:numPr>
          <w:ilvl w:val="0"/>
          <w:numId w:val="2"/>
        </w:numPr>
        <w:tabs>
          <w:tab w:val="left" w:pos="26"/>
          <w:tab w:val="left" w:pos="8164"/>
        </w:tabs>
        <w:spacing w:after="0"/>
        <w:ind w:left="-58" w:right="142"/>
      </w:pPr>
      <w:r>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העבירות, כפי שפורט בהרחבה לעיל, הריני לקבוע כי </w:t>
      </w:r>
      <w:r>
        <w:rPr>
          <w:b/>
          <w:bCs/>
          <w:rtl/>
        </w:rPr>
        <w:t>בגין מכלול מעשיו של הנאשם על מתחם העונש ההולם לנוע בין כמה חודשים מאסר שיכול וירוצו בעבודות שירות לבין 10 חודשים מאסר בפועל</w:t>
      </w:r>
      <w:r>
        <w:rPr>
          <w:rtl/>
        </w:rPr>
        <w:t>.</w:t>
      </w:r>
    </w:p>
    <w:p w14:paraId="5111361C" w14:textId="77777777" w:rsidR="0043359C" w:rsidRDefault="0043359C" w:rsidP="00F12608">
      <w:pPr>
        <w:pStyle w:val="ListParagraph"/>
        <w:tabs>
          <w:tab w:val="left" w:pos="8164"/>
        </w:tabs>
        <w:spacing w:after="0"/>
        <w:ind w:left="-58" w:right="142" w:firstLine="0"/>
      </w:pPr>
    </w:p>
    <w:p w14:paraId="1C55A4FE" w14:textId="77777777" w:rsidR="0043359C" w:rsidRDefault="0043359C" w:rsidP="00F12608">
      <w:pPr>
        <w:pStyle w:val="1"/>
        <w:tabs>
          <w:tab w:val="left" w:pos="8164"/>
        </w:tabs>
        <w:spacing w:before="0" w:line="360" w:lineRule="auto"/>
        <w:ind w:left="-58" w:right="142" w:hanging="425"/>
        <w:jc w:val="both"/>
        <w:rPr>
          <w:rFonts w:ascii="David" w:hAnsi="David" w:cs="David"/>
          <w:b/>
          <w:bCs/>
          <w:color w:val="auto"/>
          <w:sz w:val="28"/>
          <w:szCs w:val="28"/>
          <w:u w:val="single"/>
        </w:rPr>
      </w:pPr>
      <w:r>
        <w:rPr>
          <w:rFonts w:ascii="David" w:hAnsi="David" w:cs="David"/>
          <w:b/>
          <w:bCs/>
          <w:color w:val="auto"/>
          <w:sz w:val="28"/>
          <w:szCs w:val="28"/>
          <w:rtl/>
        </w:rPr>
        <w:t>ד.</w:t>
      </w:r>
      <w:r>
        <w:rPr>
          <w:rFonts w:ascii="David" w:hAnsi="David" w:cs="David"/>
          <w:color w:val="auto"/>
          <w:sz w:val="24"/>
          <w:szCs w:val="24"/>
          <w:rtl/>
        </w:rPr>
        <w:t xml:space="preserve">    </w:t>
      </w:r>
      <w:r>
        <w:rPr>
          <w:rFonts w:ascii="David" w:hAnsi="David" w:cs="David"/>
          <w:b/>
          <w:bCs/>
          <w:color w:val="auto"/>
          <w:sz w:val="28"/>
          <w:szCs w:val="28"/>
          <w:u w:val="single"/>
          <w:rtl/>
        </w:rPr>
        <w:t>שאלת הסטייה לקולה מהמתחם; הארכת המאסר המותנה; וגזירת העונש המתאים לנאשם</w:t>
      </w:r>
    </w:p>
    <w:p w14:paraId="1CA76F6E" w14:textId="77777777" w:rsidR="0043359C" w:rsidRDefault="0043359C" w:rsidP="00B2181B">
      <w:pPr>
        <w:pStyle w:val="ListParagraph"/>
        <w:numPr>
          <w:ilvl w:val="0"/>
          <w:numId w:val="2"/>
        </w:numPr>
        <w:tabs>
          <w:tab w:val="left" w:pos="26"/>
          <w:tab w:val="left" w:pos="8164"/>
        </w:tabs>
        <w:spacing w:after="0"/>
        <w:ind w:left="-58" w:right="142" w:hanging="425"/>
      </w:pPr>
      <w:r>
        <w:rPr>
          <w:rtl/>
        </w:rPr>
        <w:t xml:space="preserve">נגד הנאשם תלוי ועומד מאסר מותנה בן 3 חודשים לתקופה של 3 שנים מיום 23.09.2019 במסגרת </w:t>
      </w:r>
      <w:hyperlink r:id="rId62" w:history="1">
        <w:r w:rsidR="0066689D" w:rsidRPr="0066689D">
          <w:rPr>
            <w:color w:val="0000FF"/>
            <w:u w:val="single"/>
            <w:rtl/>
          </w:rPr>
          <w:t>תתע"א 10752-12-18</w:t>
        </w:r>
      </w:hyperlink>
      <w:r>
        <w:rPr>
          <w:u w:val="single"/>
          <w:rtl/>
        </w:rPr>
        <w:t xml:space="preserve"> </w:t>
      </w:r>
      <w:r>
        <w:rPr>
          <w:rtl/>
        </w:rPr>
        <w:t>(בית משפט לתעבורה בפתח תקווה) והתנאי הוא שהנאשם לא יעבור עבירה של נהיגה בשכרות או תחת משקאות משכרים/סם או נהיגה ללא רישיון נהיגה תקף מעל 24 חודשים או נהיגה בזמן פסילה (להלן: "</w:t>
      </w:r>
      <w:r>
        <w:rPr>
          <w:b/>
          <w:bCs/>
          <w:rtl/>
        </w:rPr>
        <w:t>המאסר המותנה</w:t>
      </w:r>
      <w:r>
        <w:rPr>
          <w:rtl/>
        </w:rPr>
        <w:t xml:space="preserve">"). </w:t>
      </w:r>
    </w:p>
    <w:p w14:paraId="5E6A898E" w14:textId="77777777" w:rsidR="0043359C" w:rsidRDefault="0043359C" w:rsidP="00B2181B">
      <w:pPr>
        <w:pStyle w:val="ListParagraph"/>
        <w:numPr>
          <w:ilvl w:val="0"/>
          <w:numId w:val="2"/>
        </w:numPr>
        <w:tabs>
          <w:tab w:val="left" w:pos="26"/>
          <w:tab w:val="left" w:pos="8164"/>
        </w:tabs>
        <w:spacing w:after="0"/>
        <w:ind w:left="-58" w:right="142"/>
        <w:rPr>
          <w:rtl/>
        </w:rPr>
      </w:pPr>
      <w:r>
        <w:rPr>
          <w:rtl/>
        </w:rPr>
        <w:t xml:space="preserve">והנה בתקופת התנאי עבר הנאשם עבירה של נהיגה תחת השפעת סמים בניגוד </w:t>
      </w:r>
      <w:hyperlink r:id="rId63" w:history="1">
        <w:r w:rsidR="00CC60E1" w:rsidRPr="00CC60E1">
          <w:rPr>
            <w:rStyle w:val="Hyperlink"/>
            <w:rtl/>
          </w:rPr>
          <w:t>ל</w:t>
        </w:r>
        <w:bookmarkStart w:id="16" w:name="Seif11"/>
        <w:r w:rsidR="00CC60E1" w:rsidRPr="00CC60E1">
          <w:rPr>
            <w:rStyle w:val="Hyperlink"/>
            <w:rtl/>
          </w:rPr>
          <w:t xml:space="preserve">סעיף </w:t>
        </w:r>
        <w:bookmarkEnd w:id="16"/>
        <w:r w:rsidR="00CC60E1" w:rsidRPr="00CC60E1">
          <w:rPr>
            <w:rStyle w:val="Hyperlink"/>
            <w:rtl/>
          </w:rPr>
          <w:t>62(3)</w:t>
        </w:r>
      </w:hyperlink>
      <w:r>
        <w:rPr>
          <w:rtl/>
        </w:rPr>
        <w:t xml:space="preserve"> </w:t>
      </w:r>
      <w:r>
        <w:rPr>
          <w:u w:val="single"/>
          <w:rtl/>
        </w:rPr>
        <w:t>ל</w:t>
      </w:r>
      <w:hyperlink r:id="rId64" w:history="1">
        <w:r w:rsidR="0066689D" w:rsidRPr="0066689D">
          <w:rPr>
            <w:color w:val="0000FF"/>
            <w:u w:val="single"/>
            <w:rtl/>
          </w:rPr>
          <w:t>פקודת התעבורה</w:t>
        </w:r>
      </w:hyperlink>
      <w:r>
        <w:rPr>
          <w:u w:val="single"/>
          <w:rtl/>
        </w:rPr>
        <w:t>( נ"ח) תשכ"א- 1961,</w:t>
      </w:r>
      <w:r>
        <w:rPr>
          <w:rtl/>
        </w:rPr>
        <w:t xml:space="preserve"> כך שברי כי המאסר המותנה הינו בר הפעלה בעניינינו. </w:t>
      </w:r>
    </w:p>
    <w:p w14:paraId="382BE813" w14:textId="77777777" w:rsidR="0043359C" w:rsidRDefault="0043359C" w:rsidP="00B2181B">
      <w:pPr>
        <w:pStyle w:val="ListParagraph"/>
        <w:numPr>
          <w:ilvl w:val="0"/>
          <w:numId w:val="2"/>
        </w:numPr>
        <w:tabs>
          <w:tab w:val="left" w:pos="26"/>
          <w:tab w:val="left" w:pos="8164"/>
        </w:tabs>
        <w:spacing w:after="0"/>
        <w:ind w:left="-58" w:right="142"/>
      </w:pPr>
      <w:r>
        <w:rPr>
          <w:rtl/>
        </w:rPr>
        <w:t xml:space="preserve">בשים לב למתחם העונש שנקבע לעיל, ולנוכח הוראות </w:t>
      </w:r>
      <w:hyperlink r:id="rId65" w:history="1">
        <w:bookmarkStart w:id="17" w:name="Seif2"/>
        <w:r w:rsidR="00CC60E1" w:rsidRPr="00CC60E1">
          <w:rPr>
            <w:rStyle w:val="Hyperlink"/>
            <w:rtl/>
          </w:rPr>
          <w:t xml:space="preserve">סעיפים </w:t>
        </w:r>
        <w:bookmarkEnd w:id="17"/>
        <w:r w:rsidR="00CC60E1" w:rsidRPr="00CC60E1">
          <w:rPr>
            <w:rStyle w:val="Hyperlink"/>
            <w:rtl/>
          </w:rPr>
          <w:t>54</w:t>
        </w:r>
      </w:hyperlink>
      <w:r w:rsidRPr="0066689D">
        <w:rPr>
          <w:color w:val="000000"/>
          <w:rtl/>
        </w:rPr>
        <w:t xml:space="preserve"> ו </w:t>
      </w:r>
      <w:hyperlink r:id="rId66" w:history="1">
        <w:r w:rsidR="00CC60E1" w:rsidRPr="00CC60E1">
          <w:rPr>
            <w:rStyle w:val="Hyperlink"/>
            <w:rtl/>
          </w:rPr>
          <w:t>56</w:t>
        </w:r>
      </w:hyperlink>
      <w:r>
        <w:rPr>
          <w:rtl/>
        </w:rPr>
        <w:t xml:space="preserve"> ל</w:t>
      </w:r>
      <w:hyperlink r:id="rId67" w:history="1">
        <w:r w:rsidR="0066689D" w:rsidRPr="0066689D">
          <w:rPr>
            <w:color w:val="0000FF"/>
            <w:u w:val="single"/>
            <w:rtl/>
          </w:rPr>
          <w:t>חוק העונשין</w:t>
        </w:r>
      </w:hyperlink>
      <w:r>
        <w:rPr>
          <w:u w:val="single"/>
          <w:rtl/>
        </w:rPr>
        <w:t xml:space="preserve">, </w:t>
      </w:r>
      <w:r>
        <w:rPr>
          <w:rtl/>
        </w:rPr>
        <w:t xml:space="preserve">יוצא כי שאלות של סטייה לקולה ממתחם העונש ההולם והארכת המאסר המותנה כרוכות במידה רבה זו בזו. בהינתן האמור, בית המשפט יפעל כדלקמן: תחילה, אבחן אם בעניינו של הנאשם מתקיימים שיקולי שיקום אשר יש בהם כדי להצדיק סטייה לקולה ממתחם העונש ההולם; לאחר מכן, וככל שהתשובה לשאלה הראשונה תיענה בחיוב, אבחן אם מתקיימים בעניינו אותם טעמים מיוחדים אשר יכולים להצדיק את הארכת המאסר המותנה התלוי ועומד נגדו. </w:t>
      </w:r>
    </w:p>
    <w:p w14:paraId="0772F26E" w14:textId="77777777" w:rsidR="0043359C" w:rsidRDefault="0043359C" w:rsidP="00B2181B">
      <w:pPr>
        <w:pStyle w:val="ListParagraph"/>
        <w:numPr>
          <w:ilvl w:val="0"/>
          <w:numId w:val="2"/>
        </w:numPr>
        <w:tabs>
          <w:tab w:val="left" w:pos="26"/>
          <w:tab w:val="left" w:pos="8164"/>
        </w:tabs>
        <w:spacing w:after="0"/>
        <w:ind w:left="-58" w:right="142" w:hanging="283"/>
      </w:pPr>
      <w:r>
        <w:rPr>
          <w:rtl/>
        </w:rPr>
        <w:t xml:space="preserve">כאמור </w:t>
      </w:r>
      <w:hyperlink r:id="rId68" w:history="1">
        <w:r w:rsidR="00CC60E1" w:rsidRPr="00CC60E1">
          <w:rPr>
            <w:rStyle w:val="Hyperlink"/>
            <w:rtl/>
          </w:rPr>
          <w:t>ב</w:t>
        </w:r>
        <w:bookmarkStart w:id="18" w:name="Seif12"/>
        <w:r w:rsidR="00CC60E1" w:rsidRPr="00CC60E1">
          <w:rPr>
            <w:rStyle w:val="Hyperlink"/>
            <w:rtl/>
          </w:rPr>
          <w:t xml:space="preserve">סעיף </w:t>
        </w:r>
        <w:bookmarkEnd w:id="18"/>
        <w:r w:rsidR="00CC60E1" w:rsidRPr="00CC60E1">
          <w:rPr>
            <w:rStyle w:val="Hyperlink"/>
            <w:rtl/>
          </w:rPr>
          <w:t>40ד(א)</w:t>
        </w:r>
      </w:hyperlink>
      <w:r>
        <w:rPr>
          <w:rtl/>
        </w:rPr>
        <w:t xml:space="preserve"> </w:t>
      </w:r>
      <w:r>
        <w:rPr>
          <w:u w:val="single"/>
          <w:rtl/>
        </w:rPr>
        <w:t>ל</w:t>
      </w:r>
      <w:hyperlink r:id="rId69" w:history="1">
        <w:r w:rsidR="0066689D" w:rsidRPr="0066689D">
          <w:rPr>
            <w:color w:val="0000FF"/>
            <w:u w:val="single"/>
            <w:rtl/>
          </w:rPr>
          <w:t>חוק העונשין</w:t>
        </w:r>
      </w:hyperlink>
      <w:r>
        <w:rPr>
          <w:u w:val="single"/>
          <w:rtl/>
        </w:rPr>
        <w:t>,</w:t>
      </w:r>
      <w:r>
        <w:rPr>
          <w:rtl/>
        </w:rPr>
        <w:t xml:space="preserve"> מקום שבו מצא בית המשפט כי הנאשם </w:t>
      </w:r>
      <w:r>
        <w:rPr>
          <w:b/>
          <w:bCs/>
          <w:rtl/>
        </w:rPr>
        <w:t>השתקם או כי קיים סיכוי של ממש שישתקם בעתיד</w:t>
      </w:r>
      <w:r>
        <w:rPr>
          <w:rtl/>
        </w:rPr>
        <w:t>, כי אז יהא הוא רשאי לסטות לקולה ממתחם העונש ההולם. בהקשר זה – לא התעלמתי מעברו התעבורתי של הנאשם (</w:t>
      </w:r>
      <w:r>
        <w:rPr>
          <w:b/>
          <w:bCs/>
          <w:rtl/>
        </w:rPr>
        <w:t>ת/2),</w:t>
      </w:r>
      <w:r>
        <w:rPr>
          <w:rtl/>
        </w:rPr>
        <w:t xml:space="preserve"> המעלה כי בעברו 7 רישומים  בעבירות שונות ובהן נהיגה תחת השפעת סמים משכרים או משקאות משכרים; עצירת רכב או </w:t>
      </w:r>
      <w:bookmarkStart w:id="19" w:name="Seif18"/>
      <w:r>
        <w:rPr>
          <w:rtl/>
        </w:rPr>
        <w:t xml:space="preserve">חלק ממנו </w:t>
      </w:r>
      <w:bookmarkEnd w:id="19"/>
      <w:r>
        <w:rPr>
          <w:rtl/>
        </w:rPr>
        <w:t>על המדרכה; נהיגה ללא חגורת בטיחות; ומהירות 40-26 קמ"ש מעל המותר –</w:t>
      </w:r>
    </w:p>
    <w:p w14:paraId="5FCB0B0D" w14:textId="77777777" w:rsidR="0043359C" w:rsidRDefault="0043359C" w:rsidP="00F12608">
      <w:pPr>
        <w:pStyle w:val="ListParagraph"/>
        <w:tabs>
          <w:tab w:val="left" w:pos="8164"/>
        </w:tabs>
        <w:spacing w:after="0"/>
        <w:ind w:left="-58" w:right="142" w:firstLine="0"/>
      </w:pPr>
      <w:r>
        <w:rPr>
          <w:rtl/>
        </w:rPr>
        <w:t xml:space="preserve">בגינם, הנאשם נידון לעונשים בדמות מאסר מותנה; פסילת רישיון בפועל; פסילת רישיון מותנית וקנסות (כשהאחרון שבהם כאמור זה מכבר, מיום 23.09.2019 בעבירה של נהיגה תחת השפעת סמים משכרים או משקאות משכרים בניגוד </w:t>
      </w:r>
      <w:hyperlink r:id="rId70" w:history="1">
        <w:r w:rsidR="00CC60E1" w:rsidRPr="00CC60E1">
          <w:rPr>
            <w:rStyle w:val="Hyperlink"/>
            <w:rtl/>
          </w:rPr>
          <w:t>ל</w:t>
        </w:r>
        <w:bookmarkStart w:id="20" w:name="Seif13"/>
        <w:r w:rsidR="00CC60E1" w:rsidRPr="00CC60E1">
          <w:rPr>
            <w:rStyle w:val="Hyperlink"/>
            <w:rtl/>
          </w:rPr>
          <w:t xml:space="preserve">סעיף </w:t>
        </w:r>
        <w:bookmarkEnd w:id="20"/>
        <w:r w:rsidR="00CC60E1" w:rsidRPr="00CC60E1">
          <w:rPr>
            <w:rStyle w:val="Hyperlink"/>
            <w:rtl/>
          </w:rPr>
          <w:t>26 (2)</w:t>
        </w:r>
      </w:hyperlink>
      <w:r>
        <w:rPr>
          <w:rtl/>
        </w:rPr>
        <w:t xml:space="preserve"> </w:t>
      </w:r>
      <w:r>
        <w:rPr>
          <w:u w:val="single"/>
          <w:rtl/>
        </w:rPr>
        <w:t>ל</w:t>
      </w:r>
      <w:hyperlink r:id="rId71" w:history="1">
        <w:bookmarkStart w:id="21" w:name="Seif8"/>
        <w:r w:rsidR="0066689D" w:rsidRPr="0066689D">
          <w:rPr>
            <w:color w:val="0000FF"/>
            <w:u w:val="single"/>
            <w:rtl/>
          </w:rPr>
          <w:t xml:space="preserve">תקנות </w:t>
        </w:r>
        <w:bookmarkEnd w:id="21"/>
        <w:r w:rsidR="0066689D" w:rsidRPr="0066689D">
          <w:rPr>
            <w:color w:val="0000FF"/>
            <w:u w:val="single"/>
            <w:rtl/>
          </w:rPr>
          <w:t>התעבורה</w:t>
        </w:r>
      </w:hyperlink>
      <w:r>
        <w:rPr>
          <w:u w:val="single"/>
          <w:rtl/>
        </w:rPr>
        <w:t xml:space="preserve"> תשכ"א-1961</w:t>
      </w:r>
      <w:r>
        <w:rPr>
          <w:rtl/>
        </w:rPr>
        <w:t xml:space="preserve"> בגינו הלה נידון לעונשים בדמות מאסר מותנה בן 3 חודשים ("</w:t>
      </w:r>
      <w:r>
        <w:rPr>
          <w:b/>
          <w:bCs/>
          <w:rtl/>
        </w:rPr>
        <w:t>המאסר המותנה</w:t>
      </w:r>
      <w:r>
        <w:rPr>
          <w:rtl/>
        </w:rPr>
        <w:t xml:space="preserve">") ; קנס כספי; פסילה בפועל; ופסילה מותנית). </w:t>
      </w:r>
    </w:p>
    <w:p w14:paraId="0B73C832" w14:textId="77777777" w:rsidR="0043359C" w:rsidRDefault="0043359C" w:rsidP="00B2181B">
      <w:pPr>
        <w:pStyle w:val="ListParagraph"/>
        <w:numPr>
          <w:ilvl w:val="0"/>
          <w:numId w:val="2"/>
        </w:numPr>
        <w:tabs>
          <w:tab w:val="left" w:pos="26"/>
          <w:tab w:val="left" w:pos="8164"/>
        </w:tabs>
        <w:spacing w:after="0"/>
        <w:ind w:left="-58" w:right="142" w:hanging="425"/>
      </w:pPr>
      <w:r>
        <w:rPr>
          <w:rtl/>
        </w:rPr>
        <w:t xml:space="preserve">עוד לא נעלם מעיניי </w:t>
      </w:r>
      <w:r>
        <w:rPr>
          <w:b/>
          <w:bCs/>
          <w:rtl/>
        </w:rPr>
        <w:t>שהעבירות שבמוקד כתב האישום בוצעו לפני כארבע שנים,</w:t>
      </w:r>
      <w:r>
        <w:rPr>
          <w:rtl/>
        </w:rPr>
        <w:t xml:space="preserve"> כשאת מירב המשקל בנקודה זו יש להעניק לא לאותה ספירת זמן "טכנית" – אלא לכך שעסקינן בנאשם, שב</w:t>
      </w:r>
      <w:bookmarkStart w:id="22" w:name="Seif19"/>
      <w:r>
        <w:rPr>
          <w:rtl/>
        </w:rPr>
        <w:t xml:space="preserve">פרק הזמן </w:t>
      </w:r>
      <w:bookmarkEnd w:id="22"/>
      <w:r>
        <w:rPr>
          <w:rtl/>
        </w:rPr>
        <w:t>שחלף מאז ביצוע העבירות שבגינן הוא נותן את הדין כעת, היטיב את דרכיו ונמנע מלשוב ולבצע עבירות נוספות.</w:t>
      </w:r>
    </w:p>
    <w:p w14:paraId="73D3CACD" w14:textId="77777777" w:rsidR="0043359C" w:rsidRDefault="0043359C" w:rsidP="00B2181B">
      <w:pPr>
        <w:pStyle w:val="ListParagraph"/>
        <w:numPr>
          <w:ilvl w:val="0"/>
          <w:numId w:val="2"/>
        </w:numPr>
        <w:tabs>
          <w:tab w:val="left" w:pos="26"/>
          <w:tab w:val="left" w:pos="8164"/>
        </w:tabs>
        <w:spacing w:after="0"/>
        <w:ind w:left="-58" w:right="142"/>
      </w:pPr>
      <w:r>
        <w:rPr>
          <w:rtl/>
        </w:rPr>
        <w:t xml:space="preserve">בעניין זה אף שקלתי את הפגיעה שעלולה להיגרם לנאשם ככל שיושת עליו עונש מאסר (ולו לריצוי בעבודות שירות) בשים לב לפגיעה הכלכלית הכרוכה בכך ובהתחשב בעובדה כי הלה לא ריצה עונשי מאסר בעברו.  </w:t>
      </w:r>
    </w:p>
    <w:p w14:paraId="1F1813DC" w14:textId="77777777" w:rsidR="0043359C" w:rsidRDefault="0043359C" w:rsidP="00B2181B">
      <w:pPr>
        <w:pStyle w:val="ListParagraph"/>
        <w:numPr>
          <w:ilvl w:val="0"/>
          <w:numId w:val="2"/>
        </w:numPr>
        <w:tabs>
          <w:tab w:val="left" w:pos="26"/>
          <w:tab w:val="left" w:pos="8164"/>
        </w:tabs>
        <w:spacing w:after="0"/>
        <w:ind w:left="-58" w:right="142" w:hanging="425"/>
      </w:pPr>
      <w:r>
        <w:rPr>
          <w:rtl/>
        </w:rPr>
        <w:t xml:space="preserve">עוד ולקולה, יש ליתן את הדעת לכך שהנאשם הודה בביצוע העבירות, מה שייתר את העדתם של העדים ואף הביא לחיסכון בזמן שיפוטי יקר. </w:t>
      </w:r>
    </w:p>
    <w:p w14:paraId="79BE9C49" w14:textId="77777777" w:rsidR="0043359C" w:rsidRDefault="0043359C" w:rsidP="00B2181B">
      <w:pPr>
        <w:pStyle w:val="ListParagraph"/>
        <w:numPr>
          <w:ilvl w:val="0"/>
          <w:numId w:val="2"/>
        </w:numPr>
        <w:tabs>
          <w:tab w:val="left" w:pos="26"/>
        </w:tabs>
        <w:spacing w:after="0"/>
        <w:ind w:left="-58" w:right="142" w:hanging="425"/>
        <w:rPr>
          <w:rtl/>
        </w:rPr>
      </w:pPr>
      <w:r>
        <w:rPr>
          <w:rtl/>
        </w:rPr>
        <w:t xml:space="preserve">עוד ובמסגרת מכלול השיקולים, הבאתי בחשבון את גילו הצעיר של הנאשם, הן בעת ביצוע העבירות והן כיום. כזכור, הנאשם ביצע את העבירות שבמוקד כתב האישום עת היה כבן 24 בלבד. כיום הנאשם כבן 28 ולא מן הנמנע לסבור כי הלה משתייך לקבוצת </w:t>
      </w:r>
      <w:r>
        <w:rPr>
          <w:b/>
          <w:bCs/>
          <w:rtl/>
        </w:rPr>
        <w:t>"הבגירים צעירים"</w:t>
      </w:r>
      <w:r>
        <w:rPr>
          <w:rtl/>
        </w:rPr>
        <w:t xml:space="preserve">. והדבר אף עולה בקנה אחד עם התרשמותי מהאמור בתסקירי שירות המבחן, מהם עולה כי הנאשם מודע לנזקקותו הטיפולית לצורך גיבוש זהותו.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הוא נתון שבהחלט יש להידרש אליו (כך למשל, ראו, </w:t>
      </w:r>
      <w:hyperlink r:id="rId72" w:history="1">
        <w:r w:rsidR="0066689D" w:rsidRPr="0066689D">
          <w:rPr>
            <w:color w:val="0000FF"/>
            <w:u w:val="single"/>
            <w:rtl/>
          </w:rPr>
          <w:t>ע"פ 4466/13</w:t>
        </w:r>
      </w:hyperlink>
      <w:r>
        <w:rPr>
          <w:rtl/>
        </w:rPr>
        <w:t xml:space="preserve"> </w:t>
      </w:r>
      <w:r>
        <w:rPr>
          <w:b/>
          <w:bCs/>
          <w:rtl/>
        </w:rPr>
        <w:t>נתנאל אסולין פורטל נ' מדינת ישראל</w:t>
      </w:r>
      <w:r>
        <w:rPr>
          <w:rtl/>
        </w:rPr>
        <w:t>, [פורסם בנבו] (22.05.2014).</w:t>
      </w:r>
    </w:p>
    <w:p w14:paraId="207E93A8" w14:textId="77777777" w:rsidR="0043359C" w:rsidRDefault="0043359C" w:rsidP="00F12608">
      <w:pPr>
        <w:pStyle w:val="ListParagraph"/>
        <w:numPr>
          <w:ilvl w:val="0"/>
          <w:numId w:val="2"/>
        </w:numPr>
        <w:spacing w:after="0"/>
        <w:ind w:left="-58" w:right="142" w:hanging="425"/>
        <w:rPr>
          <w:rtl/>
        </w:rPr>
      </w:pPr>
      <w:r>
        <w:rPr>
          <w:rtl/>
        </w:rPr>
        <w:t xml:space="preserve">כל אלה, על פניו, היו צריכים להביא את בית המשפט למסקנה כי יש לגזור את עונשו של הנאשם ברף התחתון של מתחם העונש ההולם שקבעתי לעיל. אולם, בשים לב לאמור </w:t>
      </w:r>
      <w:hyperlink r:id="rId73" w:history="1">
        <w:r w:rsidR="00CC60E1" w:rsidRPr="00CC60E1">
          <w:rPr>
            <w:rStyle w:val="Hyperlink"/>
            <w:rtl/>
          </w:rPr>
          <w:t>ב</w:t>
        </w:r>
        <w:bookmarkStart w:id="23" w:name="Seif14"/>
        <w:r w:rsidR="00CC60E1" w:rsidRPr="00CC60E1">
          <w:rPr>
            <w:rStyle w:val="Hyperlink"/>
            <w:rtl/>
          </w:rPr>
          <w:t xml:space="preserve">סעיף </w:t>
        </w:r>
        <w:bookmarkEnd w:id="23"/>
        <w:r w:rsidR="00CC60E1" w:rsidRPr="00CC60E1">
          <w:rPr>
            <w:rStyle w:val="Hyperlink"/>
            <w:rtl/>
          </w:rPr>
          <w:t>40ד(א)</w:t>
        </w:r>
      </w:hyperlink>
      <w:r>
        <w:rPr>
          <w:u w:val="single"/>
          <w:rtl/>
        </w:rPr>
        <w:t xml:space="preserve"> ל</w:t>
      </w:r>
      <w:hyperlink r:id="rId74" w:history="1">
        <w:r w:rsidR="0066689D" w:rsidRPr="0066689D">
          <w:rPr>
            <w:color w:val="0000FF"/>
            <w:u w:val="single"/>
            <w:rtl/>
          </w:rPr>
          <w:t>חוק העונשין</w:t>
        </w:r>
      </w:hyperlink>
      <w:r>
        <w:rPr>
          <w:rtl/>
        </w:rPr>
        <w:t xml:space="preserve">, שוכנעתי כי יש מקום במקרה הנדון לסטות לקולה מהמתחם שנקבע על ידי וזאת לאחר שהשתכנעתי כי קיים סיכוי של ממש כי הנאשם ישתקם בעתיד. </w:t>
      </w:r>
      <w:r>
        <w:rPr>
          <w:b/>
          <w:bCs/>
          <w:rtl/>
        </w:rPr>
        <w:t>ובמה דברים אמורים?</w:t>
      </w:r>
    </w:p>
    <w:p w14:paraId="32F366AE" w14:textId="77777777" w:rsidR="0043359C" w:rsidRDefault="0043359C" w:rsidP="00F12608">
      <w:pPr>
        <w:pStyle w:val="ListParagraph"/>
        <w:numPr>
          <w:ilvl w:val="0"/>
          <w:numId w:val="2"/>
        </w:numPr>
        <w:spacing w:after="0"/>
        <w:ind w:left="-58" w:right="142" w:hanging="425"/>
      </w:pPr>
      <w:r>
        <w:rPr>
          <w:b/>
          <w:bCs/>
          <w:rtl/>
        </w:rPr>
        <w:t>בראש ובראשונה,</w:t>
      </w:r>
      <w:r>
        <w:rPr>
          <w:rtl/>
        </w:rPr>
        <w:t xml:space="preserve"> יצוין כי במעמד הטיעונים לעונש הייתה לבית המשפט הזדמנות להתרשם מהנאשם בצורה בלתי אמצעית – עת בין היתר הוא הצטער על מעשיו – ושוכנעתי כי הלה מכה על חטא ומביע חרטה כנה ומעמקי ליבו. כמו כן, ניכר כי ההליכים המשפטיים יצרו השפעה מרתיעה ומצבת גבולות עבורו, והובילוהו להתבוננות בבחירותיו ודפוסיו. עוד יצוין, כי במהלך </w:t>
      </w:r>
      <w:bookmarkStart w:id="24" w:name="Seif20"/>
      <w:r>
        <w:rPr>
          <w:rtl/>
        </w:rPr>
        <w:t xml:space="preserve">פרק הזמן </w:t>
      </w:r>
      <w:bookmarkEnd w:id="24"/>
      <w:r>
        <w:rPr>
          <w:rtl/>
        </w:rPr>
        <w:t xml:space="preserve">המתואר, הנאשם גם מסר בדיקות לאיתור שרידי סם שהעידו על ניקיונו מסמים תוך שהלה נמנע מלשוב ולהסתבך בפלילים. </w:t>
      </w:r>
    </w:p>
    <w:p w14:paraId="3EB6E219" w14:textId="77777777" w:rsidR="0043359C" w:rsidRDefault="0043359C" w:rsidP="00F12608">
      <w:pPr>
        <w:pStyle w:val="ListParagraph"/>
        <w:numPr>
          <w:ilvl w:val="0"/>
          <w:numId w:val="2"/>
        </w:numPr>
        <w:spacing w:after="0"/>
        <w:ind w:left="-58" w:right="142" w:hanging="425"/>
      </w:pPr>
      <w:r>
        <w:rPr>
          <w:b/>
          <w:bCs/>
          <w:rtl/>
        </w:rPr>
        <w:t>ושנית,</w:t>
      </w:r>
      <w:r>
        <w:rPr>
          <w:rtl/>
        </w:rPr>
        <w:t xml:space="preserve"> וברוח זו, לא אוכל להתעלם מההליך הממושך שעבר הנאשם במסגרת שירות המבחן כעולה </w:t>
      </w:r>
      <w:r>
        <w:rPr>
          <w:b/>
          <w:bCs/>
          <w:rtl/>
        </w:rPr>
        <w:t>מתסקירי שירות המבחן שהוגשו בעניינו.</w:t>
      </w:r>
      <w:r>
        <w:rPr>
          <w:rtl/>
        </w:rPr>
        <w:t xml:space="preserve"> כך, </w:t>
      </w:r>
      <w:r>
        <w:rPr>
          <w:u w:val="single"/>
          <w:rtl/>
        </w:rPr>
        <w:t xml:space="preserve">כעולה מתסקיר שירות המבחן שהוגש בעניינו של הנאשם ביום 14.07.2022, </w:t>
      </w:r>
      <w:r>
        <w:rPr>
          <w:rtl/>
        </w:rPr>
        <w:t xml:space="preserve">שירות המבחן אכן התרשם כי מהנאשם נשקף </w:t>
      </w:r>
      <w:r>
        <w:rPr>
          <w:b/>
          <w:bCs/>
          <w:rtl/>
        </w:rPr>
        <w:t xml:space="preserve">סיכון </w:t>
      </w:r>
      <w:r>
        <w:rPr>
          <w:rtl/>
        </w:rPr>
        <w:t xml:space="preserve">להמשך צריכת חומרים ממכרים ולהתנהגות עוברת גבולות. להערכתו זו הגיע השירות לאחר שהתרשם כי המדובר בנאשם אשר משחר ילדותו מתמודד עם מצב משפחתי מורכב אשר גובה ממנו מחירים ברמה האישית והזוגית; קשייו להתמודד עם מצבי דחק; ההתרשמות, לפיה הסמים מהווים עבורו פתרון זמין; תפיסתו של הלה המצדדת בשימוש בחומרים ממכרים והקושי שלו בהבנת הבעייתיות שבצריכת חומרים מעין אלו. עם זאת, שירות המבחן התרשם </w:t>
      </w:r>
      <w:r>
        <w:rPr>
          <w:b/>
          <w:bCs/>
          <w:rtl/>
        </w:rPr>
        <w:t>מסיכויי השיקום</w:t>
      </w:r>
      <w:r>
        <w:rPr>
          <w:rtl/>
        </w:rPr>
        <w:t xml:space="preserve"> הקמים בעניינו של הנאשם עת מדובר בבחור צעיר; החף מהרשעות קודמות;  שבדיקות לאיתור שרידי סם שנערכו לו נמצאו נקיות משרידי סם; יכולתו של הנאשם לאורך השנים לתפקד בצורה תקינה; רגישותו הגבוהה של הנאשם לצרכי הזולת, לרבות לבני משפחתו; ונכונותו של הנאשם להשתלב בטיפול ולעמוד בבדיקות לגילוי שרידי סם.</w:t>
      </w:r>
    </w:p>
    <w:p w14:paraId="090CBE77" w14:textId="77777777" w:rsidR="0043359C" w:rsidRDefault="0043359C" w:rsidP="00F12608">
      <w:pPr>
        <w:pStyle w:val="ListParagraph"/>
        <w:spacing w:after="0"/>
        <w:ind w:left="-58" w:right="142" w:firstLine="0"/>
      </w:pPr>
      <w:r>
        <w:rPr>
          <w:rtl/>
        </w:rPr>
        <w:t xml:space="preserve">בסופו של תסקיר ציין השירות כי להתרשמותו לנאשם עמדה אמביוולנטית שהוא מבטא לגבי הטיפול במסגרת השירות. עם זאת, מצא השירות להמליץ על תקופת ניסיון טיפולית בעניינו שבסופה תגובש המלצה בהתאם למצבו. </w:t>
      </w:r>
    </w:p>
    <w:p w14:paraId="48F3857D" w14:textId="77777777" w:rsidR="0043359C" w:rsidRDefault="0043359C" w:rsidP="00F12608">
      <w:pPr>
        <w:pStyle w:val="ListParagraph"/>
        <w:numPr>
          <w:ilvl w:val="0"/>
          <w:numId w:val="2"/>
        </w:numPr>
        <w:spacing w:after="0"/>
        <w:ind w:left="-58" w:right="142" w:hanging="425"/>
        <w:rPr>
          <w:b/>
          <w:bCs/>
        </w:rPr>
      </w:pPr>
      <w:r>
        <w:rPr>
          <w:rtl/>
        </w:rPr>
        <w:t xml:space="preserve">כך, </w:t>
      </w:r>
      <w:r>
        <w:rPr>
          <w:u w:val="single"/>
          <w:rtl/>
        </w:rPr>
        <w:t>כעולה מתסקיר שירות המבחן מיום 26.06.2023</w:t>
      </w:r>
      <w:r>
        <w:rPr>
          <w:rtl/>
        </w:rPr>
        <w:t xml:space="preserve">, ציין השירות כי הנאשם אמנם ביקש להשתלב בהליך טיפולי, אך בפועל הלה התקשה להגיע לפגישות בעקביות, זאת נוכח תפקידו ההורי, צרכי העבודה, ואף בשל תפיסתו, לפיה הוא ערך שינויים בחייו והגיע למטרות שאותן הוא הציב – ומשכך, הוא לא חש בצורך נוסף בטיפול. יחד עם זאת, </w:t>
      </w:r>
      <w:r>
        <w:rPr>
          <w:b/>
          <w:bCs/>
          <w:rtl/>
        </w:rPr>
        <w:t>שירות המבחן התרשם כי הנאשם אכן החליט לערוך שינויים משמעותיים בחייו והחל להימנע באופן מוחלט משימוש בסמים</w:t>
      </w:r>
      <w:r>
        <w:rPr>
          <w:rtl/>
        </w:rPr>
        <w:t xml:space="preserve"> (כשבדיקות השתן שנערכו לו לאיתור שרידי סם אכן איששו את הדברים); הנאשם החל לעבוד בעבודה נוספת אצל מעסיק נוסף לשם צמצום קשייו הכלכליים ומתוך מטרה לפתח עצמאות כלכלית בהיבט התעסוקתי. משאלה פני הדברים, </w:t>
      </w:r>
      <w:r>
        <w:rPr>
          <w:b/>
          <w:bCs/>
          <w:rtl/>
        </w:rPr>
        <w:t>התרשם השירות כי הנאשם אמנם זקוק להמשך עבודה על גיבוש זהות שלמה יותר אך כי אין באפשרותו של הלה להירתם להליך טיפול אינטנסיבי בשל צרכים משפחתיים ועול הפרנסה והמוטל על שכמו משכך, הומלץ על השתת ענישה שיקומית בדמות צו של"צ בהיקף של 220 שעות, צו מבחן שבמסגרתו הלה יגיע לפגישות פרטניות מעקביות, ובמידת הצורך אף הוצע כי תיבנה עבורו תכנית טיפולית מתאימה, לצד  ענישה נלווית של מאסר מותנה, קנס והתחייבות כספית.</w:t>
      </w:r>
    </w:p>
    <w:p w14:paraId="4154F755" w14:textId="77777777" w:rsidR="0043359C" w:rsidRDefault="0043359C" w:rsidP="00F12608">
      <w:pPr>
        <w:pStyle w:val="ListParagraph"/>
        <w:numPr>
          <w:ilvl w:val="0"/>
          <w:numId w:val="2"/>
        </w:numPr>
        <w:spacing w:after="0"/>
        <w:ind w:left="-58" w:right="142" w:hanging="425"/>
        <w:rPr>
          <w:rtl/>
        </w:rPr>
      </w:pPr>
      <w:r>
        <w:rPr>
          <w:rtl/>
        </w:rPr>
        <w:t xml:space="preserve">וכך, </w:t>
      </w:r>
      <w:r>
        <w:rPr>
          <w:u w:val="single"/>
          <w:rtl/>
        </w:rPr>
        <w:t xml:space="preserve">כעולה מתסקיר שירות המבחן מיום 18.12.2023, </w:t>
      </w:r>
      <w:r>
        <w:rPr>
          <w:rtl/>
        </w:rPr>
        <w:t xml:space="preserve">עדכן השירות כי לא נפתחו נגד הנאשם תיקים נוספים; תוך </w:t>
      </w:r>
      <w:r>
        <w:rPr>
          <w:b/>
          <w:bCs/>
          <w:rtl/>
        </w:rPr>
        <w:t>שהשירות התרשם משיתוף הפעולה של הנאשם עם השירות ומהמאמצים שהלה עורך לעבר שיקום חייו, תוך שלהערכת שירות המבחן המשך שילובו של הנאשם בשוק העבודה והתעסוקה הינו נדבך חשוב מהליך שיקומו.</w:t>
      </w:r>
      <w:r>
        <w:rPr>
          <w:rtl/>
        </w:rPr>
        <w:t xml:space="preserve"> בסיכומם של דברים, שב שירות המבחן על המלצתו העונשית כפי שפורטה בראשית הדברים. </w:t>
      </w:r>
    </w:p>
    <w:p w14:paraId="73A1596F" w14:textId="77777777" w:rsidR="0043359C" w:rsidRDefault="0043359C" w:rsidP="00F12608">
      <w:pPr>
        <w:pStyle w:val="ListParagraph"/>
        <w:numPr>
          <w:ilvl w:val="0"/>
          <w:numId w:val="2"/>
        </w:numPr>
        <w:spacing w:after="0"/>
        <w:ind w:left="-58" w:right="142" w:hanging="425"/>
      </w:pPr>
      <w:r>
        <w:rPr>
          <w:rtl/>
        </w:rPr>
        <w:t xml:space="preserve">הנה כי כן, הרי שמעצם שמירת הנאשם על ניהול אורח חיים תקין ונורמטיבי, התמקדות בהליך השיקום, והיותו, הלכה למעשה, אזרח שומר חוק מזה </w:t>
      </w:r>
      <w:r>
        <w:rPr>
          <w:b/>
          <w:bCs/>
          <w:rtl/>
        </w:rPr>
        <w:t>כארבע שנים</w:t>
      </w:r>
      <w:r>
        <w:rPr>
          <w:rtl/>
        </w:rPr>
        <w:t xml:space="preserve"> מאז שביצע את העבירות שבגינן הוא נותן את הדין כיום – יש כדי לחזק את מסקנתי, לפיה הנאשם השתקם או לחילופין כי קיים סיכוי ממשי שישתקם באופן מלא בעתיד. בנוסף לאלו, להתרשמותי, היה גם בהליכים המשפטיים כדי להרתיע את הנאשם. </w:t>
      </w:r>
    </w:p>
    <w:p w14:paraId="0FF0E433" w14:textId="77777777" w:rsidR="0043359C" w:rsidRDefault="0043359C" w:rsidP="00F12608">
      <w:pPr>
        <w:pStyle w:val="ListParagraph"/>
        <w:numPr>
          <w:ilvl w:val="0"/>
          <w:numId w:val="2"/>
        </w:numPr>
        <w:spacing w:after="0"/>
        <w:ind w:left="-58" w:right="142" w:hanging="425"/>
      </w:pPr>
      <w:r>
        <w:rPr>
          <w:rtl/>
        </w:rPr>
        <w:t>כמו כן, יש לתת את הדעת לכך ששירות המבחן, שהוא כידוע הגורם האמון על בחינת התקדמותו של הנאשם בפן השיקומי, התרשם ממכלול השיקולים והמליץ בסופו של יום לבכר בעניינו את שיקולי השיקום, תוך שהעריך כי הנאשם מצוי בתהליך שינוי משמעותי, וסבר כי השתלבותו של הנאשם בשוק העבודה והתעסוקה הינה משמעותית להליך שיקומו.</w:t>
      </w:r>
    </w:p>
    <w:p w14:paraId="276F2928" w14:textId="77777777" w:rsidR="0043359C" w:rsidRDefault="0043359C" w:rsidP="00F12608">
      <w:pPr>
        <w:numPr>
          <w:ilvl w:val="0"/>
          <w:numId w:val="2"/>
        </w:numPr>
        <w:spacing w:line="360" w:lineRule="auto"/>
        <w:ind w:left="-58" w:right="142" w:hanging="425"/>
        <w:contextualSpacing/>
        <w:jc w:val="both"/>
        <w:rPr>
          <w:rFonts w:ascii="David" w:eastAsia="Times New Roman" w:hAnsi="David"/>
        </w:rPr>
      </w:pPr>
      <w:r>
        <w:rPr>
          <w:rFonts w:ascii="David" w:hAnsi="David"/>
          <w:b/>
          <w:bCs/>
          <w:rtl/>
        </w:rPr>
        <w:t xml:space="preserve"> </w:t>
      </w:r>
      <w:r>
        <w:rPr>
          <w:rtl/>
        </w:rPr>
        <w:t xml:space="preserve">מה עוד,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75" w:history="1">
        <w:r w:rsidR="0066689D" w:rsidRPr="0066689D">
          <w:rPr>
            <w:color w:val="0000FF"/>
            <w:u w:val="single"/>
            <w:rtl/>
          </w:rPr>
          <w:t>ע"פ 1903/13</w:t>
        </w:r>
      </w:hyperlink>
      <w:r>
        <w:rPr>
          <w:rtl/>
        </w:rPr>
        <w:t xml:space="preserve"> </w:t>
      </w:r>
      <w:r>
        <w:rPr>
          <w:b/>
          <w:bCs/>
          <w:rtl/>
        </w:rPr>
        <w:t>חמודה עיאשה נ' מדינת ישראל</w:t>
      </w:r>
      <w:r>
        <w:rPr>
          <w:rtl/>
        </w:rPr>
        <w:t xml:space="preserve">, [פורסם בנבו] (14.07.2013); </w:t>
      </w:r>
      <w:hyperlink r:id="rId76" w:history="1">
        <w:r w:rsidR="0066689D" w:rsidRPr="0066689D">
          <w:rPr>
            <w:color w:val="0000FF"/>
            <w:u w:val="single"/>
            <w:rtl/>
          </w:rPr>
          <w:t>רע"פ 7683/13</w:t>
        </w:r>
      </w:hyperlink>
      <w:r>
        <w:rPr>
          <w:rtl/>
        </w:rPr>
        <w:t xml:space="preserve"> </w:t>
      </w:r>
      <w:r>
        <w:rPr>
          <w:b/>
          <w:bCs/>
          <w:rtl/>
        </w:rPr>
        <w:t>דויד פרלמן נ' מדינת ישראל,</w:t>
      </w:r>
      <w:r>
        <w:rPr>
          <w:rtl/>
        </w:rPr>
        <w:t xml:space="preserve"> [פורסם בנבו] (23.02.2014); </w:t>
      </w:r>
      <w:hyperlink r:id="rId77" w:history="1">
        <w:r w:rsidR="0066689D" w:rsidRPr="0066689D">
          <w:rPr>
            <w:color w:val="0000FF"/>
            <w:u w:val="single"/>
            <w:rtl/>
          </w:rPr>
          <w:t>רע"פ 1441/14</w:t>
        </w:r>
      </w:hyperlink>
      <w:r>
        <w:rPr>
          <w:rtl/>
        </w:rPr>
        <w:t xml:space="preserve"> </w:t>
      </w:r>
      <w:r>
        <w:rPr>
          <w:b/>
          <w:bCs/>
          <w:rtl/>
        </w:rPr>
        <w:t>חמיס נ' מדינת ישראל,</w:t>
      </w:r>
      <w:r>
        <w:rPr>
          <w:rtl/>
        </w:rPr>
        <w:t xml:space="preserve"> [פורסם בנבו] (09.12.2014);</w:t>
      </w:r>
      <w:r>
        <w:rPr>
          <w:rFonts w:ascii="David" w:eastAsia="Times New Roman" w:hAnsi="David"/>
        </w:rPr>
        <w:t xml:space="preserve"> </w:t>
      </w:r>
      <w:hyperlink r:id="rId78" w:history="1">
        <w:r w:rsidR="0066689D" w:rsidRPr="0066689D">
          <w:rPr>
            <w:color w:val="0000FF"/>
            <w:u w:val="single"/>
            <w:rtl/>
          </w:rPr>
          <w:t>ע"פ 5341/13</w:t>
        </w:r>
      </w:hyperlink>
      <w:r>
        <w:rPr>
          <w:rtl/>
        </w:rPr>
        <w:t xml:space="preserve"> </w:t>
      </w:r>
      <w:r>
        <w:rPr>
          <w:b/>
          <w:bCs/>
          <w:rtl/>
        </w:rPr>
        <w:t>מדינת ישראל נ' מוחמד אלקרעאן</w:t>
      </w:r>
      <w:r>
        <w:rPr>
          <w:rtl/>
        </w:rPr>
        <w:t xml:space="preserve">, [פורסם בנבו] (08.12.2013); </w:t>
      </w:r>
      <w:r>
        <w:rPr>
          <w:u w:val="single"/>
          <w:rtl/>
        </w:rPr>
        <w:t>ו</w:t>
      </w:r>
      <w:hyperlink r:id="rId79" w:history="1">
        <w:r w:rsidR="0066689D" w:rsidRPr="0066689D">
          <w:rPr>
            <w:color w:val="0000FF"/>
            <w:u w:val="single"/>
            <w:rtl/>
          </w:rPr>
          <w:t>עפ"ג (מחוזי באר שבע) 37682-03-13</w:t>
        </w:r>
      </w:hyperlink>
      <w:r>
        <w:rPr>
          <w:rtl/>
        </w:rPr>
        <w:t xml:space="preserve"> </w:t>
      </w:r>
      <w:r>
        <w:rPr>
          <w:b/>
          <w:bCs/>
          <w:rtl/>
        </w:rPr>
        <w:t>גרניק נ' מדינת ישראל</w:t>
      </w:r>
      <w:r>
        <w:rPr>
          <w:rtl/>
        </w:rPr>
        <w:t xml:space="preserve">, [פורסם בנבו] (20.11.2013)). והרי שגם במקרה שלפניי, מאז שביצע את העבירה שבגינה הוא נותן את הדין כעת, היטיב הנאשם את דרכיו, המשיך להשתלב בשוק העבודה והתעסוקה ונמנע מלהשתמש בסמים ומלשוב ולבצע עבירות נוספות. לאור אלה, סבורתני שניתן לומר כבר עתה שהלה השתקם או למצער כי קיים סיכוי של ממש שהוא ישתקם בצורה מלאה בעתיד. </w:t>
      </w:r>
    </w:p>
    <w:p w14:paraId="6E8AB8F2" w14:textId="77777777" w:rsidR="0043359C" w:rsidRDefault="0043359C" w:rsidP="00F12608">
      <w:pPr>
        <w:pStyle w:val="ListParagraph"/>
        <w:numPr>
          <w:ilvl w:val="0"/>
          <w:numId w:val="2"/>
        </w:numPr>
        <w:spacing w:after="0"/>
        <w:ind w:left="-58" w:right="142" w:hanging="425"/>
      </w:pPr>
      <w:r>
        <w:rPr>
          <w:rtl/>
        </w:rPr>
        <w:t>כללם של דברים, מצאתי כי יש לבכר במקרה הנדון את שיקולי השיקום על פני יתר השיקולים שבענישה, ולסטות לקולה ממתחם העונש ההולם.</w:t>
      </w:r>
    </w:p>
    <w:p w14:paraId="5AE61ED0" w14:textId="77777777" w:rsidR="0043359C" w:rsidRDefault="0043359C" w:rsidP="00F12608">
      <w:pPr>
        <w:pStyle w:val="ListParagraph"/>
        <w:numPr>
          <w:ilvl w:val="0"/>
          <w:numId w:val="2"/>
        </w:numPr>
        <w:spacing w:after="0"/>
        <w:ind w:left="-58" w:right="142" w:hanging="425"/>
      </w:pPr>
      <w:r>
        <w:rPr>
          <w:rtl/>
        </w:rPr>
        <w:t>כמו כן, אף מצאתי כי מקרהו של הנאשם נמנה בגדר אותם מקרים חריגים שבהם יהיה זה מוצדק ללכת לקראתו כברת דרך נוספת ולהורות על הארכת המאסר המותנה התלוי ועומד נגדו, וזאת מהשיקולים והנימוקים אשר פורטו לעיל, ולנוכח שיקולים נוספים שיפורטו מיד.</w:t>
      </w:r>
    </w:p>
    <w:p w14:paraId="4938F7FD" w14:textId="77777777" w:rsidR="0043359C" w:rsidRDefault="0043359C" w:rsidP="00F12608">
      <w:pPr>
        <w:pStyle w:val="ListParagraph"/>
        <w:numPr>
          <w:ilvl w:val="0"/>
          <w:numId w:val="2"/>
        </w:numPr>
        <w:spacing w:after="0"/>
        <w:ind w:left="-58" w:right="142" w:hanging="425"/>
      </w:pPr>
      <w:r>
        <w:rPr>
          <w:rtl/>
        </w:rPr>
        <w:t>כידוע, מטרתו ותכליתו של עונש המאסר המותנה היא להרתיע את הנאשם מלשוב לסורו, וה</w:t>
      </w:r>
      <w:bookmarkStart w:id="25" w:name="Seif25"/>
      <w:r>
        <w:rPr>
          <w:rtl/>
        </w:rPr>
        <w:t xml:space="preserve">כלל הוא </w:t>
      </w:r>
      <w:bookmarkEnd w:id="25"/>
      <w:r>
        <w:rPr>
          <w:rtl/>
        </w:rPr>
        <w:t xml:space="preserve">שמי שהפר את התנאי ייתן על כך את הדין בחומרה (ראו לעניין זה, </w:t>
      </w:r>
      <w:hyperlink r:id="rId80" w:history="1">
        <w:r w:rsidR="0066689D" w:rsidRPr="0066689D">
          <w:rPr>
            <w:color w:val="0000FF"/>
            <w:u w:val="single"/>
            <w:rtl/>
          </w:rPr>
          <w:t>רע"פ 5798/00</w:t>
        </w:r>
      </w:hyperlink>
      <w:r>
        <w:rPr>
          <w:rtl/>
        </w:rPr>
        <w:t xml:space="preserve"> </w:t>
      </w:r>
      <w:r>
        <w:rPr>
          <w:b/>
          <w:bCs/>
          <w:rtl/>
        </w:rPr>
        <w:t>ריזי נ' מדינת ישראל,</w:t>
      </w:r>
      <w:r>
        <w:rPr>
          <w:rtl/>
        </w:rPr>
        <w:t xml:space="preserve"> פ"ד נה (3) 1 (2001)</w:t>
      </w:r>
      <w:r>
        <w:t>;</w:t>
      </w:r>
      <w:r>
        <w:rPr>
          <w:rtl/>
        </w:rPr>
        <w:t xml:space="preserve"> ו</w:t>
      </w:r>
      <w:hyperlink r:id="rId81" w:history="1">
        <w:r w:rsidR="0066689D" w:rsidRPr="0066689D">
          <w:rPr>
            <w:color w:val="0000FF"/>
            <w:u w:val="single"/>
            <w:rtl/>
          </w:rPr>
          <w:t>רע"פ 3021/14</w:t>
        </w:r>
      </w:hyperlink>
      <w:r>
        <w:rPr>
          <w:rtl/>
        </w:rPr>
        <w:t xml:space="preserve"> </w:t>
      </w:r>
      <w:r>
        <w:rPr>
          <w:b/>
          <w:bCs/>
          <w:rtl/>
        </w:rPr>
        <w:t>ספיר נ' מדינת ישראל</w:t>
      </w:r>
      <w:r>
        <w:rPr>
          <w:rtl/>
        </w:rPr>
        <w:t>, [פורסם בנבו] (13.05.2014)). יחד עם זאת, ל</w:t>
      </w:r>
      <w:bookmarkStart w:id="26" w:name="Seif26"/>
      <w:r>
        <w:rPr>
          <w:rtl/>
        </w:rPr>
        <w:t xml:space="preserve">כלל האמור </w:t>
      </w:r>
      <w:bookmarkEnd w:id="26"/>
      <w:r>
        <w:rPr>
          <w:rtl/>
        </w:rPr>
        <w:t xml:space="preserve">קיים חריג, והכוונה </w:t>
      </w:r>
      <w:hyperlink r:id="rId82" w:history="1">
        <w:r w:rsidR="00CC60E1" w:rsidRPr="00CC60E1">
          <w:rPr>
            <w:rStyle w:val="Hyperlink"/>
            <w:rtl/>
          </w:rPr>
          <w:t>ל</w:t>
        </w:r>
        <w:bookmarkStart w:id="27" w:name="Seif15"/>
        <w:r w:rsidR="00CC60E1" w:rsidRPr="00CC60E1">
          <w:rPr>
            <w:rStyle w:val="Hyperlink"/>
            <w:rtl/>
          </w:rPr>
          <w:t xml:space="preserve">סעיף </w:t>
        </w:r>
        <w:bookmarkEnd w:id="27"/>
        <w:r w:rsidR="00CC60E1" w:rsidRPr="00CC60E1">
          <w:rPr>
            <w:rStyle w:val="Hyperlink"/>
            <w:rtl/>
          </w:rPr>
          <w:t>56(א)</w:t>
        </w:r>
      </w:hyperlink>
      <w:r>
        <w:rPr>
          <w:rtl/>
        </w:rPr>
        <w:t xml:space="preserve"> ל</w:t>
      </w:r>
      <w:hyperlink r:id="rId83" w:history="1">
        <w:r w:rsidR="0066689D" w:rsidRPr="0066689D">
          <w:rPr>
            <w:color w:val="0000FF"/>
            <w:u w:val="single"/>
            <w:rtl/>
          </w:rPr>
          <w:t>חוק העונשין</w:t>
        </w:r>
      </w:hyperlink>
      <w:r>
        <w:rPr>
          <w:rtl/>
        </w:rPr>
        <w:t>, הקובע כי מקום שבו נאשם עבר עבירה (אחת) נוספת שיש בה כדי להפעיל את עונש המאסר המותנה, אך בית המשפט השתכנע כי קיימים טעמים להארכת התנאי וכי בנסיבות העניין לא יהיה זה מוצדק להפעילו – כי אז הוא רשאי להורות על הארכת תקופת התנאי או חידושה.</w:t>
      </w:r>
    </w:p>
    <w:p w14:paraId="298E8A5D" w14:textId="77777777" w:rsidR="0043359C" w:rsidRDefault="0043359C" w:rsidP="00F12608">
      <w:pPr>
        <w:pStyle w:val="ListParagraph"/>
        <w:numPr>
          <w:ilvl w:val="0"/>
          <w:numId w:val="2"/>
        </w:numPr>
        <w:spacing w:after="0"/>
        <w:ind w:left="-58" w:right="142" w:hanging="425"/>
      </w:pPr>
      <w:r>
        <w:rPr>
          <w:rtl/>
        </w:rPr>
        <w:t xml:space="preserve">בעניין זה, אומצה בפסיקתו של בית המשפט העליון הגישה, לפיה שיקול דעתו של בית המשפט בשאלת הארכת המאסר המותנה צריך להתמקד "במצבים שבהם מוצדק לתת לנאשם הזדמנות נוספת לחזור לדרך הישר, כאשר הוא מראה </w:t>
      </w:r>
      <w:bookmarkStart w:id="28" w:name="Seif16"/>
      <w:r>
        <w:rPr>
          <w:rtl/>
        </w:rPr>
        <w:t xml:space="preserve">סימנים </w:t>
      </w:r>
      <w:bookmarkEnd w:id="28"/>
      <w:r>
        <w:rPr>
          <w:rtl/>
        </w:rPr>
        <w:t xml:space="preserve">המניחים יסוד לציפייה כי כך יהיה" (ראו לעניין זה, </w:t>
      </w:r>
      <w:hyperlink r:id="rId84" w:history="1">
        <w:r w:rsidR="0066689D" w:rsidRPr="0066689D">
          <w:rPr>
            <w:color w:val="0000FF"/>
            <w:u w:val="single"/>
            <w:rtl/>
          </w:rPr>
          <w:t>רע"פ 7391/08</w:t>
        </w:r>
      </w:hyperlink>
      <w:r>
        <w:rPr>
          <w:rtl/>
        </w:rPr>
        <w:t xml:space="preserve"> </w:t>
      </w:r>
      <w:r>
        <w:rPr>
          <w:b/>
          <w:bCs/>
          <w:rtl/>
        </w:rPr>
        <w:t>מחאג'נה נ' מדינת ישראל</w:t>
      </w:r>
      <w:r>
        <w:rPr>
          <w:rtl/>
        </w:rPr>
        <w:t xml:space="preserve">, [פורסם בנבו] (14.09.2009). כן ראו למשל, </w:t>
      </w:r>
      <w:hyperlink r:id="rId85" w:history="1">
        <w:r w:rsidR="00B2181B" w:rsidRPr="00B2181B">
          <w:rPr>
            <w:rStyle w:val="Hyperlink"/>
            <w:rtl/>
          </w:rPr>
          <w:t>רע"פ 4902/14</w:t>
        </w:r>
      </w:hyperlink>
      <w:r w:rsidRPr="0066689D">
        <w:rPr>
          <w:color w:val="000000"/>
          <w:rtl/>
        </w:rPr>
        <w:t xml:space="preserve">‏ </w:t>
      </w:r>
      <w:r>
        <w:rPr>
          <w:rtl/>
        </w:rPr>
        <w:t xml:space="preserve"> </w:t>
      </w:r>
      <w:r>
        <w:rPr>
          <w:b/>
          <w:bCs/>
          <w:rtl/>
        </w:rPr>
        <w:t>צבאן נ' מדינת ישראל,</w:t>
      </w:r>
      <w:r>
        <w:rPr>
          <w:rtl/>
        </w:rPr>
        <w:t xml:space="preserve"> [פורסם בנבו] (16.07.2014); </w:t>
      </w:r>
      <w:r>
        <w:rPr>
          <w:u w:val="single"/>
          <w:rtl/>
        </w:rPr>
        <w:t>ו</w:t>
      </w:r>
      <w:hyperlink r:id="rId86" w:history="1">
        <w:r w:rsidR="0066689D" w:rsidRPr="0066689D">
          <w:rPr>
            <w:color w:val="0000FF"/>
            <w:u w:val="single"/>
            <w:rtl/>
          </w:rPr>
          <w:t>רע"פ 2801/14</w:t>
        </w:r>
      </w:hyperlink>
      <w:r>
        <w:rPr>
          <w:rtl/>
        </w:rPr>
        <w:t xml:space="preserve"> </w:t>
      </w:r>
      <w:r>
        <w:rPr>
          <w:b/>
          <w:bCs/>
          <w:rtl/>
        </w:rPr>
        <w:t>מראד נ' מדינת ישראל,</w:t>
      </w:r>
      <w:r>
        <w:rPr>
          <w:rtl/>
        </w:rPr>
        <w:t xml:space="preserve"> [פורסם בנבו] (01.05.2014)).</w:t>
      </w:r>
    </w:p>
    <w:p w14:paraId="5C5EE960" w14:textId="77777777" w:rsidR="0043359C" w:rsidRDefault="0043359C" w:rsidP="00F12608">
      <w:pPr>
        <w:pStyle w:val="ListParagraph"/>
        <w:numPr>
          <w:ilvl w:val="0"/>
          <w:numId w:val="2"/>
        </w:numPr>
        <w:spacing w:after="0"/>
        <w:ind w:left="-58" w:right="142" w:hanging="425"/>
      </w:pPr>
      <w:r>
        <w:rPr>
          <w:rtl/>
        </w:rPr>
        <w:t xml:space="preserve">יוצא אפוא, כי ההליך החיובי שאותו עבר הנאשם במרוצת השנים והתנהלותו התקינה, כפי שפירטתי קודם לכן, מלמדים כי יש יסוד לציפייה, ואף מעבר לכך, שהוא לא ישוב לבצע עוד עבירות, בין אם ממין אלה המיוחסות לו בכתב האישום ובין אם אחרות. דרך החיים שהנאשם דבק בה מאז ביצוע העבירות שבמוקד כתב האישום ניקיונו מסמים ושיתוף הפעולה שלו עם שירות המבחן מעידים כי הלה זנח את עמדותיו ודפוסיו העברייניים וכי כעת הוא מבקש לשקם את חייו ולהשיבם למסלול נורמטיבי. צא ולמד, שהגם אם מסוכנות של הנאשם לא אוינה לחלוטין, הרי שלדידי כך יהיה לאחר שהנאשם ימשיך ויעמיק את הטיפול במסגרת צו המבחן שייגזר עליו. בשים לב לכברת הדרך המשמעותית שאותה עבר הנאשם סבורתני כי הימנעות מהפעלת המאסר המותנה וחיזוק ידיו בדרכו השיקומית תשרת לא רק את טובתו האישית של הנאשם, כי אם את האינטרס הציבורי כולו (וראו בעניין זה, דבריה של כב' השו' א' פרוקצ'יה </w:t>
      </w:r>
      <w:r>
        <w:rPr>
          <w:u w:val="single"/>
          <w:rtl/>
        </w:rPr>
        <w:t>ב</w:t>
      </w:r>
      <w:hyperlink r:id="rId87" w:history="1">
        <w:r w:rsidR="0066689D" w:rsidRPr="0066689D">
          <w:rPr>
            <w:color w:val="0000FF"/>
            <w:u w:val="single"/>
            <w:rtl/>
          </w:rPr>
          <w:t>ע"פ 8092/04</w:t>
        </w:r>
      </w:hyperlink>
      <w:r>
        <w:rPr>
          <w:rtl/>
        </w:rPr>
        <w:t xml:space="preserve"> </w:t>
      </w:r>
      <w:r>
        <w:rPr>
          <w:b/>
          <w:bCs/>
          <w:rtl/>
        </w:rPr>
        <w:t>חביב נ' מדינת ישראל</w:t>
      </w:r>
      <w:r>
        <w:rPr>
          <w:rtl/>
        </w:rPr>
        <w:t xml:space="preserve">, [פורסם בנבו] (10.09.2006)). </w:t>
      </w:r>
    </w:p>
    <w:p w14:paraId="402BEEAD" w14:textId="77777777" w:rsidR="0043359C" w:rsidRDefault="0043359C" w:rsidP="00F12608">
      <w:pPr>
        <w:pStyle w:val="ListParagraph"/>
        <w:numPr>
          <w:ilvl w:val="0"/>
          <w:numId w:val="2"/>
        </w:numPr>
        <w:spacing w:after="0"/>
        <w:ind w:left="-58" w:right="142" w:hanging="425"/>
      </w:pPr>
      <w:r>
        <w:rPr>
          <w:rtl/>
        </w:rPr>
        <w:t xml:space="preserve">הנה כי כן, התרשמתי כי הפעלת המאסר המותנה, ולוּ בדרך של עבודות שירות, תסב לנאשם נזק חמור, שכן משמעות הדבר תהיה קטיעת ההליך החיובי שבעיצומו הוא מצוי כעת. מכל הטעמים האמורים, לא מצאתי נימוקים כבדי משקל שיצדיקו סטייה מהמלצת שירות המבחן להורות על הארכת המאסר המותנה התלוי ועומד נגד הנאשם. </w:t>
      </w:r>
    </w:p>
    <w:p w14:paraId="707044C7" w14:textId="77777777" w:rsidR="0043359C" w:rsidRDefault="0043359C" w:rsidP="00F12608">
      <w:pPr>
        <w:pStyle w:val="ListParagraph"/>
        <w:numPr>
          <w:ilvl w:val="0"/>
          <w:numId w:val="2"/>
        </w:numPr>
        <w:spacing w:after="0"/>
        <w:ind w:left="-58" w:right="142" w:hanging="425"/>
      </w:pPr>
      <w:r>
        <w:rPr>
          <w:b/>
          <w:bCs/>
          <w:rtl/>
        </w:rPr>
        <w:t>ומן התם אל הכא</w:t>
      </w:r>
      <w:r>
        <w:rPr>
          <w:rtl/>
        </w:rPr>
        <w:t xml:space="preserve">, אכן, מלאכת גזירת הדין איננה קלה </w:t>
      </w:r>
      <w:bookmarkStart w:id="29" w:name="Seif27"/>
      <w:r>
        <w:rPr>
          <w:rtl/>
        </w:rPr>
        <w:t>כלל ועיקר</w:t>
      </w:r>
      <w:bookmarkEnd w:id="29"/>
      <w:r>
        <w:rPr>
          <w:rtl/>
        </w:rPr>
        <w:t xml:space="preserve">, ובית המשפט מודע לפסיקה המורה כי בעניינם של נאשמים שהורשעו בעבירות ממין אלו שבהן הורשע הנאשם, צריך האינטרס האישי של הנאשמים לסגת מפני שיקולי הענישה האחרים. יחד עם זאת, כפי שצוין זה מכבר, הענישה לעולם צריכה להיות אינדיווידואלית.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העבירות והביע צער וחרטה על מעשיו, לאור העובדה כי הלה שיתף פעולה ככל יכולתו עם שירות המבחן; לנוכח המלצת שירות המבחן; ולאור החשש שמא השתת ענישה בדמות מאסר (ולו לריצוי בעבודות שירות) תפגע אנושות בהליך השיקום שעובר הנאשם, מצאתי כי ניתן בזו הפעם ללכת לקראתו ולבכר את שיקול השיקום בעניינו. </w:t>
      </w:r>
    </w:p>
    <w:p w14:paraId="1E0B6FA5" w14:textId="77777777" w:rsidR="0043359C" w:rsidRDefault="0043359C" w:rsidP="00F12608">
      <w:pPr>
        <w:pStyle w:val="ListParagraph"/>
        <w:numPr>
          <w:ilvl w:val="0"/>
          <w:numId w:val="2"/>
        </w:numPr>
        <w:spacing w:after="0"/>
        <w:ind w:left="-58" w:right="142" w:hanging="425"/>
      </w:pPr>
      <w:r>
        <w:rPr>
          <w:rtl/>
        </w:rPr>
        <w:t>בהקשר זה יצוין כי נתתי דעתי להמלצת שירות המבחן,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שירות המבחן עת מגבש הוא את המלצתו ולבית המשפט נתונה האפשרות שלא לקבל את ההמלצה במקרה המתאים.</w:t>
      </w:r>
    </w:p>
    <w:p w14:paraId="37C6CF67" w14:textId="77777777" w:rsidR="0043359C" w:rsidRDefault="0043359C" w:rsidP="00F12608">
      <w:pPr>
        <w:pStyle w:val="ListParagraph"/>
        <w:numPr>
          <w:ilvl w:val="0"/>
          <w:numId w:val="2"/>
        </w:numPr>
        <w:spacing w:after="0"/>
        <w:ind w:left="-58" w:right="142" w:hanging="425"/>
      </w:pPr>
      <w:r>
        <w:rPr>
          <w:rtl/>
        </w:rPr>
        <w:t xml:space="preserve">בכל הנוגע לרכיב פסילת רישיון הנהיגה של הנאשם, הרי בשים לב לכך כי נגד הנאשם תלויה ועומדת פסילה בפועל בת 3 חודשים </w:t>
      </w:r>
      <w:r>
        <w:rPr>
          <w:u w:val="single"/>
          <w:rtl/>
        </w:rPr>
        <w:t>מ</w:t>
      </w:r>
      <w:hyperlink r:id="rId88" w:history="1">
        <w:r w:rsidR="0066689D" w:rsidRPr="0066689D">
          <w:rPr>
            <w:color w:val="0000FF"/>
            <w:u w:val="single"/>
            <w:rtl/>
          </w:rPr>
          <w:t>תת"ע 4574-08-18</w:t>
        </w:r>
      </w:hyperlink>
      <w:r>
        <w:rPr>
          <w:u w:val="single"/>
          <w:rtl/>
        </w:rPr>
        <w:t xml:space="preserve"> (תעבורה אשדוד)  </w:t>
      </w:r>
      <w:r w:rsidR="00B2181B" w:rsidRPr="00B2181B">
        <w:rPr>
          <w:rFonts w:ascii="Times New Roman" w:hAnsi="Times New Roman"/>
          <w:sz w:val="22"/>
          <w:rtl/>
        </w:rPr>
        <w:t xml:space="preserve">[פורסם בנבו] </w:t>
      </w:r>
      <w:r>
        <w:rPr>
          <w:rtl/>
        </w:rPr>
        <w:t>מיום 20.02.2019 למשך 3 שנים (</w:t>
      </w:r>
      <w:r>
        <w:rPr>
          <w:b/>
          <w:bCs/>
          <w:rtl/>
        </w:rPr>
        <w:t>ת/4</w:t>
      </w:r>
      <w:r>
        <w:rPr>
          <w:rtl/>
        </w:rPr>
        <w:t xml:space="preserve">), הרי שאין מנוס מהפעלתה. </w:t>
      </w:r>
    </w:p>
    <w:p w14:paraId="610F80AD" w14:textId="77777777" w:rsidR="0043359C" w:rsidRDefault="0043359C" w:rsidP="00F12608">
      <w:pPr>
        <w:pStyle w:val="ListParagraph"/>
        <w:numPr>
          <w:ilvl w:val="0"/>
          <w:numId w:val="2"/>
        </w:numPr>
        <w:spacing w:after="0"/>
        <w:ind w:left="-58" w:right="142" w:hanging="425"/>
      </w:pPr>
      <w:r>
        <w:rPr>
          <w:rtl/>
        </w:rPr>
        <w:t>בכל הנוגע לרכיב הכלכלי שבענישה, הרי שבית המשפט לא ימנע מלהשית על הנאשם קנס, אולם לצד חומרת העבירות, בקביעת גובהו יילקחו בחשבון גם מכלול מאפייניו החיוביים של הנאשם.</w:t>
      </w:r>
    </w:p>
    <w:p w14:paraId="2AC85A05" w14:textId="77777777" w:rsidR="0043359C" w:rsidRDefault="0043359C" w:rsidP="00F12608">
      <w:pPr>
        <w:pStyle w:val="ListParagraph"/>
        <w:numPr>
          <w:ilvl w:val="0"/>
          <w:numId w:val="2"/>
        </w:numPr>
        <w:spacing w:after="0"/>
        <w:ind w:left="-58" w:right="142" w:hanging="425"/>
      </w:pPr>
      <w:r>
        <w:rPr>
          <w:b/>
          <w:bCs/>
          <w:rtl/>
        </w:rPr>
        <w:t>מכל המקובץ לעיל, אני גוזרת על הנאשם את העונשים הבאים:</w:t>
      </w:r>
      <w:r>
        <w:rPr>
          <w:rtl/>
        </w:rPr>
        <w:t xml:space="preserve"> </w:t>
      </w:r>
    </w:p>
    <w:p w14:paraId="63323E3E" w14:textId="77777777" w:rsidR="0043359C" w:rsidRDefault="0043359C" w:rsidP="00F12608">
      <w:pPr>
        <w:pStyle w:val="ListParagraph"/>
        <w:numPr>
          <w:ilvl w:val="0"/>
          <w:numId w:val="3"/>
        </w:numPr>
        <w:spacing w:after="0"/>
        <w:rPr>
          <w:b/>
          <w:bCs/>
          <w:u w:val="single"/>
        </w:rPr>
      </w:pPr>
      <w:r>
        <w:rPr>
          <w:b/>
          <w:bCs/>
          <w:rtl/>
        </w:rPr>
        <w:t>צו של"צ בהיקף של 250 שעות.</w:t>
      </w:r>
      <w:r>
        <w:rPr>
          <w:b/>
          <w:bCs/>
          <w:u w:val="single"/>
          <w:rtl/>
        </w:rPr>
        <w:t xml:space="preserve"> </w:t>
      </w:r>
    </w:p>
    <w:p w14:paraId="198AB4DB" w14:textId="77777777" w:rsidR="0043359C" w:rsidRDefault="0043359C" w:rsidP="00F12608">
      <w:pPr>
        <w:pStyle w:val="ListParagraph"/>
        <w:spacing w:after="0"/>
        <w:ind w:firstLine="0"/>
        <w:rPr>
          <w:rtl/>
        </w:rPr>
      </w:pPr>
      <w:r>
        <w:rPr>
          <w:rtl/>
        </w:rPr>
        <w:t xml:space="preserve">תוקף הצו למשך 18 חודשים מהיום. </w:t>
      </w:r>
    </w:p>
    <w:p w14:paraId="7948F159" w14:textId="77777777" w:rsidR="0043359C" w:rsidRDefault="0043359C" w:rsidP="00F12608">
      <w:pPr>
        <w:pStyle w:val="ListParagraph"/>
        <w:spacing w:after="0"/>
        <w:ind w:firstLine="0"/>
        <w:rPr>
          <w:b/>
          <w:bCs/>
          <w:rtl/>
        </w:rPr>
      </w:pPr>
      <w:r>
        <w:rPr>
          <w:rtl/>
        </w:rPr>
        <w:t xml:space="preserve">העבודות תבוצענה במסגרת מתנ"ס "עוזיאל" בתפקיד של סיוע בתחום האחזקה. </w:t>
      </w:r>
    </w:p>
    <w:p w14:paraId="7E5FE195" w14:textId="77777777" w:rsidR="0043359C" w:rsidRDefault="0043359C" w:rsidP="00F12608">
      <w:pPr>
        <w:pStyle w:val="ListParagraph"/>
        <w:numPr>
          <w:ilvl w:val="0"/>
          <w:numId w:val="3"/>
        </w:numPr>
        <w:spacing w:after="0"/>
        <w:rPr>
          <w:rtl/>
        </w:rPr>
      </w:pPr>
      <w:r>
        <w:rPr>
          <w:b/>
          <w:bCs/>
          <w:rtl/>
        </w:rPr>
        <w:t>צו מבחן של שירות המבחן למשך 12 חודשים מהיום.</w:t>
      </w:r>
      <w:r>
        <w:rPr>
          <w:rtl/>
        </w:rPr>
        <w:t xml:space="preserve"> </w:t>
      </w:r>
    </w:p>
    <w:p w14:paraId="3F5E13E1" w14:textId="77777777" w:rsidR="0043359C" w:rsidRDefault="0043359C" w:rsidP="00F12608">
      <w:pPr>
        <w:pStyle w:val="ListParagraph"/>
        <w:spacing w:after="0"/>
        <w:ind w:firstLine="0"/>
        <w:rPr>
          <w:b/>
          <w:bCs/>
          <w:rtl/>
        </w:rPr>
      </w:pPr>
      <w:r>
        <w:rPr>
          <w:rtl/>
        </w:rPr>
        <w:t>הובהרה לנאשם חשיבות שיתוף הפעולה עם שירות המבחן בביצוע עבודות השל"צ וצו המבחן ומשמעות היעדר שיתוף הפעולה.</w:t>
      </w:r>
    </w:p>
    <w:p w14:paraId="172D773B" w14:textId="77777777" w:rsidR="0043359C" w:rsidRDefault="0043359C" w:rsidP="00F12608">
      <w:pPr>
        <w:pStyle w:val="ListParagraph"/>
        <w:spacing w:after="0"/>
        <w:ind w:firstLine="0"/>
        <w:rPr>
          <w:rtl/>
        </w:rPr>
      </w:pPr>
      <w:r>
        <w:rPr>
          <w:rtl/>
        </w:rPr>
        <w:t>העתק מגזר הדין יישלח בדחיפות לשירות המבחן.</w:t>
      </w:r>
    </w:p>
    <w:p w14:paraId="4643D9C4" w14:textId="77777777" w:rsidR="0043359C" w:rsidRDefault="0043359C" w:rsidP="00F12608">
      <w:pPr>
        <w:pStyle w:val="ListParagraph"/>
        <w:numPr>
          <w:ilvl w:val="0"/>
          <w:numId w:val="3"/>
        </w:numPr>
        <w:spacing w:after="0"/>
        <w:rPr>
          <w:b/>
          <w:bCs/>
          <w:rtl/>
        </w:rPr>
      </w:pPr>
      <w:r>
        <w:rPr>
          <w:b/>
          <w:bCs/>
          <w:rtl/>
        </w:rPr>
        <w:t xml:space="preserve">הנני מורה על חידוש המאסר המותנה בן ה 3 חודשים, שהושת על הנאשם במסגרת גזר הדין שניתן בעניינו במסגרת </w:t>
      </w:r>
      <w:hyperlink r:id="rId89" w:history="1">
        <w:r w:rsidR="0066689D" w:rsidRPr="0066689D">
          <w:rPr>
            <w:b/>
            <w:bCs/>
            <w:color w:val="0000FF"/>
            <w:u w:val="single"/>
            <w:rtl/>
          </w:rPr>
          <w:t>תתע"א 10752-</w:t>
        </w:r>
        <w:r w:rsidR="0066689D" w:rsidRPr="0066689D">
          <w:rPr>
            <w:b/>
            <w:bCs/>
            <w:color w:val="0000FF"/>
            <w:u w:val="single"/>
            <w:rtl/>
          </w:rPr>
          <w:t>1</w:t>
        </w:r>
        <w:r w:rsidR="0066689D" w:rsidRPr="0066689D">
          <w:rPr>
            <w:b/>
            <w:bCs/>
            <w:color w:val="0000FF"/>
            <w:u w:val="single"/>
            <w:rtl/>
          </w:rPr>
          <w:t>2-18</w:t>
        </w:r>
      </w:hyperlink>
      <w:r>
        <w:rPr>
          <w:b/>
          <w:bCs/>
          <w:rtl/>
        </w:rPr>
        <w:t xml:space="preserve"> (תעבורה פתח תקווה) ביום 23.09.2019  - למשך שנתיים נוספות. </w:t>
      </w:r>
    </w:p>
    <w:p w14:paraId="34060B0C" w14:textId="77777777" w:rsidR="0043359C" w:rsidRDefault="0043359C" w:rsidP="00F12608">
      <w:pPr>
        <w:pStyle w:val="ListParagraph"/>
        <w:numPr>
          <w:ilvl w:val="0"/>
          <w:numId w:val="3"/>
        </w:numPr>
        <w:spacing w:after="0"/>
        <w:rPr>
          <w:rtl/>
        </w:rPr>
      </w:pPr>
      <w:r>
        <w:rPr>
          <w:b/>
          <w:bCs/>
          <w:rtl/>
        </w:rPr>
        <w:t>קנס בסך 2,000 ₪ או 20 ימי מאסר תמורתו</w:t>
      </w:r>
      <w:r>
        <w:rPr>
          <w:rtl/>
        </w:rPr>
        <w:t>.</w:t>
      </w:r>
    </w:p>
    <w:p w14:paraId="66E292D7" w14:textId="77777777" w:rsidR="0043359C" w:rsidRDefault="0043359C" w:rsidP="00F12608">
      <w:pPr>
        <w:pStyle w:val="ListParagraph"/>
        <w:spacing w:after="0"/>
        <w:ind w:firstLine="0"/>
        <w:rPr>
          <w:rtl/>
        </w:rPr>
      </w:pPr>
      <w:r>
        <w:rPr>
          <w:rtl/>
        </w:rPr>
        <w:t xml:space="preserve">הקנס ישולם בתוך 90 יום מהיום. </w:t>
      </w:r>
    </w:p>
    <w:p w14:paraId="1D2826E3" w14:textId="77777777" w:rsidR="0043359C" w:rsidRDefault="0043359C" w:rsidP="00F12608">
      <w:pPr>
        <w:pStyle w:val="ListParagraph"/>
        <w:spacing w:after="0"/>
        <w:ind w:firstLine="0"/>
        <w:rPr>
          <w:rtl/>
        </w:rPr>
      </w:pPr>
      <w:r>
        <w:rPr>
          <w:rtl/>
        </w:rPr>
        <w:t>תשומת לב הנאשם כי החוב מועבר למרכז לגביית קנסות, אגרות והוצאות ברשות האכיפה והגבייה, בהתאם למועדים והתשלומים שנקבעו בגזר הדין.</w:t>
      </w:r>
    </w:p>
    <w:p w14:paraId="286891B5" w14:textId="77777777" w:rsidR="0043359C" w:rsidRDefault="0043359C" w:rsidP="00F12608">
      <w:pPr>
        <w:pStyle w:val="ListParagraph"/>
        <w:spacing w:after="0"/>
        <w:ind w:firstLine="0"/>
        <w:rPr>
          <w:rtl/>
        </w:rPr>
      </w:pPr>
      <w:r>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4EAA8BEB" w14:textId="77777777" w:rsidR="0043359C" w:rsidRDefault="0043359C" w:rsidP="00F12608">
      <w:pPr>
        <w:pStyle w:val="ListParagraph"/>
        <w:numPr>
          <w:ilvl w:val="0"/>
          <w:numId w:val="4"/>
        </w:numPr>
        <w:spacing w:after="0"/>
        <w:jc w:val="left"/>
        <w:rPr>
          <w:rFonts w:ascii="Times New Roman" w:hAnsi="Times New Roman"/>
          <w:sz w:val="22"/>
          <w:szCs w:val="22"/>
          <w:rtl/>
        </w:rPr>
      </w:pPr>
      <w:r>
        <w:rPr>
          <w:sz w:val="22"/>
          <w:szCs w:val="22"/>
          <w:rtl/>
        </w:rPr>
        <w:t xml:space="preserve">בכרטיס אשראי – באתר המקוון של רשות האכיפה והגבייה, </w:t>
      </w:r>
      <w:hyperlink r:id="rId90" w:history="1">
        <w:r>
          <w:rPr>
            <w:rStyle w:val="Hyperlink"/>
            <w:rFonts w:cs="Calibri"/>
            <w:color w:val="auto"/>
            <w:sz w:val="22"/>
            <w:szCs w:val="22"/>
          </w:rPr>
          <w:t>www.eca.gov.il</w:t>
        </w:r>
      </w:hyperlink>
      <w:r>
        <w:rPr>
          <w:sz w:val="22"/>
          <w:szCs w:val="22"/>
        </w:rPr>
        <w:t xml:space="preserve"> </w:t>
      </w:r>
      <w:r w:rsidR="0066689D">
        <w:rPr>
          <w:sz w:val="22"/>
          <w:szCs w:val="22"/>
          <w:rtl/>
        </w:rPr>
        <w:t xml:space="preserve"> </w:t>
      </w:r>
    </w:p>
    <w:p w14:paraId="7FC694ED" w14:textId="77777777" w:rsidR="0043359C" w:rsidRDefault="0043359C" w:rsidP="00F12608">
      <w:pPr>
        <w:pStyle w:val="ListParagraph"/>
        <w:numPr>
          <w:ilvl w:val="0"/>
          <w:numId w:val="4"/>
        </w:numPr>
        <w:spacing w:after="0"/>
        <w:jc w:val="left"/>
        <w:rPr>
          <w:rFonts w:ascii="Times New Roman" w:hAnsi="Times New Roman"/>
          <w:sz w:val="22"/>
          <w:szCs w:val="22"/>
          <w:rtl/>
        </w:rPr>
      </w:pPr>
      <w:r>
        <w:rPr>
          <w:sz w:val="22"/>
          <w:szCs w:val="22"/>
          <w:rtl/>
        </w:rPr>
        <w:t>במוקד שירות טלפוני בשרות עצמי (מרכז גבייה)</w:t>
      </w:r>
      <w:r w:rsidR="0066689D">
        <w:rPr>
          <w:sz w:val="22"/>
          <w:szCs w:val="22"/>
          <w:rtl/>
        </w:rPr>
        <w:t xml:space="preserve"> </w:t>
      </w:r>
      <w:r>
        <w:rPr>
          <w:sz w:val="22"/>
          <w:szCs w:val="22"/>
          <w:rtl/>
        </w:rPr>
        <w:t xml:space="preserve"> – בטלפון 35592* או בטלפון 073-2055000</w:t>
      </w:r>
    </w:p>
    <w:p w14:paraId="004C5125" w14:textId="77777777" w:rsidR="0043359C" w:rsidRDefault="0043359C" w:rsidP="00F12608">
      <w:pPr>
        <w:pStyle w:val="ListParagraph"/>
        <w:numPr>
          <w:ilvl w:val="0"/>
          <w:numId w:val="4"/>
        </w:numPr>
        <w:spacing w:after="0"/>
        <w:jc w:val="left"/>
        <w:rPr>
          <w:rFonts w:ascii="Times New Roman" w:hAnsi="Times New Roman"/>
          <w:sz w:val="22"/>
          <w:szCs w:val="22"/>
          <w:rtl/>
        </w:rPr>
      </w:pPr>
      <w:r>
        <w:rPr>
          <w:sz w:val="22"/>
          <w:szCs w:val="22"/>
          <w:rtl/>
        </w:rPr>
        <w:t>במזומן בכל סניף של בנק הדואר – בהצגת תעודת זהות בלבד (אין צורך בשוברי תשלום).</w:t>
      </w:r>
    </w:p>
    <w:p w14:paraId="0AD1B476" w14:textId="77777777" w:rsidR="0043359C" w:rsidRDefault="0043359C" w:rsidP="00F12608">
      <w:pPr>
        <w:pStyle w:val="ListParagraph"/>
        <w:numPr>
          <w:ilvl w:val="0"/>
          <w:numId w:val="3"/>
        </w:numPr>
        <w:spacing w:after="0"/>
        <w:rPr>
          <w:b/>
          <w:bCs/>
          <w:rtl/>
        </w:rPr>
      </w:pPr>
      <w:r>
        <w:rPr>
          <w:b/>
          <w:bCs/>
          <w:rtl/>
        </w:rPr>
        <w:t xml:space="preserve">הנני מורה על הפעלת הפסילה המותנית בת 3 חודשים שהושתה על הנאשם במסגרת </w:t>
      </w:r>
      <w:hyperlink r:id="rId91" w:history="1">
        <w:r w:rsidR="0066689D" w:rsidRPr="0066689D">
          <w:rPr>
            <w:b/>
            <w:bCs/>
            <w:color w:val="0000FF"/>
            <w:u w:val="single"/>
            <w:rtl/>
          </w:rPr>
          <w:t>תת"ע 4574-08-18</w:t>
        </w:r>
      </w:hyperlink>
      <w:r>
        <w:rPr>
          <w:b/>
          <w:bCs/>
          <w:rtl/>
        </w:rPr>
        <w:t xml:space="preserve"> (תעבורה אשדוד) שניתנה בעניינו של הנאשם ביום 20.02.2019. הנאשם יפקיד את רישיון הנהיגה שברשותו במזכירות ביהמ"ש עד ליום 1.7.24 בשעה 12:00.</w:t>
      </w:r>
    </w:p>
    <w:p w14:paraId="2A04D94E" w14:textId="77777777" w:rsidR="0043359C" w:rsidRDefault="0043359C" w:rsidP="00F12608">
      <w:pPr>
        <w:pStyle w:val="ListParagraph"/>
        <w:numPr>
          <w:ilvl w:val="0"/>
          <w:numId w:val="3"/>
        </w:numPr>
        <w:spacing w:after="0"/>
        <w:rPr>
          <w:b/>
          <w:bCs/>
          <w:rtl/>
        </w:rPr>
      </w:pPr>
      <w:r>
        <w:rPr>
          <w:b/>
          <w:bCs/>
          <w:rtl/>
        </w:rPr>
        <w:t xml:space="preserve">הנני פוסלת את הנאשם מלקבל או מלהחזיק רישיון נהיגה למשך 8 חודשים, וזאת על תנאי שלא יעבור כל עבירה בניגוד </w:t>
      </w:r>
      <w:r>
        <w:rPr>
          <w:b/>
          <w:bCs/>
          <w:u w:val="single"/>
          <w:rtl/>
        </w:rPr>
        <w:t>ל</w:t>
      </w:r>
      <w:hyperlink r:id="rId92" w:history="1">
        <w:r w:rsidR="0066689D" w:rsidRPr="0066689D">
          <w:rPr>
            <w:b/>
            <w:bCs/>
            <w:color w:val="0000FF"/>
            <w:u w:val="single"/>
            <w:rtl/>
          </w:rPr>
          <w:t>פקודת הסמים המסוכנים</w:t>
        </w:r>
      </w:hyperlink>
      <w:r>
        <w:rPr>
          <w:b/>
          <w:bCs/>
          <w:rtl/>
        </w:rPr>
        <w:t xml:space="preserve"> במשך שנתיים מהיום.</w:t>
      </w:r>
    </w:p>
    <w:p w14:paraId="17113D4D" w14:textId="77777777" w:rsidR="0043359C" w:rsidRDefault="0043359C" w:rsidP="00F12608">
      <w:pPr>
        <w:pStyle w:val="ListParagraph"/>
        <w:numPr>
          <w:ilvl w:val="0"/>
          <w:numId w:val="3"/>
        </w:numPr>
        <w:spacing w:after="0"/>
        <w:rPr>
          <w:b/>
          <w:bCs/>
          <w:u w:val="single"/>
          <w:rtl/>
        </w:rPr>
      </w:pPr>
      <w:r>
        <w:rPr>
          <w:b/>
          <w:bCs/>
          <w:rtl/>
        </w:rPr>
        <w:t>הנאשם יצהיר על התחייבות כספית על סך 7,000 ₪ שלא לעבור כל עבירה מן העבירות שבהן הורשע למשך שנתיים מהיום.</w:t>
      </w:r>
      <w:r>
        <w:rPr>
          <w:b/>
          <w:bCs/>
          <w:u w:val="single"/>
          <w:rtl/>
        </w:rPr>
        <w:t xml:space="preserve"> </w:t>
      </w:r>
    </w:p>
    <w:p w14:paraId="0B697181" w14:textId="77777777" w:rsidR="0043359C" w:rsidRDefault="0043359C" w:rsidP="00F12608">
      <w:pPr>
        <w:pStyle w:val="ListParagraph"/>
        <w:spacing w:after="0" w:line="240" w:lineRule="auto"/>
        <w:ind w:left="-415" w:firstLine="0"/>
        <w:rPr>
          <w:b/>
          <w:bCs/>
          <w:u w:val="single"/>
          <w:rtl/>
        </w:rPr>
      </w:pPr>
    </w:p>
    <w:p w14:paraId="6734185F" w14:textId="77777777" w:rsidR="0043359C" w:rsidRDefault="0043359C" w:rsidP="00F12608">
      <w:pPr>
        <w:pStyle w:val="ListParagraph"/>
        <w:spacing w:after="0"/>
        <w:ind w:left="-415" w:firstLine="0"/>
        <w:rPr>
          <w:rtl/>
        </w:rPr>
      </w:pPr>
      <w:r>
        <w:rPr>
          <w:rtl/>
        </w:rPr>
        <w:t>הנני מורה על השמדת המוצג – סמים, בכפוף לחלוף תקופת הערעור.</w:t>
      </w:r>
    </w:p>
    <w:p w14:paraId="5497E70A" w14:textId="77777777" w:rsidR="0043359C" w:rsidRDefault="0043359C" w:rsidP="00F12608">
      <w:pPr>
        <w:pStyle w:val="ListParagraph"/>
        <w:spacing w:after="0" w:line="240" w:lineRule="auto"/>
        <w:ind w:left="-415" w:firstLine="0"/>
        <w:rPr>
          <w:b/>
          <w:bCs/>
          <w:rtl/>
        </w:rPr>
      </w:pPr>
    </w:p>
    <w:p w14:paraId="628749CA" w14:textId="77777777" w:rsidR="0043359C" w:rsidRDefault="0043359C" w:rsidP="00F12608">
      <w:pPr>
        <w:pStyle w:val="ListParagraph"/>
        <w:spacing w:after="0"/>
        <w:ind w:left="-415" w:firstLine="0"/>
        <w:rPr>
          <w:b/>
          <w:bCs/>
          <w:rtl/>
        </w:rPr>
      </w:pPr>
      <w:r>
        <w:rPr>
          <w:b/>
          <w:bCs/>
          <w:rtl/>
        </w:rPr>
        <w:t>זכות ערעור כחוק</w:t>
      </w:r>
      <w:r>
        <w:rPr>
          <w:rtl/>
        </w:rPr>
        <w:t>.</w:t>
      </w:r>
    </w:p>
    <w:p w14:paraId="7B26BE72" w14:textId="77777777" w:rsidR="0043359C" w:rsidRDefault="0043359C" w:rsidP="00F12608">
      <w:pPr>
        <w:pStyle w:val="ListParagraph"/>
        <w:spacing w:after="0" w:line="240" w:lineRule="auto"/>
        <w:ind w:left="-415" w:firstLine="0"/>
        <w:rPr>
          <w:b/>
          <w:bCs/>
          <w:rtl/>
        </w:rPr>
      </w:pPr>
    </w:p>
    <w:p w14:paraId="1865031E" w14:textId="77777777" w:rsidR="0043359C" w:rsidRDefault="0043359C" w:rsidP="00F12608">
      <w:pPr>
        <w:pStyle w:val="ListParagraph"/>
        <w:spacing w:after="0"/>
        <w:ind w:left="-415" w:firstLine="0"/>
        <w:rPr>
          <w:b/>
          <w:bCs/>
          <w:rtl/>
        </w:rPr>
      </w:pPr>
      <w:r>
        <w:rPr>
          <w:b/>
          <w:bCs/>
          <w:rtl/>
        </w:rPr>
        <w:t>ניתן והודע היום,  א' אדר ב' תשפ"ד, 11 מרץ 2024, במעמד הצדדים.</w:t>
      </w:r>
    </w:p>
    <w:p w14:paraId="7635585B" w14:textId="77777777" w:rsidR="0043359C" w:rsidRDefault="0043359C" w:rsidP="00F12608">
      <w:pPr>
        <w:jc w:val="both"/>
        <w:rPr>
          <w:rFonts w:ascii="David" w:hAnsi="David"/>
          <w:rtl/>
        </w:rPr>
      </w:pPr>
    </w:p>
    <w:p w14:paraId="778B9FAE" w14:textId="77777777" w:rsidR="0043359C" w:rsidRDefault="0043359C" w:rsidP="00F12608">
      <w:pPr>
        <w:spacing w:line="360" w:lineRule="auto"/>
        <w:ind w:left="3600" w:firstLine="720"/>
        <w:jc w:val="both"/>
        <w:rPr>
          <w:rtl/>
        </w:rPr>
      </w:pPr>
      <w:r w:rsidRPr="004409C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156pt;height:62.25pt;visibility:visible">
            <v:imagedata r:id="rId93" o:title=""/>
          </v:shape>
        </w:pict>
      </w:r>
    </w:p>
    <w:p w14:paraId="4279C388" w14:textId="77777777" w:rsidR="0043359C" w:rsidRDefault="0043359C" w:rsidP="00F12608">
      <w:pPr>
        <w:spacing w:line="360" w:lineRule="auto"/>
        <w:ind w:left="3600" w:firstLine="720"/>
        <w:jc w:val="both"/>
        <w:rPr>
          <w:rFonts w:ascii="David" w:hAnsi="David"/>
        </w:rPr>
      </w:pPr>
    </w:p>
    <w:p w14:paraId="544F12D8" w14:textId="77777777" w:rsidR="0043359C" w:rsidRDefault="0043359C" w:rsidP="00F12608">
      <w:pPr>
        <w:jc w:val="both"/>
        <w:rPr>
          <w:rFonts w:ascii="David" w:hAnsi="David"/>
          <w:rtl/>
        </w:rPr>
      </w:pPr>
    </w:p>
    <w:p w14:paraId="7892CB85" w14:textId="77777777" w:rsidR="0043359C" w:rsidRDefault="0043359C" w:rsidP="00F12608">
      <w:pPr>
        <w:jc w:val="both"/>
        <w:rPr>
          <w:rFonts w:ascii="David" w:hAnsi="David"/>
          <w:rtl/>
        </w:rPr>
      </w:pPr>
    </w:p>
    <w:p w14:paraId="3296B277" w14:textId="77777777" w:rsidR="0043359C" w:rsidRDefault="0043359C" w:rsidP="00F12608">
      <w:pPr>
        <w:jc w:val="both"/>
        <w:rPr>
          <w:rFonts w:ascii="David" w:hAnsi="David"/>
          <w:rtl/>
        </w:rPr>
      </w:pPr>
    </w:p>
    <w:p w14:paraId="5A495087" w14:textId="77777777" w:rsidR="0043359C" w:rsidRDefault="0043359C" w:rsidP="00F12608">
      <w:pPr>
        <w:spacing w:line="360" w:lineRule="auto"/>
        <w:jc w:val="both"/>
        <w:rPr>
          <w:rFonts w:ascii="David" w:hAnsi="David"/>
          <w:rtl/>
        </w:rPr>
      </w:pPr>
    </w:p>
    <w:p w14:paraId="49A327F4" w14:textId="77777777" w:rsidR="0043359C" w:rsidRDefault="0043359C" w:rsidP="00F12608">
      <w:pPr>
        <w:spacing w:line="360" w:lineRule="auto"/>
        <w:rPr>
          <w:rFonts w:ascii="David" w:hAnsi="David"/>
          <w:b/>
          <w:bCs/>
          <w:u w:val="single"/>
          <w:rtl/>
        </w:rPr>
      </w:pPr>
      <w:r>
        <w:rPr>
          <w:rFonts w:ascii="David" w:hAnsi="David"/>
          <w:rtl/>
        </w:rPr>
        <w:t xml:space="preserve">                                                                     </w:t>
      </w:r>
      <w:r>
        <w:rPr>
          <w:rFonts w:ascii="David" w:hAnsi="David"/>
          <w:b/>
          <w:bCs/>
          <w:u w:val="single"/>
          <w:rtl/>
        </w:rPr>
        <w:t>החלטה</w:t>
      </w:r>
    </w:p>
    <w:p w14:paraId="13409E79" w14:textId="77777777" w:rsidR="0043359C" w:rsidRDefault="0043359C" w:rsidP="00F12608">
      <w:pPr>
        <w:spacing w:line="360" w:lineRule="auto"/>
        <w:rPr>
          <w:rFonts w:ascii="David" w:hAnsi="David"/>
          <w:rtl/>
        </w:rPr>
      </w:pPr>
    </w:p>
    <w:p w14:paraId="310C51D6" w14:textId="77777777" w:rsidR="0043359C" w:rsidRDefault="0043359C" w:rsidP="00F12608">
      <w:pPr>
        <w:spacing w:line="360" w:lineRule="auto"/>
        <w:rPr>
          <w:rFonts w:ascii="David" w:hAnsi="David"/>
          <w:sz w:val="6"/>
          <w:szCs w:val="6"/>
          <w:rtl/>
        </w:rPr>
      </w:pPr>
      <w:r>
        <w:rPr>
          <w:rFonts w:ascii="David" w:hAnsi="David"/>
          <w:rtl/>
        </w:rPr>
        <w:t xml:space="preserve">רשמתי לפניי את התחייבות הנאשם להימנע מביצוע העבירות כמפורט בגזר הדין. </w:t>
      </w:r>
      <w:r>
        <w:rPr>
          <w:rFonts w:ascii="David" w:hAnsi="David"/>
          <w:sz w:val="6"/>
          <w:szCs w:val="6"/>
          <w:rtl/>
        </w:rPr>
        <w:t>&lt;#3#&gt;</w:t>
      </w:r>
    </w:p>
    <w:p w14:paraId="40AC5C54" w14:textId="77777777" w:rsidR="0043359C" w:rsidRDefault="0043359C" w:rsidP="00F12608">
      <w:pPr>
        <w:spacing w:line="360" w:lineRule="auto"/>
        <w:jc w:val="right"/>
        <w:rPr>
          <w:rFonts w:ascii="David" w:hAnsi="David"/>
          <w:rtl/>
        </w:rPr>
      </w:pPr>
    </w:p>
    <w:p w14:paraId="2F5ED756" w14:textId="77777777" w:rsidR="0043359C" w:rsidRDefault="0066689D" w:rsidP="00F12608">
      <w:pPr>
        <w:spacing w:line="360" w:lineRule="auto"/>
        <w:ind w:left="4320"/>
        <w:jc w:val="center"/>
        <w:rPr>
          <w:rFonts w:ascii="David" w:hAnsi="David"/>
          <w:rtl/>
        </w:rPr>
      </w:pPr>
      <w:bookmarkStart w:id="30" w:name="Nitan"/>
      <w:r w:rsidRPr="0066689D">
        <w:rPr>
          <w:rFonts w:ascii="David" w:hAnsi="David"/>
          <w:b/>
          <w:bCs/>
          <w:color w:val="FFFFFF"/>
          <w:sz w:val="2"/>
          <w:szCs w:val="2"/>
          <w:rtl/>
        </w:rPr>
        <w:t>5129371</w:t>
      </w:r>
      <w:r>
        <w:rPr>
          <w:rFonts w:ascii="David" w:hAnsi="David"/>
          <w:b/>
          <w:bCs/>
          <w:rtl/>
        </w:rPr>
        <w:t xml:space="preserve">ניתנה והודעה היום א' אדר ב' תשפ"ד, 11/03/2024 במעמד הנוכחים. </w:t>
      </w:r>
      <w:bookmarkEnd w:id="30"/>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43359C" w14:paraId="627608A6" w14:textId="77777777" w:rsidTr="00BD1B8C">
        <w:trPr>
          <w:trHeight w:val="316"/>
        </w:trPr>
        <w:tc>
          <w:tcPr>
            <w:tcW w:w="3936" w:type="dxa"/>
            <w:tcBorders>
              <w:top w:val="nil"/>
              <w:left w:val="nil"/>
              <w:right w:val="nil"/>
            </w:tcBorders>
          </w:tcPr>
          <w:p w14:paraId="6477C965" w14:textId="77777777" w:rsidR="0043359C" w:rsidRPr="0066689D" w:rsidRDefault="0066689D" w:rsidP="00BD1B8C">
            <w:pPr>
              <w:spacing w:line="360" w:lineRule="auto"/>
              <w:jc w:val="center"/>
              <w:rPr>
                <w:rFonts w:ascii="David" w:hAnsi="David"/>
                <w:color w:val="FFFFFF"/>
                <w:sz w:val="2"/>
                <w:szCs w:val="2"/>
                <w:rtl/>
              </w:rPr>
            </w:pPr>
            <w:r w:rsidRPr="0066689D">
              <w:rPr>
                <w:rFonts w:ascii="David" w:hAnsi="David"/>
                <w:color w:val="FFFFFF"/>
                <w:sz w:val="2"/>
                <w:szCs w:val="2"/>
                <w:rtl/>
              </w:rPr>
              <w:t>54678313</w:t>
            </w:r>
          </w:p>
        </w:tc>
      </w:tr>
      <w:tr w:rsidR="0043359C" w14:paraId="7C367444" w14:textId="77777777" w:rsidTr="00BD1B8C">
        <w:trPr>
          <w:trHeight w:val="361"/>
        </w:trPr>
        <w:tc>
          <w:tcPr>
            <w:tcW w:w="3936" w:type="dxa"/>
            <w:tcBorders>
              <w:left w:val="nil"/>
              <w:bottom w:val="nil"/>
              <w:right w:val="nil"/>
            </w:tcBorders>
          </w:tcPr>
          <w:p w14:paraId="6536A3CA" w14:textId="77777777" w:rsidR="0043359C" w:rsidRPr="00BD1B8C" w:rsidRDefault="0043359C" w:rsidP="00BD1B8C">
            <w:pPr>
              <w:spacing w:line="360" w:lineRule="auto"/>
              <w:jc w:val="center"/>
              <w:rPr>
                <w:rFonts w:ascii="David" w:hAnsi="David"/>
                <w:b/>
                <w:bCs/>
              </w:rPr>
            </w:pPr>
            <w:r w:rsidRPr="00BD1B8C">
              <w:rPr>
                <w:rFonts w:ascii="David" w:hAnsi="David"/>
                <w:b/>
                <w:bCs/>
                <w:rtl/>
              </w:rPr>
              <w:t xml:space="preserve">נגה שמואלי </w:t>
            </w:r>
            <w:r w:rsidRPr="00BD1B8C">
              <w:rPr>
                <w:rFonts w:ascii="David" w:hAnsi="David"/>
                <w:b/>
                <w:bCs/>
                <w:vertAlign w:val="superscript"/>
                <w:rtl/>
              </w:rPr>
              <w:t>–</w:t>
            </w:r>
            <w:r w:rsidRPr="00BD1B8C">
              <w:rPr>
                <w:rFonts w:ascii="David" w:hAnsi="David"/>
                <w:b/>
                <w:bCs/>
                <w:rtl/>
              </w:rPr>
              <w:t xml:space="preserve"> מאייר, שופטת בכירה</w:t>
            </w:r>
          </w:p>
        </w:tc>
      </w:tr>
    </w:tbl>
    <w:p w14:paraId="50174685" w14:textId="77777777" w:rsidR="0043359C" w:rsidRDefault="0043359C" w:rsidP="00F12608">
      <w:pPr>
        <w:spacing w:line="360" w:lineRule="auto"/>
        <w:jc w:val="both"/>
        <w:rPr>
          <w:rFonts w:ascii="David" w:hAnsi="David"/>
          <w:i/>
          <w:iCs/>
          <w:sz w:val="20"/>
          <w:szCs w:val="20"/>
          <w:rtl/>
        </w:rPr>
      </w:pPr>
      <w:r>
        <w:rPr>
          <w:rFonts w:ascii="David" w:hAnsi="David"/>
          <w:i/>
          <w:iCs/>
          <w:sz w:val="20"/>
          <w:szCs w:val="20"/>
          <w:rtl/>
        </w:rPr>
        <w:t>הוקלד ע"י לירז ביטון.</w:t>
      </w:r>
    </w:p>
    <w:p w14:paraId="27F932DC" w14:textId="77777777" w:rsidR="0043359C" w:rsidRPr="0066689D" w:rsidRDefault="0043359C" w:rsidP="0066689D">
      <w:pPr>
        <w:keepNext/>
        <w:rPr>
          <w:rFonts w:ascii="David" w:hAnsi="David" w:hint="cs"/>
          <w:color w:val="000000"/>
          <w:sz w:val="22"/>
          <w:szCs w:val="22"/>
          <w:rtl/>
        </w:rPr>
      </w:pPr>
    </w:p>
    <w:p w14:paraId="1E20F3E5" w14:textId="77777777" w:rsidR="0066689D" w:rsidRPr="0066689D" w:rsidRDefault="0066689D" w:rsidP="0066689D">
      <w:pPr>
        <w:keepNext/>
        <w:rPr>
          <w:rFonts w:ascii="David" w:hAnsi="David"/>
          <w:color w:val="000000"/>
          <w:sz w:val="22"/>
          <w:szCs w:val="22"/>
          <w:rtl/>
        </w:rPr>
      </w:pPr>
      <w:r w:rsidRPr="0066689D">
        <w:rPr>
          <w:rFonts w:ascii="David" w:hAnsi="David"/>
          <w:color w:val="000000"/>
          <w:sz w:val="22"/>
          <w:szCs w:val="22"/>
          <w:rtl/>
        </w:rPr>
        <w:t>נגה 54678313</w:t>
      </w:r>
    </w:p>
    <w:p w14:paraId="71396717" w14:textId="77777777" w:rsidR="0066689D" w:rsidRDefault="0066689D" w:rsidP="0066689D">
      <w:r w:rsidRPr="0066689D">
        <w:rPr>
          <w:color w:val="000000"/>
          <w:rtl/>
        </w:rPr>
        <w:t>נוסח מסמך זה כפוף לשינויי ניסוח ועריכה</w:t>
      </w:r>
    </w:p>
    <w:p w14:paraId="4234C176" w14:textId="77777777" w:rsidR="0066689D" w:rsidRDefault="0066689D" w:rsidP="0066689D">
      <w:pPr>
        <w:rPr>
          <w:rtl/>
        </w:rPr>
      </w:pPr>
    </w:p>
    <w:p w14:paraId="7CEE991D" w14:textId="77777777" w:rsidR="0066689D" w:rsidRDefault="0066689D" w:rsidP="0066689D">
      <w:pPr>
        <w:jc w:val="center"/>
        <w:rPr>
          <w:color w:val="0000FF"/>
          <w:u w:val="single"/>
        </w:rPr>
      </w:pPr>
      <w:hyperlink r:id="rId94" w:history="1">
        <w:r>
          <w:rPr>
            <w:color w:val="0000FF"/>
            <w:u w:val="single"/>
            <w:rtl/>
          </w:rPr>
          <w:t>בעניין עריכה ושינויים במסמכי פסיקה, חקיקה ועוד באתר נבו – הקש כאן</w:t>
        </w:r>
      </w:hyperlink>
    </w:p>
    <w:p w14:paraId="6874F826" w14:textId="77777777" w:rsidR="0066689D" w:rsidRPr="0066689D" w:rsidRDefault="0066689D" w:rsidP="0066689D">
      <w:pPr>
        <w:jc w:val="center"/>
        <w:rPr>
          <w:rFonts w:hint="cs"/>
          <w:color w:val="0000FF"/>
          <w:u w:val="single"/>
        </w:rPr>
      </w:pPr>
    </w:p>
    <w:sectPr w:rsidR="0066689D" w:rsidRPr="0066689D" w:rsidSect="0066689D">
      <w:headerReference w:type="even" r:id="rId95"/>
      <w:headerReference w:type="default" r:id="rId96"/>
      <w:footerReference w:type="even" r:id="rId97"/>
      <w:footerReference w:type="default" r:id="rId9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16587" w14:textId="77777777" w:rsidR="002D2256" w:rsidRDefault="002D2256" w:rsidP="0066689D">
      <w:r>
        <w:separator/>
      </w:r>
    </w:p>
  </w:endnote>
  <w:endnote w:type="continuationSeparator" w:id="0">
    <w:p w14:paraId="5F4F73A3" w14:textId="77777777" w:rsidR="002D2256" w:rsidRDefault="002D2256" w:rsidP="0066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FE51B" w14:textId="77777777" w:rsidR="00CE0D38" w:rsidRDefault="00CE0D38" w:rsidP="006668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252F00" w14:textId="77777777" w:rsidR="00CE0D38" w:rsidRPr="0066689D" w:rsidRDefault="00CE0D38" w:rsidP="0066689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A51AE" w14:textId="77777777" w:rsidR="00CE0D38" w:rsidRDefault="00CE0D38" w:rsidP="006668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2A4B">
      <w:rPr>
        <w:rFonts w:ascii="FrankRuehl" w:hAnsi="FrankRuehl" w:cs="FrankRuehl"/>
        <w:noProof/>
        <w:rtl/>
      </w:rPr>
      <w:t>1</w:t>
    </w:r>
    <w:r>
      <w:rPr>
        <w:rFonts w:ascii="FrankRuehl" w:hAnsi="FrankRuehl" w:cs="FrankRuehl"/>
        <w:rtl/>
      </w:rPr>
      <w:fldChar w:fldCharType="end"/>
    </w:r>
  </w:p>
  <w:p w14:paraId="094C2EBF" w14:textId="77777777" w:rsidR="00CE0D38" w:rsidRPr="0066689D" w:rsidRDefault="00CE0D38" w:rsidP="0066689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6F1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4E842" w14:textId="77777777" w:rsidR="002D2256" w:rsidRDefault="002D2256" w:rsidP="0066689D">
      <w:r>
        <w:separator/>
      </w:r>
    </w:p>
  </w:footnote>
  <w:footnote w:type="continuationSeparator" w:id="0">
    <w:p w14:paraId="6070DBB5" w14:textId="77777777" w:rsidR="002D2256" w:rsidRDefault="002D2256" w:rsidP="00666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8FFC7" w14:textId="77777777" w:rsidR="00CE0D38" w:rsidRPr="0066689D" w:rsidRDefault="00CE0D38" w:rsidP="0066689D">
    <w:pPr>
      <w:pStyle w:val="a4"/>
      <w:pBdr>
        <w:bottom w:val="single" w:sz="4" w:space="1" w:color="auto"/>
      </w:pBdr>
      <w:tabs>
        <w:tab w:val="clear" w:pos="4153"/>
        <w:tab w:val="clear" w:pos="8306"/>
        <w:tab w:val="right" w:pos="8311"/>
      </w:tabs>
      <w:spacing w:line="220" w:lineRule="auto"/>
      <w:rPr>
        <w:rFonts w:ascii="David" w:hAnsi="David" w:cs="David"/>
        <w:color w:val="000000"/>
        <w:sz w:val="22"/>
        <w:szCs w:val="22"/>
        <w:rtl/>
      </w:rPr>
    </w:pPr>
    <w:r>
      <w:rPr>
        <w:rFonts w:ascii="David" w:hAnsi="David" w:cs="David"/>
        <w:color w:val="000000"/>
        <w:sz w:val="22"/>
        <w:szCs w:val="22"/>
        <w:rtl/>
      </w:rPr>
      <w:t>תפ (ק"ג) 47080-05-21</w:t>
    </w:r>
    <w:r>
      <w:rPr>
        <w:rFonts w:ascii="David" w:hAnsi="David" w:cs="David"/>
        <w:color w:val="000000"/>
        <w:sz w:val="22"/>
        <w:szCs w:val="22"/>
        <w:rtl/>
      </w:rPr>
      <w:tab/>
      <w:t xml:space="preserve"> מדינת ישראל נ' איתי דוד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A5595" w14:textId="77777777" w:rsidR="00CE0D38" w:rsidRPr="0066689D" w:rsidRDefault="00CE0D38" w:rsidP="0066689D">
    <w:pPr>
      <w:pStyle w:val="a4"/>
      <w:pBdr>
        <w:bottom w:val="single" w:sz="4" w:space="1" w:color="auto"/>
      </w:pBdr>
      <w:tabs>
        <w:tab w:val="clear" w:pos="4153"/>
        <w:tab w:val="clear" w:pos="8306"/>
        <w:tab w:val="right" w:pos="8311"/>
      </w:tabs>
      <w:spacing w:line="220" w:lineRule="auto"/>
      <w:rPr>
        <w:rFonts w:ascii="David" w:hAnsi="David" w:cs="David"/>
        <w:color w:val="000000"/>
        <w:sz w:val="22"/>
        <w:szCs w:val="22"/>
        <w:rtl/>
      </w:rPr>
    </w:pPr>
    <w:r>
      <w:rPr>
        <w:rFonts w:ascii="David" w:hAnsi="David" w:cs="David"/>
        <w:color w:val="000000"/>
        <w:sz w:val="22"/>
        <w:szCs w:val="22"/>
        <w:rtl/>
      </w:rPr>
      <w:t>תפ (ק"ג) 47080-05-21</w:t>
    </w:r>
    <w:r>
      <w:rPr>
        <w:rFonts w:ascii="David" w:hAnsi="David" w:cs="David"/>
        <w:color w:val="000000"/>
        <w:sz w:val="22"/>
        <w:szCs w:val="22"/>
        <w:rtl/>
      </w:rPr>
      <w:tab/>
      <w:t xml:space="preserve"> מדינת ישראל נ' איתי דוד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A51919"/>
    <w:multiLevelType w:val="hybridMultilevel"/>
    <w:tmpl w:val="E55CB96C"/>
    <w:lvl w:ilvl="0" w:tplc="FAD2D2FC">
      <w:start w:val="1"/>
      <w:numFmt w:val="hebrew1"/>
      <w:lvlText w:val="%1."/>
      <w:lvlJc w:val="center"/>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D277F34"/>
    <w:multiLevelType w:val="hybridMultilevel"/>
    <w:tmpl w:val="AAEA4C34"/>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rFonts w:cs="Times New Roman"/>
        <w:b w:val="0"/>
        <w:bCs/>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3" w15:restartNumberingAfterBreak="0">
    <w:nsid w:val="633E1DE5"/>
    <w:multiLevelType w:val="hybridMultilevel"/>
    <w:tmpl w:val="3EE6729A"/>
    <w:lvl w:ilvl="0" w:tplc="F1060144">
      <w:start w:val="1"/>
      <w:numFmt w:val="hebrew1"/>
      <w:lvlText w:val="%1."/>
      <w:lvlJc w:val="center"/>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65521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448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0072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503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2608"/>
    <w:rsid w:val="00111ABB"/>
    <w:rsid w:val="002D2256"/>
    <w:rsid w:val="003E3BCC"/>
    <w:rsid w:val="00427F6C"/>
    <w:rsid w:val="0043359C"/>
    <w:rsid w:val="004409C1"/>
    <w:rsid w:val="0066689D"/>
    <w:rsid w:val="00680F19"/>
    <w:rsid w:val="007863CB"/>
    <w:rsid w:val="007A2C97"/>
    <w:rsid w:val="007C2E7B"/>
    <w:rsid w:val="007D1FED"/>
    <w:rsid w:val="00A72A4B"/>
    <w:rsid w:val="00B2181B"/>
    <w:rsid w:val="00B74B8E"/>
    <w:rsid w:val="00BD1B8C"/>
    <w:rsid w:val="00CC60E1"/>
    <w:rsid w:val="00CE0D38"/>
    <w:rsid w:val="00D20DEF"/>
    <w:rsid w:val="00F126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258EDC"/>
  <w15:chartTrackingRefBased/>
  <w15:docId w15:val="{CBADE256-729D-42A9-94B2-77B283F2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2608"/>
    <w:pPr>
      <w:bidi/>
    </w:pPr>
    <w:rPr>
      <w:rFonts w:ascii="Times New Roman" w:hAnsi="Times New Roman" w:cs="David"/>
      <w:sz w:val="24"/>
      <w:szCs w:val="24"/>
    </w:rPr>
  </w:style>
  <w:style w:type="paragraph" w:styleId="1">
    <w:name w:val="heading 1"/>
    <w:basedOn w:val="a"/>
    <w:next w:val="a"/>
    <w:link w:val="10"/>
    <w:qFormat/>
    <w:rsid w:val="00F12608"/>
    <w:pPr>
      <w:keepNext/>
      <w:keepLines/>
      <w:spacing w:before="240"/>
      <w:outlineLvl w:val="0"/>
    </w:pPr>
    <w:rPr>
      <w:rFonts w:ascii="Calibri Light" w:hAnsi="Calibri Light" w:cs="Times New Roman"/>
      <w:color w:val="2E74B5"/>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locked/>
    <w:rsid w:val="00F12608"/>
    <w:rPr>
      <w:rFonts w:ascii="Calibri Light" w:hAnsi="Calibri Light"/>
      <w:color w:val="2E74B5"/>
      <w:sz w:val="32"/>
    </w:rPr>
  </w:style>
  <w:style w:type="character" w:styleId="Hyperlink">
    <w:name w:val="Hyperlink"/>
    <w:semiHidden/>
    <w:rsid w:val="00F12608"/>
    <w:rPr>
      <w:color w:val="0000FF"/>
      <w:u w:val="single"/>
    </w:rPr>
  </w:style>
  <w:style w:type="character" w:customStyle="1" w:styleId="ListParagraphChar">
    <w:name w:val="List Paragraph Char"/>
    <w:link w:val="ListParagraph"/>
    <w:locked/>
    <w:rsid w:val="00F12608"/>
    <w:rPr>
      <w:rFonts w:ascii="David" w:hAnsi="David"/>
      <w:sz w:val="24"/>
    </w:rPr>
  </w:style>
  <w:style w:type="paragraph" w:customStyle="1" w:styleId="ListParagraph">
    <w:name w:val="List Paragraph"/>
    <w:basedOn w:val="a"/>
    <w:link w:val="ListParagraphChar"/>
    <w:qFormat/>
    <w:rsid w:val="00F12608"/>
    <w:pPr>
      <w:spacing w:after="160" w:line="360" w:lineRule="auto"/>
      <w:ind w:left="720" w:hanging="357"/>
      <w:contextualSpacing/>
      <w:jc w:val="both"/>
    </w:pPr>
    <w:rPr>
      <w:rFonts w:ascii="David" w:eastAsia="Times New Roman" w:hAnsi="David"/>
    </w:rPr>
  </w:style>
  <w:style w:type="paragraph" w:customStyle="1" w:styleId="3">
    <w:name w:val="פיסקת רשימה3"/>
    <w:basedOn w:val="a"/>
    <w:rsid w:val="00F12608"/>
    <w:pPr>
      <w:spacing w:after="160" w:line="360" w:lineRule="auto"/>
      <w:ind w:left="720" w:hanging="357"/>
      <w:contextualSpacing/>
      <w:jc w:val="both"/>
    </w:pPr>
    <w:rPr>
      <w:rFonts w:ascii="Calibri" w:eastAsia="Times New Roman" w:hAnsi="Calibri"/>
    </w:rPr>
  </w:style>
  <w:style w:type="table" w:styleId="a3">
    <w:name w:val="Table Grid"/>
    <w:basedOn w:val="a1"/>
    <w:rsid w:val="00F12608"/>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ocked/>
    <w:rsid w:val="007A2C97"/>
    <w:pPr>
      <w:tabs>
        <w:tab w:val="center" w:pos="4153"/>
        <w:tab w:val="right" w:pos="8306"/>
      </w:tabs>
    </w:pPr>
    <w:rPr>
      <w:rFonts w:eastAsia="Times New Roman" w:cs="Miriam"/>
      <w:noProof/>
      <w:sz w:val="20"/>
      <w:szCs w:val="20"/>
    </w:rPr>
  </w:style>
  <w:style w:type="paragraph" w:styleId="a5">
    <w:name w:val="footer"/>
    <w:basedOn w:val="a"/>
    <w:link w:val="a6"/>
    <w:locked/>
    <w:rsid w:val="0066689D"/>
    <w:pPr>
      <w:tabs>
        <w:tab w:val="center" w:pos="4153"/>
        <w:tab w:val="right" w:pos="8306"/>
      </w:tabs>
    </w:pPr>
  </w:style>
  <w:style w:type="character" w:customStyle="1" w:styleId="a6">
    <w:name w:val="כותרת תחתונה תו"/>
    <w:link w:val="a5"/>
    <w:rsid w:val="0066689D"/>
    <w:rPr>
      <w:rFonts w:ascii="Times New Roman" w:hAnsi="Times New Roman" w:cs="David"/>
      <w:sz w:val="24"/>
      <w:szCs w:val="24"/>
    </w:rPr>
  </w:style>
  <w:style w:type="character" w:styleId="a7">
    <w:name w:val="page number"/>
    <w:locked/>
    <w:rsid w:val="0066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3367950" TargetMode="External"/><Relationship Id="rId47" Type="http://schemas.openxmlformats.org/officeDocument/2006/relationships/hyperlink" Target="http://www.nevo.co.il/case/18066088" TargetMode="External"/><Relationship Id="rId63" Type="http://schemas.openxmlformats.org/officeDocument/2006/relationships/hyperlink" Target="http://www.nevo.co.il/law/5227/62.3" TargetMode="External"/><Relationship Id="rId68" Type="http://schemas.openxmlformats.org/officeDocument/2006/relationships/hyperlink" Target="http://www.nevo.co.il/law/70301/40d.a" TargetMode="External"/><Relationship Id="rId84" Type="http://schemas.openxmlformats.org/officeDocument/2006/relationships/hyperlink" Target="http://www.nevo.co.il/case/6102737" TargetMode="External"/><Relationship Id="rId89" Type="http://schemas.openxmlformats.org/officeDocument/2006/relationships/hyperlink" Target="http://www.nevo.co.il/case/25269506" TargetMode="External"/><Relationship Id="rId16" Type="http://schemas.openxmlformats.org/officeDocument/2006/relationships/hyperlink" Target="http://www.nevo.co.il/law/70301/56" TargetMode="External"/><Relationship Id="rId11" Type="http://schemas.openxmlformats.org/officeDocument/2006/relationships/hyperlink" Target="http://www.nevo.co.il/law/5227/62.3"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23529655" TargetMode="External"/><Relationship Id="rId53" Type="http://schemas.openxmlformats.org/officeDocument/2006/relationships/hyperlink" Target="http://www.nevo.co.il/case/2419792" TargetMode="External"/><Relationship Id="rId58" Type="http://schemas.openxmlformats.org/officeDocument/2006/relationships/hyperlink" Target="http://www.nevo.co.il/case/6032057"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6848505" TargetMode="External"/><Relationship Id="rId5" Type="http://schemas.openxmlformats.org/officeDocument/2006/relationships/footnotes" Target="footnotes.xml"/><Relationship Id="rId90" Type="http://schemas.openxmlformats.org/officeDocument/2006/relationships/hyperlink" Target="http://www.eca.gov.il" TargetMode="External"/><Relationship Id="rId95" Type="http://schemas.openxmlformats.org/officeDocument/2006/relationships/header" Target="header1.xml"/><Relationship Id="rId22" Type="http://schemas.openxmlformats.org/officeDocument/2006/relationships/hyperlink" Target="http://www.nevo.co.il/law/4216/7.a.;7.c" TargetMode="External"/><Relationship Id="rId27" Type="http://schemas.openxmlformats.org/officeDocument/2006/relationships/hyperlink" Target="http://www.nevo.co.il/case/5573417" TargetMode="External"/><Relationship Id="rId43" Type="http://schemas.openxmlformats.org/officeDocument/2006/relationships/hyperlink" Target="http://www.nevo.co.il/case/6013249" TargetMode="External"/><Relationship Id="rId48" Type="http://schemas.openxmlformats.org/officeDocument/2006/relationships/hyperlink" Target="http://www.nevo.co.il/case/29283192" TargetMode="External"/><Relationship Id="rId64" Type="http://schemas.openxmlformats.org/officeDocument/2006/relationships/hyperlink" Target="http://www.nevo.co.il/law/5227" TargetMode="External"/><Relationship Id="rId69" Type="http://schemas.openxmlformats.org/officeDocument/2006/relationships/hyperlink" Target="http://www.nevo.co.il/law/70301" TargetMode="External"/><Relationship Id="rId80" Type="http://schemas.openxmlformats.org/officeDocument/2006/relationships/hyperlink" Target="http://www.nevo.co.il/case/6032952" TargetMode="External"/><Relationship Id="rId85" Type="http://schemas.openxmlformats.org/officeDocument/2006/relationships/hyperlink" Target="http://www.nevo.co.il/case/17045935"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56.a" TargetMode="External"/><Relationship Id="rId25" Type="http://schemas.openxmlformats.org/officeDocument/2006/relationships/hyperlink" Target="http://www.nevo.co.il/law/5227" TargetMode="External"/><Relationship Id="rId33" Type="http://schemas.openxmlformats.org/officeDocument/2006/relationships/hyperlink" Target="http://www.nevo.co.il/case/5583030" TargetMode="External"/><Relationship Id="rId38" Type="http://schemas.openxmlformats.org/officeDocument/2006/relationships/hyperlink" Target="http://www.nevo.co.il/case/26869029" TargetMode="External"/><Relationship Id="rId46" Type="http://schemas.openxmlformats.org/officeDocument/2006/relationships/hyperlink" Target="http://www.nevo.co.il/case/22646896" TargetMode="External"/><Relationship Id="rId59" Type="http://schemas.openxmlformats.org/officeDocument/2006/relationships/hyperlink" Target="http://www.nevo.co.il/case/17941073"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d.a" TargetMode="External"/><Relationship Id="rId41" Type="http://schemas.openxmlformats.org/officeDocument/2006/relationships/hyperlink" Target="http://www.nevo.co.il/case/21042415" TargetMode="External"/><Relationship Id="rId54" Type="http://schemas.openxmlformats.org/officeDocument/2006/relationships/hyperlink" Target="http://www.nevo.co.il/case/22198726" TargetMode="External"/><Relationship Id="rId62" Type="http://schemas.openxmlformats.org/officeDocument/2006/relationships/hyperlink" Target="http://www.nevo.co.il/case/25269506" TargetMode="External"/><Relationship Id="rId70" Type="http://schemas.openxmlformats.org/officeDocument/2006/relationships/hyperlink" Target="http://www.nevo.co.il/law/74274/26.2" TargetMode="External"/><Relationship Id="rId75" Type="http://schemas.openxmlformats.org/officeDocument/2006/relationships/hyperlink" Target="http://www.nevo.co.il/case/6824952"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24918229" TargetMode="External"/><Relationship Id="rId91" Type="http://schemas.openxmlformats.org/officeDocument/2006/relationships/hyperlink" Target="http://www.nevo.co.il/case/24918229"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54"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20750425" TargetMode="External"/><Relationship Id="rId49" Type="http://schemas.openxmlformats.org/officeDocument/2006/relationships/hyperlink" Target="http://www.nevo.co.il/case/26578224" TargetMode="External"/><Relationship Id="rId57" Type="http://schemas.openxmlformats.org/officeDocument/2006/relationships/hyperlink" Target="http://www.nevo.co.il/case/23424914" TargetMode="External"/><Relationship Id="rId10" Type="http://schemas.openxmlformats.org/officeDocument/2006/relationships/hyperlink" Target="http://www.nevo.co.il/law/5227" TargetMode="External"/><Relationship Id="rId31" Type="http://schemas.openxmlformats.org/officeDocument/2006/relationships/hyperlink" Target="http://www.nevo.co.il/case/17939812" TargetMode="External"/><Relationship Id="rId44" Type="http://schemas.openxmlformats.org/officeDocument/2006/relationships/hyperlink" Target="http://www.nevo.co.il/case/6004557" TargetMode="External"/><Relationship Id="rId52" Type="http://schemas.openxmlformats.org/officeDocument/2006/relationships/hyperlink" Target="http://www.nevo.co.il/case/18749766" TargetMode="External"/><Relationship Id="rId60" Type="http://schemas.openxmlformats.org/officeDocument/2006/relationships/hyperlink" Target="http://www.nevo.co.il/case/5880417" TargetMode="External"/><Relationship Id="rId65" Type="http://schemas.openxmlformats.org/officeDocument/2006/relationships/hyperlink" Target="http://www.nevo.co.il/law/70301/54" TargetMode="External"/><Relationship Id="rId73" Type="http://schemas.openxmlformats.org/officeDocument/2006/relationships/hyperlink" Target="http://www.nevo.co.il/law/70301/40d.a" TargetMode="External"/><Relationship Id="rId78" Type="http://schemas.openxmlformats.org/officeDocument/2006/relationships/hyperlink" Target="http://www.nevo.co.il/case/7821838" TargetMode="External"/><Relationship Id="rId81" Type="http://schemas.openxmlformats.org/officeDocument/2006/relationships/hyperlink" Target="http://www.nevo.co.il/case/16900431" TargetMode="External"/><Relationship Id="rId86" Type="http://schemas.openxmlformats.org/officeDocument/2006/relationships/hyperlink" Target="http://www.nevo.co.il/case/16864089"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4274" TargetMode="External"/><Relationship Id="rId39" Type="http://schemas.openxmlformats.org/officeDocument/2006/relationships/hyperlink" Target="http://www.nevo.co.il/case/27223943" TargetMode="External"/><Relationship Id="rId34" Type="http://schemas.openxmlformats.org/officeDocument/2006/relationships/hyperlink" Target="http://www.nevo.co.il/case/20991958" TargetMode="External"/><Relationship Id="rId50" Type="http://schemas.openxmlformats.org/officeDocument/2006/relationships/hyperlink" Target="http://www.nevo.co.il/case/23023730" TargetMode="External"/><Relationship Id="rId55" Type="http://schemas.openxmlformats.org/officeDocument/2006/relationships/hyperlink" Target="http://www.nevo.co.il/case/23750765" TargetMode="External"/><Relationship Id="rId76" Type="http://schemas.openxmlformats.org/officeDocument/2006/relationships/hyperlink" Target="http://www.nevo.co.il/case/10459128" TargetMode="External"/><Relationship Id="rId97"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74274" TargetMode="External"/><Relationship Id="rId92"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5227/62.3" TargetMode="External"/><Relationship Id="rId40" Type="http://schemas.openxmlformats.org/officeDocument/2006/relationships/hyperlink" Target="http://www.nevo.co.il/case/25178224" TargetMode="External"/><Relationship Id="rId45" Type="http://schemas.openxmlformats.org/officeDocument/2006/relationships/hyperlink" Target="http://www.nevo.co.il/case/5789349" TargetMode="External"/><Relationship Id="rId66" Type="http://schemas.openxmlformats.org/officeDocument/2006/relationships/hyperlink" Target="http://www.nevo.co.il/law/70301/56" TargetMode="External"/><Relationship Id="rId87" Type="http://schemas.openxmlformats.org/officeDocument/2006/relationships/hyperlink" Target="http://www.nevo.co.il/case/6120591" TargetMode="External"/><Relationship Id="rId61" Type="http://schemas.openxmlformats.org/officeDocument/2006/relationships/hyperlink" Target="http://www.nevo.co.il/case/6824952" TargetMode="External"/><Relationship Id="rId82" Type="http://schemas.openxmlformats.org/officeDocument/2006/relationships/hyperlink" Target="http://www.nevo.co.il/law/70301/56.a" TargetMode="External"/><Relationship Id="rId19" Type="http://schemas.openxmlformats.org/officeDocument/2006/relationships/hyperlink" Target="http://www.nevo.co.il/law/74274/26.2" TargetMode="External"/><Relationship Id="rId14" Type="http://schemas.openxmlformats.org/officeDocument/2006/relationships/hyperlink" Target="http://www.nevo.co.il/law/70301/40d.a"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4940338" TargetMode="External"/><Relationship Id="rId56" Type="http://schemas.openxmlformats.org/officeDocument/2006/relationships/hyperlink" Target="http://www.nevo.co.il/case/24343133" TargetMode="External"/><Relationship Id="rId77" Type="http://schemas.openxmlformats.org/officeDocument/2006/relationships/hyperlink" Target="http://www.nevo.co.il/case/12930657" TargetMode="External"/><Relationship Id="rId100"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0027145" TargetMode="External"/><Relationship Id="rId72" Type="http://schemas.openxmlformats.org/officeDocument/2006/relationships/hyperlink" Target="http://www.nevo.co.il/case/7688113" TargetMode="External"/><Relationship Id="rId93" Type="http://schemas.openxmlformats.org/officeDocument/2006/relationships/image" Target="media/image1.jpeg"/><Relationship Id="rId9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5756</Words>
  <Characters>28780</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34468</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8257637</vt:i4>
      </vt:variant>
      <vt:variant>
        <vt:i4>255</vt:i4>
      </vt:variant>
      <vt:variant>
        <vt:i4>0</vt:i4>
      </vt:variant>
      <vt:variant>
        <vt:i4>5</vt:i4>
      </vt:variant>
      <vt:variant>
        <vt:lpwstr>http://www.nevo.co.il/law/4216</vt:lpwstr>
      </vt:variant>
      <vt:variant>
        <vt:lpwstr/>
      </vt:variant>
      <vt:variant>
        <vt:i4>3211379</vt:i4>
      </vt:variant>
      <vt:variant>
        <vt:i4>252</vt:i4>
      </vt:variant>
      <vt:variant>
        <vt:i4>0</vt:i4>
      </vt:variant>
      <vt:variant>
        <vt:i4>5</vt:i4>
      </vt:variant>
      <vt:variant>
        <vt:lpwstr>http://www.nevo.co.il/case/24918229</vt:lpwstr>
      </vt:variant>
      <vt:variant>
        <vt:lpwstr/>
      </vt:variant>
      <vt:variant>
        <vt:i4>7864368</vt:i4>
      </vt:variant>
      <vt:variant>
        <vt:i4>249</vt:i4>
      </vt:variant>
      <vt:variant>
        <vt:i4>0</vt:i4>
      </vt:variant>
      <vt:variant>
        <vt:i4>5</vt:i4>
      </vt:variant>
      <vt:variant>
        <vt:lpwstr>http://www.eca.gov.il/</vt:lpwstr>
      </vt:variant>
      <vt:variant>
        <vt:lpwstr/>
      </vt:variant>
      <vt:variant>
        <vt:i4>3735666</vt:i4>
      </vt:variant>
      <vt:variant>
        <vt:i4>246</vt:i4>
      </vt:variant>
      <vt:variant>
        <vt:i4>0</vt:i4>
      </vt:variant>
      <vt:variant>
        <vt:i4>5</vt:i4>
      </vt:variant>
      <vt:variant>
        <vt:lpwstr>http://www.nevo.co.il/case/25269506</vt:lpwstr>
      </vt:variant>
      <vt:variant>
        <vt:lpwstr/>
      </vt:variant>
      <vt:variant>
        <vt:i4>3211379</vt:i4>
      </vt:variant>
      <vt:variant>
        <vt:i4>243</vt:i4>
      </vt:variant>
      <vt:variant>
        <vt:i4>0</vt:i4>
      </vt:variant>
      <vt:variant>
        <vt:i4>5</vt:i4>
      </vt:variant>
      <vt:variant>
        <vt:lpwstr>http://www.nevo.co.il/case/24918229</vt:lpwstr>
      </vt:variant>
      <vt:variant>
        <vt:lpwstr/>
      </vt:variant>
      <vt:variant>
        <vt:i4>3145852</vt:i4>
      </vt:variant>
      <vt:variant>
        <vt:i4>240</vt:i4>
      </vt:variant>
      <vt:variant>
        <vt:i4>0</vt:i4>
      </vt:variant>
      <vt:variant>
        <vt:i4>5</vt:i4>
      </vt:variant>
      <vt:variant>
        <vt:lpwstr>http://www.nevo.co.il/case/6120591</vt:lpwstr>
      </vt:variant>
      <vt:variant>
        <vt:lpwstr/>
      </vt:variant>
      <vt:variant>
        <vt:i4>3473524</vt:i4>
      </vt:variant>
      <vt:variant>
        <vt:i4>237</vt:i4>
      </vt:variant>
      <vt:variant>
        <vt:i4>0</vt:i4>
      </vt:variant>
      <vt:variant>
        <vt:i4>5</vt:i4>
      </vt:variant>
      <vt:variant>
        <vt:lpwstr>http://www.nevo.co.il/case/16864089</vt:lpwstr>
      </vt:variant>
      <vt:variant>
        <vt:lpwstr/>
      </vt:variant>
      <vt:variant>
        <vt:i4>3604606</vt:i4>
      </vt:variant>
      <vt:variant>
        <vt:i4>234</vt:i4>
      </vt:variant>
      <vt:variant>
        <vt:i4>0</vt:i4>
      </vt:variant>
      <vt:variant>
        <vt:i4>5</vt:i4>
      </vt:variant>
      <vt:variant>
        <vt:lpwstr>http://www.nevo.co.il/case/17045935</vt:lpwstr>
      </vt:variant>
      <vt:variant>
        <vt:lpwstr/>
      </vt:variant>
      <vt:variant>
        <vt:i4>3539060</vt:i4>
      </vt:variant>
      <vt:variant>
        <vt:i4>231</vt:i4>
      </vt:variant>
      <vt:variant>
        <vt:i4>0</vt:i4>
      </vt:variant>
      <vt:variant>
        <vt:i4>5</vt:i4>
      </vt:variant>
      <vt:variant>
        <vt:lpwstr>http://www.nevo.co.il/case/6102737</vt:lpwstr>
      </vt:variant>
      <vt:variant>
        <vt:lpwstr/>
      </vt:variant>
      <vt:variant>
        <vt:i4>7995492</vt:i4>
      </vt:variant>
      <vt:variant>
        <vt:i4>228</vt:i4>
      </vt:variant>
      <vt:variant>
        <vt:i4>0</vt:i4>
      </vt:variant>
      <vt:variant>
        <vt:i4>5</vt:i4>
      </vt:variant>
      <vt:variant>
        <vt:lpwstr>http://www.nevo.co.il/law/70301</vt:lpwstr>
      </vt:variant>
      <vt:variant>
        <vt:lpwstr/>
      </vt:variant>
      <vt:variant>
        <vt:i4>131150</vt:i4>
      </vt:variant>
      <vt:variant>
        <vt:i4>225</vt:i4>
      </vt:variant>
      <vt:variant>
        <vt:i4>0</vt:i4>
      </vt:variant>
      <vt:variant>
        <vt:i4>5</vt:i4>
      </vt:variant>
      <vt:variant>
        <vt:lpwstr>http://www.nevo.co.il/law/70301/56.a</vt:lpwstr>
      </vt:variant>
      <vt:variant>
        <vt:lpwstr/>
      </vt:variant>
      <vt:variant>
        <vt:i4>3866742</vt:i4>
      </vt:variant>
      <vt:variant>
        <vt:i4>222</vt:i4>
      </vt:variant>
      <vt:variant>
        <vt:i4>0</vt:i4>
      </vt:variant>
      <vt:variant>
        <vt:i4>5</vt:i4>
      </vt:variant>
      <vt:variant>
        <vt:lpwstr>http://www.nevo.co.il/case/16900431</vt:lpwstr>
      </vt:variant>
      <vt:variant>
        <vt:lpwstr/>
      </vt:variant>
      <vt:variant>
        <vt:i4>4063347</vt:i4>
      </vt:variant>
      <vt:variant>
        <vt:i4>219</vt:i4>
      </vt:variant>
      <vt:variant>
        <vt:i4>0</vt:i4>
      </vt:variant>
      <vt:variant>
        <vt:i4>5</vt:i4>
      </vt:variant>
      <vt:variant>
        <vt:lpwstr>http://www.nevo.co.il/case/6032952</vt:lpwstr>
      </vt:variant>
      <vt:variant>
        <vt:lpwstr/>
      </vt:variant>
      <vt:variant>
        <vt:i4>3276916</vt:i4>
      </vt:variant>
      <vt:variant>
        <vt:i4>216</vt:i4>
      </vt:variant>
      <vt:variant>
        <vt:i4>0</vt:i4>
      </vt:variant>
      <vt:variant>
        <vt:i4>5</vt:i4>
      </vt:variant>
      <vt:variant>
        <vt:lpwstr>http://www.nevo.co.il/case/6848505</vt:lpwstr>
      </vt:variant>
      <vt:variant>
        <vt:lpwstr/>
      </vt:variant>
      <vt:variant>
        <vt:i4>3473534</vt:i4>
      </vt:variant>
      <vt:variant>
        <vt:i4>213</vt:i4>
      </vt:variant>
      <vt:variant>
        <vt:i4>0</vt:i4>
      </vt:variant>
      <vt:variant>
        <vt:i4>5</vt:i4>
      </vt:variant>
      <vt:variant>
        <vt:lpwstr>http://www.nevo.co.il/case/7821838</vt:lpwstr>
      </vt:variant>
      <vt:variant>
        <vt:lpwstr/>
      </vt:variant>
      <vt:variant>
        <vt:i4>3997811</vt:i4>
      </vt:variant>
      <vt:variant>
        <vt:i4>210</vt:i4>
      </vt:variant>
      <vt:variant>
        <vt:i4>0</vt:i4>
      </vt:variant>
      <vt:variant>
        <vt:i4>5</vt:i4>
      </vt:variant>
      <vt:variant>
        <vt:lpwstr>http://www.nevo.co.il/case/12930657</vt:lpwstr>
      </vt:variant>
      <vt:variant>
        <vt:lpwstr/>
      </vt:variant>
      <vt:variant>
        <vt:i4>4063344</vt:i4>
      </vt:variant>
      <vt:variant>
        <vt:i4>207</vt:i4>
      </vt:variant>
      <vt:variant>
        <vt:i4>0</vt:i4>
      </vt:variant>
      <vt:variant>
        <vt:i4>5</vt:i4>
      </vt:variant>
      <vt:variant>
        <vt:lpwstr>http://www.nevo.co.il/case/10459128</vt:lpwstr>
      </vt:variant>
      <vt:variant>
        <vt:lpwstr/>
      </vt:variant>
      <vt:variant>
        <vt:i4>4128893</vt:i4>
      </vt:variant>
      <vt:variant>
        <vt:i4>204</vt:i4>
      </vt:variant>
      <vt:variant>
        <vt:i4>0</vt:i4>
      </vt:variant>
      <vt:variant>
        <vt:i4>5</vt:i4>
      </vt:variant>
      <vt:variant>
        <vt:lpwstr>http://www.nevo.co.il/case/6824952</vt:lpwstr>
      </vt:variant>
      <vt:variant>
        <vt:lpwstr/>
      </vt:variant>
      <vt:variant>
        <vt:i4>7995492</vt:i4>
      </vt:variant>
      <vt:variant>
        <vt:i4>201</vt:i4>
      </vt:variant>
      <vt:variant>
        <vt:i4>0</vt:i4>
      </vt:variant>
      <vt:variant>
        <vt:i4>5</vt:i4>
      </vt:variant>
      <vt:variant>
        <vt:lpwstr>http://www.nevo.co.il/law/70301</vt:lpwstr>
      </vt:variant>
      <vt:variant>
        <vt:lpwstr/>
      </vt:variant>
      <vt:variant>
        <vt:i4>4915205</vt:i4>
      </vt:variant>
      <vt:variant>
        <vt:i4>198</vt:i4>
      </vt:variant>
      <vt:variant>
        <vt:i4>0</vt:i4>
      </vt:variant>
      <vt:variant>
        <vt:i4>5</vt:i4>
      </vt:variant>
      <vt:variant>
        <vt:lpwstr>http://www.nevo.co.il/law/70301/40d.a</vt:lpwstr>
      </vt:variant>
      <vt:variant>
        <vt:lpwstr/>
      </vt:variant>
      <vt:variant>
        <vt:i4>3997819</vt:i4>
      </vt:variant>
      <vt:variant>
        <vt:i4>195</vt:i4>
      </vt:variant>
      <vt:variant>
        <vt:i4>0</vt:i4>
      </vt:variant>
      <vt:variant>
        <vt:i4>5</vt:i4>
      </vt:variant>
      <vt:variant>
        <vt:lpwstr>http://www.nevo.co.il/case/7688113</vt:lpwstr>
      </vt:variant>
      <vt:variant>
        <vt:lpwstr/>
      </vt:variant>
      <vt:variant>
        <vt:i4>7929957</vt:i4>
      </vt:variant>
      <vt:variant>
        <vt:i4>192</vt:i4>
      </vt:variant>
      <vt:variant>
        <vt:i4>0</vt:i4>
      </vt:variant>
      <vt:variant>
        <vt:i4>5</vt:i4>
      </vt:variant>
      <vt:variant>
        <vt:lpwstr>http://www.nevo.co.il/law/74274</vt:lpwstr>
      </vt:variant>
      <vt:variant>
        <vt:lpwstr/>
      </vt:variant>
      <vt:variant>
        <vt:i4>5374029</vt:i4>
      </vt:variant>
      <vt:variant>
        <vt:i4>189</vt:i4>
      </vt:variant>
      <vt:variant>
        <vt:i4>0</vt:i4>
      </vt:variant>
      <vt:variant>
        <vt:i4>5</vt:i4>
      </vt:variant>
      <vt:variant>
        <vt:lpwstr>http://www.nevo.co.il/law/74274/26.2</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4915205</vt:i4>
      </vt:variant>
      <vt:variant>
        <vt:i4>183</vt:i4>
      </vt:variant>
      <vt:variant>
        <vt:i4>0</vt:i4>
      </vt:variant>
      <vt:variant>
        <vt:i4>5</vt:i4>
      </vt:variant>
      <vt:variant>
        <vt:lpwstr>http://www.nevo.co.il/law/70301/40d.a</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6488160</vt:i4>
      </vt:variant>
      <vt:variant>
        <vt:i4>177</vt:i4>
      </vt:variant>
      <vt:variant>
        <vt:i4>0</vt:i4>
      </vt:variant>
      <vt:variant>
        <vt:i4>5</vt:i4>
      </vt:variant>
      <vt:variant>
        <vt:lpwstr>http://www.nevo.co.il/law/70301/56</vt:lpwstr>
      </vt:variant>
      <vt:variant>
        <vt:lpwstr/>
      </vt:variant>
      <vt:variant>
        <vt:i4>6357088</vt:i4>
      </vt:variant>
      <vt:variant>
        <vt:i4>174</vt:i4>
      </vt:variant>
      <vt:variant>
        <vt:i4>0</vt:i4>
      </vt:variant>
      <vt:variant>
        <vt:i4>5</vt:i4>
      </vt:variant>
      <vt:variant>
        <vt:lpwstr>http://www.nevo.co.il/law/70301/54</vt:lpwstr>
      </vt:variant>
      <vt:variant>
        <vt:lpwstr/>
      </vt:variant>
      <vt:variant>
        <vt:i4>8323175</vt:i4>
      </vt:variant>
      <vt:variant>
        <vt:i4>171</vt:i4>
      </vt:variant>
      <vt:variant>
        <vt:i4>0</vt:i4>
      </vt:variant>
      <vt:variant>
        <vt:i4>5</vt:i4>
      </vt:variant>
      <vt:variant>
        <vt:lpwstr>http://www.nevo.co.il/law/5227</vt:lpwstr>
      </vt:variant>
      <vt:variant>
        <vt:lpwstr/>
      </vt:variant>
      <vt:variant>
        <vt:i4>6750330</vt:i4>
      </vt:variant>
      <vt:variant>
        <vt:i4>168</vt:i4>
      </vt:variant>
      <vt:variant>
        <vt:i4>0</vt:i4>
      </vt:variant>
      <vt:variant>
        <vt:i4>5</vt:i4>
      </vt:variant>
      <vt:variant>
        <vt:lpwstr>http://www.nevo.co.il/law/5227/62.3</vt:lpwstr>
      </vt:variant>
      <vt:variant>
        <vt:lpwstr/>
      </vt:variant>
      <vt:variant>
        <vt:i4>3735666</vt:i4>
      </vt:variant>
      <vt:variant>
        <vt:i4>165</vt:i4>
      </vt:variant>
      <vt:variant>
        <vt:i4>0</vt:i4>
      </vt:variant>
      <vt:variant>
        <vt:i4>5</vt:i4>
      </vt:variant>
      <vt:variant>
        <vt:lpwstr>http://www.nevo.co.il/case/25269506</vt:lpwstr>
      </vt:variant>
      <vt:variant>
        <vt:lpwstr/>
      </vt:variant>
      <vt:variant>
        <vt:i4>4128893</vt:i4>
      </vt:variant>
      <vt:variant>
        <vt:i4>162</vt:i4>
      </vt:variant>
      <vt:variant>
        <vt:i4>0</vt:i4>
      </vt:variant>
      <vt:variant>
        <vt:i4>5</vt:i4>
      </vt:variant>
      <vt:variant>
        <vt:lpwstr>http://www.nevo.co.il/case/6824952</vt:lpwstr>
      </vt:variant>
      <vt:variant>
        <vt:lpwstr/>
      </vt:variant>
      <vt:variant>
        <vt:i4>4063357</vt:i4>
      </vt:variant>
      <vt:variant>
        <vt:i4>159</vt:i4>
      </vt:variant>
      <vt:variant>
        <vt:i4>0</vt:i4>
      </vt:variant>
      <vt:variant>
        <vt:i4>5</vt:i4>
      </vt:variant>
      <vt:variant>
        <vt:lpwstr>http://www.nevo.co.il/case/5880417</vt:lpwstr>
      </vt:variant>
      <vt:variant>
        <vt:lpwstr/>
      </vt:variant>
      <vt:variant>
        <vt:i4>4063351</vt:i4>
      </vt:variant>
      <vt:variant>
        <vt:i4>156</vt:i4>
      </vt:variant>
      <vt:variant>
        <vt:i4>0</vt:i4>
      </vt:variant>
      <vt:variant>
        <vt:i4>5</vt:i4>
      </vt:variant>
      <vt:variant>
        <vt:lpwstr>http://www.nevo.co.il/case/17941073</vt:lpwstr>
      </vt:variant>
      <vt:variant>
        <vt:lpwstr/>
      </vt:variant>
      <vt:variant>
        <vt:i4>3276915</vt:i4>
      </vt:variant>
      <vt:variant>
        <vt:i4>153</vt:i4>
      </vt:variant>
      <vt:variant>
        <vt:i4>0</vt:i4>
      </vt:variant>
      <vt:variant>
        <vt:i4>5</vt:i4>
      </vt:variant>
      <vt:variant>
        <vt:lpwstr>http://www.nevo.co.il/case/6032057</vt:lpwstr>
      </vt:variant>
      <vt:variant>
        <vt:lpwstr/>
      </vt:variant>
      <vt:variant>
        <vt:i4>3342460</vt:i4>
      </vt:variant>
      <vt:variant>
        <vt:i4>150</vt:i4>
      </vt:variant>
      <vt:variant>
        <vt:i4>0</vt:i4>
      </vt:variant>
      <vt:variant>
        <vt:i4>5</vt:i4>
      </vt:variant>
      <vt:variant>
        <vt:lpwstr>http://www.nevo.co.il/case/23424914</vt:lpwstr>
      </vt:variant>
      <vt:variant>
        <vt:lpwstr/>
      </vt:variant>
      <vt:variant>
        <vt:i4>3211381</vt:i4>
      </vt:variant>
      <vt:variant>
        <vt:i4>147</vt:i4>
      </vt:variant>
      <vt:variant>
        <vt:i4>0</vt:i4>
      </vt:variant>
      <vt:variant>
        <vt:i4>5</vt:i4>
      </vt:variant>
      <vt:variant>
        <vt:lpwstr>http://www.nevo.co.il/case/24343133</vt:lpwstr>
      </vt:variant>
      <vt:variant>
        <vt:lpwstr/>
      </vt:variant>
      <vt:variant>
        <vt:i4>3342453</vt:i4>
      </vt:variant>
      <vt:variant>
        <vt:i4>144</vt:i4>
      </vt:variant>
      <vt:variant>
        <vt:i4>0</vt:i4>
      </vt:variant>
      <vt:variant>
        <vt:i4>5</vt:i4>
      </vt:variant>
      <vt:variant>
        <vt:lpwstr>http://www.nevo.co.il/case/23750765</vt:lpwstr>
      </vt:variant>
      <vt:variant>
        <vt:lpwstr/>
      </vt:variant>
      <vt:variant>
        <vt:i4>3735672</vt:i4>
      </vt:variant>
      <vt:variant>
        <vt:i4>141</vt:i4>
      </vt:variant>
      <vt:variant>
        <vt:i4>0</vt:i4>
      </vt:variant>
      <vt:variant>
        <vt:i4>5</vt:i4>
      </vt:variant>
      <vt:variant>
        <vt:lpwstr>http://www.nevo.co.il/case/22198726</vt:lpwstr>
      </vt:variant>
      <vt:variant>
        <vt:lpwstr/>
      </vt:variant>
      <vt:variant>
        <vt:i4>3539056</vt:i4>
      </vt:variant>
      <vt:variant>
        <vt:i4>138</vt:i4>
      </vt:variant>
      <vt:variant>
        <vt:i4>0</vt:i4>
      </vt:variant>
      <vt:variant>
        <vt:i4>5</vt:i4>
      </vt:variant>
      <vt:variant>
        <vt:lpwstr>http://www.nevo.co.il/case/2419792</vt:lpwstr>
      </vt:variant>
      <vt:variant>
        <vt:lpwstr/>
      </vt:variant>
      <vt:variant>
        <vt:i4>3735679</vt:i4>
      </vt:variant>
      <vt:variant>
        <vt:i4>135</vt:i4>
      </vt:variant>
      <vt:variant>
        <vt:i4>0</vt:i4>
      </vt:variant>
      <vt:variant>
        <vt:i4>5</vt:i4>
      </vt:variant>
      <vt:variant>
        <vt:lpwstr>http://www.nevo.co.il/case/18749766</vt:lpwstr>
      </vt:variant>
      <vt:variant>
        <vt:lpwstr/>
      </vt:variant>
      <vt:variant>
        <vt:i4>3211383</vt:i4>
      </vt:variant>
      <vt:variant>
        <vt:i4>132</vt:i4>
      </vt:variant>
      <vt:variant>
        <vt:i4>0</vt:i4>
      </vt:variant>
      <vt:variant>
        <vt:i4>5</vt:i4>
      </vt:variant>
      <vt:variant>
        <vt:lpwstr>http://www.nevo.co.il/case/20027145</vt:lpwstr>
      </vt:variant>
      <vt:variant>
        <vt:lpwstr/>
      </vt:variant>
      <vt:variant>
        <vt:i4>3276914</vt:i4>
      </vt:variant>
      <vt:variant>
        <vt:i4>129</vt:i4>
      </vt:variant>
      <vt:variant>
        <vt:i4>0</vt:i4>
      </vt:variant>
      <vt:variant>
        <vt:i4>5</vt:i4>
      </vt:variant>
      <vt:variant>
        <vt:lpwstr>http://www.nevo.co.il/case/23023730</vt:lpwstr>
      </vt:variant>
      <vt:variant>
        <vt:lpwstr/>
      </vt:variant>
      <vt:variant>
        <vt:i4>3997815</vt:i4>
      </vt:variant>
      <vt:variant>
        <vt:i4>126</vt:i4>
      </vt:variant>
      <vt:variant>
        <vt:i4>0</vt:i4>
      </vt:variant>
      <vt:variant>
        <vt:i4>5</vt:i4>
      </vt:variant>
      <vt:variant>
        <vt:lpwstr>http://www.nevo.co.il/case/26578224</vt:lpwstr>
      </vt:variant>
      <vt:variant>
        <vt:lpwstr/>
      </vt:variant>
      <vt:variant>
        <vt:i4>3801204</vt:i4>
      </vt:variant>
      <vt:variant>
        <vt:i4>123</vt:i4>
      </vt:variant>
      <vt:variant>
        <vt:i4>0</vt:i4>
      </vt:variant>
      <vt:variant>
        <vt:i4>5</vt:i4>
      </vt:variant>
      <vt:variant>
        <vt:lpwstr>http://www.nevo.co.il/case/29283192</vt:lpwstr>
      </vt:variant>
      <vt:variant>
        <vt:lpwstr/>
      </vt:variant>
      <vt:variant>
        <vt:i4>4128890</vt:i4>
      </vt:variant>
      <vt:variant>
        <vt:i4>120</vt:i4>
      </vt:variant>
      <vt:variant>
        <vt:i4>0</vt:i4>
      </vt:variant>
      <vt:variant>
        <vt:i4>5</vt:i4>
      </vt:variant>
      <vt:variant>
        <vt:lpwstr>http://www.nevo.co.il/case/18066088</vt:lpwstr>
      </vt:variant>
      <vt:variant>
        <vt:lpwstr/>
      </vt:variant>
      <vt:variant>
        <vt:i4>3866746</vt:i4>
      </vt:variant>
      <vt:variant>
        <vt:i4>117</vt:i4>
      </vt:variant>
      <vt:variant>
        <vt:i4>0</vt:i4>
      </vt:variant>
      <vt:variant>
        <vt:i4>5</vt:i4>
      </vt:variant>
      <vt:variant>
        <vt:lpwstr>http://www.nevo.co.il/case/22646896</vt:lpwstr>
      </vt:variant>
      <vt:variant>
        <vt:lpwstr/>
      </vt:variant>
      <vt:variant>
        <vt:i4>3604606</vt:i4>
      </vt:variant>
      <vt:variant>
        <vt:i4>114</vt:i4>
      </vt:variant>
      <vt:variant>
        <vt:i4>0</vt:i4>
      </vt:variant>
      <vt:variant>
        <vt:i4>5</vt:i4>
      </vt:variant>
      <vt:variant>
        <vt:lpwstr>http://www.nevo.co.il/case/5789349</vt:lpwstr>
      </vt:variant>
      <vt:variant>
        <vt:lpwstr/>
      </vt:variant>
      <vt:variant>
        <vt:i4>3407989</vt:i4>
      </vt:variant>
      <vt:variant>
        <vt:i4>111</vt:i4>
      </vt:variant>
      <vt:variant>
        <vt:i4>0</vt:i4>
      </vt:variant>
      <vt:variant>
        <vt:i4>5</vt:i4>
      </vt:variant>
      <vt:variant>
        <vt:lpwstr>http://www.nevo.co.il/case/6004557</vt:lpwstr>
      </vt:variant>
      <vt:variant>
        <vt:lpwstr/>
      </vt:variant>
      <vt:variant>
        <vt:i4>3932275</vt:i4>
      </vt:variant>
      <vt:variant>
        <vt:i4>108</vt:i4>
      </vt:variant>
      <vt:variant>
        <vt:i4>0</vt:i4>
      </vt:variant>
      <vt:variant>
        <vt:i4>5</vt:i4>
      </vt:variant>
      <vt:variant>
        <vt:lpwstr>http://www.nevo.co.il/case/6013249</vt:lpwstr>
      </vt:variant>
      <vt:variant>
        <vt:lpwstr/>
      </vt:variant>
      <vt:variant>
        <vt:i4>3342456</vt:i4>
      </vt:variant>
      <vt:variant>
        <vt:i4>105</vt:i4>
      </vt:variant>
      <vt:variant>
        <vt:i4>0</vt:i4>
      </vt:variant>
      <vt:variant>
        <vt:i4>5</vt:i4>
      </vt:variant>
      <vt:variant>
        <vt:lpwstr>http://www.nevo.co.il/case/23367950</vt:lpwstr>
      </vt:variant>
      <vt:variant>
        <vt:lpwstr/>
      </vt:variant>
      <vt:variant>
        <vt:i4>3211381</vt:i4>
      </vt:variant>
      <vt:variant>
        <vt:i4>102</vt:i4>
      </vt:variant>
      <vt:variant>
        <vt:i4>0</vt:i4>
      </vt:variant>
      <vt:variant>
        <vt:i4>5</vt:i4>
      </vt:variant>
      <vt:variant>
        <vt:lpwstr>http://www.nevo.co.il/case/21042415</vt:lpwstr>
      </vt:variant>
      <vt:variant>
        <vt:lpwstr/>
      </vt:variant>
      <vt:variant>
        <vt:i4>3735668</vt:i4>
      </vt:variant>
      <vt:variant>
        <vt:i4>99</vt:i4>
      </vt:variant>
      <vt:variant>
        <vt:i4>0</vt:i4>
      </vt:variant>
      <vt:variant>
        <vt:i4>5</vt:i4>
      </vt:variant>
      <vt:variant>
        <vt:lpwstr>http://www.nevo.co.il/case/25178224</vt:lpwstr>
      </vt:variant>
      <vt:variant>
        <vt:lpwstr/>
      </vt:variant>
      <vt:variant>
        <vt:i4>3604600</vt:i4>
      </vt:variant>
      <vt:variant>
        <vt:i4>96</vt:i4>
      </vt:variant>
      <vt:variant>
        <vt:i4>0</vt:i4>
      </vt:variant>
      <vt:variant>
        <vt:i4>5</vt:i4>
      </vt:variant>
      <vt:variant>
        <vt:lpwstr>http://www.nevo.co.il/case/27223943</vt:lpwstr>
      </vt:variant>
      <vt:variant>
        <vt:lpwstr/>
      </vt:variant>
      <vt:variant>
        <vt:i4>3211380</vt:i4>
      </vt:variant>
      <vt:variant>
        <vt:i4>93</vt:i4>
      </vt:variant>
      <vt:variant>
        <vt:i4>0</vt:i4>
      </vt:variant>
      <vt:variant>
        <vt:i4>5</vt:i4>
      </vt:variant>
      <vt:variant>
        <vt:lpwstr>http://www.nevo.co.il/case/26869029</vt:lpwstr>
      </vt:variant>
      <vt:variant>
        <vt:lpwstr/>
      </vt:variant>
      <vt:variant>
        <vt:i4>3866739</vt:i4>
      </vt:variant>
      <vt:variant>
        <vt:i4>90</vt:i4>
      </vt:variant>
      <vt:variant>
        <vt:i4>0</vt:i4>
      </vt:variant>
      <vt:variant>
        <vt:i4>5</vt:i4>
      </vt:variant>
      <vt:variant>
        <vt:lpwstr>http://www.nevo.co.il/case/23529655</vt:lpwstr>
      </vt:variant>
      <vt:variant>
        <vt:lpwstr/>
      </vt:variant>
      <vt:variant>
        <vt:i4>3604597</vt:i4>
      </vt:variant>
      <vt:variant>
        <vt:i4>87</vt:i4>
      </vt:variant>
      <vt:variant>
        <vt:i4>0</vt:i4>
      </vt:variant>
      <vt:variant>
        <vt:i4>5</vt:i4>
      </vt:variant>
      <vt:variant>
        <vt:lpwstr>http://www.nevo.co.il/case/20750425</vt:lpwstr>
      </vt:variant>
      <vt:variant>
        <vt:lpwstr/>
      </vt:variant>
      <vt:variant>
        <vt:i4>3670135</vt:i4>
      </vt:variant>
      <vt:variant>
        <vt:i4>84</vt:i4>
      </vt:variant>
      <vt:variant>
        <vt:i4>0</vt:i4>
      </vt:variant>
      <vt:variant>
        <vt:i4>5</vt:i4>
      </vt:variant>
      <vt:variant>
        <vt:lpwstr>http://www.nevo.co.il/case/24940338</vt:lpwstr>
      </vt:variant>
      <vt:variant>
        <vt:lpwstr/>
      </vt:variant>
      <vt:variant>
        <vt:i4>4128884</vt:i4>
      </vt:variant>
      <vt:variant>
        <vt:i4>81</vt:i4>
      </vt:variant>
      <vt:variant>
        <vt:i4>0</vt:i4>
      </vt:variant>
      <vt:variant>
        <vt:i4>5</vt:i4>
      </vt:variant>
      <vt:variant>
        <vt:lpwstr>http://www.nevo.co.il/case/20991958</vt:lpwstr>
      </vt:variant>
      <vt:variant>
        <vt:lpwstr/>
      </vt:variant>
      <vt:variant>
        <vt:i4>3997809</vt:i4>
      </vt:variant>
      <vt:variant>
        <vt:i4>78</vt:i4>
      </vt:variant>
      <vt:variant>
        <vt:i4>0</vt:i4>
      </vt:variant>
      <vt:variant>
        <vt:i4>5</vt:i4>
      </vt:variant>
      <vt:variant>
        <vt:lpwstr>http://www.nevo.co.il/case/5583030</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3145848</vt:i4>
      </vt:variant>
      <vt:variant>
        <vt:i4>72</vt:i4>
      </vt:variant>
      <vt:variant>
        <vt:i4>0</vt:i4>
      </vt:variant>
      <vt:variant>
        <vt:i4>5</vt:i4>
      </vt:variant>
      <vt:variant>
        <vt:lpwstr>http://www.nevo.co.il/case/17939812</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3211379</vt:i4>
      </vt:variant>
      <vt:variant>
        <vt:i4>60</vt:i4>
      </vt:variant>
      <vt:variant>
        <vt:i4>0</vt:i4>
      </vt:variant>
      <vt:variant>
        <vt:i4>5</vt:i4>
      </vt:variant>
      <vt:variant>
        <vt:lpwstr>http://www.nevo.co.il/case/5573417</vt:lpwstr>
      </vt:variant>
      <vt:variant>
        <vt:lpwstr/>
      </vt:variant>
      <vt:variant>
        <vt:i4>7995492</vt:i4>
      </vt:variant>
      <vt:variant>
        <vt:i4>57</vt:i4>
      </vt:variant>
      <vt:variant>
        <vt:i4>0</vt:i4>
      </vt:variant>
      <vt:variant>
        <vt:i4>5</vt:i4>
      </vt:variant>
      <vt:variant>
        <vt:lpwstr>http://www.nevo.co.il/law/70301</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http://www.nevo.co.il/law/5227/62.3</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5374029</vt:i4>
      </vt:variant>
      <vt:variant>
        <vt:i4>36</vt:i4>
      </vt:variant>
      <vt:variant>
        <vt:i4>0</vt:i4>
      </vt:variant>
      <vt:variant>
        <vt:i4>5</vt:i4>
      </vt:variant>
      <vt:variant>
        <vt:lpwstr>http://www.nevo.co.il/law/74274/26.2</vt:lpwstr>
      </vt:variant>
      <vt:variant>
        <vt:lpwstr/>
      </vt:variant>
      <vt:variant>
        <vt:i4>7929957</vt:i4>
      </vt:variant>
      <vt:variant>
        <vt:i4>33</vt:i4>
      </vt:variant>
      <vt:variant>
        <vt:i4>0</vt:i4>
      </vt:variant>
      <vt:variant>
        <vt:i4>5</vt:i4>
      </vt:variant>
      <vt:variant>
        <vt:lpwstr>http://www.nevo.co.il/law/74274</vt:lpwstr>
      </vt:variant>
      <vt:variant>
        <vt:lpwstr/>
      </vt:variant>
      <vt:variant>
        <vt:i4>131150</vt:i4>
      </vt:variant>
      <vt:variant>
        <vt:i4>30</vt:i4>
      </vt:variant>
      <vt:variant>
        <vt:i4>0</vt:i4>
      </vt:variant>
      <vt:variant>
        <vt:i4>5</vt:i4>
      </vt:variant>
      <vt:variant>
        <vt:lpwstr>http://www.nevo.co.il/law/70301/56.a</vt:lpwstr>
      </vt:variant>
      <vt:variant>
        <vt:lpwstr/>
      </vt:variant>
      <vt:variant>
        <vt:i4>6488160</vt:i4>
      </vt:variant>
      <vt:variant>
        <vt:i4>27</vt:i4>
      </vt:variant>
      <vt:variant>
        <vt:i4>0</vt:i4>
      </vt:variant>
      <vt:variant>
        <vt:i4>5</vt:i4>
      </vt:variant>
      <vt:variant>
        <vt:lpwstr>http://www.nevo.co.il/law/70301/56</vt:lpwstr>
      </vt:variant>
      <vt:variant>
        <vt:lpwstr/>
      </vt:variant>
      <vt:variant>
        <vt:i4>6357088</vt:i4>
      </vt:variant>
      <vt:variant>
        <vt:i4>24</vt:i4>
      </vt:variant>
      <vt:variant>
        <vt:i4>0</vt:i4>
      </vt:variant>
      <vt:variant>
        <vt:i4>5</vt:i4>
      </vt:variant>
      <vt:variant>
        <vt:lpwstr>http://www.nevo.co.il/law/70301/54</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6750330</vt:i4>
      </vt:variant>
      <vt:variant>
        <vt:i4>12</vt:i4>
      </vt:variant>
      <vt:variant>
        <vt:i4>0</vt:i4>
      </vt:variant>
      <vt:variant>
        <vt:i4>5</vt:i4>
      </vt:variant>
      <vt:variant>
        <vt:lpwstr>http://www.nevo.co.il/law/5227/62.3</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47080</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איתי דוד פרץ</vt:lpwstr>
  </property>
  <property fmtid="{D5CDD505-2E9C-101B-9397-08002B2CF9AE}" pid="10" name="LAWYER">
    <vt:lpwstr>ליטל נאווי;לימור כהן גולן;רון בן שבת</vt:lpwstr>
  </property>
  <property fmtid="{D5CDD505-2E9C-101B-9397-08002B2CF9AE}" pid="11" name="JUDGE">
    <vt:lpwstr>נגה שמואלי-מאייר</vt:lpwstr>
  </property>
  <property fmtid="{D5CDD505-2E9C-101B-9397-08002B2CF9AE}" pid="12" name="CITY">
    <vt:lpwstr>ק"ג</vt:lpwstr>
  </property>
  <property fmtid="{D5CDD505-2E9C-101B-9397-08002B2CF9AE}" pid="13" name="DATE">
    <vt:lpwstr>20240311</vt:lpwstr>
  </property>
  <property fmtid="{D5CDD505-2E9C-101B-9397-08002B2CF9AE}" pid="14" name="TYPE_N_DATE">
    <vt:lpwstr>38020240311</vt:lpwstr>
  </property>
  <property fmtid="{D5CDD505-2E9C-101B-9397-08002B2CF9AE}" pid="15" name="WORDNUMPAGES">
    <vt:lpwstr>12</vt:lpwstr>
  </property>
  <property fmtid="{D5CDD505-2E9C-101B-9397-08002B2CF9AE}" pid="16" name="TYPE_ABS_DATE">
    <vt:lpwstr>380120240311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5573417;17939812;5738608;5583030;20991958;24940338;20750425;23529655;26869029;27223943;25178224;21042415;23367950;6013249;6004557;5789349;22646896;18066088;29283192;26578224;23023730;20027145;18749766;2419792;22198726;23750765;24343133;23424914;6032057</vt:lpwstr>
  </property>
  <property fmtid="{D5CDD505-2E9C-101B-9397-08002B2CF9AE}" pid="36" name="CASESLISTTMP2">
    <vt:lpwstr>17941073;5880417;6824952:2;25269506:2;7688113;10459128;12930657;7821838;6848505;6032952;16900431;6102737;17045935;16864089;6120591;24918229:2</vt:lpwstr>
  </property>
  <property fmtid="{D5CDD505-2E9C-101B-9397-08002B2CF9AE}" pid="37" name="LAWLISTTMP1">
    <vt:lpwstr>4216/007.a;007.c</vt:lpwstr>
  </property>
  <property fmtid="{D5CDD505-2E9C-101B-9397-08002B2CF9AE}" pid="38" name="LAWLISTTMP2">
    <vt:lpwstr>5227/062.3:2</vt:lpwstr>
  </property>
  <property fmtid="{D5CDD505-2E9C-101B-9397-08002B2CF9AE}" pid="39" name="LAWLISTTMP3">
    <vt:lpwstr>70301/040c.a;054;056;040d.a:2;056.a</vt:lpwstr>
  </property>
  <property fmtid="{D5CDD505-2E9C-101B-9397-08002B2CF9AE}" pid="40" name="LAWLISTTMP4">
    <vt:lpwstr>74274/026.2</vt:lpwstr>
  </property>
  <property fmtid="{D5CDD505-2E9C-101B-9397-08002B2CF9AE}" pid="41" name="METAKZER">
    <vt:lpwstr>הרץ קרן</vt:lpwstr>
  </property>
  <property fmtid="{D5CDD505-2E9C-101B-9397-08002B2CF9AE}" pid="42" name="NOSE1ID">
    <vt:lpwstr>77;77;77</vt:lpwstr>
  </property>
  <property fmtid="{D5CDD505-2E9C-101B-9397-08002B2CF9AE}" pid="43" name="NOSE2ID">
    <vt:lpwstr>1446;1446;1446</vt:lpwstr>
  </property>
  <property fmtid="{D5CDD505-2E9C-101B-9397-08002B2CF9AE}" pid="44" name="NOSE3ID">
    <vt:lpwstr>15741;8994;8991</vt:lpwstr>
  </property>
  <property fmtid="{D5CDD505-2E9C-101B-9397-08002B2CF9AE}" pid="45" name="NOSE11">
    <vt:lpwstr>עונשין</vt:lpwstr>
  </property>
  <property fmtid="{D5CDD505-2E9C-101B-9397-08002B2CF9AE}" pid="46" name="NOSE21">
    <vt:lpwstr>ענישה</vt:lpwstr>
  </property>
  <property fmtid="{D5CDD505-2E9C-101B-9397-08002B2CF9AE}" pid="47" name="NOSE31">
    <vt:lpwstr>הארכת תקופת התנאי</vt:lpwstr>
  </property>
  <property fmtid="{D5CDD505-2E9C-101B-9397-08002B2CF9AE}" pid="48" name="NOSE12">
    <vt:lpwstr>עונשין</vt:lpwstr>
  </property>
  <property fmtid="{D5CDD505-2E9C-101B-9397-08002B2CF9AE}" pid="49" name="NOSE22">
    <vt:lpwstr>ענישה</vt:lpwstr>
  </property>
  <property fmtid="{D5CDD505-2E9C-101B-9397-08002B2CF9AE}" pid="50" name="NOSE32">
    <vt:lpwstr>מדיניות ענישה: שיקולים</vt:lpwstr>
  </property>
  <property fmtid="{D5CDD505-2E9C-101B-9397-08002B2CF9AE}" pid="51" name="NOSE13">
    <vt:lpwstr>עונשין</vt:lpwstr>
  </property>
  <property fmtid="{D5CDD505-2E9C-101B-9397-08002B2CF9AE}" pid="52" name="NOSE23">
    <vt:lpwstr>ענישה</vt:lpwstr>
  </property>
  <property fmtid="{D5CDD505-2E9C-101B-9397-08002B2CF9AE}" pid="53" name="NOSE33">
    <vt:lpwstr>מדיניות ענישה: עבירות סמים</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20240318</vt:lpwstr>
  </property>
</Properties>
</file>