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AB3468" w:rsidRPr="001F7F18" w14:paraId="3181D57E" w14:textId="77777777" w:rsidTr="007A5482">
        <w:trPr>
          <w:gridAfter w:val="1"/>
          <w:wAfter w:w="99" w:type="dxa"/>
          <w:trHeight w:hRule="exact" w:val="418"/>
          <w:jc w:val="center"/>
        </w:trPr>
        <w:tc>
          <w:tcPr>
            <w:tcW w:w="8721" w:type="dxa"/>
            <w:gridSpan w:val="4"/>
          </w:tcPr>
          <w:p w14:paraId="7153A8DB" w14:textId="77777777" w:rsidR="00AB3468" w:rsidRPr="001F7F18" w:rsidRDefault="00AB3468" w:rsidP="00E33CBB">
            <w:pPr>
              <w:pStyle w:val="a3"/>
              <w:jc w:val="center"/>
              <w:rPr>
                <w:rFonts w:ascii="Tahoma" w:hAnsi="Tahoma" w:cs="Tahoma"/>
                <w:color w:val="000080"/>
                <w:rtl/>
              </w:rPr>
            </w:pPr>
            <w:bookmarkStart w:id="0" w:name="FirstLawyer"/>
            <w:bookmarkStart w:id="1" w:name="LastJudge"/>
            <w:r w:rsidRPr="001F7F18">
              <w:rPr>
                <w:rFonts w:ascii="FrankRuehl" w:hAnsi="FrankRuehl" w:cs="FrankRuehl"/>
                <w:b/>
                <w:bCs/>
                <w:color w:val="000080"/>
                <w:sz w:val="28"/>
                <w:szCs w:val="28"/>
                <w:rtl/>
              </w:rPr>
              <w:t>בית משפט השלום בירושלים</w:t>
            </w:r>
          </w:p>
        </w:tc>
      </w:tr>
      <w:tr w:rsidR="00AB3468" w:rsidRPr="001F7F18" w14:paraId="389D3845" w14:textId="77777777" w:rsidTr="007A5482">
        <w:trPr>
          <w:gridAfter w:val="1"/>
          <w:wAfter w:w="99" w:type="dxa"/>
          <w:trHeight w:val="337"/>
          <w:jc w:val="center"/>
        </w:trPr>
        <w:tc>
          <w:tcPr>
            <w:tcW w:w="5063" w:type="dxa"/>
            <w:gridSpan w:val="3"/>
          </w:tcPr>
          <w:p w14:paraId="5CE80708" w14:textId="77777777" w:rsidR="00AB3468" w:rsidRPr="001F7F18" w:rsidRDefault="00AB3468" w:rsidP="00E33CBB">
            <w:pPr>
              <w:rPr>
                <w:rFonts w:cs="FrankRuehl"/>
                <w:sz w:val="28"/>
                <w:szCs w:val="28"/>
                <w:rtl/>
              </w:rPr>
            </w:pPr>
            <w:r w:rsidRPr="001F7F18">
              <w:rPr>
                <w:rFonts w:cs="FrankRuehl"/>
                <w:sz w:val="28"/>
                <w:szCs w:val="28"/>
                <w:rtl/>
              </w:rPr>
              <w:t>ת"פ</w:t>
            </w:r>
            <w:r w:rsidRPr="001F7F18">
              <w:rPr>
                <w:rFonts w:cs="FrankRuehl" w:hint="cs"/>
                <w:sz w:val="28"/>
                <w:szCs w:val="28"/>
                <w:rtl/>
              </w:rPr>
              <w:t xml:space="preserve"> </w:t>
            </w:r>
            <w:r w:rsidRPr="001F7F18">
              <w:rPr>
                <w:rFonts w:cs="FrankRuehl"/>
                <w:sz w:val="28"/>
                <w:szCs w:val="28"/>
                <w:rtl/>
              </w:rPr>
              <w:t>53884-05-21</w:t>
            </w:r>
            <w:r w:rsidRPr="001F7F18">
              <w:rPr>
                <w:rFonts w:cs="FrankRuehl" w:hint="cs"/>
                <w:sz w:val="28"/>
                <w:szCs w:val="28"/>
                <w:rtl/>
              </w:rPr>
              <w:t xml:space="preserve"> </w:t>
            </w:r>
            <w:r w:rsidRPr="001F7F18">
              <w:rPr>
                <w:rFonts w:cs="FrankRuehl"/>
                <w:sz w:val="28"/>
                <w:szCs w:val="28"/>
                <w:rtl/>
              </w:rPr>
              <w:t>מדינת ישראל נ' כרמלי(אחר/נוסף)</w:t>
            </w:r>
          </w:p>
          <w:p w14:paraId="4C62A9F4" w14:textId="77777777" w:rsidR="00AB3468" w:rsidRPr="001F7F18" w:rsidRDefault="00AB3468" w:rsidP="00E33CBB">
            <w:pPr>
              <w:pStyle w:val="a3"/>
              <w:rPr>
                <w:rFonts w:cs="FrankRuehl"/>
                <w:sz w:val="28"/>
                <w:szCs w:val="28"/>
                <w:rtl/>
              </w:rPr>
            </w:pPr>
          </w:p>
        </w:tc>
        <w:tc>
          <w:tcPr>
            <w:tcW w:w="3658" w:type="dxa"/>
          </w:tcPr>
          <w:p w14:paraId="001ECCA3" w14:textId="77777777" w:rsidR="00AB3468" w:rsidRPr="001F7F18" w:rsidRDefault="00AB3468" w:rsidP="00E33CBB">
            <w:pPr>
              <w:pStyle w:val="a3"/>
              <w:jc w:val="right"/>
              <w:rPr>
                <w:rFonts w:cs="FrankRuehl"/>
                <w:sz w:val="28"/>
                <w:szCs w:val="28"/>
                <w:rtl/>
              </w:rPr>
            </w:pPr>
          </w:p>
        </w:tc>
      </w:tr>
      <w:tr w:rsidR="00AB3468" w:rsidRPr="001F7F18" w14:paraId="3DEA549E" w14:textId="77777777" w:rsidTr="007A54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2848B9C" w14:textId="77777777" w:rsidR="00AB3468" w:rsidRPr="001F7F18" w:rsidRDefault="00AB3468" w:rsidP="00AB3468">
            <w:pPr>
              <w:jc w:val="both"/>
              <w:rPr>
                <w:rFonts w:ascii="FrankRuehl" w:hAnsi="FrankRuehl" w:cs="FrankRuehl"/>
                <w:sz w:val="28"/>
                <w:szCs w:val="28"/>
              </w:rPr>
            </w:pPr>
            <w:r w:rsidRPr="001F7F18">
              <w:rPr>
                <w:rFonts w:hint="cs"/>
                <w:rtl/>
              </w:rPr>
              <w:t xml:space="preserve"> </w:t>
            </w:r>
            <w:r w:rsidRPr="001F7F18">
              <w:rPr>
                <w:rFonts w:ascii="FrankRuehl" w:hAnsi="FrankRuehl" w:cs="FrankRuehl"/>
                <w:sz w:val="28"/>
                <w:szCs w:val="28"/>
                <w:rtl/>
              </w:rPr>
              <w:t xml:space="preserve">בפני </w:t>
            </w:r>
          </w:p>
        </w:tc>
        <w:tc>
          <w:tcPr>
            <w:tcW w:w="7897" w:type="dxa"/>
            <w:gridSpan w:val="4"/>
            <w:tcBorders>
              <w:top w:val="nil"/>
              <w:left w:val="nil"/>
              <w:bottom w:val="nil"/>
              <w:right w:val="nil"/>
            </w:tcBorders>
            <w:shd w:val="clear" w:color="auto" w:fill="auto"/>
          </w:tcPr>
          <w:p w14:paraId="31EC87AF" w14:textId="77777777" w:rsidR="00AB3468" w:rsidRPr="001F7F18" w:rsidRDefault="00AB3468" w:rsidP="00E33CBB">
            <w:pPr>
              <w:rPr>
                <w:rFonts w:ascii="FrankRuehl" w:hAnsi="FrankRuehl" w:cs="FrankRuehl"/>
                <w:b/>
                <w:bCs/>
                <w:sz w:val="28"/>
                <w:szCs w:val="28"/>
                <w:rtl/>
              </w:rPr>
            </w:pPr>
            <w:r w:rsidRPr="001F7F18">
              <w:rPr>
                <w:rFonts w:ascii="FrankRuehl" w:hAnsi="FrankRuehl" w:cs="FrankRuehl"/>
                <w:b/>
                <w:bCs/>
                <w:sz w:val="28"/>
                <w:szCs w:val="28"/>
                <w:rtl/>
              </w:rPr>
              <w:t>כבוד השופט  דוד שאול גבאי ריכטר</w:t>
            </w:r>
          </w:p>
          <w:p w14:paraId="5A1E1E44" w14:textId="77777777" w:rsidR="00AB3468" w:rsidRPr="001F7F18" w:rsidRDefault="00AB3468" w:rsidP="00E33CBB">
            <w:pPr>
              <w:rPr>
                <w:rFonts w:ascii="FrankRuehl" w:hAnsi="FrankRuehl" w:cs="FrankRuehl"/>
                <w:sz w:val="28"/>
                <w:szCs w:val="28"/>
                <w:rtl/>
              </w:rPr>
            </w:pPr>
          </w:p>
          <w:p w14:paraId="507BF171" w14:textId="77777777" w:rsidR="00AB3468" w:rsidRPr="001F7F18" w:rsidRDefault="00AB3468" w:rsidP="00AB3468">
            <w:pPr>
              <w:jc w:val="both"/>
              <w:rPr>
                <w:rFonts w:ascii="FrankRuehl" w:hAnsi="FrankRuehl" w:cs="FrankRuehl"/>
                <w:sz w:val="28"/>
                <w:szCs w:val="28"/>
              </w:rPr>
            </w:pPr>
          </w:p>
        </w:tc>
      </w:tr>
      <w:tr w:rsidR="00AB3468" w:rsidRPr="001F7F18" w14:paraId="4091E8E3" w14:textId="77777777" w:rsidTr="007A54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BCFFB2" w14:textId="77777777" w:rsidR="00AB3468" w:rsidRPr="001F7F18" w:rsidRDefault="00AB3468" w:rsidP="00AB3468">
            <w:pPr>
              <w:jc w:val="both"/>
              <w:rPr>
                <w:rFonts w:ascii="FrankRuehl" w:hAnsi="FrankRuehl" w:cs="FrankRuehl"/>
                <w:sz w:val="28"/>
                <w:szCs w:val="28"/>
              </w:rPr>
            </w:pPr>
            <w:bookmarkStart w:id="2" w:name="FirstAppellant"/>
            <w:r w:rsidRPr="001F7F18">
              <w:rPr>
                <w:rFonts w:ascii="FrankRuehl" w:hAnsi="FrankRuehl" w:cs="FrankRuehl"/>
                <w:sz w:val="28"/>
                <w:szCs w:val="28"/>
                <w:rtl/>
              </w:rPr>
              <w:t>בעניין:</w:t>
            </w:r>
          </w:p>
        </w:tc>
        <w:tc>
          <w:tcPr>
            <w:tcW w:w="3219" w:type="dxa"/>
            <w:tcBorders>
              <w:top w:val="nil"/>
              <w:left w:val="nil"/>
              <w:bottom w:val="nil"/>
              <w:right w:val="nil"/>
            </w:tcBorders>
            <w:shd w:val="clear" w:color="auto" w:fill="auto"/>
          </w:tcPr>
          <w:p w14:paraId="2AAA48C0" w14:textId="77777777" w:rsidR="00AB3468" w:rsidRPr="001F7F18" w:rsidRDefault="00AB3468" w:rsidP="00AB3468">
            <w:pPr>
              <w:suppressLineNumbers/>
              <w:rPr>
                <w:rFonts w:ascii="FrankRuehl" w:hAnsi="FrankRuehl" w:cs="FrankRuehl"/>
                <w:sz w:val="28"/>
                <w:szCs w:val="28"/>
              </w:rPr>
            </w:pPr>
            <w:r w:rsidRPr="001F7F18">
              <w:rPr>
                <w:rFonts w:ascii="FrankRuehl" w:hAnsi="FrankRuehl" w:cs="FrankRuehl"/>
                <w:b/>
                <w:bCs/>
                <w:sz w:val="28"/>
                <w:szCs w:val="28"/>
                <w:rtl/>
              </w:rPr>
              <w:t>המאשימה</w:t>
            </w:r>
          </w:p>
          <w:p w14:paraId="61B5B59B" w14:textId="77777777" w:rsidR="00AB3468" w:rsidRPr="001F7F18" w:rsidRDefault="00AB3468" w:rsidP="00E33CBB">
            <w:pPr>
              <w:rPr>
                <w:rFonts w:ascii="FrankRuehl" w:hAnsi="FrankRuehl" w:cs="FrankRuehl"/>
                <w:sz w:val="28"/>
                <w:szCs w:val="28"/>
              </w:rPr>
            </w:pPr>
          </w:p>
        </w:tc>
        <w:tc>
          <w:tcPr>
            <w:tcW w:w="4678" w:type="dxa"/>
            <w:gridSpan w:val="3"/>
            <w:tcBorders>
              <w:top w:val="nil"/>
              <w:left w:val="nil"/>
              <w:bottom w:val="nil"/>
              <w:right w:val="nil"/>
            </w:tcBorders>
            <w:shd w:val="clear" w:color="auto" w:fill="auto"/>
            <w:vAlign w:val="center"/>
          </w:tcPr>
          <w:p w14:paraId="1304DC92" w14:textId="77777777" w:rsidR="00AB3468" w:rsidRPr="001F7F18" w:rsidRDefault="00AB3468" w:rsidP="00AB3468">
            <w:pPr>
              <w:suppressLineNumbers/>
              <w:rPr>
                <w:rFonts w:ascii="FrankRuehl" w:hAnsi="FrankRuehl" w:cs="FrankRuehl"/>
                <w:sz w:val="28"/>
                <w:szCs w:val="28"/>
              </w:rPr>
            </w:pPr>
            <w:r w:rsidRPr="001F7F18">
              <w:rPr>
                <w:rFonts w:ascii="FrankRuehl" w:hAnsi="FrankRuehl" w:cs="FrankRuehl"/>
                <w:b/>
                <w:bCs/>
                <w:sz w:val="28"/>
                <w:szCs w:val="28"/>
                <w:rtl/>
              </w:rPr>
              <w:t>מדינת ישראל</w:t>
            </w:r>
            <w:r w:rsidRPr="001F7F18">
              <w:rPr>
                <w:rFonts w:ascii="FrankRuehl" w:hAnsi="FrankRuehl" w:cs="FrankRuehl"/>
                <w:b/>
                <w:bCs/>
                <w:sz w:val="28"/>
                <w:szCs w:val="28"/>
                <w:rtl/>
              </w:rPr>
              <w:br/>
              <w:t xml:space="preserve">ע"י </w:t>
            </w:r>
            <w:r w:rsidRPr="001F7F18">
              <w:rPr>
                <w:rFonts w:ascii="FrankRuehl" w:hAnsi="FrankRuehl" w:cs="FrankRuehl" w:hint="cs"/>
                <w:b/>
                <w:bCs/>
                <w:sz w:val="28"/>
                <w:szCs w:val="28"/>
                <w:rtl/>
              </w:rPr>
              <w:t xml:space="preserve">ב"כ עו"ד מאיר לוברבאום </w:t>
            </w:r>
            <w:r w:rsidRPr="001F7F18">
              <w:rPr>
                <w:rFonts w:ascii="FrankRuehl" w:hAnsi="FrankRuehl" w:cs="FrankRuehl"/>
                <w:b/>
                <w:bCs/>
                <w:sz w:val="28"/>
                <w:szCs w:val="28"/>
                <w:rtl/>
              </w:rPr>
              <w:t>תביעות ירושלים</w:t>
            </w:r>
          </w:p>
          <w:p w14:paraId="3C8E77AC" w14:textId="77777777" w:rsidR="00AB3468" w:rsidRPr="001F7F18" w:rsidRDefault="00AB3468" w:rsidP="00E33CBB">
            <w:pPr>
              <w:rPr>
                <w:rFonts w:ascii="FrankRuehl" w:hAnsi="FrankRuehl" w:cs="FrankRuehl"/>
                <w:sz w:val="28"/>
                <w:szCs w:val="28"/>
              </w:rPr>
            </w:pPr>
          </w:p>
        </w:tc>
      </w:tr>
      <w:bookmarkEnd w:id="2"/>
      <w:tr w:rsidR="00AB3468" w:rsidRPr="001F7F18" w14:paraId="172F22C9" w14:textId="77777777" w:rsidTr="007A54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A0196B" w14:textId="77777777" w:rsidR="00AB3468" w:rsidRPr="001F7F18" w:rsidRDefault="00AB3468" w:rsidP="00AB3468">
            <w:pPr>
              <w:jc w:val="both"/>
              <w:rPr>
                <w:rFonts w:ascii="FrankRuehl" w:hAnsi="FrankRuehl" w:cs="FrankRuehl"/>
                <w:sz w:val="28"/>
                <w:szCs w:val="28"/>
                <w:rtl/>
              </w:rPr>
            </w:pPr>
          </w:p>
        </w:tc>
        <w:tc>
          <w:tcPr>
            <w:tcW w:w="7897" w:type="dxa"/>
            <w:gridSpan w:val="4"/>
            <w:tcBorders>
              <w:top w:val="nil"/>
              <w:left w:val="nil"/>
              <w:bottom w:val="nil"/>
              <w:right w:val="nil"/>
            </w:tcBorders>
            <w:shd w:val="clear" w:color="auto" w:fill="auto"/>
          </w:tcPr>
          <w:p w14:paraId="70FBE640" w14:textId="77777777" w:rsidR="00AB3468" w:rsidRPr="001F7F18" w:rsidRDefault="00AB3468" w:rsidP="00AB3468">
            <w:pPr>
              <w:jc w:val="center"/>
              <w:rPr>
                <w:rFonts w:ascii="FrankRuehl" w:hAnsi="FrankRuehl" w:cs="FrankRuehl"/>
                <w:b/>
                <w:bCs/>
                <w:sz w:val="28"/>
                <w:szCs w:val="28"/>
                <w:rtl/>
              </w:rPr>
            </w:pPr>
          </w:p>
          <w:p w14:paraId="0ABD10ED" w14:textId="77777777" w:rsidR="00AB3468" w:rsidRPr="001F7F18" w:rsidRDefault="00AB3468" w:rsidP="00AB3468">
            <w:pPr>
              <w:jc w:val="center"/>
              <w:rPr>
                <w:rFonts w:ascii="FrankRuehl" w:hAnsi="FrankRuehl" w:cs="FrankRuehl"/>
                <w:b/>
                <w:bCs/>
                <w:sz w:val="28"/>
                <w:szCs w:val="28"/>
                <w:rtl/>
              </w:rPr>
            </w:pPr>
            <w:r w:rsidRPr="001F7F18">
              <w:rPr>
                <w:rFonts w:ascii="FrankRuehl" w:hAnsi="FrankRuehl" w:cs="FrankRuehl"/>
                <w:b/>
                <w:bCs/>
                <w:sz w:val="28"/>
                <w:szCs w:val="28"/>
                <w:rtl/>
              </w:rPr>
              <w:t>נגד</w:t>
            </w:r>
          </w:p>
          <w:p w14:paraId="123F0853" w14:textId="77777777" w:rsidR="00AB3468" w:rsidRPr="001F7F18" w:rsidRDefault="00AB3468" w:rsidP="00AB3468">
            <w:pPr>
              <w:jc w:val="both"/>
              <w:rPr>
                <w:rFonts w:ascii="FrankRuehl" w:hAnsi="FrankRuehl" w:cs="FrankRuehl"/>
                <w:sz w:val="28"/>
                <w:szCs w:val="28"/>
              </w:rPr>
            </w:pPr>
          </w:p>
        </w:tc>
      </w:tr>
      <w:tr w:rsidR="00AB3468" w:rsidRPr="001F7F18" w14:paraId="0C50B726" w14:textId="77777777" w:rsidTr="007A54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562934" w14:textId="77777777" w:rsidR="00AB3468" w:rsidRPr="001F7F18" w:rsidRDefault="00AB3468" w:rsidP="00E33CBB">
            <w:pPr>
              <w:rPr>
                <w:rFonts w:ascii="FrankRuehl" w:hAnsi="FrankRuehl" w:cs="FrankRuehl"/>
                <w:sz w:val="28"/>
                <w:szCs w:val="28"/>
                <w:rtl/>
              </w:rPr>
            </w:pPr>
          </w:p>
        </w:tc>
        <w:tc>
          <w:tcPr>
            <w:tcW w:w="3219" w:type="dxa"/>
            <w:tcBorders>
              <w:top w:val="nil"/>
              <w:left w:val="nil"/>
              <w:bottom w:val="nil"/>
              <w:right w:val="nil"/>
            </w:tcBorders>
            <w:shd w:val="clear" w:color="auto" w:fill="auto"/>
          </w:tcPr>
          <w:p w14:paraId="32775B80" w14:textId="77777777" w:rsidR="00AB3468" w:rsidRPr="001F7F18" w:rsidRDefault="00AB3468" w:rsidP="00E33CBB">
            <w:pPr>
              <w:rPr>
                <w:rFonts w:ascii="FrankRuehl" w:hAnsi="FrankRuehl" w:cs="FrankRuehl"/>
                <w:b/>
                <w:bCs/>
                <w:sz w:val="28"/>
                <w:szCs w:val="28"/>
                <w:rtl/>
              </w:rPr>
            </w:pPr>
            <w:r w:rsidRPr="001F7F18">
              <w:rPr>
                <w:rFonts w:ascii="FrankRuehl" w:hAnsi="FrankRuehl" w:cs="FrankRuehl"/>
                <w:b/>
                <w:bCs/>
                <w:sz w:val="28"/>
                <w:szCs w:val="28"/>
                <w:rtl/>
              </w:rPr>
              <w:t>הנאשם</w:t>
            </w:r>
          </w:p>
        </w:tc>
        <w:tc>
          <w:tcPr>
            <w:tcW w:w="4678" w:type="dxa"/>
            <w:gridSpan w:val="3"/>
            <w:tcBorders>
              <w:top w:val="nil"/>
              <w:left w:val="nil"/>
              <w:bottom w:val="nil"/>
              <w:right w:val="nil"/>
            </w:tcBorders>
            <w:shd w:val="clear" w:color="auto" w:fill="auto"/>
            <w:vAlign w:val="center"/>
          </w:tcPr>
          <w:p w14:paraId="27FE0C67" w14:textId="77777777" w:rsidR="00AB3468" w:rsidRPr="001F7F18" w:rsidRDefault="00AB3468" w:rsidP="00AB3468">
            <w:pPr>
              <w:suppressLineNumbers/>
              <w:rPr>
                <w:rFonts w:ascii="FrankRuehl" w:hAnsi="FrankRuehl" w:cs="FrankRuehl"/>
                <w:sz w:val="28"/>
                <w:szCs w:val="28"/>
              </w:rPr>
            </w:pPr>
            <w:r w:rsidRPr="001F7F18">
              <w:rPr>
                <w:rFonts w:ascii="FrankRuehl" w:hAnsi="FrankRuehl" w:cs="FrankRuehl"/>
                <w:b/>
                <w:bCs/>
                <w:sz w:val="28"/>
                <w:szCs w:val="28"/>
                <w:rtl/>
              </w:rPr>
              <w:t xml:space="preserve">יובל כרמלי </w:t>
            </w:r>
            <w:r w:rsidRPr="001F7F18">
              <w:rPr>
                <w:rFonts w:ascii="FrankRuehl" w:hAnsi="FrankRuehl" w:cs="FrankRuehl"/>
                <w:b/>
                <w:bCs/>
                <w:sz w:val="28"/>
                <w:szCs w:val="28"/>
                <w:rtl/>
              </w:rPr>
              <w:br/>
              <w:t>ע"י ב"כ עוה"ד שרון רבינוביץ'</w:t>
            </w:r>
            <w:r w:rsidRPr="001F7F18">
              <w:rPr>
                <w:rFonts w:ascii="FrankRuehl" w:hAnsi="FrankRuehl" w:cs="FrankRuehl" w:hint="cs"/>
                <w:b/>
                <w:bCs/>
                <w:sz w:val="28"/>
                <w:szCs w:val="28"/>
                <w:rtl/>
              </w:rPr>
              <w:t xml:space="preserve"> ועו"ד עמית שלף</w:t>
            </w:r>
          </w:p>
          <w:p w14:paraId="582E8928" w14:textId="77777777" w:rsidR="00AB3468" w:rsidRPr="001F7F18" w:rsidRDefault="00AB3468" w:rsidP="00E33CBB">
            <w:pPr>
              <w:rPr>
                <w:rFonts w:ascii="FrankRuehl" w:hAnsi="FrankRuehl" w:cs="FrankRuehl"/>
                <w:sz w:val="28"/>
                <w:szCs w:val="28"/>
              </w:rPr>
            </w:pPr>
          </w:p>
        </w:tc>
      </w:tr>
    </w:tbl>
    <w:p w14:paraId="0F8EEAB3" w14:textId="77777777" w:rsidR="007A5482" w:rsidRDefault="007A5482" w:rsidP="001F7F18">
      <w:pPr>
        <w:rPr>
          <w:rFonts w:ascii="FrankRuehl" w:hAnsi="FrankRuehl" w:cs="FrankRuehl"/>
          <w:sz w:val="28"/>
          <w:szCs w:val="28"/>
          <w:rtl/>
        </w:rPr>
      </w:pPr>
    </w:p>
    <w:p w14:paraId="78CE89D9" w14:textId="77777777" w:rsidR="007A5482" w:rsidRPr="007A5482" w:rsidRDefault="007A5482" w:rsidP="007A5482">
      <w:pPr>
        <w:spacing w:after="120" w:line="240" w:lineRule="exact"/>
        <w:ind w:left="283" w:hanging="283"/>
        <w:jc w:val="both"/>
        <w:rPr>
          <w:rFonts w:ascii="FrankRuehl" w:hAnsi="FrankRuehl" w:cs="FrankRuehl"/>
          <w:rtl/>
        </w:rPr>
      </w:pPr>
    </w:p>
    <w:p w14:paraId="268B4C36" w14:textId="77777777" w:rsidR="00F820F6" w:rsidRPr="00F820F6" w:rsidRDefault="00F820F6" w:rsidP="00F820F6">
      <w:pPr>
        <w:spacing w:before="120" w:after="120" w:line="240" w:lineRule="exact"/>
        <w:ind w:left="283" w:hanging="283"/>
        <w:jc w:val="both"/>
        <w:rPr>
          <w:rFonts w:ascii="FrankRuehl" w:hAnsi="FrankRuehl" w:cs="FrankRuehl"/>
          <w:rtl/>
        </w:rPr>
      </w:pPr>
    </w:p>
    <w:p w14:paraId="48F76931" w14:textId="77777777" w:rsidR="0028798C" w:rsidRDefault="0028798C" w:rsidP="0028798C">
      <w:pPr>
        <w:rPr>
          <w:rFonts w:ascii="FrankRuehl" w:hAnsi="FrankRuehl" w:cs="FrankRuehl"/>
          <w:sz w:val="28"/>
          <w:szCs w:val="28"/>
          <w:rtl/>
        </w:rPr>
      </w:pPr>
      <w:bookmarkStart w:id="3" w:name="LawTable"/>
      <w:bookmarkEnd w:id="3"/>
    </w:p>
    <w:p w14:paraId="568B51C5" w14:textId="77777777" w:rsidR="0028798C" w:rsidRPr="0028798C" w:rsidRDefault="0028798C" w:rsidP="0028798C">
      <w:pPr>
        <w:spacing w:before="120" w:after="120" w:line="240" w:lineRule="exact"/>
        <w:ind w:left="283" w:hanging="283"/>
        <w:jc w:val="both"/>
        <w:rPr>
          <w:rFonts w:ascii="FrankRuehl" w:hAnsi="FrankRuehl" w:cs="FrankRuehl"/>
          <w:rtl/>
        </w:rPr>
      </w:pPr>
    </w:p>
    <w:p w14:paraId="39CCCBA8" w14:textId="77777777" w:rsidR="0028798C" w:rsidRPr="0028798C" w:rsidRDefault="0028798C" w:rsidP="0028798C">
      <w:pPr>
        <w:spacing w:before="120" w:after="120" w:line="240" w:lineRule="exact"/>
        <w:ind w:left="283" w:hanging="283"/>
        <w:jc w:val="both"/>
        <w:rPr>
          <w:rFonts w:ascii="FrankRuehl" w:hAnsi="FrankRuehl" w:cs="FrankRuehl"/>
          <w:rtl/>
        </w:rPr>
      </w:pPr>
    </w:p>
    <w:p w14:paraId="00ADC4C0" w14:textId="77777777" w:rsidR="0028798C" w:rsidRPr="0028798C" w:rsidRDefault="0028798C" w:rsidP="0028798C">
      <w:pPr>
        <w:spacing w:before="120" w:after="120" w:line="240" w:lineRule="exact"/>
        <w:ind w:left="283" w:hanging="283"/>
        <w:jc w:val="both"/>
        <w:rPr>
          <w:rFonts w:ascii="FrankRuehl" w:hAnsi="FrankRuehl" w:cs="FrankRuehl"/>
          <w:rtl/>
        </w:rPr>
      </w:pPr>
      <w:r w:rsidRPr="0028798C">
        <w:rPr>
          <w:rFonts w:ascii="FrankRuehl" w:hAnsi="FrankRuehl" w:cs="FrankRuehl"/>
          <w:rtl/>
        </w:rPr>
        <w:t xml:space="preserve">חקיקה שאוזכרה: </w:t>
      </w:r>
    </w:p>
    <w:p w14:paraId="2561AFA0" w14:textId="77777777" w:rsidR="0028798C" w:rsidRPr="0028798C" w:rsidRDefault="0028798C" w:rsidP="0028798C">
      <w:pPr>
        <w:spacing w:before="120" w:after="120" w:line="240" w:lineRule="exact"/>
        <w:ind w:left="283" w:hanging="283"/>
        <w:jc w:val="both"/>
        <w:rPr>
          <w:rFonts w:ascii="FrankRuehl" w:hAnsi="FrankRuehl" w:cs="FrankRuehl"/>
          <w:rtl/>
        </w:rPr>
      </w:pPr>
      <w:hyperlink r:id="rId7" w:history="1">
        <w:r w:rsidRPr="0028798C">
          <w:rPr>
            <w:rFonts w:ascii="FrankRuehl" w:hAnsi="FrankRuehl" w:cs="FrankRuehl"/>
            <w:color w:val="0000FF"/>
            <w:rtl/>
          </w:rPr>
          <w:t>פקודת הסמים המסוכנים [נוסח חדש], תשל"ג-1973</w:t>
        </w:r>
      </w:hyperlink>
      <w:r w:rsidRPr="0028798C">
        <w:rPr>
          <w:rFonts w:ascii="FrankRuehl" w:hAnsi="FrankRuehl" w:cs="FrankRuehl"/>
          <w:rtl/>
        </w:rPr>
        <w:t xml:space="preserve">: סע'  </w:t>
      </w:r>
      <w:hyperlink r:id="rId8" w:history="1">
        <w:r w:rsidRPr="0028798C">
          <w:rPr>
            <w:rFonts w:ascii="FrankRuehl" w:hAnsi="FrankRuehl" w:cs="FrankRuehl"/>
            <w:color w:val="0000FF"/>
            <w:rtl/>
          </w:rPr>
          <w:t>7(א)</w:t>
        </w:r>
      </w:hyperlink>
      <w:r w:rsidRPr="0028798C">
        <w:rPr>
          <w:rFonts w:ascii="FrankRuehl" w:hAnsi="FrankRuehl" w:cs="FrankRuehl"/>
          <w:rtl/>
        </w:rPr>
        <w:t xml:space="preserve">, </w:t>
      </w:r>
      <w:hyperlink r:id="rId9" w:history="1">
        <w:r w:rsidRPr="0028798C">
          <w:rPr>
            <w:rFonts w:ascii="FrankRuehl" w:hAnsi="FrankRuehl" w:cs="FrankRuehl"/>
            <w:color w:val="0000FF"/>
            <w:rtl/>
          </w:rPr>
          <w:t>ג</w:t>
        </w:r>
      </w:hyperlink>
      <w:r w:rsidRPr="0028798C">
        <w:rPr>
          <w:rFonts w:ascii="FrankRuehl" w:hAnsi="FrankRuehl" w:cs="FrankRuehl"/>
          <w:rtl/>
        </w:rPr>
        <w:t xml:space="preserve">, </w:t>
      </w:r>
      <w:hyperlink r:id="rId10" w:history="1">
        <w:r w:rsidRPr="0028798C">
          <w:rPr>
            <w:rFonts w:ascii="FrankRuehl" w:hAnsi="FrankRuehl" w:cs="FrankRuehl"/>
            <w:color w:val="0000FF"/>
            <w:rtl/>
          </w:rPr>
          <w:t>13</w:t>
        </w:r>
      </w:hyperlink>
      <w:r w:rsidRPr="0028798C">
        <w:rPr>
          <w:rFonts w:ascii="FrankRuehl" w:hAnsi="FrankRuehl" w:cs="FrankRuehl"/>
          <w:rtl/>
        </w:rPr>
        <w:t xml:space="preserve">, </w:t>
      </w:r>
      <w:hyperlink r:id="rId11" w:history="1">
        <w:r w:rsidRPr="0028798C">
          <w:rPr>
            <w:rFonts w:ascii="FrankRuehl" w:hAnsi="FrankRuehl" w:cs="FrankRuehl"/>
            <w:color w:val="0000FF"/>
            <w:rtl/>
          </w:rPr>
          <w:t>19א</w:t>
        </w:r>
      </w:hyperlink>
    </w:p>
    <w:p w14:paraId="2F9B579B" w14:textId="77777777" w:rsidR="0028798C" w:rsidRPr="0028798C" w:rsidRDefault="0028798C" w:rsidP="0028798C">
      <w:pPr>
        <w:rPr>
          <w:rFonts w:ascii="FrankRuehl" w:hAnsi="FrankRuehl" w:cs="FrankRuehl"/>
          <w:sz w:val="28"/>
          <w:szCs w:val="28"/>
          <w:rtl/>
        </w:rPr>
      </w:pPr>
      <w:bookmarkStart w:id="4" w:name="LawTable_End"/>
      <w:bookmarkEnd w:id="4"/>
    </w:p>
    <w:p w14:paraId="757CA96A" w14:textId="77777777" w:rsidR="00AB3468" w:rsidRPr="00F820F6" w:rsidRDefault="00AB3468" w:rsidP="00F820F6">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3468" w:rsidRPr="00BF773A" w14:paraId="7277CFC3" w14:textId="77777777" w:rsidTr="00AB3468">
        <w:trPr>
          <w:trHeight w:val="355"/>
          <w:jc w:val="center"/>
        </w:trPr>
        <w:tc>
          <w:tcPr>
            <w:tcW w:w="8820" w:type="dxa"/>
            <w:tcBorders>
              <w:top w:val="nil"/>
              <w:left w:val="nil"/>
              <w:bottom w:val="nil"/>
              <w:right w:val="nil"/>
            </w:tcBorders>
            <w:shd w:val="clear" w:color="auto" w:fill="auto"/>
          </w:tcPr>
          <w:p w14:paraId="4A7C305F" w14:textId="77777777" w:rsidR="001F7F18" w:rsidRPr="001F7F18" w:rsidRDefault="001F7F18" w:rsidP="001F7F18">
            <w:pPr>
              <w:jc w:val="center"/>
              <w:rPr>
                <w:rFonts w:ascii="FrankRuehl" w:hAnsi="FrankRuehl" w:cs="FrankRuehl"/>
                <w:b/>
                <w:bCs/>
                <w:sz w:val="28"/>
                <w:szCs w:val="28"/>
                <w:u w:val="single"/>
                <w:rtl/>
              </w:rPr>
            </w:pPr>
            <w:bookmarkStart w:id="5" w:name="PsakDin" w:colFirst="0" w:colLast="0"/>
            <w:bookmarkEnd w:id="0"/>
            <w:bookmarkEnd w:id="1"/>
            <w:r w:rsidRPr="001F7F18">
              <w:rPr>
                <w:rFonts w:ascii="FrankRuehl" w:hAnsi="FrankRuehl" w:cs="FrankRuehl"/>
                <w:b/>
                <w:bCs/>
                <w:sz w:val="28"/>
                <w:szCs w:val="28"/>
                <w:u w:val="single"/>
                <w:rtl/>
              </w:rPr>
              <w:t>גזר דין</w:t>
            </w:r>
          </w:p>
          <w:p w14:paraId="19587B1D" w14:textId="77777777" w:rsidR="00AB3468" w:rsidRPr="001F7F18" w:rsidRDefault="00AB3468" w:rsidP="001F7F18">
            <w:pPr>
              <w:jc w:val="center"/>
              <w:rPr>
                <w:rFonts w:ascii="FrankRuehl" w:hAnsi="FrankRuehl" w:cs="FrankRuehl"/>
                <w:bCs/>
                <w:sz w:val="28"/>
                <w:szCs w:val="28"/>
                <w:u w:val="single"/>
                <w:rtl/>
              </w:rPr>
            </w:pPr>
          </w:p>
        </w:tc>
      </w:tr>
      <w:bookmarkEnd w:id="5"/>
    </w:tbl>
    <w:p w14:paraId="796A6FEF" w14:textId="77777777" w:rsidR="00AB3468" w:rsidRPr="000F2247" w:rsidRDefault="00AB3468" w:rsidP="00AB3468">
      <w:pPr>
        <w:rPr>
          <w:rFonts w:ascii="Arial" w:hAnsi="Arial"/>
          <w:b/>
          <w:bCs/>
          <w:sz w:val="26"/>
          <w:szCs w:val="26"/>
          <w:rtl/>
        </w:rPr>
      </w:pPr>
    </w:p>
    <w:p w14:paraId="03552D06" w14:textId="77777777" w:rsidR="00AB3468" w:rsidRDefault="00AB3468" w:rsidP="00AB3468">
      <w:pPr>
        <w:spacing w:line="360" w:lineRule="auto"/>
        <w:jc w:val="both"/>
        <w:rPr>
          <w:rFonts w:ascii="FrankRuehl" w:hAnsi="FrankRuehl" w:cs="FrankRuehl"/>
          <w:b/>
          <w:bCs/>
          <w:sz w:val="28"/>
          <w:szCs w:val="28"/>
          <w:u w:val="single"/>
        </w:rPr>
      </w:pPr>
      <w:r>
        <w:rPr>
          <w:rFonts w:ascii="FrankRuehl" w:hAnsi="FrankRuehl" w:cs="FrankRuehl"/>
          <w:b/>
          <w:bCs/>
          <w:sz w:val="28"/>
          <w:szCs w:val="28"/>
          <w:u w:val="single"/>
          <w:rtl/>
        </w:rPr>
        <w:t xml:space="preserve">כתבי האישום המתוקן </w:t>
      </w:r>
    </w:p>
    <w:p w14:paraId="75ACE2C5" w14:textId="77777777" w:rsidR="00AB3468" w:rsidRDefault="00AB3468" w:rsidP="00AB3468">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 xml:space="preserve">הנאשם הודה לפניי, במסגרת הסדר טיעון שלא כלל הסכמה עונשית, בביצוע עבירות </w:t>
      </w:r>
      <w:r>
        <w:rPr>
          <w:rFonts w:ascii="FrankRuehl" w:hAnsi="FrankRuehl" w:cs="FrankRuehl"/>
          <w:b/>
          <w:bCs/>
          <w:sz w:val="28"/>
          <w:szCs w:val="28"/>
          <w:rtl/>
        </w:rPr>
        <w:t>החזקת סמים שלא לצריכה עצמית</w:t>
      </w:r>
      <w:r>
        <w:rPr>
          <w:rFonts w:ascii="FrankRuehl" w:hAnsi="FrankRuehl" w:cs="FrankRuehl"/>
          <w:sz w:val="28"/>
          <w:szCs w:val="28"/>
          <w:rtl/>
        </w:rPr>
        <w:t xml:space="preserve">, לפי </w:t>
      </w:r>
      <w:hyperlink r:id="rId12" w:history="1">
        <w:r w:rsidR="007A5482" w:rsidRPr="007A5482">
          <w:rPr>
            <w:rStyle w:val="Hyperlink"/>
            <w:rFonts w:ascii="FrankRuehl" w:hAnsi="FrankRuehl" w:cs="FrankRuehl"/>
            <w:sz w:val="28"/>
            <w:szCs w:val="28"/>
            <w:rtl/>
          </w:rPr>
          <w:t>סעיף 7(א)</w:t>
        </w:r>
      </w:hyperlink>
      <w:r>
        <w:rPr>
          <w:rFonts w:ascii="FrankRuehl" w:hAnsi="FrankRuehl" w:cs="FrankRuehl"/>
          <w:sz w:val="28"/>
          <w:szCs w:val="28"/>
          <w:rtl/>
        </w:rPr>
        <w:t xml:space="preserve"> ו-(</w:t>
      </w:r>
      <w:hyperlink r:id="rId13" w:history="1">
        <w:r w:rsidR="007A5482" w:rsidRPr="007A5482">
          <w:rPr>
            <w:rStyle w:val="Hyperlink"/>
            <w:rFonts w:ascii="FrankRuehl" w:hAnsi="FrankRuehl" w:cs="FrankRuehl"/>
            <w:sz w:val="28"/>
            <w:szCs w:val="28"/>
            <w:rtl/>
          </w:rPr>
          <w:t>ג</w:t>
        </w:r>
      </w:hyperlink>
      <w:r>
        <w:rPr>
          <w:rFonts w:ascii="FrankRuehl" w:hAnsi="FrankRuehl" w:cs="FrankRuehl"/>
          <w:sz w:val="28"/>
          <w:szCs w:val="28"/>
          <w:rtl/>
        </w:rPr>
        <w:t>) רישא ל</w:t>
      </w:r>
      <w:hyperlink r:id="rId14" w:history="1">
        <w:r w:rsidR="001F7F18" w:rsidRPr="001F7F18">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התשל"ג-1973 וב</w:t>
      </w:r>
      <w:r>
        <w:rPr>
          <w:rFonts w:ascii="FrankRuehl" w:hAnsi="FrankRuehl" w:cs="FrankRuehl"/>
          <w:b/>
          <w:bCs/>
          <w:sz w:val="28"/>
          <w:szCs w:val="28"/>
          <w:rtl/>
        </w:rPr>
        <w:t>-5 עבירות של סחר בסמים</w:t>
      </w:r>
      <w:r>
        <w:rPr>
          <w:rFonts w:ascii="FrankRuehl" w:hAnsi="FrankRuehl" w:cs="FrankRuehl"/>
          <w:sz w:val="28"/>
          <w:szCs w:val="28"/>
          <w:rtl/>
        </w:rPr>
        <w:t xml:space="preserve"> לפי </w:t>
      </w:r>
      <w:hyperlink r:id="rId15" w:history="1">
        <w:r w:rsidR="007A5482" w:rsidRPr="007A5482">
          <w:rPr>
            <w:rStyle w:val="Hyperlink"/>
            <w:rFonts w:ascii="FrankRuehl" w:hAnsi="FrankRuehl" w:cs="FrankRuehl"/>
            <w:sz w:val="28"/>
            <w:szCs w:val="28"/>
            <w:rtl/>
          </w:rPr>
          <w:t>סעיפים 13</w:t>
        </w:r>
      </w:hyperlink>
      <w:r>
        <w:rPr>
          <w:rFonts w:ascii="FrankRuehl" w:hAnsi="FrankRuehl" w:cs="FrankRuehl"/>
          <w:sz w:val="28"/>
          <w:szCs w:val="28"/>
          <w:rtl/>
        </w:rPr>
        <w:t xml:space="preserve"> ו-</w:t>
      </w:r>
      <w:hyperlink r:id="rId16" w:history="1">
        <w:r w:rsidR="007A5482" w:rsidRPr="007A5482">
          <w:rPr>
            <w:rStyle w:val="Hyperlink"/>
            <w:rFonts w:ascii="FrankRuehl" w:hAnsi="FrankRuehl" w:cs="FrankRuehl"/>
            <w:sz w:val="28"/>
            <w:szCs w:val="28"/>
            <w:rtl/>
          </w:rPr>
          <w:t>19א</w:t>
        </w:r>
      </w:hyperlink>
      <w:r>
        <w:rPr>
          <w:rFonts w:ascii="FrankRuehl" w:hAnsi="FrankRuehl" w:cs="FrankRuehl"/>
          <w:sz w:val="28"/>
          <w:szCs w:val="28"/>
          <w:rtl/>
        </w:rPr>
        <w:t xml:space="preserve"> לפקודה.</w:t>
      </w:r>
    </w:p>
    <w:p w14:paraId="04848420"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 xml:space="preserve">מהחלק הכללי של כתב האישום עולה כי הנאשם היה קשור לקבוצה ביישומון "טלגרם" </w:t>
      </w:r>
      <w:bookmarkStart w:id="7" w:name="ABSTRACT_END"/>
      <w:bookmarkEnd w:id="7"/>
      <w:r>
        <w:rPr>
          <w:rFonts w:ascii="FrankRuehl" w:hAnsi="FrankRuehl" w:cs="FrankRuehl"/>
          <w:sz w:val="28"/>
          <w:szCs w:val="28"/>
          <w:rtl/>
        </w:rPr>
        <w:t>באמצעותו הזמינו לקוחות סמים מאדם שזהותו אינה ידועה למאשימה, והנאשם היה יוצר קשר עם הלקוחות תוך שהוא חוסם את מספר הטלפון שלו, על-מנת לתאם את מועד ביצוע העסקות, את אספקת הסם ואת קבלת התמורה עבורו.</w:t>
      </w:r>
    </w:p>
    <w:p w14:paraId="6ACD8109" w14:textId="77777777" w:rsidR="00AB3468" w:rsidRDefault="00AB3468" w:rsidP="00AB3468">
      <w:pPr>
        <w:spacing w:line="360" w:lineRule="auto"/>
        <w:jc w:val="both"/>
        <w:rPr>
          <w:rFonts w:ascii="FrankRuehl" w:hAnsi="FrankRuehl" w:cs="FrankRuehl"/>
          <w:sz w:val="28"/>
          <w:szCs w:val="28"/>
        </w:rPr>
      </w:pPr>
      <w:r>
        <w:rPr>
          <w:rFonts w:ascii="FrankRuehl" w:hAnsi="FrankRuehl" w:cs="FrankRuehl"/>
          <w:sz w:val="28"/>
          <w:szCs w:val="28"/>
          <w:rtl/>
        </w:rPr>
        <w:lastRenderedPageBreak/>
        <w:t>מהאישום הראשון עולה, כי ביום 12.5.2021 בשעת צהריים, החזיק הנאשם באופנוע סם מסוג קנביס במשקל של כ-280.51 גרם נטו, מחולק ל-50 שקיות חלוקה אטומות ו- 19.73 גרם נטו חשיש.</w:t>
      </w:r>
    </w:p>
    <w:p w14:paraId="68DC260F"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 xml:space="preserve">יתר ארבעת האישומים מייחסים לנאשם סחר בגרמים בודדים של קנאביס תמורת כמה מאות שקלים, באמצעות יישומון ה"טלגרם". </w:t>
      </w:r>
    </w:p>
    <w:p w14:paraId="60AD0DF3" w14:textId="77777777" w:rsidR="00AB3468" w:rsidRDefault="00AB3468" w:rsidP="00AB3468">
      <w:pPr>
        <w:spacing w:line="360" w:lineRule="auto"/>
        <w:jc w:val="both"/>
        <w:rPr>
          <w:rFonts w:ascii="FrankRuehl" w:hAnsi="FrankRuehl" w:cs="FrankRuehl"/>
          <w:b/>
          <w:bCs/>
          <w:sz w:val="28"/>
          <w:szCs w:val="28"/>
          <w:u w:val="single"/>
          <w:rtl/>
        </w:rPr>
      </w:pPr>
    </w:p>
    <w:p w14:paraId="69FD10D2" w14:textId="77777777" w:rsidR="00AB3468" w:rsidRDefault="00AB3468" w:rsidP="00AB346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מהלך הדיון</w:t>
      </w:r>
    </w:p>
    <w:p w14:paraId="2C7B378F"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ביום 26.5.2021 הוגשו נגד הנאשם כתב אישום ובקשה למעצרו עד לתום ההליכים נגדו. הנאשם שוחרר למעצר בית מלא ביום 29.6.2021. ביום 17.10.2021 הנאשם הודה והורשע בכתב האישום המתוקן, במסגרת הסדר טיעון, שלא כלל הסכמה עונשית ונשלח לשירות מבחן ולממונה לעבודות שירות. יצוין כי הנאשם שהה מאז שחרורו בתנאים מגב</w:t>
      </w:r>
      <w:r>
        <w:rPr>
          <w:rFonts w:ascii="FrankRuehl" w:hAnsi="FrankRuehl" w:cs="FrankRuehl" w:hint="cs"/>
          <w:sz w:val="28"/>
          <w:szCs w:val="28"/>
          <w:rtl/>
        </w:rPr>
        <w:t>י</w:t>
      </w:r>
      <w:r>
        <w:rPr>
          <w:rFonts w:ascii="FrankRuehl" w:hAnsi="FrankRuehl" w:cs="FrankRuehl"/>
          <w:sz w:val="28"/>
          <w:szCs w:val="28"/>
          <w:rtl/>
        </w:rPr>
        <w:t xml:space="preserve">לים מחמירים יחסית, למעט חלונות התאווררות, ולא נרשמו לחובתו הפרות. </w:t>
      </w:r>
    </w:p>
    <w:p w14:paraId="0E0F38AD" w14:textId="77777777" w:rsidR="00AB3468" w:rsidRDefault="00AB3468" w:rsidP="00AB3468">
      <w:pPr>
        <w:spacing w:line="360" w:lineRule="auto"/>
        <w:jc w:val="both"/>
        <w:rPr>
          <w:rFonts w:ascii="FrankRuehl" w:hAnsi="FrankRuehl" w:cs="FrankRuehl"/>
          <w:b/>
          <w:bCs/>
          <w:sz w:val="28"/>
          <w:szCs w:val="28"/>
          <w:u w:val="single"/>
          <w:rtl/>
        </w:rPr>
      </w:pPr>
    </w:p>
    <w:p w14:paraId="78FE0283" w14:textId="77777777" w:rsidR="00AB3468" w:rsidRDefault="00AB3468" w:rsidP="00AB3468">
      <w:pPr>
        <w:spacing w:line="360" w:lineRule="auto"/>
        <w:jc w:val="both"/>
        <w:rPr>
          <w:rFonts w:ascii="FrankRuehl" w:hAnsi="FrankRuehl" w:cs="FrankRuehl"/>
          <w:b/>
          <w:bCs/>
          <w:sz w:val="28"/>
          <w:szCs w:val="28"/>
          <w:u w:val="single"/>
          <w:rtl/>
        </w:rPr>
      </w:pPr>
    </w:p>
    <w:p w14:paraId="43B3483C" w14:textId="77777777" w:rsidR="00AB3468" w:rsidRDefault="00AB3468" w:rsidP="00AB346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 שירות המבחן</w:t>
      </w:r>
    </w:p>
    <w:p w14:paraId="4FE70E52"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 xml:space="preserve">מהתסקיר שהוגש בעניינו של הנאשם עולה, כי הוא צעיר, כבן 21 שכעת מצוי בתנאים מגבילים בבית הוריו בפתח תקווה ואינו עובד. הנאשם מאובחן כסובל מהפרעה תקשורתית בשל לקות שפתית, קושי בהבנת סיטואציות חברתיות, קשיי ויסות והפרעת קשב וריכוז. מקורות חייו של הנאשם, כפי שפורטו על ידי שירות המבחן, עולה כי הוא סיים 12 שנות לימוד במגמת עיצוב שיער. לאחר סיום לימודיו, התגייס לצה"ל ושירת כמאבטח מתקנים לתקופה </w:t>
      </w:r>
      <w:r>
        <w:rPr>
          <w:rFonts w:ascii="FrankRuehl" w:hAnsi="FrankRuehl" w:cs="FrankRuehl" w:hint="cs"/>
          <w:sz w:val="28"/>
          <w:szCs w:val="28"/>
          <w:rtl/>
        </w:rPr>
        <w:t>בת</w:t>
      </w:r>
      <w:r>
        <w:rPr>
          <w:rFonts w:ascii="FrankRuehl" w:hAnsi="FrankRuehl" w:cs="FrankRuehl"/>
          <w:sz w:val="28"/>
          <w:szCs w:val="28"/>
          <w:rtl/>
        </w:rPr>
        <w:t xml:space="preserve"> חודש, אך קיבל פטור משירות בשל קשיי הסתגלות. לאחר שחרורו עבד בתחום המשלוחים וכאמור לאחר מעצרו בתיק זה, אינו עובד. הנאשם תיאר תחילת שימוש בגראס בגיל 16 כתחליף לתרופות מרשם והתמכרות שהעמיקה עם השנים. ברקע לביצוע העבירות קשייו לשתף ולהיעזר בהוריו, צורך בהשגת רווח כלכלי קל, שימוש לרעה בסמים וקשרים שוליים שניהל. שירות המבחן התרשם, כי הנאשם קיבל אחריות למעשיו והביע חרטה תוך שציין כי לא הבין את חומרת מעשיו וההשלכות על חייו. הנאשם מסר בדיקות שתן לגילוי שרידי סם, כאשר חלקן העידו על שימוש בסם, אך שתי בדיקות אחרונות שביצע בחודש מאי 2022 נמצאו נקיות. שירות המבחן מסר כי לאחרונה השתלב הנאשם בתכנית ייחודית לצעירים בתחום הכשרה מקצועית בחוות תל מונד, משם נמסר כי הנאשם מקפיד להגיע באופן קבוע ומשתף פעולה כנדרש. הנאשם נעדר הרשעות קודמות ושירות המבחן התרשם כי במידה ויקבל הנאשם מענה טיפולי מותאם לצרכיו, סיכוייו לניהול אורח חיים </w:t>
      </w:r>
      <w:r>
        <w:rPr>
          <w:rFonts w:ascii="FrankRuehl" w:hAnsi="FrankRuehl" w:cs="FrankRuehl"/>
          <w:sz w:val="28"/>
          <w:szCs w:val="28"/>
          <w:rtl/>
        </w:rPr>
        <w:lastRenderedPageBreak/>
        <w:t>נורמטיבי יגבר. שירות המבחן סבר כי בנסיבות העניין, הטלת מאסר בעבודות שירות יהא העונש הנכון והמרתיע, כאשר הטלת מאסר ממש, תפגע בנאשם ובגורמי הסיכוי לחזרתו לפסי תפקוד תקינים.</w:t>
      </w:r>
    </w:p>
    <w:p w14:paraId="6E1D4889" w14:textId="77777777" w:rsidR="00AB3468" w:rsidRDefault="00AB3468" w:rsidP="00AB3468">
      <w:pPr>
        <w:spacing w:line="360" w:lineRule="auto"/>
        <w:jc w:val="both"/>
        <w:rPr>
          <w:rFonts w:ascii="FrankRuehl" w:hAnsi="FrankRuehl" w:cs="FrankRuehl"/>
          <w:sz w:val="28"/>
          <w:szCs w:val="28"/>
          <w:rtl/>
        </w:rPr>
      </w:pPr>
    </w:p>
    <w:p w14:paraId="7474AD6C" w14:textId="77777777" w:rsidR="00AB3468" w:rsidRDefault="00AB3468" w:rsidP="00AB346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חוות דעת הממונה על עבודות השירות</w:t>
      </w:r>
    </w:p>
    <w:p w14:paraId="3B2DF99A"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הממונה מצא את הנאשם כשיר לריצוי עבודות שירות, והמליץ על השמתו בבית לחם יהודה פתח תקווה החל מיום 25.8.2022.</w:t>
      </w:r>
    </w:p>
    <w:p w14:paraId="6DCD5C0A" w14:textId="77777777" w:rsidR="00AB3468" w:rsidRDefault="00AB3468" w:rsidP="00AB3468">
      <w:pPr>
        <w:spacing w:line="360" w:lineRule="auto"/>
        <w:jc w:val="both"/>
        <w:rPr>
          <w:rFonts w:ascii="FrankRuehl" w:hAnsi="FrankRuehl" w:cs="FrankRuehl"/>
          <w:sz w:val="28"/>
          <w:szCs w:val="28"/>
          <w:rtl/>
        </w:rPr>
      </w:pPr>
    </w:p>
    <w:p w14:paraId="7A50D654" w14:textId="77777777" w:rsidR="00AB3468" w:rsidRDefault="00AB3468" w:rsidP="00AB3468">
      <w:pPr>
        <w:spacing w:line="360" w:lineRule="auto"/>
        <w:jc w:val="both"/>
        <w:rPr>
          <w:rFonts w:ascii="FrankRuehl" w:hAnsi="FrankRuehl" w:cs="FrankRuehl"/>
          <w:b/>
          <w:bCs/>
          <w:sz w:val="28"/>
          <w:szCs w:val="28"/>
          <w:u w:val="single"/>
          <w:rtl/>
        </w:rPr>
      </w:pPr>
    </w:p>
    <w:p w14:paraId="0A3B4789" w14:textId="77777777" w:rsidR="00AB3468" w:rsidRDefault="00AB3468" w:rsidP="00AB3468">
      <w:pPr>
        <w:spacing w:line="360" w:lineRule="auto"/>
        <w:jc w:val="both"/>
        <w:rPr>
          <w:rFonts w:ascii="FrankRuehl" w:hAnsi="FrankRuehl" w:cs="FrankRuehl"/>
          <w:b/>
          <w:bCs/>
          <w:sz w:val="28"/>
          <w:szCs w:val="28"/>
          <w:u w:val="single"/>
          <w:rtl/>
        </w:rPr>
      </w:pPr>
    </w:p>
    <w:p w14:paraId="1F33FF5B" w14:textId="77777777" w:rsidR="00AB3468" w:rsidRDefault="00AB3468" w:rsidP="00AB346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ראיות לעונש</w:t>
      </w:r>
    </w:p>
    <w:p w14:paraId="28D7FC75"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 xml:space="preserve">במסגרת הראיות לעונש שמעתי את אביו של הנאשם וכן הוגשו לעיוני מסמכים אבחוניים הנוגעים לנאשם. </w:t>
      </w:r>
    </w:p>
    <w:p w14:paraId="00FCE967" w14:textId="77777777" w:rsidR="00AB3468" w:rsidRDefault="00AB3468" w:rsidP="00AB3468">
      <w:pPr>
        <w:spacing w:line="360" w:lineRule="auto"/>
        <w:jc w:val="both"/>
        <w:rPr>
          <w:rFonts w:ascii="FrankRuehl" w:hAnsi="FrankRuehl" w:cs="FrankRuehl"/>
          <w:sz w:val="28"/>
          <w:szCs w:val="28"/>
          <w:rtl/>
        </w:rPr>
      </w:pPr>
    </w:p>
    <w:p w14:paraId="0192C02E" w14:textId="77777777" w:rsidR="00AB3468" w:rsidRDefault="00AB3468" w:rsidP="00AB346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טיעוני הצדדים לעונש</w:t>
      </w:r>
    </w:p>
    <w:p w14:paraId="75E35B2F"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הצדדים לא הגיעו להסכמה עונשית.</w:t>
      </w:r>
    </w:p>
    <w:p w14:paraId="2E2E0170"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מחד, עתר ב"כ המאשימה להטלת עונש מאסר על בסיס מתחמים שונים לעבירות הסחר ולעבירת ההחזקה</w:t>
      </w:r>
      <w:r>
        <w:rPr>
          <w:rFonts w:ascii="FrankRuehl" w:hAnsi="FrankRuehl" w:cs="FrankRuehl" w:hint="cs"/>
          <w:sz w:val="28"/>
          <w:szCs w:val="28"/>
          <w:rtl/>
        </w:rPr>
        <w:t>,</w:t>
      </w:r>
      <w:r>
        <w:rPr>
          <w:rFonts w:ascii="FrankRuehl" w:hAnsi="FrankRuehl" w:cs="FrankRuehl"/>
          <w:sz w:val="28"/>
          <w:szCs w:val="28"/>
          <w:rtl/>
        </w:rPr>
        <w:t xml:space="preserve"> המתחילים ממאסר שיכול להיות מרוצה בעבודות שירות.</w:t>
      </w:r>
      <w:r>
        <w:rPr>
          <w:rFonts w:ascii="FrankRuehl" w:hAnsi="FrankRuehl" w:cs="FrankRuehl" w:hint="cs"/>
          <w:sz w:val="28"/>
          <w:szCs w:val="28"/>
          <w:rtl/>
        </w:rPr>
        <w:t xml:space="preserve"> המאשימה עתרה בסופו של דבר למאסר בפועל, וכן </w:t>
      </w:r>
      <w:r>
        <w:rPr>
          <w:rFonts w:ascii="FrankRuehl" w:hAnsi="FrankRuehl" w:cs="FrankRuehl"/>
          <w:sz w:val="28"/>
          <w:szCs w:val="28"/>
          <w:rtl/>
        </w:rPr>
        <w:t xml:space="preserve">עתרה המאשימה להטלת עונשים נלווים ולחילוט האופנוע והמוצגים בתיק. </w:t>
      </w:r>
    </w:p>
    <w:p w14:paraId="35F9EB72"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 xml:space="preserve">מאידך, עתרו הסניגורים לאמץ את המלצת שירות המבחן ולהטיל על הנאשם עונש מתאים של מאסר בעבודות שירות לתקופה קצרה, תוך הפנייתם לאבחונים שעבר הנאשם, להשפעת אופיו על העבירות שביצע, והפניה לפסיקה. הסניגורים ביקשו שלא לחלט את האופנוע מהסיבות שפירטו בטיעוניהם. </w:t>
      </w:r>
    </w:p>
    <w:p w14:paraId="4FCA5260" w14:textId="77777777" w:rsidR="00AB3468" w:rsidRDefault="00AB3468" w:rsidP="00AB3468">
      <w:pPr>
        <w:spacing w:line="360" w:lineRule="auto"/>
        <w:jc w:val="both"/>
        <w:rPr>
          <w:rFonts w:ascii="FrankRuehl" w:hAnsi="FrankRuehl" w:cs="FrankRuehl"/>
          <w:sz w:val="28"/>
          <w:szCs w:val="28"/>
          <w:rtl/>
        </w:rPr>
      </w:pPr>
    </w:p>
    <w:p w14:paraId="1FC6FE2D"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b/>
          <w:bCs/>
          <w:sz w:val="28"/>
          <w:szCs w:val="28"/>
          <w:u w:val="single"/>
          <w:rtl/>
        </w:rPr>
        <w:t>עקרון ההלימה</w:t>
      </w:r>
      <w:r>
        <w:rPr>
          <w:rFonts w:ascii="FrankRuehl" w:hAnsi="FrankRuehl" w:cs="FrankRuehl"/>
          <w:sz w:val="28"/>
          <w:szCs w:val="28"/>
          <w:rtl/>
        </w:rPr>
        <w:t xml:space="preserve"> - בבוא בית המשפט לגזור את הדין, עליו לקבוע את מתחם הענישה ההולם על-פי עקרון ההלימה, שהוא נגזרת של הערך המוגן, מידת הפגיעה בו, נסיבות ביצוע העבירה ומדיניות הענישה הנוהגת.</w:t>
      </w:r>
    </w:p>
    <w:p w14:paraId="3011BAE6" w14:textId="77777777" w:rsidR="00AB3468" w:rsidRDefault="00AB3468" w:rsidP="00AB3468">
      <w:pPr>
        <w:spacing w:line="360" w:lineRule="auto"/>
        <w:jc w:val="both"/>
        <w:rPr>
          <w:rFonts w:ascii="FrankRuehl" w:hAnsi="FrankRuehl" w:cs="FrankRuehl"/>
          <w:sz w:val="28"/>
          <w:szCs w:val="28"/>
          <w:rtl/>
        </w:rPr>
      </w:pPr>
    </w:p>
    <w:p w14:paraId="333BC606"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לערכים המוגנים</w:t>
      </w:r>
      <w:r>
        <w:rPr>
          <w:rFonts w:ascii="FrankRuehl" w:hAnsi="FrankRuehl" w:cs="FrankRuehl"/>
          <w:sz w:val="28"/>
          <w:szCs w:val="28"/>
          <w:rtl/>
        </w:rPr>
        <w:t xml:space="preserve"> – עבירות סמים ובוודאי שסחר בסמים, פוגעות במרקם החברה, בשלום הציבור, בבריאותו ובביטחונו. בעניי</w:t>
      </w:r>
      <w:r>
        <w:rPr>
          <w:rFonts w:ascii="FrankRuehl" w:hAnsi="FrankRuehl" w:cs="FrankRuehl" w:hint="cs"/>
          <w:sz w:val="28"/>
          <w:szCs w:val="28"/>
          <w:rtl/>
        </w:rPr>
        <w:t>נ</w:t>
      </w:r>
      <w:r>
        <w:rPr>
          <w:rFonts w:ascii="FrankRuehl" w:hAnsi="FrankRuehl" w:cs="FrankRuehl"/>
          <w:sz w:val="28"/>
          <w:szCs w:val="28"/>
          <w:rtl/>
        </w:rPr>
        <w:t xml:space="preserve">נו, מידת הפגיעה בערכים המוגנים בינונית נמוכה. </w:t>
      </w:r>
    </w:p>
    <w:p w14:paraId="17289E10" w14:textId="77777777" w:rsidR="00AB3468" w:rsidRDefault="00AB3468" w:rsidP="00AB3468">
      <w:pPr>
        <w:spacing w:line="360" w:lineRule="auto"/>
        <w:jc w:val="both"/>
        <w:rPr>
          <w:rFonts w:ascii="FrankRuehl" w:hAnsi="FrankRuehl" w:cs="FrankRuehl"/>
          <w:b/>
          <w:bCs/>
          <w:sz w:val="28"/>
          <w:szCs w:val="28"/>
          <w:u w:val="single"/>
          <w:rtl/>
        </w:rPr>
      </w:pPr>
    </w:p>
    <w:p w14:paraId="0C44830A"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לנסיבות ביצוע העבירות</w:t>
      </w:r>
      <w:r>
        <w:rPr>
          <w:rFonts w:ascii="FrankRuehl" w:hAnsi="FrankRuehl" w:cs="FrankRuehl"/>
          <w:sz w:val="28"/>
          <w:szCs w:val="28"/>
          <w:rtl/>
        </w:rPr>
        <w:t xml:space="preserve"> – מדובר במעשים מתוכננים המעידים על הכרה של תחום הסמים והפצתם. הכמות שנתפסה אצל הנאשם היא גדולה והחלוקה לעשרות מנות מעידה על הכנה להפצתם לכל דורש. המניעים לכך כלכליים, ובפועל הנאשם הספיק להפיץ את הסם למספר אנשים אתם לא הייתה לו היכרות מוקדמת, באמצעות תווך אלקטרוני. כל אלה נסיבות לחומרה. לקולא סוג הסם. הנאשם צריך היה להימנע מביצוע המעשים והוא אחראי להם בלעדית. יחד עם זאת גם מתסקיר שירות המבחן וגם מהאבחון אליו הופניתי עולה לקות בתחום התקשורת </w:t>
      </w:r>
      <w:r>
        <w:rPr>
          <w:rFonts w:ascii="FrankRuehl" w:hAnsi="FrankRuehl" w:cs="FrankRuehl" w:hint="cs"/>
          <w:sz w:val="28"/>
          <w:szCs w:val="28"/>
          <w:rtl/>
        </w:rPr>
        <w:t>ה</w:t>
      </w:r>
      <w:r>
        <w:rPr>
          <w:rFonts w:ascii="FrankRuehl" w:hAnsi="FrankRuehl" w:cs="FrankRuehl"/>
          <w:sz w:val="28"/>
          <w:szCs w:val="28"/>
          <w:rtl/>
        </w:rPr>
        <w:t>חברתי</w:t>
      </w:r>
      <w:r>
        <w:rPr>
          <w:rFonts w:ascii="FrankRuehl" w:hAnsi="FrankRuehl" w:cs="FrankRuehl" w:hint="cs"/>
          <w:sz w:val="28"/>
          <w:szCs w:val="28"/>
          <w:rtl/>
        </w:rPr>
        <w:t>ת</w:t>
      </w:r>
      <w:r>
        <w:rPr>
          <w:rFonts w:ascii="FrankRuehl" w:hAnsi="FrankRuehl" w:cs="FrankRuehl"/>
          <w:sz w:val="28"/>
          <w:szCs w:val="28"/>
          <w:rtl/>
        </w:rPr>
        <w:t xml:space="preserve">, שצריכה לבוא לידי ביטוי בקביעת מידת אשם מופחתת במעט של הנאשם למעשיו. עולה כי הנאשם פגיע לניצול לרעה (עמ' 3 לתסקיר) ונדמה כי יש לקבוע מידת אחריות מופחתת. יחד עם זאת ברור מן ההכנה ומהתנהלות הנאשם, שהבין בזמן אמת את הפסול שבמעשיו ואף ניסה להסתיר את זהותו באמצעות נטרול זיהוי מס' הטלפון שלו עת התקשר עם לקוחות. בפועל נגרם נזק מכך שהנאשם הספיק להפיץ את הסם לאנשים זרים, והנזק בכוח גדול הרבה יותר נוכח הכמות הגדולה שנתפסה אצלו ודרך ההפצה הצפויה, כעולה מעובדות כתב האישום. </w:t>
      </w:r>
    </w:p>
    <w:p w14:paraId="3B63C517" w14:textId="77777777" w:rsidR="00AB3468" w:rsidRDefault="00AB3468" w:rsidP="00AB3468">
      <w:pPr>
        <w:spacing w:line="360" w:lineRule="auto"/>
        <w:jc w:val="both"/>
        <w:rPr>
          <w:rFonts w:ascii="FrankRuehl" w:hAnsi="FrankRuehl" w:cs="FrankRuehl"/>
          <w:sz w:val="28"/>
          <w:szCs w:val="28"/>
          <w:rtl/>
        </w:rPr>
      </w:pPr>
    </w:p>
    <w:p w14:paraId="7D8CCE81"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למדיניות הענישה הנוהגת</w:t>
      </w:r>
      <w:r>
        <w:rPr>
          <w:rFonts w:ascii="FrankRuehl" w:hAnsi="FrankRuehl" w:cs="FrankRuehl"/>
          <w:sz w:val="28"/>
          <w:szCs w:val="28"/>
          <w:rtl/>
        </w:rPr>
        <w:t xml:space="preserve"> </w:t>
      </w:r>
    </w:p>
    <w:p w14:paraId="1DDB3230" w14:textId="77777777" w:rsidR="00AB3468" w:rsidRDefault="00AB3468" w:rsidP="00AB3468">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ב</w:t>
      </w:r>
      <w:hyperlink r:id="rId17" w:history="1">
        <w:r w:rsidR="001F7F18" w:rsidRPr="001F7F18">
          <w:rPr>
            <w:rFonts w:ascii="FrankRuehl" w:hAnsi="FrankRuehl" w:cs="FrankRuehl"/>
            <w:color w:val="0000FF"/>
            <w:sz w:val="28"/>
            <w:szCs w:val="28"/>
            <w:u w:val="single"/>
            <w:rtl/>
          </w:rPr>
          <w:t>רע"פ 8695/19</w:t>
        </w:r>
      </w:hyperlink>
      <w:r>
        <w:rPr>
          <w:rFonts w:ascii="FrankRuehl" w:hAnsi="FrankRuehl" w:cs="FrankRuehl"/>
          <w:sz w:val="28"/>
          <w:szCs w:val="28"/>
          <w:rtl/>
        </w:rPr>
        <w:t xml:space="preserve"> </w:t>
      </w:r>
      <w:r>
        <w:rPr>
          <w:rFonts w:ascii="FrankRuehl" w:hAnsi="FrankRuehl" w:cs="FrankRuehl"/>
          <w:b/>
          <w:bCs/>
          <w:sz w:val="28"/>
          <w:szCs w:val="28"/>
          <w:u w:val="single"/>
          <w:rtl/>
        </w:rPr>
        <w:t>פסו</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5.1.2020) עמד בית המשפט העליון על החומרה שבסחר בסמים, גם אם הם קלים, וקרא לענישה מרתיעה ומשמעותית (פסקה 8). מכאן שניתן למצוא לרוב ענישה בדמות מאסר בפועל, ופחות מכך ענישה בעבודות שירות או בשל"ץ בהתאם לנסיבות המעשה והעושה. </w:t>
      </w:r>
    </w:p>
    <w:p w14:paraId="7D2110B5" w14:textId="77777777" w:rsidR="00AB3468" w:rsidRDefault="00AB3468" w:rsidP="00AB3468">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ברע"פ </w:t>
      </w:r>
      <w:hyperlink r:id="rId18" w:history="1">
        <w:r w:rsidR="00F820F6" w:rsidRPr="00F820F6">
          <w:rPr>
            <w:rFonts w:ascii="FrankRuehl" w:hAnsi="FrankRuehl" w:cs="FrankRuehl"/>
            <w:color w:val="0000FF"/>
            <w:sz w:val="28"/>
            <w:szCs w:val="28"/>
            <w:u w:val="single"/>
            <w:rtl/>
          </w:rPr>
          <w:t xml:space="preserve">8632/196 </w:t>
        </w:r>
      </w:hyperlink>
      <w:r>
        <w:rPr>
          <w:rFonts w:ascii="FrankRuehl" w:hAnsi="FrankRuehl" w:cs="FrankRuehl"/>
          <w:sz w:val="28"/>
          <w:szCs w:val="28"/>
          <w:rtl/>
        </w:rPr>
        <w:t xml:space="preserve"> </w:t>
      </w:r>
      <w:r>
        <w:rPr>
          <w:rFonts w:ascii="FrankRuehl" w:hAnsi="FrankRuehl" w:cs="FrankRuehl"/>
          <w:b/>
          <w:bCs/>
          <w:sz w:val="28"/>
          <w:szCs w:val="28"/>
          <w:u w:val="single"/>
          <w:rtl/>
        </w:rPr>
        <w:t>כהן</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5.1.2020) נגזר דינו של נאשם ל-9 חודשי מאסר בעבודות שירות, כשנקבע שמדובר בעונש החורג ממתחם הענישה בשל שיקולי שיקום. שם דובר במספר מקרי סחר בקנביס ובהחזקת קנביס שלא לצריכה עצמית במשקל פחות מנסיבותינו. </w:t>
      </w:r>
    </w:p>
    <w:p w14:paraId="788AF593" w14:textId="77777777" w:rsidR="00AB3468" w:rsidRDefault="001F7F18" w:rsidP="00AB3468">
      <w:pPr>
        <w:pStyle w:val="a9"/>
        <w:numPr>
          <w:ilvl w:val="0"/>
          <w:numId w:val="1"/>
        </w:numPr>
        <w:spacing w:line="360" w:lineRule="auto"/>
        <w:jc w:val="both"/>
        <w:rPr>
          <w:rFonts w:ascii="FrankRuehl" w:hAnsi="FrankRuehl" w:cs="FrankRuehl"/>
          <w:sz w:val="28"/>
          <w:szCs w:val="28"/>
        </w:rPr>
      </w:pPr>
      <w:hyperlink r:id="rId19" w:history="1">
        <w:r w:rsidRPr="001F7F18">
          <w:rPr>
            <w:rFonts w:ascii="FrankRuehl" w:hAnsi="FrankRuehl" w:cs="FrankRuehl"/>
            <w:color w:val="0000FF"/>
            <w:sz w:val="28"/>
            <w:szCs w:val="28"/>
            <w:u w:val="single"/>
            <w:rtl/>
          </w:rPr>
          <w:t>עפ"ג (חיפה) 53901-05-15</w:t>
        </w:r>
      </w:hyperlink>
      <w:r w:rsidR="00AB3468">
        <w:rPr>
          <w:rFonts w:ascii="FrankRuehl" w:hAnsi="FrankRuehl" w:cs="FrankRuehl"/>
          <w:sz w:val="28"/>
          <w:szCs w:val="28"/>
          <w:rtl/>
        </w:rPr>
        <w:t xml:space="preserve"> </w:t>
      </w:r>
      <w:r w:rsidR="00AB3468">
        <w:rPr>
          <w:rFonts w:ascii="FrankRuehl" w:hAnsi="FrankRuehl" w:cs="FrankRuehl"/>
          <w:b/>
          <w:bCs/>
          <w:sz w:val="28"/>
          <w:szCs w:val="28"/>
          <w:u w:val="single"/>
          <w:rtl/>
        </w:rPr>
        <w:t>איטח</w:t>
      </w:r>
      <w:r w:rsidR="00AB3468">
        <w:rPr>
          <w:rFonts w:ascii="FrankRuehl" w:hAnsi="FrankRuehl" w:cs="FrankRuehl"/>
          <w:sz w:val="28"/>
          <w:szCs w:val="28"/>
          <w:rtl/>
        </w:rPr>
        <w:t xml:space="preserve"> נ' </w:t>
      </w:r>
      <w:r w:rsidR="00AB3468">
        <w:rPr>
          <w:rFonts w:ascii="FrankRuehl" w:hAnsi="FrankRuehl" w:cs="FrankRuehl"/>
          <w:b/>
          <w:bCs/>
          <w:sz w:val="28"/>
          <w:szCs w:val="28"/>
          <w:u w:val="single"/>
          <w:rtl/>
        </w:rPr>
        <w:t>מ"י</w:t>
      </w:r>
      <w:r w:rsidR="00AB3468">
        <w:rPr>
          <w:rFonts w:ascii="FrankRuehl" w:hAnsi="FrankRuehl" w:cs="FrankRuehl"/>
          <w:sz w:val="28"/>
          <w:szCs w:val="28"/>
          <w:rtl/>
        </w:rPr>
        <w:t xml:space="preserve"> (מיום 20.7.2015) דובר בנסיבות של סיוע ל-3 עסקאות במריחואנה והחזקת סם שלא לצריכה עצמית. נקבע מתחם שבין 6 ל-18 חודשי מאסר והתיק הסתיים בשל"ץ בשל חריגה ממתחם הענישה.</w:t>
      </w:r>
    </w:p>
    <w:p w14:paraId="05FBF221" w14:textId="77777777" w:rsidR="00AB3468" w:rsidRDefault="00AB3468" w:rsidP="00AB3468">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 ב</w:t>
      </w:r>
      <w:hyperlink r:id="rId20" w:history="1">
        <w:r w:rsidR="001F7F18" w:rsidRPr="001F7F18">
          <w:rPr>
            <w:rFonts w:ascii="FrankRuehl" w:hAnsi="FrankRuehl" w:cs="FrankRuehl"/>
            <w:color w:val="0000FF"/>
            <w:sz w:val="28"/>
            <w:szCs w:val="28"/>
            <w:u w:val="single"/>
            <w:rtl/>
          </w:rPr>
          <w:t>עפ"ג (י-ם) 65233-03-17</w:t>
        </w:r>
      </w:hyperlink>
      <w:r>
        <w:rPr>
          <w:rFonts w:ascii="FrankRuehl" w:hAnsi="FrankRuehl" w:cs="FrankRuehl"/>
          <w:sz w:val="28"/>
          <w:szCs w:val="28"/>
          <w:rtl/>
        </w:rPr>
        <w:t xml:space="preserve"> </w:t>
      </w:r>
      <w:r>
        <w:rPr>
          <w:rFonts w:ascii="FrankRuehl" w:hAnsi="FrankRuehl" w:cs="FrankRuehl"/>
          <w:b/>
          <w:bCs/>
          <w:sz w:val="28"/>
          <w:szCs w:val="28"/>
          <w:u w:val="single"/>
          <w:rtl/>
        </w:rPr>
        <w:t>רוזנברג</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26.6.2017) נקבע מתחם שבין מס' חודשי מאסר ועד 10 חודשי מאסר בנסיבות של שני מקרי סחר ב-50 גרם קנביס בכל הזדמנות. שם הסתיים ההליך ב-49 ימי מאסר (כימי מעצרו של הנאשם). </w:t>
      </w:r>
    </w:p>
    <w:p w14:paraId="2D849ADB" w14:textId="77777777" w:rsidR="00AB3468" w:rsidRDefault="00AB3468" w:rsidP="00AB3468">
      <w:pPr>
        <w:spacing w:line="360" w:lineRule="auto"/>
        <w:jc w:val="both"/>
        <w:rPr>
          <w:rFonts w:ascii="FrankRuehl" w:hAnsi="FrankRuehl" w:cs="FrankRuehl"/>
          <w:b/>
          <w:bCs/>
          <w:sz w:val="28"/>
          <w:szCs w:val="28"/>
          <w:u w:val="single"/>
          <w:rtl/>
        </w:rPr>
      </w:pPr>
    </w:p>
    <w:p w14:paraId="5335863E"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b/>
          <w:bCs/>
          <w:sz w:val="28"/>
          <w:szCs w:val="28"/>
          <w:u w:val="single"/>
          <w:rtl/>
        </w:rPr>
        <w:t>מתחמי הענישה</w:t>
      </w:r>
      <w:r>
        <w:rPr>
          <w:rFonts w:ascii="FrankRuehl" w:hAnsi="FrankRuehl" w:cs="FrankRuehl"/>
          <w:sz w:val="28"/>
          <w:szCs w:val="28"/>
          <w:rtl/>
        </w:rPr>
        <w:t xml:space="preserve"> – מתחם הענישה צריך להתייחס לכתב האישום כאל אירוע אחד, שכן מדובר בהחזקת הסם לצורך מסחר בו, וביצוע חמישה מקרי סחר בסמוך לפני מועד תפיסתו של הנאשם. לפיכך, מתקיים קשר הדוק בין האירועים. המתחם יעמוד על חודשיים ועד 12 חודשי מאסר בפועל.</w:t>
      </w:r>
    </w:p>
    <w:p w14:paraId="476BEBB0" w14:textId="77777777" w:rsidR="00AB3468" w:rsidRDefault="00AB3468" w:rsidP="00AB3468">
      <w:pPr>
        <w:spacing w:line="360" w:lineRule="auto"/>
        <w:jc w:val="both"/>
        <w:rPr>
          <w:rFonts w:ascii="FrankRuehl" w:hAnsi="FrankRuehl" w:cs="FrankRuehl"/>
          <w:b/>
          <w:bCs/>
          <w:sz w:val="28"/>
          <w:szCs w:val="28"/>
          <w:u w:val="single"/>
          <w:rtl/>
        </w:rPr>
      </w:pPr>
    </w:p>
    <w:p w14:paraId="123D9FBF"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לנסיבות שאינן קשורות בביצוע העבירה</w:t>
      </w:r>
      <w:r>
        <w:rPr>
          <w:rFonts w:ascii="FrankRuehl" w:hAnsi="FrankRuehl" w:cs="FrankRuehl"/>
          <w:sz w:val="28"/>
          <w:szCs w:val="28"/>
          <w:rtl/>
        </w:rPr>
        <w:t xml:space="preserve"> – מדובר בנאשם צעיר ללא עבר פלילי, בעל משפחה תומכת וניהול אורח חיים נורמטיבי. נסיבות חייו אינן קלות בשל לקויותיו הלא מעטות והקושי שלו להתמודד עמן בצורה טובה ומועילה. הנאשם קיבל אחריות מלאה על מעשיו, הביע חרטה ושיתף פעולה באופן מלא עם תהליך הטיפול. כמן כן, הנאשם שומר על ניקיון מסמים</w:t>
      </w:r>
      <w:r>
        <w:rPr>
          <w:rFonts w:ascii="FrankRuehl" w:hAnsi="FrankRuehl" w:cs="FrankRuehl" w:hint="cs"/>
          <w:sz w:val="28"/>
          <w:szCs w:val="28"/>
          <w:rtl/>
        </w:rPr>
        <w:t xml:space="preserve"> כעולה מהבדיקות האחרונות</w:t>
      </w:r>
      <w:r>
        <w:rPr>
          <w:rFonts w:ascii="FrankRuehl" w:hAnsi="FrankRuehl" w:cs="FrankRuehl"/>
          <w:sz w:val="28"/>
          <w:szCs w:val="28"/>
          <w:rtl/>
        </w:rPr>
        <w:t xml:space="preserve">. יש לציין כי הנאשם היה עצור ממש תקופה של </w:t>
      </w:r>
      <w:r>
        <w:rPr>
          <w:rFonts w:ascii="FrankRuehl" w:hAnsi="FrankRuehl" w:cs="FrankRuehl" w:hint="cs"/>
          <w:sz w:val="28"/>
          <w:szCs w:val="28"/>
          <w:rtl/>
        </w:rPr>
        <w:t>כחודש וחצי</w:t>
      </w:r>
      <w:r>
        <w:rPr>
          <w:rFonts w:ascii="FrankRuehl" w:hAnsi="FrankRuehl" w:cs="FrankRuehl"/>
          <w:sz w:val="28"/>
          <w:szCs w:val="28"/>
          <w:rtl/>
        </w:rPr>
        <w:t xml:space="preserve"> </w:t>
      </w:r>
      <w:r>
        <w:rPr>
          <w:rFonts w:ascii="FrankRuehl" w:hAnsi="FrankRuehl" w:cs="FrankRuehl" w:hint="cs"/>
          <w:sz w:val="28"/>
          <w:szCs w:val="28"/>
          <w:rtl/>
        </w:rPr>
        <w:t xml:space="preserve">והיה נתון </w:t>
      </w:r>
      <w:r>
        <w:rPr>
          <w:rFonts w:ascii="FrankRuehl" w:hAnsi="FrankRuehl" w:cs="FrankRuehl"/>
          <w:sz w:val="28"/>
          <w:szCs w:val="28"/>
          <w:rtl/>
        </w:rPr>
        <w:t xml:space="preserve">בתנאי מעצר בית מלאים </w:t>
      </w:r>
      <w:r>
        <w:rPr>
          <w:rFonts w:ascii="FrankRuehl" w:hAnsi="FrankRuehl" w:cs="FrankRuehl" w:hint="cs"/>
          <w:sz w:val="28"/>
          <w:szCs w:val="28"/>
          <w:rtl/>
        </w:rPr>
        <w:t xml:space="preserve">במשך </w:t>
      </w:r>
      <w:r>
        <w:rPr>
          <w:rFonts w:ascii="FrankRuehl" w:hAnsi="FrankRuehl" w:cs="FrankRuehl"/>
          <w:sz w:val="28"/>
          <w:szCs w:val="28"/>
          <w:rtl/>
        </w:rPr>
        <w:t>שנה שלמה ללא כל הפרות מצדו. בנסיבות אלה, אני סבור כי שליחת הנאשם למאסר מאחורי סורג ובריח תפגע בניסיון הנאשם לשקם את חייו ולנהל אורח חיים נורמטיבי.</w:t>
      </w:r>
    </w:p>
    <w:p w14:paraId="61262FF0" w14:textId="77777777" w:rsidR="00AB3468" w:rsidRDefault="00AB3468" w:rsidP="00AB3468">
      <w:pPr>
        <w:spacing w:line="360" w:lineRule="auto"/>
        <w:jc w:val="both"/>
        <w:rPr>
          <w:rFonts w:ascii="FrankRuehl" w:hAnsi="FrankRuehl" w:cs="FrankRuehl"/>
          <w:sz w:val="28"/>
          <w:szCs w:val="28"/>
          <w:rtl/>
        </w:rPr>
      </w:pPr>
    </w:p>
    <w:p w14:paraId="1109E3F4"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b/>
          <w:bCs/>
          <w:sz w:val="28"/>
          <w:szCs w:val="28"/>
          <w:u w:val="single"/>
          <w:rtl/>
        </w:rPr>
        <w:t>המיקום במתחם</w:t>
      </w:r>
      <w:r>
        <w:rPr>
          <w:rFonts w:ascii="FrankRuehl" w:hAnsi="FrankRuehl" w:cs="FrankRuehl"/>
          <w:sz w:val="28"/>
          <w:szCs w:val="28"/>
          <w:rtl/>
        </w:rPr>
        <w:t xml:space="preserve"> – בשל כל אלה, יש למקם את הנאשם בחלק הראשון של מתחם הענישה עד לאמצע המתחם. ההקלה עם הנאשם תהא בדמות שליחתו למאסר בעבודות שירות ולא מאחורי סורג ובריח, נוכח גילו הצעיר וההערכה כי שליחתו למאסר תהא הרסנית. </w:t>
      </w:r>
    </w:p>
    <w:p w14:paraId="437AD258" w14:textId="77777777" w:rsidR="00AB3468" w:rsidRDefault="00AB3468" w:rsidP="00AB3468">
      <w:pPr>
        <w:spacing w:line="360" w:lineRule="auto"/>
        <w:jc w:val="both"/>
        <w:rPr>
          <w:rFonts w:ascii="FrankRuehl" w:hAnsi="FrankRuehl" w:cs="FrankRuehl"/>
          <w:sz w:val="28"/>
          <w:szCs w:val="28"/>
          <w:rtl/>
        </w:rPr>
      </w:pPr>
    </w:p>
    <w:p w14:paraId="59E4577A" w14:textId="77777777" w:rsidR="00AB3468" w:rsidRDefault="00AB3468" w:rsidP="00AB346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27FCD789"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נוכח כל האמור, אני גוזר על הנאשם את העונשים הבאים:</w:t>
      </w:r>
    </w:p>
    <w:p w14:paraId="29E5720C" w14:textId="77777777" w:rsidR="00AB3468" w:rsidRDefault="00AB3468" w:rsidP="00AB3468">
      <w:pPr>
        <w:pStyle w:val="a9"/>
        <w:numPr>
          <w:ilvl w:val="0"/>
          <w:numId w:val="2"/>
        </w:numPr>
        <w:spacing w:line="360" w:lineRule="auto"/>
        <w:jc w:val="both"/>
        <w:rPr>
          <w:rFonts w:ascii="FrankRuehl" w:hAnsi="FrankRuehl" w:cs="FrankRuehl"/>
          <w:sz w:val="28"/>
          <w:szCs w:val="28"/>
          <w:rtl/>
        </w:rPr>
      </w:pPr>
      <w:r>
        <w:rPr>
          <w:rFonts w:ascii="FrankRuehl" w:hAnsi="FrankRuehl" w:cs="FrankRuehl" w:hint="cs"/>
          <w:sz w:val="28"/>
          <w:szCs w:val="28"/>
          <w:rtl/>
        </w:rPr>
        <w:t xml:space="preserve">חמישה </w:t>
      </w:r>
      <w:r>
        <w:rPr>
          <w:rFonts w:ascii="FrankRuehl" w:hAnsi="FrankRuehl" w:cs="FrankRuehl"/>
          <w:sz w:val="28"/>
          <w:szCs w:val="28"/>
          <w:rtl/>
        </w:rPr>
        <w:t>חודשי מאסר, שיבוצעו בעבודות שירות. העבודות יבוצעו ב"בית לחם יהודה"  בפתח תקווה, החל מיום 25.8.2022. במועד זה על הנאשם להתייצב במשרדי הממונה ברמלה (רמלה) עד לשעה 08:00 לשם תחילת ריצוי העבודות. הובהר לנאשם, כי אם לא יקיים את הנחיות הממונה, ניתן להפקיע את העבודות ולהמירן במאסר בפועל. מתקופת המאסר יש לנכות את ימי מעצרו של הנאשם בתיק זה ע"פ חישוב שב"ס שיכריע;</w:t>
      </w:r>
    </w:p>
    <w:p w14:paraId="6254F094" w14:textId="77777777" w:rsidR="00AB3468" w:rsidRDefault="00AB3468" w:rsidP="00AB3468">
      <w:pPr>
        <w:pStyle w:val="a9"/>
        <w:numPr>
          <w:ilvl w:val="0"/>
          <w:numId w:val="2"/>
        </w:numPr>
        <w:spacing w:line="360" w:lineRule="auto"/>
        <w:jc w:val="both"/>
        <w:rPr>
          <w:rFonts w:ascii="FrankRuehl" w:hAnsi="FrankRuehl" w:cs="FrankRuehl"/>
          <w:sz w:val="28"/>
          <w:szCs w:val="28"/>
          <w:rtl/>
        </w:rPr>
      </w:pPr>
      <w:r>
        <w:rPr>
          <w:rFonts w:ascii="FrankRuehl" w:hAnsi="FrankRuehl" w:cs="FrankRuehl"/>
          <w:sz w:val="28"/>
          <w:szCs w:val="28"/>
          <w:rtl/>
        </w:rPr>
        <w:t xml:space="preserve">חודש מאסר שלא ירוצה, אלא אם יעבור הנאשם כל עבירת עוון לפי </w:t>
      </w:r>
      <w:hyperlink r:id="rId21" w:history="1">
        <w:r w:rsidR="001F7F18" w:rsidRPr="001F7F18">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בתוך שנתיים מסיום עבודות השירות;</w:t>
      </w:r>
    </w:p>
    <w:p w14:paraId="6F9E3CC6" w14:textId="77777777" w:rsidR="00AB3468" w:rsidRDefault="00AB3468" w:rsidP="00AB3468">
      <w:pPr>
        <w:pStyle w:val="a9"/>
        <w:numPr>
          <w:ilvl w:val="0"/>
          <w:numId w:val="2"/>
        </w:numPr>
        <w:spacing w:line="360" w:lineRule="auto"/>
        <w:jc w:val="both"/>
        <w:rPr>
          <w:rFonts w:ascii="FrankRuehl" w:hAnsi="FrankRuehl" w:cs="FrankRuehl"/>
          <w:sz w:val="28"/>
          <w:szCs w:val="28"/>
          <w:rtl/>
        </w:rPr>
      </w:pPr>
      <w:r>
        <w:rPr>
          <w:rFonts w:ascii="FrankRuehl" w:hAnsi="FrankRuehl" w:cs="FrankRuehl"/>
          <w:sz w:val="28"/>
          <w:szCs w:val="28"/>
          <w:rtl/>
        </w:rPr>
        <w:t xml:space="preserve">6 חודשי מאסר שלא ירוצו, אלא אם יעבור הנאשם כל עבירת פשע לפי </w:t>
      </w:r>
      <w:hyperlink r:id="rId22" w:history="1">
        <w:r w:rsidR="001F7F18" w:rsidRPr="001F7F18">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בתוך שנתיים מסיום עבודות השירות;</w:t>
      </w:r>
    </w:p>
    <w:p w14:paraId="248E5E0F" w14:textId="77777777" w:rsidR="00AB3468" w:rsidRDefault="00AB3468" w:rsidP="00AB3468">
      <w:pPr>
        <w:pStyle w:val="a9"/>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קנס בסך 2,000 ₪ שישולם עד ליום 1.10.2022</w:t>
      </w:r>
      <w:r>
        <w:rPr>
          <w:rFonts w:ascii="FrankRuehl" w:hAnsi="FrankRuehl" w:cs="FrankRuehl" w:hint="cs"/>
          <w:sz w:val="28"/>
          <w:szCs w:val="28"/>
          <w:rtl/>
        </w:rPr>
        <w:t>. ניתן לקזז מכל הפקדה על הודעת עיקול ככל שקיימת. ככל שקיימת יתרת זכות ולא קיימים עיקולים ניתן להשיב למפקידים</w:t>
      </w:r>
      <w:r>
        <w:rPr>
          <w:rFonts w:ascii="FrankRuehl" w:hAnsi="FrankRuehl" w:cs="FrankRuehl"/>
          <w:sz w:val="28"/>
          <w:szCs w:val="28"/>
          <w:rtl/>
        </w:rPr>
        <w:t>;</w:t>
      </w:r>
    </w:p>
    <w:p w14:paraId="04BB2F1C" w14:textId="77777777" w:rsidR="00AB3468" w:rsidRDefault="00AB3468" w:rsidP="00AB3468">
      <w:pPr>
        <w:pStyle w:val="a9"/>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התחייבות בסך 5,000 ₪ שלא לעבור כל עבירה לפי פקודת הסמים בתוך שנתיים מהיום;</w:t>
      </w:r>
    </w:p>
    <w:p w14:paraId="1C0AE77E" w14:textId="77777777" w:rsidR="00AB3468" w:rsidRDefault="00AB3468" w:rsidP="00AB3468">
      <w:pPr>
        <w:pStyle w:val="a9"/>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 xml:space="preserve">פסילה, וזאת על-תנאי למשך 12 חודשים מלקבל או מלהחזיק רישיון נהיגה, וזאת לתקופה של שנתיים מהיום, שלא יעבור הנאשם כל עבירה לפי </w:t>
      </w:r>
      <w:hyperlink r:id="rId23" w:history="1">
        <w:r w:rsidR="001F7F18" w:rsidRPr="001F7F18">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w:t>
      </w:r>
    </w:p>
    <w:p w14:paraId="695F8797" w14:textId="77777777" w:rsidR="00AB3468" w:rsidRDefault="00AB3468" w:rsidP="00AB3468">
      <w:pPr>
        <w:pStyle w:val="a9"/>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צו מבחן למשך 18 חודשים מהיום. הנאשם הוזהר כי אם לא ישתף פעולה במסגרת הצו ניתן יהיה לגזור את דינו מחדש ולהטיל עליו כל עונש לרבות מאסר;</w:t>
      </w:r>
    </w:p>
    <w:p w14:paraId="10E19C40" w14:textId="77777777" w:rsidR="00AB3468" w:rsidRDefault="00AB3468" w:rsidP="00AB3468">
      <w:pPr>
        <w:spacing w:line="360" w:lineRule="auto"/>
        <w:jc w:val="both"/>
        <w:rPr>
          <w:rFonts w:ascii="FrankRuehl" w:hAnsi="FrankRuehl" w:cs="FrankRuehl"/>
          <w:sz w:val="28"/>
          <w:szCs w:val="28"/>
        </w:rPr>
      </w:pPr>
    </w:p>
    <w:p w14:paraId="3A340869" w14:textId="77777777" w:rsidR="00AB3468" w:rsidRDefault="00AB3468" w:rsidP="00AB3468">
      <w:pPr>
        <w:spacing w:line="360" w:lineRule="auto"/>
        <w:jc w:val="both"/>
        <w:rPr>
          <w:rFonts w:ascii="FrankRuehl" w:hAnsi="FrankRuehl" w:cs="FrankRuehl"/>
          <w:sz w:val="28"/>
          <w:szCs w:val="28"/>
        </w:rPr>
      </w:pPr>
      <w:r>
        <w:rPr>
          <w:rFonts w:ascii="FrankRuehl" w:hAnsi="FrankRuehl" w:cs="FrankRuehl"/>
          <w:sz w:val="28"/>
          <w:szCs w:val="28"/>
          <w:rtl/>
        </w:rPr>
        <w:t xml:space="preserve">נוכח עתירת המאשימה וטענות הצדדים באשר לחילוט, מכריז על הנאשם סוחר סמים, ומורה על חילוט הכספים שנתפסו וכן </w:t>
      </w:r>
      <w:r>
        <w:rPr>
          <w:rFonts w:ascii="FrankRuehl" w:hAnsi="FrankRuehl" w:cs="FrankRuehl" w:hint="cs"/>
          <w:sz w:val="28"/>
          <w:szCs w:val="28"/>
          <w:rtl/>
        </w:rPr>
        <w:t xml:space="preserve">על </w:t>
      </w:r>
      <w:r>
        <w:rPr>
          <w:rFonts w:ascii="FrankRuehl" w:hAnsi="FrankRuehl" w:cs="FrankRuehl"/>
          <w:sz w:val="28"/>
          <w:szCs w:val="28"/>
          <w:rtl/>
        </w:rPr>
        <w:t>חילוט הטלפון.</w:t>
      </w:r>
    </w:p>
    <w:p w14:paraId="793370B8"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לאחר ששמעתי את אביו של הנאשם ואת הנאשם, מצאתי נוכח נסיבותיו, ולפנים משורת הדין, כי אין מקום לחלט את האופנוע ויש להשיבו לנאשם לאלתר.</w:t>
      </w:r>
    </w:p>
    <w:p w14:paraId="4578351C"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 xml:space="preserve">קובע כי עם מתן גזר הדין, פקעו התנאים המגבילים. </w:t>
      </w:r>
    </w:p>
    <w:p w14:paraId="2F9A4D29"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hint="cs"/>
          <w:sz w:val="28"/>
          <w:szCs w:val="28"/>
          <w:rtl/>
        </w:rPr>
        <w:t>מורה על השמדת הסמים.</w:t>
      </w:r>
    </w:p>
    <w:p w14:paraId="4D8EFD81" w14:textId="77777777" w:rsidR="00AB3468" w:rsidRDefault="00AB3468" w:rsidP="00AB3468">
      <w:pPr>
        <w:spacing w:line="360" w:lineRule="auto"/>
        <w:jc w:val="both"/>
        <w:rPr>
          <w:rFonts w:ascii="FrankRuehl" w:hAnsi="FrankRuehl" w:cs="FrankRuehl"/>
          <w:sz w:val="28"/>
          <w:szCs w:val="28"/>
          <w:rtl/>
        </w:rPr>
      </w:pPr>
      <w:r>
        <w:rPr>
          <w:rFonts w:ascii="FrankRuehl" w:hAnsi="FrankRuehl" w:cs="FrankRuehl"/>
          <w:sz w:val="28"/>
          <w:szCs w:val="28"/>
          <w:rtl/>
        </w:rPr>
        <w:t>זכות ערעור כחוק.</w:t>
      </w:r>
    </w:p>
    <w:p w14:paraId="01A00F04" w14:textId="77777777" w:rsidR="00AB3468" w:rsidRPr="001F7F18" w:rsidRDefault="001F7F18" w:rsidP="00AB3468">
      <w:pPr>
        <w:rPr>
          <w:rFonts w:ascii="Arial" w:hAnsi="Arial"/>
          <w:b/>
          <w:bCs/>
          <w:color w:val="FFFFFF"/>
          <w:sz w:val="2"/>
          <w:szCs w:val="2"/>
          <w:rtl/>
        </w:rPr>
      </w:pPr>
      <w:r w:rsidRPr="001F7F18">
        <w:rPr>
          <w:rFonts w:ascii="Arial" w:hAnsi="Arial"/>
          <w:b/>
          <w:bCs/>
          <w:color w:val="FFFFFF"/>
          <w:sz w:val="2"/>
          <w:szCs w:val="2"/>
          <w:rtl/>
        </w:rPr>
        <w:t>5129371</w:t>
      </w:r>
    </w:p>
    <w:p w14:paraId="746CB510" w14:textId="77777777" w:rsidR="00AB3468" w:rsidRPr="001F7F18" w:rsidRDefault="001F7F18" w:rsidP="00AB3468">
      <w:pPr>
        <w:rPr>
          <w:rFonts w:ascii="Arial" w:hAnsi="Arial"/>
          <w:b/>
          <w:bCs/>
          <w:color w:val="FFFFFF"/>
          <w:sz w:val="2"/>
          <w:szCs w:val="2"/>
          <w:rtl/>
        </w:rPr>
      </w:pPr>
      <w:r w:rsidRPr="001F7F18">
        <w:rPr>
          <w:rFonts w:ascii="Arial" w:hAnsi="Arial"/>
          <w:b/>
          <w:bCs/>
          <w:color w:val="FFFFFF"/>
          <w:sz w:val="2"/>
          <w:szCs w:val="2"/>
          <w:rtl/>
        </w:rPr>
        <w:t>54678313</w:t>
      </w:r>
    </w:p>
    <w:p w14:paraId="096B11E4" w14:textId="77777777" w:rsidR="00AB3468" w:rsidRPr="000F2247" w:rsidRDefault="00AB3468" w:rsidP="00AB3468">
      <w:pPr>
        <w:rPr>
          <w:rFonts w:ascii="Arial" w:hAnsi="Arial"/>
          <w:b/>
          <w:bCs/>
          <w:sz w:val="26"/>
          <w:szCs w:val="26"/>
          <w:rtl/>
        </w:rPr>
      </w:pPr>
    </w:p>
    <w:p w14:paraId="6B9A0635" w14:textId="77777777" w:rsidR="00AB3468" w:rsidRPr="000F2247" w:rsidRDefault="001F7F18" w:rsidP="00AB3468">
      <w:pPr>
        <w:rPr>
          <w:rFonts w:ascii="Arial" w:hAnsi="Arial"/>
          <w:b/>
          <w:bCs/>
          <w:sz w:val="26"/>
          <w:szCs w:val="26"/>
          <w:rtl/>
        </w:rPr>
      </w:pPr>
      <w:bookmarkStart w:id="8" w:name="Nitan"/>
      <w:r>
        <w:rPr>
          <w:rFonts w:ascii="Arial" w:hAnsi="Arial"/>
          <w:b/>
          <w:bCs/>
          <w:sz w:val="26"/>
          <w:szCs w:val="26"/>
          <w:rtl/>
        </w:rPr>
        <w:t xml:space="preserve">ניתן היום,  ב' סיוון תשפ"ב, 01 יוני 2022, במעמד הצדדים. </w:t>
      </w:r>
      <w:bookmarkEnd w:id="8"/>
    </w:p>
    <w:p w14:paraId="0EED09CE" w14:textId="77777777" w:rsidR="00AB3468" w:rsidRPr="000F2247" w:rsidRDefault="00AB3468" w:rsidP="001F7F1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9DE2B4" w14:textId="77777777" w:rsidR="001F7F18" w:rsidRDefault="007A5482" w:rsidP="001F7F18">
      <w:r w:rsidRPr="007A5482">
        <w:rPr>
          <w:rFonts w:ascii="Arial" w:hAnsi="Arial"/>
          <w:b/>
          <w:bCs/>
          <w:color w:val="FFFFFF"/>
          <w:sz w:val="2"/>
          <w:szCs w:val="2"/>
          <w:rtl/>
        </w:rPr>
        <w:t>5129371</w:t>
      </w:r>
    </w:p>
    <w:p w14:paraId="620ED613" w14:textId="77777777" w:rsidR="001F7F18" w:rsidRDefault="001F7F18" w:rsidP="001F7F18">
      <w:pPr>
        <w:rPr>
          <w:rtl/>
        </w:rPr>
      </w:pPr>
    </w:p>
    <w:p w14:paraId="6E378A11" w14:textId="77777777" w:rsidR="001F7F18" w:rsidRDefault="001F7F18" w:rsidP="001F7F18">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3B88EFB" w14:textId="77777777" w:rsidR="007A5482" w:rsidRPr="007A5482" w:rsidRDefault="007A5482" w:rsidP="007A5482">
      <w:pPr>
        <w:keepNext/>
        <w:rPr>
          <w:rFonts w:ascii="David" w:hAnsi="David"/>
          <w:color w:val="000000"/>
          <w:sz w:val="22"/>
          <w:szCs w:val="22"/>
          <w:rtl/>
        </w:rPr>
      </w:pPr>
    </w:p>
    <w:p w14:paraId="3A522719" w14:textId="77777777" w:rsidR="007A5482" w:rsidRPr="007A5482" w:rsidRDefault="007A5482" w:rsidP="007A5482">
      <w:pPr>
        <w:keepNext/>
        <w:rPr>
          <w:rFonts w:ascii="David" w:hAnsi="David"/>
          <w:color w:val="000000"/>
          <w:sz w:val="22"/>
          <w:szCs w:val="22"/>
          <w:rtl/>
        </w:rPr>
      </w:pPr>
      <w:r w:rsidRPr="007A5482">
        <w:rPr>
          <w:rFonts w:ascii="David" w:hAnsi="David"/>
          <w:color w:val="000000"/>
          <w:sz w:val="22"/>
          <w:szCs w:val="22"/>
          <w:rtl/>
        </w:rPr>
        <w:t>דוד שאול גבאי ריכטר 54678313-/</w:t>
      </w:r>
    </w:p>
    <w:p w14:paraId="7CB2C3D8" w14:textId="77777777" w:rsidR="001F7F18" w:rsidRPr="001F7F18" w:rsidRDefault="007A5482" w:rsidP="007A5482">
      <w:pPr>
        <w:rPr>
          <w:color w:val="0000FF"/>
          <w:u w:val="single"/>
        </w:rPr>
      </w:pPr>
      <w:r w:rsidRPr="007A5482">
        <w:rPr>
          <w:color w:val="000000"/>
          <w:u w:val="single"/>
          <w:rtl/>
        </w:rPr>
        <w:t>נוסח מסמך זה כפוף לשינויי ניסוח ועריכה</w:t>
      </w:r>
    </w:p>
    <w:sectPr w:rsidR="001F7F18" w:rsidRPr="001F7F18" w:rsidSect="007A548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C51B7" w14:textId="77777777" w:rsidR="00C34E9C" w:rsidRDefault="00C34E9C" w:rsidP="003872EA">
      <w:r>
        <w:separator/>
      </w:r>
    </w:p>
  </w:endnote>
  <w:endnote w:type="continuationSeparator" w:id="0">
    <w:p w14:paraId="0BF1391D" w14:textId="77777777" w:rsidR="00C34E9C" w:rsidRDefault="00C34E9C" w:rsidP="0038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7A1F" w14:textId="77777777" w:rsidR="007A5482" w:rsidRDefault="007A5482" w:rsidP="007A54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FED42C" w14:textId="77777777" w:rsidR="00E33CBB" w:rsidRPr="007A5482" w:rsidRDefault="007A5482" w:rsidP="007A5482">
    <w:pPr>
      <w:pStyle w:val="a5"/>
      <w:pBdr>
        <w:top w:val="single" w:sz="4" w:space="1" w:color="auto"/>
        <w:between w:val="single" w:sz="4" w:space="0" w:color="auto"/>
      </w:pBdr>
      <w:spacing w:after="60"/>
      <w:jc w:val="center"/>
      <w:rPr>
        <w:rFonts w:ascii="FrankRuehl" w:hAnsi="FrankRuehl" w:cs="FrankRuehl"/>
        <w:color w:val="000000"/>
      </w:rPr>
    </w:pPr>
    <w:r w:rsidRPr="007A54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3E1CE" w14:textId="77777777" w:rsidR="007A5482" w:rsidRDefault="007A5482" w:rsidP="007A54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2380">
      <w:rPr>
        <w:rFonts w:ascii="FrankRuehl" w:hAnsi="FrankRuehl" w:cs="FrankRuehl"/>
        <w:noProof/>
        <w:rtl/>
      </w:rPr>
      <w:t>1</w:t>
    </w:r>
    <w:r>
      <w:rPr>
        <w:rFonts w:ascii="FrankRuehl" w:hAnsi="FrankRuehl" w:cs="FrankRuehl"/>
        <w:rtl/>
      </w:rPr>
      <w:fldChar w:fldCharType="end"/>
    </w:r>
  </w:p>
  <w:p w14:paraId="2A2A796C" w14:textId="77777777" w:rsidR="00E33CBB" w:rsidRPr="007A5482" w:rsidRDefault="007A5482" w:rsidP="007A5482">
    <w:pPr>
      <w:pStyle w:val="a5"/>
      <w:pBdr>
        <w:top w:val="single" w:sz="4" w:space="1" w:color="auto"/>
        <w:between w:val="single" w:sz="4" w:space="0" w:color="auto"/>
      </w:pBdr>
      <w:spacing w:after="60"/>
      <w:jc w:val="center"/>
      <w:rPr>
        <w:rFonts w:ascii="FrankRuehl" w:hAnsi="FrankRuehl" w:cs="FrankRuehl"/>
        <w:color w:val="000000"/>
      </w:rPr>
    </w:pPr>
    <w:r w:rsidRPr="007A5482">
      <w:rPr>
        <w:rFonts w:ascii="FrankRuehl" w:hAnsi="FrankRuehl" w:cs="FrankRuehl"/>
        <w:color w:val="000000"/>
      </w:rPr>
      <w:pict w14:anchorId="136F5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3335C" w14:textId="77777777" w:rsidR="00C34E9C" w:rsidRDefault="00C34E9C" w:rsidP="003872EA">
      <w:r>
        <w:separator/>
      </w:r>
    </w:p>
  </w:footnote>
  <w:footnote w:type="continuationSeparator" w:id="0">
    <w:p w14:paraId="5642A8C3" w14:textId="77777777" w:rsidR="00C34E9C" w:rsidRDefault="00C34E9C" w:rsidP="0038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0F282" w14:textId="77777777" w:rsidR="001F7F18" w:rsidRPr="007A5482" w:rsidRDefault="007A5482" w:rsidP="007A5482">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53884-05-21</w:t>
    </w:r>
    <w:r>
      <w:rPr>
        <w:rFonts w:ascii="David" w:hAnsi="David"/>
        <w:color w:val="000000"/>
        <w:sz w:val="22"/>
        <w:szCs w:val="22"/>
        <w:rtl/>
      </w:rPr>
      <w:tab/>
      <w:t xml:space="preserve"> מדינת ישראל נ' יובל כרמלי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8854D" w14:textId="77777777" w:rsidR="001F7F18" w:rsidRPr="007A5482" w:rsidRDefault="007A5482" w:rsidP="007A54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53884-05-21</w:t>
    </w:r>
    <w:r>
      <w:rPr>
        <w:rFonts w:ascii="David" w:hAnsi="David"/>
        <w:color w:val="000000"/>
        <w:sz w:val="22"/>
        <w:szCs w:val="22"/>
        <w:rtl/>
      </w:rPr>
      <w:tab/>
      <w:t xml:space="preserve"> מדינת ישראל נ' יובל כרמלי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61350"/>
    <w:multiLevelType w:val="hybridMultilevel"/>
    <w:tmpl w:val="5ABC530E"/>
    <w:lvl w:ilvl="0" w:tplc="91306BF0">
      <w:start w:val="1"/>
      <w:numFmt w:val="hebrew1"/>
      <w:lvlText w:val="%1."/>
      <w:lvlJc w:val="left"/>
      <w:pPr>
        <w:ind w:left="720" w:hanging="360"/>
      </w:pPr>
    </w:lvl>
    <w:lvl w:ilvl="1" w:tplc="2F60DB12">
      <w:start w:val="1"/>
      <w:numFmt w:val="lowerLetter"/>
      <w:lvlText w:val="%2."/>
      <w:lvlJc w:val="left"/>
      <w:pPr>
        <w:ind w:left="1440" w:hanging="360"/>
      </w:pPr>
    </w:lvl>
    <w:lvl w:ilvl="2" w:tplc="D6424622">
      <w:start w:val="1"/>
      <w:numFmt w:val="lowerRoman"/>
      <w:lvlText w:val="%3."/>
      <w:lvlJc w:val="right"/>
      <w:pPr>
        <w:ind w:left="2160" w:hanging="180"/>
      </w:pPr>
    </w:lvl>
    <w:lvl w:ilvl="3" w:tplc="E17C0956">
      <w:start w:val="1"/>
      <w:numFmt w:val="decimal"/>
      <w:lvlText w:val="%4."/>
      <w:lvlJc w:val="left"/>
      <w:pPr>
        <w:ind w:left="2880" w:hanging="360"/>
      </w:pPr>
    </w:lvl>
    <w:lvl w:ilvl="4" w:tplc="AA340DAA">
      <w:start w:val="1"/>
      <w:numFmt w:val="lowerLetter"/>
      <w:lvlText w:val="%5."/>
      <w:lvlJc w:val="left"/>
      <w:pPr>
        <w:ind w:left="3600" w:hanging="360"/>
      </w:pPr>
    </w:lvl>
    <w:lvl w:ilvl="5" w:tplc="90A22F22">
      <w:start w:val="1"/>
      <w:numFmt w:val="lowerRoman"/>
      <w:lvlText w:val="%6."/>
      <w:lvlJc w:val="right"/>
      <w:pPr>
        <w:ind w:left="4320" w:hanging="180"/>
      </w:pPr>
    </w:lvl>
    <w:lvl w:ilvl="6" w:tplc="B6C2D88C">
      <w:start w:val="1"/>
      <w:numFmt w:val="decimal"/>
      <w:lvlText w:val="%7."/>
      <w:lvlJc w:val="left"/>
      <w:pPr>
        <w:ind w:left="5040" w:hanging="360"/>
      </w:pPr>
    </w:lvl>
    <w:lvl w:ilvl="7" w:tplc="14D6B18A">
      <w:start w:val="1"/>
      <w:numFmt w:val="lowerLetter"/>
      <w:lvlText w:val="%8."/>
      <w:lvlJc w:val="left"/>
      <w:pPr>
        <w:ind w:left="5760" w:hanging="360"/>
      </w:pPr>
    </w:lvl>
    <w:lvl w:ilvl="8" w:tplc="A224B9E0">
      <w:start w:val="1"/>
      <w:numFmt w:val="lowerRoman"/>
      <w:lvlText w:val="%9."/>
      <w:lvlJc w:val="right"/>
      <w:pPr>
        <w:ind w:left="6480" w:hanging="180"/>
      </w:pPr>
    </w:lvl>
  </w:abstractNum>
  <w:abstractNum w:abstractNumId="1" w15:restartNumberingAfterBreak="0">
    <w:nsid w:val="7A637796"/>
    <w:multiLevelType w:val="hybridMultilevel"/>
    <w:tmpl w:val="885A4542"/>
    <w:lvl w:ilvl="0" w:tplc="29307F7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8095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9290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3468"/>
    <w:rsid w:val="00013522"/>
    <w:rsid w:val="00083E94"/>
    <w:rsid w:val="001B5A3B"/>
    <w:rsid w:val="001F7F18"/>
    <w:rsid w:val="0028798C"/>
    <w:rsid w:val="003872EA"/>
    <w:rsid w:val="004040B7"/>
    <w:rsid w:val="006F150F"/>
    <w:rsid w:val="00722380"/>
    <w:rsid w:val="007A5482"/>
    <w:rsid w:val="008B283A"/>
    <w:rsid w:val="00AB3468"/>
    <w:rsid w:val="00B458CD"/>
    <w:rsid w:val="00C34E9C"/>
    <w:rsid w:val="00E33CBB"/>
    <w:rsid w:val="00F820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A50EFE"/>
  <w15:chartTrackingRefBased/>
  <w15:docId w15:val="{1273DEB6-0B23-42EB-A1CB-47A3D48E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346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3468"/>
    <w:pPr>
      <w:tabs>
        <w:tab w:val="center" w:pos="4153"/>
        <w:tab w:val="right" w:pos="8306"/>
      </w:tabs>
    </w:pPr>
  </w:style>
  <w:style w:type="character" w:customStyle="1" w:styleId="a4">
    <w:name w:val="כותרת עליונה תו"/>
    <w:link w:val="a3"/>
    <w:rsid w:val="00AB3468"/>
    <w:rPr>
      <w:rFonts w:ascii="Times New Roman" w:eastAsia="Times New Roman" w:hAnsi="Times New Roman" w:cs="David"/>
      <w:sz w:val="24"/>
      <w:szCs w:val="24"/>
    </w:rPr>
  </w:style>
  <w:style w:type="paragraph" w:styleId="a5">
    <w:name w:val="footer"/>
    <w:basedOn w:val="a"/>
    <w:link w:val="a6"/>
    <w:rsid w:val="00AB3468"/>
    <w:pPr>
      <w:tabs>
        <w:tab w:val="center" w:pos="4153"/>
        <w:tab w:val="right" w:pos="8306"/>
      </w:tabs>
    </w:pPr>
  </w:style>
  <w:style w:type="character" w:customStyle="1" w:styleId="a6">
    <w:name w:val="כותרת תחתונה תו"/>
    <w:link w:val="a5"/>
    <w:rsid w:val="00AB3468"/>
    <w:rPr>
      <w:rFonts w:ascii="Times New Roman" w:eastAsia="Times New Roman" w:hAnsi="Times New Roman" w:cs="David"/>
      <w:sz w:val="24"/>
      <w:szCs w:val="24"/>
    </w:rPr>
  </w:style>
  <w:style w:type="table" w:styleId="a7">
    <w:name w:val="Table Grid"/>
    <w:basedOn w:val="a1"/>
    <w:rsid w:val="00AB34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3468"/>
  </w:style>
  <w:style w:type="paragraph" w:styleId="a9">
    <w:name w:val="List Paragraph"/>
    <w:basedOn w:val="a"/>
    <w:qFormat/>
    <w:rsid w:val="00AB3468"/>
    <w:pPr>
      <w:spacing w:after="160" w:line="252" w:lineRule="auto"/>
      <w:ind w:left="720"/>
      <w:contextualSpacing/>
    </w:pPr>
    <w:rPr>
      <w:rFonts w:ascii="Calibri" w:eastAsia="Calibri" w:hAnsi="Calibri" w:cs="Arial"/>
      <w:sz w:val="22"/>
      <w:szCs w:val="22"/>
    </w:rPr>
  </w:style>
  <w:style w:type="character" w:styleId="Hyperlink">
    <w:name w:val="Hyperlink"/>
    <w:rsid w:val="001F7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2631437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631804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236809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032145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1606</Words>
  <Characters>8032</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9619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3145840</vt:i4>
      </vt:variant>
      <vt:variant>
        <vt:i4>39</vt:i4>
      </vt:variant>
      <vt:variant>
        <vt:i4>0</vt:i4>
      </vt:variant>
      <vt:variant>
        <vt:i4>5</vt:i4>
      </vt:variant>
      <vt:variant>
        <vt:lpwstr>http://www.nevo.co.il/case/22368098</vt:lpwstr>
      </vt:variant>
      <vt:variant>
        <vt:lpwstr/>
      </vt:variant>
      <vt:variant>
        <vt:i4>3473522</vt:i4>
      </vt:variant>
      <vt:variant>
        <vt:i4>36</vt:i4>
      </vt:variant>
      <vt:variant>
        <vt:i4>0</vt:i4>
      </vt:variant>
      <vt:variant>
        <vt:i4>5</vt:i4>
      </vt:variant>
      <vt:variant>
        <vt:lpwstr>http://www.nevo.co.il/case/20321459</vt:lpwstr>
      </vt:variant>
      <vt:variant>
        <vt:lpwstr/>
      </vt:variant>
      <vt:variant>
        <vt:i4>3276912</vt:i4>
      </vt:variant>
      <vt:variant>
        <vt:i4>33</vt:i4>
      </vt:variant>
      <vt:variant>
        <vt:i4>0</vt:i4>
      </vt:variant>
      <vt:variant>
        <vt:i4>5</vt:i4>
      </vt:variant>
      <vt:variant>
        <vt:lpwstr>http://www.nevo.co.il/case/26314376</vt:lpwstr>
      </vt:variant>
      <vt:variant>
        <vt:lpwstr/>
      </vt:variant>
      <vt:variant>
        <vt:i4>3997811</vt:i4>
      </vt:variant>
      <vt:variant>
        <vt:i4>30</vt:i4>
      </vt:variant>
      <vt:variant>
        <vt:i4>0</vt:i4>
      </vt:variant>
      <vt:variant>
        <vt:i4>5</vt:i4>
      </vt:variant>
      <vt:variant>
        <vt:lpwstr>http://www.nevo.co.il/case/26318040</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53884</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יובל כרמלי</vt:lpwstr>
  </property>
  <property fmtid="{D5CDD505-2E9C-101B-9397-08002B2CF9AE}" pid="10" name="LAWYER">
    <vt:lpwstr>מאיר לוברבאום;שרון רבינוביץ';עמית שלף</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20220601</vt:lpwstr>
  </property>
  <property fmtid="{D5CDD505-2E9C-101B-9397-08002B2CF9AE}" pid="14" name="TYPE_N_DATE">
    <vt:lpwstr>38020220601</vt:lpwstr>
  </property>
  <property fmtid="{D5CDD505-2E9C-101B-9397-08002B2CF9AE}" pid="15" name="WORDNUMPAGES">
    <vt:lpwstr>6</vt:lpwstr>
  </property>
  <property fmtid="{D5CDD505-2E9C-101B-9397-08002B2CF9AE}" pid="16" name="TYPE_ABS_DATE">
    <vt:lpwstr>380020220601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26318040;26314376;20321459;22368098</vt:lpwstr>
  </property>
  <property fmtid="{D5CDD505-2E9C-101B-9397-08002B2CF9AE}" pid="36" name="LAWLISTTMP1">
    <vt:lpwstr>4216/007.a;007.c;013;019a</vt:lpwstr>
  </property>
</Properties>
</file>