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00ACA" w:rsidRPr="005E5813" w14:paraId="1F599E48" w14:textId="77777777" w:rsidTr="008E7D43">
        <w:trPr>
          <w:trHeight w:hRule="exact" w:val="418"/>
          <w:jc w:val="center"/>
        </w:trPr>
        <w:tc>
          <w:tcPr>
            <w:tcW w:w="8721" w:type="dxa"/>
            <w:gridSpan w:val="2"/>
          </w:tcPr>
          <w:p w14:paraId="5BD54234" w14:textId="77777777" w:rsidR="00000ACA" w:rsidRPr="005E5813" w:rsidRDefault="00000ACA" w:rsidP="00423C53">
            <w:pPr>
              <w:pStyle w:val="a3"/>
              <w:jc w:val="center"/>
              <w:rPr>
                <w:rFonts w:ascii="Tahoma" w:hAnsi="Tahoma" w:cs="Tahoma"/>
                <w:color w:val="000080"/>
                <w:rtl/>
              </w:rPr>
            </w:pPr>
            <w:bookmarkStart w:id="0" w:name="LastJudge"/>
            <w:r w:rsidRPr="005E5813">
              <w:rPr>
                <w:rFonts w:ascii="Tahoma" w:hAnsi="Tahoma" w:cs="Tahoma"/>
                <w:b/>
                <w:bCs/>
                <w:color w:val="000080"/>
                <w:rtl/>
              </w:rPr>
              <w:t>בית משפט השלום בירושלים</w:t>
            </w:r>
          </w:p>
        </w:tc>
      </w:tr>
      <w:tr w:rsidR="00000ACA" w:rsidRPr="005E5813" w14:paraId="5C771627" w14:textId="77777777" w:rsidTr="008E7D43">
        <w:trPr>
          <w:trHeight w:val="337"/>
          <w:jc w:val="center"/>
        </w:trPr>
        <w:tc>
          <w:tcPr>
            <w:tcW w:w="5054" w:type="dxa"/>
          </w:tcPr>
          <w:p w14:paraId="4C19FE62" w14:textId="77777777" w:rsidR="00000ACA" w:rsidRPr="005E5813" w:rsidRDefault="00000ACA" w:rsidP="00423C53">
            <w:pPr>
              <w:rPr>
                <w:rFonts w:cs="FrankRuehl"/>
                <w:sz w:val="28"/>
                <w:szCs w:val="28"/>
                <w:rtl/>
              </w:rPr>
            </w:pPr>
            <w:r w:rsidRPr="005E5813">
              <w:rPr>
                <w:rFonts w:cs="FrankRuehl"/>
                <w:sz w:val="28"/>
                <w:szCs w:val="28"/>
                <w:rtl/>
              </w:rPr>
              <w:t>ת"פ</w:t>
            </w:r>
            <w:r w:rsidRPr="005E5813">
              <w:rPr>
                <w:rFonts w:cs="FrankRuehl" w:hint="cs"/>
                <w:sz w:val="28"/>
                <w:szCs w:val="28"/>
                <w:rtl/>
              </w:rPr>
              <w:t xml:space="preserve"> </w:t>
            </w:r>
            <w:r w:rsidRPr="005E5813">
              <w:rPr>
                <w:rFonts w:cs="FrankRuehl"/>
                <w:sz w:val="28"/>
                <w:szCs w:val="28"/>
                <w:rtl/>
              </w:rPr>
              <w:t>64742-05-21</w:t>
            </w:r>
            <w:r w:rsidRPr="005E5813">
              <w:rPr>
                <w:rFonts w:cs="FrankRuehl" w:hint="cs"/>
                <w:sz w:val="28"/>
                <w:szCs w:val="28"/>
                <w:rtl/>
              </w:rPr>
              <w:t xml:space="preserve"> </w:t>
            </w:r>
            <w:r w:rsidRPr="005E5813">
              <w:rPr>
                <w:rFonts w:cs="FrankRuehl"/>
                <w:sz w:val="28"/>
                <w:szCs w:val="28"/>
                <w:rtl/>
              </w:rPr>
              <w:t>מדינת ישראל נ' זפל</w:t>
            </w:r>
          </w:p>
          <w:p w14:paraId="1C40C15B" w14:textId="77777777" w:rsidR="00000ACA" w:rsidRPr="005E5813" w:rsidRDefault="00000ACA" w:rsidP="00423C53">
            <w:pPr>
              <w:pStyle w:val="a3"/>
              <w:rPr>
                <w:rFonts w:cs="FrankRuehl"/>
                <w:sz w:val="28"/>
                <w:szCs w:val="28"/>
                <w:rtl/>
              </w:rPr>
            </w:pPr>
          </w:p>
        </w:tc>
        <w:tc>
          <w:tcPr>
            <w:tcW w:w="3667" w:type="dxa"/>
          </w:tcPr>
          <w:p w14:paraId="7B468C08" w14:textId="77777777" w:rsidR="00000ACA" w:rsidRPr="005E5813" w:rsidRDefault="00000ACA" w:rsidP="00423C53">
            <w:pPr>
              <w:pStyle w:val="a3"/>
              <w:jc w:val="right"/>
              <w:rPr>
                <w:rFonts w:cs="FrankRuehl"/>
                <w:sz w:val="28"/>
                <w:szCs w:val="28"/>
                <w:rtl/>
              </w:rPr>
            </w:pPr>
          </w:p>
        </w:tc>
      </w:tr>
    </w:tbl>
    <w:p w14:paraId="5F99AAC3" w14:textId="77777777" w:rsidR="00000ACA" w:rsidRPr="005E5813" w:rsidRDefault="00000ACA" w:rsidP="00000ACA">
      <w:pPr>
        <w:pStyle w:val="a3"/>
        <w:rPr>
          <w:rtl/>
        </w:rPr>
      </w:pPr>
      <w:r w:rsidRPr="005E5813">
        <w:rPr>
          <w:rFonts w:hint="cs"/>
          <w:rtl/>
        </w:rPr>
        <w:t xml:space="preserve"> </w:t>
      </w:r>
    </w:p>
    <w:p w14:paraId="2538D774" w14:textId="77777777" w:rsidR="00000ACA" w:rsidRPr="005E5813" w:rsidRDefault="00000ACA" w:rsidP="00000ACA">
      <w:pPr>
        <w:spacing w:line="360" w:lineRule="auto"/>
        <w:rPr>
          <w:rtl/>
        </w:rPr>
      </w:pPr>
    </w:p>
    <w:p w14:paraId="10AE441A" w14:textId="77777777" w:rsidR="00000ACA" w:rsidRPr="005E5813" w:rsidRDefault="00000ACA" w:rsidP="00000ACA">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00ACA" w:rsidRPr="005E5813" w14:paraId="6B92F2F3" w14:textId="77777777" w:rsidTr="00000ACA">
        <w:trPr>
          <w:trHeight w:val="295"/>
          <w:jc w:val="center"/>
        </w:trPr>
        <w:tc>
          <w:tcPr>
            <w:tcW w:w="923" w:type="dxa"/>
            <w:tcBorders>
              <w:top w:val="nil"/>
              <w:left w:val="nil"/>
              <w:bottom w:val="nil"/>
              <w:right w:val="nil"/>
            </w:tcBorders>
            <w:shd w:val="clear" w:color="auto" w:fill="auto"/>
          </w:tcPr>
          <w:p w14:paraId="08774D73" w14:textId="77777777" w:rsidR="00000ACA" w:rsidRPr="005E5813" w:rsidRDefault="00000ACA" w:rsidP="00000ACA">
            <w:pPr>
              <w:spacing w:line="360" w:lineRule="auto"/>
              <w:jc w:val="both"/>
              <w:rPr>
                <w:rFonts w:ascii="David" w:hAnsi="David"/>
              </w:rPr>
            </w:pPr>
            <w:r w:rsidRPr="005E5813">
              <w:rPr>
                <w:rFonts w:ascii="David" w:hAnsi="David"/>
                <w:rtl/>
              </w:rPr>
              <w:t xml:space="preserve">בפני </w:t>
            </w:r>
          </w:p>
        </w:tc>
        <w:tc>
          <w:tcPr>
            <w:tcW w:w="7897" w:type="dxa"/>
            <w:gridSpan w:val="2"/>
            <w:tcBorders>
              <w:top w:val="nil"/>
              <w:left w:val="nil"/>
              <w:bottom w:val="nil"/>
              <w:right w:val="nil"/>
            </w:tcBorders>
            <w:shd w:val="clear" w:color="auto" w:fill="auto"/>
          </w:tcPr>
          <w:p w14:paraId="63E2EA80" w14:textId="77777777" w:rsidR="00000ACA" w:rsidRPr="005E5813" w:rsidRDefault="00000ACA" w:rsidP="00000ACA">
            <w:pPr>
              <w:spacing w:line="360" w:lineRule="auto"/>
              <w:rPr>
                <w:rFonts w:ascii="David" w:hAnsi="David"/>
                <w:b/>
                <w:bCs/>
                <w:rtl/>
              </w:rPr>
            </w:pPr>
            <w:r w:rsidRPr="005E5813">
              <w:rPr>
                <w:rFonts w:ascii="David" w:hAnsi="David"/>
                <w:b/>
                <w:bCs/>
                <w:rtl/>
              </w:rPr>
              <w:t>כבוד השופט  ארנון איתן</w:t>
            </w:r>
          </w:p>
          <w:p w14:paraId="134B1369" w14:textId="77777777" w:rsidR="00000ACA" w:rsidRPr="005E5813" w:rsidRDefault="00000ACA" w:rsidP="00000ACA">
            <w:pPr>
              <w:spacing w:line="360" w:lineRule="auto"/>
              <w:rPr>
                <w:rFonts w:ascii="David" w:hAnsi="David"/>
                <w:rtl/>
              </w:rPr>
            </w:pPr>
          </w:p>
          <w:p w14:paraId="42344DA1" w14:textId="77777777" w:rsidR="00000ACA" w:rsidRPr="005E5813" w:rsidRDefault="00000ACA" w:rsidP="00000ACA">
            <w:pPr>
              <w:spacing w:line="360" w:lineRule="auto"/>
              <w:jc w:val="both"/>
              <w:rPr>
                <w:rFonts w:ascii="David" w:hAnsi="David"/>
              </w:rPr>
            </w:pPr>
          </w:p>
        </w:tc>
      </w:tr>
      <w:tr w:rsidR="00000ACA" w:rsidRPr="005E5813" w14:paraId="1DC45555" w14:textId="77777777" w:rsidTr="00000ACA">
        <w:trPr>
          <w:trHeight w:val="355"/>
          <w:jc w:val="center"/>
        </w:trPr>
        <w:tc>
          <w:tcPr>
            <w:tcW w:w="923" w:type="dxa"/>
            <w:tcBorders>
              <w:top w:val="nil"/>
              <w:left w:val="nil"/>
              <w:bottom w:val="nil"/>
              <w:right w:val="nil"/>
            </w:tcBorders>
            <w:shd w:val="clear" w:color="auto" w:fill="auto"/>
          </w:tcPr>
          <w:p w14:paraId="7F7F4FD5" w14:textId="77777777" w:rsidR="00000ACA" w:rsidRPr="005E5813" w:rsidRDefault="00000ACA" w:rsidP="00000ACA">
            <w:pPr>
              <w:spacing w:line="360" w:lineRule="auto"/>
              <w:jc w:val="both"/>
              <w:rPr>
                <w:rFonts w:ascii="David" w:hAnsi="David"/>
              </w:rPr>
            </w:pPr>
            <w:bookmarkStart w:id="1" w:name="FirstAppellant"/>
            <w:r w:rsidRPr="005E5813">
              <w:rPr>
                <w:rFonts w:ascii="David" w:hAnsi="David"/>
                <w:rtl/>
              </w:rPr>
              <w:t>בעניין:</w:t>
            </w:r>
          </w:p>
        </w:tc>
        <w:tc>
          <w:tcPr>
            <w:tcW w:w="3219" w:type="dxa"/>
            <w:tcBorders>
              <w:top w:val="nil"/>
              <w:left w:val="nil"/>
              <w:bottom w:val="nil"/>
              <w:right w:val="nil"/>
            </w:tcBorders>
            <w:shd w:val="clear" w:color="auto" w:fill="auto"/>
          </w:tcPr>
          <w:p w14:paraId="52268C73" w14:textId="77777777" w:rsidR="00000ACA" w:rsidRPr="005E5813" w:rsidRDefault="00000ACA" w:rsidP="00000ACA">
            <w:pPr>
              <w:suppressLineNumbers/>
              <w:spacing w:line="360" w:lineRule="auto"/>
            </w:pPr>
            <w:r w:rsidRPr="005E5813">
              <w:rPr>
                <w:rFonts w:ascii="Arial" w:hAnsi="Arial" w:hint="cs"/>
                <w:b/>
                <w:bCs/>
                <w:rtl/>
              </w:rPr>
              <w:t>ה</w:t>
            </w:r>
            <w:r w:rsidRPr="005E5813">
              <w:rPr>
                <w:rFonts w:ascii="Arial" w:hAnsi="Arial"/>
                <w:b/>
                <w:bCs/>
                <w:rtl/>
              </w:rPr>
              <w:t>מאשימה</w:t>
            </w:r>
          </w:p>
          <w:p w14:paraId="2BE6EB2D" w14:textId="77777777" w:rsidR="00000ACA" w:rsidRPr="005E5813" w:rsidRDefault="00000ACA" w:rsidP="00000ACA">
            <w:pPr>
              <w:spacing w:line="360" w:lineRule="auto"/>
              <w:rPr>
                <w:rFonts w:ascii="David" w:hAnsi="David"/>
              </w:rPr>
            </w:pPr>
          </w:p>
        </w:tc>
        <w:tc>
          <w:tcPr>
            <w:tcW w:w="4678" w:type="dxa"/>
            <w:tcBorders>
              <w:top w:val="nil"/>
              <w:left w:val="nil"/>
              <w:bottom w:val="nil"/>
              <w:right w:val="nil"/>
            </w:tcBorders>
            <w:shd w:val="clear" w:color="auto" w:fill="auto"/>
            <w:vAlign w:val="center"/>
          </w:tcPr>
          <w:p w14:paraId="54D8D731" w14:textId="77777777" w:rsidR="00000ACA" w:rsidRPr="005E5813" w:rsidRDefault="00000ACA" w:rsidP="00000ACA">
            <w:pPr>
              <w:suppressLineNumbers/>
              <w:spacing w:line="360" w:lineRule="auto"/>
              <w:rPr>
                <w:rFonts w:ascii="David" w:hAnsi="David"/>
              </w:rPr>
            </w:pPr>
            <w:r w:rsidRPr="005E5813">
              <w:rPr>
                <w:rFonts w:ascii="Arial" w:hAnsi="Arial"/>
                <w:b/>
                <w:bCs/>
                <w:rtl/>
              </w:rPr>
              <w:t>מדינת ישראל</w:t>
            </w:r>
            <w:r w:rsidRPr="005E5813">
              <w:rPr>
                <w:rFonts w:ascii="Arial" w:hAnsi="Arial" w:hint="cs"/>
                <w:b/>
                <w:bCs/>
                <w:rtl/>
              </w:rPr>
              <w:t xml:space="preserve"> </w:t>
            </w:r>
          </w:p>
        </w:tc>
      </w:tr>
      <w:bookmarkEnd w:id="1"/>
      <w:tr w:rsidR="00000ACA" w:rsidRPr="005E5813" w14:paraId="1E2DA9FB" w14:textId="77777777" w:rsidTr="00000ACA">
        <w:trPr>
          <w:trHeight w:val="355"/>
          <w:jc w:val="center"/>
        </w:trPr>
        <w:tc>
          <w:tcPr>
            <w:tcW w:w="923" w:type="dxa"/>
            <w:tcBorders>
              <w:top w:val="nil"/>
              <w:left w:val="nil"/>
              <w:bottom w:val="nil"/>
              <w:right w:val="nil"/>
            </w:tcBorders>
            <w:shd w:val="clear" w:color="auto" w:fill="auto"/>
          </w:tcPr>
          <w:p w14:paraId="100A7240" w14:textId="77777777" w:rsidR="00000ACA" w:rsidRPr="005E5813" w:rsidRDefault="00000ACA" w:rsidP="00000ACA">
            <w:pPr>
              <w:spacing w:line="360" w:lineRule="auto"/>
              <w:jc w:val="both"/>
              <w:rPr>
                <w:rFonts w:ascii="David" w:hAnsi="David"/>
                <w:rtl/>
              </w:rPr>
            </w:pPr>
          </w:p>
        </w:tc>
        <w:tc>
          <w:tcPr>
            <w:tcW w:w="7897" w:type="dxa"/>
            <w:gridSpan w:val="2"/>
            <w:tcBorders>
              <w:top w:val="nil"/>
              <w:left w:val="nil"/>
              <w:bottom w:val="nil"/>
              <w:right w:val="nil"/>
            </w:tcBorders>
            <w:shd w:val="clear" w:color="auto" w:fill="auto"/>
          </w:tcPr>
          <w:p w14:paraId="7BCDC8F4" w14:textId="77777777" w:rsidR="00000ACA" w:rsidRPr="005E5813" w:rsidRDefault="00000ACA" w:rsidP="00000ACA">
            <w:pPr>
              <w:spacing w:line="360" w:lineRule="auto"/>
              <w:jc w:val="center"/>
              <w:rPr>
                <w:rFonts w:ascii="David" w:hAnsi="David"/>
                <w:b/>
                <w:bCs/>
                <w:rtl/>
              </w:rPr>
            </w:pPr>
          </w:p>
          <w:p w14:paraId="20A33254" w14:textId="77777777" w:rsidR="00000ACA" w:rsidRPr="005E5813" w:rsidRDefault="00000ACA" w:rsidP="00000ACA">
            <w:pPr>
              <w:spacing w:line="360" w:lineRule="auto"/>
              <w:rPr>
                <w:rFonts w:ascii="David" w:hAnsi="David"/>
                <w:b/>
                <w:bCs/>
                <w:rtl/>
              </w:rPr>
            </w:pPr>
            <w:r w:rsidRPr="005E5813">
              <w:rPr>
                <w:rFonts w:ascii="David" w:hAnsi="David" w:hint="cs"/>
                <w:b/>
                <w:bCs/>
                <w:rtl/>
              </w:rPr>
              <w:t xml:space="preserve">                                                                    </w:t>
            </w:r>
            <w:r w:rsidRPr="005E5813">
              <w:rPr>
                <w:rFonts w:ascii="David" w:hAnsi="David"/>
                <w:b/>
                <w:bCs/>
                <w:rtl/>
              </w:rPr>
              <w:t>נגד</w:t>
            </w:r>
          </w:p>
          <w:p w14:paraId="2FCE7365" w14:textId="77777777" w:rsidR="00000ACA" w:rsidRPr="005E5813" w:rsidRDefault="00000ACA" w:rsidP="00000ACA">
            <w:pPr>
              <w:spacing w:line="360" w:lineRule="auto"/>
              <w:jc w:val="both"/>
              <w:rPr>
                <w:rFonts w:ascii="David" w:hAnsi="David"/>
              </w:rPr>
            </w:pPr>
          </w:p>
        </w:tc>
      </w:tr>
      <w:tr w:rsidR="00000ACA" w:rsidRPr="005E5813" w14:paraId="678D9AAF" w14:textId="77777777" w:rsidTr="00000ACA">
        <w:trPr>
          <w:trHeight w:val="355"/>
          <w:jc w:val="center"/>
        </w:trPr>
        <w:tc>
          <w:tcPr>
            <w:tcW w:w="923" w:type="dxa"/>
            <w:tcBorders>
              <w:top w:val="nil"/>
              <w:left w:val="nil"/>
              <w:bottom w:val="nil"/>
              <w:right w:val="nil"/>
            </w:tcBorders>
            <w:shd w:val="clear" w:color="auto" w:fill="auto"/>
          </w:tcPr>
          <w:p w14:paraId="58DED62D" w14:textId="77777777" w:rsidR="00000ACA" w:rsidRPr="005E5813" w:rsidRDefault="00000ACA" w:rsidP="00000ACA">
            <w:pPr>
              <w:spacing w:line="360" w:lineRule="auto"/>
              <w:rPr>
                <w:rFonts w:ascii="David" w:hAnsi="David"/>
                <w:rtl/>
              </w:rPr>
            </w:pPr>
          </w:p>
        </w:tc>
        <w:tc>
          <w:tcPr>
            <w:tcW w:w="3219" w:type="dxa"/>
            <w:tcBorders>
              <w:top w:val="nil"/>
              <w:left w:val="nil"/>
              <w:bottom w:val="nil"/>
              <w:right w:val="nil"/>
            </w:tcBorders>
            <w:shd w:val="clear" w:color="auto" w:fill="auto"/>
          </w:tcPr>
          <w:p w14:paraId="77CB6DF0" w14:textId="77777777" w:rsidR="00000ACA" w:rsidRPr="005E5813" w:rsidRDefault="00000ACA" w:rsidP="00000ACA">
            <w:pPr>
              <w:spacing w:line="360" w:lineRule="auto"/>
              <w:rPr>
                <w:rFonts w:ascii="Arial" w:hAnsi="Arial"/>
                <w:b/>
                <w:bCs/>
                <w:rtl/>
              </w:rPr>
            </w:pPr>
            <w:r w:rsidRPr="005E5813">
              <w:rPr>
                <w:rFonts w:ascii="Arial" w:hAnsi="Arial"/>
                <w:b/>
                <w:bCs/>
                <w:rtl/>
              </w:rPr>
              <w:t>הנאשם</w:t>
            </w:r>
          </w:p>
        </w:tc>
        <w:tc>
          <w:tcPr>
            <w:tcW w:w="4678" w:type="dxa"/>
            <w:tcBorders>
              <w:top w:val="nil"/>
              <w:left w:val="nil"/>
              <w:bottom w:val="nil"/>
              <w:right w:val="nil"/>
            </w:tcBorders>
            <w:shd w:val="clear" w:color="auto" w:fill="auto"/>
            <w:vAlign w:val="center"/>
          </w:tcPr>
          <w:p w14:paraId="5245781D" w14:textId="77777777" w:rsidR="00000ACA" w:rsidRPr="005E5813" w:rsidRDefault="00000ACA" w:rsidP="00000ACA">
            <w:pPr>
              <w:suppressLineNumbers/>
              <w:spacing w:line="360" w:lineRule="auto"/>
            </w:pPr>
            <w:r w:rsidRPr="005E5813">
              <w:rPr>
                <w:rFonts w:ascii="Arial" w:hAnsi="Arial"/>
                <w:b/>
                <w:bCs/>
                <w:rtl/>
              </w:rPr>
              <w:t>שלום ישי זפל</w:t>
            </w:r>
            <w:r w:rsidRPr="005E5813">
              <w:rPr>
                <w:rFonts w:ascii="Arial" w:hAnsi="Arial" w:hint="cs"/>
                <w:b/>
                <w:bCs/>
                <w:rtl/>
              </w:rPr>
              <w:t xml:space="preserve"> </w:t>
            </w:r>
          </w:p>
          <w:p w14:paraId="4E1DC7FA" w14:textId="77777777" w:rsidR="00000ACA" w:rsidRPr="005E5813" w:rsidRDefault="00000ACA" w:rsidP="00000ACA">
            <w:pPr>
              <w:spacing w:line="360" w:lineRule="auto"/>
              <w:rPr>
                <w:rFonts w:ascii="David" w:hAnsi="David"/>
              </w:rPr>
            </w:pPr>
          </w:p>
        </w:tc>
      </w:tr>
      <w:tr w:rsidR="00000ACA" w:rsidRPr="005E5813" w14:paraId="700672DF" w14:textId="77777777" w:rsidTr="00000ACA">
        <w:trPr>
          <w:trHeight w:val="355"/>
          <w:jc w:val="center"/>
        </w:trPr>
        <w:tc>
          <w:tcPr>
            <w:tcW w:w="923" w:type="dxa"/>
            <w:tcBorders>
              <w:top w:val="nil"/>
              <w:left w:val="nil"/>
              <w:bottom w:val="nil"/>
              <w:right w:val="nil"/>
            </w:tcBorders>
            <w:shd w:val="clear" w:color="auto" w:fill="auto"/>
          </w:tcPr>
          <w:p w14:paraId="3E7415BF" w14:textId="77777777" w:rsidR="00000ACA" w:rsidRPr="005E5813" w:rsidRDefault="00000ACA" w:rsidP="00000ACA">
            <w:pPr>
              <w:spacing w:line="360" w:lineRule="auto"/>
              <w:jc w:val="both"/>
              <w:rPr>
                <w:rFonts w:ascii="David" w:hAnsi="David"/>
                <w:rtl/>
              </w:rPr>
            </w:pPr>
          </w:p>
        </w:tc>
        <w:tc>
          <w:tcPr>
            <w:tcW w:w="3219" w:type="dxa"/>
            <w:tcBorders>
              <w:top w:val="nil"/>
              <w:left w:val="nil"/>
              <w:bottom w:val="nil"/>
              <w:right w:val="nil"/>
            </w:tcBorders>
            <w:shd w:val="clear" w:color="auto" w:fill="auto"/>
          </w:tcPr>
          <w:p w14:paraId="067328FE" w14:textId="77777777" w:rsidR="00000ACA" w:rsidRPr="005E5813" w:rsidRDefault="00000ACA" w:rsidP="00000ACA">
            <w:pPr>
              <w:spacing w:line="360" w:lineRule="auto"/>
              <w:jc w:val="both"/>
              <w:rPr>
                <w:rFonts w:ascii="David" w:hAnsi="David"/>
                <w:rtl/>
              </w:rPr>
            </w:pPr>
          </w:p>
        </w:tc>
        <w:tc>
          <w:tcPr>
            <w:tcW w:w="4678" w:type="dxa"/>
            <w:tcBorders>
              <w:top w:val="nil"/>
              <w:left w:val="nil"/>
              <w:bottom w:val="nil"/>
              <w:right w:val="nil"/>
            </w:tcBorders>
            <w:shd w:val="clear" w:color="auto" w:fill="auto"/>
          </w:tcPr>
          <w:p w14:paraId="0AF83B45" w14:textId="77777777" w:rsidR="00000ACA" w:rsidRPr="005E5813" w:rsidRDefault="00000ACA" w:rsidP="00000ACA">
            <w:pPr>
              <w:spacing w:line="360" w:lineRule="auto"/>
              <w:jc w:val="right"/>
              <w:rPr>
                <w:rFonts w:ascii="David" w:hAnsi="David"/>
              </w:rPr>
            </w:pPr>
          </w:p>
        </w:tc>
      </w:tr>
    </w:tbl>
    <w:p w14:paraId="4271C6AE" w14:textId="77777777" w:rsidR="00861CDB" w:rsidRPr="00861CDB" w:rsidRDefault="00861CDB" w:rsidP="00861CDB">
      <w:pPr>
        <w:spacing w:before="120" w:after="120" w:line="240" w:lineRule="exact"/>
        <w:ind w:left="283" w:hanging="283"/>
        <w:jc w:val="both"/>
        <w:rPr>
          <w:rFonts w:ascii="FrankRuehl" w:hAnsi="FrankRuehl" w:cs="FrankRuehl"/>
          <w:rtl/>
        </w:rPr>
      </w:pPr>
    </w:p>
    <w:p w14:paraId="21DFC9D2" w14:textId="77777777" w:rsidR="003107C9" w:rsidRDefault="003107C9" w:rsidP="003107C9">
      <w:pPr>
        <w:spacing w:line="360" w:lineRule="auto"/>
        <w:rPr>
          <w:rtl/>
        </w:rPr>
      </w:pPr>
      <w:bookmarkStart w:id="2" w:name="LawTable"/>
      <w:bookmarkEnd w:id="2"/>
    </w:p>
    <w:p w14:paraId="214E3124" w14:textId="77777777" w:rsidR="003107C9" w:rsidRPr="003107C9" w:rsidRDefault="003107C9" w:rsidP="003107C9">
      <w:pPr>
        <w:spacing w:before="120" w:after="120" w:line="240" w:lineRule="exact"/>
        <w:ind w:left="283" w:hanging="283"/>
        <w:jc w:val="both"/>
        <w:rPr>
          <w:rFonts w:ascii="FrankRuehl" w:hAnsi="FrankRuehl" w:cs="FrankRuehl"/>
          <w:rtl/>
        </w:rPr>
      </w:pPr>
    </w:p>
    <w:p w14:paraId="4FC0003A" w14:textId="77777777" w:rsidR="003107C9" w:rsidRPr="003107C9" w:rsidRDefault="003107C9" w:rsidP="003107C9">
      <w:pPr>
        <w:spacing w:before="120" w:after="120" w:line="240" w:lineRule="exact"/>
        <w:ind w:left="283" w:hanging="283"/>
        <w:jc w:val="both"/>
        <w:rPr>
          <w:rFonts w:ascii="FrankRuehl" w:hAnsi="FrankRuehl" w:cs="FrankRuehl"/>
          <w:rtl/>
        </w:rPr>
      </w:pPr>
    </w:p>
    <w:p w14:paraId="13D59C39" w14:textId="77777777" w:rsidR="003107C9" w:rsidRPr="003107C9" w:rsidRDefault="003107C9" w:rsidP="003107C9">
      <w:pPr>
        <w:spacing w:before="120" w:after="120" w:line="240" w:lineRule="exact"/>
        <w:ind w:left="283" w:hanging="283"/>
        <w:jc w:val="both"/>
        <w:rPr>
          <w:rFonts w:ascii="FrankRuehl" w:hAnsi="FrankRuehl" w:cs="FrankRuehl"/>
          <w:rtl/>
        </w:rPr>
      </w:pPr>
      <w:r w:rsidRPr="003107C9">
        <w:rPr>
          <w:rFonts w:ascii="FrankRuehl" w:hAnsi="FrankRuehl" w:cs="FrankRuehl"/>
          <w:rtl/>
        </w:rPr>
        <w:t xml:space="preserve">חקיקה שאוזכרה: </w:t>
      </w:r>
    </w:p>
    <w:p w14:paraId="04D6E072" w14:textId="77777777" w:rsidR="003107C9" w:rsidRPr="003107C9" w:rsidRDefault="003107C9" w:rsidP="003107C9">
      <w:pPr>
        <w:spacing w:before="120" w:after="120" w:line="240" w:lineRule="exact"/>
        <w:ind w:left="283" w:hanging="283"/>
        <w:jc w:val="both"/>
        <w:rPr>
          <w:rFonts w:ascii="FrankRuehl" w:hAnsi="FrankRuehl" w:cs="FrankRuehl"/>
          <w:rtl/>
        </w:rPr>
      </w:pPr>
      <w:hyperlink r:id="rId7" w:history="1">
        <w:r w:rsidRPr="003107C9">
          <w:rPr>
            <w:rFonts w:ascii="FrankRuehl" w:hAnsi="FrankRuehl" w:cs="FrankRuehl"/>
            <w:color w:val="0000FF"/>
            <w:rtl/>
          </w:rPr>
          <w:t>פקודת הסמים המסוכנים [נוסח חדש], תשל"ג-1973</w:t>
        </w:r>
      </w:hyperlink>
      <w:r w:rsidRPr="003107C9">
        <w:rPr>
          <w:rFonts w:ascii="FrankRuehl" w:hAnsi="FrankRuehl" w:cs="FrankRuehl"/>
          <w:rtl/>
        </w:rPr>
        <w:t xml:space="preserve">: סע'  </w:t>
      </w:r>
      <w:hyperlink r:id="rId8" w:history="1">
        <w:r w:rsidRPr="003107C9">
          <w:rPr>
            <w:rFonts w:ascii="FrankRuehl" w:hAnsi="FrankRuehl" w:cs="FrankRuehl"/>
            <w:color w:val="0000FF"/>
            <w:rtl/>
          </w:rPr>
          <w:t>7(א)</w:t>
        </w:r>
      </w:hyperlink>
      <w:r w:rsidRPr="003107C9">
        <w:rPr>
          <w:rFonts w:ascii="FrankRuehl" w:hAnsi="FrankRuehl" w:cs="FrankRuehl"/>
          <w:rtl/>
        </w:rPr>
        <w:t xml:space="preserve">, </w:t>
      </w:r>
      <w:hyperlink r:id="rId9" w:history="1">
        <w:r w:rsidRPr="003107C9">
          <w:rPr>
            <w:rFonts w:ascii="FrankRuehl" w:hAnsi="FrankRuehl" w:cs="FrankRuehl"/>
            <w:color w:val="0000FF"/>
            <w:rtl/>
          </w:rPr>
          <w:t>7(ג)</w:t>
        </w:r>
      </w:hyperlink>
    </w:p>
    <w:p w14:paraId="426D2F8F" w14:textId="77777777" w:rsidR="003107C9" w:rsidRPr="003107C9" w:rsidRDefault="003107C9" w:rsidP="003107C9">
      <w:pPr>
        <w:spacing w:line="360" w:lineRule="auto"/>
        <w:rPr>
          <w:rtl/>
        </w:rPr>
      </w:pPr>
      <w:bookmarkStart w:id="3" w:name="LawTable_End"/>
      <w:bookmarkEnd w:id="3"/>
    </w:p>
    <w:p w14:paraId="71C658FD" w14:textId="77777777" w:rsidR="00000ACA" w:rsidRPr="00861CDB" w:rsidRDefault="00000ACA" w:rsidP="00861CDB">
      <w:pPr>
        <w:spacing w:line="360" w:lineRule="auto"/>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00ACA" w:rsidRPr="005B34CA" w14:paraId="03570C6D" w14:textId="77777777" w:rsidTr="00000ACA">
        <w:trPr>
          <w:trHeight w:val="355"/>
          <w:jc w:val="center"/>
        </w:trPr>
        <w:tc>
          <w:tcPr>
            <w:tcW w:w="8820" w:type="dxa"/>
            <w:tcBorders>
              <w:top w:val="nil"/>
              <w:left w:val="nil"/>
              <w:bottom w:val="nil"/>
              <w:right w:val="nil"/>
            </w:tcBorders>
            <w:shd w:val="clear" w:color="auto" w:fill="auto"/>
          </w:tcPr>
          <w:p w14:paraId="6150CC28" w14:textId="77777777" w:rsidR="005E5813" w:rsidRPr="005E5813" w:rsidRDefault="005E5813" w:rsidP="005E5813">
            <w:pPr>
              <w:spacing w:line="360" w:lineRule="auto"/>
              <w:jc w:val="center"/>
              <w:rPr>
                <w:rFonts w:ascii="David" w:hAnsi="David"/>
                <w:b/>
                <w:bCs/>
                <w:u w:val="single"/>
                <w:rtl/>
              </w:rPr>
            </w:pPr>
            <w:bookmarkStart w:id="4" w:name="PsakDin" w:colFirst="0" w:colLast="0"/>
            <w:bookmarkEnd w:id="0"/>
            <w:r w:rsidRPr="005E5813">
              <w:rPr>
                <w:rFonts w:ascii="David" w:hAnsi="David"/>
                <w:b/>
                <w:bCs/>
                <w:u w:val="single"/>
                <w:rtl/>
              </w:rPr>
              <w:t>גזר דין</w:t>
            </w:r>
          </w:p>
          <w:p w14:paraId="73B50A3F" w14:textId="77777777" w:rsidR="00000ACA" w:rsidRPr="005E5813" w:rsidRDefault="00000ACA" w:rsidP="005E5813">
            <w:pPr>
              <w:spacing w:line="360" w:lineRule="auto"/>
              <w:jc w:val="center"/>
              <w:rPr>
                <w:rFonts w:ascii="David" w:hAnsi="David"/>
                <w:b/>
                <w:bCs/>
                <w:u w:val="single"/>
                <w:rtl/>
              </w:rPr>
            </w:pPr>
          </w:p>
        </w:tc>
      </w:tr>
      <w:bookmarkEnd w:id="4"/>
    </w:tbl>
    <w:p w14:paraId="3D8456B0" w14:textId="77777777" w:rsidR="00000ACA" w:rsidRPr="005B34CA" w:rsidRDefault="00000ACA" w:rsidP="00000ACA">
      <w:pPr>
        <w:spacing w:line="360" w:lineRule="auto"/>
        <w:rPr>
          <w:rFonts w:ascii="Arial" w:hAnsi="Arial"/>
          <w:b/>
          <w:bCs/>
          <w:rtl/>
        </w:rPr>
      </w:pPr>
    </w:p>
    <w:p w14:paraId="18FE7468" w14:textId="77777777" w:rsidR="00000ACA" w:rsidRPr="005B34CA" w:rsidRDefault="00000ACA" w:rsidP="00000ACA">
      <w:pPr>
        <w:pStyle w:val="a9"/>
        <w:numPr>
          <w:ilvl w:val="0"/>
          <w:numId w:val="1"/>
        </w:numPr>
        <w:spacing w:line="360" w:lineRule="auto"/>
        <w:jc w:val="both"/>
        <w:rPr>
          <w:rFonts w:ascii="Arial" w:hAnsi="Arial"/>
        </w:rPr>
      </w:pPr>
      <w:r w:rsidRPr="005B34CA">
        <w:rPr>
          <w:rFonts w:ascii="Arial" w:hAnsi="Arial" w:hint="cs"/>
          <w:rtl/>
        </w:rPr>
        <w:t xml:space="preserve">ביום 21.10.2021 הורשע הנאשם במסגרת הסדר טעון בכתב אישם המייחס לו עבירה של החזקת סם, לפי </w:t>
      </w:r>
      <w:hyperlink r:id="rId10" w:history="1">
        <w:r w:rsidR="008E7D43" w:rsidRPr="008E7D43">
          <w:rPr>
            <w:rStyle w:val="Hyperlink"/>
            <w:rFonts w:ascii="Arial" w:hAnsi="Arial" w:hint="eastAsia"/>
            <w:rtl/>
          </w:rPr>
          <w:t>סעיף</w:t>
        </w:r>
        <w:r w:rsidR="008E7D43" w:rsidRPr="008E7D43">
          <w:rPr>
            <w:rStyle w:val="Hyperlink"/>
            <w:rFonts w:ascii="Arial" w:hAnsi="Arial"/>
            <w:rtl/>
          </w:rPr>
          <w:t xml:space="preserve"> 7(א)</w:t>
        </w:r>
      </w:hyperlink>
      <w:r w:rsidRPr="005B34CA">
        <w:rPr>
          <w:rFonts w:ascii="Arial" w:hAnsi="Arial" w:hint="cs"/>
          <w:rtl/>
        </w:rPr>
        <w:t xml:space="preserve"> בצירוף </w:t>
      </w:r>
      <w:hyperlink r:id="rId11" w:history="1">
        <w:r w:rsidR="008E7D43" w:rsidRPr="008E7D43">
          <w:rPr>
            <w:rStyle w:val="Hyperlink"/>
            <w:rFonts w:ascii="Arial" w:hAnsi="Arial"/>
            <w:rtl/>
          </w:rPr>
          <w:t>7(ג)</w:t>
        </w:r>
      </w:hyperlink>
      <w:r w:rsidRPr="005B34CA">
        <w:rPr>
          <w:rFonts w:ascii="Arial" w:hAnsi="Arial" w:hint="cs"/>
          <w:rtl/>
        </w:rPr>
        <w:t xml:space="preserve"> סיפא ל</w:t>
      </w:r>
      <w:hyperlink r:id="rId12" w:history="1">
        <w:r w:rsidR="005E5813" w:rsidRPr="005E5813">
          <w:rPr>
            <w:rFonts w:ascii="Arial" w:hAnsi="Arial"/>
            <w:color w:val="0000FF"/>
            <w:u w:val="single"/>
            <w:rtl/>
          </w:rPr>
          <w:t>פקודת הסמים המסוכנים</w:t>
        </w:r>
      </w:hyperlink>
      <w:r>
        <w:rPr>
          <w:rFonts w:ascii="Arial" w:hAnsi="Arial" w:hint="cs"/>
          <w:rtl/>
        </w:rPr>
        <w:t xml:space="preserve"> (נ"ח) תשל"ג 1973</w:t>
      </w:r>
      <w:r w:rsidRPr="005B34CA">
        <w:rPr>
          <w:rFonts w:ascii="Arial" w:hAnsi="Arial" w:hint="cs"/>
          <w:rtl/>
        </w:rPr>
        <w:t>. סוכם בין הצדדים כי יוטל על הנאשם מאסר על ת</w:t>
      </w:r>
      <w:r>
        <w:rPr>
          <w:rFonts w:ascii="Arial" w:hAnsi="Arial" w:hint="cs"/>
          <w:rtl/>
        </w:rPr>
        <w:t>נ</w:t>
      </w:r>
      <w:r w:rsidRPr="005B34CA">
        <w:rPr>
          <w:rFonts w:ascii="Arial" w:hAnsi="Arial" w:hint="cs"/>
          <w:rtl/>
        </w:rPr>
        <w:t>אי</w:t>
      </w:r>
      <w:r>
        <w:rPr>
          <w:rFonts w:ascii="Arial" w:hAnsi="Arial" w:hint="cs"/>
          <w:rtl/>
        </w:rPr>
        <w:t>,</w:t>
      </w:r>
      <w:r w:rsidRPr="005B34CA">
        <w:rPr>
          <w:rFonts w:ascii="Arial" w:hAnsi="Arial" w:hint="cs"/>
          <w:rtl/>
        </w:rPr>
        <w:t xml:space="preserve"> קנס והתחייבות  לשיקול דעת בית המשפט</w:t>
      </w:r>
      <w:r>
        <w:rPr>
          <w:rFonts w:ascii="Arial" w:hAnsi="Arial" w:hint="cs"/>
          <w:rtl/>
        </w:rPr>
        <w:t>. במסגרת אותו דיון, הוטלו על הנאשם רכיבי ענישה בהתאם להסדר הטעון.</w:t>
      </w:r>
    </w:p>
    <w:p w14:paraId="74C484C8"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t>ביום 24.10.2022 עתרה המאשימה בהסכמת ההגנה, לבטול הכרעת הדין וגזר הדין, נוכח העובדה כי "הסדר הטעון אינו משקף את כלל הנסיבות ולוקה בחסר". במסגרת אותה החלטה קבעתי, כי הבקשה תידון ביום 4.11.2021.</w:t>
      </w:r>
    </w:p>
    <w:p w14:paraId="3226E60B"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lastRenderedPageBreak/>
        <w:t>בהתאם להסכמת הצדדים, מיום 11.11.2021 הוריתי על ביטול גזר הדין, תוך שסוכם כי יוגש תסקיר מבחן בעניינו של הנאשם. המאשימה הודיעה כי תעמוד על הרשעה, ואולם ככל ותוכנו של התסקיר יהיה חיובי ויכלול המלצה להארכת מאסר על תנאי שתלוי ועומד נגד הנאשם, היא תסכים  לכך, ואילו הסנגור יהיה חופשי בטיעוניו לרבות בסוגיית ההרשעה.</w:t>
      </w:r>
    </w:p>
    <w:p w14:paraId="1953F15D"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t>ביום 5.4.2022 הוגש תסקיר מבחן בעניינו של הנאשם. התסקיר סוקר את הרקע בו צמח הנאשם, היותו אב לילד בן 8 שנים, העובד בתחום הגננות. שרות המבחן מוסר התייחסותו אודות אבחונים שעבר הנאשם במסגרת מידע קודם הקיים בשירותם.</w:t>
      </w:r>
    </w:p>
    <w:p w14:paraId="445F4D8F"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t>הנאשם הופנה בגיל 14 להוסטל "חברותא", ובמסגרת תסקיר זה מסר הנאשם את התייחסותו לתקופה בה שהה שם. בהמשך, ובהתאם להחלטה שיפוטית הועבר למעון "גלעם" אך נוכח הידרדרות במצבו הופסק הטיפול, והוא הועבר למשפחה מארחת. בסיום תקופת הפיקוח חזר לבית הוריו.</w:t>
      </w:r>
    </w:p>
    <w:p w14:paraId="172F3973"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t>הנאשם נישא בשנת 2014 ולדבריו הוא משקיע את עיקר זמנו לפרנסת המשפחה וטיפול בילד. בנוסף מוסר שרות המבחן את התייחסות הנאשם באשר להרגלי צריכת סמים. (ראו: עמוד 3 פיסקה 2). הנאשם גם מסר, כי בשל תחושת לחץ ומצוקה רגשית פנה לטיפול פסיכותרפי מיוזמתו.</w:t>
      </w:r>
    </w:p>
    <w:p w14:paraId="09BBA3BB"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t>בתסקיר פירוט אודות מעורבותו הפלילית של הנאשם החל משנת 2012 ואילך, בעבירות סחר בסם, הריגה או היזק לבעל חיים והיזק לרכוש. בשנת 2017 הופנה שוב לשרות המבחן בגין ביצוע עבירות של שימוש בסם לצריכה עצמית.</w:t>
      </w:r>
    </w:p>
    <w:p w14:paraId="7E850430"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t xml:space="preserve">הנאשם נטל בשרות המבחן אחריות על העבירה, ומסר כי הסם הוחזק לשימושו העצמי. הנאשם מסר כי הוא אינו זקוק להתערבות טיפולית בתחום זה. </w:t>
      </w:r>
    </w:p>
    <w:p w14:paraId="4FFE9BAC"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t>שרות המבחן עומד בתסקיר על גורמי הסיכון בהם: מעורבות חוזרת בפלילים, קושי להכיר בבעייתיות מעשיו, ולהימנע משימוש בסם מסוג קנביס, ואולם לדעתם קיימת התמתנות משמעותית בהתנהלות הנאשם לאורך השנים. הנאשם מגלה יציבות תעסוקתית, מבטא רצון לניהול אורח חיים יציב, חיי משפחה, ואף פנה בעבר מיוזמתו לטיפול וציין כי הוא נתרם מכך.</w:t>
      </w:r>
    </w:p>
    <w:p w14:paraId="75A70799"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t>נוכח זאת המלצתם הינה לדחות את הדיון ב-3 חודשים, להעמיק את ההיכרות עמו, ולבחון את מצבו בהקשר לשימוש בסם וצרכיו הטיפוליים. נוכח המלצתם זו, נדחה הדיון בהסכמה למשך 3 חודשים.</w:t>
      </w:r>
    </w:p>
    <w:p w14:paraId="23DB6AED"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t>בתסקיר מיום 12.7.2022 פירט הנאשם אודות התמודדות אשתו עם בעיות רפואיות. הוסף, כי הנאשם הציג אישור לשימוש בקנביס רפואי, ומבדיקת שתן שנערכה לו עולה כי הוא אינו משתמש בסמי רחוב. בנוסף צוין, כי לא נפתחו נגדו תיקים חדשים.</w:t>
      </w:r>
    </w:p>
    <w:p w14:paraId="33A1C0C5"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t>נוכח השינוי שערך בחייו, ועל מנת לחזק את חייו הומלץ להימנע מהרשעה, ולהעמידו בצו מבחן למשך שנה כדי לבחון התמדתו בהליך הטיפולי, זאת לצד התחייבות.</w:t>
      </w:r>
    </w:p>
    <w:p w14:paraId="5F6D01A8" w14:textId="77777777" w:rsidR="00000ACA" w:rsidRDefault="00000ACA" w:rsidP="00000ACA">
      <w:pPr>
        <w:pStyle w:val="a9"/>
        <w:numPr>
          <w:ilvl w:val="0"/>
          <w:numId w:val="1"/>
        </w:numPr>
        <w:spacing w:line="360" w:lineRule="auto"/>
        <w:jc w:val="both"/>
        <w:rPr>
          <w:rFonts w:ascii="Arial" w:hAnsi="Arial"/>
        </w:rPr>
      </w:pPr>
      <w:r w:rsidRPr="00FD6B3C">
        <w:rPr>
          <w:rFonts w:ascii="Arial" w:hAnsi="Arial" w:hint="cs"/>
          <w:rtl/>
        </w:rPr>
        <w:lastRenderedPageBreak/>
        <w:t xml:space="preserve">המאשימה </w:t>
      </w:r>
      <w:r>
        <w:rPr>
          <w:rFonts w:ascii="Arial" w:hAnsi="Arial" w:hint="cs"/>
          <w:rtl/>
        </w:rPr>
        <w:t xml:space="preserve">ביקשה בדיון 14.7.2022 </w:t>
      </w:r>
      <w:r w:rsidRPr="00FD6B3C">
        <w:rPr>
          <w:rFonts w:ascii="Arial" w:hAnsi="Arial" w:hint="cs"/>
          <w:rtl/>
        </w:rPr>
        <w:t xml:space="preserve">לדחות את המלצת שרות המבחן בעניין ההרשעה, ולהאריך את המאסר על תנאי שתלוי ועומד נגד הנאשם, זאת בהתאם לעמדה שהוצגה בעת הצגת הסדר הטעון. לדבריה, מקרה זה אינו עומד בכללים שהתוו בפסיקה לביטול הרשעה, נוכח רישומו הפלילי של הנאשם. בנוסף ציינה, כי ההסכמה הראשונית עם ההגנה הייתה לסיום ההליך במאסר על תנאי, קנס והתחייבות, ואולם נוכח התקלה, עמדתם כעת הינה שלא להפעיל את המאסר על תנאי </w:t>
      </w:r>
      <w:r>
        <w:rPr>
          <w:rFonts w:ascii="Arial" w:hAnsi="Arial" w:hint="cs"/>
          <w:rtl/>
        </w:rPr>
        <w:t xml:space="preserve">(אף שהמאסר על תנאי הוארך פעמיים), </w:t>
      </w:r>
      <w:r w:rsidRPr="00FD6B3C">
        <w:rPr>
          <w:rFonts w:ascii="Arial" w:hAnsi="Arial" w:hint="cs"/>
          <w:rtl/>
        </w:rPr>
        <w:t xml:space="preserve">אלא להורות על הארכתו, וזאת נוכח תוכנו של התסקיר, אף שהוא אינו חיובי לחלוטין. </w:t>
      </w:r>
    </w:p>
    <w:p w14:paraId="73E57DCB"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t xml:space="preserve">ההגנה ביקשה באותו הדיון, לאמץ את עמדת שרות המבחן, נוכח תוכנו של התסקיר והמלצתו, עובדות כתב האישום, והיותו של הנאשם מחזיק כעת ברישיון רפואי לשימוש בסם מסוג קנביס. הסנגור הלין כנגד עמדת המאשימה </w:t>
      </w:r>
      <w:r>
        <w:rPr>
          <w:rFonts w:ascii="Arial" w:hAnsi="Arial"/>
          <w:rtl/>
        </w:rPr>
        <w:t>–</w:t>
      </w:r>
      <w:r>
        <w:rPr>
          <w:rFonts w:ascii="Arial" w:hAnsi="Arial" w:hint="cs"/>
          <w:rtl/>
        </w:rPr>
        <w:t xml:space="preserve"> נוכח החזקת סם במשקל 9.63 גרם מסוג קנביס. על פיו, סיום ההליך מבלי להרשיע את הנאשם, תחזק ותעודד אותו, ודאי בנסיבות בהן הומלץ להעמידו בצו מבחן- צו שלדעת הסנגור מיותר בנסיבות העניין.</w:t>
      </w:r>
    </w:p>
    <w:p w14:paraId="4617C6F0"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t>הנאשם הצטרף בסיום לדברי בא כוחו.</w:t>
      </w:r>
    </w:p>
    <w:p w14:paraId="1937B823" w14:textId="77777777" w:rsidR="00000ACA" w:rsidRPr="00FC56BE" w:rsidRDefault="00000ACA" w:rsidP="00000ACA">
      <w:pPr>
        <w:pStyle w:val="a9"/>
        <w:numPr>
          <w:ilvl w:val="0"/>
          <w:numId w:val="1"/>
        </w:numPr>
        <w:spacing w:line="360" w:lineRule="auto"/>
        <w:jc w:val="both"/>
        <w:rPr>
          <w:rFonts w:ascii="Arial" w:hAnsi="Arial"/>
        </w:rPr>
      </w:pPr>
      <w:r w:rsidRPr="00FC56BE">
        <w:rPr>
          <w:rFonts w:ascii="Arial" w:hAnsi="Arial" w:hint="cs"/>
          <w:rtl/>
        </w:rPr>
        <w:t>במהלך הדיון מיום 28.9.2022 ציינתי בפני הצדדים את המצב המשפטי הקיים בתיק, ולאחר הפסקה הודיעו הצדדים, כי הם עותרים במשותף להארכת המאסר על תנאי, והטלת צו מבחן.</w:t>
      </w:r>
      <w:r>
        <w:rPr>
          <w:rFonts w:ascii="Arial" w:hAnsi="Arial" w:hint="cs"/>
          <w:rtl/>
        </w:rPr>
        <w:t xml:space="preserve"> </w:t>
      </w:r>
      <w:r w:rsidRPr="00FC56BE">
        <w:rPr>
          <w:rFonts w:ascii="Arial" w:hAnsi="Arial" w:hint="cs"/>
          <w:rtl/>
        </w:rPr>
        <w:t xml:space="preserve">הסנגור הוסיף, כי נוכח העובדה, כי הנאשם מחזיק כיום ברישיון לשימוש בסם מסוג קנביס, </w:t>
      </w:r>
      <w:r>
        <w:rPr>
          <w:rFonts w:ascii="Arial" w:hAnsi="Arial" w:hint="cs"/>
          <w:rtl/>
        </w:rPr>
        <w:t>ותפקודו תקין לחלוטין, ה</w:t>
      </w:r>
      <w:r w:rsidRPr="00FC56BE">
        <w:rPr>
          <w:rFonts w:ascii="Arial" w:hAnsi="Arial" w:hint="cs"/>
          <w:rtl/>
        </w:rPr>
        <w:t xml:space="preserve">וא מבקש כי תקופת המבחן תקוצר ככל שניתן. </w:t>
      </w:r>
    </w:p>
    <w:p w14:paraId="099FCD1E"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t>בנסיבות אלו, ונוכח הסכמה זו של הצדדים, ראיתי לגזור על הנאשם את העונשים הבאים:</w:t>
      </w:r>
    </w:p>
    <w:p w14:paraId="528CA66E"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t>הארכת מאסר על תנאי למשך 5 חודשים כפי שנפסק מתיק מספר 4181-02-12 (שלום ירושלים) מיום 4.3.2012 בשנתיים.</w:t>
      </w:r>
    </w:p>
    <w:p w14:paraId="78D99C14" w14:textId="77777777" w:rsidR="00000ACA" w:rsidRDefault="00000ACA" w:rsidP="00000ACA">
      <w:pPr>
        <w:pStyle w:val="a9"/>
        <w:numPr>
          <w:ilvl w:val="0"/>
          <w:numId w:val="1"/>
        </w:numPr>
        <w:spacing w:line="360" w:lineRule="auto"/>
        <w:jc w:val="both"/>
        <w:rPr>
          <w:rFonts w:ascii="Arial" w:hAnsi="Arial"/>
        </w:rPr>
      </w:pPr>
      <w:r>
        <w:rPr>
          <w:rFonts w:ascii="Arial" w:hAnsi="Arial" w:hint="cs"/>
          <w:rtl/>
        </w:rPr>
        <w:t>צו מבחן למשך 6 חודשים. ככל וניתן יהיה לקצר את תקופת מבחן, נוכח התרשמות שרות המבחן מתפקודו של הנאשם כיום, וכן העובדה שהנאשם מחזיק ברישיון, יודיע על כך שרות המבחן לבית המשפט ובהתאם תינתן החלטה.</w:t>
      </w:r>
    </w:p>
    <w:p w14:paraId="4F45AE77" w14:textId="77777777" w:rsidR="00000ACA" w:rsidRDefault="005E5813" w:rsidP="00000ACA">
      <w:pPr>
        <w:pStyle w:val="a9"/>
        <w:numPr>
          <w:ilvl w:val="0"/>
          <w:numId w:val="1"/>
        </w:numPr>
        <w:spacing w:line="360" w:lineRule="auto"/>
        <w:jc w:val="both"/>
        <w:rPr>
          <w:rFonts w:ascii="Arial" w:hAnsi="Arial"/>
        </w:rPr>
      </w:pPr>
      <w:r w:rsidRPr="005E5813">
        <w:rPr>
          <w:rFonts w:ascii="Arial" w:hAnsi="Arial"/>
          <w:color w:val="FFFFFF"/>
          <w:sz w:val="2"/>
          <w:szCs w:val="2"/>
          <w:rtl/>
        </w:rPr>
        <w:t>5129371</w:t>
      </w:r>
      <w:r w:rsidR="00000ACA">
        <w:rPr>
          <w:rFonts w:ascii="Arial" w:hAnsi="Arial" w:hint="cs"/>
          <w:rtl/>
        </w:rPr>
        <w:t>התחייבות על סך 1000 ₪ להימנע מביצוע העבירה וזאת למשך שנה. רשמתי את התחייבות הנאשם בע"פ.</w:t>
      </w:r>
    </w:p>
    <w:p w14:paraId="3F42E72B" w14:textId="77777777" w:rsidR="00000ACA" w:rsidRDefault="005E5813" w:rsidP="00000ACA">
      <w:pPr>
        <w:pStyle w:val="a9"/>
        <w:numPr>
          <w:ilvl w:val="0"/>
          <w:numId w:val="1"/>
        </w:numPr>
        <w:spacing w:line="360" w:lineRule="auto"/>
        <w:jc w:val="both"/>
        <w:rPr>
          <w:rFonts w:ascii="Arial" w:hAnsi="Arial"/>
        </w:rPr>
      </w:pPr>
      <w:r w:rsidRPr="005E5813">
        <w:rPr>
          <w:rFonts w:ascii="Arial" w:hAnsi="Arial"/>
          <w:color w:val="FFFFFF"/>
          <w:sz w:val="2"/>
          <w:szCs w:val="2"/>
          <w:u w:val="single"/>
          <w:rtl/>
        </w:rPr>
        <w:t>54678313</w:t>
      </w:r>
      <w:r w:rsidR="00000ACA" w:rsidRPr="00B764D5">
        <w:rPr>
          <w:rFonts w:ascii="Arial" w:hAnsi="Arial" w:hint="cs"/>
          <w:u w:val="single"/>
          <w:rtl/>
        </w:rPr>
        <w:t>המזכירות תשלח העתק גזר הדין לשרות המבחן</w:t>
      </w:r>
      <w:r w:rsidR="00000ACA">
        <w:rPr>
          <w:rFonts w:ascii="Arial" w:hAnsi="Arial" w:hint="cs"/>
          <w:rtl/>
        </w:rPr>
        <w:t>.</w:t>
      </w:r>
    </w:p>
    <w:p w14:paraId="04AB3198" w14:textId="77777777" w:rsidR="00000ACA" w:rsidRPr="00B764D5" w:rsidRDefault="00000ACA" w:rsidP="00000ACA">
      <w:pPr>
        <w:pStyle w:val="a9"/>
        <w:numPr>
          <w:ilvl w:val="0"/>
          <w:numId w:val="1"/>
        </w:numPr>
        <w:spacing w:line="360" w:lineRule="auto"/>
        <w:jc w:val="both"/>
        <w:rPr>
          <w:rFonts w:ascii="Arial" w:hAnsi="Arial"/>
          <w:b/>
          <w:bCs/>
          <w:rtl/>
        </w:rPr>
      </w:pPr>
      <w:r w:rsidRPr="00B764D5">
        <w:rPr>
          <w:rFonts w:ascii="Arial" w:hAnsi="Arial" w:hint="cs"/>
          <w:b/>
          <w:bCs/>
          <w:rtl/>
        </w:rPr>
        <w:t>זכות ערעור לבית משפט מחוזי בתוך 45 יום.</w:t>
      </w:r>
    </w:p>
    <w:p w14:paraId="369A46F2" w14:textId="77777777" w:rsidR="00000ACA" w:rsidRPr="00B764D5" w:rsidRDefault="00000ACA" w:rsidP="00000ACA">
      <w:pPr>
        <w:spacing w:line="360" w:lineRule="auto"/>
        <w:rPr>
          <w:rFonts w:ascii="Arial" w:hAnsi="Arial"/>
          <w:b/>
          <w:bCs/>
          <w:sz w:val="26"/>
          <w:szCs w:val="26"/>
          <w:u w:val="single"/>
          <w:rtl/>
        </w:rPr>
      </w:pPr>
    </w:p>
    <w:p w14:paraId="57A08AA1" w14:textId="77777777" w:rsidR="00000ACA" w:rsidRPr="000F2247" w:rsidRDefault="005E5813" w:rsidP="005E5813">
      <w:pPr>
        <w:spacing w:line="360" w:lineRule="auto"/>
        <w:jc w:val="center"/>
      </w:pPr>
      <w:bookmarkStart w:id="5" w:name="Nitan"/>
      <w:r>
        <w:rPr>
          <w:rFonts w:ascii="Arial" w:hAnsi="Arial"/>
          <w:b/>
          <w:bCs/>
          <w:sz w:val="26"/>
          <w:szCs w:val="26"/>
          <w:rtl/>
        </w:rPr>
        <w:t xml:space="preserve">ניתן היום,  ג' תשרי תשפ"ג, 28 ספטמבר 2022, במעמד ב"כ המאשימה, הנאשם ובא כוחו. </w:t>
      </w:r>
      <w:bookmarkEnd w:id="5"/>
      <w:r w:rsidR="00000ACA" w:rsidRPr="000F2247">
        <w:rPr>
          <w:rFonts w:ascii="Arial" w:hAnsi="Arial"/>
          <w:b/>
          <w:bCs/>
          <w:sz w:val="26"/>
          <w:szCs w:val="26"/>
          <w:rtl/>
        </w:rPr>
        <w:t xml:space="preserve">   </w:t>
      </w:r>
      <w:r w:rsidR="00000ACA" w:rsidRPr="000F2247">
        <w:rPr>
          <w:rFonts w:ascii="Arial" w:hAnsi="Arial"/>
          <w:b/>
          <w:bCs/>
          <w:sz w:val="26"/>
          <w:szCs w:val="26"/>
          <w:rtl/>
        </w:rPr>
        <w:tab/>
      </w:r>
      <w:r w:rsidR="00000ACA" w:rsidRPr="000F2247">
        <w:rPr>
          <w:rFonts w:ascii="Arial" w:hAnsi="Arial"/>
          <w:b/>
          <w:bCs/>
          <w:sz w:val="26"/>
          <w:szCs w:val="26"/>
          <w:rtl/>
        </w:rPr>
        <w:tab/>
      </w:r>
      <w:r w:rsidR="00000ACA" w:rsidRPr="000F2247">
        <w:rPr>
          <w:rFonts w:ascii="Arial" w:hAnsi="Arial"/>
          <w:b/>
          <w:bCs/>
          <w:sz w:val="26"/>
          <w:szCs w:val="26"/>
          <w:rtl/>
        </w:rPr>
        <w:tab/>
      </w:r>
      <w:r w:rsidR="00000ACA" w:rsidRPr="000F2247">
        <w:rPr>
          <w:rFonts w:ascii="Arial" w:hAnsi="Arial"/>
          <w:b/>
          <w:bCs/>
          <w:sz w:val="26"/>
          <w:szCs w:val="26"/>
          <w:rtl/>
        </w:rPr>
        <w:tab/>
      </w:r>
      <w:r w:rsidR="00000ACA" w:rsidRPr="000F2247">
        <w:rPr>
          <w:rFonts w:ascii="Arial" w:hAnsi="Arial"/>
          <w:b/>
          <w:bCs/>
          <w:sz w:val="26"/>
          <w:szCs w:val="26"/>
          <w:rtl/>
        </w:rPr>
        <w:tab/>
      </w:r>
    </w:p>
    <w:p w14:paraId="44F31EBA" w14:textId="77777777" w:rsidR="00000ACA" w:rsidRPr="000F2247" w:rsidRDefault="00000ACA" w:rsidP="00000ACA">
      <w:pPr>
        <w:spacing w:line="360" w:lineRule="auto"/>
        <w:jc w:val="center"/>
        <w:rPr>
          <w:rFonts w:ascii="Arial" w:hAnsi="Arial"/>
          <w:b/>
          <w:bCs/>
          <w:sz w:val="26"/>
          <w:szCs w:val="26"/>
          <w:rtl/>
        </w:rPr>
      </w:pPr>
    </w:p>
    <w:p w14:paraId="3DEE900D" w14:textId="77777777" w:rsidR="0057376C" w:rsidRPr="005E5813" w:rsidRDefault="0057376C" w:rsidP="005E5813">
      <w:pPr>
        <w:keepNext/>
        <w:rPr>
          <w:rFonts w:ascii="David" w:hAnsi="David"/>
          <w:color w:val="000000"/>
          <w:sz w:val="22"/>
          <w:szCs w:val="22"/>
          <w:rtl/>
        </w:rPr>
      </w:pPr>
    </w:p>
    <w:p w14:paraId="04190B55" w14:textId="77777777" w:rsidR="005E5813" w:rsidRPr="005E5813" w:rsidRDefault="005E5813" w:rsidP="005E5813">
      <w:pPr>
        <w:keepNext/>
        <w:rPr>
          <w:rFonts w:ascii="David" w:hAnsi="David"/>
          <w:color w:val="000000"/>
          <w:sz w:val="22"/>
          <w:szCs w:val="22"/>
          <w:rtl/>
        </w:rPr>
      </w:pPr>
      <w:r w:rsidRPr="005E5813">
        <w:rPr>
          <w:rFonts w:ascii="David" w:hAnsi="David"/>
          <w:color w:val="000000"/>
          <w:sz w:val="22"/>
          <w:szCs w:val="22"/>
          <w:rtl/>
        </w:rPr>
        <w:t>ארנון איתן 54678313</w:t>
      </w:r>
    </w:p>
    <w:p w14:paraId="4FD46FBB" w14:textId="77777777" w:rsidR="005E5813" w:rsidRDefault="005E5813" w:rsidP="005E5813">
      <w:r w:rsidRPr="005E5813">
        <w:rPr>
          <w:color w:val="000000"/>
          <w:rtl/>
        </w:rPr>
        <w:t>נוסח מסמך זה כפוף לשינויי ניסוח ועריכה</w:t>
      </w:r>
    </w:p>
    <w:p w14:paraId="23CF2716" w14:textId="77777777" w:rsidR="005E5813" w:rsidRDefault="005E5813" w:rsidP="005E5813">
      <w:pPr>
        <w:rPr>
          <w:rtl/>
        </w:rPr>
      </w:pPr>
    </w:p>
    <w:p w14:paraId="5D1B3BC6" w14:textId="77777777" w:rsidR="005E5813" w:rsidRDefault="005E5813" w:rsidP="005E5813">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78D11163" w14:textId="77777777" w:rsidR="005E5813" w:rsidRPr="005E5813" w:rsidRDefault="005E5813" w:rsidP="005E5813">
      <w:pPr>
        <w:jc w:val="center"/>
        <w:rPr>
          <w:color w:val="0000FF"/>
          <w:u w:val="single"/>
        </w:rPr>
      </w:pPr>
    </w:p>
    <w:sectPr w:rsidR="005E5813" w:rsidRPr="005E5813" w:rsidSect="005E5813">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78E44" w14:textId="77777777" w:rsidR="007F44F0" w:rsidRDefault="007F44F0" w:rsidP="00760523">
      <w:r>
        <w:separator/>
      </w:r>
    </w:p>
  </w:endnote>
  <w:endnote w:type="continuationSeparator" w:id="0">
    <w:p w14:paraId="135881D5" w14:textId="77777777" w:rsidR="007F44F0" w:rsidRDefault="007F44F0" w:rsidP="00760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A0D34" w14:textId="77777777" w:rsidR="005E5813" w:rsidRDefault="005E5813" w:rsidP="005E581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6E94107" w14:textId="77777777" w:rsidR="00423C53" w:rsidRPr="005E5813" w:rsidRDefault="005E5813" w:rsidP="005E581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EC7A7" w14:textId="77777777" w:rsidR="005E5813" w:rsidRDefault="005E5813" w:rsidP="005E581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F4AC8">
      <w:rPr>
        <w:rFonts w:ascii="FrankRuehl" w:hAnsi="FrankRuehl" w:cs="FrankRuehl"/>
        <w:noProof/>
        <w:rtl/>
      </w:rPr>
      <w:t>1</w:t>
    </w:r>
    <w:r>
      <w:rPr>
        <w:rFonts w:ascii="FrankRuehl" w:hAnsi="FrankRuehl" w:cs="FrankRuehl"/>
        <w:rtl/>
      </w:rPr>
      <w:fldChar w:fldCharType="end"/>
    </w:r>
  </w:p>
  <w:p w14:paraId="0FEE0A8B" w14:textId="77777777" w:rsidR="00423C53" w:rsidRPr="005E5813" w:rsidRDefault="005E5813" w:rsidP="005E581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0CDC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A72EC8" w14:textId="77777777" w:rsidR="007F44F0" w:rsidRDefault="007F44F0" w:rsidP="00760523">
      <w:r>
        <w:separator/>
      </w:r>
    </w:p>
  </w:footnote>
  <w:footnote w:type="continuationSeparator" w:id="0">
    <w:p w14:paraId="2C88C5A3" w14:textId="77777777" w:rsidR="007F44F0" w:rsidRDefault="007F44F0" w:rsidP="00760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6EFF4A" w14:textId="77777777" w:rsidR="005E5813" w:rsidRPr="005E5813" w:rsidRDefault="005E5813" w:rsidP="005E581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64742-05-21</w:t>
    </w:r>
    <w:r>
      <w:rPr>
        <w:rFonts w:ascii="David" w:hAnsi="David"/>
        <w:color w:val="000000"/>
        <w:sz w:val="22"/>
        <w:szCs w:val="22"/>
        <w:rtl/>
      </w:rPr>
      <w:tab/>
      <w:t xml:space="preserve"> מדינת ישראל נ' שלום ישי זפל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51A66" w14:textId="77777777" w:rsidR="005E5813" w:rsidRPr="005E5813" w:rsidRDefault="005E5813" w:rsidP="005E581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64742-05-21</w:t>
    </w:r>
    <w:r>
      <w:rPr>
        <w:rFonts w:ascii="David" w:hAnsi="David"/>
        <w:color w:val="000000"/>
        <w:sz w:val="22"/>
        <w:szCs w:val="22"/>
        <w:rtl/>
      </w:rPr>
      <w:tab/>
      <w:t xml:space="preserve"> מדינת ישראל נ' שלום ישי זפל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E21CAE"/>
    <w:multiLevelType w:val="hybridMultilevel"/>
    <w:tmpl w:val="0D68B30E"/>
    <w:lvl w:ilvl="0" w:tplc="C3F64B36">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534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00ACA"/>
    <w:rsid w:val="00000ACA"/>
    <w:rsid w:val="000065F7"/>
    <w:rsid w:val="001B5A3B"/>
    <w:rsid w:val="003107C9"/>
    <w:rsid w:val="00423C53"/>
    <w:rsid w:val="00573015"/>
    <w:rsid w:val="0057376C"/>
    <w:rsid w:val="005E5813"/>
    <w:rsid w:val="00760523"/>
    <w:rsid w:val="007F44F0"/>
    <w:rsid w:val="00861CDB"/>
    <w:rsid w:val="008E7D43"/>
    <w:rsid w:val="00964711"/>
    <w:rsid w:val="00A13737"/>
    <w:rsid w:val="00DB1E11"/>
    <w:rsid w:val="00E03B79"/>
    <w:rsid w:val="00FF4A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66B586"/>
  <w15:chartTrackingRefBased/>
  <w15:docId w15:val="{51C112D0-7E34-480C-A08F-E816005E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00AC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00ACA"/>
    <w:pPr>
      <w:tabs>
        <w:tab w:val="center" w:pos="4153"/>
        <w:tab w:val="right" w:pos="8306"/>
      </w:tabs>
    </w:pPr>
  </w:style>
  <w:style w:type="character" w:customStyle="1" w:styleId="a4">
    <w:name w:val="כותרת עליונה תו"/>
    <w:link w:val="a3"/>
    <w:rsid w:val="00000ACA"/>
    <w:rPr>
      <w:rFonts w:ascii="Times New Roman" w:eastAsia="Times New Roman" w:hAnsi="Times New Roman" w:cs="David"/>
      <w:sz w:val="24"/>
      <w:szCs w:val="24"/>
    </w:rPr>
  </w:style>
  <w:style w:type="paragraph" w:styleId="a5">
    <w:name w:val="footer"/>
    <w:basedOn w:val="a"/>
    <w:link w:val="a6"/>
    <w:rsid w:val="00000ACA"/>
    <w:pPr>
      <w:tabs>
        <w:tab w:val="center" w:pos="4153"/>
        <w:tab w:val="right" w:pos="8306"/>
      </w:tabs>
    </w:pPr>
  </w:style>
  <w:style w:type="character" w:customStyle="1" w:styleId="a6">
    <w:name w:val="כותרת תחתונה תו"/>
    <w:link w:val="a5"/>
    <w:rsid w:val="00000ACA"/>
    <w:rPr>
      <w:rFonts w:ascii="Times New Roman" w:eastAsia="Times New Roman" w:hAnsi="Times New Roman" w:cs="David"/>
      <w:sz w:val="24"/>
      <w:szCs w:val="24"/>
    </w:rPr>
  </w:style>
  <w:style w:type="table" w:styleId="a7">
    <w:name w:val="Table Grid"/>
    <w:basedOn w:val="a1"/>
    <w:rsid w:val="00000A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00ACA"/>
  </w:style>
  <w:style w:type="paragraph" w:styleId="a9">
    <w:name w:val="List Paragraph"/>
    <w:basedOn w:val="a"/>
    <w:qFormat/>
    <w:rsid w:val="00000ACA"/>
    <w:pPr>
      <w:ind w:left="720"/>
      <w:contextualSpacing/>
    </w:pPr>
  </w:style>
  <w:style w:type="character" w:styleId="Hyperlink">
    <w:name w:val="Hyperlink"/>
    <w:rsid w:val="005E58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4216/7.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892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5343</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2025-04-23T01:03:00Z</dcterms:created>
  <dcterms:modified xsi:type="dcterms:W3CDTF">2025-04-23T01:03:00Z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64742</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שלום ישי זפל</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20220928</vt:lpwstr>
  </property>
  <property fmtid="{D5CDD505-2E9C-101B-9397-08002B2CF9AE}" pid="13" name="TYPE_N_DATE">
    <vt:lpwstr>38020220928</vt:lpwstr>
  </property>
  <property fmtid="{D5CDD505-2E9C-101B-9397-08002B2CF9AE}" pid="14" name="CASENOTES1">
    <vt:lpwstr>ProcID=158&amp;PartA=4181&amp;PartB=02&amp;PartC=12</vt:lpwstr>
  </property>
  <property fmtid="{D5CDD505-2E9C-101B-9397-08002B2CF9AE}" pid="15" name="WORDNUMPAGES">
    <vt:lpwstr>4</vt:lpwstr>
  </property>
  <property fmtid="{D5CDD505-2E9C-101B-9397-08002B2CF9AE}" pid="16" name="TYPE_ABS_DATE">
    <vt:lpwstr>380020220928</vt:lpwstr>
  </property>
  <property fmtid="{D5CDD505-2E9C-101B-9397-08002B2CF9AE}" pid="17" name="LAWLISTTMP1">
    <vt:lpwstr>4216/007.a;007.c</vt:lpwstr>
  </property>
</Properties>
</file>