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2"/>
        <w:gridCol w:w="3636"/>
        <w:gridCol w:w="31"/>
        <w:gridCol w:w="53"/>
      </w:tblGrid>
      <w:tr w:rsidR="0043659E" w:rsidRPr="00274EA5" w14:paraId="3D35B45F" w14:textId="77777777" w:rsidTr="000C445E">
        <w:trPr>
          <w:gridBefore w:val="1"/>
          <w:gridAfter w:val="1"/>
          <w:wBefore w:w="28" w:type="dxa"/>
          <w:wAfter w:w="53" w:type="dxa"/>
          <w:trHeight w:hRule="exact" w:val="418"/>
          <w:jc w:val="center"/>
        </w:trPr>
        <w:tc>
          <w:tcPr>
            <w:tcW w:w="8721" w:type="dxa"/>
            <w:gridSpan w:val="4"/>
          </w:tcPr>
          <w:p w14:paraId="30475FDF" w14:textId="77777777" w:rsidR="0043659E" w:rsidRPr="00274EA5" w:rsidRDefault="0043659E" w:rsidP="0033541B">
            <w:pPr>
              <w:pStyle w:val="a3"/>
              <w:jc w:val="center"/>
              <w:rPr>
                <w:rFonts w:ascii="Tahoma" w:hAnsi="Tahoma" w:cs="Tahoma"/>
                <w:color w:val="000080"/>
                <w:rtl/>
              </w:rPr>
            </w:pPr>
            <w:bookmarkStart w:id="0" w:name="LastJudge"/>
            <w:r w:rsidRPr="00274EA5">
              <w:rPr>
                <w:rFonts w:ascii="Tahoma" w:hAnsi="Tahoma" w:cs="Tahoma"/>
                <w:b/>
                <w:bCs/>
                <w:color w:val="000080"/>
                <w:rtl/>
              </w:rPr>
              <w:t>בית משפט השלום בבאר שבע</w:t>
            </w:r>
          </w:p>
        </w:tc>
      </w:tr>
      <w:tr w:rsidR="0043659E" w:rsidRPr="00274EA5" w14:paraId="598A71BC" w14:textId="77777777" w:rsidTr="000C445E">
        <w:trPr>
          <w:gridBefore w:val="1"/>
          <w:gridAfter w:val="1"/>
          <w:wBefore w:w="28" w:type="dxa"/>
          <w:wAfter w:w="53" w:type="dxa"/>
          <w:trHeight w:val="337"/>
          <w:jc w:val="center"/>
        </w:trPr>
        <w:tc>
          <w:tcPr>
            <w:tcW w:w="5054" w:type="dxa"/>
            <w:gridSpan w:val="2"/>
          </w:tcPr>
          <w:p w14:paraId="5055697E" w14:textId="77777777" w:rsidR="0043659E" w:rsidRPr="00274EA5" w:rsidRDefault="0043659E" w:rsidP="0033541B">
            <w:pPr>
              <w:rPr>
                <w:rFonts w:cs="FrankRuehl"/>
                <w:sz w:val="28"/>
                <w:szCs w:val="28"/>
                <w:rtl/>
              </w:rPr>
            </w:pPr>
            <w:r w:rsidRPr="00274EA5">
              <w:rPr>
                <w:rFonts w:cs="FrankRuehl"/>
                <w:sz w:val="28"/>
                <w:szCs w:val="28"/>
                <w:rtl/>
              </w:rPr>
              <w:t>ת"פ</w:t>
            </w:r>
            <w:r w:rsidRPr="00274EA5">
              <w:rPr>
                <w:rFonts w:cs="FrankRuehl" w:hint="cs"/>
                <w:sz w:val="28"/>
                <w:szCs w:val="28"/>
                <w:rtl/>
              </w:rPr>
              <w:t xml:space="preserve"> </w:t>
            </w:r>
            <w:r w:rsidRPr="00274EA5">
              <w:rPr>
                <w:rFonts w:cs="FrankRuehl"/>
                <w:sz w:val="28"/>
                <w:szCs w:val="28"/>
                <w:rtl/>
              </w:rPr>
              <w:t>18593-06-21</w:t>
            </w:r>
            <w:r w:rsidRPr="00274EA5">
              <w:rPr>
                <w:rFonts w:cs="FrankRuehl" w:hint="cs"/>
                <w:sz w:val="28"/>
                <w:szCs w:val="28"/>
                <w:rtl/>
              </w:rPr>
              <w:t xml:space="preserve"> </w:t>
            </w:r>
            <w:r w:rsidRPr="00274EA5">
              <w:rPr>
                <w:rFonts w:cs="FrankRuehl"/>
                <w:sz w:val="28"/>
                <w:szCs w:val="28"/>
                <w:rtl/>
              </w:rPr>
              <w:t>מדינת ישראל נ' אבו גריבה</w:t>
            </w:r>
          </w:p>
          <w:p w14:paraId="77BCDD76" w14:textId="77777777" w:rsidR="0043659E" w:rsidRPr="00274EA5" w:rsidRDefault="0043659E" w:rsidP="0033541B">
            <w:pPr>
              <w:pStyle w:val="a3"/>
              <w:rPr>
                <w:rFonts w:cs="FrankRuehl"/>
                <w:sz w:val="28"/>
                <w:szCs w:val="28"/>
                <w:rtl/>
              </w:rPr>
            </w:pPr>
          </w:p>
        </w:tc>
        <w:tc>
          <w:tcPr>
            <w:tcW w:w="3667" w:type="dxa"/>
            <w:gridSpan w:val="2"/>
          </w:tcPr>
          <w:p w14:paraId="2388FE24" w14:textId="77777777" w:rsidR="0043659E" w:rsidRPr="00274EA5" w:rsidRDefault="0043659E" w:rsidP="0033541B">
            <w:pPr>
              <w:pStyle w:val="a3"/>
              <w:jc w:val="right"/>
              <w:rPr>
                <w:rFonts w:cs="FrankRuehl"/>
                <w:sz w:val="28"/>
                <w:szCs w:val="28"/>
                <w:rtl/>
              </w:rPr>
            </w:pPr>
          </w:p>
        </w:tc>
      </w:tr>
      <w:tr w:rsidR="0043659E" w:rsidRPr="00274EA5" w14:paraId="63A38460" w14:textId="77777777" w:rsidTr="000C445E">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2F3A1E27" w14:textId="77777777" w:rsidR="0043659E" w:rsidRPr="00274EA5" w:rsidRDefault="0043659E" w:rsidP="0043659E">
            <w:pPr>
              <w:spacing w:line="360" w:lineRule="auto"/>
              <w:rPr>
                <w:b/>
                <w:bCs/>
                <w:sz w:val="26"/>
                <w:szCs w:val="26"/>
                <w:rtl/>
              </w:rPr>
            </w:pPr>
            <w:r w:rsidRPr="00274EA5">
              <w:rPr>
                <w:rFonts w:hint="cs"/>
                <w:rtl/>
              </w:rPr>
              <w:t xml:space="preserve"> </w:t>
            </w:r>
            <w:r w:rsidRPr="00274EA5">
              <w:rPr>
                <w:rFonts w:hint="cs"/>
                <w:b/>
                <w:bCs/>
                <w:sz w:val="26"/>
                <w:szCs w:val="26"/>
                <w:rtl/>
              </w:rPr>
              <w:t>לפני כבוד השופט אריה דורני-דורון</w:t>
            </w:r>
            <w:r w:rsidRPr="00274EA5">
              <w:rPr>
                <w:rStyle w:val="TimesNewRomanTimesNewRoman"/>
                <w:rtl/>
              </w:rPr>
              <w:t xml:space="preserve"> </w:t>
            </w:r>
          </w:p>
        </w:tc>
      </w:tr>
      <w:tr w:rsidR="0043659E" w:rsidRPr="00274EA5" w14:paraId="48A8ABC1" w14:textId="77777777" w:rsidTr="000C445E">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131A3849" w14:textId="77777777" w:rsidR="0043659E" w:rsidRPr="00274EA5" w:rsidRDefault="0043659E" w:rsidP="0043659E">
            <w:pPr>
              <w:spacing w:line="360" w:lineRule="auto"/>
              <w:ind w:left="26"/>
              <w:rPr>
                <w:b/>
                <w:bCs/>
                <w:sz w:val="26"/>
                <w:szCs w:val="26"/>
                <w:rtl/>
              </w:rPr>
            </w:pPr>
            <w:bookmarkStart w:id="1" w:name="FirstAppellant"/>
            <w:bookmarkStart w:id="2" w:name="FirstLawyer"/>
          </w:p>
          <w:p w14:paraId="6FEE0116" w14:textId="77777777" w:rsidR="0043659E" w:rsidRPr="00274EA5" w:rsidRDefault="0043659E" w:rsidP="0043659E">
            <w:pPr>
              <w:spacing w:line="360" w:lineRule="auto"/>
              <w:ind w:left="26"/>
              <w:rPr>
                <w:b/>
                <w:bCs/>
                <w:sz w:val="26"/>
                <w:szCs w:val="26"/>
                <w:rtl/>
              </w:rPr>
            </w:pPr>
            <w:r w:rsidRPr="00274EA5">
              <w:rPr>
                <w:rFonts w:hint="cs"/>
                <w:b/>
                <w:bCs/>
                <w:sz w:val="26"/>
                <w:szCs w:val="26"/>
                <w:rtl/>
              </w:rPr>
              <w:t>המאשימה</w:t>
            </w:r>
          </w:p>
        </w:tc>
        <w:tc>
          <w:tcPr>
            <w:tcW w:w="5922" w:type="dxa"/>
            <w:gridSpan w:val="4"/>
            <w:shd w:val="clear" w:color="auto" w:fill="auto"/>
          </w:tcPr>
          <w:p w14:paraId="18ACAE84" w14:textId="77777777" w:rsidR="0043659E" w:rsidRPr="00274EA5" w:rsidRDefault="0043659E" w:rsidP="0043659E">
            <w:pPr>
              <w:spacing w:line="360" w:lineRule="auto"/>
              <w:rPr>
                <w:rtl/>
              </w:rPr>
            </w:pPr>
          </w:p>
          <w:p w14:paraId="33AFCBCE" w14:textId="77777777" w:rsidR="0043659E" w:rsidRPr="00274EA5" w:rsidRDefault="0043659E" w:rsidP="0043659E">
            <w:pPr>
              <w:spacing w:line="360" w:lineRule="auto"/>
              <w:rPr>
                <w:b/>
                <w:bCs/>
                <w:sz w:val="26"/>
                <w:szCs w:val="26"/>
                <w:rtl/>
              </w:rPr>
            </w:pPr>
            <w:r w:rsidRPr="00274EA5">
              <w:rPr>
                <w:rFonts w:hint="cs"/>
                <w:b/>
                <w:bCs/>
                <w:sz w:val="26"/>
                <w:szCs w:val="26"/>
                <w:rtl/>
              </w:rPr>
              <w:t xml:space="preserve">מדינת ישראל  </w:t>
            </w:r>
          </w:p>
          <w:p w14:paraId="7A2A6D1B" w14:textId="77777777" w:rsidR="0043659E" w:rsidRPr="00274EA5" w:rsidRDefault="0043659E" w:rsidP="0043659E">
            <w:pPr>
              <w:spacing w:line="360" w:lineRule="auto"/>
              <w:rPr>
                <w:b/>
                <w:bCs/>
                <w:sz w:val="26"/>
                <w:szCs w:val="26"/>
                <w:rtl/>
              </w:rPr>
            </w:pPr>
            <w:r w:rsidRPr="00274EA5">
              <w:rPr>
                <w:rFonts w:hint="cs"/>
                <w:b/>
                <w:bCs/>
                <w:sz w:val="26"/>
                <w:szCs w:val="26"/>
                <w:rtl/>
              </w:rPr>
              <w:t>ע"י ב"כ מתמחה מר יגאל קלנטרוב</w:t>
            </w:r>
          </w:p>
        </w:tc>
      </w:tr>
      <w:bookmarkEnd w:id="1"/>
      <w:bookmarkEnd w:id="2"/>
      <w:tr w:rsidR="0043659E" w:rsidRPr="00274EA5" w14:paraId="0E1F4290" w14:textId="77777777" w:rsidTr="000C445E">
        <w:tblPrEx>
          <w:jc w:val="left"/>
          <w:tblInd w:w="-28" w:type="dxa"/>
          <w:tblLook w:val="01E0" w:firstRow="1" w:lastRow="1" w:firstColumn="1" w:lastColumn="1" w:noHBand="0" w:noVBand="0"/>
        </w:tblPrEx>
        <w:tc>
          <w:tcPr>
            <w:tcW w:w="8802" w:type="dxa"/>
            <w:gridSpan w:val="6"/>
            <w:shd w:val="clear" w:color="auto" w:fill="auto"/>
            <w:vAlign w:val="center"/>
          </w:tcPr>
          <w:p w14:paraId="09D1EA33" w14:textId="77777777" w:rsidR="0043659E" w:rsidRPr="00274EA5" w:rsidRDefault="0043659E" w:rsidP="0043659E">
            <w:pPr>
              <w:spacing w:line="360" w:lineRule="auto"/>
              <w:jc w:val="center"/>
              <w:rPr>
                <w:rFonts w:ascii="Arial" w:hAnsi="Arial"/>
                <w:b/>
                <w:bCs/>
                <w:sz w:val="26"/>
                <w:szCs w:val="26"/>
                <w:rtl/>
              </w:rPr>
            </w:pPr>
          </w:p>
          <w:p w14:paraId="55126D42" w14:textId="77777777" w:rsidR="0043659E" w:rsidRPr="00274EA5" w:rsidRDefault="0043659E" w:rsidP="0043659E">
            <w:pPr>
              <w:spacing w:line="360" w:lineRule="auto"/>
              <w:jc w:val="center"/>
              <w:rPr>
                <w:rFonts w:ascii="Arial" w:hAnsi="Arial"/>
                <w:b/>
                <w:bCs/>
                <w:sz w:val="26"/>
                <w:szCs w:val="26"/>
                <w:rtl/>
              </w:rPr>
            </w:pPr>
            <w:r w:rsidRPr="00274EA5">
              <w:rPr>
                <w:rFonts w:ascii="Arial" w:hAnsi="Arial" w:hint="cs"/>
                <w:b/>
                <w:bCs/>
                <w:sz w:val="26"/>
                <w:szCs w:val="26"/>
                <w:rtl/>
              </w:rPr>
              <w:t>נגד</w:t>
            </w:r>
          </w:p>
          <w:p w14:paraId="3EF668CC" w14:textId="77777777" w:rsidR="0043659E" w:rsidRPr="00274EA5" w:rsidRDefault="0043659E" w:rsidP="0043659E">
            <w:pPr>
              <w:spacing w:line="360" w:lineRule="auto"/>
              <w:rPr>
                <w:rFonts w:ascii="Arial" w:hAnsi="Arial"/>
                <w:b/>
                <w:bCs/>
                <w:sz w:val="26"/>
                <w:szCs w:val="26"/>
                <w:rtl/>
              </w:rPr>
            </w:pPr>
          </w:p>
        </w:tc>
      </w:tr>
      <w:tr w:rsidR="0043659E" w:rsidRPr="00274EA5" w14:paraId="02188A1E" w14:textId="77777777" w:rsidTr="000C445E">
        <w:tblPrEx>
          <w:jc w:val="left"/>
          <w:tblInd w:w="-28" w:type="dxa"/>
          <w:tblLook w:val="01E0" w:firstRow="1" w:lastRow="1" w:firstColumn="1" w:lastColumn="1" w:noHBand="0" w:noVBand="0"/>
        </w:tblPrEx>
        <w:tc>
          <w:tcPr>
            <w:tcW w:w="2880" w:type="dxa"/>
            <w:gridSpan w:val="2"/>
            <w:shd w:val="clear" w:color="auto" w:fill="auto"/>
          </w:tcPr>
          <w:p w14:paraId="604949BB" w14:textId="77777777" w:rsidR="0043659E" w:rsidRPr="00274EA5" w:rsidRDefault="0043659E" w:rsidP="0043659E">
            <w:pPr>
              <w:spacing w:line="360" w:lineRule="auto"/>
              <w:ind w:left="26"/>
              <w:rPr>
                <w:b/>
                <w:bCs/>
                <w:sz w:val="26"/>
                <w:szCs w:val="26"/>
              </w:rPr>
            </w:pPr>
            <w:r w:rsidRPr="00274EA5">
              <w:rPr>
                <w:rFonts w:hint="cs"/>
                <w:b/>
                <w:bCs/>
                <w:sz w:val="26"/>
                <w:szCs w:val="26"/>
                <w:rtl/>
              </w:rPr>
              <w:t>הנאשם</w:t>
            </w:r>
          </w:p>
        </w:tc>
        <w:tc>
          <w:tcPr>
            <w:tcW w:w="5922" w:type="dxa"/>
            <w:gridSpan w:val="4"/>
            <w:shd w:val="clear" w:color="auto" w:fill="auto"/>
          </w:tcPr>
          <w:p w14:paraId="769E6658" w14:textId="77777777" w:rsidR="0043659E" w:rsidRPr="00274EA5" w:rsidRDefault="0043659E" w:rsidP="0043659E">
            <w:pPr>
              <w:spacing w:line="360" w:lineRule="auto"/>
              <w:rPr>
                <w:b/>
                <w:bCs/>
                <w:sz w:val="26"/>
                <w:szCs w:val="26"/>
                <w:rtl/>
              </w:rPr>
            </w:pPr>
            <w:r w:rsidRPr="00274EA5">
              <w:rPr>
                <w:rFonts w:hint="cs"/>
                <w:b/>
                <w:bCs/>
                <w:sz w:val="26"/>
                <w:szCs w:val="26"/>
                <w:rtl/>
              </w:rPr>
              <w:t>איוב אבו גריבה</w:t>
            </w:r>
            <w:r w:rsidRPr="00274EA5">
              <w:rPr>
                <w:rtl/>
              </w:rPr>
              <w:t xml:space="preserve"> </w:t>
            </w:r>
            <w:r w:rsidRPr="00274EA5">
              <w:rPr>
                <w:rFonts w:hint="cs"/>
                <w:b/>
                <w:bCs/>
                <w:sz w:val="26"/>
                <w:szCs w:val="26"/>
                <w:rtl/>
              </w:rPr>
              <w:t xml:space="preserve">ת"ז  </w:t>
            </w:r>
            <w:r w:rsidR="00274EA5">
              <w:rPr>
                <w:b/>
                <w:bCs/>
                <w:sz w:val="26"/>
                <w:szCs w:val="26"/>
              </w:rPr>
              <w:t>xxxxxxxxxx</w:t>
            </w:r>
            <w:r w:rsidRPr="00274EA5">
              <w:rPr>
                <w:rFonts w:hint="cs"/>
                <w:b/>
                <w:bCs/>
                <w:sz w:val="26"/>
                <w:szCs w:val="26"/>
                <w:rtl/>
              </w:rPr>
              <w:t>- בעצמו</w:t>
            </w:r>
          </w:p>
          <w:p w14:paraId="35C92EE3" w14:textId="77777777" w:rsidR="0043659E" w:rsidRPr="00274EA5" w:rsidRDefault="0043659E" w:rsidP="0043659E">
            <w:pPr>
              <w:spacing w:line="360" w:lineRule="auto"/>
              <w:rPr>
                <w:b/>
                <w:bCs/>
                <w:sz w:val="26"/>
                <w:szCs w:val="26"/>
                <w:rtl/>
              </w:rPr>
            </w:pPr>
            <w:r w:rsidRPr="00274EA5">
              <w:rPr>
                <w:rFonts w:hint="cs"/>
                <w:b/>
                <w:bCs/>
                <w:sz w:val="26"/>
                <w:szCs w:val="26"/>
                <w:rtl/>
              </w:rPr>
              <w:t>ע"י ב"כ עו"ד אחמד וותד</w:t>
            </w:r>
          </w:p>
        </w:tc>
      </w:tr>
    </w:tbl>
    <w:p w14:paraId="0277579A" w14:textId="77777777" w:rsidR="00274EA5" w:rsidRPr="00274EA5" w:rsidRDefault="00274EA5" w:rsidP="00274EA5">
      <w:pPr>
        <w:spacing w:before="120" w:after="120" w:line="240" w:lineRule="exact"/>
        <w:ind w:left="283" w:hanging="283"/>
        <w:jc w:val="both"/>
        <w:rPr>
          <w:rFonts w:ascii="FrankRuehl" w:hAnsi="FrankRuehl" w:cs="FrankRuehl"/>
          <w:i/>
          <w:iCs/>
          <w:rtl/>
        </w:rPr>
      </w:pPr>
    </w:p>
    <w:p w14:paraId="376852FD" w14:textId="77777777" w:rsidR="00274EA5" w:rsidRPr="00274EA5" w:rsidRDefault="00274EA5" w:rsidP="00274EA5">
      <w:pPr>
        <w:spacing w:line="360" w:lineRule="auto"/>
        <w:ind w:left="2160"/>
        <w:jc w:val="both"/>
        <w:rPr>
          <w:rFonts w:ascii="FrankRuehl" w:hAnsi="FrankRuehl" w:cs="FrankRuehl"/>
          <w:i/>
          <w:iCs/>
          <w:rtl/>
        </w:rPr>
      </w:pPr>
    </w:p>
    <w:p w14:paraId="38448C8C" w14:textId="77777777" w:rsidR="000C445E" w:rsidRPr="000C445E" w:rsidRDefault="000C445E" w:rsidP="000C445E">
      <w:pPr>
        <w:spacing w:before="120" w:after="120" w:line="240" w:lineRule="exact"/>
        <w:ind w:left="283" w:hanging="283"/>
        <w:jc w:val="both"/>
        <w:rPr>
          <w:rFonts w:ascii="FrankRuehl" w:hAnsi="FrankRuehl" w:cs="FrankRuehl"/>
          <w:i/>
          <w:iCs/>
          <w:rtl/>
        </w:rPr>
      </w:pPr>
    </w:p>
    <w:p w14:paraId="38D0A47C" w14:textId="77777777" w:rsidR="00290701" w:rsidRPr="00290701" w:rsidRDefault="00290701" w:rsidP="00290701">
      <w:pPr>
        <w:spacing w:before="120" w:after="120" w:line="240" w:lineRule="exact"/>
        <w:ind w:left="283" w:hanging="283"/>
        <w:jc w:val="both"/>
        <w:rPr>
          <w:rFonts w:ascii="FrankRuehl" w:hAnsi="FrankRuehl" w:cs="FrankRuehl"/>
          <w:i/>
          <w:iCs/>
          <w:rtl/>
        </w:rPr>
      </w:pPr>
    </w:p>
    <w:p w14:paraId="374309C8" w14:textId="77777777" w:rsidR="00290701" w:rsidRPr="00290701" w:rsidRDefault="00290701" w:rsidP="00290701">
      <w:pPr>
        <w:spacing w:before="120" w:after="120" w:line="240" w:lineRule="exact"/>
        <w:ind w:left="283" w:hanging="283"/>
        <w:jc w:val="both"/>
        <w:rPr>
          <w:rFonts w:ascii="FrankRuehl" w:hAnsi="FrankRuehl" w:cs="FrankRuehl"/>
          <w:i/>
          <w:iCs/>
          <w:rtl/>
        </w:rPr>
      </w:pPr>
    </w:p>
    <w:p w14:paraId="21DB043E" w14:textId="77777777" w:rsidR="00DF5BFA" w:rsidRDefault="00DF5BFA" w:rsidP="00DF5BFA">
      <w:pPr>
        <w:spacing w:line="360" w:lineRule="auto"/>
        <w:ind w:left="2160"/>
        <w:jc w:val="both"/>
        <w:rPr>
          <w:rFonts w:ascii="FrankRuehl" w:hAnsi="FrankRuehl" w:cs="FrankRuehl"/>
          <w:i/>
          <w:iCs/>
          <w:rtl/>
        </w:rPr>
      </w:pPr>
      <w:bookmarkStart w:id="3" w:name="LawTable"/>
      <w:bookmarkEnd w:id="3"/>
    </w:p>
    <w:p w14:paraId="6A3E760B" w14:textId="77777777" w:rsidR="00DF5BFA" w:rsidRPr="00DF5BFA" w:rsidRDefault="00DF5BFA" w:rsidP="00DF5BFA">
      <w:pPr>
        <w:spacing w:before="120" w:after="120" w:line="240" w:lineRule="exact"/>
        <w:ind w:left="283" w:hanging="283"/>
        <w:jc w:val="both"/>
        <w:rPr>
          <w:rFonts w:ascii="FrankRuehl" w:hAnsi="FrankRuehl" w:cs="FrankRuehl"/>
          <w:i/>
          <w:iCs/>
          <w:rtl/>
        </w:rPr>
      </w:pPr>
    </w:p>
    <w:p w14:paraId="794374AF" w14:textId="77777777" w:rsidR="00DF5BFA" w:rsidRPr="00DF5BFA" w:rsidRDefault="00DF5BFA" w:rsidP="00DF5BFA">
      <w:pPr>
        <w:spacing w:before="120" w:after="120" w:line="240" w:lineRule="exact"/>
        <w:ind w:left="283" w:hanging="283"/>
        <w:jc w:val="both"/>
        <w:rPr>
          <w:rFonts w:ascii="FrankRuehl" w:hAnsi="FrankRuehl" w:cs="FrankRuehl"/>
          <w:i/>
          <w:iCs/>
          <w:rtl/>
        </w:rPr>
      </w:pPr>
    </w:p>
    <w:p w14:paraId="2BE064F9" w14:textId="77777777" w:rsidR="00DF5BFA" w:rsidRPr="00DF5BFA" w:rsidRDefault="00DF5BFA" w:rsidP="00DF5BFA">
      <w:pPr>
        <w:spacing w:before="120" w:after="120" w:line="240" w:lineRule="exact"/>
        <w:ind w:left="283" w:hanging="283"/>
        <w:jc w:val="both"/>
        <w:rPr>
          <w:rFonts w:ascii="FrankRuehl" w:hAnsi="FrankRuehl" w:cs="FrankRuehl"/>
          <w:i/>
          <w:iCs/>
          <w:rtl/>
        </w:rPr>
      </w:pPr>
      <w:r w:rsidRPr="00DF5BFA">
        <w:rPr>
          <w:rFonts w:ascii="FrankRuehl" w:hAnsi="FrankRuehl" w:cs="FrankRuehl"/>
          <w:i/>
          <w:iCs/>
          <w:rtl/>
        </w:rPr>
        <w:t xml:space="preserve">חקיקה שאוזכרה: </w:t>
      </w:r>
    </w:p>
    <w:p w14:paraId="5A8E60A0" w14:textId="77777777" w:rsidR="00DF5BFA" w:rsidRPr="00DF5BFA" w:rsidRDefault="00DF5BFA" w:rsidP="00DF5BFA">
      <w:pPr>
        <w:spacing w:before="120" w:after="120" w:line="240" w:lineRule="exact"/>
        <w:ind w:left="283" w:hanging="283"/>
        <w:jc w:val="both"/>
        <w:rPr>
          <w:rFonts w:ascii="FrankRuehl" w:hAnsi="FrankRuehl" w:cs="FrankRuehl"/>
          <w:i/>
          <w:iCs/>
          <w:rtl/>
        </w:rPr>
      </w:pPr>
      <w:hyperlink r:id="rId7" w:history="1">
        <w:r w:rsidRPr="00DF5BFA">
          <w:rPr>
            <w:rFonts w:ascii="FrankRuehl" w:hAnsi="FrankRuehl" w:cs="FrankRuehl"/>
            <w:i/>
            <w:iCs/>
            <w:color w:val="0000FF"/>
            <w:rtl/>
          </w:rPr>
          <w:t>פקודת הסמים המסוכנים [נוסח חדש], תשל"ג-1973</w:t>
        </w:r>
      </w:hyperlink>
      <w:r w:rsidRPr="00DF5BFA">
        <w:rPr>
          <w:rFonts w:ascii="FrankRuehl" w:hAnsi="FrankRuehl" w:cs="FrankRuehl"/>
          <w:i/>
          <w:iCs/>
          <w:rtl/>
        </w:rPr>
        <w:t xml:space="preserve">: סע'  </w:t>
      </w:r>
      <w:hyperlink r:id="rId8" w:history="1">
        <w:r w:rsidRPr="00DF5BFA">
          <w:rPr>
            <w:rFonts w:ascii="FrankRuehl" w:hAnsi="FrankRuehl" w:cs="FrankRuehl"/>
            <w:i/>
            <w:iCs/>
            <w:color w:val="0000FF"/>
            <w:rtl/>
          </w:rPr>
          <w:t>6</w:t>
        </w:r>
      </w:hyperlink>
      <w:r w:rsidRPr="00DF5BFA">
        <w:rPr>
          <w:rFonts w:ascii="FrankRuehl" w:hAnsi="FrankRuehl" w:cs="FrankRuehl"/>
          <w:i/>
          <w:iCs/>
          <w:rtl/>
        </w:rPr>
        <w:t xml:space="preserve">, </w:t>
      </w:r>
      <w:hyperlink r:id="rId9" w:history="1">
        <w:r w:rsidRPr="00DF5BFA">
          <w:rPr>
            <w:rFonts w:ascii="FrankRuehl" w:hAnsi="FrankRuehl" w:cs="FrankRuehl"/>
            <w:i/>
            <w:iCs/>
            <w:color w:val="0000FF"/>
            <w:rtl/>
          </w:rPr>
          <w:t>37א.(א)</w:t>
        </w:r>
      </w:hyperlink>
    </w:p>
    <w:p w14:paraId="231DAE7F" w14:textId="77777777" w:rsidR="00DF5BFA" w:rsidRPr="00DF5BFA" w:rsidRDefault="00DF5BFA" w:rsidP="00DF5BFA">
      <w:pPr>
        <w:spacing w:before="120" w:after="120" w:line="240" w:lineRule="exact"/>
        <w:ind w:left="283" w:hanging="283"/>
        <w:jc w:val="both"/>
        <w:rPr>
          <w:rFonts w:ascii="FrankRuehl" w:hAnsi="FrankRuehl" w:cs="FrankRuehl"/>
          <w:i/>
          <w:iCs/>
          <w:rtl/>
        </w:rPr>
      </w:pPr>
      <w:hyperlink r:id="rId10" w:history="1">
        <w:r w:rsidRPr="00DF5BFA">
          <w:rPr>
            <w:rFonts w:ascii="FrankRuehl" w:hAnsi="FrankRuehl" w:cs="FrankRuehl"/>
            <w:i/>
            <w:iCs/>
            <w:color w:val="0000FF"/>
            <w:rtl/>
          </w:rPr>
          <w:t>חוק העונשין, תשל"ז-1977</w:t>
        </w:r>
      </w:hyperlink>
      <w:r w:rsidRPr="00DF5BFA">
        <w:rPr>
          <w:rFonts w:ascii="FrankRuehl" w:hAnsi="FrankRuehl" w:cs="FrankRuehl"/>
          <w:i/>
          <w:iCs/>
          <w:rtl/>
        </w:rPr>
        <w:t xml:space="preserve">: סע'  </w:t>
      </w:r>
      <w:hyperlink r:id="rId11" w:history="1">
        <w:r w:rsidRPr="00DF5BFA">
          <w:rPr>
            <w:rFonts w:ascii="FrankRuehl" w:hAnsi="FrankRuehl" w:cs="FrankRuehl"/>
            <w:i/>
            <w:iCs/>
            <w:color w:val="0000FF"/>
            <w:rtl/>
          </w:rPr>
          <w:t>40ב'</w:t>
        </w:r>
      </w:hyperlink>
      <w:r w:rsidRPr="00DF5BFA">
        <w:rPr>
          <w:rFonts w:ascii="FrankRuehl" w:hAnsi="FrankRuehl" w:cs="FrankRuehl"/>
          <w:i/>
          <w:iCs/>
          <w:rtl/>
        </w:rPr>
        <w:t xml:space="preserve">, </w:t>
      </w:r>
      <w:hyperlink r:id="rId12" w:history="1">
        <w:r w:rsidRPr="00DF5BFA">
          <w:rPr>
            <w:rFonts w:ascii="FrankRuehl" w:hAnsi="FrankRuehl" w:cs="FrankRuehl"/>
            <w:i/>
            <w:iCs/>
            <w:color w:val="0000FF"/>
            <w:rtl/>
          </w:rPr>
          <w:t>40ג(א)</w:t>
        </w:r>
      </w:hyperlink>
      <w:r w:rsidRPr="00DF5BFA">
        <w:rPr>
          <w:rFonts w:ascii="FrankRuehl" w:hAnsi="FrankRuehl" w:cs="FrankRuehl"/>
          <w:i/>
          <w:iCs/>
          <w:rtl/>
        </w:rPr>
        <w:t xml:space="preserve">, </w:t>
      </w:r>
      <w:hyperlink r:id="rId13" w:history="1">
        <w:r w:rsidRPr="00DF5BFA">
          <w:rPr>
            <w:rFonts w:ascii="FrankRuehl" w:hAnsi="FrankRuehl" w:cs="FrankRuehl"/>
            <w:i/>
            <w:iCs/>
            <w:color w:val="0000FF"/>
            <w:rtl/>
          </w:rPr>
          <w:t>40ט</w:t>
        </w:r>
      </w:hyperlink>
    </w:p>
    <w:p w14:paraId="44BC05D8" w14:textId="77777777" w:rsidR="00DF5BFA" w:rsidRPr="00DF5BFA" w:rsidRDefault="00DF5BFA" w:rsidP="00DF5BFA">
      <w:pPr>
        <w:spacing w:before="120" w:after="120" w:line="240" w:lineRule="exact"/>
        <w:ind w:left="283" w:hanging="283"/>
        <w:jc w:val="both"/>
        <w:rPr>
          <w:rFonts w:ascii="FrankRuehl" w:hAnsi="FrankRuehl" w:cs="FrankRuehl"/>
          <w:i/>
          <w:iCs/>
          <w:rtl/>
        </w:rPr>
      </w:pPr>
      <w:hyperlink r:id="rId14" w:history="1">
        <w:r w:rsidRPr="00DF5BFA">
          <w:rPr>
            <w:rFonts w:ascii="FrankRuehl" w:hAnsi="FrankRuehl" w:cs="FrankRuehl"/>
            <w:i/>
            <w:iCs/>
            <w:color w:val="0000FF"/>
            <w:rtl/>
          </w:rPr>
          <w:t>פקודת התעבורה [נוסח חדש]</w:t>
        </w:r>
      </w:hyperlink>
      <w:r w:rsidRPr="00DF5BFA">
        <w:rPr>
          <w:rFonts w:ascii="FrankRuehl" w:hAnsi="FrankRuehl" w:cs="FrankRuehl"/>
          <w:i/>
          <w:iCs/>
          <w:rtl/>
        </w:rPr>
        <w:t xml:space="preserve">: סע'  </w:t>
      </w:r>
      <w:hyperlink r:id="rId15" w:history="1">
        <w:r w:rsidRPr="00DF5BFA">
          <w:rPr>
            <w:rFonts w:ascii="FrankRuehl" w:hAnsi="FrankRuehl" w:cs="FrankRuehl"/>
            <w:i/>
            <w:iCs/>
            <w:color w:val="0000FF"/>
            <w:rtl/>
          </w:rPr>
          <w:t>43</w:t>
        </w:r>
      </w:hyperlink>
    </w:p>
    <w:p w14:paraId="7C3902C9" w14:textId="77777777" w:rsidR="00DF5BFA" w:rsidRPr="00DF5BFA" w:rsidRDefault="00DF5BFA" w:rsidP="00DF5BFA">
      <w:pPr>
        <w:spacing w:before="120" w:after="120" w:line="240" w:lineRule="exact"/>
        <w:ind w:left="283" w:hanging="283"/>
        <w:jc w:val="both"/>
        <w:rPr>
          <w:rFonts w:ascii="FrankRuehl" w:hAnsi="FrankRuehl" w:cs="FrankRuehl"/>
          <w:i/>
          <w:iCs/>
          <w:rtl/>
        </w:rPr>
      </w:pPr>
      <w:hyperlink r:id="rId16" w:history="1">
        <w:r w:rsidRPr="00DF5BFA">
          <w:rPr>
            <w:rFonts w:ascii="FrankRuehl" w:hAnsi="FrankRuehl" w:cs="FrankRuehl"/>
            <w:i/>
            <w:iCs/>
            <w:color w:val="0000FF"/>
            <w:rtl/>
          </w:rPr>
          <w:t>פקודת מסילות הברזל [נוסח חדש], תשל"ב-1972</w:t>
        </w:r>
      </w:hyperlink>
      <w:r w:rsidRPr="00DF5BFA">
        <w:rPr>
          <w:rFonts w:ascii="FrankRuehl" w:hAnsi="FrankRuehl" w:cs="FrankRuehl"/>
          <w:i/>
          <w:iCs/>
          <w:rtl/>
        </w:rPr>
        <w:t xml:space="preserve">: סע'  </w:t>
      </w:r>
      <w:hyperlink r:id="rId17" w:history="1">
        <w:r w:rsidRPr="00DF5BFA">
          <w:rPr>
            <w:rFonts w:ascii="FrankRuehl" w:hAnsi="FrankRuehl" w:cs="FrankRuehl"/>
            <w:i/>
            <w:iCs/>
            <w:color w:val="0000FF"/>
            <w:rtl/>
          </w:rPr>
          <w:t>46ג</w:t>
        </w:r>
      </w:hyperlink>
    </w:p>
    <w:p w14:paraId="322CD8A0" w14:textId="77777777" w:rsidR="00DF5BFA" w:rsidRPr="00DF5BFA" w:rsidRDefault="00DF5BFA" w:rsidP="00DF5BFA">
      <w:pPr>
        <w:spacing w:line="360" w:lineRule="auto"/>
        <w:ind w:left="2160"/>
        <w:jc w:val="both"/>
        <w:rPr>
          <w:rFonts w:ascii="FrankRuehl" w:hAnsi="FrankRuehl" w:cs="FrankRuehl"/>
          <w:i/>
          <w:iCs/>
          <w:rtl/>
        </w:rPr>
      </w:pPr>
      <w:bookmarkStart w:id="4" w:name="LawTable_End"/>
      <w:bookmarkEnd w:id="4"/>
    </w:p>
    <w:p w14:paraId="7D7F327C" w14:textId="77777777" w:rsidR="0043659E" w:rsidRPr="00290701" w:rsidRDefault="0043659E" w:rsidP="00290701">
      <w:pPr>
        <w:spacing w:line="360" w:lineRule="auto"/>
        <w:ind w:left="2160"/>
        <w:jc w:val="both"/>
        <w:rPr>
          <w:rFonts w:ascii="FrankRuehl" w:hAnsi="FrankRuehl" w:cs="FrankRuehl"/>
          <w:i/>
          <w:iCs/>
          <w:rtl/>
        </w:rPr>
      </w:pPr>
    </w:p>
    <w:p w14:paraId="13C0C060" w14:textId="77777777" w:rsidR="000C445E" w:rsidRPr="00274EA5" w:rsidRDefault="000C445E" w:rsidP="00274EA5">
      <w:pPr>
        <w:spacing w:line="480" w:lineRule="auto"/>
        <w:jc w:val="center"/>
        <w:rPr>
          <w:rFonts w:ascii="David" w:hAnsi="David"/>
          <w:b/>
          <w:bCs/>
          <w:sz w:val="32"/>
          <w:szCs w:val="32"/>
          <w:u w:val="single"/>
          <w:rtl/>
        </w:rPr>
      </w:pPr>
      <w:bookmarkStart w:id="5" w:name="PsakDin" w:colFirst="0" w:colLast="0"/>
      <w:bookmarkEnd w:id="0"/>
      <w:r w:rsidRPr="00274EA5">
        <w:rPr>
          <w:rFonts w:ascii="David" w:hAnsi="David"/>
          <w:b/>
          <w:bCs/>
          <w:sz w:val="32"/>
          <w:szCs w:val="32"/>
          <w:u w:val="single"/>
          <w:rtl/>
        </w:rPr>
        <w:t>גזר דין</w:t>
      </w:r>
    </w:p>
    <w:p w14:paraId="64A0EA21" w14:textId="77777777" w:rsidR="000C445E" w:rsidRPr="00274EA5" w:rsidRDefault="000C445E" w:rsidP="00274EA5">
      <w:pPr>
        <w:spacing w:line="480" w:lineRule="auto"/>
        <w:jc w:val="center"/>
        <w:rPr>
          <w:rFonts w:ascii="David" w:hAnsi="David"/>
          <w:bCs/>
          <w:sz w:val="32"/>
          <w:szCs w:val="32"/>
          <w:u w:val="single"/>
          <w:rtl/>
        </w:rPr>
      </w:pPr>
    </w:p>
    <w:bookmarkEnd w:id="5"/>
    <w:p w14:paraId="0C42EA3B" w14:textId="77777777" w:rsidR="0043659E" w:rsidRDefault="0043659E" w:rsidP="0043659E">
      <w:pPr>
        <w:spacing w:line="360" w:lineRule="auto"/>
        <w:ind w:left="2160"/>
        <w:jc w:val="both"/>
        <w:rPr>
          <w:rFonts w:ascii="FrankRuehl" w:hAnsi="FrankRuehl" w:cs="FrankRuehl"/>
          <w:i/>
          <w:iCs/>
          <w:rtl/>
        </w:rPr>
      </w:pPr>
    </w:p>
    <w:p w14:paraId="7E207EAB" w14:textId="77777777" w:rsidR="0043659E" w:rsidRPr="00E81B79" w:rsidRDefault="0043659E" w:rsidP="0043659E">
      <w:pPr>
        <w:spacing w:line="360" w:lineRule="auto"/>
        <w:ind w:left="2160"/>
        <w:jc w:val="both"/>
        <w:rPr>
          <w:rFonts w:ascii="Arial" w:hAnsi="Arial"/>
          <w:i/>
          <w:iCs/>
          <w:rtl/>
        </w:rPr>
      </w:pPr>
      <w:r w:rsidRPr="00E81B79">
        <w:rPr>
          <w:rFonts w:ascii="FrankRuehl" w:hAnsi="FrankRuehl" w:cs="FrankRuehl" w:hint="cs"/>
          <w:i/>
          <w:iCs/>
          <w:rtl/>
        </w:rPr>
        <w:t xml:space="preserve">" </w:t>
      </w:r>
      <w:r w:rsidRPr="00E81B79">
        <w:rPr>
          <w:rFonts w:ascii="FrankRuehl" w:hAnsi="FrankRuehl" w:cs="FrankRuehl"/>
          <w:i/>
          <w:iCs/>
          <w:rtl/>
        </w:rPr>
        <w:t xml:space="preserve">סמים הם מאבות החולי החברתי בן דורנו ומזמן. אם רצית להרוס חברה בריאה טע בה גידולי חולי הרסני זה. די בכך כדי להביאה אל עברי פי פחת. אויבי כל אומה לא </w:t>
      </w:r>
      <w:r w:rsidRPr="00E81B79">
        <w:rPr>
          <w:rFonts w:ascii="FrankRuehl" w:hAnsi="FrankRuehl" w:cs="FrankRuehl"/>
          <w:i/>
          <w:iCs/>
          <w:rtl/>
        </w:rPr>
        <w:lastRenderedPageBreak/>
        <w:t xml:space="preserve">צריכים לנצחה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אחרת מתחנן למנה, מתחייב לשתיים, וחוטף מנה אחת אפיים. תחילתם בקלים וסופם באובדן ועלפון חושים. עבירות רכוש, אלימות </w:t>
      </w:r>
      <w:r w:rsidRPr="00E81B79">
        <w:rPr>
          <w:rFonts w:ascii="FrankRuehl" w:hAnsi="FrankRuehl" w:cs="FrankRuehl" w:hint="cs"/>
          <w:i/>
          <w:iCs/>
          <w:rtl/>
        </w:rPr>
        <w:t>ו</w:t>
      </w:r>
      <w:r w:rsidRPr="00E81B79">
        <w:rPr>
          <w:rFonts w:ascii="FrankRuehl" w:hAnsi="FrankRuehl" w:cs="FrankRuehl"/>
          <w:i/>
          <w:iCs/>
          <w:rtl/>
        </w:rPr>
        <w:t xml:space="preserve">מין. </w:t>
      </w:r>
      <w:r w:rsidRPr="00E81B79">
        <w:rPr>
          <w:rFonts w:ascii="FrankRuehl" w:hAnsi="FrankRuehl" w:cs="FrankRuehl" w:hint="cs"/>
          <w:i/>
          <w:iCs/>
          <w:rtl/>
        </w:rPr>
        <w:t xml:space="preserve">גם ליודעי דת ודין </w:t>
      </w:r>
      <w:r w:rsidRPr="00E81B79">
        <w:rPr>
          <w:rFonts w:ascii="FrankRuehl" w:hAnsi="FrankRuehl" w:cs="FrankRuehl"/>
          <w:i/>
          <w:iCs/>
          <w:rtl/>
        </w:rPr>
        <w:t xml:space="preserve">. הפיתוי עצום. הריק קסום. הכסף קל. החוב כבד. </w:t>
      </w:r>
      <w:r w:rsidRPr="00E81B79">
        <w:rPr>
          <w:rFonts w:ascii="FrankRuehl" w:hAnsi="FrankRuehl" w:cs="FrankRuehl" w:hint="cs"/>
          <w:i/>
          <w:iCs/>
          <w:rtl/>
        </w:rPr>
        <w:t xml:space="preserve">תאבד נערה חושיה וחייה באובדן שליטה, תאבד משפחה יקיריה במאבק ארגוני פשיעה ומפגן שליטה. </w:t>
      </w:r>
      <w:r w:rsidRPr="00E81B79">
        <w:rPr>
          <w:rFonts w:ascii="FrankRuehl" w:hAnsi="FrankRuehl" w:cs="FrankRuehl"/>
          <w:i/>
          <w:iCs/>
          <w:rtl/>
        </w:rPr>
        <w:t xml:space="preserve"> ברוב עם. מעגל שוטה קם. מעגל סמים</w:t>
      </w:r>
      <w:r w:rsidRPr="00E81B79">
        <w:rPr>
          <w:rFonts w:ascii="FrankRuehl" w:hAnsi="FrankRuehl" w:cs="FrankRuehl" w:hint="cs"/>
          <w:i/>
          <w:iCs/>
          <w:rtl/>
        </w:rPr>
        <w:t xml:space="preserve"> רחוק מקסמים</w:t>
      </w:r>
      <w:r w:rsidRPr="00E81B79">
        <w:rPr>
          <w:rFonts w:ascii="FrankRuehl" w:hAnsi="FrankRuehl" w:cs="FrankRuehl"/>
          <w:i/>
          <w:iCs/>
          <w:rtl/>
        </w:rPr>
        <w:t>. גרם פה וגרם שם. הבור ריק יש בו סם. תחילתו בפשיעה, סופו בהרשעה</w:t>
      </w:r>
      <w:r w:rsidRPr="00E81B79">
        <w:rPr>
          <w:rFonts w:ascii="FrankRuehl" w:hAnsi="FrankRuehl" w:cs="FrankRuehl" w:hint="cs"/>
          <w:i/>
          <w:iCs/>
          <w:rtl/>
        </w:rPr>
        <w:t xml:space="preserve">. </w:t>
      </w:r>
      <w:r w:rsidRPr="00E81B79">
        <w:rPr>
          <w:rFonts w:ascii="FrankRuehl" w:hAnsi="FrankRuehl" w:cs="FrankRuehl"/>
          <w:i/>
          <w:iCs/>
          <w:rtl/>
        </w:rPr>
        <w:t xml:space="preserve"> הסקרנות מהשטן. הדוד סם.</w:t>
      </w:r>
      <w:r w:rsidRPr="00E81B79">
        <w:rPr>
          <w:rFonts w:ascii="FrankRuehl" w:hAnsi="FrankRuehl" w:cs="FrankRuehl" w:hint="cs"/>
          <w:i/>
          <w:iCs/>
          <w:rtl/>
        </w:rPr>
        <w:t xml:space="preserve"> הרס אדם וכל עם."</w:t>
      </w:r>
      <w:r w:rsidRPr="00E81B79">
        <w:rPr>
          <w:rFonts w:ascii="Arial" w:hAnsi="Arial" w:hint="cs"/>
          <w:i/>
          <w:iCs/>
          <w:rtl/>
        </w:rPr>
        <w:t xml:space="preserve"> </w:t>
      </w:r>
    </w:p>
    <w:p w14:paraId="3FA870E3" w14:textId="77777777" w:rsidR="0043659E" w:rsidRPr="000F2247" w:rsidRDefault="0043659E" w:rsidP="0043659E">
      <w:pPr>
        <w:rPr>
          <w:rFonts w:ascii="Arial" w:hAnsi="Arial"/>
          <w:b/>
          <w:bCs/>
          <w:sz w:val="26"/>
          <w:szCs w:val="26"/>
          <w:rtl/>
        </w:rPr>
      </w:pPr>
    </w:p>
    <w:p w14:paraId="3BFF9D97" w14:textId="77777777" w:rsidR="0043659E" w:rsidRDefault="0043659E" w:rsidP="0043659E">
      <w:pPr>
        <w:keepNext/>
        <w:keepLines/>
        <w:spacing w:line="480" w:lineRule="auto"/>
        <w:jc w:val="both"/>
        <w:outlineLvl w:val="0"/>
        <w:rPr>
          <w:rFonts w:ascii="FrankRuehl" w:hAnsi="FrankRuehl" w:cs="FrankRuehl"/>
          <w:b/>
          <w:bCs/>
          <w:sz w:val="26"/>
          <w:szCs w:val="26"/>
          <w:u w:val="single"/>
        </w:rPr>
      </w:pPr>
      <w:r>
        <w:rPr>
          <w:rFonts w:ascii="FrankRuehl" w:hAnsi="FrankRuehl" w:cs="FrankRuehl"/>
          <w:b/>
          <w:bCs/>
          <w:sz w:val="26"/>
          <w:szCs w:val="26"/>
          <w:u w:val="single"/>
          <w:rtl/>
        </w:rPr>
        <w:t>רקע</w:t>
      </w:r>
    </w:p>
    <w:p w14:paraId="584D7DA0" w14:textId="77777777" w:rsidR="0043659E" w:rsidRPr="0043659E" w:rsidRDefault="0043659E" w:rsidP="0043659E">
      <w:pPr>
        <w:pStyle w:val="aa"/>
        <w:numPr>
          <w:ilvl w:val="0"/>
          <w:numId w:val="1"/>
        </w:numPr>
        <w:spacing w:line="480" w:lineRule="auto"/>
        <w:jc w:val="both"/>
        <w:rPr>
          <w:rFonts w:ascii="FrankRuehl" w:hAnsi="FrankRuehl" w:cs="FrankRuehl"/>
          <w:sz w:val="26"/>
          <w:szCs w:val="26"/>
          <w:rtl/>
        </w:rPr>
      </w:pPr>
      <w:bookmarkStart w:id="6" w:name="ABSTRACT_START"/>
      <w:bookmarkEnd w:id="6"/>
      <w:r>
        <w:rPr>
          <w:rFonts w:ascii="FrankRuehl" w:hAnsi="FrankRuehl" w:cs="FrankRuehl"/>
          <w:sz w:val="26"/>
          <w:szCs w:val="26"/>
          <w:rtl/>
        </w:rPr>
        <w:t xml:space="preserve">הנאשם הורשע על פי הודאתו בכתב אישום מתוקן, בעבירה </w:t>
      </w:r>
      <w:r>
        <w:rPr>
          <w:rFonts w:ascii="FrankRuehl" w:hAnsi="FrankRuehl" w:cs="FrankRuehl"/>
          <w:b/>
          <w:bCs/>
          <w:sz w:val="26"/>
          <w:szCs w:val="26"/>
          <w:rtl/>
        </w:rPr>
        <w:t>של</w:t>
      </w:r>
      <w:r>
        <w:rPr>
          <w:rFonts w:ascii="FrankRuehl" w:hAnsi="FrankRuehl" w:cs="FrankRuehl"/>
          <w:b/>
          <w:bCs/>
          <w:sz w:val="26"/>
          <w:szCs w:val="26"/>
        </w:rPr>
        <w:t xml:space="preserve"> </w:t>
      </w:r>
      <w:r w:rsidRPr="00717103">
        <w:rPr>
          <w:rFonts w:ascii="FrankRuehl" w:hAnsi="FrankRuehl" w:cs="FrankRuehl"/>
          <w:b/>
          <w:bCs/>
          <w:sz w:val="26"/>
          <w:szCs w:val="26"/>
          <w:u w:val="single"/>
          <w:rtl/>
        </w:rPr>
        <w:t xml:space="preserve">סיוע </w:t>
      </w:r>
      <w:r>
        <w:rPr>
          <w:rFonts w:ascii="FrankRuehl" w:hAnsi="FrankRuehl" w:cs="FrankRuehl"/>
          <w:b/>
          <w:bCs/>
          <w:sz w:val="26"/>
          <w:szCs w:val="26"/>
          <w:rtl/>
        </w:rPr>
        <w:t>לגידול יצור הכנת סמים מסוכנים</w:t>
      </w:r>
      <w:r>
        <w:rPr>
          <w:rFonts w:ascii="FrankRuehl" w:hAnsi="FrankRuehl" w:cs="FrankRuehl"/>
          <w:sz w:val="26"/>
          <w:szCs w:val="26"/>
          <w:rtl/>
        </w:rPr>
        <w:t xml:space="preserve"> בהתאם להוראת </w:t>
      </w:r>
      <w:hyperlink w:history="1">
        <w:r w:rsidRPr="00274EA5">
          <w:rPr>
            <w:rFonts w:ascii="FrankRuehl" w:hAnsi="FrankRuehl" w:cs="FrankRuehl" w:hint="cs"/>
            <w:color w:val="000000"/>
            <w:sz w:val="26"/>
            <w:szCs w:val="26"/>
            <w:rtl/>
          </w:rPr>
          <w:t>סעיף 6</w:t>
        </w:r>
      </w:hyperlink>
      <w:r>
        <w:rPr>
          <w:rFonts w:ascii="FrankRuehl" w:hAnsi="FrankRuehl" w:cs="FrankRuehl" w:hint="cs"/>
          <w:sz w:val="26"/>
          <w:szCs w:val="26"/>
          <w:rtl/>
        </w:rPr>
        <w:t xml:space="preserve"> ל</w:t>
      </w:r>
      <w:hyperlink w:history="1">
        <w:r w:rsidRPr="00274EA5">
          <w:rPr>
            <w:rFonts w:ascii="FrankRuehl" w:hAnsi="FrankRuehl" w:cs="FrankRuehl" w:hint="cs"/>
            <w:color w:val="000000"/>
            <w:sz w:val="26"/>
            <w:szCs w:val="26"/>
            <w:rtl/>
          </w:rPr>
          <w:t>פקודת הסמים המסוכנים</w:t>
        </w:r>
      </w:hyperlink>
      <w:r>
        <w:rPr>
          <w:rFonts w:ascii="FrankRuehl" w:hAnsi="FrankRuehl" w:cs="FrankRuehl" w:hint="cs"/>
          <w:sz w:val="26"/>
          <w:szCs w:val="26"/>
          <w:rtl/>
        </w:rPr>
        <w:t xml:space="preserve"> [נוסח חדש], התשל"ג – 1973 (להלן: "</w:t>
      </w:r>
      <w:r>
        <w:rPr>
          <w:rFonts w:ascii="FrankRuehl" w:hAnsi="FrankRuehl" w:cs="FrankRuehl" w:hint="cs"/>
          <w:b/>
          <w:bCs/>
          <w:sz w:val="26"/>
          <w:szCs w:val="26"/>
          <w:rtl/>
        </w:rPr>
        <w:t>הפקודה</w:t>
      </w:r>
      <w:r>
        <w:rPr>
          <w:rFonts w:ascii="FrankRuehl" w:hAnsi="FrankRuehl" w:cs="FrankRuehl" w:hint="cs"/>
          <w:sz w:val="26"/>
          <w:szCs w:val="26"/>
          <w:rtl/>
        </w:rPr>
        <w:t xml:space="preserve">") בצירוף </w:t>
      </w:r>
      <w:hyperlink w:history="1">
        <w:r w:rsidRPr="00274EA5">
          <w:rPr>
            <w:rFonts w:ascii="FrankRuehl" w:hAnsi="FrankRuehl" w:cs="FrankRuehl" w:hint="cs"/>
            <w:color w:val="000000"/>
            <w:sz w:val="26"/>
            <w:szCs w:val="26"/>
            <w:rtl/>
          </w:rPr>
          <w:t>סעיף 31</w:t>
        </w:r>
      </w:hyperlink>
      <w:r>
        <w:rPr>
          <w:rFonts w:ascii="FrankRuehl" w:hAnsi="FrankRuehl" w:cs="FrankRuehl" w:hint="cs"/>
          <w:sz w:val="26"/>
          <w:szCs w:val="26"/>
          <w:rtl/>
        </w:rPr>
        <w:t xml:space="preserve"> ל</w:t>
      </w:r>
      <w:hyperlink w:history="1">
        <w:r w:rsidRPr="00274EA5">
          <w:rPr>
            <w:rFonts w:ascii="FrankRuehl" w:hAnsi="FrankRuehl" w:cs="FrankRuehl" w:hint="cs"/>
            <w:color w:val="000000"/>
            <w:sz w:val="26"/>
            <w:szCs w:val="26"/>
            <w:rtl/>
          </w:rPr>
          <w:t>חוק העונשין</w:t>
        </w:r>
      </w:hyperlink>
      <w:r>
        <w:rPr>
          <w:rFonts w:ascii="FrankRuehl" w:hAnsi="FrankRuehl" w:cs="FrankRuehl" w:hint="cs"/>
          <w:sz w:val="26"/>
          <w:szCs w:val="26"/>
          <w:rtl/>
        </w:rPr>
        <w:t>, התשל"ז- 1977 (להלן: "</w:t>
      </w:r>
      <w:r>
        <w:rPr>
          <w:rFonts w:ascii="FrankRuehl" w:hAnsi="FrankRuehl" w:cs="FrankRuehl" w:hint="cs"/>
          <w:b/>
          <w:bCs/>
          <w:sz w:val="26"/>
          <w:szCs w:val="26"/>
          <w:rtl/>
        </w:rPr>
        <w:t>החוק</w:t>
      </w:r>
      <w:r>
        <w:rPr>
          <w:rFonts w:ascii="FrankRuehl" w:hAnsi="FrankRuehl" w:cs="FrankRuehl" w:hint="cs"/>
          <w:sz w:val="26"/>
          <w:szCs w:val="26"/>
          <w:rtl/>
        </w:rPr>
        <w:t xml:space="preserve">") </w:t>
      </w:r>
    </w:p>
    <w:p w14:paraId="2FD93FD0" w14:textId="77777777" w:rsidR="0043659E" w:rsidRDefault="0043659E" w:rsidP="0043659E">
      <w:pPr>
        <w:pStyle w:val="aa"/>
        <w:numPr>
          <w:ilvl w:val="0"/>
          <w:numId w:val="1"/>
        </w:numPr>
        <w:spacing w:line="480" w:lineRule="auto"/>
        <w:jc w:val="both"/>
        <w:rPr>
          <w:rFonts w:ascii="FrankRuehl" w:hAnsi="FrankRuehl" w:cs="FrankRuehl"/>
          <w:sz w:val="26"/>
          <w:szCs w:val="26"/>
          <w:rtl/>
        </w:rPr>
      </w:pPr>
      <w:bookmarkStart w:id="7" w:name="ABSTRACT_END"/>
      <w:bookmarkEnd w:id="7"/>
      <w:r>
        <w:rPr>
          <w:rFonts w:ascii="FrankRuehl" w:hAnsi="FrankRuehl" w:cs="FrankRuehl"/>
          <w:sz w:val="26"/>
          <w:szCs w:val="26"/>
          <w:rtl/>
        </w:rPr>
        <w:t>על פי המתואר בעובדות כתב האישום המתוקן, בתאריך 20.6.2019 בשעה 18:00 לערך, בשטח סמוך לישוב תלמי בילו (להלן: "</w:t>
      </w:r>
      <w:r>
        <w:rPr>
          <w:rFonts w:ascii="FrankRuehl" w:hAnsi="FrankRuehl" w:cs="FrankRuehl"/>
          <w:b/>
          <w:bCs/>
          <w:sz w:val="26"/>
          <w:szCs w:val="26"/>
          <w:rtl/>
        </w:rPr>
        <w:t>המקום</w:t>
      </w:r>
      <w:r>
        <w:rPr>
          <w:rFonts w:ascii="FrankRuehl" w:hAnsi="FrankRuehl" w:cs="FrankRuehl"/>
          <w:sz w:val="26"/>
          <w:szCs w:val="26"/>
          <w:rtl/>
        </w:rPr>
        <w:t>") סייע הנאשם, לאחרים (בכך שהשקה את שתילים) , לגדל בשני מתחמים צמודים ומגודרים, 516 שתילים של סמים מסוכנים מסוג קנבוס, במשקל כולל של 2,551.9 גרם נטו, וזאת מבלי שקיבלו רישיון לכך מאת המנהל.</w:t>
      </w:r>
    </w:p>
    <w:p w14:paraId="3C71DC7D" w14:textId="77777777" w:rsidR="0043659E" w:rsidRPr="00007358" w:rsidRDefault="0043659E" w:rsidP="0043659E">
      <w:pPr>
        <w:spacing w:line="480" w:lineRule="auto"/>
        <w:rPr>
          <w:rFonts w:ascii="FrankRuehl" w:hAnsi="FrankRuehl" w:cs="FrankRuehl"/>
          <w:b/>
          <w:bCs/>
          <w:sz w:val="26"/>
          <w:szCs w:val="26"/>
        </w:rPr>
      </w:pPr>
      <w:r w:rsidRPr="00007358">
        <w:rPr>
          <w:rFonts w:ascii="FrankRuehl" w:hAnsi="FrankRuehl" w:cs="FrankRuehl"/>
          <w:b/>
          <w:bCs/>
          <w:sz w:val="26"/>
          <w:szCs w:val="26"/>
          <w:u w:val="single"/>
          <w:rtl/>
        </w:rPr>
        <w:t>חוות דעת ממונה</w:t>
      </w:r>
      <w:r w:rsidRPr="00007358">
        <w:rPr>
          <w:rFonts w:ascii="FrankRuehl" w:hAnsi="FrankRuehl" w:cs="FrankRuehl"/>
          <w:b/>
          <w:bCs/>
          <w:sz w:val="26"/>
          <w:szCs w:val="26"/>
          <w:rtl/>
        </w:rPr>
        <w:t xml:space="preserve">: </w:t>
      </w:r>
    </w:p>
    <w:p w14:paraId="77247DA6" w14:textId="77777777" w:rsidR="0043659E" w:rsidRDefault="0043659E" w:rsidP="0043659E">
      <w:pPr>
        <w:pStyle w:val="aa"/>
        <w:numPr>
          <w:ilvl w:val="0"/>
          <w:numId w:val="1"/>
        </w:numPr>
        <w:spacing w:after="0" w:line="480" w:lineRule="auto"/>
        <w:jc w:val="both"/>
        <w:rPr>
          <w:rFonts w:ascii="FrankRuehl" w:hAnsi="FrankRuehl" w:cs="FrankRuehl"/>
          <w:sz w:val="26"/>
          <w:szCs w:val="26"/>
        </w:rPr>
      </w:pPr>
      <w:r>
        <w:rPr>
          <w:rFonts w:ascii="FrankRuehl" w:hAnsi="FrankRuehl" w:cs="FrankRuehl"/>
          <w:sz w:val="26"/>
          <w:szCs w:val="26"/>
          <w:rtl/>
        </w:rPr>
        <w:t>בעניינו של הנאשם הוגשה חוות דעת מטעם הממונה על עבודות השירות, הנאשם נמצא כשיר לביצוען.</w:t>
      </w:r>
    </w:p>
    <w:p w14:paraId="4DF54C21" w14:textId="77777777" w:rsidR="0043659E" w:rsidRPr="0043659E" w:rsidRDefault="0043659E" w:rsidP="0043659E">
      <w:pPr>
        <w:spacing w:line="480" w:lineRule="auto"/>
        <w:jc w:val="both"/>
        <w:rPr>
          <w:rFonts w:ascii="FrankRuehl" w:eastAsia="Calibri" w:hAnsi="FrankRuehl" w:cs="FrankRuehl"/>
          <w:b/>
          <w:bCs/>
          <w:sz w:val="26"/>
          <w:szCs w:val="26"/>
          <w:u w:val="single"/>
        </w:rPr>
      </w:pPr>
      <w:r>
        <w:rPr>
          <w:rFonts w:ascii="FrankRuehl" w:hAnsi="FrankRuehl" w:cs="FrankRuehl"/>
          <w:sz w:val="26"/>
          <w:szCs w:val="26"/>
          <w:rtl/>
        </w:rPr>
        <w:t xml:space="preserve">  </w:t>
      </w:r>
      <w:r>
        <w:rPr>
          <w:rFonts w:ascii="FrankRuehl" w:hAnsi="FrankRuehl" w:cs="FrankRuehl"/>
          <w:b/>
          <w:bCs/>
          <w:sz w:val="26"/>
          <w:szCs w:val="26"/>
          <w:u w:val="single"/>
          <w:rtl/>
        </w:rPr>
        <w:t>ראיות לעונש:</w:t>
      </w:r>
    </w:p>
    <w:p w14:paraId="56766D85" w14:textId="77777777" w:rsidR="0043659E" w:rsidRDefault="0043659E" w:rsidP="0043659E">
      <w:pPr>
        <w:pStyle w:val="aa"/>
        <w:numPr>
          <w:ilvl w:val="0"/>
          <w:numId w:val="1"/>
        </w:numPr>
        <w:spacing w:line="480" w:lineRule="auto"/>
        <w:jc w:val="both"/>
        <w:rPr>
          <w:rFonts w:ascii="FrankRuehl" w:hAnsi="FrankRuehl" w:cs="FrankRuehl"/>
          <w:b/>
          <w:bCs/>
          <w:sz w:val="26"/>
          <w:szCs w:val="26"/>
          <w:u w:val="single"/>
          <w:rtl/>
        </w:rPr>
      </w:pPr>
      <w:r>
        <w:rPr>
          <w:rFonts w:ascii="FrankRuehl" w:hAnsi="FrankRuehl" w:cs="FrankRuehl"/>
          <w:sz w:val="26"/>
          <w:szCs w:val="26"/>
          <w:rtl/>
        </w:rPr>
        <w:t>מטעם המאשימה הוגשו תדפיס מידע פלילי-תעבורה (ת/2), תדפיס מידע פלילי (ת/3)</w:t>
      </w:r>
    </w:p>
    <w:p w14:paraId="185477DD" w14:textId="77777777" w:rsidR="0043659E" w:rsidRDefault="0043659E" w:rsidP="0043659E">
      <w:pPr>
        <w:spacing w:line="480" w:lineRule="auto"/>
        <w:jc w:val="both"/>
        <w:rPr>
          <w:rFonts w:ascii="FrankRuehl" w:hAnsi="FrankRuehl" w:cs="FrankRuehl"/>
          <w:sz w:val="26"/>
          <w:szCs w:val="26"/>
        </w:rPr>
      </w:pPr>
      <w:r>
        <w:rPr>
          <w:rFonts w:ascii="FrankRuehl" w:hAnsi="FrankRuehl" w:cs="FrankRuehl"/>
          <w:b/>
          <w:bCs/>
          <w:sz w:val="26"/>
          <w:szCs w:val="26"/>
          <w:u w:val="single"/>
          <w:rtl/>
        </w:rPr>
        <w:t>תמצית טיעוני הצדדים</w:t>
      </w:r>
      <w:r>
        <w:rPr>
          <w:rFonts w:ascii="FrankRuehl" w:hAnsi="FrankRuehl" w:cs="FrankRuehl"/>
          <w:sz w:val="26"/>
          <w:szCs w:val="26"/>
          <w:rtl/>
        </w:rPr>
        <w:t xml:space="preserve">: </w:t>
      </w:r>
    </w:p>
    <w:p w14:paraId="7B870604" w14:textId="77777777" w:rsidR="0043659E" w:rsidRDefault="0043659E" w:rsidP="0043659E">
      <w:pPr>
        <w:pStyle w:val="aa"/>
        <w:spacing w:line="480" w:lineRule="auto"/>
        <w:ind w:left="360"/>
        <w:jc w:val="both"/>
        <w:rPr>
          <w:rFonts w:ascii="FrankRuehl" w:hAnsi="FrankRuehl" w:cs="FrankRuehl"/>
          <w:b/>
          <w:bCs/>
          <w:sz w:val="26"/>
          <w:szCs w:val="26"/>
          <w:u w:val="single"/>
        </w:rPr>
      </w:pPr>
      <w:r>
        <w:rPr>
          <w:rFonts w:ascii="FrankRuehl" w:hAnsi="FrankRuehl" w:cs="FrankRuehl"/>
          <w:b/>
          <w:bCs/>
          <w:sz w:val="26"/>
          <w:szCs w:val="26"/>
          <w:u w:val="single"/>
          <w:rtl/>
        </w:rPr>
        <w:t xml:space="preserve">תמצית טענות המאשימה : </w:t>
      </w:r>
    </w:p>
    <w:p w14:paraId="05FEB228" w14:textId="77777777" w:rsidR="0043659E" w:rsidRDefault="0043659E" w:rsidP="0043659E">
      <w:pPr>
        <w:pStyle w:val="aa"/>
        <w:numPr>
          <w:ilvl w:val="0"/>
          <w:numId w:val="1"/>
        </w:numPr>
        <w:spacing w:line="480" w:lineRule="auto"/>
        <w:jc w:val="both"/>
        <w:rPr>
          <w:rFonts w:ascii="FrankRuehl" w:hAnsi="FrankRuehl" w:cs="FrankRuehl"/>
          <w:b/>
          <w:bCs/>
          <w:sz w:val="26"/>
          <w:szCs w:val="26"/>
          <w:u w:val="single"/>
        </w:rPr>
      </w:pPr>
      <w:r>
        <w:rPr>
          <w:rFonts w:ascii="FrankRuehl" w:hAnsi="FrankRuehl" w:cs="FrankRuehl"/>
          <w:sz w:val="26"/>
          <w:szCs w:val="26"/>
          <w:rtl/>
        </w:rPr>
        <w:t xml:space="preserve">המאשימה הגישה טיעוניה בכתב ובעל פה. </w:t>
      </w:r>
    </w:p>
    <w:p w14:paraId="17054ED3" w14:textId="77777777" w:rsidR="0043659E" w:rsidRPr="00717103"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b/>
          <w:bCs/>
          <w:sz w:val="26"/>
          <w:szCs w:val="26"/>
          <w:rtl/>
        </w:rPr>
        <w:lastRenderedPageBreak/>
        <w:t>ב״כ המאשימה</w:t>
      </w:r>
      <w:r>
        <w:rPr>
          <w:rFonts w:ascii="FrankRuehl" w:hAnsi="FrankRuehl" w:cs="FrankRuehl"/>
          <w:sz w:val="26"/>
          <w:szCs w:val="26"/>
          <w:rtl/>
        </w:rPr>
        <w:t xml:space="preserve">, הפנתה למיוחס לנאשם בכתב האישום ולערכים המוגנים בהם פגע, הגנה על שלום ובריאות הציבור מפני פגיעתם הקשה של סמים מסוכנים ומניעת נזקים כלכליים וחברתיים עקיפים, תוך הפניה לפסיקה, ולסעיף </w:t>
      </w:r>
      <w:hyperlink r:id="rId18" w:history="1">
        <w:r w:rsidR="000C445E" w:rsidRPr="000C445E">
          <w:rPr>
            <w:rStyle w:val="Hyperlink"/>
            <w:rFonts w:ascii="FrankRuehl" w:hAnsi="FrankRuehl" w:cs="FrankRuehl"/>
            <w:sz w:val="26"/>
            <w:szCs w:val="26"/>
            <w:rtl/>
          </w:rPr>
          <w:t>6</w:t>
        </w:r>
      </w:hyperlink>
      <w:r>
        <w:rPr>
          <w:rFonts w:ascii="FrankRuehl" w:hAnsi="FrankRuehl" w:cs="FrankRuehl"/>
          <w:sz w:val="26"/>
          <w:szCs w:val="26"/>
          <w:rtl/>
        </w:rPr>
        <w:t xml:space="preserve"> ל</w:t>
      </w:r>
      <w:hyperlink r:id="rId19" w:history="1">
        <w:r w:rsidR="00274EA5" w:rsidRPr="00274EA5">
          <w:rPr>
            <w:rFonts w:ascii="FrankRuehl" w:hAnsi="FrankRuehl" w:cs="FrankRuehl"/>
            <w:color w:val="0000FF"/>
            <w:sz w:val="26"/>
            <w:szCs w:val="26"/>
            <w:u w:val="single"/>
            <w:rtl/>
          </w:rPr>
          <w:t>פקודת הסמים המסוכנים</w:t>
        </w:r>
      </w:hyperlink>
      <w:r>
        <w:rPr>
          <w:rFonts w:ascii="FrankRuehl" w:hAnsi="FrankRuehl" w:cs="FrankRuehl"/>
          <w:sz w:val="26"/>
          <w:szCs w:val="26"/>
          <w:rtl/>
        </w:rPr>
        <w:t>, ולעובדה כי המחוקק לא הבדיל בין גידול סם לצריכה עצמית, לבין גידול שלא לצריכה עצמית, וקבע עונש זהה לעבירה.</w:t>
      </w:r>
    </w:p>
    <w:p w14:paraId="41ADA129"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לעניין נסיבות הקשורות בביצוע העבירה, טענה המאשימה כי, מדובר במי שסייע לנאשמים אחרים בגידול סמים מסוכנים, העלולים להתגלגל ולהגיע לרחובות, וכי אומנם הסמים נתפסו, ואין מדובר בנזק ישיר שנגרם לציבור, אך יש ליתן את הדעת לנזק הפוטנציאלי ולסכנה התמונה בסם.</w:t>
      </w:r>
    </w:p>
    <w:p w14:paraId="3D0C77B0" w14:textId="77777777" w:rsidR="0043659E" w:rsidRDefault="0043659E" w:rsidP="0043659E">
      <w:pPr>
        <w:pStyle w:val="aa"/>
        <w:numPr>
          <w:ilvl w:val="0"/>
          <w:numId w:val="1"/>
        </w:numPr>
        <w:spacing w:line="480" w:lineRule="auto"/>
        <w:jc w:val="both"/>
        <w:rPr>
          <w:rFonts w:ascii="FrankRuehl" w:hAnsi="FrankRuehl" w:cs="FrankRuehl"/>
          <w:b/>
          <w:bCs/>
          <w:sz w:val="26"/>
          <w:szCs w:val="26"/>
        </w:rPr>
      </w:pPr>
      <w:r>
        <w:rPr>
          <w:rFonts w:ascii="FrankRuehl" w:hAnsi="FrankRuehl" w:cs="FrankRuehl"/>
          <w:sz w:val="26"/>
          <w:szCs w:val="26"/>
          <w:rtl/>
        </w:rPr>
        <w:t xml:space="preserve">המאשימה סברה כי מתחם העונש ההולם בגין מעשיו של הנאשם, באשר לעבירה של גידול הסם, נע בין 8-18 חודשי מאסר בפועל, ובנוסף </w:t>
      </w:r>
      <w:r>
        <w:rPr>
          <w:rFonts w:ascii="FrankRuehl" w:hAnsi="FrankRuehl" w:cs="FrankRuehl" w:hint="cs"/>
          <w:sz w:val="26"/>
          <w:szCs w:val="26"/>
          <w:rtl/>
        </w:rPr>
        <w:t xml:space="preserve">עתרה </w:t>
      </w:r>
      <w:r>
        <w:rPr>
          <w:rFonts w:ascii="FrankRuehl" w:hAnsi="FrankRuehl" w:cs="FrankRuehl"/>
          <w:sz w:val="26"/>
          <w:szCs w:val="26"/>
          <w:rtl/>
        </w:rPr>
        <w:t>להטיל על הנאשם פסילת רישיון נהיגה בפועל ועל תנאי, קנס כספי והתחייבות להימנע מעבירות.</w:t>
      </w:r>
    </w:p>
    <w:p w14:paraId="225873F4"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באשר לנסיבות שאינן קשורות בביצוע העבירה, לחובת הנאשם הרשעה נוספת, בגין עבירה של הסעת תושב זר השוהה שלא כדין, ואשר בגינה  הוטל עליו מאסר בפועל בדרך של עבודות שרות, יחד עם מאסר מותנה וקנס.</w:t>
      </w:r>
    </w:p>
    <w:p w14:paraId="36652963"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בסיום טיעוניה, עתרה המאשימה לעונש שיעמוד בחלקו הנמוך, אך לא התחתון של המתחם, בנוסף למאסר מותנה, פסילת רישיון נהיגה בפועל, פסילה על תנאי, קנס כספי, והתחייבות.</w:t>
      </w:r>
    </w:p>
    <w:p w14:paraId="61F19B52" w14:textId="77777777" w:rsidR="0043659E" w:rsidRDefault="0043659E" w:rsidP="0043659E">
      <w:pPr>
        <w:spacing w:line="480" w:lineRule="auto"/>
        <w:jc w:val="both"/>
        <w:rPr>
          <w:rFonts w:ascii="FrankRuehl" w:hAnsi="FrankRuehl" w:cs="FrankRuehl"/>
          <w:b/>
          <w:bCs/>
          <w:sz w:val="26"/>
          <w:szCs w:val="26"/>
          <w:u w:val="single"/>
        </w:rPr>
      </w:pPr>
      <w:r>
        <w:rPr>
          <w:rFonts w:ascii="FrankRuehl" w:hAnsi="FrankRuehl" w:cs="FrankRuehl"/>
          <w:b/>
          <w:bCs/>
          <w:sz w:val="26"/>
          <w:szCs w:val="26"/>
          <w:u w:val="single"/>
          <w:rtl/>
        </w:rPr>
        <w:t xml:space="preserve">תמצית טענות ההגנה : </w:t>
      </w:r>
    </w:p>
    <w:p w14:paraId="0CE08943"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ב"כ הנאשם, חלק על טענת המאשימה למסוכנות הנאשם, נוכח העובדה כי העבירה בוצעה בשנת 2019 ואילו כתב אישום הוגש רק בשנת 2021 , כתב האישום תוקן לעבירת סיוע, הנאשם אינו הבעלים של הסמים, ובהתאם לכך העונש על העבירה הינו </w:t>
      </w:r>
      <w:r w:rsidRPr="00717103">
        <w:rPr>
          <w:rFonts w:ascii="FrankRuehl" w:hAnsi="FrankRuehl" w:cs="FrankRuehl"/>
          <w:sz w:val="26"/>
          <w:szCs w:val="26"/>
          <w:u w:val="single"/>
          <w:rtl/>
        </w:rPr>
        <w:t>מחצית מהעונש</w:t>
      </w:r>
      <w:r>
        <w:rPr>
          <w:rFonts w:ascii="FrankRuehl" w:hAnsi="FrankRuehl" w:cs="FrankRuehl"/>
          <w:sz w:val="26"/>
          <w:szCs w:val="26"/>
          <w:rtl/>
        </w:rPr>
        <w:t xml:space="preserve"> על העבירה המוגמרת, במיוחד בתיקי סמים, והפנה לפסיקה התומכת טיעוניו.</w:t>
      </w:r>
    </w:p>
    <w:p w14:paraId="1CFE751B"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ב"כ הנאשם ציין כי לא נפתחו לנאשם תיקים חדשים, הנאשם הודה בהזדמנות הראשונה, לקח אחריות למעשיו, ולפיכך עונשו צריך להיות בטווח של חודש עד 5 חודשים. </w:t>
      </w:r>
    </w:p>
    <w:p w14:paraId="68DF5543"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לסיום ציין ב"כ הנאשם, כי שוחח עם הנאשם, הוא הביע חרטה על מעשיו, טען כי לא הוביל סמים ברכב, רישיון הנהיגה חשוב לו, הוא גר בפזורה, ללא תחבורה ציבורית זמינה, אשתו עקרת בית, הוא מפרנס יחיד, הרכב הוא כלי פרנסתו, ומשמש אף לקחת את 4 ילדיו לבית הספר.</w:t>
      </w:r>
    </w:p>
    <w:p w14:paraId="5AD6DDFB" w14:textId="77777777" w:rsidR="0043659E" w:rsidRDefault="0043659E" w:rsidP="0043659E">
      <w:pPr>
        <w:spacing w:line="480" w:lineRule="auto"/>
        <w:jc w:val="both"/>
        <w:rPr>
          <w:rFonts w:ascii="FrankRuehl" w:hAnsi="FrankRuehl" w:cs="FrankRuehl"/>
          <w:b/>
          <w:bCs/>
          <w:sz w:val="26"/>
          <w:szCs w:val="26"/>
          <w:u w:val="single"/>
          <w:rtl/>
        </w:rPr>
      </w:pPr>
      <w:r>
        <w:rPr>
          <w:rFonts w:ascii="FrankRuehl" w:hAnsi="FrankRuehl" w:cs="FrankRuehl"/>
          <w:b/>
          <w:bCs/>
          <w:sz w:val="26"/>
          <w:szCs w:val="26"/>
          <w:u w:val="single"/>
          <w:rtl/>
        </w:rPr>
        <w:t>קביעת מתחם העונש ההולם:</w:t>
      </w:r>
    </w:p>
    <w:p w14:paraId="000EBC95"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lang w:eastAsia="he-IL"/>
        </w:rPr>
        <w:t xml:space="preserve">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עליו. ביישום עיקרון ההלימה וקביעת מתחם העונש במקרה קונקרטי, בית המשפט יתחשב בשלושת אלה: </w:t>
      </w:r>
      <w:r>
        <w:rPr>
          <w:rFonts w:ascii="FrankRuehl" w:hAnsi="FrankRuehl" w:cs="FrankRuehl"/>
          <w:b/>
          <w:bCs/>
          <w:sz w:val="26"/>
          <w:szCs w:val="26"/>
          <w:rtl/>
          <w:lang w:eastAsia="he-IL"/>
        </w:rPr>
        <w:t>הערך החברתי</w:t>
      </w:r>
      <w:r>
        <w:rPr>
          <w:rFonts w:ascii="FrankRuehl" w:hAnsi="FrankRuehl" w:cs="FrankRuehl"/>
          <w:sz w:val="26"/>
          <w:szCs w:val="26"/>
          <w:rtl/>
          <w:lang w:eastAsia="he-IL"/>
        </w:rPr>
        <w:t xml:space="preserve"> שנפגע </w:t>
      </w:r>
      <w:r>
        <w:rPr>
          <w:rFonts w:ascii="FrankRuehl" w:hAnsi="FrankRuehl" w:cs="FrankRuehl"/>
          <w:b/>
          <w:bCs/>
          <w:sz w:val="26"/>
          <w:szCs w:val="26"/>
          <w:rtl/>
          <w:lang w:eastAsia="he-IL"/>
        </w:rPr>
        <w:t>ומידת הפגיעה</w:t>
      </w:r>
      <w:r>
        <w:rPr>
          <w:rFonts w:ascii="FrankRuehl" w:hAnsi="FrankRuehl" w:cs="FrankRuehl"/>
          <w:sz w:val="26"/>
          <w:szCs w:val="26"/>
          <w:rtl/>
          <w:lang w:eastAsia="he-IL"/>
        </w:rPr>
        <w:t xml:space="preserve"> בו; </w:t>
      </w:r>
      <w:r>
        <w:rPr>
          <w:rFonts w:ascii="FrankRuehl" w:hAnsi="FrankRuehl" w:cs="FrankRuehl"/>
          <w:b/>
          <w:bCs/>
          <w:sz w:val="26"/>
          <w:szCs w:val="26"/>
          <w:rtl/>
          <w:lang w:eastAsia="he-IL"/>
        </w:rPr>
        <w:t>מדיניות הענישה</w:t>
      </w:r>
      <w:r>
        <w:rPr>
          <w:rFonts w:ascii="FrankRuehl" w:hAnsi="FrankRuehl" w:cs="FrankRuehl"/>
          <w:sz w:val="26"/>
          <w:szCs w:val="26"/>
          <w:rtl/>
          <w:lang w:eastAsia="he-IL"/>
        </w:rPr>
        <w:t xml:space="preserve"> הנוהגת; והכל </w:t>
      </w:r>
      <w:r>
        <w:rPr>
          <w:rFonts w:ascii="FrankRuehl" w:hAnsi="FrankRuehl" w:cs="FrankRuehl"/>
          <w:b/>
          <w:bCs/>
          <w:sz w:val="26"/>
          <w:szCs w:val="26"/>
          <w:rtl/>
          <w:lang w:eastAsia="he-IL"/>
        </w:rPr>
        <w:t>בנסיבות הקשורות בביצוע העבירה</w:t>
      </w:r>
      <w:r>
        <w:rPr>
          <w:rFonts w:ascii="FrankRuehl" w:hAnsi="FrankRuehl" w:cs="FrankRuehl"/>
          <w:sz w:val="26"/>
          <w:szCs w:val="26"/>
          <w:rtl/>
          <w:lang w:eastAsia="he-IL"/>
        </w:rPr>
        <w:t>.</w:t>
      </w:r>
      <w:r>
        <w:rPr>
          <w:rFonts w:ascii="FrankRuehl" w:hAnsi="FrankRuehl" w:cs="FrankRuehl"/>
          <w:sz w:val="26"/>
          <w:szCs w:val="26"/>
          <w:rtl/>
        </w:rPr>
        <w:t xml:space="preserve"> (</w:t>
      </w:r>
      <w:hyperlink r:id="rId20" w:history="1">
        <w:r w:rsidR="000C445E" w:rsidRPr="000C445E">
          <w:rPr>
            <w:rStyle w:val="Hyperlink"/>
            <w:rFonts w:ascii="FrankRuehl" w:hAnsi="FrankRuehl" w:cs="FrankRuehl"/>
            <w:sz w:val="26"/>
            <w:szCs w:val="26"/>
            <w:rtl/>
          </w:rPr>
          <w:t>סעיף 40ג(א)</w:t>
        </w:r>
      </w:hyperlink>
      <w:r>
        <w:rPr>
          <w:rFonts w:ascii="FrankRuehl" w:hAnsi="FrankRuehl" w:cs="FrankRuehl"/>
          <w:sz w:val="26"/>
          <w:szCs w:val="26"/>
          <w:rtl/>
        </w:rPr>
        <w:t xml:space="preserve"> ל</w:t>
      </w:r>
      <w:hyperlink r:id="rId21" w:history="1">
        <w:r w:rsidR="00274EA5" w:rsidRPr="00274EA5">
          <w:rPr>
            <w:rFonts w:ascii="FrankRuehl" w:hAnsi="FrankRuehl" w:cs="FrankRuehl"/>
            <w:color w:val="0000FF"/>
            <w:sz w:val="26"/>
            <w:szCs w:val="26"/>
            <w:u w:val="single"/>
            <w:rtl/>
          </w:rPr>
          <w:t>חוק העונשין</w:t>
        </w:r>
      </w:hyperlink>
      <w:r>
        <w:rPr>
          <w:rFonts w:ascii="FrankRuehl" w:hAnsi="FrankRuehl" w:cs="FrankRuehl"/>
          <w:sz w:val="26"/>
          <w:szCs w:val="26"/>
          <w:rtl/>
        </w:rPr>
        <w:t>).</w:t>
      </w:r>
    </w:p>
    <w:p w14:paraId="50653DCD" w14:textId="77777777" w:rsidR="0043659E" w:rsidRDefault="0043659E" w:rsidP="0043659E">
      <w:pPr>
        <w:pStyle w:val="aa"/>
        <w:numPr>
          <w:ilvl w:val="0"/>
          <w:numId w:val="1"/>
        </w:numPr>
        <w:spacing w:line="480" w:lineRule="auto"/>
        <w:jc w:val="both"/>
        <w:rPr>
          <w:rFonts w:ascii="FrankRuehl" w:hAnsi="FrankRuehl" w:cs="FrankRuehl"/>
          <w:sz w:val="26"/>
          <w:szCs w:val="26"/>
          <w:rtl/>
        </w:rPr>
      </w:pPr>
      <w:r>
        <w:rPr>
          <w:rFonts w:ascii="FrankRuehl" w:hAnsi="FrankRuehl" w:cs="FrankRuehl"/>
          <w:sz w:val="26"/>
          <w:szCs w:val="26"/>
          <w:rtl/>
        </w:rPr>
        <w:t xml:space="preserve">בהתאם </w:t>
      </w:r>
      <w:hyperlink r:id="rId22" w:history="1">
        <w:r w:rsidR="000C445E" w:rsidRPr="000C445E">
          <w:rPr>
            <w:rStyle w:val="Hyperlink"/>
            <w:rFonts w:ascii="FrankRuehl" w:hAnsi="FrankRuehl" w:cs="FrankRuehl"/>
            <w:sz w:val="26"/>
            <w:szCs w:val="26"/>
            <w:rtl/>
          </w:rPr>
          <w:t>לסעיף 40ב'</w:t>
        </w:r>
      </w:hyperlink>
      <w:r>
        <w:rPr>
          <w:rFonts w:ascii="FrankRuehl" w:hAnsi="FrankRuehl" w:cs="FrankRuehl"/>
          <w:sz w:val="26"/>
          <w:szCs w:val="26"/>
          <w:rtl/>
        </w:rPr>
        <w:t xml:space="preserve"> ב</w:t>
      </w:r>
      <w:hyperlink r:id="rId23" w:history="1">
        <w:r w:rsidR="00274EA5" w:rsidRPr="00274EA5">
          <w:rPr>
            <w:rFonts w:ascii="FrankRuehl" w:hAnsi="FrankRuehl" w:cs="FrankRuehl"/>
            <w:color w:val="0000FF"/>
            <w:sz w:val="26"/>
            <w:szCs w:val="26"/>
            <w:u w:val="single"/>
            <w:rtl/>
          </w:rPr>
          <w:t>חוק העונשין</w:t>
        </w:r>
      </w:hyperlink>
      <w:r>
        <w:rPr>
          <w:rFonts w:ascii="FrankRuehl" w:hAnsi="FrankRuehl" w:cs="FrankRuehl"/>
          <w:sz w:val="26"/>
          <w:szCs w:val="26"/>
          <w:rtl/>
        </w:rPr>
        <w:t xml:space="preserve">, </w:t>
      </w:r>
      <w:r>
        <w:rPr>
          <w:rFonts w:ascii="FrankRuehl" w:hAnsi="FrankRuehl" w:cs="FrankRuehl"/>
          <w:sz w:val="26"/>
          <w:szCs w:val="26"/>
          <w:u w:val="single"/>
          <w:rtl/>
        </w:rPr>
        <w:t>העיקרון המנחה בענישה הוא ההלימה</w:t>
      </w:r>
      <w:r>
        <w:rPr>
          <w:rFonts w:ascii="FrankRuehl" w:hAnsi="FrankRuehl" w:cs="FrankRuehl"/>
          <w:sz w:val="26"/>
          <w:szCs w:val="26"/>
          <w:rtl/>
        </w:rPr>
        <w:t xml:space="preserve">. היינו יחס הולם בין חומרת מעשה העבירה, ונסיבותיו ומידת אשם הנאשם לסוג ומידת העונש המוטל. </w:t>
      </w:r>
    </w:p>
    <w:p w14:paraId="5700B89D" w14:textId="77777777" w:rsidR="0043659E" w:rsidRDefault="0043659E" w:rsidP="0043659E">
      <w:pPr>
        <w:pStyle w:val="aa"/>
        <w:numPr>
          <w:ilvl w:val="0"/>
          <w:numId w:val="1"/>
        </w:numPr>
        <w:spacing w:after="200" w:line="480" w:lineRule="auto"/>
        <w:jc w:val="both"/>
        <w:rPr>
          <w:rFonts w:ascii="FrankRuehl" w:hAnsi="FrankRuehl" w:cs="FrankRuehl"/>
          <w:b/>
          <w:bCs/>
          <w:sz w:val="26"/>
          <w:szCs w:val="26"/>
          <w:u w:val="single"/>
          <w:rtl/>
        </w:rPr>
      </w:pPr>
      <w:r>
        <w:rPr>
          <w:rFonts w:ascii="FrankRuehl" w:hAnsi="FrankRuehl" w:cs="FrankRuehl"/>
          <w:sz w:val="26"/>
          <w:szCs w:val="26"/>
          <w:rtl/>
          <w:lang w:eastAsia="he-IL"/>
        </w:rPr>
        <w:t>מדובר בעבירה אחת של סיוע לגידול סמים, ולפיכך, משמדובר באירוע אחד יקבע מתחם אחד.</w:t>
      </w:r>
    </w:p>
    <w:p w14:paraId="51B75007"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הערך החברתי המוגן העומד בבסיס עבירות הסמים הנו בראש ובראשונה בריאות הציבור. בתי המשפט חזרו רבות על הצורך במיגור עבירות אלו וזאת בכל שלבי מערך הפצת הסם, החל בשימוש עצמי וכלה בעבירות הסחר החמורות. </w:t>
      </w:r>
      <w:bookmarkStart w:id="8" w:name="_Hlk25412850"/>
      <w:r>
        <w:rPr>
          <w:rFonts w:ascii="FrankRuehl" w:hAnsi="FrankRuehl" w:cs="FrankRuehl"/>
          <w:sz w:val="26"/>
          <w:szCs w:val="26"/>
          <w:rtl/>
        </w:rPr>
        <w:t>העבירה של גידול והפקת סם מגלמת בתוכה חומרה יתרה בשים לב לכך שבביצועה יש משום יצור, יש מאין, שרשרת חדשה של הפצת הסם שבסופם תמצא דרכה לצרכני הסמים החדשים, לשון אחר, הכנסת כמות עצומה וחדשה של סם למעגל הסמים</w:t>
      </w:r>
      <w:bookmarkEnd w:id="8"/>
      <w:r>
        <w:rPr>
          <w:rFonts w:ascii="FrankRuehl" w:hAnsi="FrankRuehl" w:cs="FrankRuehl"/>
          <w:sz w:val="26"/>
          <w:szCs w:val="26"/>
          <w:rtl/>
        </w:rPr>
        <w:t xml:space="preserve">. </w:t>
      </w:r>
    </w:p>
    <w:p w14:paraId="0085F317"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בכל הנוגע לסוגיית </w:t>
      </w:r>
      <w:r>
        <w:rPr>
          <w:rFonts w:ascii="FrankRuehl" w:hAnsi="FrankRuehl" w:cs="FrankRuehl"/>
          <w:b/>
          <w:bCs/>
          <w:sz w:val="26"/>
          <w:szCs w:val="26"/>
          <w:rtl/>
        </w:rPr>
        <w:t>מתחמי הענישה</w:t>
      </w:r>
      <w:r>
        <w:rPr>
          <w:rFonts w:ascii="FrankRuehl" w:hAnsi="FrankRuehl" w:cs="FrankRuehl"/>
          <w:sz w:val="26"/>
          <w:szCs w:val="26"/>
          <w:rtl/>
        </w:rPr>
        <w:t xml:space="preserve"> שיש לקבוע </w:t>
      </w:r>
      <w:r>
        <w:rPr>
          <w:rFonts w:ascii="FrankRuehl" w:hAnsi="FrankRuehl" w:cs="FrankRuehl"/>
          <w:b/>
          <w:bCs/>
          <w:sz w:val="26"/>
          <w:szCs w:val="26"/>
          <w:rtl/>
        </w:rPr>
        <w:t>בעניינם של המסייעים לדבר עבירה</w:t>
      </w:r>
      <w:r>
        <w:rPr>
          <w:rFonts w:ascii="FrankRuehl" w:hAnsi="FrankRuehl" w:cs="FrankRuehl"/>
          <w:sz w:val="26"/>
          <w:szCs w:val="26"/>
          <w:rtl/>
        </w:rPr>
        <w:t xml:space="preserve"> יצוין, כי אין לקבוע בצורה אוטומטית כי מתחם העונש ההולם בעבירה של סיוע לגידול סם מסוכן, הינו מחצית מהמתחם שהיה נקבע אילו היה מדובר בעבירה של גידול סם. אכן, לפי </w:t>
      </w:r>
      <w:hyperlink w:history="1">
        <w:r w:rsidRPr="00274EA5">
          <w:rPr>
            <w:rFonts w:ascii="FrankRuehl" w:hAnsi="FrankRuehl" w:cs="FrankRuehl" w:hint="cs"/>
            <w:color w:val="000000"/>
            <w:sz w:val="26"/>
            <w:szCs w:val="26"/>
            <w:rtl/>
          </w:rPr>
          <w:t>סעיף 32</w:t>
        </w:r>
      </w:hyperlink>
      <w:r>
        <w:rPr>
          <w:rFonts w:ascii="FrankRuehl" w:hAnsi="FrankRuehl" w:cs="FrankRuehl"/>
          <w:sz w:val="26"/>
          <w:szCs w:val="26"/>
          <w:rtl/>
        </w:rPr>
        <w:t xml:space="preserve"> </w:t>
      </w:r>
      <w:r>
        <w:rPr>
          <w:rFonts w:ascii="FrankRuehl" w:hAnsi="FrankRuehl" w:cs="FrankRuehl" w:hint="cs"/>
          <w:sz w:val="26"/>
          <w:szCs w:val="26"/>
          <w:rtl/>
        </w:rPr>
        <w:t>ל</w:t>
      </w:r>
      <w:hyperlink w:history="1">
        <w:r w:rsidRPr="00274EA5">
          <w:rPr>
            <w:rFonts w:ascii="FrankRuehl" w:hAnsi="FrankRuehl" w:cs="FrankRuehl" w:hint="cs"/>
            <w:color w:val="000000"/>
            <w:sz w:val="26"/>
            <w:szCs w:val="26"/>
            <w:rtl/>
          </w:rPr>
          <w:t>חוק העונשין</w:t>
        </w:r>
      </w:hyperlink>
      <w:r>
        <w:rPr>
          <w:rFonts w:ascii="FrankRuehl" w:hAnsi="FrankRuehl" w:cs="FrankRuehl"/>
          <w:sz w:val="26"/>
          <w:szCs w:val="26"/>
          <w:rtl/>
        </w:rPr>
        <w:t xml:space="preserve">, עונשו של המסייע לעבור עבירה הינו מחצית העונש שנקבע בחיקוק בשל ביצועה העיקרי. ואולם, ברי כי כשם שעונשו של כל נאשם בסיוע לעבירה זו אחרת צריך להיבחן לגופו, כך גם קביעת מתחם העונש ההולם בעניינו צריכה להיעשות בהתאם לכלל הפרמטרים הנקובים </w:t>
      </w:r>
      <w:hyperlink w:history="1">
        <w:r w:rsidRPr="00274EA5">
          <w:rPr>
            <w:rFonts w:ascii="FrankRuehl" w:hAnsi="FrankRuehl" w:cs="FrankRuehl" w:hint="cs"/>
            <w:color w:val="000000"/>
            <w:sz w:val="26"/>
            <w:szCs w:val="26"/>
            <w:rtl/>
          </w:rPr>
          <w:t>בסעיף 40ג(א)</w:t>
        </w:r>
      </w:hyperlink>
      <w:r>
        <w:rPr>
          <w:rFonts w:ascii="FrankRuehl" w:hAnsi="FrankRuehl" w:cs="FrankRuehl"/>
          <w:sz w:val="26"/>
          <w:szCs w:val="26"/>
          <w:rtl/>
        </w:rPr>
        <w:t xml:space="preserve"> </w:t>
      </w:r>
      <w:r>
        <w:rPr>
          <w:rFonts w:ascii="FrankRuehl" w:hAnsi="FrankRuehl" w:cs="FrankRuehl" w:hint="cs"/>
          <w:sz w:val="26"/>
          <w:szCs w:val="26"/>
          <w:rtl/>
        </w:rPr>
        <w:t xml:space="preserve">לחוק, </w:t>
      </w:r>
      <w:r>
        <w:rPr>
          <w:rFonts w:ascii="FrankRuehl" w:hAnsi="FrankRuehl" w:cs="FrankRuehl" w:hint="cs"/>
          <w:b/>
          <w:bCs/>
          <w:sz w:val="26"/>
          <w:szCs w:val="26"/>
          <w:rtl/>
        </w:rPr>
        <w:t>ובשים לב למאפייניו ומרכיביו של מעשה הסיוע עצמו</w:t>
      </w:r>
      <w:r>
        <w:rPr>
          <w:rFonts w:ascii="FrankRuehl" w:hAnsi="FrankRuehl" w:cs="FrankRuehl" w:hint="cs"/>
          <w:sz w:val="26"/>
          <w:szCs w:val="26"/>
          <w:rtl/>
        </w:rPr>
        <w:t xml:space="preserve">, </w:t>
      </w:r>
    </w:p>
    <w:p w14:paraId="2DCB64F7" w14:textId="77777777" w:rsidR="0043659E" w:rsidRPr="007276D6" w:rsidRDefault="0043659E" w:rsidP="0043659E">
      <w:pPr>
        <w:pStyle w:val="aa"/>
        <w:rPr>
          <w:color w:val="FF0000"/>
          <w:rtl/>
        </w:rPr>
      </w:pPr>
    </w:p>
    <w:p w14:paraId="6EED26A1" w14:textId="77777777" w:rsidR="0043659E" w:rsidRPr="003050C5" w:rsidRDefault="0043659E" w:rsidP="0043659E">
      <w:pPr>
        <w:pStyle w:val="Ruller4"/>
        <w:numPr>
          <w:ilvl w:val="0"/>
          <w:numId w:val="0"/>
        </w:numPr>
        <w:rPr>
          <w:rFonts w:ascii="Times New Roman" w:hAnsi="Times New Roman"/>
          <w:bCs/>
        </w:rPr>
      </w:pPr>
      <w:r w:rsidRPr="003050C5">
        <w:rPr>
          <w:rtl/>
        </w:rPr>
        <w:t xml:space="preserve">עמד על כך השופט </w:t>
      </w:r>
      <w:r w:rsidRPr="003050C5">
        <w:rPr>
          <w:rFonts w:ascii="Times New Roman" w:hAnsi="Times New Roman" w:cs="Miriam"/>
          <w:spacing w:val="0"/>
          <w:sz w:val="28"/>
          <w:szCs w:val="24"/>
          <w:rtl/>
        </w:rPr>
        <w:t>ס' ג'ובראן</w:t>
      </w:r>
      <w:r w:rsidRPr="003050C5">
        <w:rPr>
          <w:rtl/>
        </w:rPr>
        <w:t>, באומרו:</w:t>
      </w:r>
    </w:p>
    <w:p w14:paraId="1AEFDE19" w14:textId="77777777" w:rsidR="0043659E" w:rsidRPr="003050C5" w:rsidRDefault="0043659E" w:rsidP="0043659E">
      <w:pPr>
        <w:pStyle w:val="Ruller5"/>
        <w:spacing w:line="360" w:lineRule="auto"/>
        <w:ind w:left="113" w:right="113"/>
        <w:rPr>
          <w:sz w:val="8"/>
          <w:szCs w:val="14"/>
        </w:rPr>
      </w:pPr>
    </w:p>
    <w:p w14:paraId="7F281AA7" w14:textId="77777777" w:rsidR="0043659E" w:rsidRPr="003050C5" w:rsidRDefault="0043659E" w:rsidP="0043659E">
      <w:pPr>
        <w:pStyle w:val="Ruller5"/>
        <w:spacing w:line="360" w:lineRule="auto"/>
        <w:ind w:left="113" w:right="113"/>
        <w:rPr>
          <w:rFonts w:ascii="FrankRuehl" w:hAnsi="FrankRuehl"/>
          <w:sz w:val="28"/>
          <w:rtl/>
        </w:rPr>
      </w:pPr>
      <w:r w:rsidRPr="003050C5">
        <w:rPr>
          <w:rtl/>
        </w:rPr>
        <w:t xml:space="preserve">"היחס שנקבע בחוק בין עונשו של המבצע העיקרי לבין עונשו של המסייע צריך על דרך הכלל להנחות את בית המשפט בגזירת הדין. יחד עם זאת, אין לומר כי מדובר ביחס שיש להקפיד על קיומו באורח דווקני ותיתכנה סטיות ממנו בשים לב לנסיבות המיוחדות של המקרה הנדון... </w:t>
      </w:r>
      <w:r w:rsidRPr="003050C5">
        <w:rPr>
          <w:rFonts w:ascii="Times New Roman" w:hAnsi="Times New Roman"/>
          <w:rtl/>
        </w:rPr>
        <w:t xml:space="preserve">אין המדובר בגזירה אוטומטית של מחצית העונש בעניינו של המסייע מהעונש שנגזר על המבצע העיקרי, ויש שהנסיבות הפרטיקולאריות מחייבות </w:t>
      </w:r>
      <w:r w:rsidRPr="003050C5">
        <w:rPr>
          <w:rtl/>
        </w:rPr>
        <w:t>הטלת עונש ביחס שונה... במקרים מסוימים וקיצוניים המגלים נסיבות חריגות, אף ייתכן שיושווה העונש של המסייע לזה של המבצע העיקרי" (</w:t>
      </w:r>
      <w:hyperlink r:id="rId24" w:history="1">
        <w:r w:rsidR="00274EA5" w:rsidRPr="00274EA5">
          <w:rPr>
            <w:color w:val="0000FF"/>
            <w:u w:val="single"/>
            <w:rtl/>
          </w:rPr>
          <w:t>ע"פ 4463/12</w:t>
        </w:r>
      </w:hyperlink>
      <w:r w:rsidRPr="003050C5">
        <w:rPr>
          <w:rFonts w:ascii="FrankRuehl" w:hAnsi="FrankRuehl"/>
          <w:sz w:val="28"/>
          <w:rtl/>
        </w:rPr>
        <w:t xml:space="preserve"> </w:t>
      </w:r>
      <w:r w:rsidRPr="003050C5">
        <w:rPr>
          <w:rFonts w:ascii="Century" w:hAnsi="Century" w:cs="Miriam"/>
          <w:b/>
          <w:spacing w:val="0"/>
          <w:szCs w:val="24"/>
          <w:rtl/>
        </w:rPr>
        <w:t>ארנבורג נ' מדינת ישראל</w:t>
      </w:r>
      <w:r w:rsidRPr="003050C5">
        <w:rPr>
          <w:rFonts w:ascii="FrankRuehl" w:hAnsi="FrankRuehl"/>
          <w:sz w:val="28"/>
          <w:rtl/>
        </w:rPr>
        <w:t xml:space="preserve"> </w:t>
      </w:r>
      <w:r w:rsidRPr="003050C5">
        <w:rPr>
          <w:rFonts w:ascii="Times New Roman" w:hAnsi="Times New Roman" w:cs="David"/>
          <w:spacing w:val="0"/>
          <w:szCs w:val="24"/>
          <w:rtl/>
        </w:rPr>
        <w:t xml:space="preserve">[פורסם בנבו] </w:t>
      </w:r>
      <w:r w:rsidRPr="003050C5">
        <w:rPr>
          <w:rFonts w:ascii="FrankRuehl" w:hAnsi="FrankRuehl"/>
          <w:sz w:val="28"/>
          <w:rtl/>
        </w:rPr>
        <w:t>(13.9.2012)).</w:t>
      </w:r>
    </w:p>
    <w:p w14:paraId="40937400" w14:textId="77777777" w:rsidR="0043659E" w:rsidRDefault="0043659E" w:rsidP="0043659E">
      <w:pPr>
        <w:pStyle w:val="aa"/>
        <w:spacing w:line="360" w:lineRule="auto"/>
        <w:ind w:left="113" w:right="113"/>
        <w:jc w:val="both"/>
        <w:rPr>
          <w:rFonts w:ascii="FrankRuehl" w:hAnsi="FrankRuehl" w:cs="FrankRuehl"/>
          <w:sz w:val="26"/>
          <w:szCs w:val="26"/>
        </w:rPr>
      </w:pPr>
    </w:p>
    <w:p w14:paraId="73D5FD3D" w14:textId="77777777" w:rsidR="0043659E" w:rsidRDefault="0043659E" w:rsidP="0043659E">
      <w:pPr>
        <w:spacing w:line="480" w:lineRule="auto"/>
        <w:jc w:val="both"/>
        <w:rPr>
          <w:rFonts w:ascii="FrankRuehl" w:hAnsi="FrankRuehl" w:cs="FrankRuehl"/>
          <w:b/>
          <w:bCs/>
          <w:sz w:val="26"/>
          <w:szCs w:val="26"/>
          <w:u w:val="single"/>
        </w:rPr>
      </w:pPr>
      <w:r>
        <w:rPr>
          <w:rFonts w:ascii="FrankRuehl" w:hAnsi="FrankRuehl" w:cs="FrankRuehl"/>
          <w:sz w:val="26"/>
          <w:szCs w:val="26"/>
          <w:rtl/>
        </w:rPr>
        <w:t xml:space="preserve">  </w:t>
      </w:r>
      <w:r>
        <w:rPr>
          <w:rFonts w:ascii="FrankRuehl" w:hAnsi="FrankRuehl" w:cs="FrankRuehl"/>
          <w:b/>
          <w:bCs/>
          <w:sz w:val="26"/>
          <w:szCs w:val="26"/>
          <w:u w:val="single"/>
          <w:rtl/>
        </w:rPr>
        <w:t xml:space="preserve">מדיניות הענישה הנוהגת: </w:t>
      </w:r>
      <w:r>
        <w:rPr>
          <w:rFonts w:ascii="FrankRuehl" w:hAnsi="FrankRuehl" w:cs="FrankRuehl"/>
          <w:sz w:val="26"/>
          <w:szCs w:val="26"/>
          <w:rtl/>
        </w:rPr>
        <w:t xml:space="preserve">     </w:t>
      </w:r>
    </w:p>
    <w:p w14:paraId="7360F3CF" w14:textId="77777777" w:rsidR="0043659E" w:rsidRDefault="0043659E" w:rsidP="0043659E">
      <w:pPr>
        <w:pStyle w:val="aa"/>
        <w:numPr>
          <w:ilvl w:val="0"/>
          <w:numId w:val="1"/>
        </w:numPr>
        <w:spacing w:after="120" w:line="480" w:lineRule="auto"/>
        <w:jc w:val="both"/>
        <w:rPr>
          <w:rFonts w:ascii="FrankRuehl" w:hAnsi="FrankRuehl" w:cs="FrankRuehl"/>
          <w:sz w:val="26"/>
          <w:szCs w:val="26"/>
        </w:rPr>
      </w:pPr>
      <w:r>
        <w:rPr>
          <w:rFonts w:ascii="FrankRuehl" w:hAnsi="FrankRuehl" w:cs="FrankRuehl"/>
          <w:b/>
          <w:sz w:val="26"/>
          <w:szCs w:val="26"/>
          <w:u w:val="single"/>
          <w:rtl/>
        </w:rPr>
        <w:t>ברע"פ 5214/08</w:t>
      </w:r>
      <w:hyperlink r:id="rId25" w:history="1">
        <w:r w:rsidR="00274EA5" w:rsidRPr="00274EA5">
          <w:rPr>
            <w:rFonts w:ascii="FrankRuehl" w:eastAsia="Times New Roman" w:hAnsi="FrankRuehl" w:cs="FrankRuehl"/>
            <w:color w:val="0000FF"/>
            <w:sz w:val="26"/>
            <w:szCs w:val="26"/>
            <w:u w:val="single"/>
            <w:rtl/>
          </w:rPr>
          <w:t>רע"פ 314/16</w:t>
        </w:r>
      </w:hyperlink>
      <w:r w:rsidRPr="0043659E">
        <w:rPr>
          <w:rFonts w:ascii="FrankRuehl" w:eastAsia="Times New Roman" w:hAnsi="FrankRuehl" w:cs="FrankRuehl"/>
          <w:sz w:val="26"/>
          <w:szCs w:val="26"/>
          <w:rtl/>
        </w:rPr>
        <w:t xml:space="preserve"> </w:t>
      </w:r>
      <w:r w:rsidRPr="0043659E">
        <w:rPr>
          <w:rFonts w:ascii="FrankRuehl" w:eastAsia="Times New Roman" w:hAnsi="FrankRuehl" w:cs="FrankRuehl"/>
          <w:b/>
          <w:bCs/>
          <w:sz w:val="26"/>
          <w:szCs w:val="26"/>
          <w:rtl/>
        </w:rPr>
        <w:t xml:space="preserve">גיא בן צבי נ' מדינת ישראל </w:t>
      </w:r>
      <w:r w:rsidRPr="0043659E">
        <w:rPr>
          <w:rFonts w:ascii="FrankRuehl" w:eastAsia="Times New Roman" w:hAnsi="FrankRuehl" w:cs="FrankRuehl"/>
          <w:sz w:val="26"/>
          <w:szCs w:val="26"/>
          <w:rtl/>
        </w:rPr>
        <w:t xml:space="preserve">(22.2.16)- הנאשם הודה והורשע בעבירה של </w:t>
      </w:r>
      <w:r w:rsidRPr="0043659E">
        <w:rPr>
          <w:rFonts w:ascii="FrankRuehl" w:eastAsia="Times New Roman" w:hAnsi="FrankRuehl" w:cs="FrankRuehl"/>
          <w:sz w:val="26"/>
          <w:szCs w:val="26"/>
          <w:u w:val="single"/>
          <w:rtl/>
        </w:rPr>
        <w:t>גידול סם מסוכן</w:t>
      </w:r>
      <w:r w:rsidRPr="0043659E">
        <w:rPr>
          <w:rFonts w:ascii="FrankRuehl" w:eastAsia="Times New Roman" w:hAnsi="FrankRuehl" w:cs="FrankRuehl"/>
          <w:sz w:val="26"/>
          <w:szCs w:val="26"/>
          <w:rtl/>
        </w:rPr>
        <w:t>. לפי עובדות כתב האישום, בתקופה הרלוונטית. הנאשם שתל זרעי סם במעבדה שהקים במרפסת הדירה, וגידל אותם, שלא למטרת צריכתו העצמית. עוד נטען בכתב האישום, כי כתוצאה מגידול זרעי הסם, החזיק המבקש בסם מסוג "</w:t>
      </w:r>
      <w:r w:rsidRPr="0043659E">
        <w:rPr>
          <w:rFonts w:ascii="FrankRuehl" w:eastAsia="Times New Roman" w:hAnsi="FrankRuehl" w:cs="FrankRuehl"/>
          <w:i/>
          <w:iCs/>
          <w:sz w:val="26"/>
          <w:szCs w:val="26"/>
          <w:rtl/>
        </w:rPr>
        <w:t>קנבוס</w:t>
      </w:r>
      <w:r w:rsidRPr="0043659E">
        <w:rPr>
          <w:rFonts w:ascii="FrankRuehl" w:eastAsia="Times New Roman" w:hAnsi="FrankRuehl" w:cs="FrankRuehl"/>
          <w:sz w:val="26"/>
          <w:szCs w:val="26"/>
          <w:rtl/>
        </w:rPr>
        <w:t xml:space="preserve">", </w:t>
      </w:r>
      <w:r w:rsidRPr="0043659E">
        <w:rPr>
          <w:rFonts w:ascii="FrankRuehl" w:eastAsia="Times New Roman" w:hAnsi="FrankRuehl" w:cs="FrankRuehl"/>
          <w:b/>
          <w:bCs/>
          <w:sz w:val="26"/>
          <w:szCs w:val="26"/>
          <w:rtl/>
        </w:rPr>
        <w:t>במשקל העולה על 2.5 ק"ג</w:t>
      </w:r>
      <w:r w:rsidRPr="0043659E">
        <w:rPr>
          <w:rFonts w:ascii="FrankRuehl" w:eastAsia="Times New Roman" w:hAnsi="FrankRuehl" w:cs="FrankRuehl"/>
          <w:sz w:val="26"/>
          <w:szCs w:val="26"/>
          <w:rtl/>
        </w:rPr>
        <w:t xml:space="preserve">. </w:t>
      </w:r>
      <w:r w:rsidRPr="0043659E">
        <w:rPr>
          <w:rFonts w:ascii="FrankRuehl" w:eastAsia="Times New Roman" w:hAnsi="FrankRuehl" w:cs="FrankRuehl"/>
          <w:b/>
          <w:bCs/>
          <w:sz w:val="26"/>
          <w:szCs w:val="26"/>
          <w:rtl/>
        </w:rPr>
        <w:t>בית המשפט השלום קבע כי מתחם הענישה ינוע בין מספר חודשי מאסר, לריצוי על דרך של עבודות שירות, לבין 18 חודשי מאסר לריצוי בפועל</w:t>
      </w:r>
      <w:r w:rsidRPr="0043659E">
        <w:rPr>
          <w:rFonts w:ascii="FrankRuehl" w:eastAsia="Times New Roman" w:hAnsi="FrankRuehl" w:cs="FrankRuehl"/>
          <w:sz w:val="26"/>
          <w:szCs w:val="26"/>
          <w:rtl/>
        </w:rPr>
        <w:t xml:space="preserve">. בית המשפט השלום גזר על הנאשם, שנטל אחריות על מעשיו, טיפול הפסיכולוגי שעבר, עברו הפלילי בן הרשעה בעבירה של סחר והפצת סמים, חלוף הזמן והעובדה כי לא נפתחו לנאשם מאז תיקים נוספים, עונש של 6 חודשי מאסר, לריצוי על דרך של עבודות שירות, 5 חודשי מאסר על תנאי, למשך 3 שנים, צו מבחן למשך שנה וקנס בסך של 5000 ₪. בנוסף, הוכרז הנאשם כסוחר סמים וחולט סכום של 1,140 ₪.  </w:t>
      </w:r>
      <w:r w:rsidRPr="0043659E">
        <w:rPr>
          <w:rFonts w:ascii="FrankRuehl" w:eastAsia="Times New Roman" w:hAnsi="FrankRuehl" w:cs="FrankRuehl"/>
          <w:b/>
          <w:bCs/>
          <w:sz w:val="26"/>
          <w:szCs w:val="26"/>
          <w:rtl/>
        </w:rPr>
        <w:t>בערעור שהוגש לבית המשפט המחוזי, קבע בית המשפט המחוזי כי יש להעמיד את הרף התחתון של מתחם הענישה על מספר חודשי מאסר לריצוי בפועל, שלא בדרך של עבודות שירות.</w:t>
      </w:r>
      <w:r w:rsidRPr="0043659E">
        <w:rPr>
          <w:rFonts w:ascii="FrankRuehl" w:eastAsia="Times New Roman" w:hAnsi="FrankRuehl" w:cs="FrankRuehl"/>
          <w:sz w:val="26"/>
          <w:szCs w:val="26"/>
          <w:rtl/>
        </w:rPr>
        <w:t xml:space="preserve"> הערעור שהוגש לבית המשפט העליון נדחה.</w:t>
      </w:r>
    </w:p>
    <w:p w14:paraId="697646B4" w14:textId="77777777" w:rsidR="0043659E" w:rsidRDefault="0043659E" w:rsidP="0043659E">
      <w:pPr>
        <w:pStyle w:val="aa"/>
        <w:numPr>
          <w:ilvl w:val="0"/>
          <w:numId w:val="1"/>
        </w:numPr>
        <w:spacing w:after="120" w:line="480" w:lineRule="auto"/>
        <w:jc w:val="both"/>
        <w:rPr>
          <w:rFonts w:ascii="FrankRuehl" w:hAnsi="FrankRuehl" w:cs="FrankRuehl"/>
          <w:sz w:val="26"/>
          <w:szCs w:val="26"/>
        </w:rPr>
      </w:pPr>
      <w:r w:rsidRPr="0043659E">
        <w:rPr>
          <w:rFonts w:ascii="FrankRuehl" w:eastAsia="Times New Roman" w:hAnsi="FrankRuehl" w:cs="FrankRuehl"/>
          <w:sz w:val="26"/>
          <w:szCs w:val="26"/>
          <w:rtl/>
        </w:rPr>
        <w:t>ב</w:t>
      </w:r>
      <w:hyperlink r:id="rId26" w:history="1">
        <w:r w:rsidR="00274EA5" w:rsidRPr="00274EA5">
          <w:rPr>
            <w:rFonts w:ascii="FrankRuehl" w:eastAsia="Times New Roman" w:hAnsi="FrankRuehl" w:cs="FrankRuehl"/>
            <w:color w:val="0000FF"/>
            <w:sz w:val="26"/>
            <w:szCs w:val="26"/>
            <w:u w:val="single"/>
            <w:rtl/>
          </w:rPr>
          <w:t>רע"פ 7005/14</w:t>
        </w:r>
      </w:hyperlink>
      <w:r w:rsidRPr="0043659E">
        <w:rPr>
          <w:rFonts w:ascii="FrankRuehl" w:eastAsia="Times New Roman" w:hAnsi="FrankRuehl" w:cs="FrankRuehl"/>
          <w:b/>
          <w:bCs/>
          <w:sz w:val="26"/>
          <w:szCs w:val="26"/>
          <w:rtl/>
        </w:rPr>
        <w:t xml:space="preserve"> דגן נ' מדינת ישראל </w:t>
      </w:r>
      <w:r w:rsidRPr="0043659E">
        <w:rPr>
          <w:rFonts w:ascii="FrankRuehl" w:eastAsia="Times New Roman" w:hAnsi="FrankRuehl" w:cs="FrankRuehl"/>
          <w:sz w:val="26"/>
          <w:szCs w:val="26"/>
          <w:rtl/>
        </w:rPr>
        <w:t xml:space="preserve">(30.11.14)- הנאשם הודה והורשע בעבירה של </w:t>
      </w:r>
      <w:r w:rsidRPr="0043659E">
        <w:rPr>
          <w:rFonts w:ascii="FrankRuehl" w:eastAsia="Times New Roman" w:hAnsi="FrankRuehl" w:cs="FrankRuehl"/>
          <w:b/>
          <w:bCs/>
          <w:sz w:val="26"/>
          <w:szCs w:val="26"/>
          <w:u w:val="single"/>
          <w:rtl/>
        </w:rPr>
        <w:t>גידול</w:t>
      </w:r>
      <w:r w:rsidRPr="0043659E">
        <w:rPr>
          <w:rFonts w:ascii="FrankRuehl" w:eastAsia="Times New Roman" w:hAnsi="FrankRuehl" w:cs="FrankRuehl"/>
          <w:sz w:val="26"/>
          <w:szCs w:val="26"/>
          <w:rtl/>
        </w:rPr>
        <w:t>, ייצור והכנת סמים מסוכנים והחזקת סם מסוכן לצריכה עצמית. בכתב אישום שהוגש נגד המבקש, נאמר כי המבקש גידל במעבדה בביתו סם מסוג קנבוס, במשקל כולל של</w:t>
      </w:r>
      <w:r w:rsidRPr="0043659E">
        <w:rPr>
          <w:rFonts w:ascii="FrankRuehl" w:eastAsia="Times New Roman" w:hAnsi="FrankRuehl" w:cs="FrankRuehl"/>
          <w:b/>
          <w:bCs/>
          <w:sz w:val="26"/>
          <w:szCs w:val="26"/>
          <w:rtl/>
        </w:rPr>
        <w:t xml:space="preserve"> 2,721 גרם</w:t>
      </w:r>
      <w:r w:rsidRPr="0043659E">
        <w:rPr>
          <w:rFonts w:ascii="FrankRuehl" w:eastAsia="Times New Roman" w:hAnsi="FrankRuehl" w:cs="FrankRuehl"/>
          <w:sz w:val="26"/>
          <w:szCs w:val="26"/>
          <w:rtl/>
        </w:rPr>
        <w:t xml:space="preserve">. בנוסף, החזיק המבקש בביתו 3.3 גרם סם לצריכה עצמית, וכן ציוד וכלי עזר לגידול הסם. </w:t>
      </w:r>
      <w:r w:rsidRPr="0043659E">
        <w:rPr>
          <w:rFonts w:ascii="FrankRuehl" w:eastAsia="Times New Roman" w:hAnsi="FrankRuehl" w:cs="FrankRuehl"/>
          <w:b/>
          <w:bCs/>
          <w:sz w:val="26"/>
          <w:szCs w:val="26"/>
          <w:rtl/>
        </w:rPr>
        <w:t xml:space="preserve">בית המשפט קבע כי מתחם העונש ההולם נע בין 6 ל-12 חודשים. </w:t>
      </w:r>
      <w:r w:rsidRPr="0043659E">
        <w:rPr>
          <w:rFonts w:ascii="FrankRuehl" w:eastAsia="Times New Roman" w:hAnsi="FrankRuehl" w:cs="FrankRuehl"/>
          <w:sz w:val="26"/>
          <w:szCs w:val="26"/>
          <w:rtl/>
        </w:rPr>
        <w:t xml:space="preserve">בית המשפט גזר על הנאשם, תוך התייחסות לתסקיר שירות המבחן שנשא </w:t>
      </w:r>
      <w:r w:rsidRPr="0043659E">
        <w:rPr>
          <w:rFonts w:ascii="FrankRuehl" w:eastAsia="Times New Roman" w:hAnsi="FrankRuehl" w:cs="FrankRuehl"/>
          <w:sz w:val="26"/>
          <w:szCs w:val="26"/>
          <w:u w:val="single"/>
          <w:rtl/>
        </w:rPr>
        <w:t>אופי שלילי</w:t>
      </w:r>
      <w:r w:rsidRPr="0043659E">
        <w:rPr>
          <w:rFonts w:ascii="FrankRuehl" w:eastAsia="Times New Roman" w:hAnsi="FrankRuehl" w:cs="FrankRuehl"/>
          <w:sz w:val="26"/>
          <w:szCs w:val="26"/>
          <w:rtl/>
        </w:rPr>
        <w:t xml:space="preserve"> </w:t>
      </w:r>
      <w:r w:rsidRPr="0043659E">
        <w:rPr>
          <w:rFonts w:ascii="FrankRuehl" w:eastAsia="Times New Roman" w:hAnsi="FrankRuehl" w:cs="FrankRuehl"/>
          <w:sz w:val="26"/>
          <w:szCs w:val="26"/>
          <w:u w:val="single"/>
          <w:rtl/>
        </w:rPr>
        <w:t>והמליץ על מאסר</w:t>
      </w:r>
      <w:r w:rsidRPr="0043659E">
        <w:rPr>
          <w:rFonts w:ascii="FrankRuehl" w:eastAsia="Times New Roman" w:hAnsi="FrankRuehl" w:cs="FrankRuehl"/>
          <w:sz w:val="26"/>
          <w:szCs w:val="26"/>
          <w:rtl/>
        </w:rPr>
        <w:t xml:space="preserve">, </w:t>
      </w:r>
      <w:r w:rsidRPr="0043659E">
        <w:rPr>
          <w:rFonts w:ascii="FrankRuehl" w:eastAsia="Times New Roman" w:hAnsi="FrankRuehl" w:cs="FrankRuehl"/>
          <w:sz w:val="26"/>
          <w:szCs w:val="26"/>
          <w:u w:val="single"/>
          <w:rtl/>
        </w:rPr>
        <w:t>עברו הפלילי של הנאשם</w:t>
      </w:r>
      <w:r w:rsidRPr="0043659E">
        <w:rPr>
          <w:rFonts w:ascii="FrankRuehl" w:eastAsia="Times New Roman" w:hAnsi="FrankRuehl" w:cs="FrankRuehl"/>
          <w:sz w:val="26"/>
          <w:szCs w:val="26"/>
          <w:rtl/>
        </w:rPr>
        <w:t xml:space="preserve">, היקף גידול הסם והאמצעים שהחזיק הנאשם, </w:t>
      </w:r>
      <w:r w:rsidRPr="0043659E">
        <w:rPr>
          <w:rFonts w:ascii="FrankRuehl" w:eastAsia="Times New Roman" w:hAnsi="FrankRuehl" w:cs="FrankRuehl"/>
          <w:b/>
          <w:bCs/>
          <w:sz w:val="26"/>
          <w:szCs w:val="26"/>
          <w:u w:val="single"/>
          <w:rtl/>
        </w:rPr>
        <w:t>עונש של 10 חודשי מאסר לריצוי בפועל,</w:t>
      </w:r>
      <w:r w:rsidRPr="0043659E">
        <w:rPr>
          <w:rFonts w:ascii="FrankRuehl" w:eastAsia="Times New Roman" w:hAnsi="FrankRuehl" w:cs="FrankRuehl"/>
          <w:sz w:val="26"/>
          <w:szCs w:val="26"/>
          <w:rtl/>
        </w:rPr>
        <w:t xml:space="preserve"> לצד מאסר על תנאי וקנס בסך 3,000 ₪ או 45 ימי מאסר תמורתו. הערעורים שהוגשו לבית המשפט המחוזי והעליון נדחו.</w:t>
      </w:r>
    </w:p>
    <w:p w14:paraId="798366FE" w14:textId="77777777" w:rsidR="0043659E" w:rsidRPr="00D40C24" w:rsidRDefault="0043659E" w:rsidP="0043659E">
      <w:pPr>
        <w:pStyle w:val="aa"/>
        <w:spacing w:line="480" w:lineRule="auto"/>
        <w:rPr>
          <w:rFonts w:ascii="FrankRuehl" w:hAnsi="FrankRuehl" w:cs="FrankRuehl"/>
          <w:sz w:val="26"/>
          <w:szCs w:val="26"/>
          <w:rtl/>
        </w:rPr>
      </w:pPr>
    </w:p>
    <w:p w14:paraId="411304ED" w14:textId="77777777" w:rsidR="0043659E" w:rsidRDefault="00274EA5" w:rsidP="0043659E">
      <w:pPr>
        <w:pStyle w:val="aa"/>
        <w:numPr>
          <w:ilvl w:val="0"/>
          <w:numId w:val="1"/>
        </w:numPr>
        <w:spacing w:after="120" w:line="480" w:lineRule="auto"/>
        <w:jc w:val="both"/>
        <w:rPr>
          <w:rFonts w:ascii="FrankRuehl" w:hAnsi="FrankRuehl" w:cs="FrankRuehl"/>
          <w:sz w:val="26"/>
          <w:szCs w:val="26"/>
        </w:rPr>
      </w:pPr>
      <w:hyperlink r:id="rId27" w:history="1">
        <w:r w:rsidRPr="00274EA5">
          <w:rPr>
            <w:rFonts w:ascii="FrankRuehl" w:eastAsia="Times New Roman" w:hAnsi="FrankRuehl" w:cs="FrankRuehl"/>
            <w:color w:val="0000FF"/>
            <w:sz w:val="26"/>
            <w:szCs w:val="26"/>
            <w:u w:val="single"/>
            <w:rtl/>
          </w:rPr>
          <w:t>ת"פ (כ"ס) 59087-01-18</w:t>
        </w:r>
      </w:hyperlink>
      <w:r w:rsidR="0043659E" w:rsidRPr="0043659E">
        <w:rPr>
          <w:rFonts w:ascii="FrankRuehl" w:eastAsia="Times New Roman" w:hAnsi="FrankRuehl" w:cs="FrankRuehl"/>
          <w:sz w:val="26"/>
          <w:szCs w:val="26"/>
          <w:rtl/>
        </w:rPr>
        <w:t xml:space="preserve"> </w:t>
      </w:r>
      <w:r w:rsidR="0043659E" w:rsidRPr="0043659E">
        <w:rPr>
          <w:rFonts w:ascii="FrankRuehl" w:eastAsia="Times New Roman" w:hAnsi="FrankRuehl" w:cs="FrankRuehl"/>
          <w:b/>
          <w:bCs/>
          <w:sz w:val="26"/>
          <w:szCs w:val="26"/>
          <w:rtl/>
        </w:rPr>
        <w:t xml:space="preserve">מדינת ישראל נ' טל סביון </w:t>
      </w:r>
      <w:r w:rsidR="0043659E" w:rsidRPr="0043659E">
        <w:rPr>
          <w:rFonts w:ascii="FrankRuehl" w:eastAsia="Times New Roman" w:hAnsi="FrankRuehl" w:cs="FrankRuehl"/>
          <w:sz w:val="26"/>
          <w:szCs w:val="26"/>
          <w:rtl/>
        </w:rPr>
        <w:t xml:space="preserve">(11.6.19)- הנאשם הורשע </w:t>
      </w:r>
      <w:r w:rsidR="0043659E" w:rsidRPr="0043659E">
        <w:rPr>
          <w:rFonts w:ascii="FrankRuehl" w:eastAsia="Times New Roman" w:hAnsi="FrankRuehl" w:cs="FrankRuehl"/>
          <w:sz w:val="26"/>
          <w:szCs w:val="26"/>
          <w:u w:val="single"/>
          <w:rtl/>
        </w:rPr>
        <w:t>בעבירות של גידול, יצור והכנת סמים מסוכנים והחזקת כלים להכנת סם שלא לצריכה עצמית</w:t>
      </w:r>
      <w:r w:rsidR="0043659E" w:rsidRPr="0043659E">
        <w:rPr>
          <w:rFonts w:ascii="FrankRuehl" w:eastAsia="Times New Roman" w:hAnsi="FrankRuehl" w:cs="FrankRuehl"/>
          <w:sz w:val="26"/>
          <w:szCs w:val="26"/>
          <w:rtl/>
        </w:rPr>
        <w:t xml:space="preserve">. על פי עובדות כתב האישום המתוקן גידל הנאשם בדירתו </w:t>
      </w:r>
      <w:r w:rsidR="0043659E" w:rsidRPr="0043659E">
        <w:rPr>
          <w:rFonts w:ascii="FrankRuehl" w:eastAsia="Times New Roman" w:hAnsi="FrankRuehl" w:cs="FrankRuehl"/>
          <w:b/>
          <w:bCs/>
          <w:sz w:val="26"/>
          <w:szCs w:val="26"/>
          <w:rtl/>
        </w:rPr>
        <w:t>209 שתילי סם מסוג קנבוס, במשקל של 2.9 ק"ג</w:t>
      </w:r>
      <w:r w:rsidR="0043659E" w:rsidRPr="0043659E">
        <w:rPr>
          <w:rFonts w:ascii="FrankRuehl" w:eastAsia="Times New Roman" w:hAnsi="FrankRuehl" w:cs="FrankRuehl"/>
          <w:sz w:val="26"/>
          <w:szCs w:val="26"/>
          <w:rtl/>
        </w:rPr>
        <w:t xml:space="preserve">, בחדרים שהותאמו ויוחדו לכך.. </w:t>
      </w:r>
      <w:r w:rsidR="0043659E" w:rsidRPr="0043659E">
        <w:rPr>
          <w:rFonts w:ascii="FrankRuehl" w:eastAsia="Times New Roman" w:hAnsi="FrankRuehl" w:cs="FrankRuehl"/>
          <w:b/>
          <w:bCs/>
          <w:sz w:val="26"/>
          <w:szCs w:val="26"/>
          <w:rtl/>
        </w:rPr>
        <w:t xml:space="preserve">בית המשפט קבע כי </w:t>
      </w:r>
      <w:r w:rsidR="0043659E" w:rsidRPr="0043659E">
        <w:rPr>
          <w:rFonts w:ascii="FrankRuehl" w:eastAsia="Times New Roman" w:hAnsi="FrankRuehl" w:cs="FrankRuehl"/>
          <w:b/>
          <w:bCs/>
          <w:sz w:val="26"/>
          <w:szCs w:val="26"/>
          <w:u w:val="single"/>
          <w:rtl/>
        </w:rPr>
        <w:t>מתחם העונש ההולם נע בין 7 חודשי מאסר שיכול וירוצו בעבודות שירות ועד ל-15 חודשי מאסר, לצד רכיבי ענישה נלווים</w:t>
      </w:r>
      <w:r w:rsidR="0043659E" w:rsidRPr="0043659E">
        <w:rPr>
          <w:rFonts w:ascii="FrankRuehl" w:eastAsia="Times New Roman" w:hAnsi="FrankRuehl" w:cs="FrankRuehl"/>
          <w:b/>
          <w:bCs/>
          <w:sz w:val="26"/>
          <w:szCs w:val="26"/>
          <w:rtl/>
        </w:rPr>
        <w:t>.</w:t>
      </w:r>
      <w:r w:rsidR="0043659E" w:rsidRPr="0043659E">
        <w:rPr>
          <w:rFonts w:ascii="FrankRuehl" w:eastAsia="Times New Roman" w:hAnsi="FrankRuehl" w:cs="FrankRuehl"/>
          <w:sz w:val="26"/>
          <w:szCs w:val="26"/>
          <w:rtl/>
        </w:rPr>
        <w:t xml:space="preserve"> </w:t>
      </w:r>
      <w:r w:rsidR="0043659E" w:rsidRPr="0043659E">
        <w:rPr>
          <w:rFonts w:ascii="FrankRuehl" w:eastAsia="Times New Roman" w:hAnsi="FrankRuehl" w:cs="FrankRuehl" w:hint="cs"/>
          <w:sz w:val="26"/>
          <w:szCs w:val="26"/>
          <w:rtl/>
        </w:rPr>
        <w:t xml:space="preserve">במקרה שם הייתה סטייה בגזר הדין מטעמי שיקום. </w:t>
      </w:r>
      <w:r w:rsidR="0043659E">
        <w:rPr>
          <w:rFonts w:ascii="FrankRuehl" w:hAnsi="FrankRuehl" w:cs="FrankRuehl" w:hint="cs"/>
          <w:sz w:val="26"/>
          <w:szCs w:val="26"/>
          <w:rtl/>
        </w:rPr>
        <w:t xml:space="preserve">טעמי שיקום אינם קיימים במקרה מושא התיק דנן . </w:t>
      </w:r>
    </w:p>
    <w:p w14:paraId="11B0CC3F" w14:textId="77777777" w:rsidR="0043659E" w:rsidRDefault="0043659E" w:rsidP="0043659E">
      <w:pPr>
        <w:pStyle w:val="aa"/>
        <w:numPr>
          <w:ilvl w:val="0"/>
          <w:numId w:val="1"/>
        </w:numPr>
        <w:spacing w:after="120" w:line="480" w:lineRule="auto"/>
        <w:jc w:val="both"/>
        <w:rPr>
          <w:rFonts w:ascii="FrankRuehl" w:hAnsi="FrankRuehl" w:cs="FrankRuehl"/>
          <w:sz w:val="26"/>
          <w:szCs w:val="26"/>
        </w:rPr>
      </w:pPr>
      <w:r w:rsidRPr="003050C5">
        <w:rPr>
          <w:rFonts w:ascii="FrankRuehl" w:hAnsi="FrankRuehl" w:cs="FrankRuehl"/>
          <w:sz w:val="26"/>
          <w:szCs w:val="26"/>
          <w:rtl/>
        </w:rPr>
        <w:t xml:space="preserve"> ב</w:t>
      </w:r>
      <w:hyperlink r:id="rId28" w:history="1">
        <w:r w:rsidR="00274EA5" w:rsidRPr="00274EA5">
          <w:rPr>
            <w:rFonts w:ascii="FrankRuehl" w:hAnsi="FrankRuehl" w:cs="FrankRuehl"/>
            <w:color w:val="0000FF"/>
            <w:sz w:val="26"/>
            <w:szCs w:val="26"/>
            <w:u w:val="single"/>
            <w:rtl/>
          </w:rPr>
          <w:t>ת"פ (מחוזי-ב"ש) 12995-07-17</w:t>
        </w:r>
      </w:hyperlink>
      <w:r w:rsidRPr="003050C5">
        <w:rPr>
          <w:rFonts w:ascii="FrankRuehl" w:hAnsi="FrankRuehl" w:cs="FrankRuehl"/>
          <w:sz w:val="26"/>
          <w:szCs w:val="26"/>
          <w:rtl/>
        </w:rPr>
        <w:t xml:space="preserve"> </w:t>
      </w:r>
      <w:r w:rsidRPr="003050C5">
        <w:rPr>
          <w:rFonts w:ascii="FrankRuehl" w:hAnsi="FrankRuehl" w:cs="FrankRuehl"/>
          <w:b/>
          <w:bCs/>
          <w:sz w:val="26"/>
          <w:szCs w:val="26"/>
          <w:rtl/>
        </w:rPr>
        <w:t xml:space="preserve">מדינת ישראל נ' אלעסם </w:t>
      </w:r>
      <w:r w:rsidRPr="003050C5">
        <w:rPr>
          <w:rFonts w:ascii="FrankRuehl" w:hAnsi="FrankRuehl" w:cs="FrankRuehl"/>
          <w:sz w:val="26"/>
          <w:szCs w:val="26"/>
          <w:rtl/>
        </w:rPr>
        <w:t xml:space="preserve">(נבו, 8.7.2018) גזר בית המשפט על נאשם שהורשע בסיוע לגידול סם מסוכן מסוג </w:t>
      </w:r>
      <w:r w:rsidRPr="003050C5">
        <w:rPr>
          <w:rFonts w:ascii="FrankRuehl" w:hAnsi="FrankRuehl" w:cs="FrankRuehl"/>
          <w:b/>
          <w:bCs/>
          <w:sz w:val="26"/>
          <w:szCs w:val="26"/>
          <w:rtl/>
        </w:rPr>
        <w:t>קנבוס במשקל של 57.05 ק"ג ו</w:t>
      </w:r>
      <w:r w:rsidRPr="003050C5">
        <w:rPr>
          <w:rFonts w:ascii="FrankRuehl" w:hAnsi="FrankRuehl" w:cs="FrankRuehl"/>
          <w:sz w:val="26"/>
          <w:szCs w:val="26"/>
          <w:rtl/>
        </w:rPr>
        <w:t>מתן היתר לחצרים</w:t>
      </w:r>
      <w:r w:rsidRPr="003050C5">
        <w:rPr>
          <w:rFonts w:ascii="FrankRuehl" w:hAnsi="FrankRuehl" w:cs="FrankRuehl"/>
          <w:b/>
          <w:bCs/>
          <w:sz w:val="26"/>
          <w:szCs w:val="26"/>
          <w:rtl/>
        </w:rPr>
        <w:t xml:space="preserve">, 11 חודשי מאסר בפועל. </w:t>
      </w:r>
      <w:r w:rsidRPr="003050C5">
        <w:rPr>
          <w:rFonts w:ascii="FrankRuehl" w:hAnsi="FrankRuehl" w:cs="FrankRuehl"/>
          <w:sz w:val="26"/>
          <w:szCs w:val="26"/>
          <w:rtl/>
        </w:rPr>
        <w:t>בית המשפט העליון קיבל את ערעורו על חומרת העונש לרבות ביחס לחלקו בעבירה, והעמיד את עונשו על 6 חודשי מאסר (</w:t>
      </w:r>
      <w:hyperlink r:id="rId29" w:history="1">
        <w:r w:rsidR="00274EA5" w:rsidRPr="00274EA5">
          <w:rPr>
            <w:rFonts w:ascii="FrankRuehl" w:hAnsi="FrankRuehl" w:cs="FrankRuehl"/>
            <w:color w:val="0000FF"/>
            <w:sz w:val="26"/>
            <w:szCs w:val="26"/>
            <w:u w:val="single"/>
            <w:rtl/>
          </w:rPr>
          <w:t>ע"פ 6031/18</w:t>
        </w:r>
      </w:hyperlink>
      <w:r w:rsidRPr="003050C5">
        <w:rPr>
          <w:rFonts w:ascii="FrankRuehl" w:hAnsi="FrankRuehl" w:cs="FrankRuehl"/>
          <w:sz w:val="26"/>
          <w:szCs w:val="26"/>
          <w:rtl/>
        </w:rPr>
        <w:t xml:space="preserve"> </w:t>
      </w:r>
      <w:r w:rsidRPr="003050C5">
        <w:rPr>
          <w:rFonts w:ascii="FrankRuehl" w:hAnsi="FrankRuehl" w:cs="FrankRuehl"/>
          <w:b/>
          <w:bCs/>
          <w:sz w:val="26"/>
          <w:szCs w:val="26"/>
          <w:rtl/>
        </w:rPr>
        <w:t>אלעסם נ' מדינת ישראל</w:t>
      </w:r>
      <w:r w:rsidRPr="003050C5">
        <w:rPr>
          <w:rFonts w:ascii="FrankRuehl" w:hAnsi="FrankRuehl" w:cs="FrankRuehl"/>
          <w:sz w:val="26"/>
          <w:szCs w:val="26"/>
          <w:rtl/>
        </w:rPr>
        <w:t xml:space="preserve"> (פורסם בנבו, 13.9.2018).</w:t>
      </w:r>
    </w:p>
    <w:p w14:paraId="46983FB0" w14:textId="77777777" w:rsidR="0043659E" w:rsidRPr="00CC422B" w:rsidRDefault="0043659E" w:rsidP="0043659E">
      <w:pPr>
        <w:pStyle w:val="aa"/>
        <w:rPr>
          <w:rFonts w:ascii="FrankRuehl" w:hAnsi="FrankRuehl" w:cs="FrankRuehl"/>
          <w:sz w:val="26"/>
          <w:szCs w:val="26"/>
          <w:rtl/>
        </w:rPr>
      </w:pPr>
    </w:p>
    <w:p w14:paraId="59D0229F" w14:textId="77777777" w:rsidR="0043659E" w:rsidRPr="00CC422B" w:rsidRDefault="0043659E" w:rsidP="0043659E">
      <w:pPr>
        <w:spacing w:after="120" w:line="480" w:lineRule="auto"/>
        <w:ind w:left="360"/>
        <w:jc w:val="both"/>
        <w:rPr>
          <w:rFonts w:ascii="FrankRuehl" w:hAnsi="FrankRuehl" w:cs="FrankRuehl"/>
          <w:sz w:val="26"/>
          <w:szCs w:val="26"/>
        </w:rPr>
      </w:pPr>
      <w:r>
        <w:rPr>
          <w:rFonts w:ascii="FrankRuehl" w:hAnsi="FrankRuehl" w:cs="FrankRuehl" w:hint="cs"/>
          <w:sz w:val="26"/>
          <w:szCs w:val="26"/>
          <w:rtl/>
        </w:rPr>
        <w:t xml:space="preserve">בתיק דנן, הסיוע הוא לגידול  בדרך של השקיה של שני מתחמים שונים צמודים מגודרים 516 שתילי הסמים. כתב האישום המתוקן הוא מה שיש לבית המשפט לפניו, במסגרת הסדר הטיעון הפתוח כמצוות המחוקק. </w:t>
      </w:r>
    </w:p>
    <w:p w14:paraId="20CD05E1" w14:textId="77777777" w:rsidR="0043659E" w:rsidRPr="003050C5" w:rsidRDefault="0043659E" w:rsidP="0043659E">
      <w:pPr>
        <w:pStyle w:val="aa"/>
        <w:numPr>
          <w:ilvl w:val="0"/>
          <w:numId w:val="1"/>
        </w:numPr>
        <w:spacing w:after="120" w:line="480" w:lineRule="auto"/>
        <w:jc w:val="both"/>
        <w:rPr>
          <w:rFonts w:ascii="FrankRuehl" w:hAnsi="FrankRuehl" w:cs="FrankRuehl"/>
          <w:sz w:val="26"/>
          <w:szCs w:val="26"/>
        </w:rPr>
      </w:pPr>
      <w:r w:rsidRPr="003050C5">
        <w:rPr>
          <w:rFonts w:ascii="FrankRuehl" w:hAnsi="FrankRuehl" w:cs="FrankRuehl"/>
          <w:sz w:val="26"/>
          <w:szCs w:val="26"/>
          <w:rtl/>
        </w:rPr>
        <w:t>ב</w:t>
      </w:r>
      <w:hyperlink r:id="rId30" w:history="1">
        <w:r w:rsidR="00274EA5" w:rsidRPr="00274EA5">
          <w:rPr>
            <w:rFonts w:ascii="FrankRuehl" w:hAnsi="FrankRuehl" w:cs="FrankRuehl"/>
            <w:color w:val="0000FF"/>
            <w:sz w:val="26"/>
            <w:szCs w:val="26"/>
            <w:u w:val="single"/>
            <w:rtl/>
          </w:rPr>
          <w:t>ת"פ 51352-12-21</w:t>
        </w:r>
      </w:hyperlink>
      <w:r w:rsidRPr="003050C5">
        <w:rPr>
          <w:rFonts w:ascii="FrankRuehl" w:hAnsi="FrankRuehl" w:cs="FrankRuehl"/>
          <w:sz w:val="26"/>
          <w:szCs w:val="26"/>
          <w:rtl/>
        </w:rPr>
        <w:t xml:space="preserve"> </w:t>
      </w:r>
      <w:r w:rsidRPr="003050C5">
        <w:rPr>
          <w:rFonts w:ascii="FrankRuehl" w:hAnsi="FrankRuehl" w:cs="FrankRuehl"/>
          <w:b/>
          <w:bCs/>
          <w:sz w:val="26"/>
          <w:szCs w:val="26"/>
          <w:rtl/>
        </w:rPr>
        <w:t>מדינת ישראל נ' ארישב</w:t>
      </w:r>
      <w:r w:rsidRPr="003050C5">
        <w:rPr>
          <w:rFonts w:ascii="FrankRuehl" w:hAnsi="FrankRuehl" w:cs="FrankRuehl"/>
          <w:sz w:val="26"/>
          <w:szCs w:val="26"/>
          <w:rtl/>
        </w:rPr>
        <w:t xml:space="preserve"> (פורסם במאגרים) – הנאשם הורשע, על פי הודאתו, בעבירות של גידול סמים וסיוע להחזקת חצרים להכנת סמים. לפי עובדות כתב האישום המתוקן, </w:t>
      </w:r>
      <w:r w:rsidRPr="003050C5">
        <w:rPr>
          <w:rFonts w:ascii="FrankRuehl" w:hAnsi="FrankRuehl" w:cs="FrankRuehl"/>
          <w:b/>
          <w:bCs/>
          <w:sz w:val="26"/>
          <w:szCs w:val="26"/>
          <w:rtl/>
        </w:rPr>
        <w:t xml:space="preserve">סייע </w:t>
      </w:r>
      <w:r w:rsidRPr="003050C5">
        <w:rPr>
          <w:rFonts w:ascii="FrankRuehl" w:hAnsi="FrankRuehl" w:cs="FrankRuehl"/>
          <w:sz w:val="26"/>
          <w:szCs w:val="26"/>
          <w:rtl/>
        </w:rPr>
        <w:t xml:space="preserve">הנאשם להקים מעבדה לגידול סמים, ובה גידל </w:t>
      </w:r>
      <w:r w:rsidRPr="003050C5">
        <w:rPr>
          <w:rFonts w:ascii="FrankRuehl" w:hAnsi="FrankRuehl" w:cs="FrankRuehl"/>
          <w:sz w:val="26"/>
          <w:szCs w:val="26"/>
          <w:u w:val="single"/>
          <w:rtl/>
        </w:rPr>
        <w:t>40 שתילים</w:t>
      </w:r>
      <w:r w:rsidRPr="003050C5">
        <w:rPr>
          <w:rFonts w:ascii="FrankRuehl" w:hAnsi="FrankRuehl" w:cs="FrankRuehl"/>
          <w:sz w:val="26"/>
          <w:szCs w:val="26"/>
          <w:rtl/>
        </w:rPr>
        <w:t xml:space="preserve"> במשקל כולל של 10.3 ק"ג. מותב זה קבע מתחם ענישה הנע בין 12 ועד 24 חודשי מאסר בפועל וגזר על הנאשם 14 חודשי מאסר בפועל; מאסר על תנאי; קנס; פסילה בפועל ועל תנאי של רישיון הנהיגה.</w:t>
      </w:r>
    </w:p>
    <w:p w14:paraId="74675397" w14:textId="77777777" w:rsidR="0043659E" w:rsidRPr="00F9391E" w:rsidRDefault="0043659E" w:rsidP="0043659E">
      <w:pPr>
        <w:pStyle w:val="aa"/>
        <w:spacing w:after="120" w:line="480" w:lineRule="auto"/>
        <w:ind w:left="360"/>
        <w:jc w:val="both"/>
        <w:rPr>
          <w:rFonts w:ascii="FrankRuehl" w:hAnsi="FrankRuehl" w:cs="FrankRuehl"/>
          <w:sz w:val="26"/>
          <w:szCs w:val="26"/>
        </w:rPr>
      </w:pPr>
    </w:p>
    <w:p w14:paraId="3AFEB34E" w14:textId="77777777" w:rsidR="0043659E" w:rsidRDefault="0043659E" w:rsidP="0043659E">
      <w:pPr>
        <w:spacing w:line="480" w:lineRule="auto"/>
        <w:jc w:val="both"/>
        <w:rPr>
          <w:rFonts w:ascii="FrankRuehl" w:hAnsi="FrankRuehl" w:cs="FrankRuehl"/>
          <w:sz w:val="26"/>
          <w:szCs w:val="26"/>
          <w:u w:val="single"/>
          <w:rtl/>
        </w:rPr>
      </w:pPr>
      <w:r>
        <w:rPr>
          <w:rFonts w:ascii="FrankRuehl" w:hAnsi="FrankRuehl" w:cs="FrankRuehl"/>
          <w:sz w:val="26"/>
          <w:szCs w:val="26"/>
          <w:u w:val="single"/>
          <w:rtl/>
        </w:rPr>
        <w:t xml:space="preserve">נסיבות הקשורות לביצוע העבירה כאמור </w:t>
      </w:r>
      <w:hyperlink r:id="rId31" w:history="1">
        <w:r w:rsidR="000C445E" w:rsidRPr="000C445E">
          <w:rPr>
            <w:rStyle w:val="Hyperlink"/>
            <w:rFonts w:ascii="FrankRuehl" w:hAnsi="FrankRuehl" w:cs="FrankRuehl"/>
            <w:sz w:val="26"/>
            <w:szCs w:val="26"/>
            <w:rtl/>
          </w:rPr>
          <w:t>בסעיף 40ט</w:t>
        </w:r>
      </w:hyperlink>
      <w:r>
        <w:rPr>
          <w:rFonts w:ascii="FrankRuehl" w:hAnsi="FrankRuehl" w:cs="FrankRuehl"/>
          <w:sz w:val="26"/>
          <w:szCs w:val="26"/>
          <w:u w:val="single"/>
          <w:rtl/>
        </w:rPr>
        <w:t xml:space="preserve"> לחוק:</w:t>
      </w:r>
    </w:p>
    <w:p w14:paraId="58317D18"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הנאשם סייע לנאשמים אחרים בגידול 516 שתילי קנבוס, </w:t>
      </w:r>
      <w:r>
        <w:rPr>
          <w:rFonts w:ascii="FrankRuehl" w:hAnsi="FrankRuehl" w:cs="FrankRuehl" w:hint="cs"/>
          <w:sz w:val="26"/>
          <w:szCs w:val="26"/>
          <w:rtl/>
        </w:rPr>
        <w:t xml:space="preserve">בדרך של השקייתם </w:t>
      </w:r>
      <w:r>
        <w:rPr>
          <w:rFonts w:ascii="FrankRuehl" w:hAnsi="FrankRuehl" w:cs="FrankRuehl"/>
          <w:sz w:val="26"/>
          <w:szCs w:val="26"/>
          <w:rtl/>
        </w:rPr>
        <w:t xml:space="preserve">בשני מתחמים </w:t>
      </w:r>
      <w:r>
        <w:rPr>
          <w:rFonts w:ascii="FrankRuehl" w:hAnsi="FrankRuehl" w:cs="FrankRuehl" w:hint="cs"/>
          <w:sz w:val="26"/>
          <w:szCs w:val="26"/>
          <w:rtl/>
        </w:rPr>
        <w:t xml:space="preserve">מגודרים צמודים כאמור בכתב האישום המתוקן. </w:t>
      </w:r>
    </w:p>
    <w:p w14:paraId="7D98DFAD"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כמות הסם שנתפסה, הינה במשקל כולל של 2,551.9 גרם נטו</w:t>
      </w:r>
      <w:r>
        <w:rPr>
          <w:rFonts w:ascii="FrankRuehl" w:hAnsi="FrankRuehl" w:cs="FrankRuehl" w:hint="cs"/>
          <w:sz w:val="26"/>
          <w:szCs w:val="26"/>
          <w:rtl/>
        </w:rPr>
        <w:t xml:space="preserve"> ( כ 2.5 ק"ג ) כמות משמעותית </w:t>
      </w:r>
      <w:r>
        <w:rPr>
          <w:rFonts w:ascii="FrankRuehl" w:hAnsi="FrankRuehl" w:cs="FrankRuehl"/>
          <w:sz w:val="26"/>
          <w:szCs w:val="26"/>
          <w:rtl/>
        </w:rPr>
        <w:t>.</w:t>
      </w:r>
    </w:p>
    <w:p w14:paraId="6CC9E781"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הסמים פוגעים פגיעה קשה לא רק במשתמשים בסם, כי אם גם בבני משפחתם, חבריהם ומכריהם וכן בציבור בכללותו. </w:t>
      </w:r>
      <w:r>
        <w:rPr>
          <w:rFonts w:ascii="FrankRuehl" w:hAnsi="FrankRuehl" w:cs="FrankRuehl" w:hint="cs"/>
          <w:sz w:val="26"/>
          <w:szCs w:val="26"/>
          <w:rtl/>
        </w:rPr>
        <w:t xml:space="preserve">אחד המשקה אחד הרוכש שתילים אחד השותל ואחד המקצה או שוכר שטח כל אחד תורם ליצור הסם המסוכן, איש איש בתרומתו לדרגתה. סופם של אלו ייצור הסכנה בתפקידם העברייני. </w:t>
      </w:r>
    </w:p>
    <w:p w14:paraId="18C34337" w14:textId="77777777" w:rsidR="0043659E" w:rsidRPr="00F85B49"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בהתחשב בכמות השתילים ובמשקל הסם ובטיבו של הסיוע המיוחס לנאשם, סבורני כי מידת הפגיעה של הנאשם בערכים המוגנים, </w:t>
      </w:r>
      <w:r>
        <w:rPr>
          <w:rFonts w:ascii="FrankRuehl" w:hAnsi="FrankRuehl" w:cs="FrankRuehl" w:hint="cs"/>
          <w:sz w:val="26"/>
          <w:szCs w:val="26"/>
          <w:rtl/>
        </w:rPr>
        <w:t xml:space="preserve">בתעשיית הגידול והאספקה בכללותה הנאשם סייע בגידול השתילים שהם מקור שצריך לייבש במאבק בפשיעה שעניינה סמים- פגיעה משמעותית </w:t>
      </w:r>
      <w:r w:rsidRPr="00F85B49">
        <w:rPr>
          <w:rFonts w:ascii="FrankRuehl" w:hAnsi="FrankRuehl" w:cs="FrankRuehl" w:hint="cs"/>
          <w:sz w:val="26"/>
          <w:szCs w:val="26"/>
          <w:rtl/>
        </w:rPr>
        <w:t>היא בשל דרגת מעורבותו בעבירת הסיוע</w:t>
      </w:r>
      <w:r>
        <w:rPr>
          <w:rFonts w:ascii="FrankRuehl" w:hAnsi="FrankRuehl" w:cs="FrankRuehl" w:hint="cs"/>
          <w:sz w:val="26"/>
          <w:szCs w:val="26"/>
          <w:rtl/>
        </w:rPr>
        <w:t xml:space="preserve"> שהיא ההשקיה ממש בלעדיו 516 שתילים יתייבשו</w:t>
      </w:r>
      <w:r w:rsidRPr="00F85B49">
        <w:rPr>
          <w:rFonts w:ascii="FrankRuehl" w:hAnsi="FrankRuehl" w:cs="FrankRuehl"/>
          <w:sz w:val="26"/>
          <w:szCs w:val="26"/>
          <w:rtl/>
        </w:rPr>
        <w:t>.</w:t>
      </w:r>
    </w:p>
    <w:p w14:paraId="15F6587E"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hint="cs"/>
          <w:sz w:val="26"/>
          <w:szCs w:val="26"/>
          <w:rtl/>
        </w:rPr>
        <w:t xml:space="preserve">גם אם סיבת סטייה ממתחם ענישה מטעמי שיקום בפסיקות בית המשפט , או קביעת מתחם ענישה נמוך ואינו הולם, או תפיסה מקלה בעבירת "הסיוע" בשאר עבירות, יש לזכור כי מתחם הענישה ההולם </w:t>
      </w:r>
      <w:r w:rsidRPr="00BC7190">
        <w:rPr>
          <w:rFonts w:ascii="FrankRuehl" w:hAnsi="FrankRuehl" w:cs="FrankRuehl" w:hint="cs"/>
          <w:b/>
          <w:bCs/>
          <w:sz w:val="26"/>
          <w:szCs w:val="26"/>
          <w:rtl/>
        </w:rPr>
        <w:t>והראוי</w:t>
      </w:r>
      <w:r>
        <w:rPr>
          <w:rFonts w:ascii="FrankRuehl" w:hAnsi="FrankRuehl" w:cs="FrankRuehl" w:hint="cs"/>
          <w:sz w:val="26"/>
          <w:szCs w:val="26"/>
          <w:rtl/>
        </w:rPr>
        <w:t xml:space="preserve"> הוא המבוקש במסגרת תיקון 113 זאת מלבד קיומו של מתחם שהרף העליון שלו הינו 18 חודשי מאסר.  </w:t>
      </w:r>
    </w:p>
    <w:p w14:paraId="26ADA680" w14:textId="77777777" w:rsidR="0043659E" w:rsidRDefault="0043659E" w:rsidP="0043659E">
      <w:pPr>
        <w:pStyle w:val="aa"/>
        <w:spacing w:line="480" w:lineRule="auto"/>
        <w:ind w:left="360"/>
        <w:jc w:val="both"/>
        <w:rPr>
          <w:rFonts w:ascii="FrankRuehl" w:hAnsi="FrankRuehl" w:cs="FrankRuehl"/>
          <w:sz w:val="26"/>
          <w:szCs w:val="26"/>
        </w:rPr>
      </w:pPr>
    </w:p>
    <w:p w14:paraId="6ED95656" w14:textId="77777777" w:rsidR="0043659E" w:rsidRDefault="0043659E" w:rsidP="0043659E">
      <w:pPr>
        <w:pStyle w:val="aa"/>
        <w:spacing w:line="480" w:lineRule="auto"/>
        <w:ind w:left="360"/>
        <w:jc w:val="both"/>
        <w:rPr>
          <w:rFonts w:ascii="FrankRuehl" w:hAnsi="FrankRuehl" w:cs="FrankRuehl"/>
          <w:sz w:val="26"/>
          <w:szCs w:val="26"/>
        </w:rPr>
      </w:pPr>
      <w:r>
        <w:rPr>
          <w:rFonts w:ascii="FrankRuehl" w:hAnsi="FrankRuehl" w:cs="FrankRuehl" w:hint="cs"/>
          <w:sz w:val="26"/>
          <w:szCs w:val="26"/>
          <w:rtl/>
        </w:rPr>
        <w:t xml:space="preserve">עבירת </w:t>
      </w:r>
      <w:r w:rsidRPr="00B80861">
        <w:rPr>
          <w:rFonts w:ascii="FrankRuehl" w:hAnsi="FrankRuehl" w:cs="FrankRuehl" w:hint="cs"/>
          <w:sz w:val="26"/>
          <w:szCs w:val="26"/>
          <w:u w:val="single"/>
          <w:rtl/>
        </w:rPr>
        <w:t xml:space="preserve">הסיוע </w:t>
      </w:r>
      <w:r>
        <w:rPr>
          <w:rFonts w:ascii="FrankRuehl" w:hAnsi="FrankRuehl" w:cs="FrankRuehl" w:hint="cs"/>
          <w:sz w:val="26"/>
          <w:szCs w:val="26"/>
          <w:rtl/>
        </w:rPr>
        <w:t xml:space="preserve">לגידול סמים : </w:t>
      </w:r>
    </w:p>
    <w:p w14:paraId="22D21948"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hint="cs"/>
          <w:sz w:val="26"/>
          <w:szCs w:val="26"/>
          <w:rtl/>
        </w:rPr>
        <w:t>מנגד יש לזכור כי אין מדובר אלא בעבירת</w:t>
      </w:r>
      <w:r w:rsidRPr="005E563C">
        <w:rPr>
          <w:rFonts w:ascii="FrankRuehl" w:hAnsi="FrankRuehl" w:cs="FrankRuehl" w:hint="cs"/>
          <w:b/>
          <w:bCs/>
          <w:sz w:val="26"/>
          <w:szCs w:val="26"/>
          <w:u w:val="single"/>
          <w:rtl/>
        </w:rPr>
        <w:t xml:space="preserve"> סיוע</w:t>
      </w:r>
      <w:r>
        <w:rPr>
          <w:rFonts w:ascii="FrankRuehl" w:hAnsi="FrankRuehl" w:cs="FrankRuehl" w:hint="cs"/>
          <w:sz w:val="26"/>
          <w:szCs w:val="26"/>
          <w:rtl/>
        </w:rPr>
        <w:t xml:space="preserve"> והגדרתה ראייתית ותכליתית היא ככזו, מה שמשליך על כוונת המחוקק, דרכי הענישה, וכוונת המאשימה בהגדרת היסודות העובדתיים והנפשיים בהם הודה הנאשם, ומהם ייגזר עונשו ואין להוסיף להשלים ולהשוות בין עבירות שונות מושלמות לשאינן מושלמות כי לכך נוצרו הבדלים אלה. יחד עם זאת, מתחמי הענישה בכמויות סם נמוכות פי כמה וגזירת העונשים במגמת החמרה אינם יכולים להיות זהים ודומים לכל הקשור לגידול סמים בכמויות גדולות ואין קביעת העונש במחצית העונש ההולם לעבירה המושלמת אלא לפי שיקול דעת כל מקרה לגופו .המלחמה בתעשייה העבריינית הוכרזה מעל כל במה, הכלים ניתנו למיגורה במדינה קטנה כמו ישראל, גורמי האכיפה עושים מלאכתם בשקידה למרות מגבלות כוח האדם,  ועדיין השתילים פורחים בגן העיר, ולפנינו " רק " "מסייע "המשקה מים לשתילים ומה צריך אם לא מים לשתילים שיפרחו כראוי. </w:t>
      </w:r>
    </w:p>
    <w:p w14:paraId="71209254" w14:textId="77777777" w:rsidR="0043659E" w:rsidRPr="00881BB2" w:rsidRDefault="0043659E" w:rsidP="0043659E">
      <w:pPr>
        <w:pStyle w:val="aa"/>
        <w:spacing w:line="480" w:lineRule="auto"/>
        <w:ind w:left="360"/>
        <w:jc w:val="both"/>
        <w:rPr>
          <w:rFonts w:ascii="FrankRuehl" w:hAnsi="FrankRuehl" w:cs="FrankRuehl"/>
          <w:sz w:val="26"/>
          <w:szCs w:val="26"/>
          <w:u w:val="single"/>
        </w:rPr>
      </w:pPr>
      <w:r w:rsidRPr="00881BB2">
        <w:rPr>
          <w:rFonts w:ascii="FrankRuehl" w:hAnsi="FrankRuehl" w:cs="FrankRuehl" w:hint="cs"/>
          <w:sz w:val="26"/>
          <w:szCs w:val="26"/>
          <w:u w:val="single"/>
          <w:rtl/>
        </w:rPr>
        <w:t xml:space="preserve">מתחם העונש : </w:t>
      </w:r>
    </w:p>
    <w:p w14:paraId="099AA30B" w14:textId="77777777" w:rsidR="0043659E" w:rsidRDefault="0043659E" w:rsidP="0043659E">
      <w:pPr>
        <w:numPr>
          <w:ilvl w:val="0"/>
          <w:numId w:val="1"/>
        </w:numPr>
        <w:spacing w:line="480" w:lineRule="auto"/>
        <w:contextualSpacing/>
        <w:jc w:val="both"/>
        <w:rPr>
          <w:rFonts w:ascii="FrankRuehl" w:hAnsi="FrankRuehl" w:cs="FrankRuehl"/>
          <w:b/>
          <w:bCs/>
          <w:sz w:val="26"/>
          <w:szCs w:val="26"/>
        </w:rPr>
      </w:pPr>
      <w:r w:rsidRPr="00881BB2">
        <w:rPr>
          <w:rFonts w:ascii="FrankRuehl" w:hAnsi="FrankRuehl" w:cs="FrankRuehl"/>
          <w:b/>
          <w:bCs/>
          <w:sz w:val="26"/>
          <w:szCs w:val="26"/>
          <w:rtl/>
        </w:rPr>
        <w:t xml:space="preserve">מכל המפורט לעיל, מתחם הענישה ההולם לעבירה אותה ביצע הנאשם, הנסיבות המתוארות,  בשים לב לעקרון המנחה בענישה, לערכים המוגנים שנפגעו ולמידת הפגיעה בהם, למדיניות הענישה הנוהגת, ולנסיבות הקשורות בביצוע העבירה, הריני לקבוע כי בגין מכלול מעשיו של הנאשם </w:t>
      </w:r>
      <w:r>
        <w:rPr>
          <w:rFonts w:ascii="FrankRuehl" w:hAnsi="FrankRuehl" w:cs="FrankRuehl" w:hint="cs"/>
          <w:b/>
          <w:bCs/>
          <w:sz w:val="26"/>
          <w:szCs w:val="26"/>
          <w:rtl/>
        </w:rPr>
        <w:t>ובהתאם ל</w:t>
      </w:r>
      <w:hyperlink r:id="rId32" w:history="1">
        <w:r w:rsidR="00274EA5" w:rsidRPr="00274EA5">
          <w:rPr>
            <w:rFonts w:ascii="FrankRuehl" w:hAnsi="FrankRuehl" w:cs="FrankRuehl"/>
            <w:b/>
            <w:bCs/>
            <w:color w:val="0000FF"/>
            <w:sz w:val="26"/>
            <w:szCs w:val="26"/>
            <w:u w:val="single"/>
            <w:rtl/>
          </w:rPr>
          <w:t>ע"פ 4463/12</w:t>
        </w:r>
      </w:hyperlink>
      <w:r w:rsidRPr="00551680">
        <w:rPr>
          <w:rFonts w:ascii="FrankRuehl" w:hAnsi="FrankRuehl" w:cs="FrankRuehl"/>
          <w:b/>
          <w:bCs/>
          <w:sz w:val="26"/>
          <w:szCs w:val="26"/>
          <w:rtl/>
        </w:rPr>
        <w:t xml:space="preserve"> ארנבורג נ' מדינת ישראל [פורסם בנבו] (13.9.2012)</w:t>
      </w:r>
      <w:r>
        <w:rPr>
          <w:rFonts w:ascii="FrankRuehl" w:hAnsi="FrankRuehl" w:cs="FrankRuehl" w:hint="cs"/>
          <w:b/>
          <w:bCs/>
          <w:sz w:val="26"/>
          <w:szCs w:val="26"/>
          <w:rtl/>
        </w:rPr>
        <w:t xml:space="preserve">, במקרה זה,  </w:t>
      </w:r>
      <w:r w:rsidRPr="00881BB2">
        <w:rPr>
          <w:rFonts w:ascii="FrankRuehl" w:hAnsi="FrankRuehl" w:cs="FrankRuehl"/>
          <w:b/>
          <w:bCs/>
          <w:sz w:val="26"/>
          <w:szCs w:val="26"/>
          <w:rtl/>
        </w:rPr>
        <w:t xml:space="preserve">ינוע מתחם העונש ההולם בין </w:t>
      </w:r>
      <w:r w:rsidRPr="00881BB2">
        <w:rPr>
          <w:rFonts w:ascii="FrankRuehl" w:hAnsi="FrankRuehl" w:cs="FrankRuehl" w:hint="cs"/>
          <w:b/>
          <w:bCs/>
          <w:sz w:val="26"/>
          <w:szCs w:val="26"/>
          <w:rtl/>
        </w:rPr>
        <w:t>6</w:t>
      </w:r>
      <w:r w:rsidRPr="00881BB2">
        <w:rPr>
          <w:rFonts w:ascii="FrankRuehl" w:hAnsi="FrankRuehl" w:cs="FrankRuehl"/>
          <w:b/>
          <w:bCs/>
          <w:sz w:val="26"/>
          <w:szCs w:val="26"/>
          <w:rtl/>
        </w:rPr>
        <w:t xml:space="preserve"> חודשי מאסר </w:t>
      </w:r>
      <w:r w:rsidRPr="00881BB2">
        <w:rPr>
          <w:rFonts w:ascii="FrankRuehl" w:hAnsi="FrankRuehl" w:cs="FrankRuehl" w:hint="cs"/>
          <w:b/>
          <w:bCs/>
          <w:sz w:val="26"/>
          <w:szCs w:val="26"/>
          <w:rtl/>
        </w:rPr>
        <w:t>שניתן לבצעם</w:t>
      </w:r>
      <w:r w:rsidRPr="00881BB2">
        <w:rPr>
          <w:rFonts w:ascii="FrankRuehl" w:hAnsi="FrankRuehl" w:cs="FrankRuehl"/>
          <w:b/>
          <w:bCs/>
          <w:sz w:val="26"/>
          <w:szCs w:val="26"/>
          <w:rtl/>
        </w:rPr>
        <w:t xml:space="preserve"> בעבודות שירות לבין 18 חודשי מאסר בפועל. </w:t>
      </w:r>
    </w:p>
    <w:p w14:paraId="0C6DA0A9" w14:textId="77777777" w:rsidR="0043659E" w:rsidRPr="00881BB2" w:rsidRDefault="0043659E" w:rsidP="0043659E">
      <w:pPr>
        <w:spacing w:line="480" w:lineRule="auto"/>
        <w:ind w:left="360"/>
        <w:contextualSpacing/>
        <w:jc w:val="both"/>
        <w:rPr>
          <w:rFonts w:ascii="FrankRuehl" w:hAnsi="FrankRuehl" w:cs="FrankRuehl"/>
          <w:b/>
          <w:bCs/>
          <w:sz w:val="26"/>
          <w:szCs w:val="26"/>
        </w:rPr>
      </w:pPr>
    </w:p>
    <w:p w14:paraId="64B927B1" w14:textId="77777777" w:rsidR="0043659E" w:rsidRDefault="0043659E" w:rsidP="0043659E">
      <w:pPr>
        <w:numPr>
          <w:ilvl w:val="0"/>
          <w:numId w:val="1"/>
        </w:numPr>
        <w:spacing w:line="480" w:lineRule="auto"/>
        <w:contextualSpacing/>
        <w:jc w:val="both"/>
        <w:rPr>
          <w:rFonts w:ascii="FrankRuehl" w:hAnsi="FrankRuehl" w:cs="FrankRuehl"/>
          <w:b/>
          <w:bCs/>
          <w:sz w:val="26"/>
          <w:szCs w:val="26"/>
        </w:rPr>
      </w:pPr>
      <w:r w:rsidRPr="00881BB2">
        <w:rPr>
          <w:rFonts w:ascii="FrankRuehl" w:hAnsi="FrankRuehl" w:cs="FrankRuehl" w:hint="cs"/>
          <w:b/>
          <w:bCs/>
          <w:sz w:val="26"/>
          <w:szCs w:val="26"/>
          <w:rtl/>
        </w:rPr>
        <w:t xml:space="preserve">תעשיית הסמים בארץ ובעולם כרוכה ברווחים קלים ולכן ההכבדה בקנסות כבדים משמעותית מחייבת מתחם ענישה ראוי במקרה זה שבין 10,000 ₪ ל30,000 ₪ וכל מיעוט בזה מותיר את ביצוע העבירה ככדאית כלכלית בעבור כמה חודשי הגבלה תנועתית. ויש להחמיר ברכיב זה בענישה דווקא בשל תכלית תעשייה סרטנית זו במדינה ובעולם כולו, והכלי האפקטיבי המרכזי במאבק בעבריינות הסמים הוא גם ובמקביל הכלי הכלכלי . מדובר במתחם  מינורי אך עדיין לא משתלם ליחיד לעומת רווחי הענף. </w:t>
      </w:r>
    </w:p>
    <w:p w14:paraId="2E34A943" w14:textId="77777777" w:rsidR="0043659E" w:rsidRDefault="0043659E" w:rsidP="0043659E">
      <w:pPr>
        <w:pStyle w:val="aa"/>
        <w:rPr>
          <w:rFonts w:ascii="FrankRuehl" w:hAnsi="FrankRuehl" w:cs="FrankRuehl"/>
          <w:b/>
          <w:bCs/>
          <w:sz w:val="26"/>
          <w:szCs w:val="26"/>
          <w:rtl/>
        </w:rPr>
      </w:pPr>
    </w:p>
    <w:p w14:paraId="354E41C3" w14:textId="77777777" w:rsidR="0043659E" w:rsidRPr="00881BB2" w:rsidRDefault="0043659E" w:rsidP="0043659E">
      <w:pPr>
        <w:spacing w:line="480" w:lineRule="auto"/>
        <w:ind w:left="360"/>
        <w:contextualSpacing/>
        <w:jc w:val="both"/>
        <w:rPr>
          <w:rFonts w:ascii="FrankRuehl" w:hAnsi="FrankRuehl" w:cs="FrankRuehl"/>
          <w:b/>
          <w:bCs/>
          <w:sz w:val="26"/>
          <w:szCs w:val="26"/>
        </w:rPr>
      </w:pPr>
    </w:p>
    <w:p w14:paraId="163DA830" w14:textId="77777777" w:rsidR="0043659E" w:rsidRDefault="0043659E" w:rsidP="0043659E">
      <w:pPr>
        <w:keepNext/>
        <w:keepLines/>
        <w:spacing w:line="480" w:lineRule="auto"/>
        <w:jc w:val="both"/>
        <w:outlineLvl w:val="0"/>
        <w:rPr>
          <w:rFonts w:ascii="FrankRuehl" w:hAnsi="FrankRuehl" w:cs="FrankRuehl"/>
          <w:b/>
          <w:bCs/>
          <w:sz w:val="26"/>
          <w:szCs w:val="26"/>
          <w:u w:val="single"/>
        </w:rPr>
      </w:pPr>
      <w:r>
        <w:rPr>
          <w:rFonts w:ascii="FrankRuehl" w:hAnsi="FrankRuehl" w:cs="FrankRuehl"/>
          <w:b/>
          <w:bCs/>
          <w:sz w:val="26"/>
          <w:szCs w:val="26"/>
          <w:u w:val="single"/>
          <w:rtl/>
        </w:rPr>
        <w:t>גזירת העונש המתאים  לנאשם</w:t>
      </w:r>
    </w:p>
    <w:p w14:paraId="566A04D0" w14:textId="77777777" w:rsidR="0043659E" w:rsidRPr="0043659E" w:rsidRDefault="0043659E" w:rsidP="0043659E">
      <w:pPr>
        <w:pStyle w:val="aa"/>
        <w:spacing w:line="480" w:lineRule="auto"/>
        <w:ind w:left="360"/>
        <w:jc w:val="both"/>
        <w:rPr>
          <w:rFonts w:ascii="FrankRuehl" w:hAnsi="FrankRuehl" w:cs="FrankRuehl"/>
          <w:sz w:val="26"/>
          <w:szCs w:val="26"/>
        </w:rPr>
      </w:pPr>
      <w:r>
        <w:rPr>
          <w:rFonts w:ascii="FrankRuehl" w:hAnsi="FrankRuehl" w:cs="FrankRuehl"/>
          <w:sz w:val="26"/>
          <w:szCs w:val="26"/>
          <w:rtl/>
        </w:rPr>
        <w:t xml:space="preserve">כאמור </w:t>
      </w:r>
      <w:hyperlink w:history="1">
        <w:r w:rsidRPr="00274EA5">
          <w:rPr>
            <w:rFonts w:ascii="FrankRuehl" w:hAnsi="FrankRuehl" w:cs="FrankRuehl" w:hint="cs"/>
            <w:color w:val="000000"/>
            <w:sz w:val="26"/>
            <w:szCs w:val="26"/>
            <w:rtl/>
          </w:rPr>
          <w:t>בסעיף 40ג(ב)</w:t>
        </w:r>
      </w:hyperlink>
      <w:r>
        <w:rPr>
          <w:rFonts w:ascii="FrankRuehl" w:hAnsi="FrankRuehl" w:cs="FrankRuehl"/>
          <w:sz w:val="26"/>
          <w:szCs w:val="26"/>
          <w:rtl/>
        </w:rPr>
        <w:t xml:space="preserve"> </w:t>
      </w:r>
      <w:r>
        <w:rPr>
          <w:rFonts w:ascii="FrankRuehl" w:hAnsi="FrankRuehl" w:cs="FrankRuehl" w:hint="cs"/>
          <w:sz w:val="26"/>
          <w:szCs w:val="26"/>
          <w:rtl/>
        </w:rPr>
        <w:t>ל</w:t>
      </w:r>
      <w:hyperlink w:history="1">
        <w:r w:rsidRPr="00274EA5">
          <w:rPr>
            <w:rFonts w:ascii="FrankRuehl" w:hAnsi="FrankRuehl" w:cs="FrankRuehl" w:hint="cs"/>
            <w:color w:val="000000"/>
            <w:sz w:val="26"/>
            <w:szCs w:val="26"/>
            <w:rtl/>
          </w:rPr>
          <w:t>חוק העונשין</w:t>
        </w:r>
      </w:hyperlink>
      <w:r>
        <w:rPr>
          <w:rFonts w:ascii="FrankRuehl" w:hAnsi="FrankRuehl" w:cs="FrankRuehl"/>
          <w:sz w:val="26"/>
          <w:szCs w:val="26"/>
          <w:rtl/>
        </w:rPr>
        <w:t>, עובר לגזירת העונש המתאים לנאשם, בית המשפט ישקול את הנסיבות שאינן קשורות בביצוע העבירות.</w:t>
      </w:r>
      <w:r>
        <w:rPr>
          <w:rFonts w:ascii="FrankRuehl" w:hAnsi="FrankRuehl" w:cs="FrankRuehl" w:hint="cs"/>
          <w:sz w:val="26"/>
          <w:szCs w:val="26"/>
          <w:rtl/>
        </w:rPr>
        <w:t xml:space="preserve"> </w:t>
      </w:r>
      <w:r w:rsidRPr="00862B7A">
        <w:rPr>
          <w:rFonts w:ascii="FrankRuehl" w:hAnsi="FrankRuehl" w:cs="FrankRuehl"/>
          <w:sz w:val="26"/>
          <w:szCs w:val="26"/>
          <w:rtl/>
        </w:rPr>
        <w:t>בהתאם לכך, נתתי את דעתי לנסיבות הבאות:</w:t>
      </w:r>
    </w:p>
    <w:p w14:paraId="3C47956D"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פגיעת העונש בנאשם לרבות בשל גילו, הנאשם בן 35 נשוי ואב לשישה ילדים, בעל עבר פלילי אך נעדר רישום קודם בע</w:t>
      </w:r>
      <w:r>
        <w:rPr>
          <w:rFonts w:ascii="FrankRuehl" w:hAnsi="FrankRuehl" w:cs="FrankRuehl" w:hint="cs"/>
          <w:sz w:val="26"/>
          <w:szCs w:val="26"/>
          <w:rtl/>
        </w:rPr>
        <w:t>ב</w:t>
      </w:r>
      <w:r>
        <w:rPr>
          <w:rFonts w:ascii="FrankRuehl" w:hAnsi="FrankRuehl" w:cs="FrankRuehl"/>
          <w:sz w:val="26"/>
          <w:szCs w:val="26"/>
          <w:rtl/>
        </w:rPr>
        <w:t>ירה מושא תיק זה.</w:t>
      </w:r>
    </w:p>
    <w:p w14:paraId="213C45B9"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הנאשם, מפרנס יחיד, אשתו עקרת בית .</w:t>
      </w:r>
    </w:p>
    <w:p w14:paraId="204B9CDB"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b/>
          <w:bCs/>
          <w:sz w:val="26"/>
          <w:szCs w:val="26"/>
          <w:rtl/>
        </w:rPr>
        <w:t>נטילת האחריות של הנאשם על מעשיו</w:t>
      </w:r>
      <w:r>
        <w:rPr>
          <w:rFonts w:ascii="FrankRuehl" w:hAnsi="FrankRuehl" w:cs="FrankRuehl"/>
          <w:sz w:val="26"/>
          <w:szCs w:val="26"/>
          <w:rtl/>
        </w:rPr>
        <w:t xml:space="preserve"> - הנאשם </w:t>
      </w:r>
      <w:r w:rsidRPr="00862B7A">
        <w:rPr>
          <w:rFonts w:ascii="FrankRuehl" w:hAnsi="FrankRuehl" w:cs="FrankRuehl"/>
          <w:sz w:val="26"/>
          <w:szCs w:val="26"/>
          <w:u w:val="single"/>
          <w:rtl/>
        </w:rPr>
        <w:t>הודה</w:t>
      </w:r>
      <w:r>
        <w:rPr>
          <w:rFonts w:ascii="FrankRuehl" w:hAnsi="FrankRuehl" w:cs="FrankRuehl"/>
          <w:sz w:val="26"/>
          <w:szCs w:val="26"/>
          <w:rtl/>
        </w:rPr>
        <w:t xml:space="preserve"> בכתב אישום מתוקן, </w:t>
      </w:r>
      <w:r>
        <w:rPr>
          <w:rFonts w:ascii="FrankRuehl" w:hAnsi="FrankRuehl" w:cs="FrankRuehl" w:hint="cs"/>
          <w:sz w:val="26"/>
          <w:szCs w:val="26"/>
          <w:rtl/>
        </w:rPr>
        <w:t>וקיבל על עצמו הדין.</w:t>
      </w:r>
      <w:r>
        <w:rPr>
          <w:rFonts w:ascii="FrankRuehl" w:hAnsi="FrankRuehl" w:cs="FrankRuehl"/>
          <w:sz w:val="26"/>
          <w:szCs w:val="26"/>
          <w:rtl/>
        </w:rPr>
        <w:t xml:space="preserve"> </w:t>
      </w:r>
    </w:p>
    <w:p w14:paraId="0FCD3E73" w14:textId="77777777" w:rsidR="0043659E" w:rsidRDefault="0043659E" w:rsidP="0043659E">
      <w:pPr>
        <w:pStyle w:val="aa"/>
        <w:numPr>
          <w:ilvl w:val="0"/>
          <w:numId w:val="1"/>
        </w:numPr>
        <w:spacing w:line="480" w:lineRule="auto"/>
        <w:jc w:val="both"/>
        <w:rPr>
          <w:rFonts w:ascii="FrankRuehl" w:hAnsi="FrankRuehl" w:cs="FrankRuehl"/>
          <w:sz w:val="26"/>
          <w:szCs w:val="26"/>
          <w:rtl/>
        </w:rPr>
      </w:pPr>
      <w:r>
        <w:rPr>
          <w:rFonts w:ascii="FrankRuehl" w:hAnsi="FrankRuehl" w:cs="FrankRuehl"/>
          <w:b/>
          <w:bCs/>
          <w:sz w:val="26"/>
          <w:szCs w:val="26"/>
          <w:rtl/>
        </w:rPr>
        <w:t>חלוף הזמן</w:t>
      </w:r>
      <w:r>
        <w:rPr>
          <w:rFonts w:ascii="FrankRuehl" w:hAnsi="FrankRuehl" w:cs="FrankRuehl"/>
          <w:sz w:val="26"/>
          <w:szCs w:val="26"/>
          <w:rtl/>
        </w:rPr>
        <w:t xml:space="preserve"> מהאירוע ביום 20.6.2019  ועד היום, </w:t>
      </w:r>
      <w:r w:rsidRPr="00862B7A">
        <w:rPr>
          <w:rFonts w:ascii="FrankRuehl" w:hAnsi="FrankRuehl" w:cs="FrankRuehl"/>
          <w:b/>
          <w:bCs/>
          <w:sz w:val="26"/>
          <w:szCs w:val="26"/>
          <w:u w:val="single"/>
          <w:rtl/>
        </w:rPr>
        <w:t>כ- 5 שנים</w:t>
      </w:r>
      <w:r w:rsidRPr="00862B7A">
        <w:rPr>
          <w:rFonts w:ascii="FrankRuehl" w:hAnsi="FrankRuehl" w:cs="FrankRuehl"/>
          <w:sz w:val="26"/>
          <w:szCs w:val="26"/>
          <w:u w:val="single"/>
          <w:rtl/>
        </w:rPr>
        <w:t>,</w:t>
      </w:r>
      <w:r>
        <w:rPr>
          <w:rFonts w:ascii="FrankRuehl" w:hAnsi="FrankRuehl" w:cs="FrankRuehl"/>
          <w:sz w:val="26"/>
          <w:szCs w:val="26"/>
          <w:rtl/>
        </w:rPr>
        <w:t xml:space="preserve"> מצדיק התייחסות מקלה במבחני הענישה ותכליתם. </w:t>
      </w:r>
    </w:p>
    <w:p w14:paraId="4FE180CB"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 xml:space="preserve"> נתתי דעתי לכך, כי כל מאסר בין אם מאחורי סורג ובריח או לריצוי בדרך עבודות שירות יפגע בתעסוקה </w:t>
      </w:r>
      <w:r w:rsidRPr="00862B7A">
        <w:rPr>
          <w:rFonts w:ascii="FrankRuehl" w:hAnsi="FrankRuehl" w:cs="FrankRuehl"/>
          <w:sz w:val="26"/>
          <w:szCs w:val="26"/>
          <w:u w:val="single"/>
          <w:rtl/>
        </w:rPr>
        <w:t>במידה מסוימת</w:t>
      </w:r>
      <w:r>
        <w:rPr>
          <w:rFonts w:ascii="FrankRuehl" w:hAnsi="FrankRuehl" w:cs="FrankRuehl"/>
          <w:sz w:val="26"/>
          <w:szCs w:val="26"/>
          <w:rtl/>
        </w:rPr>
        <w:t>, ויש לבחון את האינטרס הציבורי בכללותו.</w:t>
      </w:r>
    </w:p>
    <w:p w14:paraId="1916BC5F"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אין בתיק זה הצדק לסטיית מתחם הענישה מטעמי שיקום</w:t>
      </w:r>
      <w:r>
        <w:rPr>
          <w:rFonts w:ascii="FrankRuehl" w:hAnsi="FrankRuehl" w:cs="FrankRuehl" w:hint="cs"/>
          <w:sz w:val="26"/>
          <w:szCs w:val="26"/>
          <w:rtl/>
        </w:rPr>
        <w:t xml:space="preserve">, </w:t>
      </w:r>
      <w:r>
        <w:rPr>
          <w:rFonts w:ascii="FrankRuehl" w:hAnsi="FrankRuehl" w:cs="FrankRuehl"/>
          <w:sz w:val="26"/>
          <w:szCs w:val="26"/>
          <w:rtl/>
        </w:rPr>
        <w:t xml:space="preserve"> משום שלא קיים כזה וגם לא לחומרה מהמתחם מטעמי </w:t>
      </w:r>
      <w:r>
        <w:rPr>
          <w:rFonts w:ascii="FrankRuehl" w:hAnsi="FrankRuehl" w:cs="FrankRuehl" w:hint="cs"/>
          <w:sz w:val="26"/>
          <w:szCs w:val="26"/>
          <w:rtl/>
        </w:rPr>
        <w:t xml:space="preserve">הגנה על שלום הציבור </w:t>
      </w:r>
      <w:r>
        <w:rPr>
          <w:rFonts w:ascii="FrankRuehl" w:hAnsi="FrankRuehl" w:cs="FrankRuehl"/>
          <w:sz w:val="26"/>
          <w:szCs w:val="26"/>
          <w:rtl/>
        </w:rPr>
        <w:t xml:space="preserve"> במכלול השיקולים והמנעד בתחומי מתחם הענישה לעבירות אלה יחד.</w:t>
      </w:r>
      <w:r>
        <w:rPr>
          <w:rFonts w:ascii="FrankRuehl" w:hAnsi="FrankRuehl" w:cs="FrankRuehl" w:hint="cs"/>
          <w:sz w:val="26"/>
          <w:szCs w:val="26"/>
          <w:rtl/>
        </w:rPr>
        <w:t xml:space="preserve"> מנגד יש מקום להחמרה בענישה בתוך המתחם בכל הנוגע להרתעת הרבים מכל סיוע למגדלי ס מים שהם מקור אספקת ההרס החברתי. </w:t>
      </w:r>
    </w:p>
    <w:p w14:paraId="18454D13" w14:textId="77777777" w:rsidR="0043659E" w:rsidRDefault="0043659E" w:rsidP="0043659E">
      <w:pPr>
        <w:pStyle w:val="aa"/>
        <w:numPr>
          <w:ilvl w:val="0"/>
          <w:numId w:val="1"/>
        </w:numPr>
        <w:spacing w:line="480" w:lineRule="auto"/>
        <w:jc w:val="both"/>
        <w:rPr>
          <w:rFonts w:ascii="FrankRuehl" w:hAnsi="FrankRuehl" w:cs="FrankRuehl"/>
          <w:sz w:val="26"/>
          <w:szCs w:val="26"/>
        </w:rPr>
      </w:pPr>
      <w:r>
        <w:rPr>
          <w:rFonts w:ascii="FrankRuehl" w:hAnsi="FrankRuehl" w:cs="FrankRuehl"/>
          <w:sz w:val="26"/>
          <w:szCs w:val="26"/>
          <w:rtl/>
        </w:rPr>
        <w:t>הנאשם אב לשישה ילדים והמפרנס העיקרי. אין חולק כי ענישה בדמות מאסר בפועל או מאסר לביצוע בעבודות שירות יפגעו בנאשם ובמשפחתו הן מהבחינה הכלכלית והן מהבחינה המשפחתית</w:t>
      </w:r>
      <w:r>
        <w:rPr>
          <w:rFonts w:ascii="FrankRuehl" w:hAnsi="FrankRuehl" w:cs="FrankRuehl" w:hint="cs"/>
          <w:sz w:val="26"/>
          <w:szCs w:val="26"/>
          <w:rtl/>
        </w:rPr>
        <w:t xml:space="preserve">, אך הפגיעה הצפויה היא הכרחית  בעבירה של  סיוע לגידול שתילי הסמים </w:t>
      </w:r>
      <w:r w:rsidRPr="00520FAF">
        <w:rPr>
          <w:rFonts w:ascii="FrankRuehl" w:hAnsi="FrankRuehl" w:cs="FrankRuehl" w:hint="cs"/>
          <w:sz w:val="26"/>
          <w:szCs w:val="26"/>
          <w:u w:val="single"/>
          <w:rtl/>
        </w:rPr>
        <w:t>ובהרס שתילי אדם ברחבי הארץ</w:t>
      </w:r>
      <w:r w:rsidRPr="00520FAF">
        <w:rPr>
          <w:rFonts w:ascii="FrankRuehl" w:hAnsi="FrankRuehl" w:cs="FrankRuehl"/>
          <w:sz w:val="26"/>
          <w:szCs w:val="26"/>
          <w:u w:val="single"/>
          <w:rtl/>
        </w:rPr>
        <w:t>.</w:t>
      </w:r>
      <w:r>
        <w:rPr>
          <w:rFonts w:ascii="FrankRuehl" w:hAnsi="FrankRuehl" w:cs="FrankRuehl"/>
          <w:sz w:val="26"/>
          <w:szCs w:val="26"/>
          <w:rtl/>
        </w:rPr>
        <w:t xml:space="preserve"> </w:t>
      </w:r>
      <w:r w:rsidRPr="00520FAF">
        <w:rPr>
          <w:rFonts w:ascii="FrankRuehl" w:hAnsi="FrankRuehl" w:cs="FrankRuehl" w:hint="cs"/>
          <w:sz w:val="26"/>
          <w:szCs w:val="26"/>
          <w:u w:val="single"/>
          <w:rtl/>
        </w:rPr>
        <w:t>האינטרס הציבורי בתפיסת עברייני סמים מתחיל בספקי הסמים מגדליהם והמסייעים לתעשייה זו בדרכם</w:t>
      </w:r>
      <w:r>
        <w:rPr>
          <w:rFonts w:ascii="FrankRuehl" w:hAnsi="FrankRuehl" w:cs="FrankRuehl" w:hint="cs"/>
          <w:sz w:val="26"/>
          <w:szCs w:val="26"/>
          <w:rtl/>
        </w:rPr>
        <w:t xml:space="preserve">. יש לזכור כי מדובר בתעשייה עבריינית שקשורה בקשרי עבות עם אינטרסים כלכליים פסולים מסוכנים מובהקים. </w:t>
      </w:r>
    </w:p>
    <w:p w14:paraId="35AA8D19" w14:textId="77777777" w:rsidR="0043659E" w:rsidRPr="003050C5" w:rsidRDefault="000C445E" w:rsidP="0043659E">
      <w:pPr>
        <w:pStyle w:val="aa"/>
        <w:numPr>
          <w:ilvl w:val="0"/>
          <w:numId w:val="1"/>
        </w:numPr>
        <w:spacing w:line="480" w:lineRule="auto"/>
        <w:rPr>
          <w:rFonts w:ascii="FrankRuehl" w:hAnsi="FrankRuehl" w:cs="FrankRuehl"/>
          <w:sz w:val="26"/>
          <w:szCs w:val="26"/>
        </w:rPr>
      </w:pPr>
      <w:hyperlink r:id="rId33" w:history="1">
        <w:r w:rsidRPr="000C445E">
          <w:rPr>
            <w:rStyle w:val="Hyperlink"/>
            <w:rFonts w:ascii="FrankRuehl" w:hAnsi="FrankRuehl" w:cs="FrankRuehl"/>
            <w:sz w:val="26"/>
            <w:szCs w:val="26"/>
            <w:rtl/>
          </w:rPr>
          <w:t>סעיף 37א.(א)</w:t>
        </w:r>
      </w:hyperlink>
      <w:r w:rsidR="0043659E" w:rsidRPr="003050C5">
        <w:rPr>
          <w:rFonts w:ascii="FrankRuehl" w:hAnsi="FrankRuehl" w:cs="FrankRuehl"/>
          <w:sz w:val="26"/>
          <w:szCs w:val="26"/>
          <w:rtl/>
        </w:rPr>
        <w:t xml:space="preserve"> </w:t>
      </w:r>
      <w:hyperlink r:id="rId34" w:history="1">
        <w:r w:rsidR="00274EA5" w:rsidRPr="00274EA5">
          <w:rPr>
            <w:rFonts w:ascii="FrankRuehl" w:hAnsi="FrankRuehl" w:cs="FrankRuehl"/>
            <w:b/>
            <w:bCs/>
            <w:color w:val="0000FF"/>
            <w:kern w:val="36"/>
            <w:sz w:val="26"/>
            <w:szCs w:val="26"/>
            <w:u w:val="single"/>
            <w:rtl/>
          </w:rPr>
          <w:t>פקודת הסמים המסוכנים</w:t>
        </w:r>
      </w:hyperlink>
      <w:r w:rsidR="0043659E" w:rsidRPr="003050C5">
        <w:rPr>
          <w:rFonts w:ascii="FrankRuehl" w:hAnsi="FrankRuehl" w:cs="FrankRuehl"/>
          <w:b/>
          <w:bCs/>
          <w:kern w:val="36"/>
          <w:sz w:val="26"/>
          <w:szCs w:val="26"/>
          <w:rtl/>
        </w:rPr>
        <w:t xml:space="preserve"> [נוסח חדש], תשל"ג-</w:t>
      </w:r>
      <w:r w:rsidR="0043659E" w:rsidRPr="003050C5">
        <w:rPr>
          <w:rFonts w:ascii="FrankRuehl" w:hAnsi="FrankRuehl" w:cs="FrankRuehl"/>
          <w:sz w:val="26"/>
          <w:szCs w:val="26"/>
          <w:rtl/>
        </w:rPr>
        <w:t xml:space="preserve"> קובע :</w:t>
      </w:r>
    </w:p>
    <w:p w14:paraId="6AF3BE96" w14:textId="77777777" w:rsidR="0043659E" w:rsidRDefault="0043659E" w:rsidP="0043659E">
      <w:pPr>
        <w:pStyle w:val="aa"/>
        <w:spacing w:line="480" w:lineRule="auto"/>
        <w:ind w:left="360"/>
        <w:jc w:val="both"/>
        <w:rPr>
          <w:rFonts w:ascii="FrankRuehl" w:hAnsi="FrankRuehl" w:cs="FrankRuehl"/>
          <w:b/>
          <w:bCs/>
          <w:sz w:val="26"/>
          <w:szCs w:val="26"/>
          <w:rtl/>
        </w:rPr>
      </w:pPr>
      <w:r w:rsidRPr="003050C5">
        <w:rPr>
          <w:rFonts w:ascii="FrankRuehl" w:hAnsi="FrankRuehl" w:cs="FrankRuehl"/>
          <w:sz w:val="26"/>
          <w:szCs w:val="26"/>
          <w:rtl/>
        </w:rPr>
        <w:t xml:space="preserve">הורשע אדם בעבירה לפי פקודה זו או קבע בית משפט כי אדם עבר עבירה כאמור ולא הרשיעו, </w:t>
      </w:r>
      <w:r w:rsidRPr="003050C5">
        <w:rPr>
          <w:rFonts w:ascii="FrankRuehl" w:hAnsi="FrankRuehl" w:cs="FrankRuehl"/>
          <w:b/>
          <w:bCs/>
          <w:sz w:val="26"/>
          <w:szCs w:val="26"/>
          <w:u w:val="single"/>
          <w:rtl/>
        </w:rPr>
        <w:t>רשאי</w:t>
      </w:r>
      <w:r w:rsidRPr="003050C5">
        <w:rPr>
          <w:rFonts w:ascii="FrankRuehl" w:hAnsi="FrankRuehl" w:cs="FrankRuehl"/>
          <w:sz w:val="26"/>
          <w:szCs w:val="26"/>
          <w:u w:val="single"/>
          <w:rtl/>
        </w:rPr>
        <w:t xml:space="preserve"> בית המשפט</w:t>
      </w:r>
      <w:r w:rsidRPr="003050C5">
        <w:rPr>
          <w:rFonts w:ascii="FrankRuehl" w:hAnsi="FrankRuehl" w:cs="FrankRuehl"/>
          <w:sz w:val="26"/>
          <w:szCs w:val="26"/>
          <w:rtl/>
        </w:rPr>
        <w:t xml:space="preserve">, בנוסף על כל עונש אחר, ובנוסף לסמכותו לפי </w:t>
      </w:r>
      <w:hyperlink r:id="rId35" w:history="1">
        <w:r w:rsidR="000C445E" w:rsidRPr="000C445E">
          <w:rPr>
            <w:rStyle w:val="Hyperlink"/>
            <w:rFonts w:ascii="FrankRuehl" w:hAnsi="FrankRuehl" w:cs="FrankRuehl"/>
            <w:sz w:val="26"/>
            <w:szCs w:val="26"/>
            <w:rtl/>
          </w:rPr>
          <w:t>סעיף 43</w:t>
        </w:r>
      </w:hyperlink>
      <w:r w:rsidRPr="003050C5">
        <w:rPr>
          <w:rFonts w:ascii="FrankRuehl" w:hAnsi="FrankRuehl" w:cs="FrankRuehl"/>
          <w:sz w:val="26"/>
          <w:szCs w:val="26"/>
          <w:rtl/>
        </w:rPr>
        <w:t xml:space="preserve"> ל</w:t>
      </w:r>
      <w:hyperlink r:id="rId36" w:history="1">
        <w:r w:rsidR="00274EA5" w:rsidRPr="00274EA5">
          <w:rPr>
            <w:rFonts w:ascii="FrankRuehl" w:hAnsi="FrankRuehl" w:cs="FrankRuehl"/>
            <w:color w:val="0000FF"/>
            <w:sz w:val="26"/>
            <w:szCs w:val="26"/>
            <w:u w:val="single"/>
            <w:rtl/>
          </w:rPr>
          <w:t>פקודת התעבורה</w:t>
        </w:r>
      </w:hyperlink>
      <w:r w:rsidRPr="003050C5">
        <w:rPr>
          <w:rFonts w:ascii="FrankRuehl" w:hAnsi="FrankRuehl" w:cs="FrankRuehl"/>
          <w:sz w:val="26"/>
          <w:szCs w:val="26"/>
          <w:rtl/>
        </w:rPr>
        <w:t xml:space="preserve"> [נוסח חדש] ולסמכותו לפי </w:t>
      </w:r>
      <w:hyperlink r:id="rId37" w:history="1">
        <w:r w:rsidR="000C445E" w:rsidRPr="000C445E">
          <w:rPr>
            <w:rStyle w:val="Hyperlink"/>
            <w:rFonts w:ascii="FrankRuehl" w:hAnsi="FrankRuehl" w:cs="FrankRuehl"/>
            <w:sz w:val="26"/>
            <w:szCs w:val="26"/>
            <w:rtl/>
          </w:rPr>
          <w:t>סעיף 43</w:t>
        </w:r>
      </w:hyperlink>
      <w:r w:rsidRPr="003050C5">
        <w:rPr>
          <w:rFonts w:ascii="FrankRuehl" w:hAnsi="FrankRuehl" w:cs="FrankRuehl"/>
          <w:sz w:val="26"/>
          <w:szCs w:val="26"/>
          <w:rtl/>
        </w:rPr>
        <w:t xml:space="preserve"> האמור כפי שהוחל </w:t>
      </w:r>
      <w:hyperlink r:id="rId38" w:history="1">
        <w:r w:rsidR="000C445E" w:rsidRPr="000C445E">
          <w:rPr>
            <w:rStyle w:val="Hyperlink"/>
            <w:rFonts w:ascii="FrankRuehl" w:hAnsi="FrankRuehl" w:cs="FrankRuehl"/>
            <w:sz w:val="26"/>
            <w:szCs w:val="26"/>
            <w:rtl/>
          </w:rPr>
          <w:t>בסעיף 46ג</w:t>
        </w:r>
      </w:hyperlink>
      <w:r w:rsidRPr="003050C5">
        <w:rPr>
          <w:rFonts w:ascii="FrankRuehl" w:hAnsi="FrankRuehl" w:cs="FrankRuehl"/>
          <w:sz w:val="26"/>
          <w:szCs w:val="26"/>
          <w:rtl/>
        </w:rPr>
        <w:t xml:space="preserve"> ל</w:t>
      </w:r>
      <w:hyperlink r:id="rId39" w:history="1">
        <w:r w:rsidR="00274EA5" w:rsidRPr="00274EA5">
          <w:rPr>
            <w:rFonts w:ascii="FrankRuehl" w:hAnsi="FrankRuehl" w:cs="FrankRuehl"/>
            <w:color w:val="0000FF"/>
            <w:sz w:val="26"/>
            <w:szCs w:val="26"/>
            <w:u w:val="single"/>
            <w:rtl/>
          </w:rPr>
          <w:t>פקודת מסילות הברזל</w:t>
        </w:r>
      </w:hyperlink>
      <w:r w:rsidRPr="003050C5">
        <w:rPr>
          <w:rFonts w:ascii="FrankRuehl" w:hAnsi="FrankRuehl" w:cs="FrankRuehl"/>
          <w:sz w:val="26"/>
          <w:szCs w:val="26"/>
          <w:rtl/>
        </w:rPr>
        <w:t xml:space="preserve"> [נוסח חדש], התשל"ב-1972 (בסעיף זה – פקודת מסילות הברזל), לפסול אותו מלקבל או מלהחזיק רישיון נהיגה או מלהחזיק רישיון רכב לתקופה שלא תעלה על חמש שנים, ורשאי הוא, אם הוא סבור שהדבר דרוש כדי להגן על הציבור, לפסו</w:t>
      </w:r>
      <w:r>
        <w:rPr>
          <w:rFonts w:ascii="FrankRuehl" w:hAnsi="FrankRuehl" w:cs="FrankRuehl"/>
          <w:sz w:val="26"/>
          <w:szCs w:val="26"/>
          <w:rtl/>
        </w:rPr>
        <w:t>ל אותו כאמור לתקופה ארוכה יותר</w:t>
      </w:r>
      <w:r>
        <w:rPr>
          <w:rFonts w:ascii="FrankRuehl" w:hAnsi="FrankRuehl" w:cs="FrankRuehl" w:hint="cs"/>
          <w:sz w:val="26"/>
          <w:szCs w:val="26"/>
          <w:rtl/>
        </w:rPr>
        <w:t xml:space="preserve">. </w:t>
      </w:r>
    </w:p>
    <w:p w14:paraId="23E37DC6" w14:textId="77777777" w:rsidR="0043659E" w:rsidRPr="00F8661F" w:rsidRDefault="0043659E" w:rsidP="0043659E">
      <w:pPr>
        <w:pStyle w:val="aa"/>
        <w:spacing w:line="480" w:lineRule="auto"/>
        <w:ind w:left="360"/>
        <w:jc w:val="both"/>
        <w:rPr>
          <w:rFonts w:ascii="FrankRuehl" w:hAnsi="FrankRuehl" w:cs="FrankRuehl"/>
          <w:b/>
          <w:bCs/>
          <w:sz w:val="26"/>
          <w:szCs w:val="26"/>
          <w:rtl/>
        </w:rPr>
      </w:pPr>
      <w:r>
        <w:rPr>
          <w:rFonts w:ascii="FrankRuehl" w:hAnsi="FrankRuehl" w:cs="FrankRuehl" w:hint="cs"/>
          <w:b/>
          <w:bCs/>
          <w:sz w:val="26"/>
          <w:szCs w:val="26"/>
          <w:rtl/>
        </w:rPr>
        <w:t xml:space="preserve">כדי שלא לפגוע בביצוע עבודות השירות שתחילתם בקרוב מאד, או אחריהן לשיקומו הכלכלי ובאיזון השאר רכיבי הענישה וכן בהיערכות הנאשם לתמיכה במשפחתו בתקופה הקרובה, אין אני פוסל רישיונו בפועל,   זאת ללא קשר לעובדה שעבירת הסיוע לא הייתה קשורה לרכבו גם אם היה מן הראוי לפסול הרישיון כחלק מהסנקציות בעבירות הסמים שעל עוברן לשקול עת משתתף הוא בעבירה זו בדרך זו או אחרת </w:t>
      </w:r>
      <w:r>
        <w:rPr>
          <w:rFonts w:ascii="FrankRuehl" w:hAnsi="FrankRuehl" w:cs="FrankRuehl"/>
          <w:b/>
          <w:bCs/>
          <w:sz w:val="26"/>
          <w:szCs w:val="26"/>
          <w:rtl/>
        </w:rPr>
        <w:t>.</w:t>
      </w:r>
    </w:p>
    <w:p w14:paraId="695CE361" w14:textId="77777777" w:rsidR="0043659E" w:rsidRPr="0011651C" w:rsidRDefault="0043659E" w:rsidP="0043659E">
      <w:pPr>
        <w:pStyle w:val="aa"/>
        <w:numPr>
          <w:ilvl w:val="0"/>
          <w:numId w:val="1"/>
        </w:numPr>
        <w:spacing w:line="480" w:lineRule="auto"/>
        <w:jc w:val="both"/>
        <w:rPr>
          <w:rFonts w:ascii="FrankRuehl" w:hAnsi="FrankRuehl" w:cs="FrankRuehl"/>
          <w:b/>
          <w:bCs/>
          <w:sz w:val="26"/>
          <w:szCs w:val="26"/>
        </w:rPr>
      </w:pPr>
      <w:r>
        <w:rPr>
          <w:rFonts w:ascii="FrankRuehl" w:hAnsi="FrankRuehl" w:cs="FrankRuehl"/>
          <w:b/>
          <w:bCs/>
          <w:sz w:val="26"/>
          <w:szCs w:val="26"/>
          <w:rtl/>
        </w:rPr>
        <w:t xml:space="preserve">לאור האמור, ולאחר שנתתי משקל להיבטים ובכללם:  </w:t>
      </w:r>
      <w:r>
        <w:rPr>
          <w:rFonts w:ascii="FrankRuehl" w:hAnsi="FrankRuehl" w:cs="FrankRuehl" w:hint="cs"/>
          <w:b/>
          <w:bCs/>
          <w:sz w:val="26"/>
          <w:szCs w:val="26"/>
          <w:rtl/>
        </w:rPr>
        <w:t xml:space="preserve">חומרת העבירה, היקפה, </w:t>
      </w:r>
      <w:r>
        <w:rPr>
          <w:rFonts w:ascii="FrankRuehl" w:hAnsi="FrankRuehl" w:cs="FrankRuehl" w:hint="cs"/>
          <w:b/>
          <w:bCs/>
          <w:sz w:val="26"/>
          <w:szCs w:val="26"/>
          <w:u w:val="single"/>
          <w:rtl/>
        </w:rPr>
        <w:t>הגדרת העבירה בכתב האישום כ</w:t>
      </w:r>
      <w:r w:rsidRPr="00217C0F">
        <w:rPr>
          <w:rFonts w:ascii="FrankRuehl" w:hAnsi="FrankRuehl" w:cs="FrankRuehl" w:hint="cs"/>
          <w:b/>
          <w:bCs/>
          <w:sz w:val="26"/>
          <w:szCs w:val="26"/>
          <w:u w:val="single"/>
          <w:rtl/>
        </w:rPr>
        <w:t xml:space="preserve">סיוע </w:t>
      </w:r>
      <w:r>
        <w:rPr>
          <w:rFonts w:ascii="FrankRuehl" w:hAnsi="FrankRuehl" w:cs="FrankRuehl" w:hint="cs"/>
          <w:b/>
          <w:bCs/>
          <w:sz w:val="26"/>
          <w:szCs w:val="26"/>
          <w:u w:val="single"/>
          <w:rtl/>
        </w:rPr>
        <w:t xml:space="preserve">לגידול </w:t>
      </w:r>
      <w:r w:rsidRPr="00217C0F">
        <w:rPr>
          <w:rFonts w:ascii="FrankRuehl" w:hAnsi="FrankRuehl" w:cs="FrankRuehl" w:hint="cs"/>
          <w:b/>
          <w:bCs/>
          <w:sz w:val="26"/>
          <w:szCs w:val="26"/>
          <w:u w:val="single"/>
          <w:rtl/>
        </w:rPr>
        <w:t>בלבד</w:t>
      </w:r>
      <w:r>
        <w:rPr>
          <w:rFonts w:ascii="FrankRuehl" w:hAnsi="FrankRuehl" w:cs="FrankRuehl" w:hint="cs"/>
          <w:b/>
          <w:bCs/>
          <w:sz w:val="26"/>
          <w:szCs w:val="26"/>
          <w:rtl/>
        </w:rPr>
        <w:t xml:space="preserve"> אך בהתייחס ל</w:t>
      </w:r>
      <w:hyperlink r:id="rId40" w:history="1">
        <w:r w:rsidR="00274EA5" w:rsidRPr="00274EA5">
          <w:rPr>
            <w:rFonts w:ascii="FrankRuehl" w:hAnsi="FrankRuehl" w:cs="FrankRuehl"/>
            <w:b/>
            <w:bCs/>
            <w:color w:val="0000FF"/>
            <w:sz w:val="26"/>
            <w:szCs w:val="26"/>
            <w:u w:val="single"/>
            <w:rtl/>
          </w:rPr>
          <w:t>ע"פ 4463/12</w:t>
        </w:r>
      </w:hyperlink>
      <w:r w:rsidRPr="00C1153A">
        <w:rPr>
          <w:rFonts w:ascii="FrankRuehl" w:hAnsi="FrankRuehl" w:cs="FrankRuehl"/>
          <w:b/>
          <w:bCs/>
          <w:sz w:val="26"/>
          <w:szCs w:val="26"/>
          <w:rtl/>
        </w:rPr>
        <w:t xml:space="preserve"> ארנבורג נ' מדינת ישראל [פורסם בנבו] (13.9.2012</w:t>
      </w:r>
      <w:r>
        <w:rPr>
          <w:rFonts w:ascii="FrankRuehl" w:hAnsi="FrankRuehl" w:cs="FrankRuehl" w:hint="cs"/>
          <w:b/>
          <w:bCs/>
          <w:sz w:val="26"/>
          <w:szCs w:val="26"/>
          <w:rtl/>
        </w:rPr>
        <w:t xml:space="preserve">) נוכח מהות  הסיוע הכולל השקיה לשתילי הסמים שהיא מהות הגידול, </w:t>
      </w:r>
      <w:r>
        <w:rPr>
          <w:rFonts w:ascii="FrankRuehl" w:hAnsi="FrankRuehl" w:cs="FrankRuehl"/>
          <w:b/>
          <w:bCs/>
          <w:sz w:val="26"/>
          <w:szCs w:val="26"/>
          <w:rtl/>
        </w:rPr>
        <w:t>פגיעה בפרנסה של מפרנס יחיד</w:t>
      </w:r>
      <w:r>
        <w:rPr>
          <w:rFonts w:ascii="FrankRuehl" w:hAnsi="FrankRuehl" w:cs="FrankRuehl" w:hint="cs"/>
          <w:b/>
          <w:bCs/>
          <w:sz w:val="26"/>
          <w:szCs w:val="26"/>
          <w:rtl/>
        </w:rPr>
        <w:t xml:space="preserve"> והמעגל הכלכלי הכרוך בסמים והפצתם כמו גם תכלית הענישה המקבילה </w:t>
      </w:r>
      <w:r>
        <w:rPr>
          <w:rFonts w:ascii="FrankRuehl" w:hAnsi="FrankRuehl" w:cs="FrankRuehl"/>
          <w:b/>
          <w:bCs/>
          <w:sz w:val="26"/>
          <w:szCs w:val="26"/>
          <w:rtl/>
        </w:rPr>
        <w:t>–</w:t>
      </w:r>
      <w:r>
        <w:rPr>
          <w:rFonts w:ascii="FrankRuehl" w:hAnsi="FrankRuehl" w:cs="FrankRuehl" w:hint="cs"/>
          <w:b/>
          <w:bCs/>
          <w:sz w:val="26"/>
          <w:szCs w:val="26"/>
          <w:rtl/>
        </w:rPr>
        <w:t xml:space="preserve"> הרכיב הכספי</w:t>
      </w:r>
      <w:r>
        <w:rPr>
          <w:rFonts w:ascii="FrankRuehl" w:hAnsi="FrankRuehl" w:cs="FrankRuehl"/>
          <w:b/>
          <w:bCs/>
          <w:sz w:val="26"/>
          <w:szCs w:val="26"/>
          <w:rtl/>
        </w:rPr>
        <w:t>, חלוף הזמן</w:t>
      </w:r>
      <w:r>
        <w:rPr>
          <w:rFonts w:ascii="FrankRuehl" w:hAnsi="FrankRuehl" w:cs="FrankRuehl" w:hint="cs"/>
          <w:b/>
          <w:bCs/>
          <w:sz w:val="26"/>
          <w:szCs w:val="26"/>
          <w:rtl/>
        </w:rPr>
        <w:t xml:space="preserve"> כ 5 שנים מעת ביצוע העבירה</w:t>
      </w:r>
      <w:r>
        <w:rPr>
          <w:rFonts w:ascii="FrankRuehl" w:hAnsi="FrankRuehl" w:cs="FrankRuehl"/>
          <w:b/>
          <w:bCs/>
          <w:sz w:val="26"/>
          <w:szCs w:val="26"/>
          <w:rtl/>
        </w:rPr>
        <w:t xml:space="preserve">, מצב בריאות בני המשפחה, </w:t>
      </w:r>
      <w:r>
        <w:rPr>
          <w:rFonts w:ascii="FrankRuehl" w:hAnsi="FrankRuehl" w:cs="FrankRuehl" w:hint="cs"/>
          <w:b/>
          <w:bCs/>
          <w:sz w:val="26"/>
          <w:szCs w:val="26"/>
          <w:rtl/>
        </w:rPr>
        <w:t xml:space="preserve">האינטרס הציבורי, הרתעת הרבים, </w:t>
      </w:r>
      <w:r>
        <w:rPr>
          <w:rFonts w:ascii="FrankRuehl" w:hAnsi="FrankRuehl" w:cs="FrankRuehl"/>
          <w:b/>
          <w:bCs/>
          <w:sz w:val="26"/>
          <w:szCs w:val="26"/>
          <w:rtl/>
        </w:rPr>
        <w:t xml:space="preserve"> </w:t>
      </w:r>
      <w:r>
        <w:rPr>
          <w:rFonts w:ascii="FrankRuehl" w:hAnsi="FrankRuehl" w:cs="FrankRuehl" w:hint="cs"/>
          <w:b/>
          <w:bCs/>
          <w:sz w:val="26"/>
          <w:szCs w:val="26"/>
          <w:rtl/>
        </w:rPr>
        <w:t xml:space="preserve">היות הנאשם משוחרר בתיק זה, מזה שנים, </w:t>
      </w:r>
      <w:r>
        <w:rPr>
          <w:rFonts w:ascii="FrankRuehl" w:hAnsi="FrankRuehl" w:cs="FrankRuehl"/>
          <w:b/>
          <w:bCs/>
          <w:sz w:val="26"/>
          <w:szCs w:val="26"/>
          <w:rtl/>
        </w:rPr>
        <w:t xml:space="preserve">אני ממקם את הנאשם בשליש </w:t>
      </w:r>
      <w:r w:rsidRPr="003050C5">
        <w:rPr>
          <w:rFonts w:ascii="FrankRuehl" w:hAnsi="FrankRuehl" w:cs="FrankRuehl"/>
          <w:b/>
          <w:bCs/>
          <w:sz w:val="26"/>
          <w:szCs w:val="26"/>
          <w:rtl/>
        </w:rPr>
        <w:t>ה</w:t>
      </w:r>
      <w:r>
        <w:rPr>
          <w:rFonts w:ascii="FrankRuehl" w:hAnsi="FrankRuehl" w:cs="FrankRuehl" w:hint="cs"/>
          <w:b/>
          <w:bCs/>
          <w:sz w:val="26"/>
          <w:szCs w:val="26"/>
          <w:rtl/>
        </w:rPr>
        <w:t>נמוך של מתחם העבירה דנן דהיינו בין 6-10 חודשי מאסר שירוצו בהתאמה לדין בעבודות שירות כל עוד ניתן וכפוף להתאמה ולאי הפרה, ולהעמיד הסנקציה הכספית בדרגה גבוהה כחלק מתכליותיו של רכיב זה ככלי ענישתי אינהרנטי בעבירות הסמים</w:t>
      </w:r>
      <w:r>
        <w:rPr>
          <w:rFonts w:ascii="FrankRuehl" w:hAnsi="FrankRuehl" w:cs="FrankRuehl"/>
          <w:b/>
          <w:bCs/>
          <w:sz w:val="26"/>
          <w:szCs w:val="26"/>
          <w:rtl/>
        </w:rPr>
        <w:t>.</w:t>
      </w:r>
    </w:p>
    <w:p w14:paraId="2B8BE0E6" w14:textId="77777777" w:rsidR="0043659E" w:rsidRPr="00C12375" w:rsidRDefault="0043659E" w:rsidP="0043659E">
      <w:pPr>
        <w:pStyle w:val="aa"/>
        <w:numPr>
          <w:ilvl w:val="0"/>
          <w:numId w:val="1"/>
        </w:numPr>
        <w:spacing w:line="480" w:lineRule="auto"/>
        <w:jc w:val="both"/>
        <w:rPr>
          <w:rFonts w:ascii="FrankRuehl" w:hAnsi="FrankRuehl" w:cs="FrankRuehl"/>
          <w:b/>
          <w:bCs/>
          <w:sz w:val="26"/>
          <w:szCs w:val="26"/>
          <w:rtl/>
        </w:rPr>
      </w:pPr>
      <w:r>
        <w:rPr>
          <w:rFonts w:ascii="FrankRuehl" w:hAnsi="FrankRuehl" w:cs="FrankRuehl"/>
          <w:b/>
          <w:bCs/>
          <w:sz w:val="26"/>
          <w:szCs w:val="26"/>
          <w:rtl/>
        </w:rPr>
        <w:t>לאחר ששקלתי מכלול השיקולים, לחומרה ולקולא, אני גוזר על הנאשם העונשים הבאים:</w:t>
      </w:r>
    </w:p>
    <w:p w14:paraId="303F972C" w14:textId="77777777" w:rsidR="0043659E" w:rsidRDefault="0043659E" w:rsidP="0043659E">
      <w:pPr>
        <w:pStyle w:val="aa"/>
        <w:numPr>
          <w:ilvl w:val="0"/>
          <w:numId w:val="2"/>
        </w:numPr>
        <w:spacing w:line="480" w:lineRule="auto"/>
        <w:jc w:val="both"/>
        <w:rPr>
          <w:rFonts w:ascii="FrankRuehl" w:hAnsi="FrankRuehl" w:cs="FrankRuehl"/>
          <w:b/>
          <w:bCs/>
          <w:sz w:val="26"/>
          <w:szCs w:val="26"/>
        </w:rPr>
      </w:pPr>
      <w:r>
        <w:rPr>
          <w:rFonts w:ascii="FrankRuehl" w:hAnsi="FrankRuehl" w:cs="FrankRuehl" w:hint="cs"/>
          <w:b/>
          <w:bCs/>
          <w:sz w:val="26"/>
          <w:szCs w:val="26"/>
          <w:rtl/>
        </w:rPr>
        <w:t>8</w:t>
      </w:r>
      <w:r>
        <w:rPr>
          <w:rFonts w:ascii="FrankRuehl" w:hAnsi="FrankRuehl" w:cs="FrankRuehl"/>
          <w:b/>
          <w:bCs/>
          <w:sz w:val="26"/>
          <w:szCs w:val="26"/>
          <w:rtl/>
        </w:rPr>
        <w:t xml:space="preserve"> חודשי מאסר בפועל לריצוי בעבודות שירות. בהתאם לחוות דעת הממונה, הנאשם יבצע העבודות פארק עירוני באר שבע, </w:t>
      </w:r>
      <w:r>
        <w:rPr>
          <w:rFonts w:ascii="FrankRuehl" w:hAnsi="FrankRuehl" w:cs="FrankRuehl" w:hint="cs"/>
          <w:b/>
          <w:bCs/>
          <w:sz w:val="26"/>
          <w:szCs w:val="26"/>
          <w:rtl/>
        </w:rPr>
        <w:t xml:space="preserve">בשל העובדה כי המועד שצוין בחוות הדעת חלף הממונה יקבע מועד חדש ולא יאוחר מ1.12.24 </w:t>
      </w:r>
      <w:r>
        <w:rPr>
          <w:rFonts w:ascii="FrankRuehl" w:hAnsi="FrankRuehl" w:cs="FrankRuehl"/>
          <w:b/>
          <w:bCs/>
          <w:sz w:val="26"/>
          <w:szCs w:val="26"/>
          <w:rtl/>
        </w:rPr>
        <w:t>על הנאשם להתייצב ביום</w:t>
      </w:r>
      <w:r>
        <w:rPr>
          <w:rFonts w:ascii="FrankRuehl" w:hAnsi="FrankRuehl" w:cs="FrankRuehl" w:hint="cs"/>
          <w:b/>
          <w:bCs/>
          <w:sz w:val="26"/>
          <w:szCs w:val="26"/>
          <w:rtl/>
        </w:rPr>
        <w:t xml:space="preserve"> שיקבע </w:t>
      </w:r>
      <w:r>
        <w:rPr>
          <w:rFonts w:ascii="FrankRuehl" w:hAnsi="FrankRuehl" w:cs="FrankRuehl"/>
          <w:b/>
          <w:bCs/>
          <w:sz w:val="26"/>
          <w:szCs w:val="26"/>
          <w:rtl/>
        </w:rPr>
        <w:t xml:space="preserve"> עד השעה 08:00 במשרדי הממונה על עבודות השירות בצמוד לכלא באר-שבע. </w:t>
      </w:r>
    </w:p>
    <w:p w14:paraId="12972EA1" w14:textId="77777777" w:rsidR="0043659E" w:rsidRDefault="0043659E" w:rsidP="0043659E">
      <w:pPr>
        <w:pStyle w:val="aa"/>
        <w:spacing w:line="480" w:lineRule="auto"/>
        <w:ind w:left="1080"/>
        <w:jc w:val="both"/>
        <w:rPr>
          <w:rFonts w:ascii="FrankRuehl" w:hAnsi="FrankRuehl" w:cs="FrankRuehl"/>
          <w:b/>
          <w:bCs/>
          <w:sz w:val="26"/>
          <w:szCs w:val="26"/>
          <w:rtl/>
        </w:rPr>
      </w:pPr>
      <w:r>
        <w:rPr>
          <w:rFonts w:ascii="FrankRuehl" w:hAnsi="FrankRuehl" w:cs="FrankRuehl"/>
          <w:b/>
          <w:bCs/>
          <w:sz w:val="26"/>
          <w:szCs w:val="26"/>
          <w:rtl/>
        </w:rPr>
        <w:t>הובהר לנאשם כי אם לא ימלא אחר הנחיות הממונה על עבודות השירות או מי מטעמו, ותוגש בקשה להפקעת מאסרו זה, יוכל בית המשפט לקבוע, כי יתרת המאסר תרוצה מאחורי סורג ובריח.</w:t>
      </w:r>
    </w:p>
    <w:p w14:paraId="4CE4A071" w14:textId="77777777" w:rsidR="0043659E" w:rsidRDefault="0043659E" w:rsidP="0043659E">
      <w:pPr>
        <w:pStyle w:val="aa"/>
        <w:numPr>
          <w:ilvl w:val="0"/>
          <w:numId w:val="2"/>
        </w:numPr>
        <w:spacing w:line="480" w:lineRule="auto"/>
        <w:jc w:val="both"/>
        <w:rPr>
          <w:rFonts w:ascii="FrankRuehl" w:hAnsi="FrankRuehl" w:cs="FrankRuehl"/>
          <w:b/>
          <w:bCs/>
          <w:sz w:val="26"/>
          <w:szCs w:val="26"/>
        </w:rPr>
      </w:pPr>
      <w:r>
        <w:rPr>
          <w:rFonts w:ascii="FrankRuehl" w:hAnsi="FrankRuehl" w:cs="FrankRuehl" w:hint="cs"/>
          <w:b/>
          <w:bCs/>
          <w:sz w:val="26"/>
          <w:szCs w:val="26"/>
          <w:rtl/>
        </w:rPr>
        <w:t>6</w:t>
      </w:r>
      <w:r>
        <w:rPr>
          <w:rFonts w:ascii="FrankRuehl" w:hAnsi="FrankRuehl" w:cs="FrankRuehl"/>
          <w:b/>
          <w:bCs/>
          <w:sz w:val="26"/>
          <w:szCs w:val="26"/>
          <w:rtl/>
        </w:rPr>
        <w:t xml:space="preserve"> חודשי מאסר מותנה למשך שלוש שנים והתנאי שהנאשם לא יעבור </w:t>
      </w:r>
      <w:r>
        <w:rPr>
          <w:rFonts w:ascii="FrankRuehl" w:hAnsi="FrankRuehl" w:cs="FrankRuehl" w:hint="cs"/>
          <w:b/>
          <w:bCs/>
          <w:sz w:val="26"/>
          <w:szCs w:val="26"/>
          <w:rtl/>
        </w:rPr>
        <w:t xml:space="preserve">כל עבירת סמים  מסוג פשע </w:t>
      </w:r>
      <w:r>
        <w:rPr>
          <w:rFonts w:ascii="FrankRuehl" w:hAnsi="FrankRuehl" w:cs="FrankRuehl"/>
          <w:b/>
          <w:bCs/>
          <w:sz w:val="26"/>
          <w:szCs w:val="26"/>
          <w:rtl/>
        </w:rPr>
        <w:t xml:space="preserve">לפי  </w:t>
      </w:r>
      <w:hyperlink r:id="rId41" w:history="1">
        <w:r w:rsidR="00274EA5" w:rsidRPr="00274EA5">
          <w:rPr>
            <w:rFonts w:ascii="FrankRuehl" w:hAnsi="FrankRuehl" w:cs="FrankRuehl"/>
            <w:b/>
            <w:bCs/>
            <w:color w:val="0000FF"/>
            <w:sz w:val="26"/>
            <w:szCs w:val="26"/>
            <w:u w:val="single"/>
            <w:rtl/>
          </w:rPr>
          <w:t>פקודת הסמים המסוכנים</w:t>
        </w:r>
      </w:hyperlink>
      <w:r>
        <w:rPr>
          <w:rFonts w:ascii="FrankRuehl" w:hAnsi="FrankRuehl" w:cs="FrankRuehl"/>
          <w:b/>
          <w:bCs/>
          <w:sz w:val="26"/>
          <w:szCs w:val="26"/>
          <w:rtl/>
        </w:rPr>
        <w:t xml:space="preserve"> [נוסח חדש] תשל"ג-1973 . </w:t>
      </w:r>
    </w:p>
    <w:p w14:paraId="79EBF39A" w14:textId="77777777" w:rsidR="0043659E" w:rsidRDefault="0043659E" w:rsidP="0043659E">
      <w:pPr>
        <w:pStyle w:val="aa"/>
        <w:numPr>
          <w:ilvl w:val="0"/>
          <w:numId w:val="2"/>
        </w:numPr>
        <w:spacing w:line="480" w:lineRule="auto"/>
        <w:jc w:val="both"/>
        <w:rPr>
          <w:rFonts w:ascii="FrankRuehl" w:hAnsi="FrankRuehl" w:cs="FrankRuehl"/>
          <w:b/>
          <w:bCs/>
          <w:sz w:val="26"/>
          <w:szCs w:val="26"/>
        </w:rPr>
      </w:pPr>
      <w:r>
        <w:rPr>
          <w:rFonts w:ascii="FrankRuehl" w:hAnsi="FrankRuehl" w:cs="FrankRuehl" w:hint="cs"/>
          <w:b/>
          <w:bCs/>
          <w:sz w:val="26"/>
          <w:szCs w:val="26"/>
          <w:rtl/>
        </w:rPr>
        <w:t>3</w:t>
      </w:r>
      <w:r>
        <w:rPr>
          <w:rFonts w:ascii="FrankRuehl" w:hAnsi="FrankRuehl" w:cs="FrankRuehl"/>
          <w:b/>
          <w:bCs/>
          <w:sz w:val="26"/>
          <w:szCs w:val="26"/>
          <w:rtl/>
        </w:rPr>
        <w:t xml:space="preserve"> חודשי מאסר מותנה למשך שלוש שנים והתנאי שהנאשם לא יעבור עבירות בהן הורשע או כל עבירת </w:t>
      </w:r>
      <w:r>
        <w:rPr>
          <w:rFonts w:ascii="FrankRuehl" w:hAnsi="FrankRuehl" w:cs="FrankRuehl" w:hint="cs"/>
          <w:b/>
          <w:bCs/>
          <w:sz w:val="26"/>
          <w:szCs w:val="26"/>
          <w:rtl/>
        </w:rPr>
        <w:t xml:space="preserve">סמים מסוג </w:t>
      </w:r>
      <w:r>
        <w:rPr>
          <w:rFonts w:ascii="FrankRuehl" w:hAnsi="FrankRuehl" w:cs="FrankRuehl"/>
          <w:b/>
          <w:bCs/>
          <w:sz w:val="26"/>
          <w:szCs w:val="26"/>
          <w:rtl/>
        </w:rPr>
        <w:t xml:space="preserve">עוון לפי  </w:t>
      </w:r>
      <w:hyperlink r:id="rId42" w:history="1">
        <w:r w:rsidR="00274EA5" w:rsidRPr="00274EA5">
          <w:rPr>
            <w:rFonts w:ascii="FrankRuehl" w:hAnsi="FrankRuehl" w:cs="FrankRuehl"/>
            <w:b/>
            <w:bCs/>
            <w:color w:val="0000FF"/>
            <w:sz w:val="26"/>
            <w:szCs w:val="26"/>
            <w:u w:val="single"/>
            <w:rtl/>
          </w:rPr>
          <w:t>פקודת הסמים המסוכנים</w:t>
        </w:r>
      </w:hyperlink>
      <w:r>
        <w:rPr>
          <w:rFonts w:ascii="FrankRuehl" w:hAnsi="FrankRuehl" w:cs="FrankRuehl"/>
          <w:b/>
          <w:bCs/>
          <w:sz w:val="26"/>
          <w:szCs w:val="26"/>
          <w:rtl/>
        </w:rPr>
        <w:t xml:space="preserve"> [נוסח חדש]  תשל"ג-1973. </w:t>
      </w:r>
    </w:p>
    <w:p w14:paraId="6BED5201" w14:textId="77777777" w:rsidR="0043659E" w:rsidRPr="009D2F4A" w:rsidRDefault="0043659E" w:rsidP="0043659E">
      <w:pPr>
        <w:pStyle w:val="aa"/>
        <w:numPr>
          <w:ilvl w:val="0"/>
          <w:numId w:val="2"/>
        </w:numPr>
        <w:spacing w:line="480" w:lineRule="auto"/>
        <w:jc w:val="both"/>
        <w:rPr>
          <w:rFonts w:ascii="FrankRuehl" w:hAnsi="FrankRuehl" w:cs="FrankRuehl"/>
          <w:b/>
          <w:bCs/>
          <w:sz w:val="26"/>
          <w:szCs w:val="26"/>
        </w:rPr>
      </w:pPr>
      <w:r w:rsidRPr="009D2F4A">
        <w:rPr>
          <w:rFonts w:ascii="FrankRuehl" w:hAnsi="FrankRuehl" w:cs="FrankRuehl"/>
          <w:b/>
          <w:bCs/>
          <w:sz w:val="26"/>
          <w:szCs w:val="26"/>
          <w:rtl/>
        </w:rPr>
        <w:t xml:space="preserve">אני פוסל את הנאשם מלהחזיק או לקבל רישיון נהיגה, </w:t>
      </w:r>
      <w:r w:rsidRPr="009D2F4A">
        <w:rPr>
          <w:rFonts w:ascii="FrankRuehl" w:hAnsi="FrankRuehl" w:cs="FrankRuehl"/>
          <w:b/>
          <w:bCs/>
          <w:sz w:val="26"/>
          <w:szCs w:val="26"/>
          <w:u w:val="single"/>
          <w:rtl/>
        </w:rPr>
        <w:t>פסילה על תנאי</w:t>
      </w:r>
      <w:r w:rsidRPr="009D2F4A">
        <w:rPr>
          <w:rFonts w:ascii="FrankRuehl" w:hAnsi="FrankRuehl" w:cs="FrankRuehl"/>
          <w:b/>
          <w:bCs/>
          <w:sz w:val="26"/>
          <w:szCs w:val="26"/>
          <w:rtl/>
        </w:rPr>
        <w:t xml:space="preserve"> של </w:t>
      </w:r>
      <w:r w:rsidRPr="009D2F4A">
        <w:rPr>
          <w:rFonts w:ascii="FrankRuehl" w:hAnsi="FrankRuehl" w:cs="FrankRuehl" w:hint="cs"/>
          <w:b/>
          <w:bCs/>
          <w:sz w:val="26"/>
          <w:szCs w:val="26"/>
          <w:rtl/>
        </w:rPr>
        <w:t xml:space="preserve">12 </w:t>
      </w:r>
      <w:r w:rsidRPr="009D2F4A">
        <w:rPr>
          <w:rFonts w:ascii="FrankRuehl" w:hAnsi="FrankRuehl" w:cs="FrankRuehl"/>
          <w:b/>
          <w:bCs/>
          <w:sz w:val="26"/>
          <w:szCs w:val="26"/>
          <w:rtl/>
        </w:rPr>
        <w:t xml:space="preserve"> חודשים, וזאת למשך  3 שנים שיימנו </w:t>
      </w:r>
      <w:r w:rsidRPr="009D2F4A">
        <w:rPr>
          <w:rFonts w:ascii="FrankRuehl" w:hAnsi="FrankRuehl" w:cs="FrankRuehl" w:hint="cs"/>
          <w:b/>
          <w:bCs/>
          <w:sz w:val="26"/>
          <w:szCs w:val="26"/>
          <w:rtl/>
        </w:rPr>
        <w:t xml:space="preserve">מהיום. </w:t>
      </w:r>
    </w:p>
    <w:p w14:paraId="0A6FE255" w14:textId="77777777" w:rsidR="0043659E" w:rsidRDefault="0043659E" w:rsidP="0043659E">
      <w:pPr>
        <w:pStyle w:val="aa"/>
        <w:numPr>
          <w:ilvl w:val="0"/>
          <w:numId w:val="2"/>
        </w:numPr>
        <w:spacing w:line="480" w:lineRule="auto"/>
        <w:jc w:val="both"/>
        <w:rPr>
          <w:rFonts w:ascii="FrankRuehl" w:hAnsi="FrankRuehl" w:cs="FrankRuehl"/>
          <w:b/>
          <w:bCs/>
          <w:sz w:val="26"/>
          <w:szCs w:val="26"/>
        </w:rPr>
      </w:pPr>
      <w:r>
        <w:rPr>
          <w:rFonts w:ascii="FrankRuehl" w:hAnsi="FrankRuehl" w:cs="FrankRuehl"/>
          <w:b/>
          <w:bCs/>
          <w:sz w:val="26"/>
          <w:szCs w:val="26"/>
          <w:rtl/>
        </w:rPr>
        <w:t xml:space="preserve">קנס כספי בסך של </w:t>
      </w:r>
      <w:r>
        <w:rPr>
          <w:rFonts w:ascii="FrankRuehl" w:hAnsi="FrankRuehl" w:cs="FrankRuehl" w:hint="cs"/>
          <w:b/>
          <w:bCs/>
          <w:sz w:val="26"/>
          <w:szCs w:val="26"/>
          <w:rtl/>
        </w:rPr>
        <w:t>10</w:t>
      </w:r>
      <w:r>
        <w:rPr>
          <w:rFonts w:ascii="FrankRuehl" w:hAnsi="FrankRuehl" w:cs="FrankRuehl"/>
          <w:b/>
          <w:bCs/>
          <w:sz w:val="26"/>
          <w:szCs w:val="26"/>
          <w:rtl/>
        </w:rPr>
        <w:t xml:space="preserve">,000 ש״ח או </w:t>
      </w:r>
      <w:r>
        <w:rPr>
          <w:rFonts w:ascii="FrankRuehl" w:hAnsi="FrankRuehl" w:cs="FrankRuehl" w:hint="cs"/>
          <w:b/>
          <w:bCs/>
          <w:sz w:val="26"/>
          <w:szCs w:val="26"/>
          <w:rtl/>
        </w:rPr>
        <w:t>30</w:t>
      </w:r>
      <w:r>
        <w:rPr>
          <w:rFonts w:ascii="FrankRuehl" w:hAnsi="FrankRuehl" w:cs="FrankRuehl"/>
          <w:b/>
          <w:bCs/>
          <w:sz w:val="26"/>
          <w:szCs w:val="26"/>
          <w:rtl/>
        </w:rPr>
        <w:t xml:space="preserve"> ימי מאסר תמורתו. הקנס ישולם ב</w:t>
      </w:r>
      <w:r>
        <w:rPr>
          <w:rFonts w:ascii="FrankRuehl" w:hAnsi="FrankRuehl" w:cs="FrankRuehl" w:hint="cs"/>
          <w:b/>
          <w:bCs/>
          <w:sz w:val="26"/>
          <w:szCs w:val="26"/>
          <w:rtl/>
        </w:rPr>
        <w:t>2</w:t>
      </w:r>
      <w:r>
        <w:rPr>
          <w:rFonts w:ascii="FrankRuehl" w:hAnsi="FrankRuehl" w:cs="FrankRuehl"/>
          <w:b/>
          <w:bCs/>
          <w:sz w:val="26"/>
          <w:szCs w:val="26"/>
          <w:rtl/>
        </w:rPr>
        <w:t xml:space="preserve">0 תשלומים שווים ורצופים, החל ביום 10.1.25 ובכל עשירי  בחודש </w:t>
      </w:r>
      <w:r>
        <w:rPr>
          <w:rFonts w:ascii="FrankRuehl" w:hAnsi="FrankRuehl" w:cs="FrankRuehl" w:hint="cs"/>
          <w:b/>
          <w:bCs/>
          <w:sz w:val="26"/>
          <w:szCs w:val="26"/>
          <w:rtl/>
        </w:rPr>
        <w:t>העוקב</w:t>
      </w:r>
      <w:r>
        <w:rPr>
          <w:rFonts w:ascii="FrankRuehl" w:hAnsi="FrankRuehl" w:cs="FrankRuehl"/>
          <w:b/>
          <w:bCs/>
          <w:sz w:val="26"/>
          <w:szCs w:val="26"/>
          <w:rtl/>
        </w:rPr>
        <w:t xml:space="preserve">. לא ישולם תשלום במועד, תועמד יתרת הקנס לפירעון מידי. </w:t>
      </w:r>
    </w:p>
    <w:p w14:paraId="014A9500" w14:textId="77777777" w:rsidR="0043659E" w:rsidRDefault="0043659E" w:rsidP="0043659E">
      <w:pPr>
        <w:numPr>
          <w:ilvl w:val="0"/>
          <w:numId w:val="2"/>
        </w:numPr>
        <w:spacing w:line="480" w:lineRule="auto"/>
        <w:ind w:right="-426"/>
        <w:jc w:val="both"/>
        <w:rPr>
          <w:rFonts w:ascii="FrankRuehl" w:hAnsi="FrankRuehl" w:cs="FrankRuehl"/>
          <w:b/>
          <w:bCs/>
          <w:sz w:val="26"/>
          <w:szCs w:val="26"/>
        </w:rPr>
      </w:pPr>
      <w:r>
        <w:rPr>
          <w:rFonts w:ascii="FrankRuehl" w:hAnsi="FrankRuehl" w:cs="FrankRuehl"/>
          <w:b/>
          <w:bCs/>
          <w:sz w:val="26"/>
          <w:szCs w:val="26"/>
          <w:rtl/>
        </w:rPr>
        <w:t xml:space="preserve">הנאשם יצהיר על התחייבות כספית בסך של:  </w:t>
      </w:r>
      <w:r>
        <w:rPr>
          <w:rFonts w:ascii="FrankRuehl" w:hAnsi="FrankRuehl" w:cs="FrankRuehl" w:hint="cs"/>
          <w:b/>
          <w:bCs/>
          <w:sz w:val="26"/>
          <w:szCs w:val="26"/>
          <w:rtl/>
        </w:rPr>
        <w:t>20</w:t>
      </w:r>
      <w:r>
        <w:rPr>
          <w:rFonts w:ascii="FrankRuehl" w:hAnsi="FrankRuehl" w:cs="FrankRuehl"/>
          <w:b/>
          <w:bCs/>
          <w:sz w:val="26"/>
          <w:szCs w:val="26"/>
          <w:rtl/>
        </w:rPr>
        <w:t>,000 ₪ שלא יעבור בתוך 3 שנים מהיום עבירת סמים מכל סוג .  ההתחייבות תוצהר לפרוטוקול.</w:t>
      </w:r>
    </w:p>
    <w:p w14:paraId="2542C45E" w14:textId="77777777" w:rsidR="0043659E" w:rsidRPr="004711BA" w:rsidRDefault="00274EA5" w:rsidP="0043659E">
      <w:pPr>
        <w:spacing w:line="480" w:lineRule="auto"/>
        <w:ind w:left="1080" w:right="-426"/>
        <w:jc w:val="both"/>
        <w:rPr>
          <w:rFonts w:ascii="FrankRuehl" w:hAnsi="FrankRuehl" w:cs="FrankRuehl"/>
          <w:b/>
          <w:bCs/>
          <w:sz w:val="26"/>
          <w:szCs w:val="26"/>
          <w:rtl/>
        </w:rPr>
      </w:pPr>
      <w:r w:rsidRPr="00274EA5">
        <w:rPr>
          <w:rFonts w:ascii="FrankRuehl" w:hAnsi="FrankRuehl" w:cs="FrankRuehl"/>
          <w:b/>
          <w:bCs/>
          <w:color w:val="FFFFFF"/>
          <w:sz w:val="2"/>
          <w:szCs w:val="2"/>
          <w:rtl/>
        </w:rPr>
        <w:t>5129371</w:t>
      </w:r>
      <w:r w:rsidR="0043659E" w:rsidRPr="004711BA">
        <w:rPr>
          <w:rFonts w:ascii="FrankRuehl" w:hAnsi="FrankRuehl" w:cs="FrankRuehl" w:hint="cs"/>
          <w:b/>
          <w:bCs/>
          <w:sz w:val="26"/>
          <w:szCs w:val="26"/>
          <w:rtl/>
        </w:rPr>
        <w:t>ניתן בזאת צו השמדה למוצגים בתיק</w:t>
      </w:r>
      <w:r w:rsidR="0043659E">
        <w:rPr>
          <w:rFonts w:ascii="FrankRuehl" w:hAnsi="FrankRuehl" w:cs="FrankRuehl" w:hint="cs"/>
          <w:b/>
          <w:bCs/>
          <w:sz w:val="26"/>
          <w:szCs w:val="26"/>
          <w:rtl/>
        </w:rPr>
        <w:t>,</w:t>
      </w:r>
      <w:r w:rsidR="0043659E" w:rsidRPr="004711BA">
        <w:rPr>
          <w:rFonts w:ascii="FrankRuehl" w:hAnsi="FrankRuehl" w:cs="FrankRuehl" w:hint="cs"/>
          <w:b/>
          <w:bCs/>
          <w:sz w:val="26"/>
          <w:szCs w:val="26"/>
          <w:rtl/>
        </w:rPr>
        <w:t xml:space="preserve"> בהתאם לשיקול דעת הממונה על החקירה בתיק זה. </w:t>
      </w:r>
    </w:p>
    <w:p w14:paraId="0D7419CD" w14:textId="77777777" w:rsidR="0043659E" w:rsidRPr="009D2F4A" w:rsidRDefault="00274EA5" w:rsidP="0043659E">
      <w:pPr>
        <w:spacing w:line="480" w:lineRule="auto"/>
        <w:ind w:left="1080" w:right="-426"/>
        <w:jc w:val="both"/>
        <w:rPr>
          <w:rFonts w:ascii="FrankRuehl" w:hAnsi="FrankRuehl" w:cs="FrankRuehl"/>
          <w:b/>
          <w:bCs/>
          <w:sz w:val="26"/>
          <w:szCs w:val="26"/>
          <w:rtl/>
        </w:rPr>
      </w:pPr>
      <w:r w:rsidRPr="00274EA5">
        <w:rPr>
          <w:rFonts w:ascii="FrankRuehl" w:hAnsi="FrankRuehl" w:cs="FrankRuehl"/>
          <w:b/>
          <w:bCs/>
          <w:color w:val="FFFFFF"/>
          <w:sz w:val="2"/>
          <w:szCs w:val="2"/>
          <w:rtl/>
        </w:rPr>
        <w:t>54678313</w:t>
      </w:r>
      <w:r w:rsidR="0043659E" w:rsidRPr="004711BA">
        <w:rPr>
          <w:rFonts w:ascii="FrankRuehl" w:hAnsi="FrankRuehl" w:cs="FrankRuehl" w:hint="cs"/>
          <w:b/>
          <w:bCs/>
          <w:sz w:val="26"/>
          <w:szCs w:val="26"/>
          <w:rtl/>
        </w:rPr>
        <w:t xml:space="preserve">פרוטוקול זה יועבר לידי הממונה על עבודות השירות . </w:t>
      </w:r>
    </w:p>
    <w:p w14:paraId="3A0E8FAC" w14:textId="77777777" w:rsidR="0043659E" w:rsidRPr="009D2F4A" w:rsidRDefault="0043659E" w:rsidP="0043659E">
      <w:pPr>
        <w:spacing w:line="480" w:lineRule="auto"/>
        <w:rPr>
          <w:rFonts w:ascii="Arial" w:hAnsi="Arial"/>
          <w:b/>
          <w:bCs/>
          <w:rtl/>
        </w:rPr>
      </w:pPr>
      <w:r w:rsidRPr="000E6B5F">
        <w:rPr>
          <w:rFonts w:ascii="Arial" w:hAnsi="Arial" w:hint="cs"/>
          <w:b/>
          <w:bCs/>
          <w:rtl/>
        </w:rPr>
        <w:t xml:space="preserve">זכות ערעור תוך 45 יום לבית המשפט המחוזי . </w:t>
      </w:r>
    </w:p>
    <w:p w14:paraId="5BAA9289" w14:textId="77777777" w:rsidR="0043659E" w:rsidRPr="009D2F4A" w:rsidRDefault="00274EA5" w:rsidP="0043659E">
      <w:pPr>
        <w:spacing w:line="480" w:lineRule="auto"/>
        <w:jc w:val="both"/>
        <w:rPr>
          <w:rFonts w:ascii="Arial" w:hAnsi="Arial"/>
          <w:b/>
          <w:bCs/>
          <w:rtl/>
        </w:rPr>
      </w:pPr>
      <w:bookmarkStart w:id="9" w:name="Nitan"/>
      <w:r>
        <w:rPr>
          <w:rFonts w:ascii="Arial" w:hAnsi="Arial"/>
          <w:b/>
          <w:bCs/>
          <w:rtl/>
        </w:rPr>
        <w:t xml:space="preserve">ניתן היום,  ו' תשרי תשפ"ה, 08 אוקטובר 2024, במעמד הצדדים. </w:t>
      </w:r>
      <w:bookmarkEnd w:id="9"/>
      <w:r w:rsidR="0043659E" w:rsidRPr="009D2F4A">
        <w:rPr>
          <w:rFonts w:ascii="Arial" w:hAnsi="Arial"/>
          <w:b/>
          <w:bCs/>
          <w:rtl/>
        </w:rPr>
        <w:tab/>
      </w:r>
      <w:r w:rsidR="0043659E" w:rsidRPr="009D2F4A">
        <w:rPr>
          <w:rFonts w:ascii="Arial" w:hAnsi="Arial"/>
          <w:b/>
          <w:bCs/>
          <w:rtl/>
        </w:rPr>
        <w:tab/>
      </w:r>
      <w:r w:rsidR="0043659E" w:rsidRPr="009D2F4A">
        <w:rPr>
          <w:rFonts w:ascii="Arial" w:hAnsi="Arial"/>
          <w:b/>
          <w:bCs/>
          <w:rtl/>
        </w:rPr>
        <w:tab/>
      </w:r>
      <w:r w:rsidR="0043659E" w:rsidRPr="009D2F4A">
        <w:rPr>
          <w:rFonts w:ascii="Arial" w:hAnsi="Arial"/>
          <w:b/>
          <w:bCs/>
          <w:rtl/>
        </w:rPr>
        <w:tab/>
      </w:r>
      <w:r w:rsidR="0043659E" w:rsidRPr="009D2F4A">
        <w:rPr>
          <w:rFonts w:ascii="Arial" w:hAnsi="Arial"/>
          <w:b/>
          <w:bCs/>
          <w:rtl/>
        </w:rPr>
        <w:tab/>
      </w:r>
      <w:r w:rsidR="0043659E" w:rsidRPr="009D2F4A">
        <w:rPr>
          <w:rFonts w:ascii="Arial" w:hAnsi="Arial"/>
          <w:b/>
          <w:bCs/>
          <w:rtl/>
        </w:rPr>
        <w:tab/>
      </w:r>
      <w:r w:rsidR="0043659E" w:rsidRPr="009D2F4A">
        <w:rPr>
          <w:rFonts w:ascii="Arial" w:hAnsi="Arial"/>
          <w:b/>
          <w:bCs/>
          <w:rtl/>
        </w:rPr>
        <w:tab/>
      </w:r>
      <w:r w:rsidR="0043659E" w:rsidRPr="009D2F4A">
        <w:rPr>
          <w:rFonts w:ascii="Arial" w:hAnsi="Arial" w:hint="cs"/>
          <w:b/>
          <w:bCs/>
          <w:rtl/>
        </w:rPr>
        <w:t xml:space="preserve">         </w:t>
      </w:r>
    </w:p>
    <w:p w14:paraId="39C47A38" w14:textId="77777777" w:rsidR="00274EA5" w:rsidRDefault="00274EA5" w:rsidP="00274EA5">
      <w:pPr>
        <w:rPr>
          <w:rtl/>
        </w:rPr>
      </w:pPr>
    </w:p>
    <w:p w14:paraId="41919820" w14:textId="77777777" w:rsidR="00274EA5" w:rsidRDefault="00274EA5" w:rsidP="00274EA5">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985DF0B" w14:textId="77777777" w:rsidR="000C445E" w:rsidRPr="000C445E" w:rsidRDefault="000C445E" w:rsidP="000C445E">
      <w:pPr>
        <w:keepNext/>
        <w:rPr>
          <w:rFonts w:ascii="David" w:hAnsi="David"/>
          <w:color w:val="000000"/>
          <w:sz w:val="22"/>
          <w:szCs w:val="22"/>
          <w:rtl/>
        </w:rPr>
      </w:pPr>
    </w:p>
    <w:p w14:paraId="6FCA4D2F" w14:textId="77777777" w:rsidR="000C445E" w:rsidRPr="000C445E" w:rsidRDefault="000C445E" w:rsidP="000C445E">
      <w:pPr>
        <w:keepNext/>
        <w:rPr>
          <w:rFonts w:ascii="David" w:hAnsi="David"/>
          <w:color w:val="000000"/>
          <w:sz w:val="22"/>
          <w:szCs w:val="22"/>
          <w:rtl/>
        </w:rPr>
      </w:pPr>
      <w:r w:rsidRPr="000C445E">
        <w:rPr>
          <w:rFonts w:ascii="David" w:hAnsi="David"/>
          <w:color w:val="000000"/>
          <w:sz w:val="22"/>
          <w:szCs w:val="22"/>
          <w:rtl/>
        </w:rPr>
        <w:t>אריה דורני דורון 54678313-/</w:t>
      </w:r>
    </w:p>
    <w:p w14:paraId="3EFFFA03" w14:textId="77777777" w:rsidR="00274EA5" w:rsidRPr="00274EA5" w:rsidRDefault="000C445E" w:rsidP="000C445E">
      <w:pPr>
        <w:rPr>
          <w:color w:val="0000FF"/>
          <w:u w:val="single"/>
        </w:rPr>
      </w:pPr>
      <w:r w:rsidRPr="000C445E">
        <w:rPr>
          <w:color w:val="000000"/>
          <w:u w:val="single"/>
          <w:rtl/>
        </w:rPr>
        <w:t>נוסח מסמך זה כפוף לשינויי ניסוח ועריכה</w:t>
      </w:r>
    </w:p>
    <w:sectPr w:rsidR="00274EA5" w:rsidRPr="00274EA5" w:rsidSect="000C445E">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A743C" w14:textId="77777777" w:rsidR="009F18DF" w:rsidRDefault="009F18DF" w:rsidP="0041585A">
      <w:r>
        <w:separator/>
      </w:r>
    </w:p>
  </w:endnote>
  <w:endnote w:type="continuationSeparator" w:id="0">
    <w:p w14:paraId="438D426F" w14:textId="77777777" w:rsidR="009F18DF" w:rsidRDefault="009F18DF" w:rsidP="0041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C14F1" w14:textId="77777777" w:rsidR="000C445E" w:rsidRDefault="000C445E" w:rsidP="000C44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FC2A01" w14:textId="77777777" w:rsidR="0033541B" w:rsidRPr="000C445E" w:rsidRDefault="000C445E" w:rsidP="000C445E">
    <w:pPr>
      <w:pStyle w:val="a5"/>
      <w:pBdr>
        <w:top w:val="single" w:sz="4" w:space="1" w:color="auto"/>
        <w:between w:val="single" w:sz="4" w:space="0" w:color="auto"/>
      </w:pBdr>
      <w:spacing w:after="60"/>
      <w:jc w:val="center"/>
      <w:rPr>
        <w:rFonts w:ascii="FrankRuehl" w:hAnsi="FrankRuehl" w:cs="FrankRuehl"/>
        <w:color w:val="000000"/>
      </w:rPr>
    </w:pPr>
    <w:r w:rsidRPr="000C44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0BE8" w14:textId="77777777" w:rsidR="000C445E" w:rsidRDefault="000C445E" w:rsidP="000C44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12EE">
      <w:rPr>
        <w:rFonts w:ascii="FrankRuehl" w:hAnsi="FrankRuehl" w:cs="FrankRuehl"/>
        <w:noProof/>
        <w:rtl/>
      </w:rPr>
      <w:t>1</w:t>
    </w:r>
    <w:r>
      <w:rPr>
        <w:rFonts w:ascii="FrankRuehl" w:hAnsi="FrankRuehl" w:cs="FrankRuehl"/>
        <w:rtl/>
      </w:rPr>
      <w:fldChar w:fldCharType="end"/>
    </w:r>
  </w:p>
  <w:p w14:paraId="26C99541" w14:textId="77777777" w:rsidR="0033541B" w:rsidRPr="000C445E" w:rsidRDefault="000C445E" w:rsidP="000C445E">
    <w:pPr>
      <w:pStyle w:val="a5"/>
      <w:pBdr>
        <w:top w:val="single" w:sz="4" w:space="1" w:color="auto"/>
        <w:between w:val="single" w:sz="4" w:space="0" w:color="auto"/>
      </w:pBdr>
      <w:spacing w:after="60"/>
      <w:jc w:val="center"/>
      <w:rPr>
        <w:rFonts w:ascii="FrankRuehl" w:hAnsi="FrankRuehl" w:cs="FrankRuehl"/>
        <w:color w:val="000000"/>
      </w:rPr>
    </w:pPr>
    <w:r w:rsidRPr="000C445E">
      <w:rPr>
        <w:rFonts w:ascii="FrankRuehl" w:hAnsi="FrankRuehl" w:cs="FrankRuehl"/>
        <w:color w:val="000000"/>
      </w:rPr>
      <w:pict w14:anchorId="351D9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06857" w14:textId="77777777" w:rsidR="009F18DF" w:rsidRDefault="009F18DF" w:rsidP="0041585A">
      <w:r>
        <w:separator/>
      </w:r>
    </w:p>
  </w:footnote>
  <w:footnote w:type="continuationSeparator" w:id="0">
    <w:p w14:paraId="5FFB7C41" w14:textId="77777777" w:rsidR="009F18DF" w:rsidRDefault="009F18DF" w:rsidP="00415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8C1E9" w14:textId="77777777" w:rsidR="00274EA5" w:rsidRPr="000C445E" w:rsidRDefault="000C445E" w:rsidP="000C44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18593-06-21</w:t>
    </w:r>
    <w:r>
      <w:rPr>
        <w:rFonts w:ascii="David" w:hAnsi="David"/>
        <w:color w:val="000000"/>
        <w:sz w:val="22"/>
        <w:szCs w:val="22"/>
        <w:rtl/>
      </w:rPr>
      <w:tab/>
      <w:t xml:space="preserve"> מדינת ישראל נ' איוב אבו גריבה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76F79" w14:textId="77777777" w:rsidR="00274EA5" w:rsidRPr="000C445E" w:rsidRDefault="000C445E" w:rsidP="000C44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18593-06-21</w:t>
    </w:r>
    <w:r>
      <w:rPr>
        <w:rFonts w:ascii="David" w:hAnsi="David"/>
        <w:color w:val="000000"/>
        <w:sz w:val="22"/>
        <w:szCs w:val="22"/>
        <w:rtl/>
      </w:rPr>
      <w:tab/>
      <w:t xml:space="preserve"> מדינת ישראל נ' איוב אבו גריבה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3C32BBF6"/>
    <w:lvl w:ilvl="0" w:tplc="5F9C772A">
      <w:start w:val="1"/>
      <w:numFmt w:val="decimal"/>
      <w:pStyle w:val="Ruller4"/>
      <w:lvlText w:val="%1."/>
      <w:lvlJc w:val="left"/>
      <w:pPr>
        <w:tabs>
          <w:tab w:val="num" w:pos="907"/>
        </w:tabs>
        <w:ind w:left="0" w:firstLine="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FDB15E6"/>
    <w:multiLevelType w:val="hybridMultilevel"/>
    <w:tmpl w:val="3DAA21A4"/>
    <w:lvl w:ilvl="0" w:tplc="42AE66CE">
      <w:start w:val="1"/>
      <w:numFmt w:val="hebrew1"/>
      <w:lvlText w:val="%1."/>
      <w:lvlJc w:val="left"/>
      <w:pPr>
        <w:ind w:left="1080" w:hanging="360"/>
      </w:pPr>
    </w:lvl>
    <w:lvl w:ilvl="1" w:tplc="806290F8">
      <w:start w:val="1"/>
      <w:numFmt w:val="lowerLetter"/>
      <w:lvlText w:val="%2."/>
      <w:lvlJc w:val="left"/>
      <w:pPr>
        <w:ind w:left="1800" w:hanging="360"/>
      </w:pPr>
    </w:lvl>
    <w:lvl w:ilvl="2" w:tplc="F40C1B68">
      <w:start w:val="1"/>
      <w:numFmt w:val="lowerRoman"/>
      <w:lvlText w:val="%3."/>
      <w:lvlJc w:val="right"/>
      <w:pPr>
        <w:ind w:left="2520" w:hanging="180"/>
      </w:pPr>
    </w:lvl>
    <w:lvl w:ilvl="3" w:tplc="B4CA478A">
      <w:start w:val="1"/>
      <w:numFmt w:val="decimal"/>
      <w:lvlText w:val="%4."/>
      <w:lvlJc w:val="left"/>
      <w:pPr>
        <w:ind w:left="3240" w:hanging="360"/>
      </w:pPr>
    </w:lvl>
    <w:lvl w:ilvl="4" w:tplc="0548D2D4">
      <w:start w:val="1"/>
      <w:numFmt w:val="lowerLetter"/>
      <w:lvlText w:val="%5."/>
      <w:lvlJc w:val="left"/>
      <w:pPr>
        <w:ind w:left="3960" w:hanging="360"/>
      </w:pPr>
    </w:lvl>
    <w:lvl w:ilvl="5" w:tplc="B582AE82">
      <w:start w:val="1"/>
      <w:numFmt w:val="lowerRoman"/>
      <w:lvlText w:val="%6."/>
      <w:lvlJc w:val="right"/>
      <w:pPr>
        <w:ind w:left="4680" w:hanging="180"/>
      </w:pPr>
    </w:lvl>
    <w:lvl w:ilvl="6" w:tplc="2EB2CBD0">
      <w:start w:val="1"/>
      <w:numFmt w:val="decimal"/>
      <w:lvlText w:val="%7."/>
      <w:lvlJc w:val="left"/>
      <w:pPr>
        <w:ind w:left="5400" w:hanging="360"/>
      </w:pPr>
    </w:lvl>
    <w:lvl w:ilvl="7" w:tplc="76C261DA">
      <w:start w:val="1"/>
      <w:numFmt w:val="lowerLetter"/>
      <w:lvlText w:val="%8."/>
      <w:lvlJc w:val="left"/>
      <w:pPr>
        <w:ind w:left="6120" w:hanging="360"/>
      </w:pPr>
    </w:lvl>
    <w:lvl w:ilvl="8" w:tplc="79483D56">
      <w:start w:val="1"/>
      <w:numFmt w:val="lowerRoman"/>
      <w:lvlText w:val="%9."/>
      <w:lvlJc w:val="right"/>
      <w:pPr>
        <w:ind w:left="6840" w:hanging="180"/>
      </w:pPr>
    </w:lvl>
  </w:abstractNum>
  <w:abstractNum w:abstractNumId="2" w15:restartNumberingAfterBreak="0">
    <w:nsid w:val="35BF2148"/>
    <w:multiLevelType w:val="hybridMultilevel"/>
    <w:tmpl w:val="D96C9A68"/>
    <w:lvl w:ilvl="0" w:tplc="925E8E7C">
      <w:start w:val="1"/>
      <w:numFmt w:val="decimal"/>
      <w:lvlText w:val="%1."/>
      <w:lvlJc w:val="left"/>
      <w:pPr>
        <w:ind w:left="360" w:hanging="360"/>
      </w:pPr>
      <w:rPr>
        <w:rFonts w:ascii="Calibri" w:eastAsia="Times New Roman" w:hAnsi="Calibri" w:cs="David"/>
        <w:b w:val="0"/>
        <w:bCs w:val="0"/>
        <w:color w:val="auto"/>
        <w:sz w:val="24"/>
        <w:szCs w:val="24"/>
      </w:rPr>
    </w:lvl>
    <w:lvl w:ilvl="1" w:tplc="8C041994">
      <w:start w:val="1"/>
      <w:numFmt w:val="lowerLetter"/>
      <w:lvlText w:val="%2."/>
      <w:lvlJc w:val="left"/>
      <w:pPr>
        <w:ind w:left="1440" w:hanging="360"/>
      </w:pPr>
      <w:rPr>
        <w:rFonts w:cs="Times New Roman"/>
      </w:rPr>
    </w:lvl>
    <w:lvl w:ilvl="2" w:tplc="B0985A0A">
      <w:start w:val="1"/>
      <w:numFmt w:val="lowerRoman"/>
      <w:lvlText w:val="%3."/>
      <w:lvlJc w:val="right"/>
      <w:pPr>
        <w:ind w:left="2160" w:hanging="180"/>
      </w:pPr>
      <w:rPr>
        <w:rFonts w:cs="Times New Roman"/>
      </w:rPr>
    </w:lvl>
    <w:lvl w:ilvl="3" w:tplc="8F702CC6">
      <w:start w:val="1"/>
      <w:numFmt w:val="decimal"/>
      <w:lvlText w:val="%4."/>
      <w:lvlJc w:val="left"/>
      <w:pPr>
        <w:ind w:left="2880" w:hanging="360"/>
      </w:pPr>
      <w:rPr>
        <w:rFonts w:cs="Times New Roman"/>
      </w:rPr>
    </w:lvl>
    <w:lvl w:ilvl="4" w:tplc="FCEC8B7C">
      <w:start w:val="1"/>
      <w:numFmt w:val="lowerLetter"/>
      <w:lvlText w:val="%5."/>
      <w:lvlJc w:val="left"/>
      <w:pPr>
        <w:ind w:left="3600" w:hanging="360"/>
      </w:pPr>
      <w:rPr>
        <w:rFonts w:cs="Times New Roman"/>
      </w:rPr>
    </w:lvl>
    <w:lvl w:ilvl="5" w:tplc="95624E24">
      <w:start w:val="1"/>
      <w:numFmt w:val="lowerRoman"/>
      <w:lvlText w:val="%6."/>
      <w:lvlJc w:val="right"/>
      <w:pPr>
        <w:ind w:left="4320" w:hanging="180"/>
      </w:pPr>
      <w:rPr>
        <w:rFonts w:cs="Times New Roman"/>
      </w:rPr>
    </w:lvl>
    <w:lvl w:ilvl="6" w:tplc="24A656D0">
      <w:start w:val="1"/>
      <w:numFmt w:val="decimal"/>
      <w:lvlText w:val="%7."/>
      <w:lvlJc w:val="left"/>
      <w:pPr>
        <w:ind w:left="5040" w:hanging="360"/>
      </w:pPr>
      <w:rPr>
        <w:rFonts w:cs="Times New Roman"/>
      </w:rPr>
    </w:lvl>
    <w:lvl w:ilvl="7" w:tplc="C688FCE0">
      <w:start w:val="1"/>
      <w:numFmt w:val="lowerLetter"/>
      <w:lvlText w:val="%8."/>
      <w:lvlJc w:val="left"/>
      <w:pPr>
        <w:ind w:left="5760" w:hanging="360"/>
      </w:pPr>
      <w:rPr>
        <w:rFonts w:cs="Times New Roman"/>
      </w:rPr>
    </w:lvl>
    <w:lvl w:ilvl="8" w:tplc="CE4848C8">
      <w:start w:val="1"/>
      <w:numFmt w:val="lowerRoman"/>
      <w:lvlText w:val="%9."/>
      <w:lvlJc w:val="right"/>
      <w:pPr>
        <w:ind w:left="6480" w:hanging="180"/>
      </w:pPr>
      <w:rPr>
        <w:rFonts w:cs="Times New Roman"/>
      </w:rPr>
    </w:lvl>
  </w:abstractNum>
  <w:num w:numId="1" w16cid:durableId="1637877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05128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674197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659E"/>
    <w:rsid w:val="000C445E"/>
    <w:rsid w:val="00274EA5"/>
    <w:rsid w:val="00290701"/>
    <w:rsid w:val="0033541B"/>
    <w:rsid w:val="003F40D9"/>
    <w:rsid w:val="0041585A"/>
    <w:rsid w:val="0043659E"/>
    <w:rsid w:val="007F2DFC"/>
    <w:rsid w:val="009E45AC"/>
    <w:rsid w:val="009F18DF"/>
    <w:rsid w:val="00A245DF"/>
    <w:rsid w:val="00BD406E"/>
    <w:rsid w:val="00DF5BFA"/>
    <w:rsid w:val="00E312EE"/>
    <w:rsid w:val="00E5738F"/>
    <w:rsid w:val="00F20A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85BD87"/>
  <w15:chartTrackingRefBased/>
  <w15:docId w15:val="{6BBF2D75-2930-4BD8-BE30-3EBCCE6C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65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659E"/>
    <w:pPr>
      <w:tabs>
        <w:tab w:val="center" w:pos="4153"/>
        <w:tab w:val="right" w:pos="8306"/>
      </w:tabs>
    </w:pPr>
  </w:style>
  <w:style w:type="character" w:customStyle="1" w:styleId="a4">
    <w:name w:val="כותרת עליונה תו"/>
    <w:link w:val="a3"/>
    <w:rsid w:val="0043659E"/>
    <w:rPr>
      <w:rFonts w:ascii="Times New Roman" w:eastAsia="Times New Roman" w:hAnsi="Times New Roman" w:cs="David"/>
      <w:sz w:val="24"/>
      <w:szCs w:val="24"/>
    </w:rPr>
  </w:style>
  <w:style w:type="paragraph" w:styleId="a5">
    <w:name w:val="footer"/>
    <w:basedOn w:val="a"/>
    <w:link w:val="a6"/>
    <w:rsid w:val="0043659E"/>
    <w:pPr>
      <w:tabs>
        <w:tab w:val="center" w:pos="4153"/>
        <w:tab w:val="right" w:pos="8306"/>
      </w:tabs>
    </w:pPr>
  </w:style>
  <w:style w:type="character" w:customStyle="1" w:styleId="a6">
    <w:name w:val="כותרת תחתונה תו"/>
    <w:link w:val="a5"/>
    <w:rsid w:val="0043659E"/>
    <w:rPr>
      <w:rFonts w:ascii="Times New Roman" w:eastAsia="Times New Roman" w:hAnsi="Times New Roman" w:cs="David"/>
      <w:sz w:val="24"/>
      <w:szCs w:val="24"/>
    </w:rPr>
  </w:style>
  <w:style w:type="table" w:styleId="a7">
    <w:name w:val="Table Grid"/>
    <w:basedOn w:val="a1"/>
    <w:rsid w:val="004365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3659E"/>
  </w:style>
  <w:style w:type="character" w:customStyle="1" w:styleId="TimesNewRomanTimesNewRoman">
    <w:name w:val="סגנון (לטיני) Times New Roman (עברית ושפות אחרות) Times New Roman..."/>
    <w:rsid w:val="0043659E"/>
    <w:rPr>
      <w:rFonts w:ascii="Times New Roman" w:hAnsi="Times New Roman" w:cs="David" w:hint="default"/>
      <w:b/>
      <w:bCs/>
      <w:sz w:val="26"/>
      <w:szCs w:val="26"/>
    </w:rPr>
  </w:style>
  <w:style w:type="character" w:customStyle="1" w:styleId="a9">
    <w:name w:val="פיסקת רשימה תו"/>
    <w:link w:val="aa"/>
    <w:locked/>
    <w:rsid w:val="0043659E"/>
  </w:style>
  <w:style w:type="paragraph" w:styleId="aa">
    <w:name w:val="List Paragraph"/>
    <w:basedOn w:val="a"/>
    <w:link w:val="a9"/>
    <w:qFormat/>
    <w:rsid w:val="0043659E"/>
    <w:pPr>
      <w:spacing w:after="160" w:line="256" w:lineRule="auto"/>
      <w:ind w:left="720"/>
      <w:contextualSpacing/>
    </w:pPr>
    <w:rPr>
      <w:rFonts w:ascii="Calibri" w:eastAsia="Calibri" w:hAnsi="Calibri" w:cs="Arial"/>
      <w:sz w:val="22"/>
      <w:szCs w:val="22"/>
    </w:rPr>
  </w:style>
  <w:style w:type="paragraph" w:customStyle="1" w:styleId="Ruller5">
    <w:name w:val="Ruller5"/>
    <w:basedOn w:val="a"/>
    <w:rsid w:val="0043659E"/>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a"/>
    <w:next w:val="a"/>
    <w:rsid w:val="0043659E"/>
    <w:pPr>
      <w:numPr>
        <w:numId w:val="3"/>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436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18107527" TargetMode="External"/><Relationship Id="rId39" Type="http://schemas.openxmlformats.org/officeDocument/2006/relationships/hyperlink" Target="http://www.nevo.co.il/law/72756" TargetMode="External"/><Relationship Id="rId21"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2756" TargetMode="External"/><Relationship Id="rId29" Type="http://schemas.openxmlformats.org/officeDocument/2006/relationships/hyperlink" Target="http://www.nevo.co.il/case/24929118"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5587527" TargetMode="External"/><Relationship Id="rId32" Type="http://schemas.openxmlformats.org/officeDocument/2006/relationships/hyperlink" Target="http://www.nevo.co.il/case/5587527" TargetMode="External"/><Relationship Id="rId37" Type="http://schemas.openxmlformats.org/officeDocument/2006/relationships/hyperlink" Target="http://www.nevo.co.il/law/5227/43" TargetMode="External"/><Relationship Id="rId40" Type="http://schemas.openxmlformats.org/officeDocument/2006/relationships/hyperlink" Target="http://www.nevo.co.il/case/5587527"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5227/4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881005" TargetMode="External"/><Relationship Id="rId36" Type="http://schemas.openxmlformats.org/officeDocument/2006/relationships/hyperlink" Target="http://www.nevo.co.il/law/5227"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i"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37a.a"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23580206" TargetMode="External"/><Relationship Id="rId30" Type="http://schemas.openxmlformats.org/officeDocument/2006/relationships/hyperlink" Target="http://www.nevo.co.il/case/28195138" TargetMode="External"/><Relationship Id="rId35" Type="http://schemas.openxmlformats.org/officeDocument/2006/relationships/hyperlink" Target="http://www.nevo.co.il/law/5227/4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2756/46c" TargetMode="External"/><Relationship Id="rId25" Type="http://schemas.openxmlformats.org/officeDocument/2006/relationships/hyperlink" Target="http://www.nevo.co.il/case/20881083" TargetMode="External"/><Relationship Id="rId33" Type="http://schemas.openxmlformats.org/officeDocument/2006/relationships/hyperlink" Target="http://www.nevo.co.il/law/4216/37a.a" TargetMode="External"/><Relationship Id="rId38" Type="http://schemas.openxmlformats.org/officeDocument/2006/relationships/hyperlink" Target="http://www.nevo.co.il/law/72756/46c" TargetMode="External"/><Relationship Id="rId46" Type="http://schemas.openxmlformats.org/officeDocument/2006/relationships/footer" Target="footer1.xml"/><Relationship Id="rId20" Type="http://schemas.openxmlformats.org/officeDocument/2006/relationships/hyperlink" Target="http://www.nevo.co.il/law/70301/40c.a"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3105</Words>
  <Characters>15525</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18593</CharactersWithSpaces>
  <SharedDoc>false</SharedDoc>
  <HLinks>
    <vt:vector size="222"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4128884</vt:i4>
      </vt:variant>
      <vt:variant>
        <vt:i4>126</vt:i4>
      </vt:variant>
      <vt:variant>
        <vt:i4>0</vt:i4>
      </vt:variant>
      <vt:variant>
        <vt:i4>5</vt:i4>
      </vt:variant>
      <vt:variant>
        <vt:lpwstr>http://www.nevo.co.il/case/5587527</vt:lpwstr>
      </vt:variant>
      <vt:variant>
        <vt:lpwstr/>
      </vt:variant>
      <vt:variant>
        <vt:i4>8192096</vt:i4>
      </vt:variant>
      <vt:variant>
        <vt:i4>123</vt:i4>
      </vt:variant>
      <vt:variant>
        <vt:i4>0</vt:i4>
      </vt:variant>
      <vt:variant>
        <vt:i4>5</vt:i4>
      </vt:variant>
      <vt:variant>
        <vt:lpwstr>http://www.nevo.co.il/law/72756</vt:lpwstr>
      </vt:variant>
      <vt:variant>
        <vt:lpwstr/>
      </vt:variant>
      <vt:variant>
        <vt:i4>6553698</vt:i4>
      </vt:variant>
      <vt:variant>
        <vt:i4>120</vt:i4>
      </vt:variant>
      <vt:variant>
        <vt:i4>0</vt:i4>
      </vt:variant>
      <vt:variant>
        <vt:i4>5</vt:i4>
      </vt:variant>
      <vt:variant>
        <vt:lpwstr>http://www.nevo.co.il/law/72756/46c</vt:lpwstr>
      </vt:variant>
      <vt:variant>
        <vt:lpwstr/>
      </vt:variant>
      <vt:variant>
        <vt:i4>4915272</vt:i4>
      </vt:variant>
      <vt:variant>
        <vt:i4>117</vt:i4>
      </vt:variant>
      <vt:variant>
        <vt:i4>0</vt:i4>
      </vt:variant>
      <vt:variant>
        <vt:i4>5</vt:i4>
      </vt:variant>
      <vt:variant>
        <vt:lpwstr>http://www.nevo.co.il/law/5227/43</vt:lpwstr>
      </vt:variant>
      <vt:variant>
        <vt:lpwstr/>
      </vt:variant>
      <vt:variant>
        <vt:i4>8323175</vt:i4>
      </vt:variant>
      <vt:variant>
        <vt:i4>114</vt:i4>
      </vt:variant>
      <vt:variant>
        <vt:i4>0</vt:i4>
      </vt:variant>
      <vt:variant>
        <vt:i4>5</vt:i4>
      </vt:variant>
      <vt:variant>
        <vt:lpwstr>http://www.nevo.co.il/law/5227</vt:lpwstr>
      </vt:variant>
      <vt:variant>
        <vt:lpwstr/>
      </vt:variant>
      <vt:variant>
        <vt:i4>4915272</vt:i4>
      </vt:variant>
      <vt:variant>
        <vt:i4>111</vt:i4>
      </vt:variant>
      <vt:variant>
        <vt:i4>0</vt:i4>
      </vt:variant>
      <vt:variant>
        <vt:i4>5</vt:i4>
      </vt:variant>
      <vt:variant>
        <vt:lpwstr>http://www.nevo.co.il/law/5227/43</vt:lpwstr>
      </vt:variant>
      <vt:variant>
        <vt:lpwstr/>
      </vt:variant>
      <vt:variant>
        <vt:i4>8257637</vt:i4>
      </vt:variant>
      <vt:variant>
        <vt:i4>108</vt:i4>
      </vt:variant>
      <vt:variant>
        <vt:i4>0</vt:i4>
      </vt:variant>
      <vt:variant>
        <vt:i4>5</vt:i4>
      </vt:variant>
      <vt:variant>
        <vt:lpwstr>http://www.nevo.co.il/law/4216</vt:lpwstr>
      </vt:variant>
      <vt:variant>
        <vt:lpwstr/>
      </vt:variant>
      <vt:variant>
        <vt:i4>5046355</vt:i4>
      </vt:variant>
      <vt:variant>
        <vt:i4>105</vt:i4>
      </vt:variant>
      <vt:variant>
        <vt:i4>0</vt:i4>
      </vt:variant>
      <vt:variant>
        <vt:i4>5</vt:i4>
      </vt:variant>
      <vt:variant>
        <vt:lpwstr>http://www.nevo.co.il/law/4216/37a.a</vt:lpwstr>
      </vt:variant>
      <vt:variant>
        <vt:lpwstr/>
      </vt:variant>
      <vt:variant>
        <vt:i4>4128884</vt:i4>
      </vt:variant>
      <vt:variant>
        <vt:i4>96</vt:i4>
      </vt:variant>
      <vt:variant>
        <vt:i4>0</vt:i4>
      </vt:variant>
      <vt:variant>
        <vt:i4>5</vt:i4>
      </vt:variant>
      <vt:variant>
        <vt:lpwstr>http://www.nevo.co.il/case/5587527</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3473524</vt:i4>
      </vt:variant>
      <vt:variant>
        <vt:i4>90</vt:i4>
      </vt:variant>
      <vt:variant>
        <vt:i4>0</vt:i4>
      </vt:variant>
      <vt:variant>
        <vt:i4>5</vt:i4>
      </vt:variant>
      <vt:variant>
        <vt:lpwstr>http://www.nevo.co.il/case/28195138</vt:lpwstr>
      </vt:variant>
      <vt:variant>
        <vt:lpwstr/>
      </vt:variant>
      <vt:variant>
        <vt:i4>3342451</vt:i4>
      </vt:variant>
      <vt:variant>
        <vt:i4>87</vt:i4>
      </vt:variant>
      <vt:variant>
        <vt:i4>0</vt:i4>
      </vt:variant>
      <vt:variant>
        <vt:i4>5</vt:i4>
      </vt:variant>
      <vt:variant>
        <vt:lpwstr>http://www.nevo.co.il/case/24929118</vt:lpwstr>
      </vt:variant>
      <vt:variant>
        <vt:lpwstr/>
      </vt:variant>
      <vt:variant>
        <vt:i4>3866750</vt:i4>
      </vt:variant>
      <vt:variant>
        <vt:i4>84</vt:i4>
      </vt:variant>
      <vt:variant>
        <vt:i4>0</vt:i4>
      </vt:variant>
      <vt:variant>
        <vt:i4>5</vt:i4>
      </vt:variant>
      <vt:variant>
        <vt:lpwstr>http://www.nevo.co.il/case/22881005</vt:lpwstr>
      </vt:variant>
      <vt:variant>
        <vt:lpwstr/>
      </vt:variant>
      <vt:variant>
        <vt:i4>3604605</vt:i4>
      </vt:variant>
      <vt:variant>
        <vt:i4>81</vt:i4>
      </vt:variant>
      <vt:variant>
        <vt:i4>0</vt:i4>
      </vt:variant>
      <vt:variant>
        <vt:i4>5</vt:i4>
      </vt:variant>
      <vt:variant>
        <vt:lpwstr>http://www.nevo.co.il/case/23580206</vt:lpwstr>
      </vt:variant>
      <vt:variant>
        <vt:lpwstr/>
      </vt:variant>
      <vt:variant>
        <vt:i4>3473529</vt:i4>
      </vt:variant>
      <vt:variant>
        <vt:i4>78</vt:i4>
      </vt:variant>
      <vt:variant>
        <vt:i4>0</vt:i4>
      </vt:variant>
      <vt:variant>
        <vt:i4>5</vt:i4>
      </vt:variant>
      <vt:variant>
        <vt:lpwstr>http://www.nevo.co.il/case/18107527</vt:lpwstr>
      </vt:variant>
      <vt:variant>
        <vt:lpwstr/>
      </vt:variant>
      <vt:variant>
        <vt:i4>3342460</vt:i4>
      </vt:variant>
      <vt:variant>
        <vt:i4>75</vt:i4>
      </vt:variant>
      <vt:variant>
        <vt:i4>0</vt:i4>
      </vt:variant>
      <vt:variant>
        <vt:i4>5</vt:i4>
      </vt:variant>
      <vt:variant>
        <vt:lpwstr>http://www.nevo.co.il/case/20881083</vt:lpwstr>
      </vt:variant>
      <vt:variant>
        <vt:lpwstr/>
      </vt:variant>
      <vt:variant>
        <vt:i4>4128884</vt:i4>
      </vt:variant>
      <vt:variant>
        <vt:i4>72</vt:i4>
      </vt:variant>
      <vt:variant>
        <vt:i4>0</vt:i4>
      </vt:variant>
      <vt:variant>
        <vt:i4>5</vt:i4>
      </vt:variant>
      <vt:variant>
        <vt:lpwstr>http://www.nevo.co.il/case/5587527</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6553698</vt:i4>
      </vt:variant>
      <vt:variant>
        <vt:i4>30</vt:i4>
      </vt:variant>
      <vt:variant>
        <vt:i4>0</vt:i4>
      </vt:variant>
      <vt:variant>
        <vt:i4>5</vt:i4>
      </vt:variant>
      <vt:variant>
        <vt:lpwstr>http://www.nevo.co.il/law/72756/46c</vt:lpwstr>
      </vt:variant>
      <vt:variant>
        <vt:lpwstr/>
      </vt:variant>
      <vt:variant>
        <vt:i4>8192096</vt:i4>
      </vt:variant>
      <vt:variant>
        <vt:i4>27</vt:i4>
      </vt:variant>
      <vt:variant>
        <vt:i4>0</vt:i4>
      </vt:variant>
      <vt:variant>
        <vt:i4>5</vt:i4>
      </vt:variant>
      <vt:variant>
        <vt:lpwstr>http://www.nevo.co.il/law/72756</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8323175</vt:i4>
      </vt:variant>
      <vt:variant>
        <vt:i4>21</vt:i4>
      </vt:variant>
      <vt:variant>
        <vt:i4>0</vt:i4>
      </vt:variant>
      <vt:variant>
        <vt:i4>5</vt:i4>
      </vt:variant>
      <vt:variant>
        <vt:lpwstr>http://www.nevo.co.il/law/5227</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5046355</vt:i4>
      </vt:variant>
      <vt:variant>
        <vt:i4>6</vt:i4>
      </vt:variant>
      <vt:variant>
        <vt:i4>0</vt:i4>
      </vt:variant>
      <vt:variant>
        <vt:i4>5</vt:i4>
      </vt:variant>
      <vt:variant>
        <vt:lpwstr>http://www.nevo.co.il/law/4216/37a.a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18593</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איוב אבו גריבה </vt:lpwstr>
  </property>
  <property fmtid="{D5CDD505-2E9C-101B-9397-08002B2CF9AE}" pid="10" name="LAWYER">
    <vt:lpwstr>אחמד וותד</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20241008</vt:lpwstr>
  </property>
  <property fmtid="{D5CDD505-2E9C-101B-9397-08002B2CF9AE}" pid="14" name="TYPE_N_DATE">
    <vt:lpwstr>38020241008</vt:lpwstr>
  </property>
  <property fmtid="{D5CDD505-2E9C-101B-9397-08002B2CF9AE}" pid="15" name="WORDNUMPAGES">
    <vt:lpwstr>11</vt:lpwstr>
  </property>
  <property fmtid="{D5CDD505-2E9C-101B-9397-08002B2CF9AE}" pid="16" name="TYPE_ABS_DATE">
    <vt:lpwstr>380020241008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5587527:3;20881083;18107527;23580206;22881005;24929118;28195138</vt:lpwstr>
  </property>
  <property fmtid="{D5CDD505-2E9C-101B-9397-08002B2CF9AE}" pid="36" name="LAWLISTTMP1">
    <vt:lpwstr>4216/006;037a.a</vt:lpwstr>
  </property>
  <property fmtid="{D5CDD505-2E9C-101B-9397-08002B2CF9AE}" pid="37" name="LAWLISTTMP2">
    <vt:lpwstr>70301/040c.a;040b;040i</vt:lpwstr>
  </property>
  <property fmtid="{D5CDD505-2E9C-101B-9397-08002B2CF9AE}" pid="38" name="LAWLISTTMP3">
    <vt:lpwstr>5227/043:2</vt:lpwstr>
  </property>
  <property fmtid="{D5CDD505-2E9C-101B-9397-08002B2CF9AE}" pid="39" name="LAWLISTTMP4">
    <vt:lpwstr>72756/046c</vt:lpwstr>
  </property>
</Properties>
</file>