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E753D8" w:rsidRPr="00DE25E4" w14:paraId="0769F92E" w14:textId="77777777" w:rsidTr="001B3F10">
        <w:trPr>
          <w:trHeight w:hRule="exact" w:val="704"/>
          <w:jc w:val="center"/>
        </w:trPr>
        <w:tc>
          <w:tcPr>
            <w:tcW w:w="8721" w:type="dxa"/>
            <w:gridSpan w:val="2"/>
          </w:tcPr>
          <w:p w14:paraId="0CC83CE2" w14:textId="77777777" w:rsidR="00E753D8" w:rsidRPr="00DE25E4" w:rsidRDefault="00E753D8" w:rsidP="001B3F10">
            <w:pPr>
              <w:pStyle w:val="a3"/>
              <w:jc w:val="center"/>
              <w:rPr>
                <w:rFonts w:ascii="Tahoma" w:hAnsi="Tahoma" w:cs="Tahoma"/>
                <w:b/>
                <w:bCs/>
                <w:noProof w:val="0"/>
                <w:color w:val="000080"/>
                <w:rtl/>
              </w:rPr>
            </w:pPr>
            <w:bookmarkStart w:id="0" w:name="FirstLawyer"/>
            <w:bookmarkStart w:id="1" w:name="LastJudge"/>
            <w:r w:rsidRPr="00DE25E4">
              <w:rPr>
                <w:rFonts w:ascii="Tahoma" w:hAnsi="Tahoma" w:cs="Tahoma"/>
                <w:b/>
                <w:bCs/>
                <w:noProof w:val="0"/>
                <w:color w:val="000080"/>
                <w:rtl/>
              </w:rPr>
              <w:t>בית משפט השלום בבאר שבע</w:t>
            </w:r>
          </w:p>
          <w:p w14:paraId="78D4666A" w14:textId="77777777" w:rsidR="00E753D8" w:rsidRPr="00DE25E4" w:rsidRDefault="00E753D8" w:rsidP="001B3F10">
            <w:pPr>
              <w:pStyle w:val="a3"/>
              <w:jc w:val="center"/>
              <w:rPr>
                <w:rFonts w:ascii="Tahoma" w:hAnsi="Tahoma" w:cs="Tahoma"/>
                <w:noProof w:val="0"/>
                <w:color w:val="000080"/>
                <w:rtl/>
              </w:rPr>
            </w:pPr>
          </w:p>
        </w:tc>
      </w:tr>
      <w:tr w:rsidR="00E753D8" w:rsidRPr="00DE25E4" w14:paraId="3C6A1DFB" w14:textId="77777777" w:rsidTr="001B3F10">
        <w:trPr>
          <w:trHeight w:val="337"/>
          <w:jc w:val="center"/>
        </w:trPr>
        <w:tc>
          <w:tcPr>
            <w:tcW w:w="4473" w:type="dxa"/>
          </w:tcPr>
          <w:p w14:paraId="0789192E" w14:textId="77777777" w:rsidR="00E753D8" w:rsidRPr="00DE25E4" w:rsidRDefault="00E753D8" w:rsidP="001B3F10">
            <w:pPr>
              <w:rPr>
                <w:b/>
                <w:bCs/>
                <w:noProof w:val="0"/>
                <w:sz w:val="26"/>
                <w:szCs w:val="26"/>
                <w:rtl/>
              </w:rPr>
            </w:pPr>
          </w:p>
        </w:tc>
        <w:tc>
          <w:tcPr>
            <w:tcW w:w="4248" w:type="dxa"/>
          </w:tcPr>
          <w:p w14:paraId="3197A76B" w14:textId="77777777" w:rsidR="00E753D8" w:rsidRPr="00DE25E4" w:rsidRDefault="00E753D8" w:rsidP="001B3F10">
            <w:pPr>
              <w:pStyle w:val="a3"/>
              <w:jc w:val="right"/>
              <w:rPr>
                <w:b/>
                <w:bCs/>
                <w:noProof w:val="0"/>
                <w:sz w:val="26"/>
                <w:szCs w:val="26"/>
                <w:rtl/>
              </w:rPr>
            </w:pPr>
            <w:r w:rsidRPr="00DE25E4">
              <w:rPr>
                <w:rFonts w:hint="cs"/>
                <w:b/>
                <w:bCs/>
                <w:noProof w:val="0"/>
                <w:sz w:val="26"/>
                <w:szCs w:val="26"/>
                <w:rtl/>
              </w:rPr>
              <w:t>ד' כסלו תשפ"ג</w:t>
            </w:r>
          </w:p>
          <w:p w14:paraId="21FE8612" w14:textId="77777777" w:rsidR="00E753D8" w:rsidRPr="00DE25E4" w:rsidRDefault="00E753D8" w:rsidP="001B3F10">
            <w:pPr>
              <w:pStyle w:val="a3"/>
              <w:jc w:val="right"/>
              <w:rPr>
                <w:b/>
                <w:bCs/>
                <w:noProof w:val="0"/>
                <w:sz w:val="26"/>
                <w:szCs w:val="26"/>
                <w:rtl/>
              </w:rPr>
            </w:pPr>
            <w:r w:rsidRPr="00DE25E4">
              <w:rPr>
                <w:rFonts w:hint="cs"/>
                <w:b/>
                <w:bCs/>
                <w:noProof w:val="0"/>
                <w:sz w:val="26"/>
                <w:szCs w:val="26"/>
                <w:rtl/>
              </w:rPr>
              <w:t>28 נובמבר 2022</w:t>
            </w:r>
          </w:p>
        </w:tc>
      </w:tr>
      <w:tr w:rsidR="00E753D8" w:rsidRPr="00DE25E4" w14:paraId="750C2609" w14:textId="77777777" w:rsidTr="001B3F10">
        <w:trPr>
          <w:trHeight w:val="337"/>
          <w:jc w:val="center"/>
        </w:trPr>
        <w:tc>
          <w:tcPr>
            <w:tcW w:w="8721" w:type="dxa"/>
            <w:gridSpan w:val="2"/>
          </w:tcPr>
          <w:p w14:paraId="4E0CFDED" w14:textId="77777777" w:rsidR="00E753D8" w:rsidRPr="00DE25E4" w:rsidRDefault="00DE25E4" w:rsidP="001B3F10">
            <w:pPr>
              <w:rPr>
                <w:b/>
                <w:bCs/>
                <w:noProof w:val="0"/>
                <w:sz w:val="26"/>
                <w:szCs w:val="26"/>
                <w:rtl/>
              </w:rPr>
            </w:pPr>
            <w:hyperlink r:id="rId7" w:history="1">
              <w:r w:rsidRPr="00DE25E4">
                <w:rPr>
                  <w:b/>
                  <w:bCs/>
                  <w:noProof w:val="0"/>
                  <w:color w:val="0000FF"/>
                  <w:sz w:val="26"/>
                  <w:szCs w:val="26"/>
                  <w:u w:val="single"/>
                  <w:rtl/>
                </w:rPr>
                <w:t>ת"פ 24771-06-21</w:t>
              </w:r>
            </w:hyperlink>
            <w:r w:rsidR="00E753D8" w:rsidRPr="00DE25E4">
              <w:rPr>
                <w:b/>
                <w:bCs/>
                <w:noProof w:val="0"/>
                <w:sz w:val="26"/>
                <w:szCs w:val="26"/>
                <w:rtl/>
              </w:rPr>
              <w:t xml:space="preserve"> מדינת ישראל נ' מריאשקין</w:t>
            </w:r>
          </w:p>
          <w:p w14:paraId="63763B79" w14:textId="77777777" w:rsidR="00E753D8" w:rsidRPr="00DE25E4" w:rsidRDefault="00E753D8" w:rsidP="001B3F10">
            <w:pPr>
              <w:rPr>
                <w:rtl/>
              </w:rPr>
            </w:pPr>
          </w:p>
          <w:p w14:paraId="49D46AA5" w14:textId="77777777" w:rsidR="00E753D8" w:rsidRPr="00DE25E4" w:rsidRDefault="00E753D8" w:rsidP="001B3F10">
            <w:pPr>
              <w:rPr>
                <w:rtl/>
              </w:rPr>
            </w:pPr>
            <w:r w:rsidRPr="00DE25E4">
              <w:rPr>
                <w:rFonts w:hint="cs"/>
                <w:sz w:val="20"/>
                <w:szCs w:val="20"/>
                <w:rtl/>
              </w:rPr>
              <w:t>תיק חיצוני</w:t>
            </w:r>
            <w:r w:rsidRPr="00DE25E4">
              <w:rPr>
                <w:rFonts w:hint="cs"/>
                <w:rtl/>
              </w:rPr>
              <w:t xml:space="preserve">: </w:t>
            </w:r>
            <w:r w:rsidRPr="00DE25E4">
              <w:rPr>
                <w:sz w:val="20"/>
                <w:szCs w:val="20"/>
              </w:rPr>
              <w:t>421176/2021</w:t>
            </w:r>
          </w:p>
        </w:tc>
      </w:tr>
    </w:tbl>
    <w:p w14:paraId="6E1C2F43" w14:textId="77777777" w:rsidR="00E753D8" w:rsidRPr="00DE25E4" w:rsidRDefault="00E753D8" w:rsidP="00E753D8">
      <w:pPr>
        <w:pStyle w:val="a3"/>
        <w:rPr>
          <w:noProof w:val="0"/>
          <w:rtl/>
        </w:rPr>
      </w:pPr>
      <w:r w:rsidRPr="00DE25E4">
        <w:rPr>
          <w:noProof w:val="0"/>
          <w:rtl/>
        </w:rPr>
        <w:t xml:space="preserve"> </w:t>
      </w:r>
    </w:p>
    <w:p w14:paraId="4A4E1141" w14:textId="77777777" w:rsidR="00E753D8" w:rsidRPr="00DE25E4" w:rsidRDefault="00E753D8" w:rsidP="00E753D8">
      <w:pPr>
        <w:suppressLineNumbers/>
        <w:rPr>
          <w:rtl/>
        </w:rPr>
      </w:pPr>
    </w:p>
    <w:p w14:paraId="2FF8C474" w14:textId="77777777" w:rsidR="00E753D8" w:rsidRPr="00DE25E4" w:rsidRDefault="00E753D8" w:rsidP="00E753D8">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E753D8" w:rsidRPr="00DE25E4" w14:paraId="09FA3D5A" w14:textId="77777777" w:rsidTr="00E753D8">
        <w:trPr>
          <w:jc w:val="center"/>
        </w:trPr>
        <w:tc>
          <w:tcPr>
            <w:tcW w:w="743" w:type="dxa"/>
            <w:shd w:val="clear" w:color="auto" w:fill="auto"/>
          </w:tcPr>
          <w:p w14:paraId="759567CF" w14:textId="77777777" w:rsidR="00E753D8" w:rsidRPr="00DE25E4" w:rsidRDefault="00E753D8" w:rsidP="00E753D8">
            <w:pPr>
              <w:jc w:val="both"/>
              <w:rPr>
                <w:rFonts w:ascii="Arial" w:hAnsi="Arial"/>
                <w:b/>
                <w:bCs/>
              </w:rPr>
            </w:pPr>
            <w:r w:rsidRPr="00DE25E4">
              <w:rPr>
                <w:rFonts w:ascii="Arial" w:hAnsi="Arial" w:hint="cs"/>
                <w:b/>
                <w:bCs/>
                <w:rtl/>
              </w:rPr>
              <w:t>לפני</w:t>
            </w:r>
          </w:p>
        </w:tc>
        <w:tc>
          <w:tcPr>
            <w:tcW w:w="8077" w:type="dxa"/>
            <w:gridSpan w:val="2"/>
            <w:shd w:val="clear" w:color="auto" w:fill="auto"/>
          </w:tcPr>
          <w:p w14:paraId="7FBC6FF3" w14:textId="77777777" w:rsidR="00E753D8" w:rsidRPr="00DE25E4" w:rsidRDefault="00E753D8" w:rsidP="001B3F10">
            <w:pPr>
              <w:rPr>
                <w:rFonts w:ascii="Arial" w:hAnsi="Arial"/>
                <w:b/>
                <w:bCs/>
                <w:rtl/>
              </w:rPr>
            </w:pPr>
            <w:r w:rsidRPr="00DE25E4">
              <w:rPr>
                <w:rFonts w:ascii="Arial" w:hAnsi="Arial" w:hint="cs"/>
                <w:b/>
                <w:bCs/>
                <w:rtl/>
              </w:rPr>
              <w:t>כב' ה</w:t>
            </w:r>
            <w:r w:rsidRPr="00DE25E4">
              <w:rPr>
                <w:rFonts w:ascii="Arial" w:hAnsi="Arial"/>
                <w:b/>
                <w:bCs/>
                <w:rtl/>
              </w:rPr>
              <w:t>שופט</w:t>
            </w:r>
            <w:r w:rsidRPr="00DE25E4">
              <w:rPr>
                <w:rFonts w:ascii="Arial" w:hAnsi="Arial" w:hint="cs"/>
                <w:b/>
                <w:bCs/>
                <w:rtl/>
              </w:rPr>
              <w:t xml:space="preserve">  </w:t>
            </w:r>
            <w:r w:rsidRPr="00DE25E4">
              <w:rPr>
                <w:rFonts w:ascii="Arial" w:hAnsi="Arial"/>
                <w:b/>
                <w:bCs/>
                <w:rtl/>
              </w:rPr>
              <w:t>רון סולקין</w:t>
            </w:r>
          </w:p>
          <w:p w14:paraId="7B1FB1F0" w14:textId="77777777" w:rsidR="00E753D8" w:rsidRPr="00DE25E4" w:rsidRDefault="00E753D8" w:rsidP="001B3F10">
            <w:pPr>
              <w:rPr>
                <w:rFonts w:ascii="Arial" w:hAnsi="Arial" w:cs="FrankRuehl"/>
                <w:sz w:val="28"/>
                <w:szCs w:val="28"/>
                <w:highlight w:val="yellow"/>
              </w:rPr>
            </w:pPr>
          </w:p>
        </w:tc>
      </w:tr>
      <w:tr w:rsidR="00E753D8" w:rsidRPr="00DE25E4" w14:paraId="3555DB9E" w14:textId="77777777" w:rsidTr="00E753D8">
        <w:trPr>
          <w:jc w:val="center"/>
        </w:trPr>
        <w:tc>
          <w:tcPr>
            <w:tcW w:w="3249" w:type="dxa"/>
            <w:gridSpan w:val="2"/>
            <w:shd w:val="clear" w:color="auto" w:fill="auto"/>
          </w:tcPr>
          <w:p w14:paraId="60104E3B" w14:textId="77777777" w:rsidR="00E753D8" w:rsidRPr="00DE25E4" w:rsidRDefault="00E753D8" w:rsidP="00E753D8">
            <w:pPr>
              <w:bidi w:val="0"/>
              <w:jc w:val="right"/>
              <w:rPr>
                <w:rFonts w:ascii="Arial" w:hAnsi="Arial"/>
                <w:b/>
                <w:bCs/>
                <w:noProof w:val="0"/>
                <w:sz w:val="26"/>
                <w:szCs w:val="26"/>
              </w:rPr>
            </w:pPr>
            <w:bookmarkStart w:id="2" w:name="FirstAppellant"/>
          </w:p>
          <w:p w14:paraId="6C961189" w14:textId="77777777" w:rsidR="00E753D8" w:rsidRPr="00DE25E4" w:rsidRDefault="00E753D8" w:rsidP="00E753D8">
            <w:pPr>
              <w:bidi w:val="0"/>
              <w:jc w:val="right"/>
              <w:rPr>
                <w:rFonts w:ascii="Arial" w:hAnsi="Arial"/>
                <w:b/>
                <w:bCs/>
                <w:noProof w:val="0"/>
                <w:sz w:val="26"/>
                <w:szCs w:val="26"/>
                <w:rtl/>
              </w:rPr>
            </w:pPr>
            <w:r w:rsidRPr="00DE25E4">
              <w:rPr>
                <w:rFonts w:ascii="Arial" w:hAnsi="Arial" w:hint="cs"/>
                <w:b/>
                <w:bCs/>
                <w:noProof w:val="0"/>
                <w:sz w:val="26"/>
                <w:szCs w:val="26"/>
                <w:rtl/>
              </w:rPr>
              <w:t>המאשימה</w:t>
            </w:r>
          </w:p>
        </w:tc>
        <w:tc>
          <w:tcPr>
            <w:tcW w:w="5571" w:type="dxa"/>
            <w:shd w:val="clear" w:color="auto" w:fill="auto"/>
          </w:tcPr>
          <w:p w14:paraId="542BA862" w14:textId="77777777" w:rsidR="00E753D8" w:rsidRPr="00DE25E4" w:rsidRDefault="00E753D8" w:rsidP="001B3F10">
            <w:pPr>
              <w:rPr>
                <w:rFonts w:ascii="Arial" w:hAnsi="Arial"/>
                <w:b/>
                <w:bCs/>
                <w:noProof w:val="0"/>
                <w:sz w:val="26"/>
                <w:szCs w:val="26"/>
                <w:rtl/>
              </w:rPr>
            </w:pPr>
          </w:p>
          <w:p w14:paraId="29E79BEF" w14:textId="77777777" w:rsidR="00E753D8" w:rsidRPr="00DE25E4" w:rsidRDefault="00E753D8" w:rsidP="001B3F10">
            <w:pPr>
              <w:rPr>
                <w:b/>
                <w:bCs/>
                <w:noProof w:val="0"/>
                <w:sz w:val="26"/>
                <w:szCs w:val="26"/>
              </w:rPr>
            </w:pPr>
            <w:r w:rsidRPr="00DE25E4">
              <w:rPr>
                <w:rFonts w:ascii="Arial" w:hAnsi="Arial"/>
                <w:b/>
                <w:bCs/>
                <w:noProof w:val="0"/>
                <w:sz w:val="26"/>
                <w:szCs w:val="26"/>
                <w:rtl/>
              </w:rPr>
              <w:t xml:space="preserve">מדינת ישראל – תביעות </w:t>
            </w:r>
            <w:r w:rsidRPr="00DE25E4">
              <w:rPr>
                <w:rFonts w:ascii="Arial" w:hAnsi="Arial" w:hint="cs"/>
                <w:b/>
                <w:bCs/>
                <w:noProof w:val="0"/>
                <w:sz w:val="26"/>
                <w:szCs w:val="26"/>
                <w:rtl/>
              </w:rPr>
              <w:t>נגב</w:t>
            </w:r>
            <w:r w:rsidRPr="00DE25E4">
              <w:rPr>
                <w:rFonts w:ascii="Arial" w:hAnsi="Arial"/>
                <w:b/>
                <w:bCs/>
                <w:noProof w:val="0"/>
                <w:sz w:val="26"/>
                <w:szCs w:val="26"/>
                <w:rtl/>
              </w:rPr>
              <w:br/>
            </w:r>
            <w:r w:rsidRPr="00DE25E4">
              <w:rPr>
                <w:rFonts w:hint="cs"/>
                <w:rtl/>
              </w:rPr>
              <w:t>ע"י ב"כ עו"ד שגיא אבנעים</w:t>
            </w:r>
          </w:p>
        </w:tc>
      </w:tr>
      <w:bookmarkEnd w:id="2"/>
      <w:tr w:rsidR="00E753D8" w:rsidRPr="00DE25E4" w14:paraId="5B472D85" w14:textId="77777777" w:rsidTr="00E753D8">
        <w:trPr>
          <w:jc w:val="center"/>
        </w:trPr>
        <w:tc>
          <w:tcPr>
            <w:tcW w:w="8820" w:type="dxa"/>
            <w:gridSpan w:val="3"/>
            <w:shd w:val="clear" w:color="auto" w:fill="auto"/>
          </w:tcPr>
          <w:p w14:paraId="39D7144A" w14:textId="77777777" w:rsidR="00E753D8" w:rsidRPr="00DE25E4" w:rsidRDefault="00E753D8" w:rsidP="001B3F10">
            <w:pPr>
              <w:rPr>
                <w:rFonts w:ascii="Arial" w:hAnsi="Arial"/>
                <w:b/>
                <w:bCs/>
                <w:noProof w:val="0"/>
                <w:sz w:val="26"/>
                <w:szCs w:val="26"/>
                <w:rtl/>
              </w:rPr>
            </w:pPr>
          </w:p>
          <w:p w14:paraId="0B323733" w14:textId="77777777" w:rsidR="00E753D8" w:rsidRPr="00DE25E4" w:rsidRDefault="00E753D8" w:rsidP="00E753D8">
            <w:pPr>
              <w:jc w:val="center"/>
              <w:rPr>
                <w:rFonts w:ascii="Arial" w:hAnsi="Arial"/>
                <w:b/>
                <w:bCs/>
                <w:noProof w:val="0"/>
                <w:sz w:val="26"/>
                <w:szCs w:val="26"/>
                <w:rtl/>
              </w:rPr>
            </w:pPr>
            <w:r w:rsidRPr="00DE25E4">
              <w:rPr>
                <w:rFonts w:ascii="Arial" w:hAnsi="Arial"/>
                <w:b/>
                <w:bCs/>
                <w:noProof w:val="0"/>
                <w:sz w:val="26"/>
                <w:szCs w:val="26"/>
                <w:rtl/>
              </w:rPr>
              <w:t>נגד</w:t>
            </w:r>
          </w:p>
          <w:p w14:paraId="207C4A9D" w14:textId="77777777" w:rsidR="00E753D8" w:rsidRPr="00DE25E4" w:rsidRDefault="00E753D8" w:rsidP="001B3F10">
            <w:pPr>
              <w:rPr>
                <w:rFonts w:ascii="Arial" w:hAnsi="Arial"/>
                <w:b/>
                <w:bCs/>
                <w:noProof w:val="0"/>
                <w:sz w:val="26"/>
                <w:szCs w:val="26"/>
              </w:rPr>
            </w:pPr>
          </w:p>
        </w:tc>
      </w:tr>
      <w:tr w:rsidR="00E753D8" w:rsidRPr="00DE25E4" w14:paraId="6DD8E20B" w14:textId="77777777" w:rsidTr="00E753D8">
        <w:trPr>
          <w:jc w:val="center"/>
        </w:trPr>
        <w:tc>
          <w:tcPr>
            <w:tcW w:w="3249" w:type="dxa"/>
            <w:gridSpan w:val="2"/>
            <w:shd w:val="clear" w:color="auto" w:fill="auto"/>
          </w:tcPr>
          <w:p w14:paraId="54AA21E7" w14:textId="77777777" w:rsidR="00E753D8" w:rsidRPr="00DE25E4" w:rsidRDefault="00E753D8" w:rsidP="001B3F10">
            <w:pPr>
              <w:rPr>
                <w:rFonts w:ascii="Arial" w:hAnsi="Arial"/>
                <w:b/>
                <w:bCs/>
                <w:noProof w:val="0"/>
                <w:sz w:val="26"/>
                <w:szCs w:val="26"/>
                <w:rtl/>
              </w:rPr>
            </w:pPr>
          </w:p>
          <w:p w14:paraId="1DE38BEA" w14:textId="77777777" w:rsidR="00E753D8" w:rsidRPr="00DE25E4" w:rsidRDefault="00E753D8" w:rsidP="001B3F10">
            <w:pPr>
              <w:rPr>
                <w:rFonts w:ascii="Arial" w:hAnsi="Arial"/>
                <w:b/>
                <w:bCs/>
                <w:noProof w:val="0"/>
                <w:sz w:val="26"/>
                <w:szCs w:val="26"/>
              </w:rPr>
            </w:pPr>
            <w:r w:rsidRPr="00DE25E4">
              <w:rPr>
                <w:rFonts w:ascii="Arial" w:hAnsi="Arial" w:hint="cs"/>
                <w:b/>
                <w:bCs/>
                <w:noProof w:val="0"/>
                <w:sz w:val="26"/>
                <w:szCs w:val="26"/>
                <w:rtl/>
              </w:rPr>
              <w:t>הנאשם</w:t>
            </w:r>
          </w:p>
        </w:tc>
        <w:tc>
          <w:tcPr>
            <w:tcW w:w="5571" w:type="dxa"/>
            <w:shd w:val="clear" w:color="auto" w:fill="auto"/>
          </w:tcPr>
          <w:p w14:paraId="3D7B4030" w14:textId="77777777" w:rsidR="00E753D8" w:rsidRPr="00DE25E4" w:rsidRDefault="00E753D8" w:rsidP="001B3F10">
            <w:pPr>
              <w:rPr>
                <w:rFonts w:ascii="Arial" w:hAnsi="Arial"/>
                <w:b/>
                <w:bCs/>
                <w:noProof w:val="0"/>
                <w:sz w:val="26"/>
                <w:szCs w:val="26"/>
                <w:rtl/>
              </w:rPr>
            </w:pPr>
          </w:p>
          <w:p w14:paraId="3C5A4369" w14:textId="77777777" w:rsidR="00E753D8" w:rsidRPr="00DE25E4" w:rsidRDefault="00E753D8" w:rsidP="001B3F10">
            <w:pPr>
              <w:rPr>
                <w:b/>
                <w:bCs/>
                <w:noProof w:val="0"/>
                <w:sz w:val="26"/>
                <w:szCs w:val="26"/>
                <w:rtl/>
              </w:rPr>
            </w:pPr>
            <w:r w:rsidRPr="00DE25E4">
              <w:rPr>
                <w:rFonts w:ascii="Arial" w:hAnsi="Arial"/>
                <w:b/>
                <w:bCs/>
                <w:noProof w:val="0"/>
                <w:sz w:val="26"/>
                <w:szCs w:val="26"/>
                <w:rtl/>
              </w:rPr>
              <w:t xml:space="preserve">סרגיי </w:t>
            </w:r>
            <w:r w:rsidRPr="00DE25E4">
              <w:rPr>
                <w:rFonts w:ascii="Arial" w:hAnsi="Arial" w:hint="cs"/>
                <w:b/>
                <w:bCs/>
                <w:noProof w:val="0"/>
                <w:sz w:val="26"/>
                <w:szCs w:val="26"/>
                <w:rtl/>
              </w:rPr>
              <w:t xml:space="preserve">בן אנדרי </w:t>
            </w:r>
            <w:r w:rsidRPr="00DE25E4">
              <w:rPr>
                <w:rFonts w:ascii="Arial" w:hAnsi="Arial"/>
                <w:b/>
                <w:bCs/>
                <w:noProof w:val="0"/>
                <w:sz w:val="26"/>
                <w:szCs w:val="26"/>
                <w:rtl/>
              </w:rPr>
              <w:t>מריאשקין</w:t>
            </w:r>
            <w:r w:rsidRPr="00DE25E4">
              <w:rPr>
                <w:rtl/>
              </w:rPr>
              <w:br/>
            </w:r>
            <w:r w:rsidRPr="00DE25E4">
              <w:rPr>
                <w:rFonts w:hint="cs"/>
                <w:rtl/>
              </w:rPr>
              <w:t>ע"י ב"כ עו"ד שני פרג'ון</w:t>
            </w:r>
          </w:p>
        </w:tc>
      </w:tr>
    </w:tbl>
    <w:p w14:paraId="3464A41A" w14:textId="77777777" w:rsidR="009E5064" w:rsidRDefault="009E5064" w:rsidP="00DE25E4">
      <w:pPr>
        <w:suppressLineNumbers/>
        <w:rPr>
          <w:rtl/>
        </w:rPr>
      </w:pPr>
    </w:p>
    <w:p w14:paraId="13F846B3" w14:textId="77777777" w:rsidR="009E5064" w:rsidRPr="009E5064" w:rsidRDefault="009E5064" w:rsidP="009E5064">
      <w:pPr>
        <w:suppressLineNumbers/>
        <w:spacing w:after="120" w:line="240" w:lineRule="exact"/>
        <w:ind w:left="283" w:hanging="283"/>
        <w:jc w:val="both"/>
        <w:rPr>
          <w:rFonts w:ascii="FrankRuehl" w:hAnsi="FrankRuehl" w:cs="FrankRuehl"/>
          <w:rtl/>
        </w:rPr>
      </w:pPr>
    </w:p>
    <w:p w14:paraId="36BCFEEB" w14:textId="77777777" w:rsidR="00921B14" w:rsidRPr="00921B14" w:rsidRDefault="00921B14" w:rsidP="00921B14">
      <w:pPr>
        <w:suppressLineNumbers/>
        <w:spacing w:before="120" w:after="120" w:line="240" w:lineRule="exact"/>
        <w:ind w:left="283" w:hanging="283"/>
        <w:jc w:val="both"/>
        <w:rPr>
          <w:rFonts w:ascii="FrankRuehl" w:hAnsi="FrankRuehl" w:cs="FrankRuehl"/>
          <w:rtl/>
        </w:rPr>
      </w:pPr>
    </w:p>
    <w:p w14:paraId="0B8C5890" w14:textId="77777777" w:rsidR="003F790C" w:rsidRDefault="003F790C" w:rsidP="003F790C">
      <w:pPr>
        <w:suppressLineNumbers/>
        <w:rPr>
          <w:rtl/>
        </w:rPr>
      </w:pPr>
      <w:bookmarkStart w:id="3" w:name="LawTable"/>
      <w:bookmarkEnd w:id="3"/>
    </w:p>
    <w:p w14:paraId="222E41F7" w14:textId="77777777" w:rsidR="003F790C" w:rsidRPr="003F790C" w:rsidRDefault="003F790C" w:rsidP="003F790C">
      <w:pPr>
        <w:suppressLineNumbers/>
        <w:spacing w:before="120" w:after="120" w:line="240" w:lineRule="exact"/>
        <w:ind w:left="283" w:hanging="283"/>
        <w:jc w:val="both"/>
        <w:rPr>
          <w:rFonts w:ascii="FrankRuehl" w:hAnsi="FrankRuehl" w:cs="FrankRuehl"/>
          <w:rtl/>
        </w:rPr>
      </w:pPr>
    </w:p>
    <w:p w14:paraId="63A5564D" w14:textId="77777777" w:rsidR="003F790C" w:rsidRPr="003F790C" w:rsidRDefault="003F790C" w:rsidP="003F790C">
      <w:pPr>
        <w:suppressLineNumbers/>
        <w:spacing w:before="120" w:after="120" w:line="240" w:lineRule="exact"/>
        <w:ind w:left="283" w:hanging="283"/>
        <w:jc w:val="both"/>
        <w:rPr>
          <w:rFonts w:ascii="FrankRuehl" w:hAnsi="FrankRuehl" w:cs="FrankRuehl"/>
          <w:rtl/>
        </w:rPr>
      </w:pPr>
    </w:p>
    <w:p w14:paraId="58ECC34E" w14:textId="77777777" w:rsidR="003F790C" w:rsidRPr="003F790C" w:rsidRDefault="003F790C" w:rsidP="003F790C">
      <w:pPr>
        <w:suppressLineNumbers/>
        <w:spacing w:before="120" w:after="120" w:line="240" w:lineRule="exact"/>
        <w:ind w:left="283" w:hanging="283"/>
        <w:jc w:val="both"/>
        <w:rPr>
          <w:rFonts w:ascii="FrankRuehl" w:hAnsi="FrankRuehl" w:cs="FrankRuehl"/>
          <w:rtl/>
        </w:rPr>
      </w:pPr>
      <w:r w:rsidRPr="003F790C">
        <w:rPr>
          <w:rFonts w:ascii="FrankRuehl" w:hAnsi="FrankRuehl" w:cs="FrankRuehl"/>
          <w:rtl/>
        </w:rPr>
        <w:t xml:space="preserve">חקיקה שאוזכרה: </w:t>
      </w:r>
    </w:p>
    <w:p w14:paraId="0E0D606E" w14:textId="77777777" w:rsidR="003F790C" w:rsidRPr="003F790C" w:rsidRDefault="003F790C" w:rsidP="003F790C">
      <w:pPr>
        <w:suppressLineNumbers/>
        <w:spacing w:before="120" w:after="120" w:line="240" w:lineRule="exact"/>
        <w:ind w:left="283" w:hanging="283"/>
        <w:jc w:val="both"/>
        <w:rPr>
          <w:rFonts w:ascii="FrankRuehl" w:hAnsi="FrankRuehl" w:cs="FrankRuehl"/>
          <w:rtl/>
        </w:rPr>
      </w:pPr>
      <w:hyperlink r:id="rId8" w:history="1">
        <w:r w:rsidRPr="003F790C">
          <w:rPr>
            <w:rFonts w:ascii="FrankRuehl" w:hAnsi="FrankRuehl" w:cs="FrankRuehl"/>
            <w:color w:val="0000FF"/>
            <w:rtl/>
          </w:rPr>
          <w:t>פקודת הסמים המסוכנים [נוסח חדש], תשל"ג-1973</w:t>
        </w:r>
      </w:hyperlink>
      <w:r w:rsidRPr="003F790C">
        <w:rPr>
          <w:rFonts w:ascii="FrankRuehl" w:hAnsi="FrankRuehl" w:cs="FrankRuehl"/>
          <w:rtl/>
        </w:rPr>
        <w:t xml:space="preserve">: סע'  </w:t>
      </w:r>
      <w:hyperlink r:id="rId9" w:history="1">
        <w:r w:rsidRPr="003F790C">
          <w:rPr>
            <w:rFonts w:ascii="FrankRuehl" w:hAnsi="FrankRuehl" w:cs="FrankRuehl"/>
            <w:color w:val="0000FF"/>
            <w:rtl/>
          </w:rPr>
          <w:t>13</w:t>
        </w:r>
      </w:hyperlink>
      <w:r w:rsidRPr="003F790C">
        <w:rPr>
          <w:rFonts w:ascii="FrankRuehl" w:hAnsi="FrankRuehl" w:cs="FrankRuehl"/>
          <w:rtl/>
        </w:rPr>
        <w:t xml:space="preserve">, </w:t>
      </w:r>
      <w:hyperlink r:id="rId10" w:history="1">
        <w:r w:rsidRPr="003F790C">
          <w:rPr>
            <w:rFonts w:ascii="FrankRuehl" w:hAnsi="FrankRuehl" w:cs="FrankRuehl"/>
            <w:color w:val="0000FF"/>
            <w:rtl/>
          </w:rPr>
          <w:t>19א</w:t>
        </w:r>
      </w:hyperlink>
    </w:p>
    <w:p w14:paraId="32390E50" w14:textId="77777777" w:rsidR="003F790C" w:rsidRPr="003F790C" w:rsidRDefault="003F790C" w:rsidP="003F790C">
      <w:pPr>
        <w:suppressLineNumbers/>
        <w:spacing w:before="120" w:after="120" w:line="240" w:lineRule="exact"/>
        <w:ind w:left="283" w:hanging="283"/>
        <w:jc w:val="both"/>
        <w:rPr>
          <w:rFonts w:ascii="FrankRuehl" w:hAnsi="FrankRuehl" w:cs="FrankRuehl"/>
          <w:rtl/>
        </w:rPr>
      </w:pPr>
      <w:hyperlink r:id="rId11" w:history="1">
        <w:r w:rsidRPr="003F790C">
          <w:rPr>
            <w:rFonts w:ascii="FrankRuehl" w:hAnsi="FrankRuehl" w:cs="FrankRuehl"/>
            <w:color w:val="0000FF"/>
            <w:rtl/>
          </w:rPr>
          <w:t>חוק העונשין, תשל"ז-1977</w:t>
        </w:r>
      </w:hyperlink>
      <w:r w:rsidRPr="003F790C">
        <w:rPr>
          <w:rFonts w:ascii="FrankRuehl" w:hAnsi="FrankRuehl" w:cs="FrankRuehl"/>
          <w:rtl/>
        </w:rPr>
        <w:t xml:space="preserve">: סע'  </w:t>
      </w:r>
      <w:hyperlink r:id="rId12" w:history="1">
        <w:r w:rsidRPr="003F790C">
          <w:rPr>
            <w:rFonts w:ascii="FrankRuehl" w:hAnsi="FrankRuehl" w:cs="FrankRuehl"/>
            <w:color w:val="0000FF"/>
            <w:rtl/>
          </w:rPr>
          <w:t>40ט'</w:t>
        </w:r>
      </w:hyperlink>
    </w:p>
    <w:p w14:paraId="51E6EF4C" w14:textId="77777777" w:rsidR="003F790C" w:rsidRPr="003F790C" w:rsidRDefault="003F790C" w:rsidP="003F790C">
      <w:pPr>
        <w:suppressLineNumbers/>
        <w:rPr>
          <w:rtl/>
        </w:rPr>
      </w:pPr>
      <w:bookmarkStart w:id="4" w:name="LawTable_End"/>
      <w:bookmarkEnd w:id="4"/>
    </w:p>
    <w:p w14:paraId="23772774" w14:textId="77777777" w:rsidR="00E753D8" w:rsidRPr="00921B14" w:rsidRDefault="00E753D8" w:rsidP="00921B14">
      <w:pPr>
        <w:suppressLineNumbers/>
      </w:pPr>
    </w:p>
    <w:tbl>
      <w:tblPr>
        <w:bidiVisual/>
        <w:tblW w:w="8820" w:type="dxa"/>
        <w:jc w:val="center"/>
        <w:tblLook w:val="01E0" w:firstRow="1" w:lastRow="1" w:firstColumn="1" w:lastColumn="1" w:noHBand="0" w:noVBand="0"/>
      </w:tblPr>
      <w:tblGrid>
        <w:gridCol w:w="8820"/>
      </w:tblGrid>
      <w:tr w:rsidR="00E753D8" w14:paraId="73A79418" w14:textId="77777777" w:rsidTr="00E753D8">
        <w:trPr>
          <w:jc w:val="center"/>
        </w:trPr>
        <w:tc>
          <w:tcPr>
            <w:tcW w:w="8820" w:type="dxa"/>
            <w:shd w:val="clear" w:color="auto" w:fill="auto"/>
          </w:tcPr>
          <w:p w14:paraId="2D3155BF" w14:textId="77777777" w:rsidR="00DE25E4" w:rsidRPr="00DE25E4" w:rsidRDefault="00DE25E4" w:rsidP="00DE25E4">
            <w:pPr>
              <w:bidi w:val="0"/>
              <w:jc w:val="center"/>
              <w:rPr>
                <w:rFonts w:ascii="Arial" w:hAnsi="Arial"/>
                <w:b/>
                <w:bCs/>
                <w:noProof w:val="0"/>
                <w:sz w:val="28"/>
                <w:szCs w:val="28"/>
                <w:u w:val="single"/>
              </w:rPr>
            </w:pPr>
            <w:bookmarkStart w:id="5" w:name="PsakDin" w:colFirst="0" w:colLast="0"/>
            <w:bookmarkEnd w:id="0"/>
            <w:bookmarkEnd w:id="1"/>
            <w:r w:rsidRPr="00DE25E4">
              <w:rPr>
                <w:rFonts w:ascii="Arial" w:hAnsi="Arial"/>
                <w:b/>
                <w:bCs/>
                <w:noProof w:val="0"/>
                <w:sz w:val="28"/>
                <w:szCs w:val="28"/>
                <w:u w:val="single"/>
                <w:rtl/>
              </w:rPr>
              <w:t>גזר דין</w:t>
            </w:r>
          </w:p>
          <w:p w14:paraId="58B35A99" w14:textId="77777777" w:rsidR="00E753D8" w:rsidRPr="00DE25E4" w:rsidRDefault="00E753D8" w:rsidP="00DE25E4">
            <w:pPr>
              <w:bidi w:val="0"/>
              <w:jc w:val="center"/>
              <w:rPr>
                <w:rFonts w:ascii="Arial" w:hAnsi="Arial"/>
                <w:b/>
                <w:bCs/>
                <w:noProof w:val="0"/>
                <w:sz w:val="28"/>
                <w:szCs w:val="28"/>
                <w:u w:val="single"/>
              </w:rPr>
            </w:pPr>
          </w:p>
        </w:tc>
      </w:tr>
      <w:bookmarkEnd w:id="5"/>
    </w:tbl>
    <w:p w14:paraId="7EE947DD" w14:textId="77777777" w:rsidR="00E753D8" w:rsidRDefault="00E753D8" w:rsidP="00E753D8">
      <w:pPr>
        <w:spacing w:line="360" w:lineRule="auto"/>
        <w:jc w:val="both"/>
        <w:rPr>
          <w:rFonts w:ascii="Arial" w:hAnsi="Arial"/>
          <w:noProof w:val="0"/>
          <w:rtl/>
        </w:rPr>
      </w:pPr>
    </w:p>
    <w:p w14:paraId="5676DFE5" w14:textId="77777777" w:rsidR="00E753D8" w:rsidRDefault="00E753D8" w:rsidP="00E753D8">
      <w:pPr>
        <w:spacing w:line="360" w:lineRule="auto"/>
        <w:jc w:val="both"/>
        <w:rPr>
          <w:rFonts w:ascii="Arial" w:hAnsi="Arial"/>
          <w:noProof w:val="0"/>
          <w:rtl/>
        </w:rPr>
      </w:pPr>
      <w:r>
        <w:rPr>
          <w:rFonts w:ascii="Arial" w:hAnsi="Arial" w:hint="cs"/>
          <w:b/>
          <w:bCs/>
          <w:noProof w:val="0"/>
          <w:rtl/>
        </w:rPr>
        <w:t>כתב האישום והסדר הטיעון</w:t>
      </w:r>
    </w:p>
    <w:p w14:paraId="297842B6" w14:textId="77777777" w:rsidR="00E753D8" w:rsidRDefault="00E753D8" w:rsidP="00E753D8">
      <w:pPr>
        <w:spacing w:line="360" w:lineRule="auto"/>
        <w:jc w:val="both"/>
        <w:rPr>
          <w:rFonts w:ascii="Arial" w:hAnsi="Arial"/>
          <w:noProof w:val="0"/>
          <w:rtl/>
        </w:rPr>
      </w:pPr>
    </w:p>
    <w:p w14:paraId="05A416E3" w14:textId="77777777" w:rsidR="00E753D8" w:rsidRPr="00423582" w:rsidRDefault="00E753D8" w:rsidP="00E753D8">
      <w:pPr>
        <w:spacing w:line="360" w:lineRule="auto"/>
        <w:jc w:val="both"/>
        <w:rPr>
          <w:rFonts w:ascii="Arial" w:hAnsi="Arial"/>
          <w:noProof w:val="0"/>
          <w:rtl/>
        </w:rPr>
      </w:pPr>
      <w:bookmarkStart w:id="6" w:name="ABSTRACT_START"/>
      <w:bookmarkEnd w:id="6"/>
      <w:r>
        <w:rPr>
          <w:rFonts w:ascii="Arial" w:hAnsi="Arial" w:hint="cs"/>
          <w:noProof w:val="0"/>
          <w:rtl/>
        </w:rPr>
        <w:t xml:space="preserve">הנאשם שלפני נותן את הדין בגין עבירה </w:t>
      </w:r>
      <w:r>
        <w:rPr>
          <w:rtl/>
        </w:rPr>
        <w:t>של סחר בסם מסוכן</w:t>
      </w:r>
      <w:r>
        <w:rPr>
          <w:rFonts w:hint="cs"/>
          <w:rtl/>
        </w:rPr>
        <w:t>, בניגוד</w:t>
      </w:r>
      <w:r>
        <w:rPr>
          <w:rtl/>
        </w:rPr>
        <w:t xml:space="preserve"> </w:t>
      </w:r>
      <w:hyperlink r:id="rId13" w:history="1">
        <w:r w:rsidR="009E5064" w:rsidRPr="009E5064">
          <w:rPr>
            <w:rStyle w:val="Hyperlink"/>
            <w:rtl/>
          </w:rPr>
          <w:t>לסעיף 13</w:t>
        </w:r>
      </w:hyperlink>
      <w:r>
        <w:rPr>
          <w:rtl/>
        </w:rPr>
        <w:t xml:space="preserve"> +</w:t>
      </w:r>
      <w:hyperlink r:id="rId14" w:history="1">
        <w:r w:rsidR="009E5064" w:rsidRPr="009E5064">
          <w:rPr>
            <w:rStyle w:val="Hyperlink"/>
            <w:rtl/>
          </w:rPr>
          <w:t>19א</w:t>
        </w:r>
      </w:hyperlink>
      <w:r>
        <w:rPr>
          <w:rtl/>
        </w:rPr>
        <w:t xml:space="preserve"> ב</w:t>
      </w:r>
      <w:hyperlink r:id="rId15" w:history="1">
        <w:r w:rsidR="00DE25E4" w:rsidRPr="00DE25E4">
          <w:rPr>
            <w:color w:val="0000FF"/>
            <w:u w:val="single"/>
            <w:rtl/>
          </w:rPr>
          <w:t>פקודת הסמים המסוכנים</w:t>
        </w:r>
      </w:hyperlink>
      <w:r>
        <w:rPr>
          <w:rtl/>
        </w:rPr>
        <w:t xml:space="preserve"> [נוסח חדש] תשל"ג – 1973.</w:t>
      </w:r>
    </w:p>
    <w:p w14:paraId="030EC2FB" w14:textId="77777777" w:rsidR="00E753D8" w:rsidRDefault="00E753D8" w:rsidP="00E753D8">
      <w:pPr>
        <w:spacing w:line="360" w:lineRule="auto"/>
        <w:jc w:val="both"/>
        <w:rPr>
          <w:rFonts w:ascii="Arial" w:hAnsi="Arial"/>
          <w:noProof w:val="0"/>
          <w:rtl/>
        </w:rPr>
      </w:pPr>
    </w:p>
    <w:p w14:paraId="685AD9B8" w14:textId="77777777" w:rsidR="00E753D8" w:rsidRDefault="00E753D8" w:rsidP="00E753D8">
      <w:pPr>
        <w:spacing w:line="360" w:lineRule="auto"/>
        <w:jc w:val="both"/>
        <w:rPr>
          <w:rFonts w:ascii="Arial" w:hAnsi="Arial"/>
          <w:noProof w:val="0"/>
          <w:rtl/>
        </w:rPr>
      </w:pPr>
      <w:r>
        <w:rPr>
          <w:rFonts w:ascii="Arial" w:hAnsi="Arial" w:hint="cs"/>
          <w:noProof w:val="0"/>
          <w:rtl/>
        </w:rPr>
        <w:t>בהתאם לעובדות כתב האישום המתוקן כא/1, במועד הרלוונטי לכתב האישום, שימש ס"ח 174 (להלן: "הסוכן") כסוכן במשטרה צבאית בפעילות נגד סוחרי סמים בצה"ל (להלן: "הפעילות").</w:t>
      </w:r>
    </w:p>
    <w:p w14:paraId="005F4D14" w14:textId="77777777" w:rsidR="00E753D8" w:rsidRDefault="00E753D8" w:rsidP="00E753D8">
      <w:pPr>
        <w:spacing w:line="360" w:lineRule="auto"/>
        <w:jc w:val="both"/>
        <w:rPr>
          <w:rFonts w:ascii="Arial" w:hAnsi="Arial"/>
          <w:noProof w:val="0"/>
          <w:rtl/>
        </w:rPr>
      </w:pPr>
      <w:bookmarkStart w:id="7" w:name="ABSTRACT_END"/>
      <w:bookmarkEnd w:id="7"/>
    </w:p>
    <w:p w14:paraId="631CAB97" w14:textId="77777777" w:rsidR="00E753D8" w:rsidRDefault="00E753D8" w:rsidP="00E753D8">
      <w:pPr>
        <w:spacing w:line="360" w:lineRule="auto"/>
        <w:jc w:val="both"/>
        <w:rPr>
          <w:rFonts w:ascii="Arial" w:hAnsi="Arial"/>
          <w:noProof w:val="0"/>
          <w:rtl/>
        </w:rPr>
      </w:pPr>
      <w:r>
        <w:rPr>
          <w:rFonts w:ascii="Arial" w:hAnsi="Arial" w:hint="cs"/>
          <w:noProof w:val="0"/>
          <w:rtl/>
        </w:rPr>
        <w:t>במועד הרלוונטי לכתב האישום, התנדבו הסוכן והחייל ליאור אטיאס (להלן: "ליאור") בבית אבות מתנ"ס לוין בבאר שבע (להלן: "בית אבות").</w:t>
      </w:r>
    </w:p>
    <w:p w14:paraId="5DEFA9F4" w14:textId="77777777" w:rsidR="00E753D8" w:rsidRDefault="00E753D8" w:rsidP="00E753D8">
      <w:pPr>
        <w:spacing w:line="360" w:lineRule="auto"/>
        <w:jc w:val="both"/>
        <w:rPr>
          <w:rFonts w:ascii="Arial" w:hAnsi="Arial"/>
          <w:noProof w:val="0"/>
          <w:rtl/>
        </w:rPr>
      </w:pPr>
    </w:p>
    <w:p w14:paraId="4E57E5A8" w14:textId="77777777" w:rsidR="00E753D8" w:rsidRDefault="00E753D8" w:rsidP="00E753D8">
      <w:pPr>
        <w:spacing w:line="360" w:lineRule="auto"/>
        <w:jc w:val="both"/>
        <w:rPr>
          <w:rFonts w:ascii="Arial" w:hAnsi="Arial"/>
          <w:noProof w:val="0"/>
          <w:rtl/>
        </w:rPr>
      </w:pPr>
      <w:r>
        <w:rPr>
          <w:rFonts w:ascii="Arial" w:hAnsi="Arial" w:hint="cs"/>
          <w:noProof w:val="0"/>
          <w:rtl/>
        </w:rPr>
        <w:t>במסגרת הפעילות, ביום 19.04.21, בסמוך לשעה 09:30, בבית האבות, במהלך שיחה בין הסוכן לליאור, סיפר ליאור לסוכן, כי הוא נוהג לעשן "באנגים" כל בוקר וכי הוא אוהב לעשן עם חברים ושזה מרגיע אותו. הסוכן שאל את ליאור אם ה"חומר" אצלם טוב וזה ענה לו בחיוב והראה לו תמונות ומחירים של סמים דרך מכשיר הנייד שלו מתוך קבוצה המצויה ביישומון "טלגרם".</w:t>
      </w:r>
    </w:p>
    <w:p w14:paraId="1D124D14" w14:textId="77777777" w:rsidR="00E753D8" w:rsidRDefault="00E753D8" w:rsidP="00E753D8">
      <w:pPr>
        <w:spacing w:line="360" w:lineRule="auto"/>
        <w:jc w:val="both"/>
        <w:rPr>
          <w:rFonts w:ascii="Arial" w:hAnsi="Arial"/>
          <w:noProof w:val="0"/>
          <w:rtl/>
        </w:rPr>
      </w:pPr>
    </w:p>
    <w:p w14:paraId="6223B315" w14:textId="77777777" w:rsidR="00E753D8" w:rsidRDefault="00E753D8" w:rsidP="00E753D8">
      <w:pPr>
        <w:spacing w:line="360" w:lineRule="auto"/>
        <w:jc w:val="both"/>
        <w:rPr>
          <w:rFonts w:ascii="Arial" w:hAnsi="Arial"/>
          <w:noProof w:val="0"/>
          <w:rtl/>
        </w:rPr>
      </w:pPr>
      <w:r>
        <w:rPr>
          <w:rFonts w:ascii="Arial" w:hAnsi="Arial" w:hint="cs"/>
          <w:noProof w:val="0"/>
          <w:rtl/>
        </w:rPr>
        <w:t>בהמשך למתואר לעיל, שאל הסוכן את ליאור האם הוא יכול לסדר לו "עשירייה טעימה", כאשר הוא מתכוון לעשרה גרם של סם מסוג קנאביס. בתגובה, ענה לו ליאור שכן, אם הוא רוצה הוא יסדר לו והסוכן אמר לו כי הוא בודק משהו ויחזיר לו תשובה.</w:t>
      </w:r>
    </w:p>
    <w:p w14:paraId="0E9A1D06" w14:textId="77777777" w:rsidR="00E753D8" w:rsidRDefault="00E753D8" w:rsidP="00E753D8">
      <w:pPr>
        <w:spacing w:line="360" w:lineRule="auto"/>
        <w:jc w:val="both"/>
        <w:rPr>
          <w:rFonts w:ascii="Arial" w:hAnsi="Arial"/>
          <w:noProof w:val="0"/>
          <w:rtl/>
        </w:rPr>
      </w:pPr>
    </w:p>
    <w:p w14:paraId="49583457" w14:textId="77777777" w:rsidR="00E753D8" w:rsidRDefault="00E753D8" w:rsidP="00E753D8">
      <w:pPr>
        <w:spacing w:line="360" w:lineRule="auto"/>
        <w:jc w:val="both"/>
        <w:rPr>
          <w:rFonts w:ascii="Arial" w:hAnsi="Arial"/>
          <w:noProof w:val="0"/>
          <w:rtl/>
        </w:rPr>
      </w:pPr>
      <w:r>
        <w:rPr>
          <w:rFonts w:ascii="Arial" w:hAnsi="Arial" w:hint="cs"/>
          <w:noProof w:val="0"/>
          <w:rtl/>
        </w:rPr>
        <w:t>בהמשך למתואר לעיל, הודיע הסוכן לליאור, כי הוא מעוניין לקנות סמים וליאור ענה לו כי אין בעיה ושהוא יסדר לו.</w:t>
      </w:r>
    </w:p>
    <w:p w14:paraId="57DCBA2E" w14:textId="77777777" w:rsidR="00E753D8" w:rsidRDefault="00E753D8" w:rsidP="00E753D8">
      <w:pPr>
        <w:spacing w:line="360" w:lineRule="auto"/>
        <w:jc w:val="both"/>
        <w:rPr>
          <w:rFonts w:ascii="Arial" w:hAnsi="Arial"/>
          <w:noProof w:val="0"/>
          <w:rtl/>
        </w:rPr>
      </w:pPr>
    </w:p>
    <w:p w14:paraId="49DF68FA" w14:textId="77777777" w:rsidR="00E753D8" w:rsidRDefault="00E753D8" w:rsidP="00E753D8">
      <w:pPr>
        <w:spacing w:line="360" w:lineRule="auto"/>
        <w:jc w:val="both"/>
        <w:rPr>
          <w:rFonts w:ascii="Arial" w:hAnsi="Arial"/>
          <w:noProof w:val="0"/>
          <w:rtl/>
        </w:rPr>
      </w:pPr>
      <w:r>
        <w:rPr>
          <w:rFonts w:ascii="Arial" w:hAnsi="Arial" w:hint="cs"/>
          <w:noProof w:val="0"/>
          <w:rtl/>
        </w:rPr>
        <w:t>בהמשך לכך, צלצל הטלפון הנייד של ליאור, ליאור אמר לסוכן "זה הבן אדם שלי", אך לא ענה לשיחה. לאחר מספר דקות, שוב צלצל הטלפון הנייד של ליאור והסוכן הבחין, כי מדובר באותו מספר ממנו התקשרו קודם לכן, כאשר ליאור ענה לטלפון ואמר לאדם הנמצא בקו השני כי הוא "כמה דקות אצלו".</w:t>
      </w:r>
    </w:p>
    <w:p w14:paraId="1ACB18BD" w14:textId="77777777" w:rsidR="00E753D8" w:rsidRDefault="00E753D8" w:rsidP="00E753D8">
      <w:pPr>
        <w:spacing w:line="360" w:lineRule="auto"/>
        <w:jc w:val="both"/>
        <w:rPr>
          <w:rFonts w:ascii="Arial" w:hAnsi="Arial"/>
          <w:noProof w:val="0"/>
          <w:rtl/>
        </w:rPr>
      </w:pPr>
    </w:p>
    <w:p w14:paraId="7C80BCEF" w14:textId="77777777" w:rsidR="00E753D8" w:rsidRDefault="00E753D8" w:rsidP="00E753D8">
      <w:pPr>
        <w:spacing w:line="360" w:lineRule="auto"/>
        <w:jc w:val="both"/>
        <w:rPr>
          <w:rFonts w:ascii="Arial" w:hAnsi="Arial"/>
          <w:noProof w:val="0"/>
          <w:rtl/>
        </w:rPr>
      </w:pPr>
      <w:r>
        <w:rPr>
          <w:rFonts w:ascii="Arial" w:hAnsi="Arial" w:hint="cs"/>
          <w:noProof w:val="0"/>
          <w:rtl/>
        </w:rPr>
        <w:t>בהמשך לכך, סמוך לשעה 12:50, סיימו הסוכן וליאור את עבודתם בבית האבות ונסעו יחד ברכבו של הסוכן לביתו של ליאור, שברחוב גיורא יוספטל בבאר שבע (להלן: "המקום").</w:t>
      </w:r>
    </w:p>
    <w:p w14:paraId="71DD1874" w14:textId="77777777" w:rsidR="00E753D8" w:rsidRDefault="00E753D8" w:rsidP="00E753D8">
      <w:pPr>
        <w:spacing w:line="360" w:lineRule="auto"/>
        <w:jc w:val="both"/>
        <w:rPr>
          <w:rFonts w:ascii="Arial" w:hAnsi="Arial"/>
          <w:noProof w:val="0"/>
          <w:rtl/>
        </w:rPr>
      </w:pPr>
    </w:p>
    <w:p w14:paraId="4A000F41" w14:textId="77777777" w:rsidR="00E753D8" w:rsidRDefault="00E753D8" w:rsidP="00E753D8">
      <w:pPr>
        <w:spacing w:line="360" w:lineRule="auto"/>
        <w:jc w:val="both"/>
        <w:rPr>
          <w:rFonts w:ascii="Arial" w:hAnsi="Arial"/>
          <w:noProof w:val="0"/>
          <w:rtl/>
        </w:rPr>
      </w:pPr>
      <w:r>
        <w:rPr>
          <w:rFonts w:ascii="Arial" w:hAnsi="Arial" w:hint="cs"/>
          <w:noProof w:val="0"/>
          <w:rtl/>
        </w:rPr>
        <w:t>הסוכן וליאור הגיעו לחניה שבמקום, אז הצביע ליאור על רכב מסוג מאסדה 2 (להלן: "הרכב"), בו ישב הנאשם עם אחרת, שזהותה אינה ידועה, תוך שהוא אומר לסוכן שזה הבחור.</w:t>
      </w:r>
    </w:p>
    <w:p w14:paraId="7F5606DA" w14:textId="77777777" w:rsidR="00E753D8" w:rsidRDefault="00E753D8" w:rsidP="00E753D8">
      <w:pPr>
        <w:spacing w:line="360" w:lineRule="auto"/>
        <w:jc w:val="both"/>
        <w:rPr>
          <w:rFonts w:ascii="Arial" w:hAnsi="Arial"/>
          <w:noProof w:val="0"/>
          <w:rtl/>
        </w:rPr>
      </w:pPr>
    </w:p>
    <w:p w14:paraId="2251DC06" w14:textId="77777777" w:rsidR="00E753D8" w:rsidRDefault="00E753D8" w:rsidP="00E753D8">
      <w:pPr>
        <w:spacing w:line="360" w:lineRule="auto"/>
        <w:jc w:val="both"/>
        <w:rPr>
          <w:rFonts w:ascii="Arial" w:hAnsi="Arial"/>
          <w:noProof w:val="0"/>
          <w:rtl/>
        </w:rPr>
      </w:pPr>
      <w:r>
        <w:rPr>
          <w:rFonts w:ascii="Arial" w:hAnsi="Arial" w:hint="cs"/>
          <w:noProof w:val="0"/>
          <w:rtl/>
        </w:rPr>
        <w:t>בתוך כך, אמר הסוכן לליאור, כי הוא רוצה לראות את הסמים לפני שהוא מוסר את הכסף, ליאור השיב לסוכן שאין בעיה, ניגש לרכב ושוחח עם הנאשם.</w:t>
      </w:r>
    </w:p>
    <w:p w14:paraId="39728B5A" w14:textId="77777777" w:rsidR="00E753D8" w:rsidRDefault="00E753D8" w:rsidP="00E753D8">
      <w:pPr>
        <w:spacing w:line="360" w:lineRule="auto"/>
        <w:jc w:val="both"/>
        <w:rPr>
          <w:rFonts w:ascii="Arial" w:hAnsi="Arial"/>
          <w:noProof w:val="0"/>
          <w:rtl/>
        </w:rPr>
      </w:pPr>
    </w:p>
    <w:p w14:paraId="7A58C5DF" w14:textId="77777777" w:rsidR="00E753D8" w:rsidRDefault="00E753D8" w:rsidP="00E753D8">
      <w:pPr>
        <w:spacing w:line="360" w:lineRule="auto"/>
        <w:jc w:val="both"/>
        <w:rPr>
          <w:rFonts w:ascii="Arial" w:hAnsi="Arial"/>
          <w:noProof w:val="0"/>
          <w:rtl/>
        </w:rPr>
      </w:pPr>
      <w:r>
        <w:rPr>
          <w:rFonts w:ascii="Arial" w:hAnsi="Arial" w:hint="cs"/>
          <w:noProof w:val="0"/>
          <w:rtl/>
        </w:rPr>
        <w:t>מיד לאחר מכן, חזר ליאור לסוכן ואמר לו שלא יוכל לראות את הסמים, כיוון שהם במעטפה סגורה. הסוכן שאל את ליאור האם הוא יכול לגשת לבחור שלו ונענה בחיוב. השניים נכנסו לרכב של הסוכן והתקדמו כ-20 מטר לעבר הרכב בו ישב הנאשם.</w:t>
      </w:r>
    </w:p>
    <w:p w14:paraId="3AABF579" w14:textId="77777777" w:rsidR="00E753D8" w:rsidRDefault="00E753D8" w:rsidP="00E753D8">
      <w:pPr>
        <w:spacing w:line="360" w:lineRule="auto"/>
        <w:jc w:val="both"/>
        <w:rPr>
          <w:rFonts w:ascii="Arial" w:hAnsi="Arial"/>
          <w:noProof w:val="0"/>
          <w:rtl/>
        </w:rPr>
      </w:pPr>
    </w:p>
    <w:p w14:paraId="71F4E75D" w14:textId="77777777" w:rsidR="00E753D8" w:rsidRDefault="00E753D8" w:rsidP="00E753D8">
      <w:pPr>
        <w:spacing w:line="360" w:lineRule="auto"/>
        <w:jc w:val="both"/>
        <w:rPr>
          <w:rFonts w:ascii="Arial" w:hAnsi="Arial"/>
          <w:noProof w:val="0"/>
          <w:rtl/>
        </w:rPr>
      </w:pPr>
      <w:r>
        <w:rPr>
          <w:rFonts w:ascii="Arial" w:hAnsi="Arial" w:hint="cs"/>
          <w:noProof w:val="0"/>
          <w:rtl/>
        </w:rPr>
        <w:lastRenderedPageBreak/>
        <w:t>הסוכן עצר את רכבו, כאשר החלון שלו מקביל לחלון של הנאשם, בירך את הנאשם לשלום, ושאל אם ה"עניין" אצלו.</w:t>
      </w:r>
    </w:p>
    <w:p w14:paraId="5B5CD4C4" w14:textId="77777777" w:rsidR="00E753D8" w:rsidRDefault="00E753D8" w:rsidP="00E753D8">
      <w:pPr>
        <w:spacing w:line="360" w:lineRule="auto"/>
        <w:jc w:val="both"/>
        <w:rPr>
          <w:rFonts w:ascii="Arial" w:hAnsi="Arial"/>
          <w:noProof w:val="0"/>
          <w:rtl/>
        </w:rPr>
      </w:pPr>
    </w:p>
    <w:p w14:paraId="135B5852" w14:textId="77777777" w:rsidR="00E753D8" w:rsidRDefault="00E753D8" w:rsidP="00E753D8">
      <w:pPr>
        <w:spacing w:line="360" w:lineRule="auto"/>
        <w:jc w:val="both"/>
        <w:rPr>
          <w:rFonts w:ascii="Arial" w:hAnsi="Arial"/>
          <w:noProof w:val="0"/>
          <w:rtl/>
        </w:rPr>
      </w:pPr>
      <w:r>
        <w:rPr>
          <w:rFonts w:ascii="Arial" w:hAnsi="Arial" w:hint="cs"/>
          <w:noProof w:val="0"/>
          <w:rtl/>
        </w:rPr>
        <w:t>לאחר שהנאשם ענה לסוכן בחיוב, הוציא הסוכן מכיס מכנסיו סך של 700 ₪ (להלן: "הכסף") והעביר אותם לליאור, והשניים החלו לספור את הכסף.</w:t>
      </w:r>
    </w:p>
    <w:p w14:paraId="3257F198" w14:textId="77777777" w:rsidR="00E753D8" w:rsidRDefault="00E753D8" w:rsidP="00E753D8">
      <w:pPr>
        <w:spacing w:line="360" w:lineRule="auto"/>
        <w:jc w:val="both"/>
        <w:rPr>
          <w:rFonts w:ascii="Arial" w:hAnsi="Arial"/>
          <w:noProof w:val="0"/>
          <w:rtl/>
        </w:rPr>
      </w:pPr>
    </w:p>
    <w:p w14:paraId="72DC29B6" w14:textId="77777777" w:rsidR="00E753D8" w:rsidRDefault="00E753D8" w:rsidP="00E753D8">
      <w:pPr>
        <w:spacing w:line="360" w:lineRule="auto"/>
        <w:jc w:val="both"/>
        <w:rPr>
          <w:rFonts w:ascii="Arial" w:hAnsi="Arial"/>
          <w:noProof w:val="0"/>
          <w:rtl/>
        </w:rPr>
      </w:pPr>
      <w:r>
        <w:rPr>
          <w:rFonts w:ascii="Arial" w:hAnsi="Arial" w:hint="cs"/>
          <w:noProof w:val="0"/>
          <w:rtl/>
        </w:rPr>
        <w:t>בתוך כך, העביר הנאשם לסוכן מעטפה, בה היו 2 שקיות שקופות, ובהן סם מסוכן מסוג קנאביס. הסוכן שאל את הנאשם האם זה שקול, שכן אין לו משקל, והנאשם ענה לו בתגובה, כי בכל שקית יש 5 גרם.</w:t>
      </w:r>
    </w:p>
    <w:p w14:paraId="03390EA0" w14:textId="77777777" w:rsidR="00E753D8" w:rsidRDefault="00E753D8" w:rsidP="00E753D8">
      <w:pPr>
        <w:spacing w:line="360" w:lineRule="auto"/>
        <w:jc w:val="both"/>
        <w:rPr>
          <w:rFonts w:ascii="Arial" w:hAnsi="Arial"/>
          <w:noProof w:val="0"/>
          <w:rtl/>
        </w:rPr>
      </w:pPr>
    </w:p>
    <w:p w14:paraId="3EF2CBFE" w14:textId="77777777" w:rsidR="00E753D8" w:rsidRDefault="00E753D8" w:rsidP="00E753D8">
      <w:pPr>
        <w:spacing w:line="360" w:lineRule="auto"/>
        <w:jc w:val="both"/>
        <w:rPr>
          <w:rFonts w:ascii="Arial" w:hAnsi="Arial"/>
          <w:noProof w:val="0"/>
          <w:rtl/>
        </w:rPr>
      </w:pPr>
      <w:r>
        <w:rPr>
          <w:rFonts w:ascii="Arial" w:hAnsi="Arial" w:hint="cs"/>
          <w:noProof w:val="0"/>
          <w:rtl/>
        </w:rPr>
        <w:t>בתוך כך, נטל הסוכן מליאור את הכסף והעביר אותו לנאשם. הנאשם ספר את הכסף והחזיר לסוכן שטר של 50 ₪ בחזרה.</w:t>
      </w:r>
    </w:p>
    <w:p w14:paraId="0388AE24" w14:textId="77777777" w:rsidR="00E753D8" w:rsidRDefault="00E753D8" w:rsidP="00E753D8">
      <w:pPr>
        <w:spacing w:line="360" w:lineRule="auto"/>
        <w:jc w:val="both"/>
        <w:rPr>
          <w:rFonts w:ascii="Arial" w:hAnsi="Arial"/>
          <w:noProof w:val="0"/>
          <w:rtl/>
        </w:rPr>
      </w:pPr>
    </w:p>
    <w:p w14:paraId="2D8D3D8C" w14:textId="77777777" w:rsidR="00E753D8" w:rsidRDefault="00E753D8" w:rsidP="00E753D8">
      <w:pPr>
        <w:spacing w:line="360" w:lineRule="auto"/>
        <w:jc w:val="both"/>
        <w:rPr>
          <w:rFonts w:ascii="Arial" w:hAnsi="Arial"/>
          <w:noProof w:val="0"/>
          <w:rtl/>
        </w:rPr>
      </w:pPr>
      <w:r>
        <w:rPr>
          <w:rFonts w:ascii="Arial" w:hAnsi="Arial" w:hint="cs"/>
          <w:noProof w:val="0"/>
          <w:rtl/>
        </w:rPr>
        <w:t>בעשותו את המתואר, סחר הנאשם בסם מסוכן מסוג קנאביס במשקל 10.5 גרם נטו, בתמורה ל-650 ₪.</w:t>
      </w:r>
    </w:p>
    <w:p w14:paraId="1E7EEC9E" w14:textId="77777777" w:rsidR="00E753D8" w:rsidRDefault="00E753D8" w:rsidP="00E753D8">
      <w:pPr>
        <w:spacing w:line="360" w:lineRule="auto"/>
        <w:jc w:val="both"/>
        <w:rPr>
          <w:rFonts w:ascii="Arial" w:hAnsi="Arial"/>
          <w:noProof w:val="0"/>
          <w:rtl/>
        </w:rPr>
      </w:pPr>
    </w:p>
    <w:p w14:paraId="06482B30" w14:textId="77777777" w:rsidR="00E753D8" w:rsidRDefault="00E753D8" w:rsidP="00E753D8">
      <w:pPr>
        <w:spacing w:line="360" w:lineRule="auto"/>
        <w:jc w:val="both"/>
        <w:rPr>
          <w:rFonts w:ascii="Arial" w:hAnsi="Arial"/>
          <w:noProof w:val="0"/>
          <w:rtl/>
        </w:rPr>
      </w:pPr>
      <w:r>
        <w:rPr>
          <w:rFonts w:ascii="Arial" w:hAnsi="Arial" w:hint="cs"/>
          <w:noProof w:val="0"/>
          <w:rtl/>
        </w:rPr>
        <w:t>בין הצדדים נערך הסדר טיעון, אשר לא כלל הסכמה לענין העונש, תוך שהתביעה הבהירה, כי עמדתה היא מאסר בפועל.</w:t>
      </w:r>
    </w:p>
    <w:p w14:paraId="19AD9659" w14:textId="77777777" w:rsidR="00E753D8" w:rsidRDefault="00E753D8" w:rsidP="00E753D8">
      <w:pPr>
        <w:spacing w:line="360" w:lineRule="auto"/>
        <w:jc w:val="both"/>
        <w:rPr>
          <w:rFonts w:ascii="Arial" w:hAnsi="Arial"/>
          <w:noProof w:val="0"/>
          <w:rtl/>
        </w:rPr>
      </w:pPr>
    </w:p>
    <w:p w14:paraId="336D99DE" w14:textId="77777777" w:rsidR="00E753D8" w:rsidRDefault="00E753D8" w:rsidP="00E753D8">
      <w:pPr>
        <w:spacing w:line="360" w:lineRule="auto"/>
        <w:jc w:val="both"/>
        <w:rPr>
          <w:rFonts w:ascii="Arial" w:hAnsi="Arial"/>
          <w:noProof w:val="0"/>
          <w:rtl/>
        </w:rPr>
      </w:pPr>
      <w:r>
        <w:rPr>
          <w:rFonts w:ascii="Arial" w:hAnsi="Arial" w:hint="cs"/>
          <w:noProof w:val="0"/>
          <w:rtl/>
        </w:rPr>
        <w:t>הנאשם נשלח להערכת שירות המבחן למבוגרים ולאחר קבלת תסקיר, טענו הצדדים לעונש.</w:t>
      </w:r>
    </w:p>
    <w:p w14:paraId="0EB4A2B5" w14:textId="77777777" w:rsidR="00E753D8" w:rsidRDefault="00E753D8" w:rsidP="00E753D8">
      <w:pPr>
        <w:spacing w:line="360" w:lineRule="auto"/>
        <w:jc w:val="both"/>
        <w:rPr>
          <w:rFonts w:ascii="Arial" w:hAnsi="Arial"/>
          <w:noProof w:val="0"/>
          <w:rtl/>
        </w:rPr>
      </w:pPr>
    </w:p>
    <w:p w14:paraId="42D2B10D" w14:textId="77777777" w:rsidR="00E753D8" w:rsidRDefault="00E753D8" w:rsidP="00E753D8">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גזר דין זה.</w:t>
      </w:r>
    </w:p>
    <w:p w14:paraId="27DF1B83" w14:textId="77777777" w:rsidR="00E753D8" w:rsidRDefault="00E753D8" w:rsidP="00E753D8">
      <w:pPr>
        <w:spacing w:line="360" w:lineRule="auto"/>
        <w:jc w:val="both"/>
        <w:rPr>
          <w:rFonts w:ascii="Arial" w:hAnsi="Arial"/>
          <w:noProof w:val="0"/>
          <w:rtl/>
        </w:rPr>
      </w:pPr>
    </w:p>
    <w:p w14:paraId="352F379F" w14:textId="77777777" w:rsidR="00E753D8" w:rsidRDefault="00E753D8" w:rsidP="00E753D8">
      <w:pPr>
        <w:spacing w:line="360" w:lineRule="auto"/>
        <w:jc w:val="both"/>
        <w:rPr>
          <w:rFonts w:ascii="Arial" w:hAnsi="Arial"/>
          <w:noProof w:val="0"/>
          <w:rtl/>
        </w:rPr>
      </w:pPr>
    </w:p>
    <w:p w14:paraId="6F75B017" w14:textId="77777777" w:rsidR="00E753D8" w:rsidRDefault="00E753D8" w:rsidP="00E753D8">
      <w:pPr>
        <w:spacing w:line="360" w:lineRule="auto"/>
        <w:jc w:val="both"/>
        <w:rPr>
          <w:rFonts w:ascii="Arial" w:hAnsi="Arial"/>
          <w:noProof w:val="0"/>
          <w:rtl/>
        </w:rPr>
      </w:pPr>
      <w:r>
        <w:rPr>
          <w:rFonts w:ascii="Arial" w:hAnsi="Arial" w:hint="cs"/>
          <w:b/>
          <w:bCs/>
          <w:noProof w:val="0"/>
          <w:rtl/>
        </w:rPr>
        <w:t>ראיות לעונש</w:t>
      </w:r>
    </w:p>
    <w:p w14:paraId="10F160B0" w14:textId="77777777" w:rsidR="00E753D8" w:rsidRDefault="00E753D8" w:rsidP="00E753D8">
      <w:pPr>
        <w:spacing w:line="360" w:lineRule="auto"/>
        <w:jc w:val="both"/>
        <w:rPr>
          <w:rFonts w:ascii="Arial" w:hAnsi="Arial"/>
          <w:noProof w:val="0"/>
          <w:rtl/>
        </w:rPr>
      </w:pPr>
    </w:p>
    <w:p w14:paraId="1716FD02" w14:textId="77777777" w:rsidR="00E753D8" w:rsidRDefault="00E753D8" w:rsidP="00E753D8">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לא הגישה ראיות לענין העונש במועד שמיעת פרשת העונש.</w:t>
      </w:r>
    </w:p>
    <w:p w14:paraId="67F4EAA0" w14:textId="77777777" w:rsidR="00E753D8" w:rsidRDefault="00E753D8" w:rsidP="00E753D8">
      <w:pPr>
        <w:spacing w:line="360" w:lineRule="auto"/>
        <w:jc w:val="both"/>
        <w:rPr>
          <w:rFonts w:ascii="Arial" w:hAnsi="Arial"/>
          <w:noProof w:val="0"/>
          <w:rtl/>
        </w:rPr>
      </w:pPr>
    </w:p>
    <w:p w14:paraId="39D9DF1B" w14:textId="77777777" w:rsidR="00E753D8" w:rsidRDefault="00E753D8" w:rsidP="00E753D8">
      <w:pPr>
        <w:spacing w:line="360" w:lineRule="auto"/>
        <w:jc w:val="both"/>
        <w:rPr>
          <w:rFonts w:ascii="Arial" w:hAnsi="Arial"/>
          <w:noProof w:val="0"/>
          <w:rtl/>
        </w:rPr>
      </w:pPr>
      <w:r>
        <w:rPr>
          <w:rFonts w:ascii="Arial" w:hAnsi="Arial" w:hint="cs"/>
          <w:noProof w:val="0"/>
          <w:rtl/>
        </w:rPr>
        <w:t>אולם, לאור החלטת בית המשפט מיום 07.11.22, הגישה התביעה את כתב האישום שהוגש נגד המעורב הנוסף בבית הדין הצבאי, המייחס לו מספר סעיפי אישום, בהם: תיווך לסחר בסם מסוכן, סחר בסם מסוכן (שני אישומים), ניסיון לסחר בסם מסוכן, החזקת סם מסוכן וסירוב להיבדק לשם גילוי שרידי סם.</w:t>
      </w:r>
    </w:p>
    <w:p w14:paraId="7650E69F" w14:textId="77777777" w:rsidR="00E753D8" w:rsidRDefault="00E753D8" w:rsidP="00E753D8">
      <w:pPr>
        <w:spacing w:line="360" w:lineRule="auto"/>
        <w:jc w:val="both"/>
        <w:rPr>
          <w:rFonts w:ascii="Arial" w:hAnsi="Arial"/>
          <w:noProof w:val="0"/>
          <w:rtl/>
        </w:rPr>
      </w:pPr>
    </w:p>
    <w:p w14:paraId="18AC5D79" w14:textId="77777777" w:rsidR="00E753D8" w:rsidRDefault="00E753D8" w:rsidP="00E753D8">
      <w:pPr>
        <w:spacing w:line="360" w:lineRule="auto"/>
        <w:jc w:val="both"/>
        <w:rPr>
          <w:rFonts w:ascii="Arial" w:hAnsi="Arial"/>
          <w:noProof w:val="0"/>
          <w:rtl/>
        </w:rPr>
      </w:pPr>
      <w:r>
        <w:rPr>
          <w:rFonts w:ascii="Arial" w:hAnsi="Arial" w:hint="cs"/>
          <w:noProof w:val="0"/>
          <w:rtl/>
        </w:rPr>
        <w:t>עוד צורפו, הכרעת דינו וגזר דינו של המעורב הנוסף, במסגרת הסדר טיעון, אשר כלל הסכמה עונשית כדלקמן: 350 ימי מאסר; מאסר מותנה; פסילת רישיון נהיגה צבאי ואזרחי; קנס בסך 3,000 ₪.</w:t>
      </w:r>
    </w:p>
    <w:p w14:paraId="278A9A3D" w14:textId="77777777" w:rsidR="00E753D8" w:rsidRDefault="00E753D8" w:rsidP="00E753D8">
      <w:pPr>
        <w:spacing w:line="360" w:lineRule="auto"/>
        <w:jc w:val="both"/>
        <w:rPr>
          <w:rFonts w:ascii="Arial" w:hAnsi="Arial"/>
          <w:noProof w:val="0"/>
          <w:rtl/>
        </w:rPr>
      </w:pPr>
    </w:p>
    <w:p w14:paraId="0B4BE13E" w14:textId="77777777" w:rsidR="00E753D8" w:rsidRDefault="00E753D8" w:rsidP="00E753D8">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הגישה, לענין העונש, ראיות כדלקמן:</w:t>
      </w:r>
    </w:p>
    <w:p w14:paraId="790CBB25" w14:textId="77777777" w:rsidR="00E753D8" w:rsidRDefault="00E753D8" w:rsidP="00E753D8">
      <w:pPr>
        <w:spacing w:line="360" w:lineRule="auto"/>
        <w:jc w:val="both"/>
        <w:rPr>
          <w:rFonts w:ascii="Arial" w:hAnsi="Arial"/>
          <w:noProof w:val="0"/>
          <w:rtl/>
        </w:rPr>
      </w:pPr>
    </w:p>
    <w:p w14:paraId="78748069" w14:textId="77777777" w:rsidR="00E753D8" w:rsidRDefault="00E753D8" w:rsidP="00E753D8">
      <w:pPr>
        <w:pStyle w:val="a9"/>
        <w:numPr>
          <w:ilvl w:val="0"/>
          <w:numId w:val="1"/>
        </w:numPr>
        <w:spacing w:line="360" w:lineRule="auto"/>
        <w:jc w:val="both"/>
        <w:rPr>
          <w:rFonts w:ascii="Arial" w:hAnsi="Arial"/>
          <w:noProof w:val="0"/>
        </w:rPr>
      </w:pPr>
      <w:r>
        <w:rPr>
          <w:rFonts w:ascii="Arial" w:hAnsi="Arial" w:hint="cs"/>
          <w:noProof w:val="0"/>
          <w:rtl/>
        </w:rPr>
        <w:t>אישור לימודים של הנאשם במכללת אורין שפלטר (נ/1);</w:t>
      </w:r>
    </w:p>
    <w:p w14:paraId="286F33A8" w14:textId="77777777" w:rsidR="00E753D8" w:rsidRDefault="00E753D8" w:rsidP="00E753D8">
      <w:pPr>
        <w:pStyle w:val="a9"/>
        <w:numPr>
          <w:ilvl w:val="0"/>
          <w:numId w:val="1"/>
        </w:numPr>
        <w:spacing w:line="360" w:lineRule="auto"/>
        <w:jc w:val="both"/>
        <w:rPr>
          <w:rFonts w:ascii="Arial" w:hAnsi="Arial"/>
          <w:noProof w:val="0"/>
        </w:rPr>
      </w:pPr>
      <w:r>
        <w:rPr>
          <w:rFonts w:ascii="Arial" w:hAnsi="Arial" w:hint="cs"/>
          <w:noProof w:val="0"/>
          <w:rtl/>
        </w:rPr>
        <w:t xml:space="preserve">מכתב מאת המעסיק של הנאשם (נ/2) </w:t>
      </w:r>
      <w:r>
        <w:rPr>
          <w:rFonts w:ascii="Arial" w:hAnsi="Arial"/>
          <w:noProof w:val="0"/>
          <w:rtl/>
        </w:rPr>
        <w:t>–</w:t>
      </w:r>
      <w:r>
        <w:rPr>
          <w:rFonts w:ascii="Arial" w:hAnsi="Arial" w:hint="cs"/>
          <w:noProof w:val="0"/>
          <w:rtl/>
        </w:rPr>
        <w:t xml:space="preserve"> לדברי המעסיק, הנאשם עובד כאיש שטח במגוון חברות, אשר חלקן ביטחוניות, והרשעתו עלולה לפגוע ביכולתו לעבוד בחברות אלו.</w:t>
      </w:r>
    </w:p>
    <w:p w14:paraId="4D1D8315" w14:textId="77777777" w:rsidR="00E753D8" w:rsidRDefault="00E753D8" w:rsidP="00E753D8">
      <w:pPr>
        <w:spacing w:line="360" w:lineRule="auto"/>
        <w:jc w:val="both"/>
        <w:rPr>
          <w:rFonts w:ascii="Arial" w:hAnsi="Arial"/>
          <w:noProof w:val="0"/>
          <w:rtl/>
        </w:rPr>
      </w:pPr>
    </w:p>
    <w:p w14:paraId="003A8850" w14:textId="77777777" w:rsidR="00E753D8" w:rsidRDefault="00E753D8" w:rsidP="00E753D8">
      <w:pPr>
        <w:spacing w:line="360" w:lineRule="auto"/>
        <w:jc w:val="both"/>
        <w:rPr>
          <w:rFonts w:ascii="Arial" w:hAnsi="Arial"/>
          <w:noProof w:val="0"/>
          <w:rtl/>
        </w:rPr>
      </w:pPr>
      <w:r>
        <w:rPr>
          <w:rFonts w:ascii="Arial" w:hAnsi="Arial" w:hint="cs"/>
          <w:b/>
          <w:bCs/>
          <w:noProof w:val="0"/>
          <w:rtl/>
        </w:rPr>
        <w:t>הערכת שירות המבחן למבוגרים</w:t>
      </w:r>
    </w:p>
    <w:p w14:paraId="608C03B5" w14:textId="77777777" w:rsidR="00E753D8" w:rsidRDefault="00E753D8" w:rsidP="00E753D8">
      <w:pPr>
        <w:spacing w:line="360" w:lineRule="auto"/>
        <w:jc w:val="both"/>
        <w:rPr>
          <w:rFonts w:ascii="Arial" w:hAnsi="Arial"/>
          <w:noProof w:val="0"/>
          <w:rtl/>
        </w:rPr>
      </w:pPr>
    </w:p>
    <w:p w14:paraId="76771BC1" w14:textId="77777777" w:rsidR="00E753D8" w:rsidRDefault="00E753D8" w:rsidP="00E753D8">
      <w:pPr>
        <w:spacing w:line="360" w:lineRule="auto"/>
        <w:jc w:val="both"/>
        <w:rPr>
          <w:rFonts w:ascii="Arial" w:hAnsi="Arial"/>
          <w:noProof w:val="0"/>
          <w:rtl/>
        </w:rPr>
      </w:pPr>
      <w:r>
        <w:rPr>
          <w:rFonts w:ascii="Arial" w:hAnsi="Arial" w:hint="cs"/>
          <w:noProof w:val="0"/>
          <w:rtl/>
        </w:rPr>
        <w:t>בענינו של הנאשם הוגשו תסקירים המפרטים את נסיבותיו האישיות, כבן 32, נשוי, אב לילדה בת 6 מנישואיו הראשונים.</w:t>
      </w:r>
    </w:p>
    <w:p w14:paraId="5270C402" w14:textId="77777777" w:rsidR="00E753D8" w:rsidRDefault="00E753D8" w:rsidP="00E753D8">
      <w:pPr>
        <w:spacing w:line="360" w:lineRule="auto"/>
        <w:jc w:val="both"/>
        <w:rPr>
          <w:rFonts w:ascii="Arial" w:hAnsi="Arial"/>
          <w:noProof w:val="0"/>
          <w:rtl/>
        </w:rPr>
      </w:pPr>
    </w:p>
    <w:p w14:paraId="4B1C552C" w14:textId="77777777" w:rsidR="00E753D8" w:rsidRDefault="00E753D8" w:rsidP="00E753D8">
      <w:pPr>
        <w:spacing w:line="360" w:lineRule="auto"/>
        <w:jc w:val="both"/>
        <w:rPr>
          <w:rFonts w:ascii="Arial" w:hAnsi="Arial"/>
          <w:noProof w:val="0"/>
          <w:rtl/>
        </w:rPr>
      </w:pPr>
      <w:r>
        <w:rPr>
          <w:rFonts w:ascii="Arial" w:hAnsi="Arial" w:hint="cs"/>
          <w:noProof w:val="0"/>
          <w:rtl/>
        </w:rPr>
        <w:t>הנאשם שיתף, כי טרם מעצרו, התקיים מקצבת אבטלה מהמוסד לביטוח לאומי, לאחר שפוטר מעבודתו כסוכן רכב בחברת אלבר, עקב משבר הקורונה.</w:t>
      </w:r>
    </w:p>
    <w:p w14:paraId="18FC47A9" w14:textId="77777777" w:rsidR="00E753D8" w:rsidRDefault="00E753D8" w:rsidP="00E753D8">
      <w:pPr>
        <w:spacing w:line="360" w:lineRule="auto"/>
        <w:jc w:val="both"/>
        <w:rPr>
          <w:rFonts w:ascii="Arial" w:hAnsi="Arial"/>
          <w:noProof w:val="0"/>
          <w:rtl/>
        </w:rPr>
      </w:pPr>
    </w:p>
    <w:p w14:paraId="2155ED99" w14:textId="77777777" w:rsidR="00E753D8" w:rsidRDefault="00E753D8" w:rsidP="00E753D8">
      <w:pPr>
        <w:spacing w:line="360" w:lineRule="auto"/>
        <w:jc w:val="both"/>
        <w:rPr>
          <w:rFonts w:ascii="Arial" w:hAnsi="Arial"/>
          <w:noProof w:val="0"/>
          <w:rtl/>
        </w:rPr>
      </w:pPr>
      <w:r>
        <w:rPr>
          <w:rFonts w:ascii="Arial" w:hAnsi="Arial" w:hint="cs"/>
          <w:noProof w:val="0"/>
          <w:rtl/>
        </w:rPr>
        <w:t>הנאשם סיים 10 שנות לימוד, ללא תעודת בגרות ושלל בעיות משמעת או התנהגות במסגרות הלימוד.</w:t>
      </w:r>
    </w:p>
    <w:p w14:paraId="7888B9D4" w14:textId="77777777" w:rsidR="00E753D8" w:rsidRDefault="00E753D8" w:rsidP="00E753D8">
      <w:pPr>
        <w:spacing w:line="360" w:lineRule="auto"/>
        <w:jc w:val="both"/>
        <w:rPr>
          <w:rFonts w:ascii="Arial" w:hAnsi="Arial"/>
          <w:noProof w:val="0"/>
          <w:rtl/>
        </w:rPr>
      </w:pPr>
    </w:p>
    <w:p w14:paraId="304E0383" w14:textId="77777777" w:rsidR="00E753D8" w:rsidRDefault="00E753D8" w:rsidP="00E753D8">
      <w:pPr>
        <w:spacing w:line="360" w:lineRule="auto"/>
        <w:jc w:val="both"/>
        <w:rPr>
          <w:rFonts w:ascii="Arial" w:hAnsi="Arial"/>
          <w:noProof w:val="0"/>
          <w:rtl/>
        </w:rPr>
      </w:pPr>
      <w:r>
        <w:rPr>
          <w:rFonts w:ascii="Arial" w:hAnsi="Arial" w:hint="cs"/>
          <w:noProof w:val="0"/>
          <w:rtl/>
        </w:rPr>
        <w:t>הנאשם אובחן עם לקויות למידה, על כן נטל ריטלין ושולב במסגרת לימודים בכתה קטנה.</w:t>
      </w:r>
    </w:p>
    <w:p w14:paraId="3BE9780E" w14:textId="77777777" w:rsidR="00E753D8" w:rsidRDefault="00E753D8" w:rsidP="00E753D8">
      <w:pPr>
        <w:spacing w:line="360" w:lineRule="auto"/>
        <w:jc w:val="both"/>
        <w:rPr>
          <w:rFonts w:ascii="Arial" w:hAnsi="Arial"/>
          <w:noProof w:val="0"/>
          <w:rtl/>
        </w:rPr>
      </w:pPr>
    </w:p>
    <w:p w14:paraId="06AF8529" w14:textId="77777777" w:rsidR="00E753D8" w:rsidRDefault="00E753D8" w:rsidP="00E753D8">
      <w:pPr>
        <w:spacing w:line="360" w:lineRule="auto"/>
        <w:jc w:val="both"/>
        <w:rPr>
          <w:rFonts w:ascii="Arial" w:hAnsi="Arial"/>
          <w:noProof w:val="0"/>
          <w:rtl/>
        </w:rPr>
      </w:pPr>
      <w:r>
        <w:rPr>
          <w:rFonts w:ascii="Arial" w:hAnsi="Arial" w:hint="cs"/>
          <w:noProof w:val="0"/>
          <w:rtl/>
        </w:rPr>
        <w:t>תחילה, לא התייצב הנאשם לצווי הגיוס שלו, אולם בהמשך, אותר על ידי גורמי הצבא, גויס לצבא במסגרת פרויקט מקא"מ ושובץ בתפקיד ספר בבסיס טירונים ניצנים.</w:t>
      </w:r>
    </w:p>
    <w:p w14:paraId="169421BB" w14:textId="77777777" w:rsidR="00E753D8" w:rsidRDefault="00E753D8" w:rsidP="00E753D8">
      <w:pPr>
        <w:spacing w:line="360" w:lineRule="auto"/>
        <w:jc w:val="both"/>
        <w:rPr>
          <w:rFonts w:ascii="Arial" w:hAnsi="Arial"/>
          <w:noProof w:val="0"/>
          <w:rtl/>
        </w:rPr>
      </w:pPr>
    </w:p>
    <w:p w14:paraId="4BDEC060" w14:textId="77777777" w:rsidR="00E753D8" w:rsidRDefault="00E753D8" w:rsidP="00E753D8">
      <w:pPr>
        <w:spacing w:line="360" w:lineRule="auto"/>
        <w:jc w:val="both"/>
        <w:rPr>
          <w:rFonts w:ascii="Arial" w:hAnsi="Arial"/>
          <w:noProof w:val="0"/>
          <w:rtl/>
        </w:rPr>
      </w:pPr>
      <w:r>
        <w:rPr>
          <w:rFonts w:ascii="Arial" w:hAnsi="Arial" w:hint="cs"/>
          <w:noProof w:val="0"/>
          <w:rtl/>
        </w:rPr>
        <w:t>לאחרונה החל לעבוד במפעל "ליאושר פתרונות בניה".</w:t>
      </w:r>
    </w:p>
    <w:p w14:paraId="3B86FA9E" w14:textId="77777777" w:rsidR="00E753D8" w:rsidRDefault="00E753D8" w:rsidP="00E753D8">
      <w:pPr>
        <w:spacing w:line="360" w:lineRule="auto"/>
        <w:jc w:val="both"/>
        <w:rPr>
          <w:rFonts w:ascii="Arial" w:hAnsi="Arial"/>
          <w:noProof w:val="0"/>
          <w:rtl/>
        </w:rPr>
      </w:pPr>
    </w:p>
    <w:p w14:paraId="44494DC6" w14:textId="77777777" w:rsidR="00E753D8" w:rsidRDefault="00E753D8" w:rsidP="00E753D8">
      <w:pPr>
        <w:spacing w:line="360" w:lineRule="auto"/>
        <w:jc w:val="both"/>
        <w:rPr>
          <w:rFonts w:ascii="Arial" w:hAnsi="Arial"/>
          <w:noProof w:val="0"/>
          <w:rtl/>
        </w:rPr>
      </w:pPr>
      <w:r>
        <w:rPr>
          <w:rFonts w:ascii="Arial" w:hAnsi="Arial" w:hint="cs"/>
          <w:noProof w:val="0"/>
          <w:rtl/>
        </w:rPr>
        <w:t>הנאשם נעדר הרשעות קודמות, ושולל צריכת סמים ואלכוהול.</w:t>
      </w:r>
    </w:p>
    <w:p w14:paraId="4B397E9E" w14:textId="77777777" w:rsidR="00E753D8" w:rsidRDefault="00E753D8" w:rsidP="00E753D8">
      <w:pPr>
        <w:spacing w:line="360" w:lineRule="auto"/>
        <w:jc w:val="both"/>
        <w:rPr>
          <w:rFonts w:ascii="Arial" w:hAnsi="Arial"/>
          <w:noProof w:val="0"/>
          <w:rtl/>
        </w:rPr>
      </w:pPr>
    </w:p>
    <w:p w14:paraId="77BB5D7E" w14:textId="77777777" w:rsidR="00E753D8" w:rsidRDefault="00E753D8" w:rsidP="00E753D8">
      <w:pPr>
        <w:spacing w:line="360" w:lineRule="auto"/>
        <w:jc w:val="both"/>
        <w:rPr>
          <w:rFonts w:ascii="Arial" w:hAnsi="Arial"/>
          <w:noProof w:val="0"/>
          <w:rtl/>
        </w:rPr>
      </w:pPr>
      <w:r>
        <w:rPr>
          <w:rFonts w:ascii="Arial" w:hAnsi="Arial" w:hint="cs"/>
          <w:noProof w:val="0"/>
          <w:rtl/>
        </w:rPr>
        <w:t>הנאשם מסר דגימות לאיתור שרידי סם, אשר העידה על הימצאות שרידי קוקאין. הנאשם שלל שימוש בסמים, וקשר את תוצאות הבדיקה, לכך שבעת הבדיקה, נטל תרופה בשם פרקוסט.</w:t>
      </w:r>
    </w:p>
    <w:p w14:paraId="69FEB2C4" w14:textId="77777777" w:rsidR="00E753D8" w:rsidRDefault="00E753D8" w:rsidP="00E753D8">
      <w:pPr>
        <w:spacing w:line="360" w:lineRule="auto"/>
        <w:jc w:val="both"/>
        <w:rPr>
          <w:rFonts w:ascii="Arial" w:hAnsi="Arial"/>
          <w:noProof w:val="0"/>
          <w:rtl/>
        </w:rPr>
      </w:pPr>
    </w:p>
    <w:p w14:paraId="6B1CFD1D" w14:textId="77777777" w:rsidR="00E753D8" w:rsidRDefault="00E753D8" w:rsidP="00E753D8">
      <w:pPr>
        <w:spacing w:line="360" w:lineRule="auto"/>
        <w:jc w:val="both"/>
        <w:rPr>
          <w:rFonts w:ascii="Arial" w:hAnsi="Arial"/>
          <w:noProof w:val="0"/>
          <w:rtl/>
        </w:rPr>
      </w:pPr>
      <w:r>
        <w:rPr>
          <w:rFonts w:ascii="Arial" w:hAnsi="Arial" w:hint="cs"/>
          <w:noProof w:val="0"/>
          <w:rtl/>
        </w:rPr>
        <w:t>שירות המבחן לא התקיים מהתמכרות לסמים, אך המליץ לעקוב אחר הנושא.</w:t>
      </w:r>
    </w:p>
    <w:p w14:paraId="522741A9" w14:textId="77777777" w:rsidR="00E753D8" w:rsidRDefault="00E753D8" w:rsidP="00E753D8">
      <w:pPr>
        <w:spacing w:line="360" w:lineRule="auto"/>
        <w:jc w:val="both"/>
        <w:rPr>
          <w:rFonts w:ascii="Arial" w:hAnsi="Arial"/>
          <w:noProof w:val="0"/>
          <w:rtl/>
        </w:rPr>
      </w:pPr>
    </w:p>
    <w:p w14:paraId="470EE19C" w14:textId="77777777" w:rsidR="00E753D8" w:rsidRDefault="00E753D8" w:rsidP="00E753D8">
      <w:pPr>
        <w:spacing w:line="360" w:lineRule="auto"/>
        <w:jc w:val="both"/>
        <w:rPr>
          <w:rFonts w:ascii="Arial" w:hAnsi="Arial"/>
          <w:noProof w:val="0"/>
          <w:rtl/>
        </w:rPr>
      </w:pPr>
      <w:r>
        <w:rPr>
          <w:rFonts w:ascii="Arial" w:hAnsi="Arial" w:hint="cs"/>
          <w:noProof w:val="0"/>
          <w:rtl/>
        </w:rPr>
        <w:t>בנוגע לעבירה שבכתב האישום, מסר הנאשם, כי הוא נקלע לקשיים כלכליים לאחר פיטוריו מחברת אלבר, נקלע לקשיים כלכליים, וכאשר חבר יצר עמו קשר וביקש את עזרתו בהעברת מעטפה עם קנאביס לחבר אחר בבאר שבע, בתמורה לתשלום.</w:t>
      </w:r>
    </w:p>
    <w:p w14:paraId="20F2091F" w14:textId="77777777" w:rsidR="00E753D8" w:rsidRDefault="00E753D8" w:rsidP="00E753D8">
      <w:pPr>
        <w:spacing w:line="360" w:lineRule="auto"/>
        <w:jc w:val="both"/>
        <w:rPr>
          <w:rFonts w:ascii="Arial" w:hAnsi="Arial"/>
          <w:noProof w:val="0"/>
          <w:rtl/>
        </w:rPr>
      </w:pPr>
    </w:p>
    <w:p w14:paraId="0054AFE0" w14:textId="77777777" w:rsidR="00E753D8" w:rsidRDefault="00E753D8" w:rsidP="00E753D8">
      <w:pPr>
        <w:spacing w:line="360" w:lineRule="auto"/>
        <w:jc w:val="both"/>
        <w:rPr>
          <w:rFonts w:ascii="Arial" w:hAnsi="Arial"/>
          <w:noProof w:val="0"/>
          <w:rtl/>
        </w:rPr>
      </w:pPr>
      <w:r>
        <w:rPr>
          <w:rFonts w:ascii="Arial" w:hAnsi="Arial" w:hint="cs"/>
          <w:noProof w:val="0"/>
          <w:rtl/>
        </w:rPr>
        <w:t>לדבריו, במהלך הנסיעה, הבין שהוא עובר על החוק, אך החליט להמשיך בנסיעה.</w:t>
      </w:r>
    </w:p>
    <w:p w14:paraId="4BEBCE09" w14:textId="77777777" w:rsidR="00E753D8" w:rsidRDefault="00E753D8" w:rsidP="00E753D8">
      <w:pPr>
        <w:spacing w:line="360" w:lineRule="auto"/>
        <w:jc w:val="both"/>
        <w:rPr>
          <w:rFonts w:ascii="Arial" w:hAnsi="Arial"/>
          <w:noProof w:val="0"/>
          <w:rtl/>
        </w:rPr>
      </w:pPr>
    </w:p>
    <w:p w14:paraId="304C08D0" w14:textId="77777777" w:rsidR="00E753D8" w:rsidRDefault="00E753D8" w:rsidP="00E753D8">
      <w:pPr>
        <w:spacing w:line="360" w:lineRule="auto"/>
        <w:jc w:val="both"/>
        <w:rPr>
          <w:rFonts w:ascii="Arial" w:hAnsi="Arial"/>
          <w:noProof w:val="0"/>
          <w:rtl/>
        </w:rPr>
      </w:pPr>
      <w:r>
        <w:rPr>
          <w:rFonts w:ascii="Arial" w:hAnsi="Arial" w:hint="cs"/>
          <w:noProof w:val="0"/>
          <w:rtl/>
        </w:rPr>
        <w:t>לדבריו, לאחר השליחות הזו, החליט לא לקחת חלק יותר במעשים כאלו וסירב לקבל את התשלום שהגיע לו.</w:t>
      </w:r>
    </w:p>
    <w:p w14:paraId="6FFAD7BF" w14:textId="77777777" w:rsidR="00E753D8" w:rsidRDefault="00E753D8" w:rsidP="00E753D8">
      <w:pPr>
        <w:spacing w:line="360" w:lineRule="auto"/>
        <w:jc w:val="both"/>
        <w:rPr>
          <w:rFonts w:ascii="Arial" w:hAnsi="Arial"/>
          <w:noProof w:val="0"/>
          <w:rtl/>
        </w:rPr>
      </w:pPr>
    </w:p>
    <w:p w14:paraId="05339F78" w14:textId="77777777" w:rsidR="00E753D8" w:rsidRDefault="00E753D8" w:rsidP="00E753D8">
      <w:pPr>
        <w:spacing w:line="360" w:lineRule="auto"/>
        <w:jc w:val="both"/>
        <w:rPr>
          <w:rFonts w:ascii="Arial" w:hAnsi="Arial"/>
          <w:noProof w:val="0"/>
          <w:rtl/>
        </w:rPr>
      </w:pPr>
      <w:r>
        <w:rPr>
          <w:rFonts w:ascii="Arial" w:hAnsi="Arial" w:hint="cs"/>
          <w:noProof w:val="0"/>
          <w:rtl/>
        </w:rPr>
        <w:t>הנאשם הדגיש בפני שירות המבחן, כי מעשה זה אינו תואם את התנהלותו ומהלך חייו, כי הוא אינו מעורב בחברה עבריינית ומעולם לא ראה בסחר בסמים כמקור פרנסה, גם בשעה שהתקשה למצוא עבודה.</w:t>
      </w:r>
    </w:p>
    <w:p w14:paraId="2879736C" w14:textId="77777777" w:rsidR="00E753D8" w:rsidRDefault="00E753D8" w:rsidP="00E753D8">
      <w:pPr>
        <w:spacing w:line="360" w:lineRule="auto"/>
        <w:jc w:val="both"/>
        <w:rPr>
          <w:rFonts w:ascii="Arial" w:hAnsi="Arial"/>
          <w:noProof w:val="0"/>
          <w:rtl/>
        </w:rPr>
      </w:pPr>
    </w:p>
    <w:p w14:paraId="564DABE2" w14:textId="77777777" w:rsidR="00E753D8" w:rsidRDefault="00E753D8" w:rsidP="00E753D8">
      <w:pPr>
        <w:spacing w:line="360" w:lineRule="auto"/>
        <w:jc w:val="both"/>
        <w:rPr>
          <w:rFonts w:ascii="Arial" w:hAnsi="Arial"/>
          <w:noProof w:val="0"/>
          <w:rtl/>
        </w:rPr>
      </w:pPr>
      <w:r>
        <w:rPr>
          <w:rFonts w:ascii="Arial" w:hAnsi="Arial" w:hint="cs"/>
          <w:noProof w:val="0"/>
          <w:rtl/>
        </w:rPr>
        <w:t>הנאשם הביע חרטה על כך שלא בחן לעומק את ההצעה של המכר או התייחס להשלכות של סחר בקנאביס ומבין כיום, כי שגה בהתנהלותו.</w:t>
      </w:r>
    </w:p>
    <w:p w14:paraId="7CC7D909" w14:textId="77777777" w:rsidR="00E753D8" w:rsidRDefault="00E753D8" w:rsidP="00E753D8">
      <w:pPr>
        <w:spacing w:line="360" w:lineRule="auto"/>
        <w:jc w:val="both"/>
        <w:rPr>
          <w:rFonts w:ascii="Arial" w:hAnsi="Arial"/>
          <w:noProof w:val="0"/>
          <w:rtl/>
        </w:rPr>
      </w:pPr>
    </w:p>
    <w:p w14:paraId="19DE299B" w14:textId="77777777" w:rsidR="00E753D8" w:rsidRDefault="00E753D8" w:rsidP="00E753D8">
      <w:pPr>
        <w:spacing w:line="360" w:lineRule="auto"/>
        <w:jc w:val="both"/>
        <w:rPr>
          <w:rFonts w:ascii="Arial" w:hAnsi="Arial"/>
          <w:noProof w:val="0"/>
          <w:rtl/>
        </w:rPr>
      </w:pPr>
      <w:r>
        <w:rPr>
          <w:rFonts w:ascii="Arial" w:hAnsi="Arial" w:hint="cs"/>
          <w:noProof w:val="0"/>
          <w:rtl/>
        </w:rPr>
        <w:t>שירות המבחן התרשם, כי הנאשם מציג תמונה מטשטשת ביחס לקשריו עם החבר, אשר לטענתו ביקש ממנו להעביר את הקנאביס, וכן ביחס למעורבותו. שירות המבחן התרשם, כי הנאשם נמנע מלמסור מידע נוסף ומחזיק בעמדה התומכת בסחר בסמים מסוכנים, תוך התעלמות מהערכים הנורמטיביים בהם מחזיק, לטענתו.</w:t>
      </w:r>
    </w:p>
    <w:p w14:paraId="7AEED22E" w14:textId="77777777" w:rsidR="00E753D8" w:rsidRDefault="00E753D8" w:rsidP="00E753D8">
      <w:pPr>
        <w:spacing w:line="360" w:lineRule="auto"/>
        <w:jc w:val="both"/>
        <w:rPr>
          <w:rFonts w:ascii="Arial" w:hAnsi="Arial"/>
          <w:noProof w:val="0"/>
          <w:rtl/>
        </w:rPr>
      </w:pPr>
    </w:p>
    <w:p w14:paraId="37023BBA" w14:textId="77777777" w:rsidR="00E753D8" w:rsidRDefault="00E753D8" w:rsidP="00E753D8">
      <w:pPr>
        <w:spacing w:line="360" w:lineRule="auto"/>
        <w:jc w:val="both"/>
        <w:rPr>
          <w:rFonts w:ascii="Arial" w:hAnsi="Arial"/>
          <w:noProof w:val="0"/>
          <w:rtl/>
        </w:rPr>
      </w:pPr>
      <w:r>
        <w:rPr>
          <w:rFonts w:ascii="Arial" w:hAnsi="Arial" w:hint="cs"/>
          <w:noProof w:val="0"/>
          <w:rtl/>
        </w:rPr>
        <w:t>שירות המבחן התרשם, כי הנאשם פעל באימפולסיביות ומתוך מטרה לספק צורך כלכלי מבלי לחשב את הנזקים וההשלכות שיש למעשיו על החברה והסביבה.</w:t>
      </w:r>
    </w:p>
    <w:p w14:paraId="6BBA22B6" w14:textId="77777777" w:rsidR="00E753D8" w:rsidRDefault="00E753D8" w:rsidP="00E753D8">
      <w:pPr>
        <w:spacing w:line="360" w:lineRule="auto"/>
        <w:jc w:val="both"/>
        <w:rPr>
          <w:rFonts w:ascii="Arial" w:hAnsi="Arial"/>
          <w:noProof w:val="0"/>
          <w:rtl/>
        </w:rPr>
      </w:pPr>
    </w:p>
    <w:p w14:paraId="5ED29FA5" w14:textId="77777777" w:rsidR="00E753D8" w:rsidRDefault="00E753D8" w:rsidP="00E753D8">
      <w:pPr>
        <w:spacing w:line="360" w:lineRule="auto"/>
        <w:jc w:val="both"/>
        <w:rPr>
          <w:rFonts w:ascii="Arial" w:hAnsi="Arial"/>
          <w:noProof w:val="0"/>
          <w:rtl/>
        </w:rPr>
      </w:pPr>
      <w:r>
        <w:rPr>
          <w:rFonts w:ascii="Arial" w:hAnsi="Arial" w:hint="cs"/>
          <w:noProof w:val="0"/>
          <w:rtl/>
        </w:rPr>
        <w:t>שירות המבחן התרשם, כי שילוב הנאשם בהליך טיפולי עשוי להוביל להפחתת הסיכון להתנהגות עוברת חוק.</w:t>
      </w:r>
    </w:p>
    <w:p w14:paraId="51435CC6" w14:textId="77777777" w:rsidR="00E753D8" w:rsidRDefault="00E753D8" w:rsidP="00E753D8">
      <w:pPr>
        <w:spacing w:line="360" w:lineRule="auto"/>
        <w:jc w:val="both"/>
        <w:rPr>
          <w:rFonts w:ascii="Arial" w:hAnsi="Arial"/>
          <w:noProof w:val="0"/>
          <w:rtl/>
        </w:rPr>
      </w:pPr>
    </w:p>
    <w:p w14:paraId="204AFDFC" w14:textId="77777777" w:rsidR="00E753D8" w:rsidRDefault="00E753D8" w:rsidP="00E753D8">
      <w:pPr>
        <w:spacing w:line="360" w:lineRule="auto"/>
        <w:jc w:val="both"/>
        <w:rPr>
          <w:rFonts w:ascii="Arial" w:hAnsi="Arial"/>
          <w:noProof w:val="0"/>
          <w:rtl/>
        </w:rPr>
      </w:pPr>
    </w:p>
    <w:p w14:paraId="77FE6F28" w14:textId="77777777" w:rsidR="00E753D8" w:rsidRDefault="00E753D8" w:rsidP="00E753D8">
      <w:pPr>
        <w:spacing w:line="360" w:lineRule="auto"/>
        <w:jc w:val="both"/>
        <w:rPr>
          <w:rFonts w:ascii="Arial" w:hAnsi="Arial"/>
          <w:noProof w:val="0"/>
          <w:rtl/>
        </w:rPr>
      </w:pPr>
      <w:r>
        <w:rPr>
          <w:rFonts w:ascii="Arial" w:hAnsi="Arial" w:hint="cs"/>
          <w:noProof w:val="0"/>
          <w:rtl/>
        </w:rPr>
        <w:t>שירות המבחן המליץ על ענישה שיקומית בדמות צו של"צ בהיקף 340 שעות והעמדת הנאשם במבחן למשך שנה, בהמלכה ישתתף בקבוצה טיפולית.</w:t>
      </w:r>
    </w:p>
    <w:p w14:paraId="76FB3DBA" w14:textId="77777777" w:rsidR="00E753D8" w:rsidRDefault="00E753D8" w:rsidP="00E753D8">
      <w:pPr>
        <w:spacing w:line="360" w:lineRule="auto"/>
        <w:jc w:val="both"/>
        <w:rPr>
          <w:rFonts w:ascii="Arial" w:hAnsi="Arial"/>
          <w:noProof w:val="0"/>
          <w:rtl/>
        </w:rPr>
      </w:pPr>
    </w:p>
    <w:p w14:paraId="1F7BED80" w14:textId="77777777" w:rsidR="00E753D8" w:rsidRDefault="00E753D8" w:rsidP="00E753D8">
      <w:pPr>
        <w:spacing w:line="360" w:lineRule="auto"/>
        <w:jc w:val="both"/>
        <w:rPr>
          <w:rFonts w:ascii="Arial" w:hAnsi="Arial"/>
          <w:noProof w:val="0"/>
          <w:rtl/>
        </w:rPr>
      </w:pPr>
      <w:r>
        <w:rPr>
          <w:rFonts w:ascii="Arial" w:hAnsi="Arial" w:hint="cs"/>
          <w:noProof w:val="0"/>
          <w:rtl/>
        </w:rPr>
        <w:t>שירות המבחן המליץ שלא להרשיע הנאשם בדין, כיוון שהנאשם מנהל אורח חיים תקין והעבירה חריגה להתנהלותו.</w:t>
      </w:r>
    </w:p>
    <w:p w14:paraId="705314C0" w14:textId="77777777" w:rsidR="00E753D8" w:rsidRDefault="00E753D8" w:rsidP="00E753D8">
      <w:pPr>
        <w:spacing w:line="360" w:lineRule="auto"/>
        <w:jc w:val="both"/>
        <w:rPr>
          <w:rFonts w:ascii="Arial" w:hAnsi="Arial"/>
          <w:noProof w:val="0"/>
          <w:rtl/>
        </w:rPr>
      </w:pPr>
    </w:p>
    <w:p w14:paraId="3E4FEE01" w14:textId="77777777" w:rsidR="00E753D8" w:rsidRDefault="00E753D8" w:rsidP="00E753D8">
      <w:pPr>
        <w:spacing w:line="360" w:lineRule="auto"/>
        <w:jc w:val="both"/>
        <w:rPr>
          <w:rFonts w:ascii="Arial" w:hAnsi="Arial"/>
          <w:noProof w:val="0"/>
          <w:rtl/>
        </w:rPr>
      </w:pPr>
      <w:r>
        <w:rPr>
          <w:rFonts w:ascii="Arial" w:hAnsi="Arial" w:hint="cs"/>
          <w:noProof w:val="0"/>
          <w:u w:val="single"/>
          <w:rtl/>
        </w:rPr>
        <w:t>בתסקיר מיום 03.07.22</w:t>
      </w:r>
      <w:r>
        <w:rPr>
          <w:rFonts w:ascii="Arial" w:hAnsi="Arial" w:hint="cs"/>
          <w:noProof w:val="0"/>
          <w:rtl/>
        </w:rPr>
        <w:t xml:space="preserve"> נמסר, כי הנאשם השתלב בקבוצת הכנה לטיפול, אשר ארכה 6 מפגשים, אליהם הגיע הנאשם בזמן.</w:t>
      </w:r>
    </w:p>
    <w:p w14:paraId="1B6A77B4" w14:textId="77777777" w:rsidR="00E753D8" w:rsidRDefault="00E753D8" w:rsidP="00E753D8">
      <w:pPr>
        <w:spacing w:line="360" w:lineRule="auto"/>
        <w:jc w:val="both"/>
        <w:rPr>
          <w:rFonts w:ascii="Arial" w:hAnsi="Arial"/>
          <w:noProof w:val="0"/>
          <w:rtl/>
        </w:rPr>
      </w:pPr>
    </w:p>
    <w:p w14:paraId="5E7EF7F9" w14:textId="77777777" w:rsidR="00E753D8" w:rsidRDefault="00E753D8" w:rsidP="00E753D8">
      <w:pPr>
        <w:spacing w:line="360" w:lineRule="auto"/>
        <w:jc w:val="both"/>
        <w:rPr>
          <w:rFonts w:ascii="Arial" w:hAnsi="Arial"/>
          <w:noProof w:val="0"/>
          <w:rtl/>
        </w:rPr>
      </w:pPr>
      <w:r>
        <w:rPr>
          <w:rFonts w:ascii="Arial" w:hAnsi="Arial" w:hint="cs"/>
          <w:noProof w:val="0"/>
          <w:rtl/>
        </w:rPr>
        <w:t>הנאשם השתתף באופן פעיל ושיתף מעולמו הפנימי והחל לבחון לעומק את נסיבות ביצוע העבירה.</w:t>
      </w:r>
    </w:p>
    <w:p w14:paraId="47FC0584" w14:textId="77777777" w:rsidR="00E753D8" w:rsidRDefault="00E753D8" w:rsidP="00E753D8">
      <w:pPr>
        <w:spacing w:line="360" w:lineRule="auto"/>
        <w:jc w:val="both"/>
        <w:rPr>
          <w:rFonts w:ascii="Arial" w:hAnsi="Arial"/>
          <w:noProof w:val="0"/>
          <w:rtl/>
        </w:rPr>
      </w:pPr>
    </w:p>
    <w:p w14:paraId="2A6C6EAC" w14:textId="77777777" w:rsidR="00E753D8" w:rsidRDefault="00E753D8" w:rsidP="00E753D8">
      <w:pPr>
        <w:spacing w:line="360" w:lineRule="auto"/>
        <w:jc w:val="both"/>
        <w:rPr>
          <w:rFonts w:ascii="Arial" w:hAnsi="Arial"/>
          <w:noProof w:val="0"/>
          <w:rtl/>
        </w:rPr>
      </w:pPr>
      <w:r>
        <w:rPr>
          <w:rFonts w:ascii="Arial" w:hAnsi="Arial" w:hint="cs"/>
          <w:noProof w:val="0"/>
          <w:rtl/>
        </w:rPr>
        <w:t>שירות המבחן התרשם, כי הנאשם ערך התבוננות ביקורתית על מעשיו.</w:t>
      </w:r>
    </w:p>
    <w:p w14:paraId="1CDE8E89" w14:textId="77777777" w:rsidR="00E753D8" w:rsidRDefault="00E753D8" w:rsidP="00E753D8">
      <w:pPr>
        <w:spacing w:line="360" w:lineRule="auto"/>
        <w:jc w:val="both"/>
        <w:rPr>
          <w:rFonts w:ascii="Arial" w:hAnsi="Arial"/>
          <w:noProof w:val="0"/>
          <w:rtl/>
        </w:rPr>
      </w:pPr>
    </w:p>
    <w:p w14:paraId="210ECD47" w14:textId="77777777" w:rsidR="00E753D8" w:rsidRDefault="00E753D8" w:rsidP="00E753D8">
      <w:pPr>
        <w:spacing w:line="360" w:lineRule="auto"/>
        <w:jc w:val="both"/>
        <w:rPr>
          <w:rFonts w:ascii="Arial" w:hAnsi="Arial"/>
          <w:noProof w:val="0"/>
          <w:rtl/>
        </w:rPr>
      </w:pPr>
      <w:r>
        <w:rPr>
          <w:rFonts w:ascii="Arial" w:hAnsi="Arial" w:hint="cs"/>
          <w:noProof w:val="0"/>
          <w:rtl/>
        </w:rPr>
        <w:t>לאחר מכן, ביום 24.03.22, השתלב הנאשם בקבוצה טיפולית, שם משתף מעולמו הפנימי ושותף פעיל בשיח הקבוצתי, מגיע לכל המפגשים בזמן, מגלה מוטיבציה בנוגע להמשך ההשתתפות בקבוצה הטיפולית, ומביע נכונות להעמקת ההתבוננות שלו על מניעיו לעבור את העבירה.</w:t>
      </w:r>
    </w:p>
    <w:p w14:paraId="4FE5D66A" w14:textId="77777777" w:rsidR="00E753D8" w:rsidRDefault="00E753D8" w:rsidP="00E753D8">
      <w:pPr>
        <w:spacing w:line="360" w:lineRule="auto"/>
        <w:jc w:val="both"/>
        <w:rPr>
          <w:rFonts w:ascii="Arial" w:hAnsi="Arial"/>
          <w:noProof w:val="0"/>
          <w:rtl/>
        </w:rPr>
      </w:pPr>
    </w:p>
    <w:p w14:paraId="3F5F6E22" w14:textId="77777777" w:rsidR="00E753D8" w:rsidRPr="00C227FD" w:rsidRDefault="00E753D8" w:rsidP="00E753D8">
      <w:pPr>
        <w:spacing w:line="360" w:lineRule="auto"/>
        <w:jc w:val="both"/>
        <w:rPr>
          <w:rFonts w:ascii="Arial" w:hAnsi="Arial"/>
          <w:noProof w:val="0"/>
          <w:rtl/>
        </w:rPr>
      </w:pPr>
      <w:r>
        <w:rPr>
          <w:rFonts w:ascii="Arial" w:hAnsi="Arial" w:hint="cs"/>
          <w:noProof w:val="0"/>
          <w:rtl/>
        </w:rPr>
        <w:t>לאור האמור, חזר שירות המבחן למבוגרים על המלצתו העונשית.</w:t>
      </w:r>
    </w:p>
    <w:p w14:paraId="4B10EF15" w14:textId="77777777" w:rsidR="00E753D8" w:rsidRDefault="00E753D8" w:rsidP="00E753D8">
      <w:pPr>
        <w:spacing w:line="360" w:lineRule="auto"/>
        <w:jc w:val="both"/>
        <w:rPr>
          <w:rFonts w:ascii="Arial" w:hAnsi="Arial"/>
          <w:noProof w:val="0"/>
          <w:rtl/>
        </w:rPr>
      </w:pPr>
    </w:p>
    <w:p w14:paraId="63B0E593" w14:textId="77777777" w:rsidR="00E753D8" w:rsidRDefault="00E753D8" w:rsidP="00E753D8">
      <w:pPr>
        <w:spacing w:line="360" w:lineRule="auto"/>
        <w:jc w:val="both"/>
        <w:rPr>
          <w:rFonts w:ascii="Arial" w:hAnsi="Arial"/>
          <w:noProof w:val="0"/>
          <w:rtl/>
        </w:rPr>
      </w:pPr>
    </w:p>
    <w:p w14:paraId="1464164A" w14:textId="77777777" w:rsidR="00E753D8" w:rsidRDefault="00E753D8" w:rsidP="00E753D8">
      <w:pPr>
        <w:spacing w:line="360" w:lineRule="auto"/>
        <w:jc w:val="both"/>
        <w:rPr>
          <w:rFonts w:ascii="Arial" w:hAnsi="Arial"/>
          <w:noProof w:val="0"/>
          <w:rtl/>
        </w:rPr>
      </w:pPr>
      <w:r>
        <w:rPr>
          <w:rFonts w:ascii="Arial" w:hAnsi="Arial" w:hint="cs"/>
          <w:b/>
          <w:bCs/>
          <w:noProof w:val="0"/>
          <w:rtl/>
        </w:rPr>
        <w:t>טענות הצדדים</w:t>
      </w:r>
    </w:p>
    <w:p w14:paraId="5EB7DF36" w14:textId="77777777" w:rsidR="00E753D8" w:rsidRDefault="00E753D8" w:rsidP="00E753D8">
      <w:pPr>
        <w:spacing w:line="360" w:lineRule="auto"/>
        <w:jc w:val="both"/>
        <w:rPr>
          <w:rFonts w:ascii="Arial" w:hAnsi="Arial"/>
          <w:noProof w:val="0"/>
          <w:rtl/>
        </w:rPr>
      </w:pPr>
    </w:p>
    <w:p w14:paraId="4EFAFBA6" w14:textId="77777777" w:rsidR="00E753D8" w:rsidRDefault="00E753D8" w:rsidP="00E753D8">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עמדה על כך כי הנאשם פגע בערכים המוגנים העומדים בבסיס עבירות הסמים.</w:t>
      </w:r>
    </w:p>
    <w:p w14:paraId="0D94F1C4" w14:textId="77777777" w:rsidR="00E753D8" w:rsidRDefault="00E753D8" w:rsidP="00E753D8">
      <w:pPr>
        <w:spacing w:line="360" w:lineRule="auto"/>
        <w:jc w:val="both"/>
        <w:rPr>
          <w:rFonts w:ascii="Arial" w:hAnsi="Arial"/>
          <w:noProof w:val="0"/>
          <w:rtl/>
        </w:rPr>
      </w:pPr>
    </w:p>
    <w:p w14:paraId="260B933E" w14:textId="77777777" w:rsidR="00E753D8" w:rsidRDefault="00E753D8" w:rsidP="00E753D8">
      <w:pPr>
        <w:spacing w:line="360" w:lineRule="auto"/>
        <w:jc w:val="both"/>
        <w:rPr>
          <w:rFonts w:ascii="Arial" w:hAnsi="Arial"/>
          <w:noProof w:val="0"/>
          <w:rtl/>
        </w:rPr>
      </w:pPr>
      <w:r>
        <w:rPr>
          <w:rFonts w:ascii="Arial" w:hAnsi="Arial" w:hint="cs"/>
          <w:noProof w:val="0"/>
          <w:rtl/>
        </w:rPr>
        <w:t>התביעה טענה, כי בעבירות סחר, ישנה פגיעה משמעותית בערכים אלו.</w:t>
      </w:r>
    </w:p>
    <w:p w14:paraId="251C7D5A" w14:textId="77777777" w:rsidR="00E753D8" w:rsidRDefault="00E753D8" w:rsidP="00E753D8">
      <w:pPr>
        <w:spacing w:line="360" w:lineRule="auto"/>
        <w:jc w:val="both"/>
        <w:rPr>
          <w:rFonts w:ascii="Arial" w:hAnsi="Arial"/>
          <w:noProof w:val="0"/>
          <w:rtl/>
        </w:rPr>
      </w:pPr>
    </w:p>
    <w:p w14:paraId="5101B8A4" w14:textId="77777777" w:rsidR="00E753D8" w:rsidRDefault="00E753D8" w:rsidP="00E753D8">
      <w:pPr>
        <w:spacing w:line="360" w:lineRule="auto"/>
        <w:jc w:val="both"/>
        <w:rPr>
          <w:rFonts w:ascii="Arial" w:hAnsi="Arial"/>
          <w:noProof w:val="0"/>
          <w:rtl/>
        </w:rPr>
      </w:pPr>
      <w:r>
        <w:rPr>
          <w:rFonts w:ascii="Arial" w:hAnsi="Arial" w:hint="cs"/>
          <w:noProof w:val="0"/>
          <w:rtl/>
        </w:rPr>
        <w:t>התביעה טענה, כי אמנם השתלב הנאשם בהליך טיפולי, אך לא ברור מה היה טיב הטיפול והיקפו.</w:t>
      </w:r>
    </w:p>
    <w:p w14:paraId="4A154857" w14:textId="77777777" w:rsidR="00E753D8" w:rsidRDefault="00E753D8" w:rsidP="00E753D8">
      <w:pPr>
        <w:spacing w:line="360" w:lineRule="auto"/>
        <w:jc w:val="both"/>
        <w:rPr>
          <w:rFonts w:ascii="Arial" w:hAnsi="Arial"/>
          <w:noProof w:val="0"/>
          <w:rtl/>
        </w:rPr>
      </w:pPr>
    </w:p>
    <w:p w14:paraId="2D850680" w14:textId="77777777" w:rsidR="00E753D8" w:rsidRDefault="00E753D8" w:rsidP="00E753D8">
      <w:pPr>
        <w:spacing w:line="360" w:lineRule="auto"/>
        <w:jc w:val="both"/>
        <w:rPr>
          <w:rFonts w:ascii="Arial" w:hAnsi="Arial"/>
          <w:noProof w:val="0"/>
          <w:rtl/>
        </w:rPr>
      </w:pPr>
      <w:r>
        <w:rPr>
          <w:rFonts w:ascii="Arial" w:hAnsi="Arial" w:hint="cs"/>
          <w:noProof w:val="0"/>
          <w:rtl/>
        </w:rPr>
        <w:t>התביעה עתרה למתחם ענישה הנע בין 6 ועד 18 חודשי מאסר בפועל.</w:t>
      </w:r>
    </w:p>
    <w:p w14:paraId="63572E9F" w14:textId="77777777" w:rsidR="00E753D8" w:rsidRDefault="00E753D8" w:rsidP="00E753D8">
      <w:pPr>
        <w:spacing w:line="360" w:lineRule="auto"/>
        <w:jc w:val="both"/>
        <w:rPr>
          <w:rFonts w:ascii="Arial" w:hAnsi="Arial"/>
          <w:noProof w:val="0"/>
          <w:rtl/>
        </w:rPr>
      </w:pPr>
    </w:p>
    <w:p w14:paraId="22A4669A" w14:textId="77777777" w:rsidR="00E753D8" w:rsidRDefault="00E753D8" w:rsidP="00E753D8">
      <w:pPr>
        <w:spacing w:line="360" w:lineRule="auto"/>
        <w:jc w:val="both"/>
        <w:rPr>
          <w:rFonts w:ascii="Arial" w:hAnsi="Arial"/>
          <w:noProof w:val="0"/>
          <w:rtl/>
        </w:rPr>
      </w:pPr>
      <w:r>
        <w:rPr>
          <w:rFonts w:ascii="Arial" w:hAnsi="Arial" w:hint="cs"/>
          <w:noProof w:val="0"/>
          <w:rtl/>
        </w:rPr>
        <w:t>התביעה עתרה למקם את עונשו של הנאשם ברף התחתון של מתחם הענישה; מאסר מותנה; קנס משמעותי; פסילת רישיון נהיגה לאור שימוש ברכב לצורך העבירה.</w:t>
      </w:r>
    </w:p>
    <w:p w14:paraId="1800D772" w14:textId="77777777" w:rsidR="00E753D8" w:rsidRDefault="00E753D8" w:rsidP="00E753D8">
      <w:pPr>
        <w:spacing w:line="360" w:lineRule="auto"/>
        <w:jc w:val="both"/>
        <w:rPr>
          <w:rFonts w:ascii="Arial" w:hAnsi="Arial"/>
          <w:noProof w:val="0"/>
          <w:rtl/>
        </w:rPr>
      </w:pPr>
    </w:p>
    <w:p w14:paraId="7355FE69" w14:textId="77777777" w:rsidR="00E753D8" w:rsidRDefault="00E753D8" w:rsidP="00E753D8">
      <w:pPr>
        <w:spacing w:line="360" w:lineRule="auto"/>
        <w:jc w:val="both"/>
        <w:rPr>
          <w:rFonts w:ascii="Arial" w:hAnsi="Arial"/>
          <w:noProof w:val="0"/>
          <w:rtl/>
        </w:rPr>
      </w:pPr>
      <w:r>
        <w:rPr>
          <w:rFonts w:ascii="Arial" w:hAnsi="Arial" w:hint="cs"/>
          <w:noProof w:val="0"/>
          <w:rtl/>
        </w:rPr>
        <w:t>באשר לשאלת הרשעת הנאשם בדין, טענה התביעה, כי מקרה זה אינו עומד במבחני הפסיקה וכי בית המשפט ימנע מהרשעת נאשם רק במקרים חריגים.</w:t>
      </w:r>
    </w:p>
    <w:p w14:paraId="450E05B8" w14:textId="77777777" w:rsidR="00E753D8" w:rsidRDefault="00E753D8" w:rsidP="00E753D8">
      <w:pPr>
        <w:spacing w:line="360" w:lineRule="auto"/>
        <w:jc w:val="both"/>
        <w:rPr>
          <w:rFonts w:ascii="Arial" w:hAnsi="Arial"/>
          <w:noProof w:val="0"/>
          <w:rtl/>
        </w:rPr>
      </w:pPr>
    </w:p>
    <w:p w14:paraId="45FE3C2F" w14:textId="77777777" w:rsidR="00E753D8" w:rsidRDefault="00E753D8" w:rsidP="00E753D8">
      <w:pPr>
        <w:spacing w:line="360" w:lineRule="auto"/>
        <w:jc w:val="both"/>
        <w:rPr>
          <w:rFonts w:ascii="Arial" w:hAnsi="Arial"/>
          <w:noProof w:val="0"/>
          <w:rtl/>
        </w:rPr>
      </w:pPr>
      <w:r>
        <w:rPr>
          <w:rFonts w:ascii="Arial" w:hAnsi="Arial" w:hint="cs"/>
          <w:noProof w:val="0"/>
          <w:rtl/>
        </w:rPr>
        <w:t>התביעה טענה, כי ראשית, לא הוצגה פגיעה קונקרטית בנאשם, ובכל מקרה, הנאשם עבר את העבירה לאחר שהחל ללמוד, ומכאן, שבחר במודע לסכן את המשך לימודיו וקבלת התעודה.</w:t>
      </w:r>
    </w:p>
    <w:p w14:paraId="4557B6D5" w14:textId="77777777" w:rsidR="00E753D8" w:rsidRDefault="00E753D8" w:rsidP="00E753D8">
      <w:pPr>
        <w:spacing w:line="360" w:lineRule="auto"/>
        <w:jc w:val="both"/>
        <w:rPr>
          <w:rFonts w:ascii="Arial" w:hAnsi="Arial"/>
          <w:noProof w:val="0"/>
          <w:rtl/>
        </w:rPr>
      </w:pPr>
    </w:p>
    <w:p w14:paraId="510DE876" w14:textId="77777777" w:rsidR="00E753D8" w:rsidRDefault="00E753D8" w:rsidP="00E753D8">
      <w:pPr>
        <w:spacing w:line="360" w:lineRule="auto"/>
        <w:jc w:val="both"/>
        <w:rPr>
          <w:rFonts w:ascii="Arial" w:hAnsi="Arial"/>
          <w:noProof w:val="0"/>
          <w:rtl/>
        </w:rPr>
      </w:pPr>
      <w:r>
        <w:rPr>
          <w:rFonts w:ascii="Arial" w:hAnsi="Arial" w:hint="cs"/>
          <w:noProof w:val="0"/>
          <w:rtl/>
        </w:rPr>
        <w:t>שנית, עבירה של סחר בסם מסוכן אינה עבירה המאפשרת הימנעות מהרשעה.</w:t>
      </w:r>
    </w:p>
    <w:p w14:paraId="1D9BE3F7" w14:textId="77777777" w:rsidR="00E753D8" w:rsidRDefault="00E753D8" w:rsidP="00E753D8">
      <w:pPr>
        <w:spacing w:line="360" w:lineRule="auto"/>
        <w:jc w:val="both"/>
        <w:rPr>
          <w:rFonts w:ascii="Arial" w:hAnsi="Arial"/>
          <w:noProof w:val="0"/>
          <w:rtl/>
        </w:rPr>
      </w:pPr>
    </w:p>
    <w:p w14:paraId="00854031" w14:textId="77777777" w:rsidR="00E753D8" w:rsidRDefault="00E753D8" w:rsidP="00E753D8">
      <w:pPr>
        <w:spacing w:line="360" w:lineRule="auto"/>
        <w:jc w:val="both"/>
        <w:rPr>
          <w:rFonts w:ascii="Arial" w:hAnsi="Arial"/>
          <w:noProof w:val="0"/>
          <w:rtl/>
        </w:rPr>
      </w:pPr>
      <w:r>
        <w:rPr>
          <w:rFonts w:ascii="Arial" w:hAnsi="Arial" w:hint="cs"/>
          <w:noProof w:val="0"/>
          <w:rtl/>
        </w:rPr>
        <w:t>על כן, עתרה התביעה להותיר את הרשעת הנאשם על כנה.</w:t>
      </w:r>
    </w:p>
    <w:p w14:paraId="12FC59E4" w14:textId="77777777" w:rsidR="00E753D8" w:rsidRDefault="00E753D8" w:rsidP="00E753D8">
      <w:pPr>
        <w:spacing w:line="360" w:lineRule="auto"/>
        <w:jc w:val="both"/>
        <w:rPr>
          <w:rFonts w:ascii="Arial" w:hAnsi="Arial"/>
          <w:noProof w:val="0"/>
          <w:rtl/>
        </w:rPr>
      </w:pPr>
    </w:p>
    <w:p w14:paraId="76113B3F" w14:textId="77777777" w:rsidR="00E753D8" w:rsidRDefault="00E753D8" w:rsidP="00E753D8">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טענה, כי במידה ותיוותר הרשעת הנאשם על כנה, הוא לא יוכל לסיים את לימודיו ומכאן שישנה פגיעה קונקרטית בעתידו.</w:t>
      </w:r>
    </w:p>
    <w:p w14:paraId="0E1AC6CE" w14:textId="77777777" w:rsidR="00E753D8" w:rsidRDefault="00E753D8" w:rsidP="00E753D8">
      <w:pPr>
        <w:spacing w:line="360" w:lineRule="auto"/>
        <w:jc w:val="both"/>
        <w:rPr>
          <w:rFonts w:ascii="Arial" w:hAnsi="Arial"/>
          <w:noProof w:val="0"/>
          <w:rtl/>
        </w:rPr>
      </w:pPr>
    </w:p>
    <w:p w14:paraId="34497FB7" w14:textId="77777777" w:rsidR="00E753D8" w:rsidRDefault="00E753D8" w:rsidP="00E753D8">
      <w:pPr>
        <w:spacing w:line="360" w:lineRule="auto"/>
        <w:jc w:val="both"/>
        <w:rPr>
          <w:rFonts w:ascii="Arial" w:hAnsi="Arial"/>
          <w:noProof w:val="0"/>
          <w:rtl/>
        </w:rPr>
      </w:pPr>
      <w:r>
        <w:rPr>
          <w:rFonts w:ascii="Arial" w:hAnsi="Arial" w:hint="cs"/>
          <w:noProof w:val="0"/>
          <w:rtl/>
        </w:rPr>
        <w:t>ההגנה טענה, כי הנאשם נקלע לקשיים כלכליים ומדובר באירוע חריג אשר אינו מאפיין אותו.</w:t>
      </w:r>
    </w:p>
    <w:p w14:paraId="02B54FC6" w14:textId="77777777" w:rsidR="00E753D8" w:rsidRDefault="00E753D8" w:rsidP="00E753D8">
      <w:pPr>
        <w:spacing w:line="360" w:lineRule="auto"/>
        <w:jc w:val="both"/>
        <w:rPr>
          <w:rFonts w:ascii="Arial" w:hAnsi="Arial"/>
          <w:noProof w:val="0"/>
          <w:rtl/>
        </w:rPr>
      </w:pPr>
    </w:p>
    <w:p w14:paraId="00C20C91" w14:textId="77777777" w:rsidR="00E753D8" w:rsidRDefault="00E753D8" w:rsidP="00E753D8">
      <w:pPr>
        <w:spacing w:line="360" w:lineRule="auto"/>
        <w:jc w:val="both"/>
        <w:rPr>
          <w:rFonts w:ascii="Arial" w:hAnsi="Arial"/>
          <w:noProof w:val="0"/>
          <w:rtl/>
        </w:rPr>
      </w:pPr>
      <w:r>
        <w:rPr>
          <w:rFonts w:ascii="Arial" w:hAnsi="Arial" w:hint="cs"/>
          <w:noProof w:val="0"/>
          <w:rtl/>
        </w:rPr>
        <w:t>ההגנה טענה, כי הנאשם התחרט על מעשיו וסירב לקבל תשלום.</w:t>
      </w:r>
    </w:p>
    <w:p w14:paraId="2F68BB8B" w14:textId="77777777" w:rsidR="00E753D8" w:rsidRDefault="00E753D8" w:rsidP="00E753D8">
      <w:pPr>
        <w:spacing w:line="360" w:lineRule="auto"/>
        <w:jc w:val="both"/>
        <w:rPr>
          <w:rFonts w:ascii="Arial" w:hAnsi="Arial"/>
          <w:noProof w:val="0"/>
          <w:rtl/>
        </w:rPr>
      </w:pPr>
    </w:p>
    <w:p w14:paraId="5FEF9C0E" w14:textId="77777777" w:rsidR="00E753D8" w:rsidRDefault="00E753D8" w:rsidP="00E753D8">
      <w:pPr>
        <w:spacing w:line="360" w:lineRule="auto"/>
        <w:jc w:val="both"/>
        <w:rPr>
          <w:rFonts w:ascii="Arial" w:hAnsi="Arial"/>
          <w:noProof w:val="0"/>
          <w:rtl/>
        </w:rPr>
      </w:pPr>
      <w:r>
        <w:rPr>
          <w:rFonts w:ascii="Arial" w:hAnsi="Arial" w:hint="cs"/>
          <w:noProof w:val="0"/>
          <w:rtl/>
        </w:rPr>
        <w:t>ההגנה ביקשה לתת משקל לכך שהנאשם נעדר הרשעות קודמות ולא נפתחו נגדו תיקים נוספים מאז אירועי כתב האישום.</w:t>
      </w:r>
    </w:p>
    <w:p w14:paraId="0642A69C" w14:textId="77777777" w:rsidR="00E753D8" w:rsidRDefault="00E753D8" w:rsidP="00E753D8">
      <w:pPr>
        <w:spacing w:line="360" w:lineRule="auto"/>
        <w:jc w:val="both"/>
        <w:rPr>
          <w:rFonts w:ascii="Arial" w:hAnsi="Arial"/>
          <w:noProof w:val="0"/>
          <w:rtl/>
        </w:rPr>
      </w:pPr>
    </w:p>
    <w:p w14:paraId="45FE5E7A" w14:textId="77777777" w:rsidR="00E753D8" w:rsidRDefault="00E753D8" w:rsidP="00E753D8">
      <w:pPr>
        <w:spacing w:line="360" w:lineRule="auto"/>
        <w:jc w:val="both"/>
        <w:rPr>
          <w:rFonts w:ascii="Arial" w:hAnsi="Arial"/>
          <w:noProof w:val="0"/>
          <w:rtl/>
        </w:rPr>
      </w:pPr>
      <w:r>
        <w:rPr>
          <w:rFonts w:ascii="Arial" w:hAnsi="Arial" w:hint="cs"/>
          <w:noProof w:val="0"/>
          <w:rtl/>
        </w:rPr>
        <w:t>ההגנה ביקשה להתחשב בנאשם ולא לפגוע במשלח ידו.</w:t>
      </w:r>
    </w:p>
    <w:p w14:paraId="4A7B43D0" w14:textId="77777777" w:rsidR="00E753D8" w:rsidRDefault="00E753D8" w:rsidP="00E753D8">
      <w:pPr>
        <w:spacing w:line="360" w:lineRule="auto"/>
        <w:jc w:val="both"/>
        <w:rPr>
          <w:rFonts w:ascii="Arial" w:hAnsi="Arial"/>
          <w:noProof w:val="0"/>
          <w:rtl/>
        </w:rPr>
      </w:pPr>
    </w:p>
    <w:p w14:paraId="75E56610" w14:textId="77777777" w:rsidR="00E753D8" w:rsidRDefault="00E753D8" w:rsidP="00E753D8">
      <w:pPr>
        <w:spacing w:line="360" w:lineRule="auto"/>
        <w:jc w:val="both"/>
        <w:rPr>
          <w:rFonts w:ascii="Arial" w:hAnsi="Arial"/>
          <w:noProof w:val="0"/>
          <w:rtl/>
        </w:rPr>
      </w:pPr>
      <w:r>
        <w:rPr>
          <w:rFonts w:ascii="Arial" w:hAnsi="Arial" w:hint="cs"/>
          <w:noProof w:val="0"/>
          <w:rtl/>
        </w:rPr>
        <w:t>ההגנה טענה, כי בעבירות סחר בסמים ניתן לסיים את ההליך ללא הרשעה.</w:t>
      </w:r>
    </w:p>
    <w:p w14:paraId="7C897C67" w14:textId="77777777" w:rsidR="00E753D8" w:rsidRDefault="00E753D8" w:rsidP="00E753D8">
      <w:pPr>
        <w:spacing w:line="360" w:lineRule="auto"/>
        <w:jc w:val="both"/>
        <w:rPr>
          <w:rFonts w:ascii="Arial" w:hAnsi="Arial"/>
          <w:noProof w:val="0"/>
          <w:rtl/>
        </w:rPr>
      </w:pPr>
    </w:p>
    <w:p w14:paraId="417680B7" w14:textId="77777777" w:rsidR="00E753D8" w:rsidRDefault="00E753D8" w:rsidP="00E753D8">
      <w:pPr>
        <w:spacing w:line="360" w:lineRule="auto"/>
        <w:jc w:val="both"/>
        <w:rPr>
          <w:rFonts w:ascii="Arial" w:hAnsi="Arial"/>
          <w:noProof w:val="0"/>
          <w:rtl/>
        </w:rPr>
      </w:pPr>
      <w:r>
        <w:rPr>
          <w:rFonts w:ascii="Arial" w:hAnsi="Arial" w:hint="cs"/>
          <w:noProof w:val="0"/>
          <w:rtl/>
        </w:rPr>
        <w:t>ההגנה טענה, כי המקרה של הנאשם מצדיק חריגה ממתחם הענישה ההולם.</w:t>
      </w:r>
    </w:p>
    <w:p w14:paraId="7A34CBB6" w14:textId="77777777" w:rsidR="00E753D8" w:rsidRDefault="00E753D8" w:rsidP="00E753D8">
      <w:pPr>
        <w:spacing w:line="360" w:lineRule="auto"/>
        <w:jc w:val="both"/>
        <w:rPr>
          <w:rFonts w:ascii="Arial" w:hAnsi="Arial"/>
          <w:noProof w:val="0"/>
          <w:rtl/>
        </w:rPr>
      </w:pPr>
    </w:p>
    <w:p w14:paraId="56780026" w14:textId="77777777" w:rsidR="00E753D8" w:rsidRDefault="00E753D8" w:rsidP="00E753D8">
      <w:pPr>
        <w:spacing w:line="360" w:lineRule="auto"/>
        <w:jc w:val="both"/>
        <w:rPr>
          <w:rFonts w:ascii="Arial" w:hAnsi="Arial"/>
          <w:noProof w:val="0"/>
          <w:rtl/>
        </w:rPr>
      </w:pPr>
      <w:r>
        <w:rPr>
          <w:rFonts w:ascii="Arial" w:hAnsi="Arial" w:hint="cs"/>
          <w:noProof w:val="0"/>
          <w:rtl/>
        </w:rPr>
        <w:t>ההגנה ביקשה להימנע מפסילת רישיון הנהיגה של הנאשם וביקשה להתחשב בו בעת קביעת רכיבים כלכליים בגזר הדין.</w:t>
      </w:r>
    </w:p>
    <w:p w14:paraId="54AA9589" w14:textId="77777777" w:rsidR="00E753D8" w:rsidRDefault="00E753D8" w:rsidP="00E753D8">
      <w:pPr>
        <w:spacing w:line="360" w:lineRule="auto"/>
        <w:jc w:val="both"/>
        <w:rPr>
          <w:rFonts w:ascii="Arial" w:hAnsi="Arial"/>
          <w:noProof w:val="0"/>
          <w:rtl/>
        </w:rPr>
      </w:pPr>
    </w:p>
    <w:p w14:paraId="2F37798B" w14:textId="77777777" w:rsidR="00E753D8" w:rsidRDefault="00E753D8" w:rsidP="00E753D8">
      <w:pPr>
        <w:spacing w:line="360" w:lineRule="auto"/>
        <w:jc w:val="both"/>
        <w:rPr>
          <w:rFonts w:ascii="Arial" w:hAnsi="Arial"/>
          <w:noProof w:val="0"/>
          <w:rtl/>
        </w:rPr>
      </w:pPr>
      <w:r>
        <w:rPr>
          <w:rFonts w:ascii="Arial" w:hAnsi="Arial" w:hint="cs"/>
          <w:noProof w:val="0"/>
          <w:rtl/>
        </w:rPr>
        <w:t>ההגנה עתרה לאמץ את המלצות שירות המבחן למבוגרים.</w:t>
      </w:r>
    </w:p>
    <w:p w14:paraId="7E3E9BFD" w14:textId="77777777" w:rsidR="00E753D8" w:rsidRDefault="00E753D8" w:rsidP="00E753D8">
      <w:pPr>
        <w:spacing w:line="360" w:lineRule="auto"/>
        <w:jc w:val="both"/>
        <w:rPr>
          <w:rFonts w:ascii="Arial" w:hAnsi="Arial"/>
          <w:noProof w:val="0"/>
          <w:rtl/>
        </w:rPr>
      </w:pPr>
    </w:p>
    <w:p w14:paraId="42F33897" w14:textId="77777777" w:rsidR="00E753D8" w:rsidRDefault="00E753D8" w:rsidP="00E753D8">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הוא קיבל החלטה שגויה. לדבריו, ניהל אורח חיים נורמטיבי ושאף לעבוד עם אמו בתחום הביטוח.</w:t>
      </w:r>
    </w:p>
    <w:p w14:paraId="07CEC01E" w14:textId="77777777" w:rsidR="00E753D8" w:rsidRDefault="00E753D8" w:rsidP="00E753D8">
      <w:pPr>
        <w:spacing w:line="360" w:lineRule="auto"/>
        <w:jc w:val="both"/>
        <w:rPr>
          <w:rFonts w:ascii="Arial" w:hAnsi="Arial"/>
          <w:noProof w:val="0"/>
          <w:rtl/>
        </w:rPr>
      </w:pPr>
    </w:p>
    <w:p w14:paraId="21ACE869" w14:textId="77777777" w:rsidR="00E753D8" w:rsidRDefault="00E753D8" w:rsidP="00E753D8">
      <w:pPr>
        <w:spacing w:line="360" w:lineRule="auto"/>
        <w:jc w:val="both"/>
        <w:rPr>
          <w:rFonts w:ascii="Arial" w:hAnsi="Arial"/>
          <w:noProof w:val="0"/>
          <w:rtl/>
        </w:rPr>
      </w:pPr>
      <w:r>
        <w:rPr>
          <w:rFonts w:ascii="Arial" w:hAnsi="Arial" w:hint="cs"/>
          <w:noProof w:val="0"/>
          <w:rtl/>
        </w:rPr>
        <w:t>הנאשם שיתף, כי הוא גרוש ונשוי בשנית, ויש לו ילדה מנישואיו הראשונים. לדבריו, הוא צריך לקחת אותה שלוש פעמים בשבוע למסגרות חינוך.</w:t>
      </w:r>
    </w:p>
    <w:p w14:paraId="015CCFC0" w14:textId="77777777" w:rsidR="00E753D8" w:rsidRDefault="00E753D8" w:rsidP="00E753D8">
      <w:pPr>
        <w:spacing w:line="360" w:lineRule="auto"/>
        <w:jc w:val="both"/>
        <w:rPr>
          <w:rFonts w:ascii="Arial" w:hAnsi="Arial"/>
          <w:noProof w:val="0"/>
          <w:rtl/>
        </w:rPr>
      </w:pPr>
    </w:p>
    <w:p w14:paraId="609AB6CA" w14:textId="77777777" w:rsidR="00E753D8" w:rsidRDefault="00E753D8" w:rsidP="00E753D8">
      <w:pPr>
        <w:spacing w:line="360" w:lineRule="auto"/>
        <w:jc w:val="both"/>
        <w:rPr>
          <w:rFonts w:ascii="Arial" w:hAnsi="Arial"/>
          <w:noProof w:val="0"/>
          <w:rtl/>
        </w:rPr>
      </w:pPr>
      <w:r>
        <w:rPr>
          <w:rFonts w:ascii="Arial" w:hAnsi="Arial" w:hint="cs"/>
          <w:noProof w:val="0"/>
          <w:rtl/>
        </w:rPr>
        <w:t>הנאשם שיתף בקשיים שחווה במהלך תקופת מעצרו, ובכך, שנוצר לו חוב מזונות כאשר היה עצור.</w:t>
      </w:r>
    </w:p>
    <w:p w14:paraId="2A634C83" w14:textId="77777777" w:rsidR="00E753D8" w:rsidRDefault="00E753D8" w:rsidP="00E753D8">
      <w:pPr>
        <w:spacing w:line="360" w:lineRule="auto"/>
        <w:jc w:val="both"/>
        <w:rPr>
          <w:rFonts w:ascii="Arial" w:hAnsi="Arial"/>
          <w:noProof w:val="0"/>
          <w:rtl/>
        </w:rPr>
      </w:pPr>
    </w:p>
    <w:p w14:paraId="3E7AF676" w14:textId="77777777" w:rsidR="00E753D8" w:rsidRDefault="00E753D8" w:rsidP="00E753D8">
      <w:pPr>
        <w:spacing w:line="360" w:lineRule="auto"/>
        <w:jc w:val="both"/>
        <w:rPr>
          <w:rFonts w:ascii="Arial" w:hAnsi="Arial"/>
          <w:noProof w:val="0"/>
          <w:rtl/>
        </w:rPr>
      </w:pPr>
      <w:r>
        <w:rPr>
          <w:rFonts w:ascii="Arial" w:hAnsi="Arial" w:hint="cs"/>
          <w:noProof w:val="0"/>
          <w:rtl/>
        </w:rPr>
        <w:t>לדבריו, לא ידע שמדובר בסם, ורק כאשר הגיע לבאר שבע, הודיע לו החבר, ממנו קיבל את המעטפה, מה הולך לקרות. לדבריו, אמר לחברו שהוא לא רוצה לעשות את זה ואף סירב לקבל את התשלום על כך.</w:t>
      </w:r>
    </w:p>
    <w:p w14:paraId="0E4DE18A" w14:textId="77777777" w:rsidR="00E753D8" w:rsidRDefault="00E753D8" w:rsidP="00E753D8">
      <w:pPr>
        <w:spacing w:line="360" w:lineRule="auto"/>
        <w:jc w:val="both"/>
        <w:rPr>
          <w:rFonts w:ascii="Arial" w:hAnsi="Arial"/>
          <w:noProof w:val="0"/>
          <w:rtl/>
        </w:rPr>
      </w:pPr>
    </w:p>
    <w:p w14:paraId="5CD22859" w14:textId="77777777" w:rsidR="00E753D8" w:rsidRDefault="00E753D8" w:rsidP="00E753D8">
      <w:pPr>
        <w:spacing w:line="360" w:lineRule="auto"/>
        <w:jc w:val="both"/>
        <w:rPr>
          <w:rFonts w:ascii="Arial" w:hAnsi="Arial"/>
          <w:noProof w:val="0"/>
          <w:rtl/>
        </w:rPr>
      </w:pPr>
      <w:r>
        <w:rPr>
          <w:rFonts w:ascii="Arial" w:hAnsi="Arial" w:hint="cs"/>
          <w:noProof w:val="0"/>
          <w:rtl/>
        </w:rPr>
        <w:t>הנאשם שיתף, כי הוא עובר טיפול פרטני עם אשתו, עקב החוויות הקשות שחווה בעת מעצרו.</w:t>
      </w:r>
    </w:p>
    <w:p w14:paraId="0562C789" w14:textId="77777777" w:rsidR="00E753D8" w:rsidRDefault="00E753D8" w:rsidP="00E753D8">
      <w:pPr>
        <w:spacing w:line="360" w:lineRule="auto"/>
        <w:jc w:val="both"/>
        <w:rPr>
          <w:rFonts w:ascii="Arial" w:hAnsi="Arial"/>
          <w:noProof w:val="0"/>
          <w:rtl/>
        </w:rPr>
      </w:pPr>
    </w:p>
    <w:p w14:paraId="398D8725" w14:textId="77777777" w:rsidR="00E753D8" w:rsidRDefault="00E753D8" w:rsidP="00E753D8">
      <w:pPr>
        <w:spacing w:line="360" w:lineRule="auto"/>
        <w:jc w:val="both"/>
        <w:rPr>
          <w:rFonts w:ascii="Arial" w:hAnsi="Arial"/>
          <w:noProof w:val="0"/>
          <w:rtl/>
        </w:rPr>
      </w:pPr>
    </w:p>
    <w:p w14:paraId="05866F03" w14:textId="77777777" w:rsidR="00E753D8" w:rsidRDefault="00E753D8" w:rsidP="00E753D8">
      <w:pPr>
        <w:spacing w:line="360" w:lineRule="auto"/>
        <w:jc w:val="both"/>
        <w:rPr>
          <w:rFonts w:ascii="Arial" w:hAnsi="Arial"/>
          <w:noProof w:val="0"/>
          <w:rtl/>
        </w:rPr>
      </w:pPr>
      <w:r>
        <w:rPr>
          <w:rFonts w:ascii="Arial" w:hAnsi="Arial" w:hint="cs"/>
          <w:b/>
          <w:bCs/>
          <w:noProof w:val="0"/>
          <w:rtl/>
        </w:rPr>
        <w:t>דיון והכרעה</w:t>
      </w:r>
    </w:p>
    <w:p w14:paraId="115D6E08" w14:textId="77777777" w:rsidR="00E753D8" w:rsidRDefault="00E753D8" w:rsidP="00E753D8">
      <w:pPr>
        <w:spacing w:line="360" w:lineRule="auto"/>
        <w:jc w:val="both"/>
        <w:rPr>
          <w:rFonts w:ascii="Arial" w:hAnsi="Arial"/>
          <w:noProof w:val="0"/>
          <w:rtl/>
        </w:rPr>
      </w:pPr>
    </w:p>
    <w:p w14:paraId="4852D543" w14:textId="77777777" w:rsidR="00E753D8" w:rsidRPr="0027599F" w:rsidRDefault="00E753D8" w:rsidP="00E753D8">
      <w:pPr>
        <w:spacing w:line="360" w:lineRule="auto"/>
        <w:jc w:val="both"/>
        <w:rPr>
          <w:rFonts w:ascii="Arial" w:hAnsi="Arial"/>
          <w:noProof w:val="0"/>
        </w:rPr>
      </w:pPr>
      <w:r w:rsidRPr="0027599F">
        <w:rPr>
          <w:rFonts w:ascii="Arial" w:hAnsi="Arial"/>
          <w:noProof w:val="0"/>
          <w:rtl/>
        </w:rPr>
        <w:t>בית המשפט כבר אמר דברו, לא פעם, בדבר הצורך להילחם בנגע הסמים ובייחוד במי שמפיצים סם מסוכן.</w:t>
      </w:r>
    </w:p>
    <w:p w14:paraId="2CCC5990" w14:textId="77777777" w:rsidR="00E753D8" w:rsidRPr="0027599F" w:rsidRDefault="00E753D8" w:rsidP="00E753D8">
      <w:pPr>
        <w:spacing w:line="360" w:lineRule="auto"/>
        <w:jc w:val="both"/>
        <w:rPr>
          <w:rFonts w:ascii="Arial" w:hAnsi="Arial"/>
          <w:noProof w:val="0"/>
        </w:rPr>
      </w:pPr>
    </w:p>
    <w:p w14:paraId="3694A435" w14:textId="77777777" w:rsidR="00E753D8" w:rsidRPr="0027599F" w:rsidRDefault="00E753D8" w:rsidP="00E753D8">
      <w:pPr>
        <w:spacing w:line="360" w:lineRule="auto"/>
        <w:jc w:val="both"/>
        <w:rPr>
          <w:rFonts w:ascii="Arial" w:hAnsi="Arial"/>
          <w:noProof w:val="0"/>
        </w:rPr>
      </w:pPr>
      <w:r w:rsidRPr="0027599F">
        <w:rPr>
          <w:rFonts w:ascii="Arial" w:hAnsi="Arial"/>
          <w:noProof w:val="0"/>
          <w:rtl/>
        </w:rPr>
        <w:t>לעבירות אלה השלכות – הן מבחינת שלום הציבור ובריאותו, והן השלכות כלכליות, תוך גלגול כספים לא מדווחים, בהיקף גדול, אשר, בסופו של דבר, מגיעים למימון פשיעה, הימורים ושאר תופעות שליליות הפוגעות בכלכלת המדינה ובחברה.</w:t>
      </w:r>
    </w:p>
    <w:p w14:paraId="7F6C563F" w14:textId="77777777" w:rsidR="00E753D8" w:rsidRPr="0027599F" w:rsidRDefault="00E753D8" w:rsidP="00E753D8">
      <w:pPr>
        <w:spacing w:line="360" w:lineRule="auto"/>
        <w:jc w:val="both"/>
        <w:rPr>
          <w:rFonts w:ascii="Arial" w:hAnsi="Arial"/>
          <w:noProof w:val="0"/>
          <w:rtl/>
        </w:rPr>
      </w:pPr>
    </w:p>
    <w:p w14:paraId="7A35BCA6" w14:textId="77777777" w:rsidR="00E753D8" w:rsidRPr="0027599F" w:rsidRDefault="00E753D8" w:rsidP="00E753D8">
      <w:pPr>
        <w:spacing w:line="360" w:lineRule="auto"/>
        <w:jc w:val="both"/>
        <w:rPr>
          <w:rFonts w:ascii="Arial" w:hAnsi="Arial"/>
          <w:noProof w:val="0"/>
          <w:rtl/>
        </w:rPr>
      </w:pPr>
      <w:r w:rsidRPr="0027599F">
        <w:rPr>
          <w:rFonts w:ascii="Arial" w:hAnsi="Arial"/>
          <w:noProof w:val="0"/>
          <w:rtl/>
        </w:rPr>
        <w:t>על אף רוחות שונות הנושבות בתחום זה, גם סם מסוכן מסוג קנביס, הוא חומר ממכר, ששימוש מתמשך בו עלול לגרום נזקים לא קלים בתחום התובנה, תפישת המציאות ובייחוד בתחום התפקודי והתעסוקתי, ומכאן גם – נזקים חברתיים.</w:t>
      </w:r>
    </w:p>
    <w:p w14:paraId="7A931F9E" w14:textId="77777777" w:rsidR="00E753D8" w:rsidRPr="0027599F" w:rsidRDefault="00E753D8" w:rsidP="00E753D8">
      <w:pPr>
        <w:spacing w:line="360" w:lineRule="auto"/>
        <w:jc w:val="both"/>
        <w:rPr>
          <w:rFonts w:ascii="Arial" w:hAnsi="Arial"/>
          <w:noProof w:val="0"/>
        </w:rPr>
      </w:pPr>
    </w:p>
    <w:p w14:paraId="7930DF37" w14:textId="77777777" w:rsidR="00E753D8" w:rsidRPr="00DE0CAC" w:rsidRDefault="00E753D8" w:rsidP="00E753D8">
      <w:pPr>
        <w:spacing w:line="360" w:lineRule="auto"/>
        <w:jc w:val="both"/>
        <w:rPr>
          <w:rFonts w:ascii="Arial" w:hAnsi="Arial"/>
          <w:noProof w:val="0"/>
          <w:rtl/>
        </w:rPr>
      </w:pPr>
      <w:r w:rsidRPr="0027599F">
        <w:rPr>
          <w:rFonts w:ascii="Arial" w:hAnsi="Arial"/>
          <w:noProof w:val="0"/>
          <w:rtl/>
        </w:rPr>
        <w:t xml:space="preserve">על חומרתן של עבירות סחר בסם מסוכן, ראו </w:t>
      </w:r>
      <w:hyperlink r:id="rId16" w:history="1">
        <w:r w:rsidR="00DE25E4" w:rsidRPr="00DE25E4">
          <w:rPr>
            <w:rFonts w:ascii="Arial" w:hAnsi="Arial"/>
            <w:noProof w:val="0"/>
            <w:color w:val="0000FF"/>
            <w:u w:val="single"/>
            <w:rtl/>
          </w:rPr>
          <w:t>רע"פ 8695/19</w:t>
        </w:r>
      </w:hyperlink>
      <w:r>
        <w:rPr>
          <w:rFonts w:ascii="Arial" w:hAnsi="Arial" w:hint="cs"/>
          <w:noProof w:val="0"/>
          <w:rtl/>
        </w:rPr>
        <w:t xml:space="preserve"> </w:t>
      </w:r>
      <w:r>
        <w:rPr>
          <w:rFonts w:ascii="Arial" w:hAnsi="Arial" w:hint="cs"/>
          <w:b/>
          <w:bCs/>
          <w:noProof w:val="0"/>
          <w:rtl/>
        </w:rPr>
        <w:t>פסו נ' מדינת ישראל</w:t>
      </w:r>
      <w:r>
        <w:rPr>
          <w:rFonts w:ascii="Arial" w:hAnsi="Arial" w:hint="cs"/>
          <w:noProof w:val="0"/>
          <w:rtl/>
        </w:rPr>
        <w:t xml:space="preserve"> (פורסם במאגרים):</w:t>
      </w:r>
    </w:p>
    <w:p w14:paraId="62F033B2" w14:textId="77777777" w:rsidR="00E753D8" w:rsidRDefault="00E753D8" w:rsidP="00E753D8">
      <w:pPr>
        <w:spacing w:line="360" w:lineRule="auto"/>
        <w:jc w:val="both"/>
        <w:rPr>
          <w:rFonts w:ascii="Arial" w:hAnsi="Arial"/>
          <w:noProof w:val="0"/>
          <w:rtl/>
        </w:rPr>
      </w:pPr>
    </w:p>
    <w:p w14:paraId="33FC111A" w14:textId="77777777" w:rsidR="00E753D8" w:rsidRPr="00DE0CAC" w:rsidRDefault="00E753D8" w:rsidP="00E753D8">
      <w:pPr>
        <w:spacing w:line="360" w:lineRule="auto"/>
        <w:jc w:val="both"/>
        <w:rPr>
          <w:rFonts w:ascii="Arial" w:hAnsi="Arial" w:cs="Aharoni"/>
          <w:noProof w:val="0"/>
          <w:rtl/>
        </w:rPr>
      </w:pPr>
      <w:r w:rsidRPr="00DE0CAC">
        <w:rPr>
          <w:rFonts w:ascii="Century" w:hAnsi="Century" w:cs="Aharoni" w:hint="eastAsia"/>
          <w:rtl/>
        </w:rPr>
        <w:t>בית</w:t>
      </w:r>
      <w:r w:rsidRPr="00DE0CAC">
        <w:rPr>
          <w:rFonts w:ascii="Century" w:hAnsi="Century" w:cs="Aharoni"/>
          <w:rtl/>
        </w:rPr>
        <w:t xml:space="preserve"> </w:t>
      </w:r>
      <w:r w:rsidRPr="00DE0CAC">
        <w:rPr>
          <w:rFonts w:ascii="Century" w:hAnsi="Century" w:cs="Aharoni" w:hint="eastAsia"/>
          <w:rtl/>
        </w:rPr>
        <w:t>משפט</w:t>
      </w:r>
      <w:r w:rsidRPr="00DE0CAC">
        <w:rPr>
          <w:rFonts w:ascii="Century" w:hAnsi="Century" w:cs="Aharoni"/>
          <w:rtl/>
        </w:rPr>
        <w:t xml:space="preserve"> </w:t>
      </w:r>
      <w:r w:rsidRPr="00DE0CAC">
        <w:rPr>
          <w:rFonts w:ascii="Century" w:hAnsi="Century" w:cs="Aharoni" w:hint="eastAsia"/>
          <w:rtl/>
        </w:rPr>
        <w:t>זה</w:t>
      </w:r>
      <w:r w:rsidRPr="00DE0CAC">
        <w:rPr>
          <w:rFonts w:ascii="Century" w:hAnsi="Century" w:cs="Aharoni"/>
          <w:rtl/>
        </w:rPr>
        <w:t xml:space="preserve"> </w:t>
      </w:r>
      <w:r w:rsidRPr="00DE0CAC">
        <w:rPr>
          <w:rFonts w:ascii="Century" w:hAnsi="Century" w:cs="Aharoni" w:hint="eastAsia"/>
          <w:rtl/>
        </w:rPr>
        <w:t>שב</w:t>
      </w:r>
      <w:r w:rsidRPr="00DE0CAC">
        <w:rPr>
          <w:rFonts w:ascii="Century" w:hAnsi="Century" w:cs="Aharoni"/>
          <w:rtl/>
        </w:rPr>
        <w:t xml:space="preserve"> </w:t>
      </w:r>
      <w:r w:rsidRPr="00DE0CAC">
        <w:rPr>
          <w:rFonts w:ascii="Century" w:hAnsi="Century" w:cs="Aharoni" w:hint="eastAsia"/>
          <w:rtl/>
        </w:rPr>
        <w:t>והדגיש</w:t>
      </w:r>
      <w:r w:rsidRPr="00DE0CAC">
        <w:rPr>
          <w:rFonts w:ascii="Century" w:hAnsi="Century" w:cs="Aharoni"/>
          <w:rtl/>
        </w:rPr>
        <w:t xml:space="preserve"> </w:t>
      </w:r>
      <w:r w:rsidRPr="00DE0CAC">
        <w:rPr>
          <w:rFonts w:ascii="Century" w:hAnsi="Century" w:cs="Aharoni" w:hint="eastAsia"/>
          <w:rtl/>
        </w:rPr>
        <w:t>כי</w:t>
      </w:r>
      <w:r w:rsidRPr="00DE0CAC">
        <w:rPr>
          <w:rFonts w:ascii="Century" w:hAnsi="Century" w:cs="Aharoni"/>
          <w:rtl/>
        </w:rPr>
        <w:t xml:space="preserve"> </w:t>
      </w:r>
      <w:r w:rsidRPr="00DE0CAC">
        <w:rPr>
          <w:rFonts w:ascii="Century" w:hAnsi="Century" w:cs="Aharoni" w:hint="eastAsia"/>
          <w:rtl/>
        </w:rPr>
        <w:t>על</w:t>
      </w:r>
      <w:r w:rsidRPr="00DE0CAC">
        <w:rPr>
          <w:rFonts w:ascii="Century" w:hAnsi="Century" w:cs="Aharoni"/>
          <w:rtl/>
        </w:rPr>
        <w:t xml:space="preserve"> </w:t>
      </w:r>
      <w:r w:rsidRPr="00DE0CAC">
        <w:rPr>
          <w:rFonts w:ascii="Century" w:hAnsi="Century" w:cs="Aharoni" w:hint="eastAsia"/>
          <w:rtl/>
        </w:rPr>
        <w:t>מדיניות</w:t>
      </w:r>
      <w:r w:rsidRPr="00DE0CAC">
        <w:rPr>
          <w:rFonts w:ascii="Century" w:hAnsi="Century" w:cs="Aharoni"/>
          <w:rtl/>
        </w:rPr>
        <w:t xml:space="preserve"> </w:t>
      </w:r>
      <w:r w:rsidRPr="00DE0CAC">
        <w:rPr>
          <w:rFonts w:ascii="Century" w:hAnsi="Century" w:cs="Aharoni" w:hint="eastAsia"/>
          <w:rtl/>
        </w:rPr>
        <w:t>הענישה</w:t>
      </w:r>
      <w:r w:rsidRPr="00DE0CAC">
        <w:rPr>
          <w:rFonts w:ascii="Century" w:hAnsi="Century" w:cs="Aharoni"/>
          <w:rtl/>
        </w:rPr>
        <w:t xml:space="preserve"> </w:t>
      </w:r>
      <w:r w:rsidRPr="00DE0CAC">
        <w:rPr>
          <w:rFonts w:ascii="Century" w:hAnsi="Century" w:cs="Aharoni" w:hint="eastAsia"/>
          <w:rtl/>
        </w:rPr>
        <w:t>בגין</w:t>
      </w:r>
      <w:r w:rsidRPr="00DE0CAC">
        <w:rPr>
          <w:rFonts w:ascii="Century" w:hAnsi="Century" w:cs="Aharoni"/>
          <w:rtl/>
        </w:rPr>
        <w:t xml:space="preserve"> </w:t>
      </w:r>
      <w:r w:rsidRPr="00DE0CAC">
        <w:rPr>
          <w:rFonts w:ascii="Century" w:hAnsi="Century" w:cs="Aharoni" w:hint="eastAsia"/>
          <w:u w:val="single"/>
          <w:rtl/>
        </w:rPr>
        <w:t>סחר</w:t>
      </w:r>
      <w:r w:rsidRPr="00DE0CAC">
        <w:rPr>
          <w:rFonts w:ascii="Century" w:hAnsi="Century" w:cs="Aharoni"/>
          <w:rtl/>
        </w:rPr>
        <w:t xml:space="preserve"> </w:t>
      </w:r>
      <w:r w:rsidRPr="00DE0CAC">
        <w:rPr>
          <w:rFonts w:ascii="Century" w:hAnsi="Century" w:cs="Aharoni" w:hint="eastAsia"/>
          <w:rtl/>
        </w:rPr>
        <w:t>והפצה</w:t>
      </w:r>
      <w:r w:rsidRPr="00DE0CAC">
        <w:rPr>
          <w:rFonts w:ascii="Century" w:hAnsi="Century" w:cs="Aharoni"/>
          <w:rtl/>
        </w:rPr>
        <w:t xml:space="preserve"> </w:t>
      </w:r>
      <w:r w:rsidRPr="00DE0CAC">
        <w:rPr>
          <w:rFonts w:ascii="Century" w:hAnsi="Century" w:cs="Aharoni" w:hint="eastAsia"/>
          <w:rtl/>
        </w:rPr>
        <w:t>של</w:t>
      </w:r>
      <w:r w:rsidRPr="00DE0CAC">
        <w:rPr>
          <w:rFonts w:ascii="Century" w:hAnsi="Century" w:cs="Aharoni"/>
          <w:rtl/>
        </w:rPr>
        <w:t xml:space="preserve"> </w:t>
      </w:r>
      <w:r w:rsidRPr="00DE0CAC">
        <w:rPr>
          <w:rFonts w:ascii="Century" w:hAnsi="Century" w:cs="Aharoni" w:hint="eastAsia"/>
          <w:rtl/>
        </w:rPr>
        <w:t>סמים</w:t>
      </w:r>
      <w:r w:rsidRPr="00DE0CAC">
        <w:rPr>
          <w:rFonts w:ascii="Century" w:hAnsi="Century" w:cs="Aharoni"/>
          <w:rtl/>
        </w:rPr>
        <w:t xml:space="preserve"> </w:t>
      </w:r>
      <w:r w:rsidRPr="00DE0CAC">
        <w:rPr>
          <w:rFonts w:ascii="Century" w:hAnsi="Century" w:cs="Aharoni" w:hint="eastAsia"/>
          <w:rtl/>
        </w:rPr>
        <w:t>מסוכנים</w:t>
      </w:r>
      <w:r w:rsidRPr="00DE0CAC">
        <w:rPr>
          <w:rFonts w:ascii="Century" w:hAnsi="Century" w:cs="Aharoni"/>
          <w:rtl/>
        </w:rPr>
        <w:t xml:space="preserve">, </w:t>
      </w:r>
      <w:r w:rsidRPr="00DE0CAC">
        <w:rPr>
          <w:rFonts w:ascii="Century" w:hAnsi="Century" w:cs="Aharoni" w:hint="eastAsia"/>
          <w:rtl/>
        </w:rPr>
        <w:t>ובכללן</w:t>
      </w:r>
      <w:r w:rsidRPr="00DE0CAC">
        <w:rPr>
          <w:rFonts w:ascii="Century" w:hAnsi="Century" w:cs="Aharoni"/>
          <w:rtl/>
        </w:rPr>
        <w:t xml:space="preserve"> </w:t>
      </w:r>
      <w:r w:rsidRPr="00DE0CAC">
        <w:rPr>
          <w:rFonts w:ascii="Century" w:hAnsi="Century" w:cs="Aharoni" w:hint="eastAsia"/>
          <w:rtl/>
        </w:rPr>
        <w:t>סמים</w:t>
      </w:r>
      <w:r w:rsidRPr="00DE0CAC">
        <w:rPr>
          <w:rFonts w:ascii="Century" w:hAnsi="Century" w:cs="Aharoni"/>
          <w:rtl/>
        </w:rPr>
        <w:t xml:space="preserve"> </w:t>
      </w:r>
      <w:r w:rsidRPr="00DE0CAC">
        <w:rPr>
          <w:rFonts w:ascii="Century" w:hAnsi="Century" w:cs="Aharoni" w:hint="eastAsia"/>
          <w:rtl/>
        </w:rPr>
        <w:t>הנחשבים</w:t>
      </w:r>
      <w:r w:rsidRPr="00DE0CAC">
        <w:rPr>
          <w:rFonts w:ascii="Century" w:hAnsi="Century" w:cs="Aharoni"/>
          <w:rtl/>
        </w:rPr>
        <w:t xml:space="preserve"> </w:t>
      </w:r>
      <w:r w:rsidRPr="00DE0CAC">
        <w:rPr>
          <w:rFonts w:ascii="Century" w:hAnsi="Century" w:cs="Aharoni" w:hint="eastAsia"/>
          <w:rtl/>
        </w:rPr>
        <w:t>כ</w:t>
      </w:r>
      <w:r w:rsidRPr="00DE0CAC">
        <w:rPr>
          <w:rFonts w:ascii="Century" w:hAnsi="Century" w:cs="Aharoni"/>
          <w:rtl/>
        </w:rPr>
        <w:t>"</w:t>
      </w:r>
      <w:r w:rsidRPr="00DE0CAC">
        <w:rPr>
          <w:rFonts w:ascii="Century" w:hAnsi="Century" w:cs="Aharoni" w:hint="eastAsia"/>
          <w:rtl/>
        </w:rPr>
        <w:t>סמים</w:t>
      </w:r>
      <w:r w:rsidRPr="00DE0CAC">
        <w:rPr>
          <w:rFonts w:ascii="Century" w:hAnsi="Century" w:cs="Aharoni"/>
          <w:rtl/>
        </w:rPr>
        <w:t xml:space="preserve"> </w:t>
      </w:r>
      <w:r w:rsidRPr="00DE0CAC">
        <w:rPr>
          <w:rFonts w:ascii="Century" w:hAnsi="Century" w:cs="Aharoni" w:hint="eastAsia"/>
          <w:rtl/>
        </w:rPr>
        <w:t>קלים</w:t>
      </w:r>
      <w:r w:rsidRPr="00DE0CAC">
        <w:rPr>
          <w:rFonts w:ascii="Century" w:hAnsi="Century" w:cs="Aharoni"/>
          <w:rtl/>
        </w:rPr>
        <w:t xml:space="preserve">", </w:t>
      </w:r>
      <w:r w:rsidRPr="00DE0CAC">
        <w:rPr>
          <w:rFonts w:ascii="Century" w:hAnsi="Century" w:cs="Aharoni" w:hint="eastAsia"/>
          <w:rtl/>
        </w:rPr>
        <w:t>להיות</w:t>
      </w:r>
      <w:r w:rsidRPr="00DE0CAC">
        <w:rPr>
          <w:rFonts w:ascii="Century" w:hAnsi="Century" w:cs="Aharoni"/>
          <w:rtl/>
        </w:rPr>
        <w:t xml:space="preserve"> </w:t>
      </w:r>
      <w:r w:rsidRPr="00DE0CAC">
        <w:rPr>
          <w:rFonts w:ascii="Century" w:hAnsi="Century" w:cs="Aharoni" w:hint="eastAsia"/>
          <w:u w:val="single"/>
          <w:rtl/>
        </w:rPr>
        <w:t>מרתיעה</w:t>
      </w:r>
      <w:r w:rsidRPr="00DE0CAC">
        <w:rPr>
          <w:rFonts w:ascii="Century" w:hAnsi="Century" w:cs="Aharoni"/>
          <w:u w:val="single"/>
          <w:rtl/>
        </w:rPr>
        <w:t xml:space="preserve"> </w:t>
      </w:r>
      <w:r w:rsidRPr="00DE0CAC">
        <w:rPr>
          <w:rFonts w:ascii="Century" w:hAnsi="Century" w:cs="Aharoni" w:hint="eastAsia"/>
          <w:u w:val="single"/>
          <w:rtl/>
        </w:rPr>
        <w:t>ומשמעותית</w:t>
      </w:r>
      <w:r w:rsidRPr="00DE0CAC">
        <w:rPr>
          <w:rFonts w:ascii="Century" w:hAnsi="Century" w:cs="Aharoni"/>
          <w:rtl/>
        </w:rPr>
        <w:t xml:space="preserve">, </w:t>
      </w:r>
      <w:r w:rsidRPr="00DE0CAC">
        <w:rPr>
          <w:rFonts w:ascii="Century" w:hAnsi="Century" w:cs="Aharoni" w:hint="eastAsia"/>
          <w:rtl/>
        </w:rPr>
        <w:t>וכי</w:t>
      </w:r>
      <w:r w:rsidRPr="00DE0CAC">
        <w:rPr>
          <w:rFonts w:ascii="Century" w:hAnsi="Century" w:cs="Aharoni"/>
          <w:rtl/>
        </w:rPr>
        <w:t xml:space="preserve"> </w:t>
      </w:r>
      <w:r w:rsidRPr="00DE0CAC">
        <w:rPr>
          <w:rFonts w:ascii="Century" w:hAnsi="Century" w:cs="Aharoni" w:hint="eastAsia"/>
          <w:rtl/>
        </w:rPr>
        <w:t>יש</w:t>
      </w:r>
      <w:r w:rsidRPr="00DE0CAC">
        <w:rPr>
          <w:rFonts w:ascii="Century" w:hAnsi="Century" w:cs="Aharoni"/>
          <w:rtl/>
        </w:rPr>
        <w:t xml:space="preserve"> </w:t>
      </w:r>
      <w:r w:rsidRPr="00DE0CAC">
        <w:rPr>
          <w:rFonts w:ascii="Century" w:hAnsi="Century" w:cs="Aharoni" w:hint="eastAsia"/>
          <w:rtl/>
        </w:rPr>
        <w:t>לראות</w:t>
      </w:r>
      <w:r w:rsidRPr="00DE0CAC">
        <w:rPr>
          <w:rFonts w:ascii="Century" w:hAnsi="Century" w:cs="Aharoni"/>
          <w:rtl/>
        </w:rPr>
        <w:t xml:space="preserve"> </w:t>
      </w:r>
      <w:r w:rsidRPr="00DE0CAC">
        <w:rPr>
          <w:rFonts w:ascii="Century" w:hAnsi="Century" w:cs="Aharoni" w:hint="eastAsia"/>
          <w:rtl/>
        </w:rPr>
        <w:t>בחומרה</w:t>
      </w:r>
      <w:r w:rsidRPr="00DE0CAC">
        <w:rPr>
          <w:rFonts w:ascii="Century" w:hAnsi="Century" w:cs="Aharoni"/>
          <w:rtl/>
        </w:rPr>
        <w:t xml:space="preserve"> </w:t>
      </w:r>
      <w:r w:rsidRPr="00DE0CAC">
        <w:rPr>
          <w:rFonts w:ascii="Century" w:hAnsi="Century" w:cs="Aharoni" w:hint="eastAsia"/>
          <w:rtl/>
        </w:rPr>
        <w:t>ניסיונות</w:t>
      </w:r>
      <w:r w:rsidRPr="00DE0CAC">
        <w:rPr>
          <w:rFonts w:ascii="Century" w:hAnsi="Century" w:cs="Aharoni"/>
          <w:rtl/>
        </w:rPr>
        <w:t xml:space="preserve"> </w:t>
      </w:r>
      <w:r w:rsidRPr="00DE0CAC">
        <w:rPr>
          <w:rFonts w:ascii="Century" w:hAnsi="Century" w:cs="Aharoni" w:hint="eastAsia"/>
          <w:rtl/>
        </w:rPr>
        <w:t>לעשיית</w:t>
      </w:r>
      <w:r w:rsidRPr="00DE0CAC">
        <w:rPr>
          <w:rFonts w:ascii="Century" w:hAnsi="Century" w:cs="Aharoni"/>
          <w:rtl/>
        </w:rPr>
        <w:t xml:space="preserve"> </w:t>
      </w:r>
      <w:r w:rsidRPr="00DE0CAC">
        <w:rPr>
          <w:rFonts w:ascii="Century" w:hAnsi="Century" w:cs="Aharoni" w:hint="eastAsia"/>
          <w:rtl/>
        </w:rPr>
        <w:t>רווח</w:t>
      </w:r>
      <w:r w:rsidRPr="00DE0CAC">
        <w:rPr>
          <w:rFonts w:ascii="Century" w:hAnsi="Century" w:cs="Aharoni"/>
          <w:rtl/>
        </w:rPr>
        <w:t xml:space="preserve"> </w:t>
      </w:r>
      <w:r w:rsidRPr="00DE0CAC">
        <w:rPr>
          <w:rFonts w:ascii="Century" w:hAnsi="Century" w:cs="Aharoni" w:hint="eastAsia"/>
          <w:rtl/>
        </w:rPr>
        <w:t>כספי</w:t>
      </w:r>
      <w:r w:rsidRPr="00DE0CAC">
        <w:rPr>
          <w:rFonts w:ascii="Century" w:hAnsi="Century" w:cs="Aharoni"/>
          <w:rtl/>
        </w:rPr>
        <w:t xml:space="preserve"> </w:t>
      </w:r>
      <w:r w:rsidRPr="00DE0CAC">
        <w:rPr>
          <w:rFonts w:ascii="Century" w:hAnsi="Century" w:cs="Aharoni" w:hint="eastAsia"/>
          <w:rtl/>
        </w:rPr>
        <w:t>באמצעות</w:t>
      </w:r>
      <w:r w:rsidRPr="00DE0CAC">
        <w:rPr>
          <w:rFonts w:ascii="Century" w:hAnsi="Century" w:cs="Aharoni"/>
          <w:rtl/>
        </w:rPr>
        <w:t xml:space="preserve"> </w:t>
      </w:r>
      <w:r w:rsidRPr="00DE0CAC">
        <w:rPr>
          <w:rFonts w:ascii="Century" w:hAnsi="Century" w:cs="Aharoni" w:hint="eastAsia"/>
          <w:rtl/>
        </w:rPr>
        <w:t>סחר</w:t>
      </w:r>
      <w:r w:rsidRPr="00DE0CAC">
        <w:rPr>
          <w:rFonts w:ascii="Century" w:hAnsi="Century" w:cs="Aharoni"/>
          <w:rtl/>
        </w:rPr>
        <w:t xml:space="preserve"> </w:t>
      </w:r>
      <w:r w:rsidRPr="00DE0CAC">
        <w:rPr>
          <w:rFonts w:ascii="Century" w:hAnsi="Century" w:cs="Aharoni" w:hint="eastAsia"/>
          <w:rtl/>
        </w:rPr>
        <w:t>בסמים</w:t>
      </w:r>
      <w:r w:rsidRPr="00DE0CAC">
        <w:rPr>
          <w:rFonts w:ascii="Century" w:hAnsi="Century" w:cs="Aharoni"/>
          <w:rtl/>
        </w:rPr>
        <w:t xml:space="preserve"> </w:t>
      </w:r>
      <w:r w:rsidRPr="00DE0CAC">
        <w:rPr>
          <w:rFonts w:ascii="Century" w:hAnsi="Century" w:cs="Aharoni" w:hint="eastAsia"/>
          <w:rtl/>
        </w:rPr>
        <w:t>אלה</w:t>
      </w:r>
    </w:p>
    <w:p w14:paraId="6828D953" w14:textId="77777777" w:rsidR="00E753D8" w:rsidRDefault="00E753D8" w:rsidP="00E753D8">
      <w:pPr>
        <w:spacing w:line="360" w:lineRule="auto"/>
        <w:jc w:val="both"/>
        <w:rPr>
          <w:rFonts w:ascii="Arial" w:hAnsi="Arial"/>
          <w:noProof w:val="0"/>
          <w:rtl/>
        </w:rPr>
      </w:pPr>
      <w:r>
        <w:rPr>
          <w:rFonts w:ascii="Arial" w:hAnsi="Arial" w:hint="cs"/>
          <w:noProof w:val="0"/>
          <w:rtl/>
        </w:rPr>
        <w:t>(ההדגשות אינן במקור).</w:t>
      </w:r>
    </w:p>
    <w:p w14:paraId="02263EEA" w14:textId="77777777" w:rsidR="00E753D8" w:rsidRDefault="00E753D8" w:rsidP="00E753D8">
      <w:pPr>
        <w:spacing w:line="360" w:lineRule="auto"/>
        <w:jc w:val="both"/>
        <w:rPr>
          <w:rFonts w:ascii="Arial" w:hAnsi="Arial"/>
          <w:noProof w:val="0"/>
          <w:rtl/>
        </w:rPr>
      </w:pPr>
    </w:p>
    <w:p w14:paraId="104850DB" w14:textId="77777777" w:rsidR="00E753D8" w:rsidRPr="0027599F" w:rsidRDefault="00E753D8" w:rsidP="00E753D8">
      <w:pPr>
        <w:spacing w:line="360" w:lineRule="auto"/>
        <w:jc w:val="both"/>
        <w:rPr>
          <w:rFonts w:ascii="David" w:hAnsi="David"/>
          <w:noProof w:val="0"/>
          <w:rtl/>
        </w:rPr>
      </w:pPr>
      <w:r>
        <w:rPr>
          <w:rFonts w:ascii="Arial" w:hAnsi="Arial" w:hint="cs"/>
          <w:noProof w:val="0"/>
          <w:rtl/>
        </w:rPr>
        <w:t xml:space="preserve">עוד ראו, </w:t>
      </w:r>
      <w:hyperlink r:id="rId17" w:history="1">
        <w:r w:rsidR="00DE25E4" w:rsidRPr="00DE25E4">
          <w:rPr>
            <w:rFonts w:ascii="David" w:hAnsi="David"/>
            <w:noProof w:val="0"/>
            <w:color w:val="0000FF"/>
            <w:u w:val="single"/>
            <w:rtl/>
          </w:rPr>
          <w:t>עפ"ג 53142-12-16</w:t>
        </w:r>
      </w:hyperlink>
      <w:r w:rsidRPr="0027599F">
        <w:rPr>
          <w:rFonts w:ascii="David" w:hAnsi="David"/>
          <w:noProof w:val="0"/>
          <w:rtl/>
        </w:rPr>
        <w:t xml:space="preserve"> רחמימוב נ' מדינת ישראל (פורסם במאגרים):</w:t>
      </w:r>
    </w:p>
    <w:p w14:paraId="41529DBB" w14:textId="77777777" w:rsidR="00E753D8" w:rsidRPr="0027599F" w:rsidRDefault="00E753D8" w:rsidP="00E753D8">
      <w:pPr>
        <w:spacing w:line="360" w:lineRule="auto"/>
        <w:jc w:val="both"/>
        <w:rPr>
          <w:rFonts w:ascii="David" w:hAnsi="David" w:cs="Aharoni"/>
          <w:noProof w:val="0"/>
          <w:rtl/>
        </w:rPr>
      </w:pPr>
    </w:p>
    <w:p w14:paraId="1979D3F2" w14:textId="77777777" w:rsidR="00E753D8" w:rsidRPr="0027599F" w:rsidRDefault="00E753D8" w:rsidP="00E753D8">
      <w:pPr>
        <w:spacing w:line="360" w:lineRule="auto"/>
        <w:jc w:val="both"/>
        <w:rPr>
          <w:rFonts w:ascii="David" w:hAnsi="David" w:cs="Aharoni"/>
          <w:noProof w:val="0"/>
          <w:rtl/>
        </w:rPr>
      </w:pPr>
      <w:r w:rsidRPr="0027599F">
        <w:rPr>
          <w:rFonts w:ascii="David" w:hAnsi="David" w:cs="Aharoni"/>
          <w:noProof w:val="0"/>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sidRPr="008E7990">
        <w:rPr>
          <w:rFonts w:ascii="David" w:hAnsi="David" w:cs="Aharoni"/>
          <w:noProof w:val="0"/>
          <w:u w:val="single"/>
          <w:rtl/>
        </w:rPr>
        <w:t>יישא בעונש מאסר בפועל משמעותי וממושך מאחורי סורג ובריח</w:t>
      </w:r>
      <w:r w:rsidRPr="0027599F">
        <w:rPr>
          <w:rFonts w:ascii="David" w:hAnsi="David" w:cs="Aharoni"/>
          <w:noProof w:val="0"/>
          <w:rtl/>
        </w:rPr>
        <w:t xml:space="preserve">. </w:t>
      </w:r>
    </w:p>
    <w:p w14:paraId="71C4A98D" w14:textId="77777777" w:rsidR="00E753D8" w:rsidRPr="0027599F" w:rsidRDefault="00E753D8" w:rsidP="00E753D8">
      <w:pPr>
        <w:spacing w:line="360" w:lineRule="auto"/>
        <w:jc w:val="both"/>
        <w:rPr>
          <w:rFonts w:ascii="David" w:hAnsi="David"/>
          <w:noProof w:val="0"/>
          <w:rtl/>
        </w:rPr>
      </w:pPr>
      <w:r w:rsidRPr="0027599F">
        <w:rPr>
          <w:rFonts w:ascii="David" w:hAnsi="David"/>
          <w:noProof w:val="0"/>
          <w:rtl/>
        </w:rPr>
        <w:t>(ההדגשה אינה במקור).</w:t>
      </w:r>
    </w:p>
    <w:p w14:paraId="20A980BC" w14:textId="77777777" w:rsidR="00E753D8" w:rsidRPr="0027599F" w:rsidRDefault="00E753D8" w:rsidP="00E753D8">
      <w:pPr>
        <w:spacing w:line="360" w:lineRule="auto"/>
        <w:jc w:val="both"/>
        <w:rPr>
          <w:rFonts w:ascii="Arial" w:hAnsi="Arial"/>
          <w:noProof w:val="0"/>
          <w:rtl/>
        </w:rPr>
      </w:pPr>
    </w:p>
    <w:p w14:paraId="21BC5F2D" w14:textId="77777777" w:rsidR="00E753D8" w:rsidRPr="0027599F" w:rsidRDefault="00E753D8" w:rsidP="00E753D8">
      <w:pPr>
        <w:spacing w:line="360" w:lineRule="auto"/>
        <w:jc w:val="both"/>
        <w:rPr>
          <w:rFonts w:ascii="Arial" w:hAnsi="Arial"/>
          <w:noProof w:val="0"/>
          <w:rtl/>
        </w:rPr>
      </w:pPr>
      <w:r w:rsidRPr="0027599F">
        <w:rPr>
          <w:rFonts w:ascii="Arial" w:hAnsi="Arial"/>
          <w:noProof w:val="0"/>
          <w:rtl/>
        </w:rPr>
        <w:t xml:space="preserve">עוד ראו </w:t>
      </w:r>
      <w:hyperlink r:id="rId18" w:history="1">
        <w:r w:rsidR="00DE25E4" w:rsidRPr="00DE25E4">
          <w:rPr>
            <w:rFonts w:ascii="Arial" w:hAnsi="Arial"/>
            <w:noProof w:val="0"/>
            <w:color w:val="0000FF"/>
            <w:u w:val="single"/>
            <w:rtl/>
          </w:rPr>
          <w:t>ע"פ 211/09</w:t>
        </w:r>
      </w:hyperlink>
      <w:r w:rsidRPr="0027599F">
        <w:rPr>
          <w:rFonts w:ascii="Arial" w:hAnsi="Arial"/>
          <w:noProof w:val="0"/>
          <w:rtl/>
        </w:rPr>
        <w:t xml:space="preserve"> </w:t>
      </w:r>
      <w:r w:rsidRPr="0027599F">
        <w:rPr>
          <w:rFonts w:ascii="Arial" w:hAnsi="Arial"/>
          <w:b/>
          <w:bCs/>
          <w:noProof w:val="0"/>
          <w:rtl/>
        </w:rPr>
        <w:t>אזולאי נ' מדינת ישראל</w:t>
      </w:r>
      <w:r w:rsidRPr="0027599F">
        <w:rPr>
          <w:rFonts w:ascii="Arial" w:hAnsi="Arial"/>
          <w:noProof w:val="0"/>
          <w:rtl/>
        </w:rPr>
        <w:t xml:space="preserve"> (פורסם במאגרים): </w:t>
      </w:r>
    </w:p>
    <w:p w14:paraId="529C01A3" w14:textId="77777777" w:rsidR="00E753D8" w:rsidRPr="0027599F" w:rsidRDefault="00E753D8" w:rsidP="00E753D8">
      <w:pPr>
        <w:spacing w:line="360" w:lineRule="auto"/>
        <w:jc w:val="both"/>
        <w:rPr>
          <w:rFonts w:ascii="Arial" w:hAnsi="Arial"/>
          <w:noProof w:val="0"/>
        </w:rPr>
      </w:pPr>
    </w:p>
    <w:p w14:paraId="45F79E36" w14:textId="77777777" w:rsidR="00E753D8" w:rsidRPr="0027599F" w:rsidRDefault="00E753D8" w:rsidP="00E753D8">
      <w:pPr>
        <w:spacing w:line="360" w:lineRule="auto"/>
        <w:jc w:val="both"/>
        <w:rPr>
          <w:rFonts w:ascii="Arial" w:hAnsi="Arial" w:cs="Aharoni"/>
          <w:noProof w:val="0"/>
        </w:rPr>
      </w:pPr>
      <w:r w:rsidRPr="0027599F">
        <w:rPr>
          <w:rFonts w:ascii="Arial" w:hAnsi="Arial" w:cs="Aharoni"/>
          <w:noProof w:val="0"/>
          <w:rtl/>
        </w:rPr>
        <w:t xml:space="preserve">מזה זמן רב, מדגישים בתי המשפט את חשיבות הערך הענישתי בעבירות סמים כאחד הכלים החשובים בפעילות לביעורו של נגע הסמים. </w:t>
      </w:r>
      <w:r w:rsidRPr="008E7990">
        <w:rPr>
          <w:rFonts w:ascii="Arial" w:hAnsi="Arial" w:cs="Aharoni"/>
          <w:noProof w:val="0"/>
          <w:u w:val="single"/>
          <w:rtl/>
        </w:rPr>
        <w:t>ההחמרה בענישה משרתת את מטרות הגמול וההרתעה</w:t>
      </w:r>
      <w:r w:rsidRPr="0027599F">
        <w:rPr>
          <w:rFonts w:ascii="Arial" w:hAnsi="Arial" w:cs="Aharoni"/>
          <w:noProof w:val="0"/>
          <w:rtl/>
        </w:rPr>
        <w:t>, שהן היעדים העיקריים של הענישה בתחום הסמים.</w:t>
      </w:r>
    </w:p>
    <w:p w14:paraId="477D48D8" w14:textId="77777777" w:rsidR="00E753D8" w:rsidRDefault="00E753D8" w:rsidP="00E753D8">
      <w:pPr>
        <w:spacing w:line="360" w:lineRule="auto"/>
        <w:jc w:val="both"/>
        <w:rPr>
          <w:rFonts w:ascii="Arial" w:hAnsi="Arial"/>
          <w:noProof w:val="0"/>
          <w:rtl/>
        </w:rPr>
      </w:pPr>
      <w:r>
        <w:rPr>
          <w:rFonts w:ascii="Arial" w:hAnsi="Arial" w:hint="cs"/>
          <w:noProof w:val="0"/>
          <w:rtl/>
        </w:rPr>
        <w:t>(ההדגשה אינה במקור).</w:t>
      </w:r>
    </w:p>
    <w:p w14:paraId="2C606E65" w14:textId="77777777" w:rsidR="00E753D8" w:rsidRPr="0027599F" w:rsidRDefault="00E753D8" w:rsidP="00E753D8">
      <w:pPr>
        <w:spacing w:line="360" w:lineRule="auto"/>
        <w:jc w:val="both"/>
        <w:rPr>
          <w:rFonts w:ascii="Arial" w:hAnsi="Arial"/>
          <w:noProof w:val="0"/>
          <w:rtl/>
        </w:rPr>
      </w:pPr>
    </w:p>
    <w:p w14:paraId="0A77F010" w14:textId="77777777" w:rsidR="00E753D8" w:rsidRPr="0027599F" w:rsidRDefault="00E753D8" w:rsidP="00E753D8">
      <w:pPr>
        <w:spacing w:line="360" w:lineRule="auto"/>
        <w:jc w:val="both"/>
        <w:rPr>
          <w:rFonts w:ascii="Arial" w:hAnsi="Arial"/>
          <w:noProof w:val="0"/>
          <w:rtl/>
        </w:rPr>
      </w:pPr>
      <w:r w:rsidRPr="0027599F">
        <w:rPr>
          <w:rFonts w:ascii="Arial" w:hAnsi="Arial"/>
          <w:noProof w:val="0"/>
          <w:rtl/>
        </w:rPr>
        <w:t>על בית המשפט להרתיע היחיד והרבים מפני עבירות הסמים, ולהילחם בתופעה הקשה של נגע הסמים, הצוברת תאוצה בשנים האחרונות.</w:t>
      </w:r>
    </w:p>
    <w:p w14:paraId="36414159" w14:textId="77777777" w:rsidR="00E753D8" w:rsidRDefault="00E753D8" w:rsidP="00E753D8">
      <w:pPr>
        <w:spacing w:line="360" w:lineRule="auto"/>
        <w:jc w:val="both"/>
        <w:rPr>
          <w:rFonts w:ascii="Arial" w:hAnsi="Arial"/>
          <w:noProof w:val="0"/>
          <w:rtl/>
        </w:rPr>
      </w:pPr>
    </w:p>
    <w:p w14:paraId="0074BB44" w14:textId="77777777" w:rsidR="00E753D8" w:rsidRDefault="00E753D8" w:rsidP="00E753D8">
      <w:pPr>
        <w:spacing w:line="360" w:lineRule="auto"/>
        <w:jc w:val="both"/>
        <w:rPr>
          <w:rFonts w:ascii="Arial" w:hAnsi="Arial"/>
          <w:noProof w:val="0"/>
          <w:rtl/>
        </w:rPr>
      </w:pPr>
      <w:r>
        <w:rPr>
          <w:rFonts w:ascii="Arial" w:hAnsi="Arial" w:hint="cs"/>
          <w:noProof w:val="0"/>
          <w:rtl/>
        </w:rPr>
        <w:t>להלן, תובא סקירה של מדיניות הענישה הנוהגת:</w:t>
      </w:r>
    </w:p>
    <w:p w14:paraId="1940E191" w14:textId="77777777" w:rsidR="00E753D8" w:rsidRDefault="00E753D8" w:rsidP="00E753D8">
      <w:pPr>
        <w:spacing w:line="360" w:lineRule="auto"/>
        <w:jc w:val="both"/>
        <w:rPr>
          <w:rFonts w:ascii="Arial" w:hAnsi="Arial"/>
          <w:noProof w:val="0"/>
          <w:rtl/>
        </w:rPr>
      </w:pPr>
    </w:p>
    <w:p w14:paraId="691A448D" w14:textId="77777777" w:rsidR="00E753D8" w:rsidRDefault="00DE25E4" w:rsidP="00E753D8">
      <w:pPr>
        <w:numPr>
          <w:ilvl w:val="0"/>
          <w:numId w:val="2"/>
        </w:numPr>
        <w:spacing w:line="360" w:lineRule="auto"/>
        <w:contextualSpacing/>
        <w:jc w:val="both"/>
        <w:rPr>
          <w:rFonts w:ascii="Arial" w:hAnsi="Arial"/>
          <w:noProof w:val="0"/>
        </w:rPr>
      </w:pPr>
      <w:hyperlink r:id="rId19" w:history="1">
        <w:r w:rsidRPr="00DE25E4">
          <w:rPr>
            <w:rFonts w:ascii="Arial" w:hAnsi="Arial"/>
            <w:noProof w:val="0"/>
            <w:color w:val="0000FF"/>
            <w:u w:val="single"/>
            <w:rtl/>
          </w:rPr>
          <w:t>רע"פ 3627/13</w:t>
        </w:r>
      </w:hyperlink>
      <w:r w:rsidR="00E753D8" w:rsidRPr="008F586A">
        <w:rPr>
          <w:rFonts w:ascii="Arial" w:hAnsi="Arial"/>
          <w:noProof w:val="0"/>
          <w:rtl/>
        </w:rPr>
        <w:t xml:space="preserve"> </w:t>
      </w:r>
      <w:r w:rsidR="00E753D8" w:rsidRPr="008F586A">
        <w:rPr>
          <w:rFonts w:ascii="Arial" w:hAnsi="Arial"/>
          <w:b/>
          <w:bCs/>
          <w:noProof w:val="0"/>
          <w:rtl/>
        </w:rPr>
        <w:t>שדה נ' מדינת ישראל</w:t>
      </w:r>
      <w:r w:rsidR="00E753D8" w:rsidRPr="008F586A">
        <w:rPr>
          <w:rFonts w:ascii="Arial" w:hAnsi="Arial"/>
          <w:noProof w:val="0"/>
          <w:rtl/>
        </w:rPr>
        <w:t xml:space="preserve"> (פורסם במאגרים) – המערער הורשע, על פי הודאתו, בשתי עבירות סחר בסם מסוכן מסוג קנאביס, כאשר באישום הראשון, סחר ב-0.87 גרם קנאביס בתמורה ל-80 ₪, ובאישום השני, סחר ב-1 גרם קנאביס, בתמורה ל-80 ₪, לשנים ממכריו. בית משפט השלום בתל אביב גזר על הנאשם 7 חודשי מאסר בפועל, מאסר על תנאי, קנס, ופסילת רישיון נהיגה בפועל למשך 12 חודשים. ערעורו לבית המשפט המחוזי ובקשת רשות ערעור לבית המשפט העליון – נדחו.</w:t>
      </w:r>
    </w:p>
    <w:p w14:paraId="2FC4C880" w14:textId="77777777" w:rsidR="00E753D8" w:rsidRPr="008F586A" w:rsidRDefault="00DE25E4" w:rsidP="00E753D8">
      <w:pPr>
        <w:numPr>
          <w:ilvl w:val="0"/>
          <w:numId w:val="2"/>
        </w:numPr>
        <w:spacing w:line="360" w:lineRule="auto"/>
        <w:contextualSpacing/>
        <w:jc w:val="both"/>
        <w:rPr>
          <w:rFonts w:ascii="Arial" w:hAnsi="Arial"/>
          <w:noProof w:val="0"/>
          <w:rtl/>
        </w:rPr>
      </w:pPr>
      <w:hyperlink r:id="rId20" w:history="1">
        <w:r w:rsidRPr="00DE25E4">
          <w:rPr>
            <w:rFonts w:ascii="Arial" w:hAnsi="Arial"/>
            <w:noProof w:val="0"/>
            <w:color w:val="0000FF"/>
            <w:u w:val="single"/>
            <w:rtl/>
          </w:rPr>
          <w:t>ת"פ 4309-08-18</w:t>
        </w:r>
      </w:hyperlink>
      <w:r w:rsidR="00E753D8" w:rsidRPr="008F586A">
        <w:rPr>
          <w:rFonts w:ascii="Arial" w:hAnsi="Arial"/>
          <w:noProof w:val="0"/>
          <w:rtl/>
        </w:rPr>
        <w:t xml:space="preserve"> </w:t>
      </w:r>
      <w:r w:rsidR="00E753D8" w:rsidRPr="008F586A">
        <w:rPr>
          <w:rFonts w:ascii="Arial" w:hAnsi="Arial"/>
          <w:b/>
          <w:bCs/>
          <w:noProof w:val="0"/>
          <w:rtl/>
        </w:rPr>
        <w:t>מדינת ישראל נ' מקראי</w:t>
      </w:r>
      <w:r w:rsidR="00E753D8" w:rsidRPr="008F586A">
        <w:rPr>
          <w:rFonts w:ascii="Arial" w:hAnsi="Arial"/>
          <w:noProof w:val="0"/>
          <w:rtl/>
        </w:rPr>
        <w:t xml:space="preserve"> (לא פורסם) - הנאשם הורשע, על פי הודאתו, בשתי עבירות של סחר בסם מסוכן מסוג קנאביס, מול סוכן משטרתי. באישום הראשון, סחר הנאשם ב-0.9 גרם קנאביס בתמורה ל-100 ₪, ובאישום השני, סחר ב-0.4 גרם קנאביס בתמורה ל-100 ₪. בית משפט השלום בבאר שבע קבע מתחם ענישה הנע בין 6 עד 20 חודשי מאסר בפועל, וגזר על הנאשם 9 חודשי מאסר בפועל, הפעלת מאסר מותנה בן 10 חודשים, קנס, פסילת רישיון נהיגה בפועל למשך 4 חודשים.</w:t>
      </w:r>
    </w:p>
    <w:p w14:paraId="2B4CAE9E" w14:textId="77777777" w:rsidR="00E753D8" w:rsidRDefault="00DE25E4" w:rsidP="00E753D8">
      <w:pPr>
        <w:numPr>
          <w:ilvl w:val="0"/>
          <w:numId w:val="2"/>
        </w:numPr>
        <w:spacing w:line="360" w:lineRule="auto"/>
        <w:contextualSpacing/>
        <w:jc w:val="both"/>
        <w:rPr>
          <w:rFonts w:ascii="Arial" w:hAnsi="Arial"/>
          <w:noProof w:val="0"/>
        </w:rPr>
      </w:pPr>
      <w:hyperlink r:id="rId21" w:history="1">
        <w:r w:rsidRPr="00DE25E4">
          <w:rPr>
            <w:rFonts w:ascii="Arial" w:hAnsi="Arial"/>
            <w:color w:val="0000FF"/>
            <w:u w:val="single"/>
            <w:rtl/>
          </w:rPr>
          <w:t>ת"פ 49876-03-19</w:t>
        </w:r>
      </w:hyperlink>
      <w:r w:rsidR="00E753D8">
        <w:rPr>
          <w:rFonts w:ascii="Arial" w:hAnsi="Arial"/>
          <w:rtl/>
        </w:rPr>
        <w:t xml:space="preserve"> </w:t>
      </w:r>
      <w:r w:rsidR="00E753D8">
        <w:rPr>
          <w:rFonts w:ascii="Arial" w:hAnsi="Arial"/>
          <w:b/>
          <w:bCs/>
          <w:rtl/>
        </w:rPr>
        <w:t>מדינת ישראל נ' שבצוב</w:t>
      </w:r>
      <w:r w:rsidR="00E753D8">
        <w:rPr>
          <w:rFonts w:ascii="Arial" w:hAnsi="Arial"/>
          <w:rtl/>
        </w:rPr>
        <w:t xml:space="preserve"> (לא פורסם) – הנאשם הורשע, על פי הודאתו, בעבירה של קשירת קשר לפשע, שבע עבירות של סחר בסם מסוכן ועבירה של החזקת סם לא לצריכה עצמית. בית משפט השלום בבאר שבע קבע, כי </w:t>
      </w:r>
      <w:r w:rsidR="00E753D8" w:rsidRPr="008F586A">
        <w:rPr>
          <w:rFonts w:ascii="Arial" w:hAnsi="Arial"/>
          <w:u w:val="single"/>
          <w:rtl/>
        </w:rPr>
        <w:t>בגין עבירה בודדת</w:t>
      </w:r>
      <w:r w:rsidR="00E753D8">
        <w:rPr>
          <w:rFonts w:ascii="Arial" w:hAnsi="Arial"/>
          <w:rtl/>
        </w:rPr>
        <w:t xml:space="preserve"> של סחר בסם מסוכן מסוג קנאביס, יש להעמיד את מתחם הענישה כך שינוע בין 6 עד 18 חודשי מאסר בפועל.</w:t>
      </w:r>
    </w:p>
    <w:p w14:paraId="37D3AE41" w14:textId="77777777" w:rsidR="00E753D8" w:rsidRDefault="00DE25E4" w:rsidP="00E753D8">
      <w:pPr>
        <w:numPr>
          <w:ilvl w:val="0"/>
          <w:numId w:val="2"/>
        </w:numPr>
        <w:spacing w:line="360" w:lineRule="auto"/>
        <w:contextualSpacing/>
        <w:jc w:val="both"/>
        <w:rPr>
          <w:rFonts w:ascii="Arial" w:hAnsi="Arial"/>
          <w:noProof w:val="0"/>
        </w:rPr>
      </w:pPr>
      <w:hyperlink r:id="rId22" w:history="1">
        <w:r w:rsidRPr="00DE25E4">
          <w:rPr>
            <w:rFonts w:ascii="Arial" w:hAnsi="Arial"/>
            <w:noProof w:val="0"/>
            <w:color w:val="0000FF"/>
            <w:u w:val="single"/>
            <w:rtl/>
          </w:rPr>
          <w:t>ת"פ 7994-06-21</w:t>
        </w:r>
      </w:hyperlink>
      <w:r w:rsidR="00E753D8" w:rsidRPr="008F586A">
        <w:rPr>
          <w:rFonts w:ascii="Arial" w:hAnsi="Arial"/>
          <w:noProof w:val="0"/>
          <w:rtl/>
        </w:rPr>
        <w:t xml:space="preserve"> </w:t>
      </w:r>
      <w:r w:rsidR="00E753D8" w:rsidRPr="008F586A">
        <w:rPr>
          <w:rFonts w:ascii="Arial" w:hAnsi="Arial"/>
          <w:b/>
          <w:bCs/>
          <w:noProof w:val="0"/>
          <w:rtl/>
        </w:rPr>
        <w:t>מדינת ישראל נ' ונונו</w:t>
      </w:r>
      <w:r w:rsidR="00E753D8" w:rsidRPr="008F586A">
        <w:rPr>
          <w:rFonts w:ascii="Arial" w:hAnsi="Arial"/>
          <w:noProof w:val="0"/>
          <w:rtl/>
        </w:rPr>
        <w:t xml:space="preserve"> (פורסם במאגרים) – הנאשם הורשע, על פי הודאתו, בשלוש עבירות של סחר בסם מסוכן מסוג קנאביס. לפי עובדות כתב האישום המתוקן, מכר הנאשם לחברו, עמו נוהג לצרוך סמים, סם מסוכן בשלוש הזדמנויות שונות, כך שבעסקה הראשונה מכר לו 1 גרם קנאביס תמורת 100 ₪; בעסקה השניה מכר כמות שאינה ידועה תמורת 250 ₪; ובעסקה השלישית מכר 1 גרם קנאביס תמורת 100 ₪. בשל הנסיבות של המכירה, בטווח של מספר ימים בודדים, לחבר ילדות עמו צורך סמים, במשקל נמוך, מצא מותב זה לקבוע מתחם ענישה אחד הנע בין 6 עד 18 חודשי מאסר בפועל</w:t>
      </w:r>
      <w:r w:rsidR="00E753D8">
        <w:rPr>
          <w:rFonts w:ascii="Arial" w:hAnsi="Arial" w:hint="cs"/>
          <w:noProof w:val="0"/>
          <w:rtl/>
        </w:rPr>
        <w:t>.</w:t>
      </w:r>
    </w:p>
    <w:p w14:paraId="4ED0B8B2" w14:textId="77777777" w:rsidR="00E753D8" w:rsidRDefault="00DE25E4" w:rsidP="00E753D8">
      <w:pPr>
        <w:numPr>
          <w:ilvl w:val="0"/>
          <w:numId w:val="2"/>
        </w:numPr>
        <w:spacing w:line="360" w:lineRule="auto"/>
        <w:contextualSpacing/>
        <w:jc w:val="both"/>
        <w:rPr>
          <w:rFonts w:ascii="Arial" w:hAnsi="Arial"/>
          <w:noProof w:val="0"/>
        </w:rPr>
      </w:pPr>
      <w:hyperlink r:id="rId23" w:history="1">
        <w:r w:rsidRPr="00DE25E4">
          <w:rPr>
            <w:rFonts w:ascii="Arial" w:hAnsi="Arial"/>
            <w:color w:val="0000FF"/>
            <w:u w:val="single"/>
            <w:rtl/>
          </w:rPr>
          <w:t>ת"פ 3518-11-18</w:t>
        </w:r>
      </w:hyperlink>
      <w:r w:rsidR="00E753D8">
        <w:rPr>
          <w:rFonts w:ascii="Arial" w:hAnsi="Arial"/>
          <w:rtl/>
        </w:rPr>
        <w:t xml:space="preserve"> </w:t>
      </w:r>
      <w:r w:rsidR="00E753D8">
        <w:rPr>
          <w:rFonts w:ascii="Arial" w:hAnsi="Arial"/>
          <w:b/>
          <w:bCs/>
          <w:rtl/>
        </w:rPr>
        <w:t>מדינת ישראל נ' אבו כפיף</w:t>
      </w:r>
      <w:r w:rsidR="00E753D8">
        <w:rPr>
          <w:rFonts w:ascii="Arial" w:hAnsi="Arial"/>
          <w:rtl/>
        </w:rPr>
        <w:t xml:space="preserve"> (</w:t>
      </w:r>
      <w:r w:rsidR="00E753D8">
        <w:rPr>
          <w:rFonts w:ascii="Arial" w:hAnsi="Arial" w:hint="cs"/>
          <w:rtl/>
        </w:rPr>
        <w:t xml:space="preserve">פורסם במאגרים) </w:t>
      </w:r>
      <w:r w:rsidR="00E753D8">
        <w:rPr>
          <w:rFonts w:ascii="Arial" w:hAnsi="Arial"/>
          <w:rtl/>
        </w:rPr>
        <w:t>–</w:t>
      </w:r>
      <w:r w:rsidR="00E753D8">
        <w:rPr>
          <w:rFonts w:ascii="Arial" w:hAnsi="Arial" w:hint="cs"/>
          <w:rtl/>
        </w:rPr>
        <w:t xml:space="preserve"> </w:t>
      </w:r>
      <w:r w:rsidR="00E753D8">
        <w:rPr>
          <w:rFonts w:ascii="Arial" w:hAnsi="Arial"/>
          <w:rtl/>
        </w:rPr>
        <w:t xml:space="preserve"> הנאשם הורשע, על פי הודאתו, </w:t>
      </w:r>
      <w:r w:rsidR="00E753D8">
        <w:rPr>
          <w:rFonts w:ascii="Arial" w:hAnsi="Arial"/>
          <w:u w:val="single"/>
          <w:rtl/>
        </w:rPr>
        <w:t>בשתי</w:t>
      </w:r>
      <w:r w:rsidR="00E753D8">
        <w:rPr>
          <w:rFonts w:ascii="Arial" w:hAnsi="Arial"/>
          <w:rtl/>
        </w:rPr>
        <w:t xml:space="preserve"> עבירות של סחר בסם מסוכן מסוג קנאביס והדחת קטין לסם. לפי עובדות כתב האישום המתוקן, מכר הנאשם, בן 18, לסוכן משטרתי, סם מסוכן בשתי הזדמנויות, כאשר באחת מהעסקאות, היה מלווה בבני דודיו, בני 17. בעסקה הראשונה, מכר הנאשם לסוכן כ-10 גרם קנאביס בתמורה ל-200 ₪, ובעסקה השניה, הביא הנאשם כ-44 גרם קנאביס לשוטר, ונעצר עם בני דודיו בטרם קיבל תשלום. בשל נסיבות העבירה, כאשר שתי העסקאות בוצעו בפער של ימים בודדים לאותו קונה, ובאותו מיקום, מצא מותב זה לקבוע מתחם ענישה אחד, הנע בין 9 ועד 21 חודשי מאסר בפועל.</w:t>
      </w:r>
    </w:p>
    <w:p w14:paraId="384A70A3" w14:textId="77777777" w:rsidR="00E753D8" w:rsidRDefault="00DE25E4" w:rsidP="00E753D8">
      <w:pPr>
        <w:numPr>
          <w:ilvl w:val="0"/>
          <w:numId w:val="2"/>
        </w:numPr>
        <w:spacing w:line="360" w:lineRule="auto"/>
        <w:contextualSpacing/>
        <w:jc w:val="both"/>
        <w:rPr>
          <w:rFonts w:ascii="Arial" w:hAnsi="Arial"/>
          <w:noProof w:val="0"/>
        </w:rPr>
      </w:pPr>
      <w:hyperlink r:id="rId24" w:history="1">
        <w:r w:rsidRPr="00DE25E4">
          <w:rPr>
            <w:rFonts w:ascii="Arial" w:hAnsi="Arial"/>
            <w:noProof w:val="0"/>
            <w:color w:val="0000FF"/>
            <w:u w:val="single"/>
            <w:rtl/>
          </w:rPr>
          <w:t>ת"פ 7833-06-21</w:t>
        </w:r>
      </w:hyperlink>
      <w:r w:rsidR="00E753D8">
        <w:rPr>
          <w:rFonts w:ascii="Arial" w:hAnsi="Arial" w:hint="cs"/>
          <w:noProof w:val="0"/>
          <w:rtl/>
        </w:rPr>
        <w:t xml:space="preserve"> </w:t>
      </w:r>
      <w:r w:rsidR="00E753D8">
        <w:rPr>
          <w:rFonts w:ascii="Arial" w:hAnsi="Arial" w:hint="cs"/>
          <w:b/>
          <w:bCs/>
          <w:noProof w:val="0"/>
          <w:rtl/>
        </w:rPr>
        <w:t>מדינת ישראל נ' יהודיאן</w:t>
      </w:r>
      <w:r w:rsidR="00E753D8">
        <w:rPr>
          <w:rFonts w:ascii="Arial" w:hAnsi="Arial" w:hint="cs"/>
          <w:noProof w:val="0"/>
          <w:rtl/>
        </w:rPr>
        <w:t xml:space="preserve"> (פורסם במאגרים) </w:t>
      </w:r>
      <w:r w:rsidR="00E753D8">
        <w:rPr>
          <w:rFonts w:ascii="Arial" w:hAnsi="Arial"/>
          <w:noProof w:val="0"/>
          <w:rtl/>
        </w:rPr>
        <w:t>–</w:t>
      </w:r>
      <w:r w:rsidR="00E753D8">
        <w:rPr>
          <w:rFonts w:ascii="Arial" w:hAnsi="Arial" w:hint="cs"/>
          <w:noProof w:val="0"/>
          <w:rtl/>
        </w:rPr>
        <w:t xml:space="preserve"> הנאשם הורשע, על פי הודאתו, בשלוש עסקאות סחר בסם מסוכן מסוג קנביס, עבירה אחת של אספקת סם מסוכן ועבירה אחת של החזקת סם מסוכן לצריכה עצמית. לפי עובדות כתב האישום המתוקן, מכר הנאשם, תלמיד בתיכון, בשתי הזדמנויות, סם מסוכן לתלמידה אחרת מהשכבה בה למד, כדלקמן: באישום הראשון, מכר 4.5 גרם קנביס תמורת 250 ₪; באישום השני, מכר 10.5 גרם תמורת 300 ₪; באישום השלישי, סיפק לה הנאשם סם מסוכן מסוג קנביס במשקל 7.57 גרם; באישום הרביעי, מכר 8.31 גרם תמורת 450 ₪ וכן, החזיק 5.163 גרם קנאביס לצריכתו העצמית. מותב זה קבע מתחם ענישה הנע בין 8 ועד 16 חודשי מאסר בפועל.</w:t>
      </w:r>
    </w:p>
    <w:p w14:paraId="1ACFED3E" w14:textId="77777777" w:rsidR="00E753D8" w:rsidRDefault="00E753D8" w:rsidP="00E753D8">
      <w:pPr>
        <w:spacing w:line="360" w:lineRule="auto"/>
        <w:contextualSpacing/>
        <w:jc w:val="both"/>
        <w:rPr>
          <w:rFonts w:ascii="Arial" w:hAnsi="Arial"/>
          <w:noProof w:val="0"/>
          <w:rtl/>
        </w:rPr>
      </w:pPr>
    </w:p>
    <w:p w14:paraId="35CD16B3" w14:textId="77777777" w:rsidR="00E753D8" w:rsidRPr="005B525B" w:rsidRDefault="00E753D8" w:rsidP="00E753D8">
      <w:pPr>
        <w:spacing w:line="360" w:lineRule="auto"/>
        <w:jc w:val="both"/>
        <w:rPr>
          <w:rFonts w:ascii="Arial" w:hAnsi="Arial"/>
          <w:noProof w:val="0"/>
        </w:rPr>
      </w:pPr>
      <w:r w:rsidRPr="005B525B">
        <w:rPr>
          <w:rFonts w:ascii="Arial" w:hAnsi="Arial"/>
          <w:noProof w:val="0"/>
          <w:rtl/>
        </w:rPr>
        <w:t xml:space="preserve">בהקשר זה יש להדגיש, סקירת הענישה הנוהגת ומתחם העונש ההולם – אינם זהים. בבואו של בית המשפט לקבוע את מתחם העונש ההולם, עליו לשקול, בין היתר, את מדיניות הענישה הנוהגת, אך שיקול זה – כמובן אינו היחיד. בהתאם </w:t>
      </w:r>
      <w:hyperlink r:id="rId25" w:history="1">
        <w:r w:rsidR="009E5064" w:rsidRPr="009E5064">
          <w:rPr>
            <w:rStyle w:val="Hyperlink"/>
            <w:rFonts w:ascii="Arial" w:hAnsi="Arial"/>
            <w:noProof w:val="0"/>
            <w:rtl/>
          </w:rPr>
          <w:t>לסעיף 40ט'</w:t>
        </w:r>
      </w:hyperlink>
      <w:r w:rsidRPr="005B525B">
        <w:rPr>
          <w:rFonts w:ascii="Arial" w:hAnsi="Arial"/>
          <w:noProof w:val="0"/>
          <w:rtl/>
        </w:rPr>
        <w:t xml:space="preserve"> ל</w:t>
      </w:r>
      <w:hyperlink r:id="rId26" w:history="1">
        <w:r w:rsidR="00DE25E4" w:rsidRPr="00DE25E4">
          <w:rPr>
            <w:rFonts w:ascii="Arial" w:hAnsi="Arial"/>
            <w:noProof w:val="0"/>
            <w:color w:val="0000FF"/>
            <w:u w:val="single"/>
            <w:rtl/>
          </w:rPr>
          <w:t>חוק העונשין</w:t>
        </w:r>
      </w:hyperlink>
      <w:r w:rsidRPr="005B525B">
        <w:rPr>
          <w:rFonts w:ascii="Arial" w:hAnsi="Arial"/>
          <w:noProof w:val="0"/>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14:paraId="17ECAD31" w14:textId="77777777" w:rsidR="00E753D8" w:rsidRDefault="00E753D8" w:rsidP="00E753D8">
      <w:pPr>
        <w:spacing w:line="360" w:lineRule="auto"/>
        <w:contextualSpacing/>
        <w:jc w:val="both"/>
        <w:rPr>
          <w:rFonts w:ascii="Arial" w:hAnsi="Arial"/>
          <w:noProof w:val="0"/>
          <w:rtl/>
        </w:rPr>
      </w:pPr>
    </w:p>
    <w:p w14:paraId="6DBCF44F" w14:textId="77777777" w:rsidR="00E753D8" w:rsidRDefault="00E753D8" w:rsidP="00E753D8">
      <w:pPr>
        <w:spacing w:line="360" w:lineRule="auto"/>
        <w:contextualSpacing/>
        <w:jc w:val="both"/>
        <w:rPr>
          <w:rFonts w:ascii="Arial" w:hAnsi="Arial"/>
          <w:noProof w:val="0"/>
          <w:rtl/>
        </w:rPr>
      </w:pPr>
      <w:r>
        <w:rPr>
          <w:rFonts w:ascii="Arial" w:hAnsi="Arial" w:hint="cs"/>
          <w:noProof w:val="0"/>
          <w:rtl/>
        </w:rPr>
        <w:t>במקרה דנן, מדובר בעבירה אחת שענינה סחר בסם מסוכן במשקל של 10.5 גרם תמורת 650 ₪, אשר נעברה מול סוכן של המשטרה הצבאית.</w:t>
      </w:r>
    </w:p>
    <w:p w14:paraId="04F56DCB" w14:textId="77777777" w:rsidR="00E753D8" w:rsidRDefault="00E753D8" w:rsidP="00E753D8">
      <w:pPr>
        <w:spacing w:line="360" w:lineRule="auto"/>
        <w:contextualSpacing/>
        <w:jc w:val="both"/>
        <w:rPr>
          <w:rFonts w:ascii="Arial" w:hAnsi="Arial"/>
          <w:noProof w:val="0"/>
          <w:rtl/>
        </w:rPr>
      </w:pPr>
    </w:p>
    <w:p w14:paraId="5681B839" w14:textId="77777777" w:rsidR="00E753D8" w:rsidRDefault="00E753D8" w:rsidP="00E753D8">
      <w:pPr>
        <w:spacing w:line="360" w:lineRule="auto"/>
        <w:contextualSpacing/>
        <w:jc w:val="both"/>
        <w:rPr>
          <w:rFonts w:ascii="Arial" w:hAnsi="Arial"/>
          <w:noProof w:val="0"/>
          <w:rtl/>
        </w:rPr>
      </w:pPr>
      <w:r>
        <w:rPr>
          <w:rFonts w:ascii="Arial" w:hAnsi="Arial" w:hint="cs"/>
          <w:noProof w:val="0"/>
          <w:rtl/>
        </w:rPr>
        <w:t>מבלי להמעיט בחומרת העבירה, בית המשפט התרשם, כי העבירה לא נעברה בתחכום מיוחד, ולאור כך שמדובר בעבירה בודדת, ובשים לב לפסיקה שהובאה לעיל, מוצא להעמיד את מתחם הענישה, כך שינוע בין 5 ועד 15 חודשי מאסר בפועל.</w:t>
      </w:r>
    </w:p>
    <w:p w14:paraId="49853461" w14:textId="77777777" w:rsidR="00E753D8" w:rsidRDefault="00E753D8" w:rsidP="00E753D8">
      <w:pPr>
        <w:spacing w:line="360" w:lineRule="auto"/>
        <w:contextualSpacing/>
        <w:jc w:val="both"/>
        <w:rPr>
          <w:rFonts w:ascii="Arial" w:hAnsi="Arial"/>
          <w:noProof w:val="0"/>
          <w:rtl/>
        </w:rPr>
      </w:pPr>
    </w:p>
    <w:p w14:paraId="163746A1" w14:textId="77777777" w:rsidR="00E753D8" w:rsidRDefault="00E753D8" w:rsidP="00E753D8">
      <w:pPr>
        <w:spacing w:line="360" w:lineRule="auto"/>
        <w:contextualSpacing/>
        <w:jc w:val="both"/>
        <w:rPr>
          <w:rFonts w:ascii="Arial" w:hAnsi="Arial"/>
          <w:noProof w:val="0"/>
          <w:rtl/>
        </w:rPr>
      </w:pPr>
    </w:p>
    <w:p w14:paraId="619D5CB6" w14:textId="77777777" w:rsidR="00E753D8" w:rsidRDefault="00E753D8" w:rsidP="00E753D8">
      <w:pPr>
        <w:spacing w:line="360" w:lineRule="auto"/>
        <w:contextualSpacing/>
        <w:jc w:val="both"/>
        <w:rPr>
          <w:rFonts w:ascii="Arial" w:hAnsi="Arial"/>
          <w:noProof w:val="0"/>
          <w:rtl/>
        </w:rPr>
      </w:pPr>
    </w:p>
    <w:p w14:paraId="6CFAA43B" w14:textId="77777777" w:rsidR="00E753D8" w:rsidRDefault="00E753D8" w:rsidP="00E753D8">
      <w:pPr>
        <w:spacing w:line="360" w:lineRule="auto"/>
        <w:contextualSpacing/>
        <w:jc w:val="both"/>
        <w:rPr>
          <w:rFonts w:ascii="Arial" w:hAnsi="Arial"/>
          <w:noProof w:val="0"/>
          <w:rtl/>
        </w:rPr>
      </w:pPr>
    </w:p>
    <w:p w14:paraId="667B5DC6" w14:textId="77777777" w:rsidR="00E753D8" w:rsidRDefault="00E753D8" w:rsidP="00E753D8">
      <w:pPr>
        <w:spacing w:line="360" w:lineRule="auto"/>
        <w:contextualSpacing/>
        <w:jc w:val="both"/>
        <w:rPr>
          <w:rFonts w:ascii="Arial" w:hAnsi="Arial"/>
          <w:noProof w:val="0"/>
          <w:rtl/>
        </w:rPr>
      </w:pPr>
    </w:p>
    <w:p w14:paraId="25C955F7" w14:textId="77777777" w:rsidR="00E753D8" w:rsidRDefault="00E753D8" w:rsidP="00E753D8">
      <w:pPr>
        <w:spacing w:line="360" w:lineRule="auto"/>
        <w:contextualSpacing/>
        <w:jc w:val="both"/>
        <w:rPr>
          <w:rFonts w:ascii="Arial" w:hAnsi="Arial"/>
          <w:noProof w:val="0"/>
          <w:rtl/>
        </w:rPr>
      </w:pPr>
      <w:r>
        <w:rPr>
          <w:rFonts w:ascii="Arial" w:hAnsi="Arial" w:hint="cs"/>
          <w:b/>
          <w:bCs/>
          <w:noProof w:val="0"/>
          <w:rtl/>
        </w:rPr>
        <w:t>קביעת הענישה הספציפית בתוך המתחם</w:t>
      </w:r>
    </w:p>
    <w:p w14:paraId="37F3A0D3" w14:textId="77777777" w:rsidR="00E753D8" w:rsidRDefault="00E753D8" w:rsidP="00E753D8">
      <w:pPr>
        <w:spacing w:line="360" w:lineRule="auto"/>
        <w:contextualSpacing/>
        <w:jc w:val="both"/>
        <w:rPr>
          <w:rFonts w:ascii="Arial" w:hAnsi="Arial"/>
          <w:noProof w:val="0"/>
          <w:rtl/>
        </w:rPr>
      </w:pPr>
    </w:p>
    <w:p w14:paraId="186D8C0E" w14:textId="77777777" w:rsidR="00E753D8" w:rsidRPr="0098197D" w:rsidRDefault="00E753D8" w:rsidP="00E753D8">
      <w:pPr>
        <w:spacing w:line="360" w:lineRule="auto"/>
        <w:jc w:val="both"/>
        <w:rPr>
          <w:rFonts w:ascii="Arial" w:hAnsi="Arial"/>
          <w:noProof w:val="0"/>
          <w:rtl/>
        </w:rPr>
      </w:pPr>
      <w:r w:rsidRPr="0098197D">
        <w:rPr>
          <w:rFonts w:ascii="Arial" w:hAnsi="Arial"/>
          <w:noProof w:val="0"/>
          <w:rtl/>
        </w:rPr>
        <w:t xml:space="preserve">הנאשם נעדר הרשעות </w:t>
      </w:r>
      <w:r>
        <w:rPr>
          <w:rFonts w:ascii="Arial" w:hAnsi="Arial"/>
          <w:noProof w:val="0"/>
          <w:rtl/>
        </w:rPr>
        <w:t>קודמות, ואין אינדיקציה להסתבכות נוספ</w:t>
      </w:r>
      <w:r w:rsidRPr="0098197D">
        <w:rPr>
          <w:rFonts w:ascii="Arial" w:hAnsi="Arial"/>
          <w:noProof w:val="0"/>
          <w:rtl/>
        </w:rPr>
        <w:t>ת עם החוק מאז אירועי כתב האישום.</w:t>
      </w:r>
    </w:p>
    <w:p w14:paraId="3DA2C0EA" w14:textId="77777777" w:rsidR="00E753D8" w:rsidRPr="0098197D" w:rsidRDefault="00E753D8" w:rsidP="00E753D8">
      <w:pPr>
        <w:spacing w:line="360" w:lineRule="auto"/>
        <w:jc w:val="both"/>
        <w:rPr>
          <w:rFonts w:ascii="Arial" w:hAnsi="Arial"/>
          <w:noProof w:val="0"/>
          <w:rtl/>
        </w:rPr>
      </w:pPr>
    </w:p>
    <w:p w14:paraId="27CFA3F5" w14:textId="77777777" w:rsidR="00E753D8" w:rsidRDefault="00E753D8" w:rsidP="00E753D8">
      <w:pPr>
        <w:spacing w:line="360" w:lineRule="auto"/>
        <w:jc w:val="both"/>
        <w:rPr>
          <w:rFonts w:ascii="Arial" w:hAnsi="Arial"/>
          <w:noProof w:val="0"/>
          <w:rtl/>
        </w:rPr>
      </w:pPr>
      <w:r w:rsidRPr="0098197D">
        <w:rPr>
          <w:rFonts w:ascii="Arial" w:hAnsi="Arial"/>
          <w:noProof w:val="0"/>
          <w:rtl/>
        </w:rPr>
        <w:t>הפרוגנוזה מטעם שירות המבחן למבוגרים בענינו – חיובית</w:t>
      </w:r>
      <w:r>
        <w:rPr>
          <w:rFonts w:ascii="Arial" w:hAnsi="Arial" w:hint="cs"/>
          <w:noProof w:val="0"/>
          <w:rtl/>
        </w:rPr>
        <w:t xml:space="preserve"> וישנה המלצה שיקומית בענינו</w:t>
      </w:r>
      <w:r w:rsidRPr="0098197D">
        <w:rPr>
          <w:rFonts w:ascii="Arial" w:hAnsi="Arial"/>
          <w:noProof w:val="0"/>
          <w:rtl/>
        </w:rPr>
        <w:t>.</w:t>
      </w:r>
    </w:p>
    <w:p w14:paraId="63D1A466" w14:textId="77777777" w:rsidR="00E753D8" w:rsidRDefault="00E753D8" w:rsidP="00E753D8">
      <w:pPr>
        <w:spacing w:line="360" w:lineRule="auto"/>
        <w:jc w:val="both"/>
        <w:rPr>
          <w:rFonts w:ascii="Arial" w:hAnsi="Arial"/>
          <w:noProof w:val="0"/>
          <w:rtl/>
        </w:rPr>
      </w:pPr>
    </w:p>
    <w:p w14:paraId="7C9CD84F" w14:textId="77777777" w:rsidR="00E753D8" w:rsidRDefault="00E753D8" w:rsidP="00E753D8">
      <w:pPr>
        <w:spacing w:line="360" w:lineRule="auto"/>
        <w:jc w:val="both"/>
        <w:rPr>
          <w:rFonts w:ascii="Arial" w:hAnsi="Arial"/>
          <w:noProof w:val="0"/>
          <w:rtl/>
        </w:rPr>
      </w:pPr>
      <w:r>
        <w:rPr>
          <w:rFonts w:ascii="Arial" w:hAnsi="Arial" w:hint="cs"/>
          <w:noProof w:val="0"/>
          <w:rtl/>
        </w:rPr>
        <w:t>הנאשם התגייס להליך טיפולי ושירות המבחן התרשם, כי הוא נתרם ממנו ויש לאפשר לו להמשיך בהליך זה.</w:t>
      </w:r>
    </w:p>
    <w:p w14:paraId="28234730" w14:textId="77777777" w:rsidR="00E753D8" w:rsidRDefault="00E753D8" w:rsidP="00E753D8">
      <w:pPr>
        <w:spacing w:line="360" w:lineRule="auto"/>
        <w:jc w:val="both"/>
        <w:rPr>
          <w:rFonts w:ascii="Arial" w:hAnsi="Arial"/>
          <w:noProof w:val="0"/>
          <w:rtl/>
        </w:rPr>
      </w:pPr>
    </w:p>
    <w:p w14:paraId="6C6EB2E8" w14:textId="77777777" w:rsidR="00E753D8" w:rsidRDefault="00E753D8" w:rsidP="00E753D8">
      <w:pPr>
        <w:spacing w:line="360" w:lineRule="auto"/>
        <w:jc w:val="both"/>
        <w:rPr>
          <w:rFonts w:ascii="Arial" w:hAnsi="Arial"/>
          <w:noProof w:val="0"/>
          <w:rtl/>
        </w:rPr>
      </w:pPr>
      <w:r>
        <w:rPr>
          <w:rFonts w:ascii="Arial" w:hAnsi="Arial" w:hint="cs"/>
          <w:noProof w:val="0"/>
          <w:rtl/>
        </w:rPr>
        <w:t>הנאשם הודה במיוחס לו, נטל אחריות מלאה על מעשיו, ובית המשפט התרשם, כי הנאשם מביע חרטה כנה על מעשיו והפיק את הלקחים הנדרשים.</w:t>
      </w:r>
    </w:p>
    <w:p w14:paraId="6DD27081" w14:textId="77777777" w:rsidR="00E753D8" w:rsidRDefault="00E753D8" w:rsidP="00E753D8">
      <w:pPr>
        <w:spacing w:line="360" w:lineRule="auto"/>
        <w:jc w:val="both"/>
        <w:rPr>
          <w:rFonts w:ascii="Arial" w:hAnsi="Arial"/>
          <w:noProof w:val="0"/>
          <w:rtl/>
        </w:rPr>
      </w:pPr>
    </w:p>
    <w:p w14:paraId="3D32F961" w14:textId="77777777" w:rsidR="00E753D8" w:rsidRDefault="00E753D8" w:rsidP="00E753D8">
      <w:pPr>
        <w:spacing w:line="360" w:lineRule="auto"/>
        <w:jc w:val="both"/>
        <w:rPr>
          <w:rFonts w:ascii="Arial" w:hAnsi="Arial"/>
          <w:noProof w:val="0"/>
          <w:rtl/>
        </w:rPr>
      </w:pPr>
      <w:r>
        <w:rPr>
          <w:rFonts w:ascii="Arial" w:hAnsi="Arial" w:hint="cs"/>
          <w:noProof w:val="0"/>
          <w:rtl/>
        </w:rPr>
        <w:t>בית המשפט התרשם, כי העבירה אינה מאפיינת את מהלך החיים הנורמטיבי של הנאשם, אשר מבטא שאיפות לעתיד, ומנהל אורח חיים עמלני.</w:t>
      </w:r>
    </w:p>
    <w:p w14:paraId="6795C318" w14:textId="77777777" w:rsidR="00E753D8" w:rsidRDefault="00E753D8" w:rsidP="00E753D8">
      <w:pPr>
        <w:spacing w:line="360" w:lineRule="auto"/>
        <w:jc w:val="both"/>
        <w:rPr>
          <w:rFonts w:ascii="Arial" w:hAnsi="Arial"/>
          <w:noProof w:val="0"/>
          <w:rtl/>
        </w:rPr>
      </w:pPr>
    </w:p>
    <w:p w14:paraId="776A6D25" w14:textId="77777777" w:rsidR="00E753D8" w:rsidRDefault="00E753D8" w:rsidP="00E753D8">
      <w:pPr>
        <w:spacing w:line="360" w:lineRule="auto"/>
        <w:jc w:val="both"/>
        <w:rPr>
          <w:rFonts w:ascii="Arial" w:hAnsi="Arial"/>
          <w:rtl/>
        </w:rPr>
      </w:pPr>
      <w:r>
        <w:rPr>
          <w:rFonts w:ascii="Arial" w:hAnsi="Arial"/>
          <w:rtl/>
        </w:rPr>
        <w:t xml:space="preserve">במכלול הנסיבות, נוטה הכף לחריגה ממתחם הענישה מטעמי שיקום הנאשם, </w:t>
      </w:r>
      <w:r>
        <w:rPr>
          <w:rFonts w:ascii="Arial" w:hAnsi="Arial" w:hint="cs"/>
          <w:rtl/>
        </w:rPr>
        <w:t xml:space="preserve">ולאור חריגות העבירה ביחס לאורח חייו של הנאשם עד כה, כמו גם לנוכח השתלבות הנאשם בהליך טיפולי - </w:t>
      </w:r>
      <w:r>
        <w:rPr>
          <w:rFonts w:ascii="Arial" w:hAnsi="Arial"/>
          <w:rtl/>
        </w:rPr>
        <w:t xml:space="preserve">מוצא </w:t>
      </w:r>
      <w:r>
        <w:rPr>
          <w:rFonts w:ascii="Arial" w:hAnsi="Arial" w:hint="cs"/>
          <w:rtl/>
        </w:rPr>
        <w:t xml:space="preserve">בית המשפט </w:t>
      </w:r>
      <w:r>
        <w:rPr>
          <w:rFonts w:ascii="Arial" w:hAnsi="Arial"/>
          <w:rtl/>
        </w:rPr>
        <w:t xml:space="preserve">לאמץ המלצות שירות המבחן בענינו, ולהסתפק בעונש חינוכי במסגרת צו של"צ. </w:t>
      </w:r>
      <w:r>
        <w:rPr>
          <w:rFonts w:ascii="Arial" w:hAnsi="Arial" w:hint="cs"/>
          <w:rtl/>
        </w:rPr>
        <w:t xml:space="preserve">לאור חומרת העבירה, מוצא בית המשפט להטיל צו של"צ בהיקף גדול יותר מזה שהומלץ על ידי שירות המבחן למבוגרים. </w:t>
      </w:r>
    </w:p>
    <w:p w14:paraId="48EA2731" w14:textId="77777777" w:rsidR="00E753D8" w:rsidRDefault="00E753D8" w:rsidP="00E753D8">
      <w:pPr>
        <w:spacing w:line="360" w:lineRule="auto"/>
        <w:jc w:val="both"/>
        <w:rPr>
          <w:rFonts w:ascii="Arial" w:hAnsi="Arial"/>
          <w:rtl/>
        </w:rPr>
      </w:pPr>
    </w:p>
    <w:p w14:paraId="59EE5B4A" w14:textId="77777777" w:rsidR="00E753D8" w:rsidRDefault="00E753D8" w:rsidP="00E753D8">
      <w:pPr>
        <w:spacing w:line="360" w:lineRule="auto"/>
        <w:jc w:val="both"/>
        <w:rPr>
          <w:rFonts w:ascii="Arial" w:hAnsi="Arial"/>
          <w:noProof w:val="0"/>
        </w:rPr>
      </w:pPr>
      <w:r>
        <w:rPr>
          <w:rFonts w:ascii="Arial" w:hAnsi="Arial"/>
          <w:rtl/>
        </w:rPr>
        <w:t>זאת, כמובן, בתוספת מאסר מותנה מרתיע, לבל יהין הנאשם לעבור שוב עבירות דומות.</w:t>
      </w:r>
    </w:p>
    <w:p w14:paraId="28311394" w14:textId="77777777" w:rsidR="00E753D8" w:rsidRDefault="00E753D8" w:rsidP="00E753D8">
      <w:pPr>
        <w:spacing w:line="360" w:lineRule="auto"/>
        <w:jc w:val="both"/>
        <w:rPr>
          <w:rFonts w:ascii="Arial" w:hAnsi="Arial"/>
          <w:rtl/>
        </w:rPr>
      </w:pPr>
    </w:p>
    <w:p w14:paraId="7DC8EB9B" w14:textId="77777777" w:rsidR="00E753D8" w:rsidRDefault="00E753D8" w:rsidP="00E753D8">
      <w:pPr>
        <w:spacing w:line="360" w:lineRule="auto"/>
        <w:jc w:val="both"/>
        <w:rPr>
          <w:rFonts w:ascii="Arial" w:hAnsi="Arial"/>
          <w:rtl/>
        </w:rPr>
      </w:pPr>
      <w:r>
        <w:rPr>
          <w:rFonts w:ascii="Arial" w:hAnsi="Arial"/>
          <w:rtl/>
        </w:rPr>
        <w:t>הנאשם יועמד תחת מבחן, על מנת לאפשר לו להשלים ההליך הטיפולי</w:t>
      </w:r>
      <w:r>
        <w:rPr>
          <w:rFonts w:ascii="Arial" w:hAnsi="Arial" w:hint="cs"/>
          <w:rtl/>
        </w:rPr>
        <w:t xml:space="preserve"> וצו המבחן יהווה חרב נוספת התלויה מעל ראשו.</w:t>
      </w:r>
    </w:p>
    <w:p w14:paraId="20038728" w14:textId="77777777" w:rsidR="00E753D8" w:rsidRDefault="00E753D8" w:rsidP="00E753D8">
      <w:pPr>
        <w:spacing w:line="360" w:lineRule="auto"/>
        <w:jc w:val="both"/>
        <w:rPr>
          <w:rFonts w:ascii="Arial" w:hAnsi="Arial"/>
          <w:rtl/>
        </w:rPr>
      </w:pPr>
    </w:p>
    <w:p w14:paraId="4264C819" w14:textId="77777777" w:rsidR="00E753D8" w:rsidRDefault="00E753D8" w:rsidP="00E753D8">
      <w:pPr>
        <w:spacing w:line="360" w:lineRule="auto"/>
        <w:jc w:val="both"/>
        <w:rPr>
          <w:rFonts w:ascii="Arial" w:hAnsi="Arial"/>
          <w:rtl/>
        </w:rPr>
      </w:pPr>
      <w:r>
        <w:rPr>
          <w:rFonts w:ascii="Arial" w:hAnsi="Arial"/>
          <w:rtl/>
        </w:rPr>
        <w:t>בשל המניע הכלכלי העומד ברקע לעבירות סמים, מוצא בית המשפט להטיל עיצום כספי מסוג קנס</w:t>
      </w:r>
      <w:r>
        <w:rPr>
          <w:rFonts w:ascii="Arial" w:hAnsi="Arial" w:hint="cs"/>
          <w:rtl/>
        </w:rPr>
        <w:t xml:space="preserve"> אשר, לצורך איזון התמונה הענישתית, לא יושת על הצד הנמוך</w:t>
      </w:r>
      <w:r>
        <w:rPr>
          <w:rFonts w:ascii="Arial" w:hAnsi="Arial"/>
          <w:rtl/>
        </w:rPr>
        <w:t xml:space="preserve">. </w:t>
      </w:r>
    </w:p>
    <w:p w14:paraId="2F5D3442" w14:textId="77777777" w:rsidR="00E753D8" w:rsidRDefault="00E753D8" w:rsidP="00E753D8">
      <w:pPr>
        <w:spacing w:line="360" w:lineRule="auto"/>
        <w:jc w:val="both"/>
        <w:rPr>
          <w:rFonts w:ascii="Arial" w:hAnsi="Arial"/>
          <w:rtl/>
        </w:rPr>
      </w:pPr>
    </w:p>
    <w:p w14:paraId="25AAA544" w14:textId="77777777" w:rsidR="00E753D8" w:rsidRDefault="00E753D8" w:rsidP="00E753D8">
      <w:pPr>
        <w:spacing w:line="360" w:lineRule="auto"/>
        <w:jc w:val="both"/>
        <w:rPr>
          <w:rFonts w:ascii="Arial" w:hAnsi="Arial"/>
          <w:rtl/>
        </w:rPr>
      </w:pPr>
      <w:r>
        <w:rPr>
          <w:rFonts w:ascii="Arial" w:hAnsi="Arial" w:hint="cs"/>
          <w:rtl/>
        </w:rPr>
        <w:t>בנוסף, גם זאת כחלק מתמונת הענישה הכוללת, יושתו רכיבים של פסילת רשיון נהיגה בפועל ועל תנאי.</w:t>
      </w:r>
    </w:p>
    <w:p w14:paraId="1E92DAA7" w14:textId="77777777" w:rsidR="00E753D8" w:rsidRDefault="00E753D8" w:rsidP="00E753D8">
      <w:pPr>
        <w:spacing w:line="360" w:lineRule="auto"/>
        <w:jc w:val="both"/>
        <w:rPr>
          <w:rFonts w:ascii="Arial" w:hAnsi="Arial"/>
          <w:rtl/>
        </w:rPr>
      </w:pPr>
    </w:p>
    <w:p w14:paraId="02DAEDF2" w14:textId="77777777" w:rsidR="00E753D8" w:rsidRPr="00C06539" w:rsidRDefault="00E753D8" w:rsidP="00E753D8">
      <w:pPr>
        <w:spacing w:line="360" w:lineRule="auto"/>
        <w:jc w:val="both"/>
        <w:rPr>
          <w:rFonts w:ascii="Arial" w:hAnsi="Arial"/>
          <w:rtl/>
        </w:rPr>
      </w:pPr>
      <w:r>
        <w:rPr>
          <w:rFonts w:ascii="Arial" w:hAnsi="Arial" w:hint="cs"/>
          <w:rtl/>
        </w:rPr>
        <w:t>אמנם, על המעורב הנוסף בפרשה נגזר עונש מאסר בפועל, אך אותו מעורב הורשע בעריכה או תיווך במספר עסקאות של סחר בסם מסוכן; לא היתה בענינו פרוגנוזה טיפולית; בחינת עובדות המקרה מצביעות על מעורבות עמוקה יותר בעולם הסמים.</w:t>
      </w:r>
    </w:p>
    <w:p w14:paraId="23E71603" w14:textId="77777777" w:rsidR="00E753D8" w:rsidRDefault="00E753D8" w:rsidP="00E753D8">
      <w:pPr>
        <w:spacing w:line="360" w:lineRule="auto"/>
        <w:jc w:val="both"/>
        <w:rPr>
          <w:rFonts w:ascii="Arial" w:hAnsi="Arial"/>
          <w:noProof w:val="0"/>
          <w:rtl/>
        </w:rPr>
      </w:pPr>
    </w:p>
    <w:p w14:paraId="7344344D" w14:textId="77777777" w:rsidR="00E753D8" w:rsidRDefault="00E753D8" w:rsidP="00E753D8">
      <w:pPr>
        <w:spacing w:line="360" w:lineRule="auto"/>
        <w:jc w:val="both"/>
        <w:rPr>
          <w:rFonts w:ascii="Arial" w:hAnsi="Arial"/>
          <w:noProof w:val="0"/>
          <w:rtl/>
        </w:rPr>
      </w:pPr>
      <w:r w:rsidRPr="00C06539">
        <w:rPr>
          <w:rFonts w:ascii="Arial" w:hAnsi="Arial"/>
          <w:b/>
          <w:bCs/>
          <w:noProof w:val="0"/>
          <w:rtl/>
        </w:rPr>
        <w:t>בנוגע לשאלת ההרשעה</w:t>
      </w:r>
      <w:r w:rsidRPr="00C06539">
        <w:rPr>
          <w:rFonts w:ascii="Arial" w:hAnsi="Arial"/>
          <w:noProof w:val="0"/>
          <w:rtl/>
        </w:rPr>
        <w:t>, התבחינים העדכניים הם שניים: האחד – האם עצם טיבה של העבירה, בנסיבותיה, מאפשר הימנעות מהרשעה, כענין ערכי, תוך שבית המשפט מביא בחשבון את אמון הציבור במערכת המשפט; השני – האם הוכח חשש קונקרטי לפגיעה בעתידו המקצועי של הנאשם ובסיכויי שיקומו, כתוצאה מהרשעתו בדין, כאשר מידת הפגיעה אינה מידתית ביחס לעבירה, בנסיבותיה.</w:t>
      </w:r>
    </w:p>
    <w:p w14:paraId="1A975C32" w14:textId="77777777" w:rsidR="00E753D8" w:rsidRDefault="00E753D8" w:rsidP="00E753D8">
      <w:pPr>
        <w:spacing w:line="360" w:lineRule="auto"/>
        <w:jc w:val="both"/>
        <w:rPr>
          <w:rFonts w:ascii="Arial" w:hAnsi="Arial"/>
          <w:noProof w:val="0"/>
          <w:rtl/>
        </w:rPr>
      </w:pPr>
    </w:p>
    <w:p w14:paraId="3BB8A522" w14:textId="77777777" w:rsidR="00E753D8" w:rsidRDefault="00E753D8" w:rsidP="00E753D8">
      <w:pPr>
        <w:spacing w:line="360" w:lineRule="auto"/>
        <w:jc w:val="both"/>
        <w:rPr>
          <w:noProof w:val="0"/>
        </w:rPr>
      </w:pPr>
      <w:r>
        <w:rPr>
          <w:rtl/>
        </w:rPr>
        <w:t>ראשית, בנוגע לטיב המעשה – עבירות הסמים, כאמור לעיל, הינן רעה חולה ועבירות הסמים הפכו כבר מזמן למכת מדינה אשר פושה בכל מחוזותינו.</w:t>
      </w:r>
    </w:p>
    <w:p w14:paraId="35A3E151" w14:textId="77777777" w:rsidR="00E753D8" w:rsidRDefault="00E753D8" w:rsidP="00E753D8">
      <w:pPr>
        <w:spacing w:line="360" w:lineRule="auto"/>
        <w:jc w:val="both"/>
        <w:rPr>
          <w:rtl/>
        </w:rPr>
      </w:pPr>
    </w:p>
    <w:p w14:paraId="6B07C3B4" w14:textId="77777777" w:rsidR="00E753D8" w:rsidRDefault="00E753D8" w:rsidP="00E753D8">
      <w:pPr>
        <w:spacing w:line="360" w:lineRule="auto"/>
        <w:jc w:val="both"/>
        <w:rPr>
          <w:rtl/>
        </w:rPr>
      </w:pPr>
      <w:r>
        <w:rPr>
          <w:rtl/>
        </w:rPr>
        <w:t>עבירות הסמים פוגעות פגיעה קשה באינטרס הציבורי, החל מפגיעה בבריאות הציבור, המתמכרים לסם וכלה בפגיעה ברכוש ולעתים בגוף, מתוך ניסיון של צרכן הסמים לממן את המנה הבאה.</w:t>
      </w:r>
    </w:p>
    <w:p w14:paraId="23EBC415" w14:textId="77777777" w:rsidR="00E753D8" w:rsidRDefault="00E753D8" w:rsidP="00E753D8">
      <w:pPr>
        <w:spacing w:line="360" w:lineRule="auto"/>
        <w:jc w:val="both"/>
        <w:rPr>
          <w:rtl/>
        </w:rPr>
      </w:pPr>
    </w:p>
    <w:p w14:paraId="26CE1E7D" w14:textId="77777777" w:rsidR="00E753D8" w:rsidRDefault="00E753D8" w:rsidP="00E753D8">
      <w:pPr>
        <w:spacing w:line="360" w:lineRule="auto"/>
        <w:jc w:val="both"/>
        <w:rPr>
          <w:rtl/>
        </w:rPr>
      </w:pPr>
      <w:r>
        <w:rPr>
          <w:rtl/>
        </w:rPr>
        <w:t>בית המשפט עיין בפסיקה מטעם ההגנה, בנוגע לשאלת ביטול הרשעה בעבירות סמים. עם זאת, בית המשפט אינו מוצא, כי מבחינת המסר הציבורי והאינטרס הציבורי, ניתן להורות על ביטול הרשעת הנאשם.</w:t>
      </w:r>
    </w:p>
    <w:p w14:paraId="4C74787A" w14:textId="77777777" w:rsidR="00E753D8" w:rsidRDefault="00E753D8" w:rsidP="00E753D8">
      <w:pPr>
        <w:spacing w:line="360" w:lineRule="auto"/>
        <w:jc w:val="both"/>
        <w:rPr>
          <w:rFonts w:ascii="Arial" w:hAnsi="Arial"/>
          <w:noProof w:val="0"/>
          <w:rtl/>
        </w:rPr>
      </w:pPr>
    </w:p>
    <w:p w14:paraId="2B3EBCB5" w14:textId="77777777" w:rsidR="00E753D8" w:rsidRPr="00AB440A" w:rsidRDefault="00E753D8" w:rsidP="00E753D8">
      <w:pPr>
        <w:spacing w:line="360" w:lineRule="auto"/>
        <w:jc w:val="both"/>
        <w:rPr>
          <w:rFonts w:ascii="Arial" w:hAnsi="Arial"/>
          <w:noProof w:val="0"/>
          <w:u w:val="single"/>
          <w:rtl/>
        </w:rPr>
      </w:pPr>
      <w:r>
        <w:rPr>
          <w:rFonts w:ascii="Arial" w:hAnsi="Arial" w:hint="cs"/>
          <w:noProof w:val="0"/>
          <w:rtl/>
        </w:rPr>
        <w:t xml:space="preserve">לאחרונה, נדונה שאלת הימנעות מהרשעה בעבירות סחר בסמים במסגרת פסק הדין </w:t>
      </w:r>
      <w:hyperlink r:id="rId27" w:history="1">
        <w:r w:rsidR="00DE25E4" w:rsidRPr="00DE25E4">
          <w:rPr>
            <w:rFonts w:ascii="Arial" w:hAnsi="Arial"/>
            <w:noProof w:val="0"/>
            <w:color w:val="0000FF"/>
            <w:u w:val="single"/>
            <w:rtl/>
          </w:rPr>
          <w:t>עפ"ג(ב"ש) 32899-05-21</w:t>
        </w:r>
      </w:hyperlink>
      <w:r>
        <w:rPr>
          <w:rFonts w:ascii="Arial" w:hAnsi="Arial" w:hint="cs"/>
          <w:noProof w:val="0"/>
          <w:rtl/>
        </w:rPr>
        <w:t xml:space="preserve"> </w:t>
      </w:r>
      <w:r>
        <w:rPr>
          <w:rFonts w:ascii="Arial" w:hAnsi="Arial" w:hint="cs"/>
          <w:b/>
          <w:bCs/>
          <w:noProof w:val="0"/>
          <w:rtl/>
        </w:rPr>
        <w:t>מדינת ישראל נ' חי</w:t>
      </w:r>
      <w:r>
        <w:rPr>
          <w:rFonts w:ascii="Arial" w:hAnsi="Arial" w:hint="cs"/>
          <w:noProof w:val="0"/>
          <w:rtl/>
        </w:rPr>
        <w:t xml:space="preserve"> (ניתן ביום </w:t>
      </w:r>
      <w:r w:rsidRPr="003A26B8">
        <w:rPr>
          <w:rFonts w:ascii="Arial" w:hAnsi="Arial" w:hint="cs"/>
          <w:noProof w:val="0"/>
          <w:rtl/>
        </w:rPr>
        <w:t>03.11.21</w:t>
      </w:r>
      <w:r>
        <w:rPr>
          <w:rFonts w:ascii="Arial" w:hAnsi="Arial" w:hint="cs"/>
          <w:noProof w:val="0"/>
          <w:rtl/>
        </w:rPr>
        <w:t xml:space="preserve">) </w:t>
      </w:r>
      <w:r>
        <w:rPr>
          <w:rFonts w:ascii="Arial" w:hAnsi="Arial"/>
          <w:noProof w:val="0"/>
          <w:rtl/>
        </w:rPr>
        <w:t>–</w:t>
      </w:r>
      <w:r>
        <w:rPr>
          <w:rFonts w:ascii="Arial" w:hAnsi="Arial" w:hint="cs"/>
          <w:noProof w:val="0"/>
          <w:rtl/>
        </w:rPr>
        <w:t xml:space="preserve"> המשיב הורשע, על פי הודאתו במסגרת הסדר טיעון, בשלוש עבירות של סחר בסם מסוכן מסוג קנאביס ועבירה של החזקת סם שלא לצריכה עצמית, כדלקמן: ביום 26.04.21, מכר סם מסוכן מסוג קנביס במשקל 1.7 גרם, תמורת סך של 130 ₪. בהמשך לכך, נערך חיפוש בביתו, שם נמצא סם מסוכן מסוג קנביס במשקל 28.27 גרם שלא לצריכתו העצמית; ביום 09.04.21, מכר סם מסוכן מסוג קנביס במשקל 10 גרם, תמורת סך של 600 ₪; ביום 14.04.21 מכר הנאשם סם מסוכן מסוג קנאביס במשקל 2 גרם, תמורת סך של 100 ₪. בית משפט השלום דן את המשיב(הנאשם) ל-300 שעות של"צ; צו מבחן לשנה; התחייבות להימנע מעבירה; פסילה על תנאי של רישיון הנהיגה; </w:t>
      </w:r>
      <w:r w:rsidRPr="00AB440A">
        <w:rPr>
          <w:rFonts w:ascii="Arial" w:hAnsi="Arial" w:hint="cs"/>
          <w:noProof w:val="0"/>
          <w:u w:val="single"/>
          <w:rtl/>
        </w:rPr>
        <w:t>והורה על ביטול הרשעתו</w:t>
      </w:r>
      <w:r>
        <w:rPr>
          <w:rFonts w:ascii="Arial" w:hAnsi="Arial" w:hint="cs"/>
          <w:noProof w:val="0"/>
          <w:rtl/>
        </w:rPr>
        <w:t xml:space="preserve">. המדינה ערערה על קולת העונש ועל הימנעות מהרשעת הנאשם. בית המשפט המחוזי, בשבתו כערכאת ערעור, קיבל את ערעור המדינה כך שהרשיע את הנאשם, והחזיר את העניין לבית משפט השלום באילת לצורך קביעת הענישה בענינו. בית המשפט המחוזי (כב' השופטת גילת שלו) ציין: </w:t>
      </w:r>
      <w:r w:rsidRPr="009853CF">
        <w:rPr>
          <w:rFonts w:ascii="Arial" w:hAnsi="Arial" w:cs="Aharoni"/>
          <w:b/>
          <w:bCs/>
          <w:noProof w:val="0"/>
          <w:rtl/>
        </w:rPr>
        <w:t>אשר לסוג העבירות ונסיבות ביצוען</w:t>
      </w:r>
      <w:r w:rsidRPr="009853CF">
        <w:rPr>
          <w:rFonts w:ascii="Arial" w:hAnsi="Arial" w:cs="Aharoni"/>
          <w:noProof w:val="0"/>
          <w:rtl/>
        </w:rPr>
        <w:t xml:space="preserve">, הרי שהמשיב הודה בביצוע עבירות של סחר בסמים והחזקת סם שלא לצריכה עצמית, </w:t>
      </w:r>
      <w:r w:rsidRPr="009853CF">
        <w:rPr>
          <w:rFonts w:ascii="Arial" w:hAnsi="Arial" w:cs="Aharoni"/>
          <w:noProof w:val="0"/>
          <w:u w:val="single"/>
          <w:rtl/>
        </w:rPr>
        <w:t>מן החמורות שבעבירות המנויות בפקודת הסמים</w:t>
      </w:r>
      <w:r w:rsidRPr="009853CF">
        <w:rPr>
          <w:rFonts w:ascii="Arial" w:hAnsi="Arial" w:cs="Aharoni"/>
          <w:noProof w:val="0"/>
          <w:rtl/>
        </w:rPr>
        <w:t xml:space="preserve"> ובספר החוקים בכלל. לא אחת נכתב בנוגע לעבירות אלו כי האינטרס הציבורי </w:t>
      </w:r>
      <w:r w:rsidRPr="00515644">
        <w:rPr>
          <w:rFonts w:ascii="Arial" w:hAnsi="Arial" w:cs="Aharoni"/>
          <w:noProof w:val="0"/>
          <w:u w:val="single"/>
          <w:rtl/>
        </w:rPr>
        <w:t>מחייב תגובה עונשית קשה ובלתי מתפשרת בגינן</w:t>
      </w:r>
      <w:r w:rsidRPr="009853CF">
        <w:rPr>
          <w:rFonts w:ascii="Arial" w:hAnsi="Arial" w:cs="Aharoni"/>
          <w:noProof w:val="0"/>
          <w:rtl/>
        </w:rPr>
        <w:t>, כחלק מהתרומה שעל בתי המשפט לשאת למלחמה בנגע הסמים; ובעיקר באלו המצויים במעגל הראשון של הפצת ומכירת הסם לצרכנים</w:t>
      </w:r>
      <w:r w:rsidRPr="009853CF">
        <w:rPr>
          <w:rFonts w:ascii="Arial" w:hAnsi="Arial" w:cs="Aharoni" w:hint="cs"/>
          <w:noProof w:val="0"/>
          <w:rtl/>
        </w:rPr>
        <w:t xml:space="preserve">. ... </w:t>
      </w:r>
      <w:r w:rsidRPr="00AB440A">
        <w:rPr>
          <w:rFonts w:ascii="Arial" w:hAnsi="Arial" w:cs="Aharoni"/>
          <w:noProof w:val="0"/>
          <w:u w:val="single"/>
          <w:rtl/>
        </w:rPr>
        <w:t>לא ברור כיצד מצא בית המשפט קמא כי נסיבות ביצוע העבירות מאפשרות אי הרשעה</w:t>
      </w:r>
      <w:r w:rsidRPr="00AB440A">
        <w:rPr>
          <w:rFonts w:ascii="Arial" w:hAnsi="Arial" w:cs="Arial" w:hint="cs"/>
          <w:noProof w:val="0"/>
          <w:u w:val="single"/>
          <w:rtl/>
        </w:rPr>
        <w:t>...</w:t>
      </w:r>
    </w:p>
    <w:p w14:paraId="20DA442C" w14:textId="77777777" w:rsidR="00E753D8" w:rsidRDefault="00E753D8" w:rsidP="00E753D8">
      <w:pPr>
        <w:spacing w:line="360" w:lineRule="auto"/>
        <w:jc w:val="both"/>
        <w:rPr>
          <w:rFonts w:ascii="Arial" w:hAnsi="Arial"/>
          <w:noProof w:val="0"/>
          <w:rtl/>
        </w:rPr>
      </w:pPr>
      <w:r>
        <w:rPr>
          <w:rFonts w:ascii="Arial" w:hAnsi="Arial" w:hint="cs"/>
          <w:noProof w:val="0"/>
          <w:rtl/>
        </w:rPr>
        <w:t>(ההדגשות אינן במקור).</w:t>
      </w:r>
    </w:p>
    <w:p w14:paraId="70760C58" w14:textId="77777777" w:rsidR="00E753D8" w:rsidRDefault="00E753D8" w:rsidP="00E753D8">
      <w:pPr>
        <w:spacing w:line="360" w:lineRule="auto"/>
        <w:jc w:val="both"/>
        <w:rPr>
          <w:rFonts w:ascii="Arial" w:hAnsi="Arial"/>
          <w:noProof w:val="0"/>
          <w:rtl/>
        </w:rPr>
      </w:pPr>
    </w:p>
    <w:p w14:paraId="7BC48D4B" w14:textId="77777777" w:rsidR="00E753D8" w:rsidRDefault="00E753D8" w:rsidP="00E753D8">
      <w:pPr>
        <w:spacing w:line="360" w:lineRule="auto"/>
        <w:jc w:val="both"/>
        <w:rPr>
          <w:rFonts w:ascii="Arial" w:hAnsi="Arial"/>
          <w:noProof w:val="0"/>
          <w:rtl/>
        </w:rPr>
      </w:pPr>
      <w:r w:rsidRPr="003A26B8">
        <w:rPr>
          <w:rFonts w:ascii="Arial" w:hAnsi="Arial"/>
          <w:noProof w:val="0"/>
          <w:rtl/>
        </w:rPr>
        <w:t>מעבר לאמור, לא עלה בידי ההגנה להצביע על נזק קונקרטי שייגרם לנאשם מהותרת הרשעתו על כנה.</w:t>
      </w:r>
    </w:p>
    <w:p w14:paraId="3E6D63DE" w14:textId="77777777" w:rsidR="00E753D8" w:rsidRDefault="00E753D8" w:rsidP="00E753D8">
      <w:pPr>
        <w:spacing w:line="360" w:lineRule="auto"/>
        <w:jc w:val="both"/>
        <w:rPr>
          <w:rFonts w:ascii="Arial" w:hAnsi="Arial"/>
          <w:noProof w:val="0"/>
          <w:rtl/>
        </w:rPr>
      </w:pPr>
    </w:p>
    <w:p w14:paraId="059D0B9A" w14:textId="77777777" w:rsidR="00E753D8" w:rsidRDefault="00E753D8" w:rsidP="00E753D8">
      <w:pPr>
        <w:spacing w:line="360" w:lineRule="auto"/>
        <w:jc w:val="both"/>
        <w:rPr>
          <w:rFonts w:ascii="Arial" w:hAnsi="Arial"/>
          <w:noProof w:val="0"/>
          <w:rtl/>
        </w:rPr>
      </w:pPr>
      <w:r>
        <w:rPr>
          <w:rFonts w:ascii="Arial" w:hAnsi="Arial" w:hint="cs"/>
          <w:noProof w:val="0"/>
          <w:rtl/>
        </w:rPr>
        <w:t>לטענת ההגנה, החל הנאשם לימודיו ולא יוכל לעסוק בכך באם תיוותר הרשעתו על כנה.</w:t>
      </w:r>
    </w:p>
    <w:p w14:paraId="74D2BF26" w14:textId="77777777" w:rsidR="00E753D8" w:rsidRDefault="00E753D8" w:rsidP="00E753D8">
      <w:pPr>
        <w:spacing w:line="360" w:lineRule="auto"/>
        <w:jc w:val="both"/>
        <w:rPr>
          <w:rFonts w:ascii="Arial" w:hAnsi="Arial"/>
          <w:noProof w:val="0"/>
          <w:rtl/>
        </w:rPr>
      </w:pPr>
    </w:p>
    <w:p w14:paraId="53FC1B73" w14:textId="77777777" w:rsidR="00E753D8" w:rsidRDefault="00E753D8" w:rsidP="00E753D8">
      <w:pPr>
        <w:spacing w:line="360" w:lineRule="auto"/>
        <w:jc w:val="both"/>
        <w:rPr>
          <w:rFonts w:ascii="Arial" w:hAnsi="Arial"/>
          <w:noProof w:val="0"/>
          <w:rtl/>
        </w:rPr>
      </w:pPr>
      <w:r>
        <w:rPr>
          <w:rFonts w:ascii="Arial" w:hAnsi="Arial" w:hint="cs"/>
          <w:noProof w:val="0"/>
          <w:rtl/>
        </w:rPr>
        <w:t xml:space="preserve">יש ממש דווקא בטענת התביעה, כי הנאשם עבר את העבירה לאחר שהחל את לימודיו, והיה ידוע לו, כי אם יורשע בפלילים, לא יקבל רישיון ולא יוכל לעסוק בתחום לימודיו. </w:t>
      </w:r>
    </w:p>
    <w:p w14:paraId="09B5F45B" w14:textId="77777777" w:rsidR="00E753D8" w:rsidRDefault="00E753D8" w:rsidP="00E753D8">
      <w:pPr>
        <w:spacing w:line="360" w:lineRule="auto"/>
        <w:jc w:val="both"/>
        <w:rPr>
          <w:rFonts w:ascii="Arial" w:hAnsi="Arial"/>
          <w:noProof w:val="0"/>
          <w:rtl/>
        </w:rPr>
      </w:pPr>
    </w:p>
    <w:p w14:paraId="246BF7EA" w14:textId="77777777" w:rsidR="00E753D8" w:rsidRDefault="00E753D8" w:rsidP="00E753D8">
      <w:pPr>
        <w:spacing w:line="360" w:lineRule="auto"/>
        <w:jc w:val="both"/>
        <w:rPr>
          <w:rFonts w:ascii="Arial" w:hAnsi="Arial"/>
          <w:noProof w:val="0"/>
          <w:rtl/>
        </w:rPr>
      </w:pPr>
      <w:r w:rsidRPr="008C239E">
        <w:rPr>
          <w:rFonts w:ascii="Arial" w:hAnsi="Arial"/>
          <w:noProof w:val="0"/>
          <w:rtl/>
        </w:rPr>
        <w:t>מכל המקובץ – אין בית המשפט מוצא כי מתקיימים התבחינים המאפשרים להורות על נקיטה בחריג, של ביטול הכרעת הדין המרשיעה.</w:t>
      </w:r>
    </w:p>
    <w:p w14:paraId="5D128FF7" w14:textId="77777777" w:rsidR="00E753D8" w:rsidRDefault="00E753D8" w:rsidP="00E753D8">
      <w:pPr>
        <w:spacing w:line="360" w:lineRule="auto"/>
        <w:jc w:val="both"/>
        <w:rPr>
          <w:rFonts w:ascii="Arial" w:hAnsi="Arial"/>
          <w:noProof w:val="0"/>
          <w:rtl/>
        </w:rPr>
      </w:pPr>
    </w:p>
    <w:p w14:paraId="2C29ED45" w14:textId="77777777" w:rsidR="00E753D8" w:rsidRDefault="00E753D8" w:rsidP="00E753D8">
      <w:pPr>
        <w:spacing w:line="360" w:lineRule="auto"/>
        <w:jc w:val="both"/>
        <w:rPr>
          <w:rFonts w:ascii="Arial" w:hAnsi="Arial"/>
          <w:noProof w:val="0"/>
          <w:rtl/>
        </w:rPr>
      </w:pPr>
    </w:p>
    <w:p w14:paraId="5F80312D" w14:textId="77777777" w:rsidR="00E753D8" w:rsidRPr="008C239E" w:rsidRDefault="00E753D8" w:rsidP="00E753D8">
      <w:pPr>
        <w:spacing w:line="360" w:lineRule="auto"/>
        <w:jc w:val="both"/>
        <w:rPr>
          <w:rFonts w:ascii="Arial" w:hAnsi="Arial"/>
          <w:noProof w:val="0"/>
        </w:rPr>
      </w:pPr>
      <w:r w:rsidRPr="008C239E">
        <w:rPr>
          <w:rFonts w:ascii="Arial" w:hAnsi="Arial"/>
          <w:b/>
          <w:bCs/>
          <w:noProof w:val="0"/>
          <w:rtl/>
        </w:rPr>
        <w:t>סיכום</w:t>
      </w:r>
    </w:p>
    <w:p w14:paraId="53EB85A1" w14:textId="77777777" w:rsidR="00E753D8" w:rsidRPr="008C239E" w:rsidRDefault="00E753D8" w:rsidP="00E753D8">
      <w:pPr>
        <w:spacing w:line="360" w:lineRule="auto"/>
        <w:jc w:val="both"/>
        <w:rPr>
          <w:rFonts w:ascii="Arial" w:hAnsi="Arial"/>
          <w:noProof w:val="0"/>
        </w:rPr>
      </w:pPr>
    </w:p>
    <w:p w14:paraId="0D725C1D" w14:textId="77777777" w:rsidR="00E753D8" w:rsidRPr="008C239E" w:rsidRDefault="00E753D8" w:rsidP="00E753D8">
      <w:pPr>
        <w:spacing w:line="360" w:lineRule="auto"/>
        <w:jc w:val="both"/>
        <w:rPr>
          <w:rFonts w:ascii="Arial" w:hAnsi="Arial"/>
          <w:noProof w:val="0"/>
        </w:rPr>
      </w:pPr>
      <w:r>
        <w:rPr>
          <w:rFonts w:ascii="Arial" w:hAnsi="Arial"/>
          <w:noProof w:val="0"/>
          <w:rtl/>
        </w:rPr>
        <w:t xml:space="preserve">לאחר שבית המשפט </w:t>
      </w:r>
      <w:r w:rsidRPr="008C239E">
        <w:rPr>
          <w:rFonts w:ascii="Arial" w:hAnsi="Arial"/>
          <w:noProof w:val="0"/>
          <w:rtl/>
        </w:rPr>
        <w:t xml:space="preserve">שמע טיעוני הצדדים על פה; </w:t>
      </w:r>
      <w:r>
        <w:rPr>
          <w:rFonts w:ascii="Arial" w:hAnsi="Arial" w:hint="cs"/>
          <w:noProof w:val="0"/>
          <w:rtl/>
        </w:rPr>
        <w:t xml:space="preserve">עיין בראיות לעונש; </w:t>
      </w:r>
      <w:r w:rsidRPr="008C239E">
        <w:rPr>
          <w:rFonts w:ascii="Arial" w:hAnsi="Arial"/>
          <w:noProof w:val="0"/>
          <w:rtl/>
        </w:rPr>
        <w:t xml:space="preserve">עיין בתסקירי שירות המבחן למבוגרים; עיין בפסיקה </w:t>
      </w:r>
      <w:r>
        <w:rPr>
          <w:rFonts w:ascii="Arial" w:hAnsi="Arial" w:hint="cs"/>
          <w:noProof w:val="0"/>
          <w:rtl/>
        </w:rPr>
        <w:t>שהוגשה</w:t>
      </w:r>
      <w:r w:rsidRPr="008C239E">
        <w:rPr>
          <w:rFonts w:ascii="Arial" w:hAnsi="Arial"/>
          <w:noProof w:val="0"/>
          <w:rtl/>
        </w:rPr>
        <w:t xml:space="preserve">; </w:t>
      </w:r>
      <w:r>
        <w:rPr>
          <w:rFonts w:ascii="Arial" w:hAnsi="Arial"/>
          <w:noProof w:val="0"/>
          <w:rtl/>
        </w:rPr>
        <w:t>ולאחר ששמע דברו האחרון של הנאשם</w:t>
      </w:r>
      <w:r w:rsidRPr="008C239E">
        <w:rPr>
          <w:rFonts w:ascii="Arial" w:hAnsi="Arial"/>
          <w:noProof w:val="0"/>
          <w:rtl/>
        </w:rPr>
        <w:t>; גוזר על הנאשם את העונשים כדלקמן:</w:t>
      </w:r>
    </w:p>
    <w:p w14:paraId="77448A37" w14:textId="77777777" w:rsidR="00E753D8" w:rsidRPr="008C239E" w:rsidRDefault="00E753D8" w:rsidP="00E753D8">
      <w:pPr>
        <w:spacing w:line="360" w:lineRule="auto"/>
        <w:jc w:val="both"/>
        <w:rPr>
          <w:rFonts w:ascii="Arial" w:hAnsi="Arial"/>
          <w:noProof w:val="0"/>
        </w:rPr>
      </w:pPr>
    </w:p>
    <w:p w14:paraId="1B775D57" w14:textId="77777777" w:rsidR="00E753D8" w:rsidRPr="008C239E" w:rsidRDefault="00E753D8" w:rsidP="00E753D8">
      <w:pPr>
        <w:numPr>
          <w:ilvl w:val="0"/>
          <w:numId w:val="3"/>
        </w:numPr>
        <w:spacing w:line="360" w:lineRule="auto"/>
        <w:jc w:val="both"/>
        <w:rPr>
          <w:rFonts w:ascii="Arial" w:hAnsi="Arial"/>
          <w:noProof w:val="0"/>
          <w:rtl/>
        </w:rPr>
      </w:pPr>
      <w:r w:rsidRPr="008C239E">
        <w:rPr>
          <w:rFonts w:ascii="Arial" w:hAnsi="Arial"/>
          <w:noProof w:val="0"/>
          <w:rtl/>
        </w:rPr>
        <w:t>12 חודשים מאסר על תנאי למשך 3 שנים מיום שחרורו של הנאשם ממאסר, והתנאי – שהנאשם לא יעבור עבירה בניגוד ל</w:t>
      </w:r>
      <w:hyperlink r:id="rId28" w:history="1">
        <w:r w:rsidR="00DE25E4" w:rsidRPr="00DE25E4">
          <w:rPr>
            <w:rFonts w:ascii="Arial" w:hAnsi="Arial"/>
            <w:noProof w:val="0"/>
            <w:color w:val="0000FF"/>
            <w:u w:val="single"/>
            <w:rtl/>
          </w:rPr>
          <w:t>פקודת הסמים המסוכנים</w:t>
        </w:r>
      </w:hyperlink>
      <w:r w:rsidRPr="008C239E">
        <w:rPr>
          <w:rFonts w:ascii="Arial" w:hAnsi="Arial"/>
          <w:noProof w:val="0"/>
          <w:rtl/>
        </w:rPr>
        <w:t xml:space="preserve"> [נוסח חדש], תשל"ג – 1973, שהיא מסוג פשע;</w:t>
      </w:r>
    </w:p>
    <w:p w14:paraId="4D4481BC" w14:textId="77777777" w:rsidR="00E753D8" w:rsidRPr="008C239E" w:rsidRDefault="00E753D8" w:rsidP="00E753D8">
      <w:pPr>
        <w:numPr>
          <w:ilvl w:val="0"/>
          <w:numId w:val="3"/>
        </w:numPr>
        <w:spacing w:line="360" w:lineRule="auto"/>
        <w:jc w:val="both"/>
        <w:rPr>
          <w:rFonts w:ascii="Arial" w:hAnsi="Arial"/>
          <w:noProof w:val="0"/>
        </w:rPr>
      </w:pPr>
      <w:r w:rsidRPr="008C239E">
        <w:rPr>
          <w:rFonts w:ascii="Arial" w:hAnsi="Arial"/>
          <w:noProof w:val="0"/>
          <w:rtl/>
        </w:rPr>
        <w:t>3 חודשים מאסר על תנאי למשך 3 שנים מיום שחרורו של הנאשם ממאסר, והתנאי – שהנאשם לא יעבור עבירה בניגוד ל</w:t>
      </w:r>
      <w:hyperlink r:id="rId29" w:history="1">
        <w:r w:rsidR="00DE25E4" w:rsidRPr="00DE25E4">
          <w:rPr>
            <w:rFonts w:ascii="Arial" w:hAnsi="Arial"/>
            <w:noProof w:val="0"/>
            <w:color w:val="0000FF"/>
            <w:u w:val="single"/>
            <w:rtl/>
          </w:rPr>
          <w:t>פקודת הסמים המסוכנים</w:t>
        </w:r>
      </w:hyperlink>
      <w:r w:rsidRPr="008C239E">
        <w:rPr>
          <w:rFonts w:ascii="Arial" w:hAnsi="Arial"/>
          <w:noProof w:val="0"/>
          <w:rtl/>
        </w:rPr>
        <w:t xml:space="preserve"> [נוסח חדש], תשל"ג – 1973, שהיא מסוג עוון;</w:t>
      </w:r>
    </w:p>
    <w:p w14:paraId="5831ECCD" w14:textId="77777777" w:rsidR="00E753D8" w:rsidRPr="008C239E" w:rsidRDefault="00E753D8" w:rsidP="00E753D8">
      <w:pPr>
        <w:numPr>
          <w:ilvl w:val="0"/>
          <w:numId w:val="3"/>
        </w:numPr>
        <w:spacing w:line="360" w:lineRule="auto"/>
        <w:jc w:val="both"/>
        <w:rPr>
          <w:rFonts w:ascii="Arial" w:hAnsi="Arial"/>
          <w:noProof w:val="0"/>
          <w:rtl/>
        </w:rPr>
      </w:pPr>
      <w:r w:rsidRPr="008C239E">
        <w:rPr>
          <w:rFonts w:ascii="Arial" w:hAnsi="Arial"/>
          <w:noProof w:val="0"/>
          <w:rtl/>
        </w:rPr>
        <w:t>קנס בסך 1</w:t>
      </w:r>
      <w:r>
        <w:rPr>
          <w:rFonts w:ascii="Arial" w:hAnsi="Arial" w:hint="cs"/>
          <w:noProof w:val="0"/>
          <w:rtl/>
        </w:rPr>
        <w:t>5</w:t>
      </w:r>
      <w:r w:rsidRPr="008C239E">
        <w:rPr>
          <w:rFonts w:ascii="Arial" w:hAnsi="Arial"/>
          <w:noProof w:val="0"/>
          <w:rtl/>
        </w:rPr>
        <w:t xml:space="preserve">,000 ₪ או 90 ימי מאסר תמורתו. הקנס ישולם ב - </w:t>
      </w:r>
      <w:r>
        <w:rPr>
          <w:rFonts w:ascii="Arial" w:hAnsi="Arial" w:hint="cs"/>
          <w:noProof w:val="0"/>
          <w:rtl/>
        </w:rPr>
        <w:t>15</w:t>
      </w:r>
      <w:r w:rsidRPr="008C239E">
        <w:rPr>
          <w:rFonts w:ascii="Arial" w:hAnsi="Arial"/>
          <w:noProof w:val="0"/>
          <w:rtl/>
        </w:rPr>
        <w:t xml:space="preserve"> תשלומים שווים החל מיום 15.</w:t>
      </w:r>
      <w:r>
        <w:rPr>
          <w:rFonts w:ascii="Arial" w:hAnsi="Arial" w:hint="cs"/>
          <w:noProof w:val="0"/>
          <w:rtl/>
        </w:rPr>
        <w:t>01.23</w:t>
      </w:r>
      <w:r w:rsidRPr="008C239E">
        <w:rPr>
          <w:rFonts w:ascii="Arial" w:hAnsi="Arial"/>
          <w:noProof w:val="0"/>
          <w:rtl/>
        </w:rPr>
        <w:t xml:space="preserve"> ובכל 15 לחודש העוקב. לא יעמוד הנאשם באחד התשלומים במועד – תעמוד היתרה לפירעון מידי;</w:t>
      </w:r>
    </w:p>
    <w:p w14:paraId="0E5656B5" w14:textId="77777777" w:rsidR="00E753D8" w:rsidRPr="008C239E" w:rsidRDefault="00E753D8" w:rsidP="00E753D8">
      <w:pPr>
        <w:numPr>
          <w:ilvl w:val="0"/>
          <w:numId w:val="3"/>
        </w:numPr>
        <w:spacing w:line="360" w:lineRule="auto"/>
        <w:jc w:val="both"/>
        <w:rPr>
          <w:rFonts w:ascii="Arial" w:hAnsi="Arial"/>
          <w:noProof w:val="0"/>
        </w:rPr>
      </w:pPr>
      <w:r w:rsidRPr="008C239E">
        <w:rPr>
          <w:rFonts w:ascii="Arial" w:hAnsi="Arial"/>
          <w:noProof w:val="0"/>
          <w:rtl/>
        </w:rPr>
        <w:t xml:space="preserve">הנאשם ירצה עבודות של"צ בהיקף של </w:t>
      </w:r>
      <w:r>
        <w:rPr>
          <w:rFonts w:ascii="Arial" w:hAnsi="Arial" w:hint="cs"/>
          <w:noProof w:val="0"/>
          <w:rtl/>
        </w:rPr>
        <w:t>500</w:t>
      </w:r>
      <w:r w:rsidRPr="008C239E">
        <w:rPr>
          <w:rFonts w:ascii="Arial" w:hAnsi="Arial"/>
          <w:noProof w:val="0"/>
          <w:rtl/>
        </w:rPr>
        <w:t xml:space="preserve"> שעות, בהתאם לתכנית השל"צ שתגובש ע"י שירות המבחן ותוגש לבית המשפט בתוך 30 יום מהיום. על הנאשם להתייצב, בתוך 7 ימים מהיום, בשירות המבחן, לקבלת הוראות בנוגע לריצוי עבודות השל"צ. הנאשם מוזהר, כי אי התייצבות לריצוי עבודות השל"צ, או אי שיתוף פעולה בנוגע לריצוין – עלול להביא להפקעת צו השל"צ ולדיון מחדש בשאלת העונש בתיק זה, על כל המשתמע מכך;</w:t>
      </w:r>
    </w:p>
    <w:p w14:paraId="21491641" w14:textId="77777777" w:rsidR="00E753D8" w:rsidRDefault="00E753D8" w:rsidP="00E753D8">
      <w:pPr>
        <w:numPr>
          <w:ilvl w:val="0"/>
          <w:numId w:val="3"/>
        </w:numPr>
        <w:spacing w:line="360" w:lineRule="auto"/>
        <w:jc w:val="both"/>
        <w:rPr>
          <w:rFonts w:ascii="Arial" w:hAnsi="Arial"/>
          <w:noProof w:val="0"/>
        </w:rPr>
      </w:pPr>
      <w:r w:rsidRPr="008C239E">
        <w:rPr>
          <w:rFonts w:ascii="Arial" w:hAnsi="Arial"/>
          <w:noProof w:val="0"/>
          <w:rtl/>
        </w:rPr>
        <w:t>הנאשם יעמוד במבחן למשך שנה מהיום. במסגרת צו המבחן, יהיה עליו להשתתף בכל הליך טיפולי או מעקבי כפי שיומלץ ע"י שירות המבחן. על הנאשם להתייצב, בתוך 7 ימים מהיום, בשירות המבחן לקבלת הוראות מתאימות. הנאשם מוזהר, כי אי שיתוף פעולה במסגרת צו המבחן עלול להביא להפקעתו ולדיון מחדש בשאלת העונש בתיק זה, על כל המשתמע מכך;</w:t>
      </w:r>
    </w:p>
    <w:p w14:paraId="0BE76D72" w14:textId="77777777" w:rsidR="00E753D8" w:rsidRPr="00AC48FD" w:rsidRDefault="00E753D8" w:rsidP="00E753D8">
      <w:pPr>
        <w:numPr>
          <w:ilvl w:val="0"/>
          <w:numId w:val="3"/>
        </w:numPr>
        <w:spacing w:line="360" w:lineRule="auto"/>
        <w:jc w:val="both"/>
        <w:rPr>
          <w:rFonts w:ascii="Arial" w:hAnsi="Arial"/>
          <w:noProof w:val="0"/>
        </w:rPr>
      </w:pPr>
      <w:r w:rsidRPr="00AC48FD">
        <w:rPr>
          <w:rFonts w:ascii="Arial" w:hAnsi="Arial"/>
          <w:noProof w:val="0"/>
          <w:rtl/>
        </w:rPr>
        <w:t xml:space="preserve">פסילה </w:t>
      </w:r>
      <w:r>
        <w:rPr>
          <w:rFonts w:hint="cs"/>
          <w:rtl/>
        </w:rPr>
        <w:t xml:space="preserve">בפועל מקבל או מהחזיק רשיון נהיגה לרכב מנועי למשך 6 חדשים. על הנאשם להפקיד רשיונו, או תצהיר מתאים, במזכירות בית המשפט עד ליום העבודה הבא. מובהר לנאשם, כי החל מתאריך זה – כל עוד לא הופקד הרשיון – יהיה הנאשם פסול מלנהוג, אך הפסילה לא תימנה. </w:t>
      </w:r>
    </w:p>
    <w:p w14:paraId="485E59DF" w14:textId="77777777" w:rsidR="00E753D8" w:rsidRPr="008C239E" w:rsidRDefault="00E753D8" w:rsidP="00E753D8">
      <w:pPr>
        <w:numPr>
          <w:ilvl w:val="0"/>
          <w:numId w:val="3"/>
        </w:numPr>
        <w:spacing w:line="360" w:lineRule="auto"/>
        <w:jc w:val="both"/>
        <w:rPr>
          <w:rFonts w:ascii="Arial" w:hAnsi="Arial"/>
          <w:noProof w:val="0"/>
        </w:rPr>
      </w:pPr>
      <w:r w:rsidRPr="008C239E">
        <w:rPr>
          <w:rFonts w:ascii="Arial" w:hAnsi="Arial"/>
          <w:noProof w:val="0"/>
          <w:rtl/>
        </w:rPr>
        <w:t xml:space="preserve">פסילה מקבל ומהחזיק רשיון נהיגה לרכב מנועי, בת  6 חדשים, על תנאי, תקופת התנאי -למשך 3 שנים </w:t>
      </w:r>
      <w:r>
        <w:rPr>
          <w:rFonts w:ascii="Arial" w:hAnsi="Arial" w:hint="cs"/>
          <w:noProof w:val="0"/>
          <w:rtl/>
        </w:rPr>
        <w:t>מיום סיום הפסילה בפועל</w:t>
      </w:r>
      <w:r w:rsidRPr="008C239E">
        <w:rPr>
          <w:rFonts w:ascii="Arial" w:hAnsi="Arial"/>
          <w:noProof w:val="0"/>
          <w:rtl/>
        </w:rPr>
        <w:t>;</w:t>
      </w:r>
    </w:p>
    <w:p w14:paraId="66AAA756" w14:textId="77777777" w:rsidR="00E753D8" w:rsidRPr="008C239E" w:rsidRDefault="00E753D8" w:rsidP="00E753D8">
      <w:pPr>
        <w:numPr>
          <w:ilvl w:val="0"/>
          <w:numId w:val="3"/>
        </w:numPr>
        <w:spacing w:line="360" w:lineRule="auto"/>
        <w:jc w:val="both"/>
        <w:rPr>
          <w:rFonts w:ascii="Arial" w:hAnsi="Arial"/>
          <w:noProof w:val="0"/>
        </w:rPr>
      </w:pPr>
      <w:r w:rsidRPr="008C239E">
        <w:rPr>
          <w:rFonts w:ascii="Arial" w:hAnsi="Arial"/>
          <w:noProof w:val="0"/>
          <w:rtl/>
        </w:rPr>
        <w:t>השמדת הסמים - בחלוף תקופת הערעור.</w:t>
      </w:r>
    </w:p>
    <w:p w14:paraId="3BE27A97" w14:textId="77777777" w:rsidR="00E753D8" w:rsidRDefault="00E753D8" w:rsidP="00E753D8">
      <w:pPr>
        <w:spacing w:line="360" w:lineRule="auto"/>
        <w:jc w:val="both"/>
        <w:rPr>
          <w:rFonts w:ascii="Arial" w:hAnsi="Arial"/>
          <w:noProof w:val="0"/>
          <w:rtl/>
        </w:rPr>
      </w:pPr>
    </w:p>
    <w:p w14:paraId="7A85BF5B" w14:textId="77777777" w:rsidR="00E753D8" w:rsidRDefault="00E753D8" w:rsidP="00E753D8">
      <w:pPr>
        <w:spacing w:line="360" w:lineRule="auto"/>
        <w:jc w:val="both"/>
        <w:rPr>
          <w:rFonts w:ascii="Arial" w:hAnsi="Arial"/>
          <w:noProof w:val="0"/>
          <w:rtl/>
        </w:rPr>
      </w:pPr>
    </w:p>
    <w:p w14:paraId="780AF15A" w14:textId="77777777" w:rsidR="00E753D8" w:rsidRDefault="00E753D8" w:rsidP="00E753D8">
      <w:pPr>
        <w:spacing w:line="360" w:lineRule="auto"/>
        <w:jc w:val="both"/>
        <w:rPr>
          <w:rFonts w:ascii="Arial" w:hAnsi="Arial"/>
          <w:noProof w:val="0"/>
          <w:rtl/>
        </w:rPr>
      </w:pPr>
    </w:p>
    <w:p w14:paraId="56DA0E18" w14:textId="77777777" w:rsidR="00E753D8" w:rsidRDefault="00E753D8" w:rsidP="00E753D8">
      <w:pPr>
        <w:spacing w:line="360" w:lineRule="auto"/>
        <w:jc w:val="both"/>
        <w:rPr>
          <w:rFonts w:ascii="Arial" w:hAnsi="Arial"/>
          <w:noProof w:val="0"/>
          <w:rtl/>
        </w:rPr>
      </w:pPr>
    </w:p>
    <w:p w14:paraId="065B8710" w14:textId="77777777" w:rsidR="00E753D8" w:rsidRDefault="00E753D8" w:rsidP="00E753D8">
      <w:pPr>
        <w:spacing w:line="360" w:lineRule="auto"/>
        <w:jc w:val="both"/>
        <w:rPr>
          <w:rFonts w:ascii="Arial" w:hAnsi="Arial"/>
          <w:noProof w:val="0"/>
          <w:rtl/>
        </w:rPr>
      </w:pPr>
    </w:p>
    <w:p w14:paraId="00592A36" w14:textId="77777777" w:rsidR="00E753D8" w:rsidRDefault="00E753D8" w:rsidP="00E753D8">
      <w:pPr>
        <w:spacing w:line="360" w:lineRule="auto"/>
        <w:jc w:val="both"/>
        <w:rPr>
          <w:rFonts w:ascii="Arial" w:hAnsi="Arial"/>
          <w:noProof w:val="0"/>
          <w:rtl/>
        </w:rPr>
      </w:pPr>
    </w:p>
    <w:p w14:paraId="77B51256" w14:textId="77777777" w:rsidR="00E753D8" w:rsidRPr="008C239E" w:rsidRDefault="00E753D8" w:rsidP="00E753D8">
      <w:pPr>
        <w:spacing w:line="360" w:lineRule="auto"/>
        <w:jc w:val="both"/>
        <w:rPr>
          <w:rFonts w:ascii="Arial" w:hAnsi="Arial"/>
          <w:noProof w:val="0"/>
        </w:rPr>
      </w:pPr>
    </w:p>
    <w:p w14:paraId="788D5A56" w14:textId="77777777" w:rsidR="00E753D8" w:rsidRDefault="00E753D8" w:rsidP="00E753D8">
      <w:pPr>
        <w:spacing w:after="160" w:line="276" w:lineRule="auto"/>
        <w:rPr>
          <w:rFonts w:ascii="Calibri" w:hAnsi="Calibri"/>
          <w:noProof w:val="0"/>
          <w:rtl/>
        </w:rPr>
      </w:pPr>
      <w:r w:rsidRPr="008C239E">
        <w:rPr>
          <w:rFonts w:ascii="Calibri" w:hAnsi="Calibri"/>
          <w:noProof w:val="0"/>
          <w:rtl/>
        </w:rPr>
        <w:t>עותק גזר הדין יועבר לשירות המבחן למבוגרים</w:t>
      </w:r>
      <w:r>
        <w:rPr>
          <w:rFonts w:ascii="Calibri" w:hAnsi="Calibri" w:hint="cs"/>
          <w:noProof w:val="0"/>
          <w:rtl/>
        </w:rPr>
        <w:t>.</w:t>
      </w:r>
    </w:p>
    <w:p w14:paraId="61CF8F73" w14:textId="77777777" w:rsidR="00E753D8" w:rsidRPr="008C239E" w:rsidRDefault="00E753D8" w:rsidP="00E753D8">
      <w:pPr>
        <w:spacing w:after="160" w:line="276" w:lineRule="auto"/>
        <w:rPr>
          <w:rFonts w:ascii="Calibri" w:hAnsi="Calibri"/>
          <w:noProof w:val="0"/>
          <w:rtl/>
        </w:rPr>
      </w:pPr>
    </w:p>
    <w:p w14:paraId="72BF1281" w14:textId="77777777" w:rsidR="00E753D8" w:rsidRDefault="00E753D8" w:rsidP="00E753D8">
      <w:pPr>
        <w:spacing w:after="160" w:line="276" w:lineRule="auto"/>
        <w:rPr>
          <w:rFonts w:ascii="Calibri" w:hAnsi="Calibri"/>
          <w:noProof w:val="0"/>
          <w:rtl/>
        </w:rPr>
      </w:pPr>
      <w:r w:rsidRPr="008C239E">
        <w:rPr>
          <w:rFonts w:ascii="Calibri" w:hAnsi="Calibri"/>
          <w:noProof w:val="0"/>
          <w:rtl/>
        </w:rPr>
        <w:t xml:space="preserve">צו מבחן יוגש לחתימה בתוך 30 יום מהיום. </w:t>
      </w:r>
    </w:p>
    <w:p w14:paraId="2735D600" w14:textId="77777777" w:rsidR="00E753D8" w:rsidRPr="00DE25E4" w:rsidRDefault="00DE25E4" w:rsidP="00E753D8">
      <w:pPr>
        <w:spacing w:after="160" w:line="276" w:lineRule="auto"/>
        <w:rPr>
          <w:rFonts w:ascii="Calibri" w:hAnsi="Calibri"/>
          <w:noProof w:val="0"/>
          <w:color w:val="FFFFFF"/>
          <w:sz w:val="2"/>
          <w:szCs w:val="2"/>
          <w:rtl/>
        </w:rPr>
      </w:pPr>
      <w:r w:rsidRPr="00DE25E4">
        <w:rPr>
          <w:rFonts w:ascii="Calibri" w:hAnsi="Calibri"/>
          <w:noProof w:val="0"/>
          <w:color w:val="FFFFFF"/>
          <w:sz w:val="2"/>
          <w:szCs w:val="2"/>
          <w:rtl/>
        </w:rPr>
        <w:t>5129371</w:t>
      </w:r>
    </w:p>
    <w:p w14:paraId="575F90A5" w14:textId="77777777" w:rsidR="00E753D8" w:rsidRDefault="00DE25E4" w:rsidP="00E753D8">
      <w:pPr>
        <w:spacing w:after="160" w:line="276" w:lineRule="auto"/>
        <w:rPr>
          <w:rFonts w:ascii="Calibri" w:hAnsi="Calibri"/>
          <w:noProof w:val="0"/>
          <w:rtl/>
        </w:rPr>
      </w:pPr>
      <w:r w:rsidRPr="00DE25E4">
        <w:rPr>
          <w:rFonts w:ascii="Calibri" w:hAnsi="Calibri"/>
          <w:noProof w:val="0"/>
          <w:color w:val="FFFFFF"/>
          <w:sz w:val="2"/>
          <w:szCs w:val="2"/>
          <w:rtl/>
        </w:rPr>
        <w:t>54678313</w:t>
      </w:r>
      <w:r w:rsidR="00E753D8" w:rsidRPr="008C239E">
        <w:rPr>
          <w:rFonts w:ascii="Calibri" w:hAnsi="Calibri"/>
          <w:noProof w:val="0"/>
          <w:rtl/>
        </w:rPr>
        <w:t>הודעה זכות הערעור.</w:t>
      </w:r>
    </w:p>
    <w:p w14:paraId="083CF132" w14:textId="77777777" w:rsidR="00E753D8" w:rsidRPr="008C239E" w:rsidRDefault="00E753D8" w:rsidP="00E753D8">
      <w:pPr>
        <w:spacing w:after="160" w:line="276" w:lineRule="auto"/>
        <w:rPr>
          <w:rFonts w:ascii="Calibri" w:hAnsi="Calibri"/>
          <w:noProof w:val="0"/>
          <w:rtl/>
        </w:rPr>
      </w:pPr>
    </w:p>
    <w:p w14:paraId="24FDCA2E" w14:textId="77777777" w:rsidR="00E753D8" w:rsidRDefault="00DE25E4" w:rsidP="00E753D8">
      <w:pPr>
        <w:spacing w:line="360" w:lineRule="auto"/>
        <w:jc w:val="both"/>
        <w:rPr>
          <w:rFonts w:ascii="Arial" w:hAnsi="Arial"/>
          <w:noProof w:val="0"/>
          <w:rtl/>
        </w:rPr>
      </w:pPr>
      <w:bookmarkStart w:id="8" w:name="Nitan"/>
      <w:r>
        <w:rPr>
          <w:rFonts w:ascii="Arial" w:hAnsi="Arial"/>
          <w:noProof w:val="0"/>
          <w:rtl/>
        </w:rPr>
        <w:t xml:space="preserve">ניתנה היום, ד' כסלו תשפ"ג, 28 נובמבר 2022, במעמד הצדדים. </w:t>
      </w:r>
      <w:bookmarkEnd w:id="8"/>
    </w:p>
    <w:p w14:paraId="37421756" w14:textId="77777777" w:rsidR="00E753D8" w:rsidRDefault="00E753D8" w:rsidP="00E753D8">
      <w:pPr>
        <w:spacing w:line="360" w:lineRule="auto"/>
        <w:ind w:left="3600" w:firstLine="720"/>
        <w:jc w:val="center"/>
      </w:pPr>
    </w:p>
    <w:p w14:paraId="7D8602CC" w14:textId="77777777" w:rsidR="00E753D8" w:rsidRPr="009E5064" w:rsidRDefault="009E5064" w:rsidP="00E753D8">
      <w:pPr>
        <w:spacing w:line="360" w:lineRule="auto"/>
        <w:ind w:left="3600" w:firstLine="720"/>
        <w:jc w:val="center"/>
        <w:rPr>
          <w:rFonts w:ascii="Arial" w:hAnsi="Arial"/>
          <w:noProof w:val="0"/>
          <w:color w:val="FFFFFF"/>
          <w:sz w:val="2"/>
          <w:szCs w:val="2"/>
          <w:rtl/>
        </w:rPr>
      </w:pPr>
      <w:r w:rsidRPr="009E5064">
        <w:rPr>
          <w:rFonts w:ascii="Arial" w:hAnsi="Arial"/>
          <w:noProof w:val="0"/>
          <w:color w:val="FFFFFF"/>
          <w:sz w:val="2"/>
          <w:szCs w:val="2"/>
          <w:rtl/>
        </w:rPr>
        <w:t>5129371</w:t>
      </w:r>
    </w:p>
    <w:p w14:paraId="19265408" w14:textId="77777777" w:rsidR="001875A2" w:rsidRPr="009E5064" w:rsidRDefault="009E5064" w:rsidP="00DE25E4">
      <w:pPr>
        <w:keepNext/>
        <w:rPr>
          <w:rFonts w:ascii="David" w:hAnsi="David" w:hint="cs"/>
          <w:color w:val="FFFFFF"/>
          <w:sz w:val="2"/>
          <w:szCs w:val="2"/>
          <w:rtl/>
        </w:rPr>
      </w:pPr>
      <w:r w:rsidRPr="009E5064">
        <w:rPr>
          <w:rFonts w:ascii="David" w:hAnsi="David"/>
          <w:color w:val="FFFFFF"/>
          <w:sz w:val="2"/>
          <w:szCs w:val="2"/>
          <w:rtl/>
        </w:rPr>
        <w:t>512937154678313</w:t>
      </w:r>
    </w:p>
    <w:p w14:paraId="6E727D90" w14:textId="77777777" w:rsidR="00DE25E4" w:rsidRPr="009E5064" w:rsidRDefault="009E5064" w:rsidP="00DE25E4">
      <w:pPr>
        <w:rPr>
          <w:color w:val="FFFFFF"/>
          <w:sz w:val="2"/>
          <w:szCs w:val="2"/>
          <w:rtl/>
        </w:rPr>
      </w:pPr>
      <w:r w:rsidRPr="009E5064">
        <w:rPr>
          <w:color w:val="FFFFFF"/>
          <w:sz w:val="2"/>
          <w:szCs w:val="2"/>
          <w:rtl/>
        </w:rPr>
        <w:t>54678313</w:t>
      </w:r>
    </w:p>
    <w:p w14:paraId="3947E22B" w14:textId="77777777" w:rsidR="00DE25E4" w:rsidRDefault="00DE25E4" w:rsidP="00DE25E4">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5BC51FB" w14:textId="77777777" w:rsidR="009E5064" w:rsidRPr="009E5064" w:rsidRDefault="009E5064" w:rsidP="009E5064">
      <w:pPr>
        <w:keepNext/>
        <w:rPr>
          <w:rFonts w:ascii="David" w:hAnsi="David" w:hint="cs"/>
          <w:color w:val="000000"/>
          <w:sz w:val="22"/>
          <w:szCs w:val="22"/>
          <w:rtl/>
        </w:rPr>
      </w:pPr>
    </w:p>
    <w:p w14:paraId="74A1D329" w14:textId="77777777" w:rsidR="009E5064" w:rsidRPr="009E5064" w:rsidRDefault="009E5064" w:rsidP="009E5064">
      <w:pPr>
        <w:keepNext/>
        <w:rPr>
          <w:rFonts w:ascii="David" w:hAnsi="David"/>
          <w:color w:val="000000"/>
          <w:sz w:val="22"/>
          <w:szCs w:val="22"/>
          <w:rtl/>
        </w:rPr>
      </w:pPr>
      <w:r w:rsidRPr="009E5064">
        <w:rPr>
          <w:rFonts w:ascii="David" w:hAnsi="David"/>
          <w:color w:val="000000"/>
          <w:sz w:val="22"/>
          <w:szCs w:val="22"/>
          <w:rtl/>
        </w:rPr>
        <w:t>רון סולקין 54678313-/</w:t>
      </w:r>
    </w:p>
    <w:p w14:paraId="7F2EC8F2" w14:textId="77777777" w:rsidR="009E5064" w:rsidRPr="009E5064" w:rsidRDefault="009E5064" w:rsidP="009E5064">
      <w:pPr>
        <w:keepNext/>
        <w:rPr>
          <w:rFonts w:ascii="David" w:hAnsi="David"/>
          <w:color w:val="000000"/>
          <w:sz w:val="22"/>
          <w:szCs w:val="22"/>
          <w:rtl/>
        </w:rPr>
      </w:pPr>
      <w:r w:rsidRPr="009E5064">
        <w:rPr>
          <w:color w:val="000000"/>
          <w:u w:val="single"/>
          <w:rtl/>
        </w:rPr>
        <w:t>נוסח מסמך זה כפוף לשינויי ניסוח ועריכה</w:t>
      </w:r>
    </w:p>
    <w:p w14:paraId="40DFF243" w14:textId="77777777" w:rsidR="00DE25E4" w:rsidRPr="00DE25E4" w:rsidRDefault="00DE25E4" w:rsidP="009E5064">
      <w:pPr>
        <w:rPr>
          <w:rFonts w:hint="cs"/>
          <w:color w:val="0000FF"/>
          <w:u w:val="single"/>
        </w:rPr>
      </w:pPr>
    </w:p>
    <w:sectPr w:rsidR="00DE25E4" w:rsidRPr="00DE25E4" w:rsidSect="009E5064">
      <w:headerReference w:type="even" r:id="rId31"/>
      <w:headerReference w:type="default" r:id="rId32"/>
      <w:footerReference w:type="even" r:id="rId33"/>
      <w:footerReference w:type="default" r:id="rId34"/>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B46BF" w14:textId="77777777" w:rsidR="00965811" w:rsidRDefault="00965811" w:rsidP="007E5B61">
      <w:r>
        <w:separator/>
      </w:r>
    </w:p>
  </w:endnote>
  <w:endnote w:type="continuationSeparator" w:id="0">
    <w:p w14:paraId="7B56DBA2" w14:textId="77777777" w:rsidR="00965811" w:rsidRDefault="00965811" w:rsidP="007E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A73C4" w14:textId="77777777" w:rsidR="009E5064" w:rsidRDefault="009E5064" w:rsidP="009E506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2780E80" w14:textId="77777777" w:rsidR="00DE25E4" w:rsidRPr="009E5064" w:rsidRDefault="009E5064" w:rsidP="009E5064">
    <w:pPr>
      <w:pStyle w:val="a5"/>
      <w:pBdr>
        <w:top w:val="single" w:sz="4" w:space="1" w:color="auto"/>
        <w:between w:val="single" w:sz="4" w:space="0" w:color="auto"/>
      </w:pBdr>
      <w:spacing w:after="60"/>
      <w:jc w:val="center"/>
      <w:rPr>
        <w:rFonts w:ascii="FrankRuehl" w:hAnsi="FrankRuehl" w:cs="FrankRuehl"/>
        <w:color w:val="000000"/>
      </w:rPr>
    </w:pPr>
    <w:r w:rsidRPr="009E50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F8969" w14:textId="77777777" w:rsidR="009E5064" w:rsidRDefault="009E5064" w:rsidP="009E5064">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3A292D">
      <w:rPr>
        <w:rStyle w:val="a8"/>
        <w:rFonts w:ascii="FrankRuehl" w:hAnsi="FrankRuehl" w:cs="FrankRuehl"/>
        <w:rtl/>
      </w:rPr>
      <w:t>1</w:t>
    </w:r>
    <w:r>
      <w:rPr>
        <w:rStyle w:val="a8"/>
        <w:rFonts w:ascii="FrankRuehl" w:hAnsi="FrankRuehl" w:cs="FrankRuehl"/>
        <w:rtl/>
      </w:rPr>
      <w:fldChar w:fldCharType="end"/>
    </w:r>
  </w:p>
  <w:p w14:paraId="0C274AF4" w14:textId="77777777" w:rsidR="001B3F10" w:rsidRPr="009E5064" w:rsidRDefault="009E5064" w:rsidP="009E5064">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9E5064">
      <w:rPr>
        <w:rStyle w:val="a8"/>
        <w:rFonts w:ascii="FrankRuehl" w:hAnsi="FrankRuehl" w:cs="FrankRuehl" w:hint="cs"/>
        <w:color w:val="000000"/>
      </w:rPr>
      <w:pict w14:anchorId="5DEFD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9E156" w14:textId="77777777" w:rsidR="00965811" w:rsidRDefault="00965811" w:rsidP="007E5B61">
      <w:r>
        <w:separator/>
      </w:r>
    </w:p>
  </w:footnote>
  <w:footnote w:type="continuationSeparator" w:id="0">
    <w:p w14:paraId="34B571A7" w14:textId="77777777" w:rsidR="00965811" w:rsidRDefault="00965811" w:rsidP="007E5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9EC32" w14:textId="77777777" w:rsidR="00DE25E4" w:rsidRPr="009E5064" w:rsidRDefault="009E5064" w:rsidP="009E50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24771-06-21</w:t>
    </w:r>
    <w:r>
      <w:rPr>
        <w:rFonts w:ascii="David" w:hAnsi="David"/>
        <w:color w:val="000000"/>
        <w:sz w:val="22"/>
        <w:szCs w:val="22"/>
        <w:rtl/>
      </w:rPr>
      <w:tab/>
      <w:t xml:space="preserve"> מדינת ישראל- תביעות נגב נ' סרגיי בן אנדרי מריאשקין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09E7E" w14:textId="77777777" w:rsidR="00DE25E4" w:rsidRPr="009E5064" w:rsidRDefault="009E5064" w:rsidP="009E50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24771-06-21</w:t>
    </w:r>
    <w:r>
      <w:rPr>
        <w:rFonts w:ascii="David" w:hAnsi="David"/>
        <w:color w:val="000000"/>
        <w:sz w:val="22"/>
        <w:szCs w:val="22"/>
        <w:rtl/>
      </w:rPr>
      <w:tab/>
      <w:t xml:space="preserve"> מדינת ישראל- תביעות נגב נ' סרגיי בן אנדרי מריאשקין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52125330"/>
    <w:multiLevelType w:val="hybridMultilevel"/>
    <w:tmpl w:val="9E00EF7A"/>
    <w:lvl w:ilvl="0" w:tplc="F9862F4A">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F4FFE"/>
    <w:multiLevelType w:val="hybridMultilevel"/>
    <w:tmpl w:val="15C6B0D8"/>
    <w:lvl w:ilvl="0" w:tplc="04090013">
      <w:start w:val="1"/>
      <w:numFmt w:val="hebrew1"/>
      <w:lvlText w:val="%1."/>
      <w:lvlJc w:val="center"/>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582490937">
    <w:abstractNumId w:val="1"/>
  </w:num>
  <w:num w:numId="2" w16cid:durableId="537622205">
    <w:abstractNumId w:val="0"/>
  </w:num>
  <w:num w:numId="3" w16cid:durableId="1999185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53D8"/>
    <w:rsid w:val="000D21CD"/>
    <w:rsid w:val="001875A2"/>
    <w:rsid w:val="001B3F10"/>
    <w:rsid w:val="00314311"/>
    <w:rsid w:val="003A292D"/>
    <w:rsid w:val="003F790C"/>
    <w:rsid w:val="006F48B2"/>
    <w:rsid w:val="007E5B61"/>
    <w:rsid w:val="00921B14"/>
    <w:rsid w:val="00965811"/>
    <w:rsid w:val="009A4E4C"/>
    <w:rsid w:val="009E5064"/>
    <w:rsid w:val="00DE25E4"/>
    <w:rsid w:val="00E34952"/>
    <w:rsid w:val="00E66465"/>
    <w:rsid w:val="00E75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685253"/>
  <w15:chartTrackingRefBased/>
  <w15:docId w15:val="{5EF82660-10B8-4C54-B26E-5414CE43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53D8"/>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753D8"/>
    <w:pPr>
      <w:tabs>
        <w:tab w:val="center" w:pos="4153"/>
        <w:tab w:val="right" w:pos="8306"/>
      </w:tabs>
    </w:pPr>
  </w:style>
  <w:style w:type="character" w:customStyle="1" w:styleId="a4">
    <w:name w:val="כותרת עליונה תו"/>
    <w:link w:val="a3"/>
    <w:rsid w:val="00E753D8"/>
    <w:rPr>
      <w:rFonts w:ascii="Times New Roman" w:eastAsia="Times New Roman" w:hAnsi="Times New Roman" w:cs="David"/>
      <w:noProof/>
      <w:sz w:val="24"/>
      <w:szCs w:val="24"/>
    </w:rPr>
  </w:style>
  <w:style w:type="paragraph" w:styleId="a5">
    <w:name w:val="footer"/>
    <w:basedOn w:val="a"/>
    <w:link w:val="a6"/>
    <w:rsid w:val="00E753D8"/>
    <w:pPr>
      <w:tabs>
        <w:tab w:val="center" w:pos="4153"/>
        <w:tab w:val="right" w:pos="8306"/>
      </w:tabs>
    </w:pPr>
  </w:style>
  <w:style w:type="character" w:customStyle="1" w:styleId="a6">
    <w:name w:val="כותרת תחתונה תו"/>
    <w:link w:val="a5"/>
    <w:rsid w:val="00E753D8"/>
    <w:rPr>
      <w:rFonts w:ascii="Times New Roman" w:eastAsia="Times New Roman" w:hAnsi="Times New Roman" w:cs="David"/>
      <w:noProof/>
      <w:sz w:val="24"/>
      <w:szCs w:val="24"/>
    </w:rPr>
  </w:style>
  <w:style w:type="table" w:styleId="a7">
    <w:name w:val="Table Grid"/>
    <w:basedOn w:val="a1"/>
    <w:rsid w:val="00E753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753D8"/>
  </w:style>
  <w:style w:type="paragraph" w:styleId="a9">
    <w:name w:val="List Paragraph"/>
    <w:basedOn w:val="a"/>
    <w:qFormat/>
    <w:rsid w:val="00E753D8"/>
    <w:pPr>
      <w:ind w:left="720"/>
      <w:contextualSpacing/>
    </w:pPr>
  </w:style>
  <w:style w:type="character" w:styleId="aa">
    <w:name w:val="line number"/>
    <w:rsid w:val="00E753D8"/>
  </w:style>
  <w:style w:type="character" w:styleId="Hyperlink">
    <w:name w:val="Hyperlink"/>
    <w:rsid w:val="00DE25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5698919"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5559115" TargetMode="External"/><Relationship Id="rId34" Type="http://schemas.openxmlformats.org/officeDocument/2006/relationships/footer" Target="footer2.xml"/><Relationship Id="rId7" Type="http://schemas.openxmlformats.org/officeDocument/2006/relationships/hyperlink" Target="http://www.nevo.co.il/case/27696330" TargetMode="External"/><Relationship Id="rId12" Type="http://schemas.openxmlformats.org/officeDocument/2006/relationships/hyperlink" Target="http://www.nevo.co.il/law/70301/40i" TargetMode="External"/><Relationship Id="rId17" Type="http://schemas.openxmlformats.org/officeDocument/2006/relationships/hyperlink" Target="http://www.nevo.co.il/case/21827077" TargetMode="External"/><Relationship Id="rId25" Type="http://schemas.openxmlformats.org/officeDocument/2006/relationships/hyperlink" Target="http://www.nevo.co.il/law/70301/40i"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6318040" TargetMode="External"/><Relationship Id="rId20" Type="http://schemas.openxmlformats.org/officeDocument/2006/relationships/hyperlink" Target="http://www.nevo.co.il/case/24889194"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675097"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5108043"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case/7012287"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7675273" TargetMode="External"/><Relationship Id="rId27" Type="http://schemas.openxmlformats.org/officeDocument/2006/relationships/hyperlink" Target="http://www.nevo.co.il/case/27626014"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3626</Words>
  <Characters>18135</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21718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3342449</vt:i4>
      </vt:variant>
      <vt:variant>
        <vt:i4>60</vt:i4>
      </vt:variant>
      <vt:variant>
        <vt:i4>0</vt:i4>
      </vt:variant>
      <vt:variant>
        <vt:i4>5</vt:i4>
      </vt:variant>
      <vt:variant>
        <vt:lpwstr>http://www.nevo.co.il/case/27626014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3670132</vt:i4>
      </vt:variant>
      <vt:variant>
        <vt:i4>51</vt:i4>
      </vt:variant>
      <vt:variant>
        <vt:i4>0</vt:i4>
      </vt:variant>
      <vt:variant>
        <vt:i4>5</vt:i4>
      </vt:variant>
      <vt:variant>
        <vt:lpwstr>http://www.nevo.co.il/case/27675097</vt:lpwstr>
      </vt:variant>
      <vt:variant>
        <vt:lpwstr/>
      </vt:variant>
      <vt:variant>
        <vt:i4>4128881</vt:i4>
      </vt:variant>
      <vt:variant>
        <vt:i4>48</vt:i4>
      </vt:variant>
      <vt:variant>
        <vt:i4>0</vt:i4>
      </vt:variant>
      <vt:variant>
        <vt:i4>5</vt:i4>
      </vt:variant>
      <vt:variant>
        <vt:lpwstr>http://www.nevo.co.il/case/25108043</vt:lpwstr>
      </vt:variant>
      <vt:variant>
        <vt:lpwstr/>
      </vt:variant>
      <vt:variant>
        <vt:i4>3539062</vt:i4>
      </vt:variant>
      <vt:variant>
        <vt:i4>45</vt:i4>
      </vt:variant>
      <vt:variant>
        <vt:i4>0</vt:i4>
      </vt:variant>
      <vt:variant>
        <vt:i4>5</vt:i4>
      </vt:variant>
      <vt:variant>
        <vt:lpwstr>http://www.nevo.co.il/case/27675273</vt:lpwstr>
      </vt:variant>
      <vt:variant>
        <vt:lpwstr/>
      </vt:variant>
      <vt:variant>
        <vt:i4>4128885</vt:i4>
      </vt:variant>
      <vt:variant>
        <vt:i4>42</vt:i4>
      </vt:variant>
      <vt:variant>
        <vt:i4>0</vt:i4>
      </vt:variant>
      <vt:variant>
        <vt:i4>5</vt:i4>
      </vt:variant>
      <vt:variant>
        <vt:lpwstr>http://www.nevo.co.il/case/25559115</vt:lpwstr>
      </vt:variant>
      <vt:variant>
        <vt:lpwstr/>
      </vt:variant>
      <vt:variant>
        <vt:i4>3801209</vt:i4>
      </vt:variant>
      <vt:variant>
        <vt:i4>39</vt:i4>
      </vt:variant>
      <vt:variant>
        <vt:i4>0</vt:i4>
      </vt:variant>
      <vt:variant>
        <vt:i4>5</vt:i4>
      </vt:variant>
      <vt:variant>
        <vt:lpwstr>http://www.nevo.co.il/case/24889194</vt:lpwstr>
      </vt:variant>
      <vt:variant>
        <vt:lpwstr/>
      </vt:variant>
      <vt:variant>
        <vt:i4>3342462</vt:i4>
      </vt:variant>
      <vt:variant>
        <vt:i4>36</vt:i4>
      </vt:variant>
      <vt:variant>
        <vt:i4>0</vt:i4>
      </vt:variant>
      <vt:variant>
        <vt:i4>5</vt:i4>
      </vt:variant>
      <vt:variant>
        <vt:lpwstr>http://www.nevo.co.il/case/7012287</vt:lpwstr>
      </vt:variant>
      <vt:variant>
        <vt:lpwstr/>
      </vt:variant>
      <vt:variant>
        <vt:i4>3932283</vt:i4>
      </vt:variant>
      <vt:variant>
        <vt:i4>33</vt:i4>
      </vt:variant>
      <vt:variant>
        <vt:i4>0</vt:i4>
      </vt:variant>
      <vt:variant>
        <vt:i4>5</vt:i4>
      </vt:variant>
      <vt:variant>
        <vt:lpwstr>http://www.nevo.co.il/case/5698919</vt:lpwstr>
      </vt:variant>
      <vt:variant>
        <vt:lpwstr/>
      </vt:variant>
      <vt:variant>
        <vt:i4>3801207</vt:i4>
      </vt:variant>
      <vt:variant>
        <vt:i4>30</vt:i4>
      </vt:variant>
      <vt:variant>
        <vt:i4>0</vt:i4>
      </vt:variant>
      <vt:variant>
        <vt:i4>5</vt:i4>
      </vt:variant>
      <vt:variant>
        <vt:lpwstr>http://www.nevo.co.il/case/21827077</vt:lpwstr>
      </vt:variant>
      <vt:variant>
        <vt:lpwstr/>
      </vt:variant>
      <vt:variant>
        <vt:i4>3997811</vt:i4>
      </vt:variant>
      <vt:variant>
        <vt:i4>27</vt:i4>
      </vt:variant>
      <vt:variant>
        <vt:i4>0</vt:i4>
      </vt:variant>
      <vt:variant>
        <vt:i4>5</vt:i4>
      </vt:variant>
      <vt:variant>
        <vt:lpwstr>http://www.nevo.co.il/case/26318040</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3211385</vt:i4>
      </vt:variant>
      <vt:variant>
        <vt:i4>0</vt:i4>
      </vt:variant>
      <vt:variant>
        <vt:i4>0</vt:i4>
      </vt:variant>
      <vt:variant>
        <vt:i4>5</vt:i4>
      </vt:variant>
      <vt:variant>
        <vt:lpwstr>http://www.nevo.co.il/case/27696330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2025-04-23T01:04:00Z</dcterms:created>
  <dcterms:modified xsi:type="dcterms:W3CDTF">2025-04-23T01:04:00Z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24771</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 תביעות נגב</vt:lpwstr>
  </property>
  <property fmtid="{D5CDD505-2E9C-101B-9397-08002B2CF9AE}" pid="9" name="APPELLEE">
    <vt:lpwstr>סרגיי בן אנדרי מריאשקין</vt:lpwstr>
  </property>
  <property fmtid="{D5CDD505-2E9C-101B-9397-08002B2CF9AE}" pid="10" name="LAWYER">
    <vt:lpwstr>שגיא אבנעים;שני פרג'ון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20221128</vt:lpwstr>
  </property>
  <property fmtid="{D5CDD505-2E9C-101B-9397-08002B2CF9AE}" pid="14" name="TYPE_N_DATE">
    <vt:lpwstr>38020221128</vt:lpwstr>
  </property>
  <property fmtid="{D5CDD505-2E9C-101B-9397-08002B2CF9AE}" pid="15" name="WORDNUMPAGES">
    <vt:lpwstr>14</vt:lpwstr>
  </property>
  <property fmtid="{D5CDD505-2E9C-101B-9397-08002B2CF9AE}" pid="16" name="TYPE_ABS_DATE">
    <vt:lpwstr>380020221128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27696330;26318040;21827077;5698919;7012287;24889194;25559115;27675273;25108043;27675097;27626014</vt:lpwstr>
  </property>
  <property fmtid="{D5CDD505-2E9C-101B-9397-08002B2CF9AE}" pid="36" name="LAWLISTTMP1">
    <vt:lpwstr>4216/013;019a</vt:lpwstr>
  </property>
  <property fmtid="{D5CDD505-2E9C-101B-9397-08002B2CF9AE}" pid="37" name="LAWLISTTMP2">
    <vt:lpwstr>70301/040i</vt:lpwstr>
  </property>
</Properties>
</file>