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32"/>
        <w:gridCol w:w="3591"/>
      </w:tblGrid>
      <w:tr w:rsidR="00604CC9" w:rsidRPr="005C0458" w14:paraId="5692F720" w14:textId="77777777" w:rsidTr="00525FC1">
        <w:trPr>
          <w:trHeight w:hRule="exact" w:val="704"/>
          <w:jc w:val="center"/>
        </w:trPr>
        <w:tc>
          <w:tcPr>
            <w:tcW w:w="8523" w:type="dxa"/>
            <w:gridSpan w:val="2"/>
          </w:tcPr>
          <w:p w14:paraId="090D195F" w14:textId="77777777" w:rsidR="00604CC9" w:rsidRPr="005C0458" w:rsidRDefault="00604CC9" w:rsidP="002B1D1C">
            <w:pPr>
              <w:pStyle w:val="a3"/>
              <w:jc w:val="center"/>
              <w:rPr>
                <w:rFonts w:ascii="Tahoma" w:hAnsi="Tahoma"/>
                <w:noProof w:val="0"/>
                <w:color w:val="000080"/>
                <w:sz w:val="32"/>
                <w:szCs w:val="32"/>
                <w:rtl/>
              </w:rPr>
            </w:pPr>
            <w:r w:rsidRPr="005C0458">
              <w:rPr>
                <w:rFonts w:ascii="Tahoma" w:hAnsi="Tahoma"/>
                <w:color w:val="000080"/>
                <w:sz w:val="32"/>
                <w:szCs w:val="32"/>
                <w:rtl/>
              </w:rPr>
              <w:t>בית משפט השלום בראשון לציון</w:t>
            </w:r>
          </w:p>
        </w:tc>
      </w:tr>
      <w:tr w:rsidR="00604CC9" w:rsidRPr="005C0458" w14:paraId="79530707" w14:textId="77777777" w:rsidTr="00525FC1">
        <w:trPr>
          <w:trHeight w:val="337"/>
          <w:jc w:val="center"/>
        </w:trPr>
        <w:tc>
          <w:tcPr>
            <w:tcW w:w="4932" w:type="dxa"/>
          </w:tcPr>
          <w:p w14:paraId="5F1F6781" w14:textId="77777777" w:rsidR="00604CC9" w:rsidRPr="005C0458" w:rsidRDefault="00604CC9" w:rsidP="002B1D1C">
            <w:pPr>
              <w:rPr>
                <w:b/>
                <w:bCs/>
                <w:noProof w:val="0"/>
                <w:sz w:val="26"/>
                <w:szCs w:val="26"/>
                <w:rtl/>
              </w:rPr>
            </w:pPr>
          </w:p>
        </w:tc>
        <w:tc>
          <w:tcPr>
            <w:tcW w:w="3591" w:type="dxa"/>
          </w:tcPr>
          <w:p w14:paraId="52D2BABF" w14:textId="77777777" w:rsidR="00604CC9" w:rsidRPr="005C0458" w:rsidRDefault="00604CC9" w:rsidP="002B1D1C">
            <w:pPr>
              <w:pStyle w:val="a3"/>
              <w:jc w:val="right"/>
              <w:rPr>
                <w:b/>
                <w:bCs/>
                <w:noProof w:val="0"/>
                <w:sz w:val="26"/>
                <w:szCs w:val="26"/>
                <w:rtl/>
              </w:rPr>
            </w:pPr>
          </w:p>
        </w:tc>
      </w:tr>
      <w:tr w:rsidR="00604CC9" w:rsidRPr="005C0458" w14:paraId="38D9BB8F" w14:textId="77777777" w:rsidTr="00525FC1">
        <w:trPr>
          <w:trHeight w:val="337"/>
          <w:jc w:val="center"/>
        </w:trPr>
        <w:tc>
          <w:tcPr>
            <w:tcW w:w="8523" w:type="dxa"/>
            <w:gridSpan w:val="2"/>
          </w:tcPr>
          <w:p w14:paraId="014188FD" w14:textId="77777777" w:rsidR="00604CC9" w:rsidRPr="005C0458" w:rsidRDefault="00604CC9" w:rsidP="002B1D1C">
            <w:pPr>
              <w:rPr>
                <w:b/>
                <w:bCs/>
                <w:noProof w:val="0"/>
                <w:sz w:val="26"/>
                <w:szCs w:val="26"/>
                <w:rtl/>
              </w:rPr>
            </w:pPr>
            <w:r w:rsidRPr="005C0458">
              <w:rPr>
                <w:b/>
                <w:bCs/>
                <w:noProof w:val="0"/>
                <w:sz w:val="26"/>
                <w:szCs w:val="26"/>
                <w:rtl/>
              </w:rPr>
              <w:t xml:space="preserve">ת"פ 44279-06-21 מדינת ישראל נ' נגוסה </w:t>
            </w:r>
          </w:p>
          <w:p w14:paraId="4A3105AF" w14:textId="77777777" w:rsidR="00604CC9" w:rsidRPr="005C0458" w:rsidRDefault="00604CC9" w:rsidP="002B1D1C">
            <w:pPr>
              <w:rPr>
                <w:b/>
                <w:bCs/>
                <w:noProof w:val="0"/>
                <w:sz w:val="2"/>
                <w:szCs w:val="2"/>
                <w:rtl/>
              </w:rPr>
            </w:pPr>
          </w:p>
          <w:p w14:paraId="55B3F81F" w14:textId="77777777" w:rsidR="00604CC9" w:rsidRPr="005C0458" w:rsidRDefault="00604CC9" w:rsidP="002B1D1C">
            <w:pPr>
              <w:rPr>
                <w:sz w:val="20"/>
                <w:szCs w:val="20"/>
                <w:rtl/>
              </w:rPr>
            </w:pPr>
            <w:r w:rsidRPr="005C0458">
              <w:rPr>
                <w:rFonts w:hint="cs"/>
                <w:rtl/>
              </w:rPr>
              <w:t xml:space="preserve">                           </w:t>
            </w:r>
            <w:r w:rsidRPr="005C0458">
              <w:rPr>
                <w:rFonts w:hint="cs"/>
                <w:sz w:val="20"/>
                <w:szCs w:val="20"/>
                <w:rtl/>
              </w:rPr>
              <w:t xml:space="preserve">                                       </w:t>
            </w:r>
          </w:p>
          <w:p w14:paraId="744291A1" w14:textId="77777777" w:rsidR="00604CC9" w:rsidRPr="005C0458" w:rsidRDefault="00604CC9" w:rsidP="002B1D1C">
            <w:pPr>
              <w:rPr>
                <w:sz w:val="20"/>
                <w:szCs w:val="20"/>
                <w:rtl/>
              </w:rPr>
            </w:pPr>
            <w:r w:rsidRPr="005C0458">
              <w:rPr>
                <w:rFonts w:hint="cs"/>
                <w:sz w:val="20"/>
                <w:szCs w:val="20"/>
                <w:rtl/>
              </w:rPr>
              <w:t xml:space="preserve">תיק חיצוני: </w:t>
            </w:r>
            <w:r w:rsidRPr="005C0458">
              <w:rPr>
                <w:rFonts w:hint="eastAsia"/>
                <w:sz w:val="20"/>
                <w:szCs w:val="20"/>
              </w:rPr>
              <w:t>443265/2021</w:t>
            </w:r>
            <w:r w:rsidRPr="005C0458">
              <w:rPr>
                <w:rFonts w:hint="cs"/>
                <w:sz w:val="20"/>
                <w:szCs w:val="20"/>
                <w:rtl/>
              </w:rPr>
              <w:t xml:space="preserve"> </w:t>
            </w:r>
            <w:r w:rsidRPr="005C0458">
              <w:rPr>
                <w:sz w:val="20"/>
                <w:szCs w:val="20"/>
                <w:rtl/>
              </w:rPr>
              <w:t xml:space="preserve">  </w:t>
            </w:r>
          </w:p>
        </w:tc>
      </w:tr>
    </w:tbl>
    <w:p w14:paraId="13FD3059" w14:textId="77777777" w:rsidR="00604CC9" w:rsidRPr="005C0458" w:rsidRDefault="00604CC9" w:rsidP="00604CC9">
      <w:pPr>
        <w:pStyle w:val="a3"/>
        <w:rPr>
          <w:noProof w:val="0"/>
          <w:rtl/>
        </w:rPr>
      </w:pPr>
      <w:r w:rsidRPr="005C0458">
        <w:rPr>
          <w:noProof w:val="0"/>
          <w:rtl/>
        </w:rPr>
        <w:t xml:space="preserve"> </w:t>
      </w:r>
    </w:p>
    <w:p w14:paraId="7334802D" w14:textId="77777777" w:rsidR="00604CC9" w:rsidRPr="005C0458" w:rsidRDefault="00604CC9" w:rsidP="00604CC9">
      <w:pPr>
        <w:suppressLineNumbers/>
        <w:rPr>
          <w:rtl/>
        </w:rPr>
      </w:pPr>
    </w:p>
    <w:p w14:paraId="402620E1" w14:textId="77777777" w:rsidR="00604CC9" w:rsidRPr="005C0458" w:rsidRDefault="00604CC9" w:rsidP="00604CC9">
      <w:pPr>
        <w:suppressLineNumbers/>
        <w:rPr>
          <w:rtl/>
        </w:rPr>
      </w:pPr>
      <w:r w:rsidRPr="005C0458">
        <w:rPr>
          <w:rtl/>
        </w:rPr>
        <w:t xml:space="preserve"> </w:t>
      </w:r>
    </w:p>
    <w:tbl>
      <w:tblPr>
        <w:bidiVisual/>
        <w:tblW w:w="8820" w:type="dxa"/>
        <w:jc w:val="center"/>
        <w:tblLook w:val="01E0" w:firstRow="1" w:lastRow="1" w:firstColumn="1" w:lastColumn="1" w:noHBand="0" w:noVBand="0"/>
      </w:tblPr>
      <w:tblGrid>
        <w:gridCol w:w="743"/>
        <w:gridCol w:w="2506"/>
        <w:gridCol w:w="5571"/>
      </w:tblGrid>
      <w:tr w:rsidR="00604CC9" w:rsidRPr="005C0458" w14:paraId="755744E3" w14:textId="77777777" w:rsidTr="00604CC9">
        <w:trPr>
          <w:jc w:val="center"/>
        </w:trPr>
        <w:tc>
          <w:tcPr>
            <w:tcW w:w="743" w:type="dxa"/>
            <w:shd w:val="clear" w:color="auto" w:fill="auto"/>
          </w:tcPr>
          <w:p w14:paraId="11C82C30" w14:textId="77777777" w:rsidR="00604CC9" w:rsidRPr="005C0458" w:rsidRDefault="00604CC9" w:rsidP="00604CC9">
            <w:pPr>
              <w:suppressLineNumbers/>
              <w:jc w:val="both"/>
              <w:rPr>
                <w:rFonts w:ascii="Arial" w:hAnsi="Arial"/>
                <w:b/>
                <w:bCs/>
                <w:sz w:val="26"/>
                <w:szCs w:val="26"/>
                <w:rtl/>
              </w:rPr>
            </w:pPr>
            <w:r w:rsidRPr="005C0458">
              <w:rPr>
                <w:rFonts w:ascii="Arial" w:hAnsi="Arial" w:hint="cs"/>
                <w:b/>
                <w:bCs/>
                <w:sz w:val="26"/>
                <w:szCs w:val="26"/>
                <w:rtl/>
              </w:rPr>
              <w:t>ב</w:t>
            </w:r>
            <w:r w:rsidRPr="005C0458">
              <w:rPr>
                <w:rFonts w:ascii="Arial" w:hAnsi="Arial"/>
                <w:b/>
                <w:bCs/>
                <w:sz w:val="26"/>
                <w:szCs w:val="26"/>
                <w:rtl/>
              </w:rPr>
              <w:t xml:space="preserve">פני </w:t>
            </w:r>
          </w:p>
        </w:tc>
        <w:tc>
          <w:tcPr>
            <w:tcW w:w="8077" w:type="dxa"/>
            <w:gridSpan w:val="2"/>
            <w:shd w:val="clear" w:color="auto" w:fill="auto"/>
          </w:tcPr>
          <w:p w14:paraId="4753D5C0" w14:textId="77777777" w:rsidR="00604CC9" w:rsidRPr="005C0458" w:rsidRDefault="00604CC9" w:rsidP="00604CC9">
            <w:pPr>
              <w:suppressLineNumbers/>
              <w:rPr>
                <w:rFonts w:ascii="Arial" w:hAnsi="Arial"/>
                <w:b/>
                <w:bCs/>
                <w:sz w:val="26"/>
                <w:szCs w:val="26"/>
                <w:rtl/>
              </w:rPr>
            </w:pPr>
            <w:r w:rsidRPr="005C0458">
              <w:rPr>
                <w:rFonts w:ascii="Arial" w:hAnsi="Arial" w:hint="cs"/>
                <w:b/>
                <w:bCs/>
                <w:sz w:val="26"/>
                <w:szCs w:val="26"/>
                <w:rtl/>
              </w:rPr>
              <w:t>כבוד ה</w:t>
            </w:r>
            <w:r w:rsidRPr="005C0458">
              <w:rPr>
                <w:rFonts w:ascii="Arial" w:hAnsi="Arial"/>
                <w:b/>
                <w:bCs/>
                <w:sz w:val="26"/>
                <w:szCs w:val="26"/>
                <w:rtl/>
              </w:rPr>
              <w:t>שופט, סגן הנשיאה</w:t>
            </w:r>
            <w:r w:rsidRPr="005C0458">
              <w:rPr>
                <w:rFonts w:ascii="Arial" w:hAnsi="Arial" w:hint="cs"/>
                <w:b/>
                <w:bCs/>
                <w:sz w:val="26"/>
                <w:szCs w:val="26"/>
                <w:rtl/>
              </w:rPr>
              <w:t xml:space="preserve"> </w:t>
            </w:r>
            <w:r w:rsidRPr="005C0458">
              <w:rPr>
                <w:rFonts w:ascii="Arial" w:hAnsi="Arial"/>
                <w:b/>
                <w:bCs/>
                <w:sz w:val="26"/>
                <w:szCs w:val="26"/>
                <w:rtl/>
              </w:rPr>
              <w:t>ארז נוריאלי</w:t>
            </w:r>
          </w:p>
          <w:p w14:paraId="763BF5F2" w14:textId="77777777" w:rsidR="00604CC9" w:rsidRPr="005C0458" w:rsidRDefault="00604CC9" w:rsidP="00604CC9">
            <w:pPr>
              <w:suppressLineNumbers/>
              <w:rPr>
                <w:sz w:val="26"/>
                <w:szCs w:val="26"/>
              </w:rPr>
            </w:pPr>
          </w:p>
        </w:tc>
      </w:tr>
      <w:tr w:rsidR="00604CC9" w:rsidRPr="005C0458" w14:paraId="58668143" w14:textId="77777777" w:rsidTr="00604CC9">
        <w:trPr>
          <w:jc w:val="center"/>
        </w:trPr>
        <w:tc>
          <w:tcPr>
            <w:tcW w:w="3249" w:type="dxa"/>
            <w:gridSpan w:val="2"/>
            <w:shd w:val="clear" w:color="auto" w:fill="auto"/>
          </w:tcPr>
          <w:p w14:paraId="2FFAC1F6" w14:textId="77777777" w:rsidR="00604CC9" w:rsidRPr="005C0458" w:rsidRDefault="00604CC9" w:rsidP="00604CC9">
            <w:pPr>
              <w:suppressLineNumbers/>
              <w:rPr>
                <w:rtl/>
              </w:rPr>
            </w:pPr>
            <w:bookmarkStart w:id="0" w:name="FirstAppellant"/>
            <w:bookmarkStart w:id="1" w:name="LastJudge"/>
            <w:bookmarkEnd w:id="1"/>
          </w:p>
          <w:p w14:paraId="41EFB9D5" w14:textId="77777777" w:rsidR="00604CC9" w:rsidRPr="005C0458" w:rsidRDefault="00604CC9" w:rsidP="00604CC9">
            <w:pPr>
              <w:suppressLineNumbers/>
              <w:rPr>
                <w:rFonts w:ascii="Arial" w:hAnsi="Arial"/>
                <w:b/>
                <w:bCs/>
                <w:noProof w:val="0"/>
                <w:sz w:val="26"/>
                <w:szCs w:val="26"/>
                <w:rtl/>
              </w:rPr>
            </w:pPr>
            <w:r w:rsidRPr="005C0458">
              <w:rPr>
                <w:rFonts w:ascii="Arial" w:hAnsi="Arial"/>
                <w:b/>
                <w:bCs/>
                <w:noProof w:val="0"/>
                <w:sz w:val="26"/>
                <w:szCs w:val="26"/>
                <w:rtl/>
              </w:rPr>
              <w:t>מאשימה</w:t>
            </w:r>
          </w:p>
        </w:tc>
        <w:tc>
          <w:tcPr>
            <w:tcW w:w="5571" w:type="dxa"/>
            <w:shd w:val="clear" w:color="auto" w:fill="auto"/>
          </w:tcPr>
          <w:p w14:paraId="24B8F473" w14:textId="77777777" w:rsidR="00604CC9" w:rsidRPr="005C0458" w:rsidRDefault="00604CC9" w:rsidP="00604CC9">
            <w:pPr>
              <w:suppressLineNumbers/>
              <w:rPr>
                <w:sz w:val="26"/>
                <w:szCs w:val="26"/>
                <w:rtl/>
              </w:rPr>
            </w:pPr>
          </w:p>
          <w:p w14:paraId="6686B1F9" w14:textId="77777777" w:rsidR="00604CC9" w:rsidRPr="005C0458" w:rsidRDefault="00604CC9" w:rsidP="00604CC9">
            <w:pPr>
              <w:suppressLineNumbers/>
              <w:rPr>
                <w:b/>
                <w:bCs/>
                <w:noProof w:val="0"/>
                <w:sz w:val="26"/>
                <w:szCs w:val="26"/>
                <w:rtl/>
              </w:rPr>
            </w:pPr>
            <w:r w:rsidRPr="005C0458">
              <w:rPr>
                <w:rFonts w:ascii="Arial" w:hAnsi="Arial"/>
                <w:b/>
                <w:bCs/>
                <w:noProof w:val="0"/>
                <w:sz w:val="26"/>
                <w:szCs w:val="26"/>
                <w:rtl/>
              </w:rPr>
              <w:t>מדינת ישראל</w:t>
            </w:r>
          </w:p>
        </w:tc>
      </w:tr>
      <w:tr w:rsidR="00604CC9" w:rsidRPr="005C0458" w14:paraId="4F29CCB4" w14:textId="77777777" w:rsidTr="00604CC9">
        <w:trPr>
          <w:jc w:val="center"/>
        </w:trPr>
        <w:tc>
          <w:tcPr>
            <w:tcW w:w="8820" w:type="dxa"/>
            <w:gridSpan w:val="3"/>
            <w:shd w:val="clear" w:color="auto" w:fill="auto"/>
          </w:tcPr>
          <w:p w14:paraId="6F79BF14" w14:textId="77777777" w:rsidR="00604CC9" w:rsidRPr="005C0458" w:rsidRDefault="00604CC9" w:rsidP="00604CC9">
            <w:pPr>
              <w:suppressLineNumbers/>
              <w:jc w:val="center"/>
              <w:rPr>
                <w:rFonts w:ascii="Arial" w:hAnsi="Arial"/>
                <w:noProof w:val="0"/>
                <w:sz w:val="26"/>
                <w:szCs w:val="26"/>
                <w:rtl/>
              </w:rPr>
            </w:pPr>
            <w:bookmarkStart w:id="2" w:name="FirstLawyer"/>
            <w:bookmarkEnd w:id="0"/>
            <w:r w:rsidRPr="005C0458">
              <w:rPr>
                <w:rFonts w:ascii="Arial" w:hAnsi="Arial" w:hint="cs"/>
                <w:noProof w:val="0"/>
                <w:rtl/>
              </w:rPr>
              <w:t>ע"י ב"כ, עו"ד נעמה לסרי</w:t>
            </w:r>
          </w:p>
          <w:p w14:paraId="2CA45701" w14:textId="77777777" w:rsidR="00604CC9" w:rsidRPr="005C0458" w:rsidRDefault="00604CC9" w:rsidP="00604CC9">
            <w:pPr>
              <w:suppressLineNumbers/>
              <w:rPr>
                <w:rFonts w:ascii="Arial" w:hAnsi="Arial"/>
                <w:b/>
                <w:bCs/>
                <w:noProof w:val="0"/>
                <w:sz w:val="26"/>
                <w:szCs w:val="26"/>
                <w:rtl/>
              </w:rPr>
            </w:pPr>
          </w:p>
          <w:p w14:paraId="37AA9B34" w14:textId="77777777" w:rsidR="00604CC9" w:rsidRPr="005C0458" w:rsidRDefault="00604CC9" w:rsidP="00604CC9">
            <w:pPr>
              <w:suppressLineNumbers/>
              <w:jc w:val="center"/>
              <w:rPr>
                <w:rFonts w:ascii="Arial" w:hAnsi="Arial"/>
                <w:b/>
                <w:bCs/>
                <w:noProof w:val="0"/>
                <w:sz w:val="26"/>
                <w:szCs w:val="26"/>
                <w:rtl/>
              </w:rPr>
            </w:pPr>
            <w:r w:rsidRPr="005C0458">
              <w:rPr>
                <w:rFonts w:ascii="Arial" w:hAnsi="Arial"/>
                <w:b/>
                <w:bCs/>
                <w:noProof w:val="0"/>
                <w:sz w:val="26"/>
                <w:szCs w:val="26"/>
                <w:rtl/>
              </w:rPr>
              <w:t>נגד</w:t>
            </w:r>
          </w:p>
          <w:p w14:paraId="2710EB90" w14:textId="77777777" w:rsidR="00604CC9" w:rsidRPr="005C0458" w:rsidRDefault="00604CC9" w:rsidP="00604CC9">
            <w:pPr>
              <w:suppressLineNumbers/>
              <w:rPr>
                <w:rFonts w:ascii="Arial" w:hAnsi="Arial"/>
                <w:b/>
                <w:bCs/>
                <w:noProof w:val="0"/>
                <w:sz w:val="26"/>
                <w:szCs w:val="26"/>
              </w:rPr>
            </w:pPr>
          </w:p>
        </w:tc>
      </w:tr>
      <w:bookmarkEnd w:id="2"/>
      <w:tr w:rsidR="00604CC9" w:rsidRPr="005C0458" w14:paraId="619FD425" w14:textId="77777777" w:rsidTr="00604CC9">
        <w:trPr>
          <w:jc w:val="center"/>
        </w:trPr>
        <w:tc>
          <w:tcPr>
            <w:tcW w:w="3249" w:type="dxa"/>
            <w:gridSpan w:val="2"/>
            <w:shd w:val="clear" w:color="auto" w:fill="auto"/>
          </w:tcPr>
          <w:p w14:paraId="119EE39E" w14:textId="77777777" w:rsidR="00604CC9" w:rsidRPr="005C0458" w:rsidRDefault="00604CC9" w:rsidP="00604CC9">
            <w:pPr>
              <w:suppressLineNumbers/>
              <w:rPr>
                <w:rFonts w:ascii="Arial" w:hAnsi="Arial"/>
                <w:b/>
                <w:bCs/>
                <w:noProof w:val="0"/>
                <w:sz w:val="26"/>
                <w:szCs w:val="26"/>
              </w:rPr>
            </w:pPr>
            <w:r w:rsidRPr="005C0458">
              <w:rPr>
                <w:rFonts w:ascii="Arial" w:hAnsi="Arial"/>
                <w:b/>
                <w:bCs/>
                <w:noProof w:val="0"/>
                <w:sz w:val="26"/>
                <w:szCs w:val="26"/>
                <w:rtl/>
              </w:rPr>
              <w:t>נאשם</w:t>
            </w:r>
          </w:p>
        </w:tc>
        <w:tc>
          <w:tcPr>
            <w:tcW w:w="5571" w:type="dxa"/>
            <w:shd w:val="clear" w:color="auto" w:fill="auto"/>
          </w:tcPr>
          <w:p w14:paraId="178EF027" w14:textId="77777777" w:rsidR="00604CC9" w:rsidRPr="005C0458" w:rsidRDefault="00604CC9" w:rsidP="00604CC9">
            <w:pPr>
              <w:suppressLineNumbers/>
              <w:rPr>
                <w:rFonts w:ascii="Arial" w:hAnsi="Arial"/>
                <w:b/>
                <w:bCs/>
                <w:noProof w:val="0"/>
                <w:sz w:val="26"/>
                <w:szCs w:val="26"/>
                <w:rtl/>
              </w:rPr>
            </w:pPr>
            <w:r w:rsidRPr="005C0458">
              <w:rPr>
                <w:rFonts w:ascii="Arial" w:hAnsi="Arial"/>
                <w:b/>
                <w:bCs/>
                <w:noProof w:val="0"/>
                <w:sz w:val="26"/>
                <w:szCs w:val="26"/>
                <w:rtl/>
              </w:rPr>
              <w:t xml:space="preserve">טירויה נגוסה – הובא </w:t>
            </w:r>
            <w:r w:rsidRPr="005C0458">
              <w:rPr>
                <w:rFonts w:ascii="Arial" w:hAnsi="Arial" w:hint="cs"/>
                <w:b/>
                <w:bCs/>
                <w:noProof w:val="0"/>
                <w:sz w:val="26"/>
                <w:szCs w:val="26"/>
                <w:rtl/>
              </w:rPr>
              <w:t xml:space="preserve">באמצעות </w:t>
            </w:r>
            <w:r w:rsidRPr="005C0458">
              <w:rPr>
                <w:rFonts w:ascii="Arial" w:hAnsi="Arial"/>
                <w:b/>
                <w:bCs/>
                <w:noProof w:val="0"/>
                <w:sz w:val="26"/>
                <w:szCs w:val="26"/>
              </w:rPr>
              <w:t>vc</w:t>
            </w:r>
          </w:p>
        </w:tc>
      </w:tr>
      <w:tr w:rsidR="00604CC9" w:rsidRPr="005C0458" w14:paraId="4ECEFD24" w14:textId="77777777" w:rsidTr="00604CC9">
        <w:trPr>
          <w:jc w:val="center"/>
        </w:trPr>
        <w:tc>
          <w:tcPr>
            <w:tcW w:w="8820" w:type="dxa"/>
            <w:gridSpan w:val="3"/>
            <w:shd w:val="clear" w:color="auto" w:fill="auto"/>
          </w:tcPr>
          <w:p w14:paraId="4B9A7053" w14:textId="77777777" w:rsidR="00604CC9" w:rsidRPr="005C0458" w:rsidRDefault="00604CC9" w:rsidP="00604CC9">
            <w:pPr>
              <w:suppressLineNumbers/>
              <w:rPr>
                <w:rFonts w:ascii="Arial" w:hAnsi="Arial"/>
                <w:b/>
                <w:bCs/>
                <w:noProof w:val="0"/>
                <w:sz w:val="26"/>
                <w:szCs w:val="26"/>
                <w:rtl/>
              </w:rPr>
            </w:pPr>
            <w:r w:rsidRPr="005C0458">
              <w:rPr>
                <w:rFonts w:ascii="Arial" w:hAnsi="Arial" w:hint="cs"/>
                <w:b/>
                <w:bCs/>
                <w:noProof w:val="0"/>
                <w:sz w:val="26"/>
                <w:szCs w:val="26"/>
                <w:rtl/>
              </w:rPr>
              <w:t xml:space="preserve">                                                        </w:t>
            </w:r>
            <w:r w:rsidRPr="005C0458">
              <w:rPr>
                <w:rFonts w:ascii="Arial" w:hAnsi="Arial" w:hint="cs"/>
                <w:noProof w:val="0"/>
                <w:rtl/>
              </w:rPr>
              <w:t xml:space="preserve">ע"י ב"כ, עו"ד מיכאל עירוני </w:t>
            </w:r>
            <w:r w:rsidRPr="005C0458">
              <w:rPr>
                <w:rFonts w:ascii="Arial" w:hAnsi="Arial" w:hint="cs"/>
                <w:b/>
                <w:bCs/>
                <w:noProof w:val="0"/>
                <w:sz w:val="26"/>
                <w:szCs w:val="26"/>
                <w:rtl/>
              </w:rPr>
              <w:t xml:space="preserve">   </w:t>
            </w:r>
          </w:p>
          <w:p w14:paraId="7ED3F4AB" w14:textId="77777777" w:rsidR="00604CC9" w:rsidRPr="005C0458" w:rsidRDefault="00604CC9" w:rsidP="00604CC9">
            <w:pPr>
              <w:suppressLineNumbers/>
              <w:rPr>
                <w:rFonts w:ascii="Arial" w:hAnsi="Arial"/>
                <w:b/>
                <w:bCs/>
                <w:noProof w:val="0"/>
                <w:sz w:val="26"/>
                <w:szCs w:val="26"/>
                <w:rtl/>
              </w:rPr>
            </w:pPr>
          </w:p>
          <w:p w14:paraId="245E4021" w14:textId="77777777" w:rsidR="00604CC9" w:rsidRPr="005C0458" w:rsidRDefault="00604CC9" w:rsidP="00604CC9">
            <w:pPr>
              <w:suppressLineNumbers/>
              <w:rPr>
                <w:rFonts w:ascii="Arial" w:hAnsi="Arial"/>
                <w:b/>
                <w:bCs/>
                <w:noProof w:val="0"/>
                <w:sz w:val="26"/>
                <w:szCs w:val="26"/>
                <w:rtl/>
              </w:rPr>
            </w:pPr>
          </w:p>
        </w:tc>
      </w:tr>
    </w:tbl>
    <w:p w14:paraId="75D22F08" w14:textId="77777777" w:rsidR="00604CC9" w:rsidRPr="005C0458" w:rsidRDefault="00604CC9" w:rsidP="00604CC9">
      <w:pPr>
        <w:suppressLineNumbers/>
        <w:rPr>
          <w:rtl/>
        </w:rPr>
      </w:pPr>
    </w:p>
    <w:p w14:paraId="1B6347C2" w14:textId="77777777" w:rsidR="00FE2E8E" w:rsidRPr="00FE2E8E" w:rsidRDefault="00FE2E8E" w:rsidP="00FE2E8E">
      <w:pPr>
        <w:spacing w:before="120" w:after="120" w:line="240" w:lineRule="exact"/>
        <w:ind w:left="283" w:hanging="283"/>
        <w:jc w:val="both"/>
        <w:rPr>
          <w:rFonts w:ascii="FrankRuehl" w:hAnsi="FrankRuehl" w:cs="FrankRuehl"/>
          <w:noProof w:val="0"/>
          <w:rtl/>
        </w:rPr>
      </w:pPr>
    </w:p>
    <w:p w14:paraId="4AC4AF13" w14:textId="77777777" w:rsidR="00BD3E24" w:rsidRDefault="00BD3E24" w:rsidP="00BD3E24">
      <w:pPr>
        <w:jc w:val="center"/>
        <w:rPr>
          <w:rFonts w:ascii="Arial" w:hAnsi="Arial"/>
          <w:noProof w:val="0"/>
          <w:sz w:val="28"/>
          <w:szCs w:val="28"/>
          <w:rtl/>
        </w:rPr>
      </w:pPr>
      <w:bookmarkStart w:id="3" w:name="LawTable"/>
      <w:bookmarkEnd w:id="3"/>
    </w:p>
    <w:p w14:paraId="767D3E52" w14:textId="77777777" w:rsidR="00BD3E24" w:rsidRPr="00BD3E24" w:rsidRDefault="00BD3E24" w:rsidP="00BD3E24">
      <w:pPr>
        <w:spacing w:before="120" w:after="120" w:line="240" w:lineRule="exact"/>
        <w:ind w:left="283" w:hanging="283"/>
        <w:jc w:val="both"/>
        <w:rPr>
          <w:rFonts w:ascii="FrankRuehl" w:hAnsi="FrankRuehl" w:cs="FrankRuehl"/>
          <w:noProof w:val="0"/>
          <w:rtl/>
        </w:rPr>
      </w:pPr>
    </w:p>
    <w:p w14:paraId="3DCCC880" w14:textId="77777777" w:rsidR="00BD3E24" w:rsidRPr="00BD3E24" w:rsidRDefault="00BD3E24" w:rsidP="00BD3E24">
      <w:pPr>
        <w:spacing w:before="120" w:after="120" w:line="240" w:lineRule="exact"/>
        <w:ind w:left="283" w:hanging="283"/>
        <w:jc w:val="both"/>
        <w:rPr>
          <w:rFonts w:ascii="FrankRuehl" w:hAnsi="FrankRuehl" w:cs="FrankRuehl"/>
          <w:noProof w:val="0"/>
          <w:rtl/>
        </w:rPr>
      </w:pPr>
    </w:p>
    <w:p w14:paraId="7434A1F3" w14:textId="77777777" w:rsidR="00BD3E24" w:rsidRPr="00BD3E24" w:rsidRDefault="00BD3E24" w:rsidP="00BD3E24">
      <w:pPr>
        <w:spacing w:before="120" w:after="120" w:line="240" w:lineRule="exact"/>
        <w:ind w:left="283" w:hanging="283"/>
        <w:jc w:val="both"/>
        <w:rPr>
          <w:rFonts w:ascii="FrankRuehl" w:hAnsi="FrankRuehl" w:cs="FrankRuehl"/>
          <w:noProof w:val="0"/>
          <w:rtl/>
        </w:rPr>
      </w:pPr>
      <w:r w:rsidRPr="00BD3E24">
        <w:rPr>
          <w:rFonts w:ascii="FrankRuehl" w:hAnsi="FrankRuehl" w:cs="FrankRuehl"/>
          <w:noProof w:val="0"/>
          <w:rtl/>
        </w:rPr>
        <w:t xml:space="preserve">חקיקה שאוזכרה: </w:t>
      </w:r>
    </w:p>
    <w:p w14:paraId="2235E41C" w14:textId="77777777" w:rsidR="00BD3E24" w:rsidRPr="00BD3E24" w:rsidRDefault="00BD3E24" w:rsidP="00BD3E24">
      <w:pPr>
        <w:spacing w:before="120" w:after="120" w:line="240" w:lineRule="exact"/>
        <w:ind w:left="283" w:hanging="283"/>
        <w:jc w:val="both"/>
        <w:rPr>
          <w:rFonts w:ascii="FrankRuehl" w:hAnsi="FrankRuehl" w:cs="FrankRuehl"/>
          <w:noProof w:val="0"/>
          <w:rtl/>
        </w:rPr>
      </w:pPr>
      <w:hyperlink r:id="rId7" w:history="1">
        <w:r w:rsidRPr="00BD3E24">
          <w:rPr>
            <w:rFonts w:ascii="FrankRuehl" w:hAnsi="FrankRuehl" w:cs="FrankRuehl"/>
            <w:noProof w:val="0"/>
            <w:color w:val="0000FF"/>
            <w:rtl/>
          </w:rPr>
          <w:t>פקודת הסמים המסוכנים [נוסח חדש], תשל"ג-1973</w:t>
        </w:r>
      </w:hyperlink>
      <w:r w:rsidRPr="00BD3E24">
        <w:rPr>
          <w:rFonts w:ascii="FrankRuehl" w:hAnsi="FrankRuehl" w:cs="FrankRuehl"/>
          <w:noProof w:val="0"/>
          <w:rtl/>
        </w:rPr>
        <w:t xml:space="preserve">: סע'  </w:t>
      </w:r>
      <w:hyperlink r:id="rId8" w:history="1">
        <w:r w:rsidRPr="00BD3E24">
          <w:rPr>
            <w:rFonts w:ascii="FrankRuehl" w:hAnsi="FrankRuehl" w:cs="FrankRuehl"/>
            <w:noProof w:val="0"/>
            <w:color w:val="0000FF"/>
            <w:rtl/>
          </w:rPr>
          <w:t>13</w:t>
        </w:r>
      </w:hyperlink>
      <w:r w:rsidRPr="00BD3E24">
        <w:rPr>
          <w:rFonts w:ascii="FrankRuehl" w:hAnsi="FrankRuehl" w:cs="FrankRuehl"/>
          <w:noProof w:val="0"/>
          <w:rtl/>
        </w:rPr>
        <w:t xml:space="preserve">, </w:t>
      </w:r>
      <w:hyperlink r:id="rId9" w:history="1">
        <w:r w:rsidRPr="00BD3E24">
          <w:rPr>
            <w:rFonts w:ascii="FrankRuehl" w:hAnsi="FrankRuehl" w:cs="FrankRuehl"/>
            <w:noProof w:val="0"/>
            <w:color w:val="0000FF"/>
            <w:rtl/>
          </w:rPr>
          <w:t>19א'</w:t>
        </w:r>
      </w:hyperlink>
    </w:p>
    <w:p w14:paraId="087CD154" w14:textId="77777777" w:rsidR="00BD3E24" w:rsidRPr="00BD3E24" w:rsidRDefault="00BD3E24" w:rsidP="00BD3E24">
      <w:pPr>
        <w:spacing w:before="120" w:after="120" w:line="240" w:lineRule="exact"/>
        <w:ind w:left="283" w:hanging="283"/>
        <w:jc w:val="both"/>
        <w:rPr>
          <w:rFonts w:ascii="FrankRuehl" w:hAnsi="FrankRuehl" w:cs="FrankRuehl"/>
          <w:noProof w:val="0"/>
          <w:rtl/>
        </w:rPr>
      </w:pPr>
      <w:hyperlink r:id="rId10" w:history="1">
        <w:r w:rsidRPr="00BD3E24">
          <w:rPr>
            <w:rFonts w:ascii="FrankRuehl" w:hAnsi="FrankRuehl" w:cs="FrankRuehl"/>
            <w:noProof w:val="0"/>
            <w:color w:val="0000FF"/>
            <w:rtl/>
          </w:rPr>
          <w:t>חוק העונשין, תשל"ז-1977</w:t>
        </w:r>
      </w:hyperlink>
      <w:r w:rsidRPr="00BD3E24">
        <w:rPr>
          <w:rFonts w:ascii="FrankRuehl" w:hAnsi="FrankRuehl" w:cs="FrankRuehl"/>
          <w:noProof w:val="0"/>
          <w:rtl/>
        </w:rPr>
        <w:t xml:space="preserve">: סע'  </w:t>
      </w:r>
      <w:hyperlink r:id="rId11" w:history="1">
        <w:r w:rsidRPr="00BD3E24">
          <w:rPr>
            <w:rFonts w:ascii="FrankRuehl" w:hAnsi="FrankRuehl" w:cs="FrankRuehl"/>
            <w:noProof w:val="0"/>
            <w:color w:val="0000FF"/>
            <w:rtl/>
          </w:rPr>
          <w:t>40ב</w:t>
        </w:r>
      </w:hyperlink>
      <w:r w:rsidRPr="00BD3E24">
        <w:rPr>
          <w:rFonts w:ascii="FrankRuehl" w:hAnsi="FrankRuehl" w:cs="FrankRuehl"/>
          <w:noProof w:val="0"/>
          <w:rtl/>
        </w:rPr>
        <w:t xml:space="preserve">, </w:t>
      </w:r>
      <w:hyperlink r:id="rId12" w:history="1">
        <w:r w:rsidRPr="00BD3E24">
          <w:rPr>
            <w:rFonts w:ascii="FrankRuehl" w:hAnsi="FrankRuehl" w:cs="FrankRuehl"/>
            <w:noProof w:val="0"/>
            <w:color w:val="0000FF"/>
            <w:rtl/>
          </w:rPr>
          <w:t>40 יא</w:t>
        </w:r>
      </w:hyperlink>
    </w:p>
    <w:p w14:paraId="37773E1C" w14:textId="77777777" w:rsidR="00BD3E24" w:rsidRPr="00BD3E24" w:rsidRDefault="00BD3E24" w:rsidP="00BD3E24">
      <w:pPr>
        <w:jc w:val="center"/>
        <w:rPr>
          <w:rFonts w:ascii="Arial" w:hAnsi="Arial"/>
          <w:noProof w:val="0"/>
          <w:sz w:val="28"/>
          <w:szCs w:val="28"/>
          <w:rtl/>
        </w:rPr>
      </w:pPr>
      <w:bookmarkStart w:id="4" w:name="LawTable_End"/>
      <w:bookmarkEnd w:id="4"/>
    </w:p>
    <w:p w14:paraId="749693A8" w14:textId="77777777" w:rsidR="00525FC1" w:rsidRPr="00FE2E8E" w:rsidRDefault="00525FC1" w:rsidP="00FE2E8E">
      <w:pPr>
        <w:jc w:val="center"/>
        <w:rPr>
          <w:rFonts w:ascii="Arial" w:hAnsi="Arial"/>
          <w:noProof w:val="0"/>
          <w:sz w:val="28"/>
          <w:szCs w:val="28"/>
          <w:rtl/>
        </w:rPr>
      </w:pPr>
    </w:p>
    <w:p w14:paraId="4FAB8BEA" w14:textId="77777777" w:rsidR="00525FC1" w:rsidRPr="005C0458" w:rsidRDefault="00525FC1" w:rsidP="005C0458">
      <w:pPr>
        <w:bidi w:val="0"/>
        <w:jc w:val="center"/>
        <w:rPr>
          <w:rFonts w:ascii="Arial" w:hAnsi="Arial"/>
          <w:b/>
          <w:bCs/>
          <w:noProof w:val="0"/>
          <w:sz w:val="28"/>
          <w:szCs w:val="28"/>
          <w:u w:val="single"/>
          <w:rtl/>
        </w:rPr>
      </w:pPr>
      <w:bookmarkStart w:id="5" w:name="PsakDin"/>
      <w:r w:rsidRPr="005C0458">
        <w:rPr>
          <w:rFonts w:ascii="Arial" w:hAnsi="Arial"/>
          <w:b/>
          <w:bCs/>
          <w:noProof w:val="0"/>
          <w:sz w:val="28"/>
          <w:szCs w:val="28"/>
          <w:u w:val="single"/>
          <w:rtl/>
        </w:rPr>
        <w:t>גזר דין</w:t>
      </w:r>
    </w:p>
    <w:bookmarkEnd w:id="5"/>
    <w:p w14:paraId="032381D4" w14:textId="77777777" w:rsidR="00525FC1" w:rsidRPr="00604CC9" w:rsidRDefault="00525FC1" w:rsidP="00604CC9">
      <w:pPr>
        <w:bidi w:val="0"/>
        <w:jc w:val="center"/>
        <w:rPr>
          <w:rFonts w:ascii="Arial" w:hAnsi="Arial"/>
          <w:b/>
          <w:bCs/>
          <w:noProof w:val="0"/>
          <w:sz w:val="28"/>
          <w:szCs w:val="28"/>
          <w:u w:val="single"/>
        </w:rPr>
      </w:pPr>
    </w:p>
    <w:p w14:paraId="04385220" w14:textId="77777777" w:rsidR="00604CC9" w:rsidRPr="00604CC9" w:rsidRDefault="00604CC9" w:rsidP="00604CC9">
      <w:pPr>
        <w:shd w:val="clear" w:color="auto" w:fill="FFFFFF"/>
        <w:spacing w:after="160" w:line="360" w:lineRule="auto"/>
        <w:jc w:val="both"/>
        <w:rPr>
          <w:rFonts w:ascii="Calibri" w:hAnsi="Calibri"/>
          <w:b/>
          <w:bCs/>
          <w:noProof w:val="0"/>
          <w:u w:val="single"/>
        </w:rPr>
      </w:pPr>
      <w:bookmarkStart w:id="6" w:name="NGCSBookmark"/>
      <w:bookmarkEnd w:id="6"/>
      <w:r w:rsidRPr="00604CC9">
        <w:rPr>
          <w:rFonts w:ascii="Calibri" w:hAnsi="Calibri"/>
          <w:b/>
          <w:bCs/>
          <w:noProof w:val="0"/>
          <w:u w:val="single"/>
          <w:rtl/>
        </w:rPr>
        <w:t>רקע</w:t>
      </w:r>
    </w:p>
    <w:p w14:paraId="7FB33A44" w14:textId="77777777" w:rsidR="00604CC9" w:rsidRDefault="00604CC9" w:rsidP="00604CC9">
      <w:pPr>
        <w:numPr>
          <w:ilvl w:val="0"/>
          <w:numId w:val="1"/>
        </w:numPr>
        <w:shd w:val="clear" w:color="auto" w:fill="FFFFFF"/>
        <w:spacing w:after="160" w:line="360" w:lineRule="auto"/>
        <w:jc w:val="both"/>
        <w:rPr>
          <w:rFonts w:ascii="Calibri" w:hAnsi="Calibri"/>
          <w:noProof w:val="0"/>
          <w:rtl/>
        </w:rPr>
      </w:pPr>
      <w:bookmarkStart w:id="7" w:name="ABSTRACT_START"/>
      <w:bookmarkEnd w:id="7"/>
      <w:r>
        <w:rPr>
          <w:rFonts w:ascii="Calibri" w:hAnsi="Calibri"/>
          <w:noProof w:val="0"/>
          <w:rtl/>
        </w:rPr>
        <w:t xml:space="preserve">בהכרעת דין מיום 23.12.21 הורשע הנאשם בהתאם להודאתו, בעובדות כתב האישום המתוקן, בשלושה אישומים, בעבירות של סחר ו/או הספקת סמים מסוכנים, לפי </w:t>
      </w:r>
      <w:hyperlink r:id="rId13" w:history="1">
        <w:r w:rsidR="00525FC1" w:rsidRPr="00525FC1">
          <w:rPr>
            <w:rStyle w:val="Hyperlink"/>
            <w:rFonts w:ascii="Calibri" w:hAnsi="Calibri" w:hint="eastAsia"/>
            <w:noProof w:val="0"/>
            <w:rtl/>
          </w:rPr>
          <w:t>סעיפים</w:t>
        </w:r>
        <w:r w:rsidR="00525FC1" w:rsidRPr="00525FC1">
          <w:rPr>
            <w:rStyle w:val="Hyperlink"/>
            <w:rFonts w:ascii="Calibri" w:hAnsi="Calibri"/>
            <w:noProof w:val="0"/>
            <w:rtl/>
          </w:rPr>
          <w:t xml:space="preserve"> 13</w:t>
        </w:r>
      </w:hyperlink>
      <w:r>
        <w:rPr>
          <w:rFonts w:ascii="Calibri" w:hAnsi="Calibri"/>
          <w:noProof w:val="0"/>
          <w:rtl/>
        </w:rPr>
        <w:t xml:space="preserve"> + </w:t>
      </w:r>
      <w:hyperlink r:id="rId14" w:history="1">
        <w:r w:rsidR="00525FC1" w:rsidRPr="00525FC1">
          <w:rPr>
            <w:rStyle w:val="Hyperlink"/>
            <w:rFonts w:ascii="Calibri" w:hAnsi="Calibri"/>
            <w:noProof w:val="0"/>
            <w:rtl/>
          </w:rPr>
          <w:t>19</w:t>
        </w:r>
        <w:r w:rsidR="00525FC1" w:rsidRPr="00525FC1">
          <w:rPr>
            <w:rStyle w:val="Hyperlink"/>
            <w:rFonts w:ascii="Calibri" w:hAnsi="Calibri" w:hint="eastAsia"/>
            <w:noProof w:val="0"/>
            <w:rtl/>
          </w:rPr>
          <w:t>א</w:t>
        </w:r>
        <w:r w:rsidR="00525FC1" w:rsidRPr="00525FC1">
          <w:rPr>
            <w:rStyle w:val="Hyperlink"/>
            <w:rFonts w:ascii="Calibri" w:hAnsi="Calibri"/>
            <w:noProof w:val="0"/>
            <w:rtl/>
          </w:rPr>
          <w:t>'</w:t>
        </w:r>
      </w:hyperlink>
      <w:r>
        <w:rPr>
          <w:rFonts w:ascii="Calibri" w:hAnsi="Calibri"/>
          <w:noProof w:val="0"/>
          <w:rtl/>
        </w:rPr>
        <w:t xml:space="preserve"> ל</w:t>
      </w:r>
      <w:hyperlink r:id="rId15" w:history="1">
        <w:r w:rsidR="005C0458" w:rsidRPr="005C0458">
          <w:rPr>
            <w:rFonts w:ascii="Calibri" w:hAnsi="Calibri" w:hint="eastAsia"/>
            <w:noProof w:val="0"/>
            <w:color w:val="0000FF"/>
            <w:u w:val="single"/>
            <w:rtl/>
          </w:rPr>
          <w:t>פקודת</w:t>
        </w:r>
        <w:r w:rsidR="005C0458" w:rsidRPr="005C0458">
          <w:rPr>
            <w:rFonts w:ascii="Calibri" w:hAnsi="Calibri"/>
            <w:noProof w:val="0"/>
            <w:color w:val="0000FF"/>
            <w:u w:val="single"/>
            <w:rtl/>
          </w:rPr>
          <w:t xml:space="preserve"> </w:t>
        </w:r>
        <w:r w:rsidR="005C0458" w:rsidRPr="005C0458">
          <w:rPr>
            <w:rFonts w:ascii="Calibri" w:hAnsi="Calibri" w:hint="eastAsia"/>
            <w:noProof w:val="0"/>
            <w:color w:val="0000FF"/>
            <w:u w:val="single"/>
            <w:rtl/>
          </w:rPr>
          <w:t>הסמים</w:t>
        </w:r>
        <w:r w:rsidR="005C0458" w:rsidRPr="005C0458">
          <w:rPr>
            <w:rFonts w:ascii="Calibri" w:hAnsi="Calibri"/>
            <w:noProof w:val="0"/>
            <w:color w:val="0000FF"/>
            <w:u w:val="single"/>
            <w:rtl/>
          </w:rPr>
          <w:t xml:space="preserve"> </w:t>
        </w:r>
        <w:r w:rsidR="005C0458" w:rsidRPr="005C0458">
          <w:rPr>
            <w:rFonts w:ascii="Calibri" w:hAnsi="Calibri" w:hint="eastAsia"/>
            <w:noProof w:val="0"/>
            <w:color w:val="0000FF"/>
            <w:u w:val="single"/>
            <w:rtl/>
          </w:rPr>
          <w:t>המסוכנים</w:t>
        </w:r>
      </w:hyperlink>
      <w:r>
        <w:rPr>
          <w:rFonts w:ascii="Calibri" w:hAnsi="Calibri"/>
          <w:noProof w:val="0"/>
          <w:rtl/>
        </w:rPr>
        <w:t xml:space="preserve"> (נוסח חדש), תשל"ג – 1973 </w:t>
      </w:r>
      <w:bookmarkStart w:id="8" w:name="ABSTRACT_END"/>
      <w:bookmarkEnd w:id="8"/>
      <w:r>
        <w:rPr>
          <w:rFonts w:ascii="Calibri" w:hAnsi="Calibri"/>
          <w:noProof w:val="0"/>
          <w:rtl/>
        </w:rPr>
        <w:t>(להלן: "</w:t>
      </w:r>
      <w:r>
        <w:rPr>
          <w:rFonts w:ascii="Calibri" w:hAnsi="Calibri"/>
          <w:b/>
          <w:bCs/>
          <w:noProof w:val="0"/>
          <w:rtl/>
        </w:rPr>
        <w:t>פקודת הסמים המסוכנים</w:t>
      </w:r>
      <w:r>
        <w:rPr>
          <w:rFonts w:ascii="Calibri" w:hAnsi="Calibri"/>
          <w:noProof w:val="0"/>
          <w:rtl/>
        </w:rPr>
        <w:t>").</w:t>
      </w:r>
    </w:p>
    <w:p w14:paraId="19CF2CB8" w14:textId="77777777" w:rsidR="00604CC9" w:rsidRDefault="00604CC9" w:rsidP="00604CC9">
      <w:pPr>
        <w:numPr>
          <w:ilvl w:val="0"/>
          <w:numId w:val="1"/>
        </w:numPr>
        <w:shd w:val="clear" w:color="auto" w:fill="FFFFFF"/>
        <w:spacing w:after="160" w:line="360" w:lineRule="auto"/>
        <w:jc w:val="both"/>
        <w:rPr>
          <w:rFonts w:ascii="Calibri" w:hAnsi="Calibri"/>
          <w:noProof w:val="0"/>
        </w:rPr>
      </w:pPr>
      <w:r>
        <w:rPr>
          <w:rFonts w:ascii="Calibri" w:hAnsi="Calibri"/>
          <w:noProof w:val="0"/>
          <w:rtl/>
        </w:rPr>
        <w:t xml:space="preserve">על פי עובדות </w:t>
      </w:r>
      <w:r>
        <w:rPr>
          <w:rFonts w:ascii="Calibri" w:hAnsi="Calibri"/>
          <w:b/>
          <w:bCs/>
          <w:noProof w:val="0"/>
          <w:rtl/>
        </w:rPr>
        <w:t>האישום הראשון</w:t>
      </w:r>
      <w:r>
        <w:rPr>
          <w:rFonts w:ascii="Calibri" w:hAnsi="Calibri"/>
          <w:noProof w:val="0"/>
          <w:rtl/>
        </w:rPr>
        <w:t xml:space="preserve">, במהלך החודשים פברואר - מאי 2021, בשתי הזדמנויות, סחר הנאשם בסם מסוכן מסוג קנבוס במשקל של 1.5 - 3 גרם בכל פעם, בתמורה לסכום של 100 - 250 ₪.  העסקאות תואמו על ידי הנאשם עם הרוכש טלפונית, ולצורך ביצוען שלח הנאשם אדם אחר להעביר לקונה את הסמים תמורת הסכום הנ"ל. </w:t>
      </w:r>
    </w:p>
    <w:p w14:paraId="3BF35A4C" w14:textId="77777777" w:rsidR="00604CC9" w:rsidRDefault="00604CC9" w:rsidP="00604CC9">
      <w:pPr>
        <w:numPr>
          <w:ilvl w:val="0"/>
          <w:numId w:val="1"/>
        </w:numPr>
        <w:shd w:val="clear" w:color="auto" w:fill="FFFFFF"/>
        <w:spacing w:after="160" w:line="360" w:lineRule="auto"/>
        <w:jc w:val="both"/>
        <w:rPr>
          <w:rFonts w:ascii="Calibri" w:hAnsi="Calibri"/>
          <w:noProof w:val="0"/>
        </w:rPr>
      </w:pPr>
      <w:r>
        <w:rPr>
          <w:rFonts w:ascii="Calibri" w:hAnsi="Calibri"/>
          <w:noProof w:val="0"/>
          <w:rtl/>
        </w:rPr>
        <w:lastRenderedPageBreak/>
        <w:t xml:space="preserve">על פי עובדות </w:t>
      </w:r>
      <w:r>
        <w:rPr>
          <w:rFonts w:ascii="Calibri" w:hAnsi="Calibri"/>
          <w:b/>
          <w:bCs/>
          <w:noProof w:val="0"/>
          <w:rtl/>
        </w:rPr>
        <w:t>האישום השני</w:t>
      </w:r>
      <w:r>
        <w:rPr>
          <w:rFonts w:ascii="Calibri" w:hAnsi="Calibri"/>
          <w:noProof w:val="0"/>
          <w:rtl/>
        </w:rPr>
        <w:t>, בתאריך 31.5.21 סחר הנאשם בסם מסוכן מסוג קנבוס במשקל של 5 גרם תמורת סכום של 300 ₪. העסקה תואמה על ידי הנאשם עם הרוכש טלפונית, ואדם אחר העביר את הסמים לקונה תמורת הסכום הנ"ל.</w:t>
      </w:r>
    </w:p>
    <w:p w14:paraId="01DBEC15" w14:textId="77777777" w:rsidR="00604CC9" w:rsidRDefault="00604CC9" w:rsidP="00604CC9">
      <w:pPr>
        <w:numPr>
          <w:ilvl w:val="0"/>
          <w:numId w:val="1"/>
        </w:numPr>
        <w:shd w:val="clear" w:color="auto" w:fill="FFFFFF"/>
        <w:spacing w:after="160" w:line="360" w:lineRule="auto"/>
        <w:jc w:val="both"/>
        <w:rPr>
          <w:rFonts w:ascii="Calibri" w:hAnsi="Calibri"/>
          <w:noProof w:val="0"/>
          <w:rtl/>
        </w:rPr>
      </w:pPr>
      <w:r>
        <w:rPr>
          <w:rFonts w:ascii="Calibri" w:hAnsi="Calibri"/>
          <w:noProof w:val="0"/>
          <w:rtl/>
        </w:rPr>
        <w:t xml:space="preserve">על פי עובדות </w:t>
      </w:r>
      <w:r>
        <w:rPr>
          <w:rFonts w:ascii="Calibri" w:hAnsi="Calibri"/>
          <w:b/>
          <w:bCs/>
          <w:noProof w:val="0"/>
          <w:rtl/>
        </w:rPr>
        <w:t>האישום השלישי,</w:t>
      </w:r>
      <w:r>
        <w:rPr>
          <w:rFonts w:ascii="Calibri" w:hAnsi="Calibri"/>
          <w:noProof w:val="0"/>
          <w:rtl/>
        </w:rPr>
        <w:t xml:space="preserve"> במהלך החודשים מאי – יוני 2021, בשתי הזדמנויות, סחר הנאשם עם קטין בסם מסוכן מסוג קנבוס במשקל 1- 3 גרם תמורת סכום של 50 - 250 ₪ בכל פעם. העסקה תואמה על ידי הנאשם טלפונית עם הקטין. העסקה התבצעה כך שהסם הושאר עבור הקטין בתיבת דואר והקטין השאיר את התמורה הכספית באותו המקום. </w:t>
      </w:r>
    </w:p>
    <w:p w14:paraId="6CFC8644" w14:textId="77777777" w:rsidR="00604CC9" w:rsidRDefault="00604CC9" w:rsidP="00604CC9">
      <w:pPr>
        <w:numPr>
          <w:ilvl w:val="0"/>
          <w:numId w:val="1"/>
        </w:numPr>
        <w:shd w:val="clear" w:color="auto" w:fill="FFFFFF"/>
        <w:spacing w:after="160" w:line="360" w:lineRule="auto"/>
        <w:jc w:val="both"/>
        <w:rPr>
          <w:rFonts w:ascii="Calibri" w:hAnsi="Calibri"/>
          <w:noProof w:val="0"/>
        </w:rPr>
      </w:pPr>
      <w:r>
        <w:rPr>
          <w:rFonts w:ascii="Calibri" w:hAnsi="Calibri"/>
          <w:noProof w:val="0"/>
          <w:rtl/>
        </w:rPr>
        <w:t xml:space="preserve">מהאמור עולה שבמהלך החודשים פברואר - יוני 2021, ב- </w:t>
      </w:r>
      <w:r>
        <w:rPr>
          <w:rFonts w:ascii="Calibri" w:hAnsi="Calibri"/>
          <w:b/>
          <w:bCs/>
          <w:noProof w:val="0"/>
          <w:rtl/>
        </w:rPr>
        <w:t>5 הזדמנויות</w:t>
      </w:r>
      <w:r>
        <w:rPr>
          <w:rFonts w:ascii="Calibri" w:hAnsi="Calibri"/>
          <w:noProof w:val="0"/>
          <w:rtl/>
        </w:rPr>
        <w:t xml:space="preserve"> סחר הנאשם בסם מסוכן מסוג קנבוס עם </w:t>
      </w:r>
      <w:r>
        <w:rPr>
          <w:rFonts w:ascii="Calibri" w:hAnsi="Calibri"/>
          <w:b/>
          <w:bCs/>
          <w:noProof w:val="0"/>
          <w:rtl/>
        </w:rPr>
        <w:t>3 אנשים שונים ובהם קטין אחד</w:t>
      </w:r>
      <w:r>
        <w:rPr>
          <w:rFonts w:ascii="Calibri" w:hAnsi="Calibri"/>
          <w:noProof w:val="0"/>
          <w:rtl/>
        </w:rPr>
        <w:t xml:space="preserve">, במשקלים הנעים בין </w:t>
      </w:r>
      <w:r>
        <w:rPr>
          <w:rFonts w:ascii="Calibri" w:hAnsi="Calibri"/>
          <w:b/>
          <w:bCs/>
          <w:noProof w:val="0"/>
          <w:rtl/>
        </w:rPr>
        <w:t xml:space="preserve">1 ל-5 גרם </w:t>
      </w:r>
      <w:r>
        <w:rPr>
          <w:rFonts w:ascii="Calibri" w:hAnsi="Calibri"/>
          <w:noProof w:val="0"/>
          <w:rtl/>
        </w:rPr>
        <w:t xml:space="preserve">בכל עסקה, ובסה"כ </w:t>
      </w:r>
      <w:r>
        <w:rPr>
          <w:rFonts w:ascii="Calibri" w:hAnsi="Calibri"/>
          <w:b/>
          <w:bCs/>
          <w:noProof w:val="0"/>
          <w:rtl/>
        </w:rPr>
        <w:t>10 עד 17 גרם</w:t>
      </w:r>
      <w:r>
        <w:rPr>
          <w:rFonts w:ascii="Calibri" w:hAnsi="Calibri"/>
          <w:noProof w:val="0"/>
          <w:rtl/>
        </w:rPr>
        <w:t>.</w:t>
      </w:r>
    </w:p>
    <w:p w14:paraId="2EB7D817" w14:textId="77777777" w:rsidR="00604CC9" w:rsidRPr="00604CC9" w:rsidRDefault="00604CC9" w:rsidP="00604CC9">
      <w:pPr>
        <w:shd w:val="clear" w:color="auto" w:fill="FFFFFF"/>
        <w:spacing w:before="120" w:after="120" w:line="360" w:lineRule="auto"/>
        <w:contextualSpacing/>
        <w:jc w:val="both"/>
        <w:rPr>
          <w:rFonts w:ascii="Calibri" w:hAnsi="Calibri"/>
          <w:b/>
          <w:bCs/>
          <w:noProof w:val="0"/>
          <w:u w:val="single"/>
          <w:rtl/>
        </w:rPr>
      </w:pPr>
    </w:p>
    <w:p w14:paraId="5DE9BECC" w14:textId="77777777" w:rsidR="00604CC9" w:rsidRPr="00604CC9" w:rsidRDefault="00604CC9" w:rsidP="00604CC9">
      <w:pPr>
        <w:shd w:val="clear" w:color="auto" w:fill="FFFFFF"/>
        <w:spacing w:before="120" w:after="120" w:line="360" w:lineRule="auto"/>
        <w:contextualSpacing/>
        <w:jc w:val="both"/>
        <w:rPr>
          <w:rFonts w:ascii="Calibri" w:hAnsi="Calibri"/>
          <w:b/>
          <w:bCs/>
          <w:noProof w:val="0"/>
          <w:u w:val="single"/>
          <w:rtl/>
        </w:rPr>
      </w:pPr>
    </w:p>
    <w:p w14:paraId="6B498D25" w14:textId="77777777" w:rsidR="00604CC9" w:rsidRPr="00604CC9" w:rsidRDefault="00604CC9" w:rsidP="00604CC9">
      <w:pPr>
        <w:shd w:val="clear" w:color="auto" w:fill="FFFFFF"/>
        <w:spacing w:before="120" w:after="120" w:line="360" w:lineRule="auto"/>
        <w:contextualSpacing/>
        <w:jc w:val="both"/>
        <w:rPr>
          <w:rFonts w:ascii="Calibri" w:hAnsi="Calibri"/>
          <w:b/>
          <w:bCs/>
          <w:noProof w:val="0"/>
          <w:u w:val="single"/>
          <w:rtl/>
        </w:rPr>
      </w:pPr>
      <w:r w:rsidRPr="00604CC9">
        <w:rPr>
          <w:rFonts w:ascii="Calibri" w:hAnsi="Calibri"/>
          <w:b/>
          <w:bCs/>
          <w:noProof w:val="0"/>
          <w:u w:val="single"/>
          <w:rtl/>
        </w:rPr>
        <w:t>טענות הצדדים לעונש</w:t>
      </w:r>
    </w:p>
    <w:p w14:paraId="7FB8BA00" w14:textId="77777777" w:rsidR="00604CC9" w:rsidRPr="00AF12A2" w:rsidRDefault="00604CC9" w:rsidP="00604CC9">
      <w:pPr>
        <w:numPr>
          <w:ilvl w:val="0"/>
          <w:numId w:val="1"/>
        </w:numPr>
        <w:shd w:val="clear" w:color="auto" w:fill="FFFFFF"/>
        <w:spacing w:after="160" w:line="360" w:lineRule="auto"/>
        <w:jc w:val="both"/>
        <w:rPr>
          <w:rFonts w:ascii="Calibri" w:hAnsi="Calibri"/>
          <w:noProof w:val="0"/>
        </w:rPr>
      </w:pPr>
      <w:r>
        <w:rPr>
          <w:rFonts w:ascii="Calibri" w:hAnsi="Calibri"/>
          <w:b/>
          <w:bCs/>
          <w:noProof w:val="0"/>
          <w:rtl/>
        </w:rPr>
        <w:t>ב"כ המאשימה</w:t>
      </w:r>
      <w:r>
        <w:rPr>
          <w:rFonts w:ascii="Calibri" w:hAnsi="Calibri"/>
          <w:noProof w:val="0"/>
          <w:rtl/>
        </w:rPr>
        <w:t xml:space="preserve"> הדגיש את חומרת המעשים  והנזק שנגרם לחברה כתוצאה מביצוע העבירות, בפרט בשים לב לכך שעל פי האישום השלישי מכר הנאשם סם מסוכן לקטין. ב"כ המאשימה הוסיף וטען, כי בבחינת הנסיבות שאינן קשורות בביצוע העבירה, יש לשקול לקולא את הודאת הנאשם, נטילת אחריות וחיסכון בזמן שיפוטי. מנגד, נטען כי יש לשקול לחומרה את עברו הפלילי של הנאשם, הכולל עבירות אלימות ברף גבוה, בגינן ריצה מאסרים ממושכים. בנוסף, לעמדתו, אין להתעלם מכך שהנאשם לא עבר תהליך שיקום ואין תסקיר בעניינו. לשיטת המאשימה, מתחם העונש ההולם נע בין 10 ל-24 חודשי מאסר בפועל.  </w:t>
      </w:r>
    </w:p>
    <w:p w14:paraId="6CC4920D" w14:textId="77777777" w:rsidR="00604CC9" w:rsidRPr="00AF12A2" w:rsidRDefault="00604CC9" w:rsidP="00604CC9">
      <w:pPr>
        <w:numPr>
          <w:ilvl w:val="0"/>
          <w:numId w:val="1"/>
        </w:numPr>
        <w:shd w:val="clear" w:color="auto" w:fill="FFFFFF"/>
        <w:spacing w:after="160" w:line="360" w:lineRule="auto"/>
        <w:jc w:val="both"/>
        <w:rPr>
          <w:rFonts w:ascii="Calibri" w:hAnsi="Calibri"/>
          <w:noProof w:val="0"/>
        </w:rPr>
      </w:pPr>
      <w:r>
        <w:rPr>
          <w:rFonts w:ascii="Calibri" w:hAnsi="Calibri"/>
          <w:noProof w:val="0"/>
          <w:rtl/>
        </w:rPr>
        <w:t>לבסוף, עתרה המאשימה להשתת עונש של 15 חודשי מאסר בפועל, לצד מאסר מותנה, קנס ופסילת רישיון בפועל. כמו כן, ביקשה המאשימה להכריז על הנאשם כסוחר סמים.</w:t>
      </w:r>
    </w:p>
    <w:p w14:paraId="4C23E6E5" w14:textId="77777777" w:rsidR="00604CC9" w:rsidRDefault="00604CC9" w:rsidP="00604CC9">
      <w:pPr>
        <w:numPr>
          <w:ilvl w:val="0"/>
          <w:numId w:val="1"/>
        </w:numPr>
        <w:shd w:val="clear" w:color="auto" w:fill="FFFFFF"/>
        <w:spacing w:after="160" w:line="360" w:lineRule="auto"/>
        <w:jc w:val="both"/>
        <w:rPr>
          <w:rFonts w:ascii="Calibri" w:hAnsi="Calibri"/>
          <w:noProof w:val="0"/>
          <w:rtl/>
        </w:rPr>
      </w:pPr>
      <w:r>
        <w:rPr>
          <w:rFonts w:ascii="Calibri" w:hAnsi="Calibri"/>
          <w:b/>
          <w:bCs/>
          <w:noProof w:val="0"/>
          <w:rtl/>
        </w:rPr>
        <w:t>ב"כ הנאשם</w:t>
      </w:r>
      <w:r>
        <w:rPr>
          <w:rFonts w:ascii="Calibri" w:hAnsi="Calibri"/>
          <w:noProof w:val="0"/>
          <w:rtl/>
        </w:rPr>
        <w:t xml:space="preserve"> הדגיש כי מדובר בסחר בסם מסוג קנבוס בכמויות קטנות מאוד, שבוצע במשך תקופה קצרה</w:t>
      </w:r>
      <w:r>
        <w:rPr>
          <w:rFonts w:ascii="Calibri" w:hAnsi="Calibri" w:hint="cs"/>
          <w:noProof w:val="0"/>
          <w:rtl/>
        </w:rPr>
        <w:t xml:space="preserve"> </w:t>
      </w:r>
      <w:r>
        <w:rPr>
          <w:rFonts w:ascii="Calibri" w:hAnsi="Calibri"/>
          <w:noProof w:val="0"/>
          <w:rtl/>
        </w:rPr>
        <w:t>וב</w:t>
      </w:r>
      <w:r>
        <w:rPr>
          <w:rFonts w:ascii="Calibri" w:hAnsi="Calibri" w:hint="cs"/>
          <w:noProof w:val="0"/>
          <w:rtl/>
        </w:rPr>
        <w:t xml:space="preserve">עבור </w:t>
      </w:r>
      <w:r>
        <w:rPr>
          <w:rFonts w:ascii="Calibri" w:hAnsi="Calibri"/>
          <w:noProof w:val="0"/>
          <w:rtl/>
        </w:rPr>
        <w:t xml:space="preserve">תמורה כספית נמוכה. בנוסף, נטען כי הנאשם הודה בכתב האישום המתוקן, חסך בזמן שיפוטי ונטל אחריות על מעשיו. אשר לאישום הראשון, נטען כי אחר ביצע את העסקה בפועל </w:t>
      </w:r>
      <w:r>
        <w:rPr>
          <w:rFonts w:ascii="Calibri" w:hAnsi="Calibri" w:hint="cs"/>
          <w:noProof w:val="0"/>
          <w:rtl/>
        </w:rPr>
        <w:t xml:space="preserve">אך הוא </w:t>
      </w:r>
      <w:r>
        <w:rPr>
          <w:rFonts w:ascii="Calibri" w:hAnsi="Calibri"/>
          <w:noProof w:val="0"/>
          <w:rtl/>
        </w:rPr>
        <w:t xml:space="preserve">לא הועמד לדין. אשר לאישום השלישי </w:t>
      </w:r>
      <w:r>
        <w:rPr>
          <w:rFonts w:ascii="Calibri" w:hAnsi="Calibri" w:hint="cs"/>
          <w:noProof w:val="0"/>
          <w:rtl/>
        </w:rPr>
        <w:t>(</w:t>
      </w:r>
      <w:r>
        <w:rPr>
          <w:rFonts w:ascii="Calibri" w:hAnsi="Calibri"/>
          <w:noProof w:val="0"/>
          <w:rtl/>
        </w:rPr>
        <w:t>סחר בסם מסוכן עם קטין</w:t>
      </w:r>
      <w:r>
        <w:rPr>
          <w:rFonts w:ascii="Calibri" w:hAnsi="Calibri" w:hint="cs"/>
          <w:noProof w:val="0"/>
          <w:rtl/>
        </w:rPr>
        <w:t>)</w:t>
      </w:r>
      <w:r>
        <w:rPr>
          <w:rFonts w:ascii="Calibri" w:hAnsi="Calibri"/>
          <w:noProof w:val="0"/>
          <w:rtl/>
        </w:rPr>
        <w:t xml:space="preserve">, נטען כי הנאשם לא ידע שמדובר בקטין. ב"כ הנאשם הוסיף וטען, כי עברו הפלילי של הנאשם אינו </w:t>
      </w:r>
      <w:r>
        <w:rPr>
          <w:rFonts w:ascii="Calibri" w:hAnsi="Calibri" w:hint="cs"/>
          <w:noProof w:val="0"/>
          <w:rtl/>
        </w:rPr>
        <w:t>מ</w:t>
      </w:r>
      <w:r>
        <w:rPr>
          <w:rFonts w:ascii="Calibri" w:hAnsi="Calibri"/>
          <w:noProof w:val="0"/>
          <w:rtl/>
        </w:rPr>
        <w:t xml:space="preserve">תחום </w:t>
      </w:r>
      <w:r>
        <w:rPr>
          <w:rFonts w:ascii="Calibri" w:hAnsi="Calibri" w:hint="cs"/>
          <w:noProof w:val="0"/>
          <w:rtl/>
        </w:rPr>
        <w:t xml:space="preserve">עבירות </w:t>
      </w:r>
      <w:r>
        <w:rPr>
          <w:rFonts w:ascii="Calibri" w:hAnsi="Calibri"/>
          <w:noProof w:val="0"/>
          <w:rtl/>
        </w:rPr>
        <w:t xml:space="preserve">הסמים, והנאשם ריצה חובו לחברה. לדבריו, הנאשם נעדר כל קשר משפחתי תומך ומתכוון עם שחרורו </w:t>
      </w:r>
      <w:r>
        <w:rPr>
          <w:rFonts w:ascii="Calibri" w:hAnsi="Calibri" w:hint="cs"/>
          <w:noProof w:val="0"/>
          <w:rtl/>
        </w:rPr>
        <w:t xml:space="preserve">מהכלא, </w:t>
      </w:r>
      <w:r>
        <w:rPr>
          <w:rFonts w:ascii="Calibri" w:hAnsi="Calibri"/>
          <w:noProof w:val="0"/>
          <w:rtl/>
        </w:rPr>
        <w:t xml:space="preserve">לנתק עצמו מהסביבה בה גדל. לבסוף, צוין כי לא התבקש תסקיר בעניין הנאשם על מנת לסיים את התיק בהקדם ואין לזקוף זאת לחובת הנאשם. </w:t>
      </w:r>
    </w:p>
    <w:p w14:paraId="185DC7DE" w14:textId="77777777" w:rsidR="00604CC9" w:rsidRDefault="00604CC9" w:rsidP="00604CC9">
      <w:pPr>
        <w:numPr>
          <w:ilvl w:val="0"/>
          <w:numId w:val="1"/>
        </w:numPr>
        <w:shd w:val="clear" w:color="auto" w:fill="FFFFFF"/>
        <w:spacing w:after="160" w:line="360" w:lineRule="auto"/>
        <w:jc w:val="both"/>
        <w:rPr>
          <w:rFonts w:ascii="Calibri" w:hAnsi="Calibri"/>
          <w:noProof w:val="0"/>
        </w:rPr>
      </w:pPr>
      <w:r>
        <w:rPr>
          <w:rFonts w:ascii="Calibri" w:hAnsi="Calibri"/>
          <w:noProof w:val="0"/>
          <w:rtl/>
        </w:rPr>
        <w:t xml:space="preserve">ב"כ הנאשם ביקש להסתפק בתקופת המעצר של 7 חודשים. לשיטתו, העונש שריצה הנאשם במסגרת מעצרו עולה, או למצער קרוב, לתקופת המאסר </w:t>
      </w:r>
      <w:r>
        <w:rPr>
          <w:rFonts w:ascii="Calibri" w:hAnsi="Calibri" w:hint="cs"/>
          <w:noProof w:val="0"/>
          <w:rtl/>
        </w:rPr>
        <w:t>שתיגזר</w:t>
      </w:r>
      <w:r>
        <w:rPr>
          <w:rFonts w:ascii="Calibri" w:hAnsi="Calibri"/>
          <w:noProof w:val="0"/>
          <w:rtl/>
        </w:rPr>
        <w:t xml:space="preserve">. לדבריו, אילו היה הנאשם משוחרר, היה עותר לעבודות שירות.  </w:t>
      </w:r>
    </w:p>
    <w:p w14:paraId="60C95FF8" w14:textId="77777777" w:rsidR="00604CC9" w:rsidRDefault="00604CC9" w:rsidP="00604CC9">
      <w:pPr>
        <w:numPr>
          <w:ilvl w:val="0"/>
          <w:numId w:val="1"/>
        </w:numPr>
        <w:shd w:val="clear" w:color="auto" w:fill="FFFFFF"/>
        <w:spacing w:after="160" w:line="360" w:lineRule="auto"/>
        <w:jc w:val="both"/>
        <w:rPr>
          <w:rFonts w:ascii="Calibri" w:hAnsi="Calibri"/>
          <w:noProof w:val="0"/>
          <w:rtl/>
        </w:rPr>
      </w:pPr>
      <w:r>
        <w:rPr>
          <w:rFonts w:ascii="Calibri" w:hAnsi="Calibri"/>
          <w:noProof w:val="0"/>
          <w:rtl/>
        </w:rPr>
        <w:t>הנאשם עצמו ציין כי אין לו מה להוסיף מעבר למה שנאמר.</w:t>
      </w:r>
    </w:p>
    <w:p w14:paraId="2873A282" w14:textId="77777777" w:rsidR="00604CC9" w:rsidRPr="00604CC9" w:rsidRDefault="00604CC9" w:rsidP="00604CC9">
      <w:pPr>
        <w:shd w:val="clear" w:color="auto" w:fill="FFFFFF"/>
        <w:spacing w:before="120" w:after="120" w:line="360" w:lineRule="auto"/>
        <w:contextualSpacing/>
        <w:jc w:val="both"/>
        <w:rPr>
          <w:rFonts w:ascii="Calibri" w:hAnsi="Calibri"/>
          <w:b/>
          <w:bCs/>
          <w:noProof w:val="0"/>
          <w:u w:val="single"/>
          <w:rtl/>
        </w:rPr>
      </w:pPr>
    </w:p>
    <w:p w14:paraId="772E20E7" w14:textId="77777777" w:rsidR="00604CC9" w:rsidRPr="00604CC9" w:rsidRDefault="00604CC9" w:rsidP="00604CC9">
      <w:pPr>
        <w:shd w:val="clear" w:color="auto" w:fill="FFFFFF"/>
        <w:spacing w:before="120" w:after="120" w:line="360" w:lineRule="auto"/>
        <w:contextualSpacing/>
        <w:jc w:val="both"/>
        <w:rPr>
          <w:rFonts w:ascii="Calibri" w:hAnsi="Calibri"/>
          <w:b/>
          <w:bCs/>
          <w:noProof w:val="0"/>
          <w:u w:val="single"/>
          <w:rtl/>
        </w:rPr>
      </w:pPr>
      <w:r w:rsidRPr="00604CC9">
        <w:rPr>
          <w:rFonts w:ascii="Calibri" w:hAnsi="Calibri"/>
          <w:b/>
          <w:bCs/>
          <w:noProof w:val="0"/>
          <w:u w:val="single"/>
          <w:rtl/>
        </w:rPr>
        <w:t>דיון והכרעה</w:t>
      </w:r>
    </w:p>
    <w:p w14:paraId="3FB1294A" w14:textId="77777777" w:rsidR="00604CC9" w:rsidRPr="00604CC9" w:rsidRDefault="00604CC9" w:rsidP="00604CC9">
      <w:pPr>
        <w:shd w:val="clear" w:color="auto" w:fill="FFFFFF"/>
        <w:spacing w:before="120" w:after="120" w:line="360" w:lineRule="auto"/>
        <w:contextualSpacing/>
        <w:jc w:val="both"/>
        <w:rPr>
          <w:rFonts w:ascii="Calibri" w:hAnsi="Calibri"/>
          <w:noProof w:val="0"/>
          <w:u w:val="single"/>
          <w:rtl/>
        </w:rPr>
      </w:pPr>
      <w:r w:rsidRPr="00604CC9">
        <w:rPr>
          <w:rFonts w:ascii="Calibri" w:hAnsi="Calibri"/>
          <w:noProof w:val="0"/>
          <w:u w:val="single"/>
          <w:rtl/>
        </w:rPr>
        <w:t>קביעה מתחם העונש ההולם</w:t>
      </w:r>
    </w:p>
    <w:p w14:paraId="0A89E0F7" w14:textId="77777777" w:rsidR="00604CC9" w:rsidRPr="00604CC9" w:rsidRDefault="00604CC9" w:rsidP="00604CC9">
      <w:pPr>
        <w:pStyle w:val="a9"/>
        <w:numPr>
          <w:ilvl w:val="0"/>
          <w:numId w:val="1"/>
        </w:numPr>
        <w:shd w:val="clear" w:color="auto" w:fill="FFFFFF"/>
        <w:spacing w:before="120" w:after="120" w:line="360" w:lineRule="auto"/>
        <w:jc w:val="both"/>
        <w:rPr>
          <w:rFonts w:ascii="Calibri" w:hAnsi="Calibri"/>
          <w:noProof w:val="0"/>
          <w:rtl/>
        </w:rPr>
      </w:pPr>
      <w:r>
        <w:rPr>
          <w:rFonts w:ascii="David" w:hAnsi="David"/>
          <w:color w:val="000000"/>
          <w:rtl/>
        </w:rPr>
        <w:t xml:space="preserve">אישומים 1-3 בכתב האישום המתוקן מתארים 5 מקרים בעלי מאפיינים דומים, אשר התרחשו בסמיכות זמנים לאורך תקופה של כחמישה חודשים, כחלק מאותה תכניית עבריינית כללית למכירת סם עבור בצע כסף. </w:t>
      </w:r>
    </w:p>
    <w:p w14:paraId="6688187A" w14:textId="77777777" w:rsidR="00604CC9" w:rsidRPr="00604CC9" w:rsidRDefault="00604CC9" w:rsidP="00604CC9">
      <w:pPr>
        <w:pStyle w:val="a9"/>
        <w:shd w:val="clear" w:color="auto" w:fill="FFFFFF"/>
        <w:spacing w:before="120" w:after="120" w:line="360" w:lineRule="auto"/>
        <w:ind w:left="360"/>
        <w:jc w:val="both"/>
        <w:rPr>
          <w:rFonts w:ascii="Calibri" w:hAnsi="Calibri"/>
          <w:noProof w:val="0"/>
        </w:rPr>
      </w:pPr>
    </w:p>
    <w:p w14:paraId="0E1FFBBB" w14:textId="77777777" w:rsidR="00604CC9" w:rsidRPr="00604CC9" w:rsidRDefault="00604CC9" w:rsidP="00604CC9">
      <w:pPr>
        <w:pStyle w:val="a9"/>
        <w:numPr>
          <w:ilvl w:val="0"/>
          <w:numId w:val="1"/>
        </w:numPr>
        <w:shd w:val="clear" w:color="auto" w:fill="FFFFFF"/>
        <w:spacing w:before="120" w:after="120" w:line="360" w:lineRule="auto"/>
        <w:jc w:val="both"/>
        <w:rPr>
          <w:rFonts w:ascii="Calibri" w:hAnsi="Calibri"/>
          <w:noProof w:val="0"/>
        </w:rPr>
      </w:pPr>
      <w:r w:rsidRPr="00604CC9">
        <w:rPr>
          <w:rFonts w:ascii="Calibri" w:hAnsi="Calibri"/>
          <w:noProof w:val="0"/>
          <w:rtl/>
        </w:rPr>
        <w:t xml:space="preserve">כל העבירות בוצעו בנסיבות דומות, בשיטה </w:t>
      </w:r>
      <w:r w:rsidRPr="00604CC9">
        <w:rPr>
          <w:rFonts w:ascii="Calibri" w:hAnsi="Calibri" w:hint="cs"/>
          <w:noProof w:val="0"/>
          <w:rtl/>
        </w:rPr>
        <w:t>זהה ועבור בצע כסף</w:t>
      </w:r>
      <w:r w:rsidRPr="00604CC9">
        <w:rPr>
          <w:rFonts w:ascii="Calibri" w:hAnsi="Calibri"/>
          <w:noProof w:val="0"/>
          <w:rtl/>
        </w:rPr>
        <w:t xml:space="preserve">. הנאשם ביצע עבירות של סחר בסמים מסוג קנבוס, הסמים סופקו במנות קטנות לאחרים, שעימם הנאשם תיאם טלפונית את העסקאות. </w:t>
      </w:r>
    </w:p>
    <w:p w14:paraId="7C08EEA0" w14:textId="77777777" w:rsidR="00604CC9" w:rsidRPr="00604CC9" w:rsidRDefault="00604CC9" w:rsidP="00604CC9">
      <w:pPr>
        <w:pStyle w:val="a9"/>
        <w:rPr>
          <w:rFonts w:ascii="Calibri" w:hAnsi="Calibri"/>
          <w:noProof w:val="0"/>
          <w:rtl/>
        </w:rPr>
      </w:pPr>
    </w:p>
    <w:p w14:paraId="7DB76B14" w14:textId="77777777" w:rsidR="00604CC9" w:rsidRPr="00604CC9" w:rsidRDefault="00604CC9" w:rsidP="00604CC9">
      <w:pPr>
        <w:pStyle w:val="a9"/>
        <w:numPr>
          <w:ilvl w:val="0"/>
          <w:numId w:val="1"/>
        </w:numPr>
        <w:shd w:val="clear" w:color="auto" w:fill="FFFFFF"/>
        <w:spacing w:before="120" w:after="120" w:line="360" w:lineRule="auto"/>
        <w:jc w:val="both"/>
        <w:rPr>
          <w:rFonts w:ascii="Calibri" w:hAnsi="Calibri"/>
          <w:noProof w:val="0"/>
        </w:rPr>
      </w:pPr>
      <w:r w:rsidRPr="00604CC9">
        <w:rPr>
          <w:rFonts w:ascii="Calibri" w:hAnsi="Calibri"/>
          <w:noProof w:val="0"/>
          <w:rtl/>
        </w:rPr>
        <w:t>לפיכך,</w:t>
      </w:r>
      <w:r w:rsidRPr="00604CC9">
        <w:rPr>
          <w:rFonts w:ascii="Calibri" w:hAnsi="Calibri" w:hint="cs"/>
          <w:noProof w:val="0"/>
          <w:rtl/>
        </w:rPr>
        <w:t xml:space="preserve"> </w:t>
      </w:r>
      <w:r w:rsidRPr="00604CC9">
        <w:rPr>
          <w:rFonts w:ascii="Calibri" w:hAnsi="Calibri"/>
          <w:noProof w:val="0"/>
          <w:rtl/>
        </w:rPr>
        <w:t xml:space="preserve">לפי מבחן הקשר ההדוק, יש לראות את שלושת האישומים כאירוע אחד ולקבוע בגינם </w:t>
      </w:r>
      <w:r w:rsidR="005C0458">
        <w:rPr>
          <w:rFonts w:ascii="Calibri" w:hAnsi="Calibri"/>
          <w:noProof w:val="0"/>
          <w:rtl/>
        </w:rPr>
        <w:t xml:space="preserve"> </w:t>
      </w:r>
      <w:r w:rsidRPr="00604CC9">
        <w:rPr>
          <w:rFonts w:ascii="Calibri" w:hAnsi="Calibri"/>
          <w:noProof w:val="0"/>
          <w:rtl/>
        </w:rPr>
        <w:t>מתחם עונש הולם אחד [(</w:t>
      </w:r>
      <w:hyperlink r:id="rId16" w:history="1">
        <w:r w:rsidR="005C0458" w:rsidRPr="005C0458">
          <w:rPr>
            <w:rFonts w:ascii="Calibri" w:hAnsi="Calibri" w:hint="eastAsia"/>
            <w:noProof w:val="0"/>
            <w:color w:val="0000FF"/>
            <w:u w:val="single"/>
            <w:rtl/>
          </w:rPr>
          <w:t>ע</w:t>
        </w:r>
        <w:r w:rsidR="005C0458" w:rsidRPr="005C0458">
          <w:rPr>
            <w:rFonts w:ascii="Calibri" w:hAnsi="Calibri"/>
            <w:noProof w:val="0"/>
            <w:color w:val="0000FF"/>
            <w:u w:val="single"/>
            <w:rtl/>
          </w:rPr>
          <w:t>"</w:t>
        </w:r>
        <w:r w:rsidR="005C0458" w:rsidRPr="005C0458">
          <w:rPr>
            <w:rFonts w:ascii="Calibri" w:hAnsi="Calibri" w:hint="eastAsia"/>
            <w:noProof w:val="0"/>
            <w:color w:val="0000FF"/>
            <w:u w:val="single"/>
            <w:rtl/>
          </w:rPr>
          <w:t>פ</w:t>
        </w:r>
        <w:r w:rsidR="005C0458" w:rsidRPr="005C0458">
          <w:rPr>
            <w:rFonts w:ascii="Calibri" w:hAnsi="Calibri"/>
            <w:noProof w:val="0"/>
            <w:color w:val="0000FF"/>
            <w:u w:val="single"/>
            <w:rtl/>
          </w:rPr>
          <w:t xml:space="preserve"> 4910/13</w:t>
        </w:r>
      </w:hyperlink>
      <w:r w:rsidR="005C0458">
        <w:rPr>
          <w:rFonts w:ascii="Calibri" w:hAnsi="Calibri"/>
          <w:noProof w:val="0"/>
          <w:rtl/>
        </w:rPr>
        <w:t xml:space="preserve"> </w:t>
      </w:r>
      <w:r w:rsidRPr="00604CC9">
        <w:rPr>
          <w:rFonts w:ascii="Calibri" w:hAnsi="Calibri"/>
          <w:b/>
          <w:bCs/>
          <w:noProof w:val="0"/>
          <w:rtl/>
        </w:rPr>
        <w:t>ג'אבר נ' מדינת ישראל</w:t>
      </w:r>
      <w:r w:rsidRPr="00604CC9">
        <w:rPr>
          <w:rFonts w:ascii="Calibri" w:hAnsi="Calibri"/>
          <w:noProof w:val="0"/>
          <w:rtl/>
        </w:rPr>
        <w:t xml:space="preserve"> (פורסם בנבו, 29.10.14);</w:t>
      </w:r>
      <w:r w:rsidR="005C0458">
        <w:rPr>
          <w:rFonts w:ascii="Calibri" w:hAnsi="Calibri"/>
          <w:noProof w:val="0"/>
          <w:rtl/>
        </w:rPr>
        <w:t xml:space="preserve"> </w:t>
      </w:r>
      <w:hyperlink r:id="rId17" w:history="1">
        <w:r w:rsidR="005C0458" w:rsidRPr="005C0458">
          <w:rPr>
            <w:rFonts w:ascii="Calibri" w:hAnsi="Calibri" w:hint="eastAsia"/>
            <w:noProof w:val="0"/>
            <w:color w:val="0000FF"/>
            <w:u w:val="single"/>
            <w:rtl/>
          </w:rPr>
          <w:t>ע</w:t>
        </w:r>
        <w:r w:rsidR="005C0458" w:rsidRPr="005C0458">
          <w:rPr>
            <w:rFonts w:ascii="Calibri" w:hAnsi="Calibri"/>
            <w:noProof w:val="0"/>
            <w:color w:val="0000FF"/>
            <w:u w:val="single"/>
            <w:rtl/>
          </w:rPr>
          <w:t>"</w:t>
        </w:r>
        <w:r w:rsidR="005C0458" w:rsidRPr="005C0458">
          <w:rPr>
            <w:rFonts w:ascii="Calibri" w:hAnsi="Calibri" w:hint="eastAsia"/>
            <w:noProof w:val="0"/>
            <w:color w:val="0000FF"/>
            <w:u w:val="single"/>
            <w:rtl/>
          </w:rPr>
          <w:t>פ</w:t>
        </w:r>
        <w:r w:rsidR="005C0458" w:rsidRPr="005C0458">
          <w:rPr>
            <w:rFonts w:ascii="Calibri" w:hAnsi="Calibri"/>
            <w:noProof w:val="0"/>
            <w:color w:val="0000FF"/>
            <w:u w:val="single"/>
            <w:rtl/>
          </w:rPr>
          <w:t xml:space="preserve"> 1261/15</w:t>
        </w:r>
      </w:hyperlink>
      <w:r w:rsidR="005C0458">
        <w:rPr>
          <w:rFonts w:ascii="Calibri" w:hAnsi="Calibri"/>
          <w:noProof w:val="0"/>
          <w:rtl/>
        </w:rPr>
        <w:t xml:space="preserve"> </w:t>
      </w:r>
      <w:r w:rsidRPr="00604CC9">
        <w:rPr>
          <w:rFonts w:ascii="Calibri" w:hAnsi="Calibri"/>
          <w:b/>
          <w:bCs/>
          <w:noProof w:val="0"/>
          <w:rtl/>
        </w:rPr>
        <w:t>דלאל נ' מדינת ישראל</w:t>
      </w:r>
      <w:r w:rsidR="005C0458">
        <w:rPr>
          <w:rFonts w:ascii="Calibri" w:hAnsi="Calibri"/>
          <w:noProof w:val="0"/>
          <w:rtl/>
        </w:rPr>
        <w:t xml:space="preserve"> </w:t>
      </w:r>
      <w:r w:rsidRPr="00604CC9">
        <w:rPr>
          <w:rFonts w:ascii="Calibri" w:hAnsi="Calibri"/>
          <w:noProof w:val="0"/>
          <w:rtl/>
        </w:rPr>
        <w:t>(פורסם בנבו, 13.9.15)].</w:t>
      </w:r>
    </w:p>
    <w:p w14:paraId="0093E152" w14:textId="77777777" w:rsidR="00604CC9" w:rsidRDefault="00604CC9" w:rsidP="00604CC9">
      <w:pPr>
        <w:numPr>
          <w:ilvl w:val="0"/>
          <w:numId w:val="1"/>
        </w:numPr>
        <w:shd w:val="clear" w:color="auto" w:fill="FFFFFF"/>
        <w:spacing w:after="160" w:line="360" w:lineRule="auto"/>
        <w:jc w:val="both"/>
        <w:rPr>
          <w:rFonts w:ascii="Calibri" w:hAnsi="Calibri"/>
          <w:noProof w:val="0"/>
          <w:rtl/>
        </w:rPr>
      </w:pPr>
      <w:r>
        <w:rPr>
          <w:rFonts w:ascii="Calibri" w:hAnsi="Calibri"/>
          <w:noProof w:val="0"/>
          <w:rtl/>
        </w:rPr>
        <w:t xml:space="preserve">עקרון הלימה הוא העיקרון המנחה בהתאם </w:t>
      </w:r>
      <w:hyperlink r:id="rId18" w:history="1">
        <w:r w:rsidR="00525FC1" w:rsidRPr="00525FC1">
          <w:rPr>
            <w:rStyle w:val="Hyperlink"/>
            <w:rFonts w:ascii="Calibri" w:hAnsi="Calibri" w:hint="eastAsia"/>
            <w:noProof w:val="0"/>
            <w:rtl/>
          </w:rPr>
          <w:t>לסעיף</w:t>
        </w:r>
        <w:r w:rsidR="00525FC1" w:rsidRPr="00525FC1">
          <w:rPr>
            <w:rStyle w:val="Hyperlink"/>
            <w:rFonts w:ascii="Calibri" w:hAnsi="Calibri"/>
            <w:noProof w:val="0"/>
            <w:rtl/>
          </w:rPr>
          <w:t xml:space="preserve"> 40</w:t>
        </w:r>
        <w:r w:rsidR="00525FC1" w:rsidRPr="00525FC1">
          <w:rPr>
            <w:rStyle w:val="Hyperlink"/>
            <w:rFonts w:ascii="Calibri" w:hAnsi="Calibri" w:hint="eastAsia"/>
            <w:noProof w:val="0"/>
            <w:rtl/>
          </w:rPr>
          <w:t>ב</w:t>
        </w:r>
      </w:hyperlink>
      <w:r>
        <w:rPr>
          <w:rFonts w:ascii="Calibri" w:hAnsi="Calibri"/>
          <w:noProof w:val="0"/>
          <w:rtl/>
        </w:rPr>
        <w:t xml:space="preserve"> ל</w:t>
      </w:r>
      <w:hyperlink r:id="rId19" w:history="1">
        <w:r w:rsidR="005C0458" w:rsidRPr="005C0458">
          <w:rPr>
            <w:rFonts w:ascii="Calibri" w:hAnsi="Calibri" w:hint="eastAsia"/>
            <w:noProof w:val="0"/>
            <w:color w:val="0000FF"/>
            <w:u w:val="single"/>
            <w:rtl/>
          </w:rPr>
          <w:t>חוק</w:t>
        </w:r>
        <w:r w:rsidR="005C0458" w:rsidRPr="005C0458">
          <w:rPr>
            <w:rFonts w:ascii="Calibri" w:hAnsi="Calibri"/>
            <w:noProof w:val="0"/>
            <w:color w:val="0000FF"/>
            <w:u w:val="single"/>
            <w:rtl/>
          </w:rPr>
          <w:t xml:space="preserve"> </w:t>
        </w:r>
        <w:r w:rsidR="005C0458" w:rsidRPr="005C0458">
          <w:rPr>
            <w:rFonts w:ascii="Calibri" w:hAnsi="Calibri" w:hint="eastAsia"/>
            <w:noProof w:val="0"/>
            <w:color w:val="0000FF"/>
            <w:u w:val="single"/>
            <w:rtl/>
          </w:rPr>
          <w:t>העונשין</w:t>
        </w:r>
      </w:hyperlink>
      <w:r>
        <w:rPr>
          <w:rFonts w:ascii="Calibri" w:hAnsi="Calibri"/>
          <w:noProof w:val="0"/>
          <w:rtl/>
        </w:rPr>
        <w:t>. בקביעת מתחם העונש ההולם את מעשי העבירות אותן ביצע הנאשם, יתחשב בית המשפט בערך החברתי שנפגע כתוצאה מביצוע העבירות, במידת הפגיעה בו, במדיניות הענישה הנהוגה ובנסיבות הקשורות בביצוע העבירות.</w:t>
      </w:r>
    </w:p>
    <w:p w14:paraId="4437AE6D" w14:textId="77777777" w:rsidR="00604CC9" w:rsidRDefault="005C0458" w:rsidP="00604CC9">
      <w:pPr>
        <w:numPr>
          <w:ilvl w:val="0"/>
          <w:numId w:val="1"/>
        </w:numPr>
        <w:shd w:val="clear" w:color="auto" w:fill="FFFFFF"/>
        <w:spacing w:after="160" w:line="360" w:lineRule="auto"/>
        <w:jc w:val="both"/>
        <w:rPr>
          <w:rFonts w:ascii="Calibri" w:hAnsi="Calibri"/>
          <w:noProof w:val="0"/>
          <w:rtl/>
        </w:rPr>
      </w:pPr>
      <w:hyperlink r:id="rId20" w:history="1">
        <w:r w:rsidRPr="005C0458">
          <w:rPr>
            <w:rFonts w:ascii="Calibri" w:hAnsi="Calibri" w:hint="eastAsia"/>
            <w:noProof w:val="0"/>
            <w:color w:val="0000FF"/>
            <w:u w:val="single"/>
            <w:rtl/>
          </w:rPr>
          <w:t>פקודת</w:t>
        </w:r>
        <w:r w:rsidRPr="005C0458">
          <w:rPr>
            <w:rFonts w:ascii="Calibri" w:hAnsi="Calibri"/>
            <w:noProof w:val="0"/>
            <w:color w:val="0000FF"/>
            <w:u w:val="single"/>
            <w:rtl/>
          </w:rPr>
          <w:t xml:space="preserve"> </w:t>
        </w:r>
        <w:r w:rsidRPr="005C0458">
          <w:rPr>
            <w:rFonts w:ascii="Calibri" w:hAnsi="Calibri" w:hint="eastAsia"/>
            <w:noProof w:val="0"/>
            <w:color w:val="0000FF"/>
            <w:u w:val="single"/>
            <w:rtl/>
          </w:rPr>
          <w:t>הסמים</w:t>
        </w:r>
        <w:r w:rsidRPr="005C0458">
          <w:rPr>
            <w:rFonts w:ascii="Calibri" w:hAnsi="Calibri"/>
            <w:noProof w:val="0"/>
            <w:color w:val="0000FF"/>
            <w:u w:val="single"/>
            <w:rtl/>
          </w:rPr>
          <w:t xml:space="preserve"> </w:t>
        </w:r>
        <w:r w:rsidRPr="005C0458">
          <w:rPr>
            <w:rFonts w:ascii="Calibri" w:hAnsi="Calibri" w:hint="eastAsia"/>
            <w:noProof w:val="0"/>
            <w:color w:val="0000FF"/>
            <w:u w:val="single"/>
            <w:rtl/>
          </w:rPr>
          <w:t>המסוכנים</w:t>
        </w:r>
      </w:hyperlink>
      <w:r w:rsidR="00604CC9">
        <w:rPr>
          <w:rFonts w:ascii="Calibri" w:hAnsi="Calibri"/>
          <w:noProof w:val="0"/>
          <w:rtl/>
        </w:rPr>
        <w:t xml:space="preserve"> נועדה, בכללותה, להגן על ערכים חברתיים של שמירה על בריאותו ושלומו הפיזי והנפשי של הציבור מפני הנזקים הנגרמים כתוצאה משימוש בסמים והשפעתם הממכרת וההרסנית. לצד זאת, קיים הצורך להגן על הציבור מפני נזקים עקיפים הנגרמים כתוצאה מעבריינות הנלווית לשימוש בסמים, ובכלל זה ההגנה על הביטחון האישי ורכוש הציבור </w:t>
      </w:r>
      <w:r w:rsidR="00604CC9">
        <w:rPr>
          <w:noProof w:val="0"/>
          <w:rtl/>
        </w:rPr>
        <w:t>[</w:t>
      </w:r>
      <w:hyperlink r:id="rId21" w:history="1">
        <w:r w:rsidRPr="005C0458">
          <w:rPr>
            <w:noProof w:val="0"/>
            <w:color w:val="0000FF"/>
            <w:u w:val="single"/>
            <w:rtl/>
          </w:rPr>
          <w:t>ע"פ 1274/16</w:t>
        </w:r>
      </w:hyperlink>
      <w:r w:rsidR="00604CC9" w:rsidRPr="00236E18">
        <w:rPr>
          <w:noProof w:val="0"/>
          <w:rtl/>
        </w:rPr>
        <w:t xml:space="preserve"> </w:t>
      </w:r>
      <w:r w:rsidR="00604CC9" w:rsidRPr="00236E18">
        <w:rPr>
          <w:rFonts w:hint="cs"/>
          <w:b/>
          <w:bCs/>
          <w:noProof w:val="0"/>
          <w:rtl/>
        </w:rPr>
        <w:t xml:space="preserve">אסמעא </w:t>
      </w:r>
      <w:r w:rsidR="00604CC9">
        <w:rPr>
          <w:rFonts w:hint="cs"/>
          <w:b/>
          <w:bCs/>
          <w:noProof w:val="0"/>
          <w:rtl/>
        </w:rPr>
        <w:t>עווד נ' מדינת ישראל</w:t>
      </w:r>
      <w:r w:rsidR="00604CC9">
        <w:rPr>
          <w:rFonts w:hint="cs"/>
          <w:noProof w:val="0"/>
          <w:rtl/>
        </w:rPr>
        <w:t xml:space="preserve"> (פורסם בנבו, 6.10.16)].</w:t>
      </w:r>
    </w:p>
    <w:p w14:paraId="272B68D0" w14:textId="77777777" w:rsidR="00604CC9" w:rsidRDefault="00604CC9" w:rsidP="00604CC9">
      <w:pPr>
        <w:numPr>
          <w:ilvl w:val="0"/>
          <w:numId w:val="1"/>
        </w:numPr>
        <w:shd w:val="clear" w:color="auto" w:fill="FFFFFF"/>
        <w:spacing w:after="160" w:line="360" w:lineRule="auto"/>
        <w:jc w:val="both"/>
        <w:rPr>
          <w:rFonts w:ascii="Calibri" w:hAnsi="Calibri"/>
          <w:noProof w:val="0"/>
          <w:rtl/>
        </w:rPr>
      </w:pPr>
      <w:r>
        <w:rPr>
          <w:rFonts w:ascii="Calibri" w:hAnsi="Calibri"/>
          <w:noProof w:val="0"/>
          <w:rtl/>
        </w:rPr>
        <w:t>אין צורך להכביר מילים על חומרתן הרבה של עבירות הסמים, ובראשן עבירות הסחר והפצת הסם, ו</w:t>
      </w:r>
      <w:r>
        <w:rPr>
          <w:rFonts w:ascii="Calibri" w:hAnsi="Calibri" w:hint="cs"/>
          <w:noProof w:val="0"/>
          <w:rtl/>
        </w:rPr>
        <w:t>על</w:t>
      </w:r>
      <w:r>
        <w:rPr>
          <w:rFonts w:ascii="Calibri" w:hAnsi="Calibri"/>
          <w:noProof w:val="0"/>
          <w:rtl/>
        </w:rPr>
        <w:t xml:space="preserve"> הצורך להיאבק בעבירות אלה באמצעות ענישה הולמת [ראו: </w:t>
      </w:r>
      <w:hyperlink r:id="rId22" w:history="1">
        <w:r w:rsidR="005C0458" w:rsidRPr="005C0458">
          <w:rPr>
            <w:rFonts w:ascii="Calibri" w:hAnsi="Calibri" w:hint="eastAsia"/>
            <w:noProof w:val="0"/>
            <w:color w:val="0000FF"/>
            <w:u w:val="single"/>
            <w:rtl/>
          </w:rPr>
          <w:t>ע</w:t>
        </w:r>
        <w:r w:rsidR="005C0458" w:rsidRPr="005C0458">
          <w:rPr>
            <w:rFonts w:ascii="Calibri" w:hAnsi="Calibri"/>
            <w:noProof w:val="0"/>
            <w:color w:val="0000FF"/>
            <w:u w:val="single"/>
            <w:rtl/>
          </w:rPr>
          <w:t>"</w:t>
        </w:r>
        <w:r w:rsidR="005C0458" w:rsidRPr="005C0458">
          <w:rPr>
            <w:rFonts w:ascii="Calibri" w:hAnsi="Calibri" w:hint="eastAsia"/>
            <w:noProof w:val="0"/>
            <w:color w:val="0000FF"/>
            <w:u w:val="single"/>
            <w:rtl/>
          </w:rPr>
          <w:t>פ</w:t>
        </w:r>
        <w:r w:rsidR="005C0458" w:rsidRPr="005C0458">
          <w:rPr>
            <w:rFonts w:ascii="Calibri" w:hAnsi="Calibri"/>
            <w:noProof w:val="0"/>
            <w:color w:val="0000FF"/>
            <w:u w:val="single"/>
            <w:rtl/>
          </w:rPr>
          <w:t xml:space="preserve"> 966/94</w:t>
        </w:r>
      </w:hyperlink>
      <w:r>
        <w:rPr>
          <w:rFonts w:ascii="Calibri" w:hAnsi="Calibri"/>
          <w:noProof w:val="0"/>
          <w:rtl/>
        </w:rPr>
        <w:t xml:space="preserve"> </w:t>
      </w:r>
      <w:r>
        <w:rPr>
          <w:rFonts w:ascii="Calibri" w:hAnsi="Calibri"/>
          <w:b/>
          <w:bCs/>
          <w:noProof w:val="0"/>
          <w:rtl/>
        </w:rPr>
        <w:t>אמזלג נ' מדינת ישראל</w:t>
      </w:r>
      <w:r>
        <w:rPr>
          <w:rFonts w:ascii="Calibri" w:hAnsi="Calibri"/>
          <w:noProof w:val="0"/>
          <w:rtl/>
        </w:rPr>
        <w:t xml:space="preserve"> (פורסם בנבו,12.12.1995); </w:t>
      </w:r>
      <w:hyperlink r:id="rId23" w:history="1">
        <w:r w:rsidR="005C0458" w:rsidRPr="005C0458">
          <w:rPr>
            <w:rFonts w:ascii="Calibri" w:hAnsi="Calibri" w:hint="eastAsia"/>
            <w:noProof w:val="0"/>
            <w:color w:val="0000FF"/>
            <w:u w:val="single"/>
            <w:rtl/>
          </w:rPr>
          <w:t>ע</w:t>
        </w:r>
        <w:r w:rsidR="005C0458" w:rsidRPr="005C0458">
          <w:rPr>
            <w:rFonts w:ascii="Calibri" w:hAnsi="Calibri"/>
            <w:noProof w:val="0"/>
            <w:color w:val="0000FF"/>
            <w:u w:val="single"/>
            <w:rtl/>
          </w:rPr>
          <w:t>"</w:t>
        </w:r>
        <w:r w:rsidR="005C0458" w:rsidRPr="005C0458">
          <w:rPr>
            <w:rFonts w:ascii="Calibri" w:hAnsi="Calibri" w:hint="eastAsia"/>
            <w:noProof w:val="0"/>
            <w:color w:val="0000FF"/>
            <w:u w:val="single"/>
            <w:rtl/>
          </w:rPr>
          <w:t>פ</w:t>
        </w:r>
        <w:r w:rsidR="005C0458" w:rsidRPr="005C0458">
          <w:rPr>
            <w:rFonts w:ascii="Calibri" w:hAnsi="Calibri"/>
            <w:noProof w:val="0"/>
            <w:color w:val="0000FF"/>
            <w:u w:val="single"/>
            <w:rtl/>
          </w:rPr>
          <w:t xml:space="preserve"> 9482/09</w:t>
        </w:r>
      </w:hyperlink>
      <w:r>
        <w:rPr>
          <w:rFonts w:ascii="Calibri" w:hAnsi="Calibri"/>
          <w:noProof w:val="0"/>
          <w:rtl/>
        </w:rPr>
        <w:t xml:space="preserve"> </w:t>
      </w:r>
      <w:r>
        <w:rPr>
          <w:rFonts w:ascii="Calibri" w:hAnsi="Calibri"/>
          <w:b/>
          <w:bCs/>
          <w:noProof w:val="0"/>
          <w:rtl/>
        </w:rPr>
        <w:t>ביטון נ' מדינת ישראל</w:t>
      </w:r>
      <w:r>
        <w:rPr>
          <w:rFonts w:ascii="Calibri" w:hAnsi="Calibri"/>
          <w:noProof w:val="0"/>
          <w:rtl/>
        </w:rPr>
        <w:t xml:space="preserve"> (פורסם בנבו, 24.7.2011); </w:t>
      </w:r>
      <w:hyperlink r:id="rId24" w:history="1">
        <w:r w:rsidR="005C0458" w:rsidRPr="005C0458">
          <w:rPr>
            <w:rFonts w:ascii="Calibri" w:hAnsi="Calibri" w:hint="eastAsia"/>
            <w:noProof w:val="0"/>
            <w:color w:val="0000FF"/>
            <w:u w:val="single"/>
            <w:rtl/>
          </w:rPr>
          <w:t>ע</w:t>
        </w:r>
        <w:r w:rsidR="005C0458" w:rsidRPr="005C0458">
          <w:rPr>
            <w:rFonts w:ascii="Calibri" w:hAnsi="Calibri"/>
            <w:noProof w:val="0"/>
            <w:color w:val="0000FF"/>
            <w:u w:val="single"/>
            <w:rtl/>
          </w:rPr>
          <w:t>"</w:t>
        </w:r>
        <w:r w:rsidR="005C0458" w:rsidRPr="005C0458">
          <w:rPr>
            <w:rFonts w:ascii="Calibri" w:hAnsi="Calibri" w:hint="eastAsia"/>
            <w:noProof w:val="0"/>
            <w:color w:val="0000FF"/>
            <w:u w:val="single"/>
            <w:rtl/>
          </w:rPr>
          <w:t>פ</w:t>
        </w:r>
        <w:r w:rsidR="005C0458" w:rsidRPr="005C0458">
          <w:rPr>
            <w:rFonts w:ascii="Calibri" w:hAnsi="Calibri"/>
            <w:noProof w:val="0"/>
            <w:color w:val="0000FF"/>
            <w:u w:val="single"/>
            <w:rtl/>
          </w:rPr>
          <w:t xml:space="preserve"> 2681/15</w:t>
        </w:r>
      </w:hyperlink>
      <w:r>
        <w:rPr>
          <w:rFonts w:ascii="Calibri" w:hAnsi="Calibri"/>
          <w:noProof w:val="0"/>
          <w:rtl/>
        </w:rPr>
        <w:t xml:space="preserve"> </w:t>
      </w:r>
      <w:r>
        <w:rPr>
          <w:rFonts w:ascii="Calibri" w:hAnsi="Calibri"/>
          <w:b/>
          <w:bCs/>
          <w:noProof w:val="0"/>
          <w:rtl/>
        </w:rPr>
        <w:t>בן שטרית נ' מדינת ישראל</w:t>
      </w:r>
      <w:r>
        <w:rPr>
          <w:rFonts w:ascii="Calibri" w:hAnsi="Calibri"/>
          <w:noProof w:val="0"/>
          <w:rtl/>
        </w:rPr>
        <w:t xml:space="preserve"> (פורסם בנבו, ‏14.2.2016)].</w:t>
      </w:r>
    </w:p>
    <w:p w14:paraId="4760B101" w14:textId="77777777" w:rsidR="00604CC9" w:rsidRDefault="00604CC9" w:rsidP="00604CC9">
      <w:pPr>
        <w:numPr>
          <w:ilvl w:val="0"/>
          <w:numId w:val="1"/>
        </w:numPr>
        <w:shd w:val="clear" w:color="auto" w:fill="FFFFFF"/>
        <w:spacing w:after="160" w:line="360" w:lineRule="auto"/>
        <w:jc w:val="both"/>
        <w:rPr>
          <w:rFonts w:ascii="Calibri" w:hAnsi="Calibri"/>
          <w:noProof w:val="0"/>
        </w:rPr>
      </w:pPr>
      <w:r>
        <w:rPr>
          <w:rFonts w:ascii="Calibri" w:hAnsi="Calibri"/>
          <w:noProof w:val="0"/>
          <w:rtl/>
        </w:rPr>
        <w:t xml:space="preserve">בתי המשפט שבו והדגישו את הצורך להילחם בעבירת סחר בסמים מסוכנים, </w:t>
      </w:r>
      <w:r>
        <w:rPr>
          <w:rFonts w:ascii="Calibri" w:hAnsi="Calibri" w:hint="cs"/>
          <w:noProof w:val="0"/>
          <w:rtl/>
        </w:rPr>
        <w:t>אף</w:t>
      </w:r>
      <w:r>
        <w:rPr>
          <w:rFonts w:ascii="Calibri" w:hAnsi="Calibri"/>
          <w:noProof w:val="0"/>
          <w:rtl/>
        </w:rPr>
        <w:t xml:space="preserve"> כשמדובר בסמים הנחשבים קלים. שוב ושוב, התייחס בית המשפט העליון לסיכון הנשקף מעבירות אלו, שהפכו רעה חולה ועל ההכרח לעצור את התפשטות נגע הסמים בחברה, בין היתר על-ידי השתת ענישה מרתיעה על הנוטלים חלק במערך </w:t>
      </w:r>
      <w:r w:rsidRPr="00236E18">
        <w:rPr>
          <w:rFonts w:ascii="Calibri" w:hAnsi="Calibri"/>
          <w:noProof w:val="0"/>
          <w:rtl/>
        </w:rPr>
        <w:t xml:space="preserve">הפצת הסמים. ראו עוד בהקשר זה: </w:t>
      </w:r>
      <w:hyperlink r:id="rId25" w:history="1">
        <w:r w:rsidR="005C0458" w:rsidRPr="005C0458">
          <w:rPr>
            <w:rFonts w:ascii="Calibri" w:hAnsi="Calibri" w:hint="eastAsia"/>
            <w:noProof w:val="0"/>
            <w:color w:val="0000FF"/>
            <w:u w:val="single"/>
            <w:rtl/>
          </w:rPr>
          <w:t>ע</w:t>
        </w:r>
        <w:r w:rsidR="005C0458" w:rsidRPr="005C0458">
          <w:rPr>
            <w:rFonts w:ascii="Calibri" w:hAnsi="Calibri"/>
            <w:noProof w:val="0"/>
            <w:color w:val="0000FF"/>
            <w:u w:val="single"/>
            <w:rtl/>
          </w:rPr>
          <w:t>"</w:t>
        </w:r>
        <w:r w:rsidR="005C0458" w:rsidRPr="005C0458">
          <w:rPr>
            <w:rFonts w:ascii="Calibri" w:hAnsi="Calibri" w:hint="eastAsia"/>
            <w:noProof w:val="0"/>
            <w:color w:val="0000FF"/>
            <w:u w:val="single"/>
            <w:rtl/>
          </w:rPr>
          <w:t>פ</w:t>
        </w:r>
        <w:r w:rsidR="005C0458" w:rsidRPr="005C0458">
          <w:rPr>
            <w:rFonts w:ascii="Calibri" w:hAnsi="Calibri"/>
            <w:noProof w:val="0"/>
            <w:color w:val="0000FF"/>
            <w:u w:val="single"/>
            <w:rtl/>
          </w:rPr>
          <w:t xml:space="preserve"> 972/11</w:t>
        </w:r>
      </w:hyperlink>
      <w:r w:rsidRPr="00236E18">
        <w:rPr>
          <w:rFonts w:ascii="Calibri" w:hAnsi="Calibri"/>
          <w:noProof w:val="0"/>
          <w:rtl/>
        </w:rPr>
        <w:t xml:space="preserve"> </w:t>
      </w:r>
      <w:r w:rsidRPr="00236E18">
        <w:rPr>
          <w:rFonts w:ascii="Calibri" w:hAnsi="Calibri" w:hint="cs"/>
          <w:b/>
          <w:bCs/>
          <w:noProof w:val="0"/>
          <w:rtl/>
        </w:rPr>
        <w:t>מדינת ישראל נ' יונה</w:t>
      </w:r>
      <w:r w:rsidRPr="00236E18">
        <w:rPr>
          <w:rFonts w:ascii="Calibri" w:hAnsi="Calibri" w:hint="cs"/>
          <w:noProof w:val="0"/>
          <w:rtl/>
        </w:rPr>
        <w:t xml:space="preserve"> (פורסם בנבו, 4.7.12); </w:t>
      </w:r>
      <w:hyperlink r:id="rId26" w:history="1">
        <w:r w:rsidR="005C0458" w:rsidRPr="005C0458">
          <w:rPr>
            <w:rFonts w:ascii="Calibri" w:hAnsi="Calibri" w:hint="eastAsia"/>
            <w:noProof w:val="0"/>
            <w:color w:val="0000FF"/>
            <w:u w:val="single"/>
            <w:rtl/>
          </w:rPr>
          <w:t>ע</w:t>
        </w:r>
        <w:r w:rsidR="005C0458" w:rsidRPr="005C0458">
          <w:rPr>
            <w:rFonts w:ascii="Calibri" w:hAnsi="Calibri"/>
            <w:noProof w:val="0"/>
            <w:color w:val="0000FF"/>
            <w:u w:val="single"/>
            <w:rtl/>
          </w:rPr>
          <w:t>"</w:t>
        </w:r>
        <w:r w:rsidR="005C0458" w:rsidRPr="005C0458">
          <w:rPr>
            <w:rFonts w:ascii="Calibri" w:hAnsi="Calibri" w:hint="eastAsia"/>
            <w:noProof w:val="0"/>
            <w:color w:val="0000FF"/>
            <w:u w:val="single"/>
            <w:rtl/>
          </w:rPr>
          <w:t>פ</w:t>
        </w:r>
        <w:r w:rsidR="005C0458" w:rsidRPr="005C0458">
          <w:rPr>
            <w:rFonts w:ascii="Calibri" w:hAnsi="Calibri"/>
            <w:noProof w:val="0"/>
            <w:color w:val="0000FF"/>
            <w:u w:val="single"/>
            <w:rtl/>
          </w:rPr>
          <w:t xml:space="preserve"> 3117/12</w:t>
        </w:r>
      </w:hyperlink>
      <w:r w:rsidRPr="00236E18">
        <w:rPr>
          <w:rFonts w:ascii="Calibri" w:hAnsi="Calibri"/>
          <w:noProof w:val="0"/>
          <w:rtl/>
        </w:rPr>
        <w:t xml:space="preserve"> </w:t>
      </w:r>
      <w:r w:rsidRPr="00236E18">
        <w:rPr>
          <w:rFonts w:ascii="Calibri" w:hAnsi="Calibri" w:hint="cs"/>
          <w:b/>
          <w:bCs/>
          <w:noProof w:val="0"/>
          <w:rtl/>
        </w:rPr>
        <w:t>ארביב נ' מדינת ישראל</w:t>
      </w:r>
      <w:r w:rsidRPr="00236E18">
        <w:rPr>
          <w:rFonts w:ascii="Calibri" w:hAnsi="Calibri" w:hint="cs"/>
          <w:noProof w:val="0"/>
          <w:rtl/>
        </w:rPr>
        <w:t xml:space="preserve"> (פורסם בנבו, 6.9.12); </w:t>
      </w:r>
      <w:hyperlink r:id="rId27" w:history="1">
        <w:r w:rsidR="005C0458" w:rsidRPr="005C0458">
          <w:rPr>
            <w:rFonts w:ascii="Calibri" w:hAnsi="Calibri" w:hint="eastAsia"/>
            <w:noProof w:val="0"/>
            <w:color w:val="0000FF"/>
            <w:u w:val="single"/>
            <w:rtl/>
          </w:rPr>
          <w:t>ע</w:t>
        </w:r>
        <w:r w:rsidR="005C0458" w:rsidRPr="005C0458">
          <w:rPr>
            <w:rFonts w:ascii="Calibri" w:hAnsi="Calibri"/>
            <w:noProof w:val="0"/>
            <w:color w:val="0000FF"/>
            <w:u w:val="single"/>
            <w:rtl/>
          </w:rPr>
          <w:t>"</w:t>
        </w:r>
        <w:r w:rsidR="005C0458" w:rsidRPr="005C0458">
          <w:rPr>
            <w:rFonts w:ascii="Calibri" w:hAnsi="Calibri" w:hint="eastAsia"/>
            <w:noProof w:val="0"/>
            <w:color w:val="0000FF"/>
            <w:u w:val="single"/>
            <w:rtl/>
          </w:rPr>
          <w:t>פ</w:t>
        </w:r>
        <w:r w:rsidR="005C0458" w:rsidRPr="005C0458">
          <w:rPr>
            <w:rFonts w:ascii="Calibri" w:hAnsi="Calibri"/>
            <w:noProof w:val="0"/>
            <w:color w:val="0000FF"/>
            <w:u w:val="single"/>
            <w:rtl/>
          </w:rPr>
          <w:t xml:space="preserve"> 211/09</w:t>
        </w:r>
      </w:hyperlink>
      <w:r w:rsidRPr="00236E18">
        <w:rPr>
          <w:rFonts w:ascii="Calibri" w:hAnsi="Calibri"/>
          <w:noProof w:val="0"/>
          <w:rtl/>
        </w:rPr>
        <w:t xml:space="preserve"> </w:t>
      </w:r>
      <w:r w:rsidRPr="00236E18">
        <w:rPr>
          <w:rFonts w:ascii="Calibri" w:hAnsi="Calibri" w:hint="cs"/>
          <w:b/>
          <w:bCs/>
          <w:noProof w:val="0"/>
          <w:rtl/>
        </w:rPr>
        <w:t>אזולאי נגד מדינת ישראל</w:t>
      </w:r>
      <w:r w:rsidRPr="00236E18">
        <w:rPr>
          <w:rFonts w:ascii="Calibri" w:hAnsi="Calibri" w:hint="cs"/>
          <w:noProof w:val="0"/>
          <w:rtl/>
        </w:rPr>
        <w:t xml:space="preserve"> (פורסם בנבו, 22.6.10); </w:t>
      </w:r>
      <w:hyperlink r:id="rId28" w:history="1">
        <w:r w:rsidR="005C0458" w:rsidRPr="005C0458">
          <w:rPr>
            <w:rFonts w:ascii="Calibri" w:hAnsi="Calibri" w:hint="eastAsia"/>
            <w:noProof w:val="0"/>
            <w:color w:val="0000FF"/>
            <w:u w:val="single"/>
            <w:rtl/>
          </w:rPr>
          <w:t>ע</w:t>
        </w:r>
        <w:r w:rsidR="005C0458" w:rsidRPr="005C0458">
          <w:rPr>
            <w:rFonts w:ascii="Calibri" w:hAnsi="Calibri"/>
            <w:noProof w:val="0"/>
            <w:color w:val="0000FF"/>
            <w:u w:val="single"/>
            <w:rtl/>
          </w:rPr>
          <w:t>"</w:t>
        </w:r>
        <w:r w:rsidR="005C0458" w:rsidRPr="005C0458">
          <w:rPr>
            <w:rFonts w:ascii="Calibri" w:hAnsi="Calibri" w:hint="eastAsia"/>
            <w:noProof w:val="0"/>
            <w:color w:val="0000FF"/>
            <w:u w:val="single"/>
            <w:rtl/>
          </w:rPr>
          <w:t>פ</w:t>
        </w:r>
        <w:r w:rsidR="005C0458" w:rsidRPr="005C0458">
          <w:rPr>
            <w:rFonts w:ascii="Calibri" w:hAnsi="Calibri"/>
            <w:noProof w:val="0"/>
            <w:color w:val="0000FF"/>
            <w:u w:val="single"/>
            <w:rtl/>
          </w:rPr>
          <w:t xml:space="preserve"> 1987/15</w:t>
        </w:r>
      </w:hyperlink>
      <w:r w:rsidRPr="00236E18">
        <w:rPr>
          <w:rFonts w:ascii="Calibri" w:hAnsi="Calibri"/>
          <w:noProof w:val="0"/>
          <w:rtl/>
        </w:rPr>
        <w:t xml:space="preserve"> </w:t>
      </w:r>
      <w:r w:rsidRPr="00236E18">
        <w:rPr>
          <w:rFonts w:ascii="Calibri" w:hAnsi="Calibri" w:hint="cs"/>
          <w:b/>
          <w:bCs/>
          <w:noProof w:val="0"/>
          <w:rtl/>
        </w:rPr>
        <w:t>דורי נגד מדינת ישראל</w:t>
      </w:r>
      <w:r w:rsidRPr="00236E18">
        <w:rPr>
          <w:rFonts w:ascii="Calibri" w:hAnsi="Calibri" w:hint="cs"/>
          <w:noProof w:val="0"/>
          <w:rtl/>
        </w:rPr>
        <w:t xml:space="preserve"> (פורסם בנבו, 17.08.15); </w:t>
      </w:r>
      <w:hyperlink r:id="rId29" w:history="1">
        <w:r w:rsidR="005C0458" w:rsidRPr="005C0458">
          <w:rPr>
            <w:rFonts w:ascii="Calibri" w:hAnsi="Calibri" w:hint="eastAsia"/>
            <w:noProof w:val="0"/>
            <w:color w:val="0000FF"/>
            <w:u w:val="single"/>
            <w:rtl/>
          </w:rPr>
          <w:t>ע</w:t>
        </w:r>
        <w:r w:rsidR="005C0458" w:rsidRPr="005C0458">
          <w:rPr>
            <w:rFonts w:ascii="Calibri" w:hAnsi="Calibri"/>
            <w:noProof w:val="0"/>
            <w:color w:val="0000FF"/>
            <w:u w:val="single"/>
            <w:rtl/>
          </w:rPr>
          <w:t>"</w:t>
        </w:r>
        <w:r w:rsidR="005C0458" w:rsidRPr="005C0458">
          <w:rPr>
            <w:rFonts w:ascii="Calibri" w:hAnsi="Calibri" w:hint="eastAsia"/>
            <w:noProof w:val="0"/>
            <w:color w:val="0000FF"/>
            <w:u w:val="single"/>
            <w:rtl/>
          </w:rPr>
          <w:t>פ</w:t>
        </w:r>
        <w:r w:rsidR="005C0458" w:rsidRPr="005C0458">
          <w:rPr>
            <w:rFonts w:ascii="Calibri" w:hAnsi="Calibri"/>
            <w:noProof w:val="0"/>
            <w:color w:val="0000FF"/>
            <w:u w:val="single"/>
            <w:rtl/>
          </w:rPr>
          <w:t xml:space="preserve"> 6029/03</w:t>
        </w:r>
      </w:hyperlink>
      <w:r w:rsidRPr="005C0458">
        <w:rPr>
          <w:rFonts w:ascii="Calibri" w:hAnsi="Calibri"/>
          <w:noProof w:val="0"/>
          <w:color w:val="000000"/>
          <w:rtl/>
        </w:rPr>
        <w:t xml:space="preserve"> </w:t>
      </w:r>
      <w:r w:rsidRPr="005C0458">
        <w:rPr>
          <w:rFonts w:ascii="Calibri" w:hAnsi="Calibri"/>
          <w:b/>
          <w:bCs/>
          <w:noProof w:val="0"/>
          <w:color w:val="000000"/>
          <w:rtl/>
        </w:rPr>
        <w:t>מדינת ישראל נ' שמאי</w:t>
      </w:r>
      <w:r w:rsidRPr="005C0458">
        <w:rPr>
          <w:rFonts w:ascii="Calibri" w:hAnsi="Calibri"/>
          <w:noProof w:val="0"/>
          <w:color w:val="000000"/>
          <w:rtl/>
        </w:rPr>
        <w:t>, פ"ד נח</w:t>
      </w:r>
      <w:r w:rsidRPr="00236E18">
        <w:rPr>
          <w:rFonts w:ascii="Calibri" w:hAnsi="Calibri"/>
          <w:noProof w:val="0"/>
          <w:rtl/>
        </w:rPr>
        <w:t xml:space="preserve"> (2) 734 (9.2.04); </w:t>
      </w:r>
      <w:hyperlink r:id="rId30" w:history="1">
        <w:r w:rsidR="005C0458" w:rsidRPr="005C0458">
          <w:rPr>
            <w:rFonts w:ascii="Calibri" w:hAnsi="Calibri" w:hint="eastAsia"/>
            <w:noProof w:val="0"/>
            <w:color w:val="0000FF"/>
            <w:u w:val="single"/>
            <w:rtl/>
          </w:rPr>
          <w:t>ע</w:t>
        </w:r>
        <w:r w:rsidR="005C0458" w:rsidRPr="005C0458">
          <w:rPr>
            <w:rFonts w:ascii="Calibri" w:hAnsi="Calibri"/>
            <w:noProof w:val="0"/>
            <w:color w:val="0000FF"/>
            <w:u w:val="single"/>
            <w:rtl/>
          </w:rPr>
          <w:t>"</w:t>
        </w:r>
        <w:r w:rsidR="005C0458" w:rsidRPr="005C0458">
          <w:rPr>
            <w:rFonts w:ascii="Calibri" w:hAnsi="Calibri" w:hint="eastAsia"/>
            <w:noProof w:val="0"/>
            <w:color w:val="0000FF"/>
            <w:u w:val="single"/>
            <w:rtl/>
          </w:rPr>
          <w:t>פ</w:t>
        </w:r>
        <w:r w:rsidR="005C0458" w:rsidRPr="005C0458">
          <w:rPr>
            <w:rFonts w:ascii="Calibri" w:hAnsi="Calibri"/>
            <w:noProof w:val="0"/>
            <w:color w:val="0000FF"/>
            <w:u w:val="single"/>
            <w:rtl/>
          </w:rPr>
          <w:t xml:space="preserve"> 6021/95</w:t>
        </w:r>
      </w:hyperlink>
      <w:r w:rsidRPr="00236E18">
        <w:rPr>
          <w:rFonts w:ascii="Calibri" w:hAnsi="Calibri"/>
          <w:noProof w:val="0"/>
          <w:rtl/>
        </w:rPr>
        <w:t xml:space="preserve">, 4998/95, 5267/95, 5313/95 </w:t>
      </w:r>
      <w:r w:rsidRPr="00236E18">
        <w:rPr>
          <w:rFonts w:ascii="Calibri" w:hAnsi="Calibri"/>
          <w:b/>
          <w:bCs/>
          <w:noProof w:val="0"/>
          <w:rtl/>
        </w:rPr>
        <w:t xml:space="preserve">מדינת ישראל נ' גומז </w:t>
      </w:r>
      <w:r w:rsidRPr="00236E18">
        <w:rPr>
          <w:rFonts w:ascii="Calibri" w:hAnsi="Calibri"/>
          <w:noProof w:val="0"/>
          <w:rtl/>
        </w:rPr>
        <w:t xml:space="preserve">(פורסם בנבו, 31.7.97); </w:t>
      </w:r>
      <w:hyperlink r:id="rId31" w:history="1">
        <w:r w:rsidR="005C0458" w:rsidRPr="005C0458">
          <w:rPr>
            <w:rFonts w:ascii="Calibri" w:hAnsi="Calibri" w:hint="eastAsia"/>
            <w:noProof w:val="0"/>
            <w:color w:val="0000FF"/>
            <w:u w:val="single"/>
            <w:rtl/>
          </w:rPr>
          <w:t>ע</w:t>
        </w:r>
        <w:r w:rsidR="005C0458" w:rsidRPr="005C0458">
          <w:rPr>
            <w:rFonts w:ascii="Calibri" w:hAnsi="Calibri"/>
            <w:noProof w:val="0"/>
            <w:color w:val="0000FF"/>
            <w:u w:val="single"/>
            <w:rtl/>
          </w:rPr>
          <w:t>"</w:t>
        </w:r>
        <w:r w:rsidR="005C0458" w:rsidRPr="005C0458">
          <w:rPr>
            <w:rFonts w:ascii="Calibri" w:hAnsi="Calibri" w:hint="eastAsia"/>
            <w:noProof w:val="0"/>
            <w:color w:val="0000FF"/>
            <w:u w:val="single"/>
            <w:rtl/>
          </w:rPr>
          <w:t>פ</w:t>
        </w:r>
        <w:r w:rsidR="005C0458" w:rsidRPr="005C0458">
          <w:rPr>
            <w:rFonts w:ascii="Calibri" w:hAnsi="Calibri"/>
            <w:noProof w:val="0"/>
            <w:color w:val="0000FF"/>
            <w:u w:val="single"/>
            <w:rtl/>
          </w:rPr>
          <w:t xml:space="preserve"> 575/88</w:t>
        </w:r>
      </w:hyperlink>
      <w:r w:rsidRPr="005C0458">
        <w:rPr>
          <w:rFonts w:ascii="Calibri" w:hAnsi="Calibri"/>
          <w:noProof w:val="0"/>
          <w:color w:val="000000"/>
          <w:rtl/>
        </w:rPr>
        <w:t xml:space="preserve"> </w:t>
      </w:r>
      <w:r w:rsidRPr="005C0458">
        <w:rPr>
          <w:rFonts w:ascii="Calibri" w:hAnsi="Calibri"/>
          <w:b/>
          <w:bCs/>
          <w:noProof w:val="0"/>
          <w:color w:val="000000"/>
          <w:rtl/>
        </w:rPr>
        <w:t>עודה נ' מדינת ישראל</w:t>
      </w:r>
      <w:r w:rsidRPr="005C0458">
        <w:rPr>
          <w:rFonts w:ascii="Calibri" w:hAnsi="Calibri"/>
          <w:noProof w:val="0"/>
          <w:color w:val="000000"/>
          <w:rtl/>
        </w:rPr>
        <w:t>, פ"ד מב</w:t>
      </w:r>
      <w:r w:rsidRPr="00236E18">
        <w:rPr>
          <w:rFonts w:ascii="Calibri" w:hAnsi="Calibri"/>
          <w:noProof w:val="0"/>
          <w:rtl/>
        </w:rPr>
        <w:t xml:space="preserve"> (4) 242 (11.12.88).</w:t>
      </w:r>
    </w:p>
    <w:p w14:paraId="63734B1A" w14:textId="77777777" w:rsidR="00604CC9" w:rsidRDefault="00604CC9" w:rsidP="00604CC9">
      <w:pPr>
        <w:numPr>
          <w:ilvl w:val="0"/>
          <w:numId w:val="1"/>
        </w:numPr>
        <w:shd w:val="clear" w:color="auto" w:fill="FFFFFF"/>
        <w:spacing w:after="160" w:line="360" w:lineRule="auto"/>
        <w:jc w:val="both"/>
        <w:rPr>
          <w:rFonts w:ascii="Calibri" w:hAnsi="Calibri"/>
          <w:noProof w:val="0"/>
          <w:rtl/>
        </w:rPr>
      </w:pPr>
      <w:r>
        <w:rPr>
          <w:rFonts w:ascii="Calibri" w:hAnsi="Calibri"/>
          <w:noProof w:val="0"/>
          <w:rtl/>
        </w:rPr>
        <w:t xml:space="preserve">יפים לענייננו הדברים שנכתבו ברע"פ 6373/06 </w:t>
      </w:r>
      <w:r>
        <w:rPr>
          <w:rFonts w:ascii="Calibri" w:hAnsi="Calibri"/>
          <w:b/>
          <w:bCs/>
          <w:noProof w:val="0"/>
          <w:rtl/>
        </w:rPr>
        <w:t xml:space="preserve">מדינת ישראל נ' אלנשמי </w:t>
      </w:r>
      <w:r>
        <w:rPr>
          <w:rFonts w:ascii="Miriam" w:hAnsi="Miriam"/>
          <w:noProof w:val="0"/>
          <w:rtl/>
        </w:rPr>
        <w:t>(</w:t>
      </w:r>
      <w:r>
        <w:rPr>
          <w:rFonts w:ascii="Calibri" w:hAnsi="Calibri"/>
          <w:noProof w:val="0"/>
          <w:rtl/>
        </w:rPr>
        <w:t>פורסם בנבו, 6.9.06), שם פסק בית המשפט העליון כי:</w:t>
      </w:r>
      <w:r>
        <w:rPr>
          <w:rFonts w:ascii="Calibri" w:hAnsi="Calibri"/>
          <w:b/>
          <w:bCs/>
          <w:noProof w:val="0"/>
          <w:rtl/>
        </w:rPr>
        <w:t xml:space="preserve"> "כאשר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בסם. הסחר בסמים מסוכנים הינו אמצעי קל ונח לעשיית רווחים נכבדים. ענישתם של מי שסחרו בסמים מסוכנים צריכה ליתן מענה גם לפיתוי זה ובמילים אחרות- על מי אשר שוקל לש</w:t>
      </w:r>
      <w:bookmarkStart w:id="9" w:name="Seif23"/>
      <w:r>
        <w:rPr>
          <w:rFonts w:ascii="Calibri" w:hAnsi="Calibri"/>
          <w:b/>
          <w:bCs/>
          <w:noProof w:val="0"/>
          <w:rtl/>
        </w:rPr>
        <w:t xml:space="preserve">לוח ידו </w:t>
      </w:r>
      <w:bookmarkEnd w:id="9"/>
      <w:r>
        <w:rPr>
          <w:rFonts w:ascii="Calibri" w:hAnsi="Calibri"/>
          <w:b/>
          <w:bCs/>
          <w:noProof w:val="0"/>
          <w:rtl/>
        </w:rPr>
        <w:t>בסחר בסמים להעמיד לנגד עיניו לא רק את הפיתוי לשלשל לכיסו סכומי כסף נכבדים, אלא את הסיכון של שהיה ממושכת מאחורי סורג ובריח".</w:t>
      </w:r>
    </w:p>
    <w:p w14:paraId="5915192F" w14:textId="77777777" w:rsidR="00604CC9" w:rsidRDefault="00604CC9" w:rsidP="00604CC9">
      <w:pPr>
        <w:numPr>
          <w:ilvl w:val="0"/>
          <w:numId w:val="1"/>
        </w:numPr>
        <w:shd w:val="clear" w:color="auto" w:fill="FFFFFF"/>
        <w:spacing w:after="160" w:line="360" w:lineRule="auto"/>
        <w:jc w:val="both"/>
        <w:rPr>
          <w:rFonts w:ascii="Calibri" w:hAnsi="Calibri"/>
          <w:noProof w:val="0"/>
        </w:rPr>
      </w:pPr>
      <w:r>
        <w:rPr>
          <w:rFonts w:ascii="Calibri" w:hAnsi="Calibri"/>
          <w:noProof w:val="0"/>
          <w:rtl/>
        </w:rPr>
        <w:t xml:space="preserve">עוד אפנה בהקשר זה </w:t>
      </w:r>
      <w:r w:rsidRPr="005C0458">
        <w:rPr>
          <w:rFonts w:ascii="FrankRuehl" w:hAnsi="FrankRuehl"/>
          <w:noProof w:val="0"/>
          <w:color w:val="000000"/>
          <w:rtl/>
        </w:rPr>
        <w:t>ל</w:t>
      </w:r>
      <w:hyperlink r:id="rId32" w:history="1">
        <w:r w:rsidR="005C0458" w:rsidRPr="005C0458">
          <w:rPr>
            <w:rFonts w:ascii="FrankRuehl" w:hAnsi="FrankRuehl"/>
            <w:noProof w:val="0"/>
            <w:color w:val="0000FF"/>
            <w:u w:val="single"/>
            <w:rtl/>
          </w:rPr>
          <w:t>רע"פ 3443/07</w:t>
        </w:r>
      </w:hyperlink>
      <w:r w:rsidRPr="005C0458">
        <w:rPr>
          <w:rFonts w:ascii="FrankRuehl" w:hAnsi="FrankRuehl"/>
          <w:noProof w:val="0"/>
          <w:color w:val="000000"/>
          <w:rtl/>
        </w:rPr>
        <w:t xml:space="preserve"> </w:t>
      </w:r>
      <w:r w:rsidRPr="00236E18">
        <w:rPr>
          <w:rFonts w:ascii="FrankRuehl" w:hAnsi="FrankRuehl"/>
          <w:b/>
          <w:bCs/>
          <w:noProof w:val="0"/>
          <w:rtl/>
        </w:rPr>
        <w:t>מכאוי</w:t>
      </w:r>
      <w:r w:rsidRPr="00236E18">
        <w:rPr>
          <w:rFonts w:ascii="FrankRuehl" w:hAnsi="FrankRuehl"/>
          <w:noProof w:val="0"/>
          <w:rtl/>
        </w:rPr>
        <w:t xml:space="preserve"> </w:t>
      </w:r>
      <w:r>
        <w:rPr>
          <w:rFonts w:ascii="FrankRuehl" w:hAnsi="FrankRuehl"/>
          <w:b/>
          <w:bCs/>
          <w:noProof w:val="0"/>
          <w:rtl/>
        </w:rPr>
        <w:t>נ' מ"י</w:t>
      </w:r>
      <w:r>
        <w:rPr>
          <w:rFonts w:ascii="FrankRuehl" w:hAnsi="FrankRuehl"/>
          <w:noProof w:val="0"/>
          <w:rtl/>
        </w:rPr>
        <w:t xml:space="preserve"> (פורסם בנבו, 26.7.07) שם נקבע כי: </w:t>
      </w:r>
      <w:r>
        <w:rPr>
          <w:rFonts w:ascii="FrankRuehl" w:hAnsi="FrankRuehl"/>
          <w:b/>
          <w:bCs/>
          <w:noProof w:val="0"/>
          <w:rtl/>
        </w:rPr>
        <w:t>"כאשר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אומללות למשפחותיהם".</w:t>
      </w:r>
    </w:p>
    <w:p w14:paraId="1973F9C4" w14:textId="77777777" w:rsidR="00604CC9" w:rsidRPr="00440A50" w:rsidRDefault="00604CC9" w:rsidP="00604CC9">
      <w:pPr>
        <w:numPr>
          <w:ilvl w:val="0"/>
          <w:numId w:val="1"/>
        </w:numPr>
        <w:shd w:val="clear" w:color="auto" w:fill="FFFFFF"/>
        <w:spacing w:after="160" w:line="360" w:lineRule="auto"/>
        <w:jc w:val="both"/>
        <w:rPr>
          <w:rFonts w:ascii="FrankRuehl" w:hAnsi="FrankRuehl"/>
          <w:noProof w:val="0"/>
        </w:rPr>
      </w:pPr>
      <w:r>
        <w:rPr>
          <w:rFonts w:ascii="FrankRuehl" w:hAnsi="FrankRuehl"/>
          <w:noProof w:val="0"/>
          <w:rtl/>
        </w:rPr>
        <w:t xml:space="preserve">בענייננו, </w:t>
      </w:r>
      <w:r>
        <w:rPr>
          <w:noProof w:val="0"/>
          <w:rtl/>
        </w:rPr>
        <w:t>במעשיו פגע הנאשם בערכים חברתיים מוגנים כאמור.</w:t>
      </w:r>
      <w:r>
        <w:rPr>
          <w:rFonts w:ascii="FrankRuehl" w:hAnsi="FrankRuehl"/>
          <w:noProof w:val="0"/>
          <w:rtl/>
        </w:rPr>
        <w:t xml:space="preserve"> </w:t>
      </w:r>
      <w:r>
        <w:rPr>
          <w:rFonts w:ascii="David" w:hAnsi="David"/>
          <w:color w:val="000000"/>
          <w:rtl/>
        </w:rPr>
        <w:t>בחינת</w:t>
      </w:r>
      <w:r w:rsidR="005C0458">
        <w:rPr>
          <w:rFonts w:ascii="David" w:hAnsi="David"/>
          <w:color w:val="000000"/>
          <w:rtl/>
        </w:rPr>
        <w:t xml:space="preserve"> </w:t>
      </w:r>
      <w:r>
        <w:rPr>
          <w:rFonts w:ascii="David" w:hAnsi="David"/>
          <w:b/>
          <w:bCs/>
          <w:color w:val="000000"/>
          <w:rtl/>
        </w:rPr>
        <w:t xml:space="preserve">מידת הפגיעה בערך </w:t>
      </w:r>
      <w:r>
        <w:rPr>
          <w:rFonts w:ascii="David" w:hAnsi="David"/>
          <w:color w:val="000000"/>
          <w:rtl/>
        </w:rPr>
        <w:t>המוגן</w:t>
      </w:r>
      <w:r w:rsidR="005C0458">
        <w:rPr>
          <w:rFonts w:ascii="David" w:hAnsi="David"/>
          <w:color w:val="000000"/>
          <w:rtl/>
        </w:rPr>
        <w:t xml:space="preserve"> </w:t>
      </w:r>
      <w:r>
        <w:rPr>
          <w:rFonts w:ascii="David" w:hAnsi="David"/>
          <w:color w:val="000000"/>
          <w:rtl/>
        </w:rPr>
        <w:t>מובילה למסקנה כי הפגיעה בערך המוגן היא ברף הבינוני, בשים לב לכך שמחד גיסא -  אין המדובר במעידה חד - פעמית, אלא במעורבות הנאשם בחמש עסקאות של סחר בסם עם 3 קונים שונים, האחד קטין</w:t>
      </w:r>
      <w:r>
        <w:rPr>
          <w:rFonts w:ascii="FrankRuehl" w:hAnsi="FrankRuehl"/>
          <w:noProof w:val="0"/>
          <w:rtl/>
        </w:rPr>
        <w:t xml:space="preserve">, ומאידך גיסא - מדובר במכירת כמויות קטנות בכל עסקה של סם מסוג קנבוס שאינו מן הקשים שבסמים, </w:t>
      </w:r>
      <w:r w:rsidRPr="00604CC9">
        <w:rPr>
          <w:rFonts w:ascii="Calibri" w:hAnsi="Calibri"/>
          <w:noProof w:val="0"/>
          <w:rtl/>
        </w:rPr>
        <w:t>ובתמורה כספית מועטה יחסית</w:t>
      </w:r>
      <w:r>
        <w:rPr>
          <w:rFonts w:ascii="FrankRuehl" w:hAnsi="FrankRuehl"/>
          <w:noProof w:val="0"/>
          <w:rtl/>
        </w:rPr>
        <w:t>.</w:t>
      </w:r>
    </w:p>
    <w:p w14:paraId="114197F1" w14:textId="77777777" w:rsidR="00604CC9" w:rsidRDefault="00604CC9" w:rsidP="00604CC9">
      <w:pPr>
        <w:numPr>
          <w:ilvl w:val="0"/>
          <w:numId w:val="1"/>
        </w:numPr>
        <w:shd w:val="clear" w:color="auto" w:fill="FFFFFF"/>
        <w:spacing w:after="160" w:line="360" w:lineRule="auto"/>
        <w:jc w:val="both"/>
        <w:rPr>
          <w:rtl/>
        </w:rPr>
      </w:pPr>
      <w:r>
        <w:rPr>
          <w:rFonts w:ascii="David" w:hAnsi="David"/>
          <w:color w:val="000000"/>
          <w:rtl/>
        </w:rPr>
        <w:t>במסגרת</w:t>
      </w:r>
      <w:r w:rsidR="005C0458">
        <w:rPr>
          <w:rFonts w:ascii="David" w:hAnsi="David"/>
          <w:color w:val="000000"/>
          <w:rtl/>
        </w:rPr>
        <w:t xml:space="preserve"> </w:t>
      </w:r>
      <w:r>
        <w:rPr>
          <w:rFonts w:ascii="David" w:hAnsi="David"/>
          <w:b/>
          <w:bCs/>
          <w:color w:val="000000"/>
          <w:rtl/>
        </w:rPr>
        <w:t>הנסיבות הקשורות בביצוע העבירה</w:t>
      </w:r>
      <w:r w:rsidR="005C0458">
        <w:rPr>
          <w:rFonts w:ascii="David" w:hAnsi="David"/>
          <w:b/>
          <w:bCs/>
          <w:color w:val="000000"/>
          <w:rtl/>
        </w:rPr>
        <w:t xml:space="preserve"> </w:t>
      </w:r>
      <w:r>
        <w:rPr>
          <w:rFonts w:ascii="David" w:hAnsi="David"/>
          <w:color w:val="000000"/>
          <w:rtl/>
        </w:rPr>
        <w:t>(סעף 40 ט' ל</w:t>
      </w:r>
      <w:hyperlink r:id="rId33" w:history="1">
        <w:r w:rsidR="005C0458" w:rsidRPr="005C0458">
          <w:rPr>
            <w:rFonts w:ascii="David" w:hAnsi="David"/>
            <w:color w:val="0000FF"/>
            <w:u w:val="single"/>
            <w:rtl/>
          </w:rPr>
          <w:t>חוק העונשין</w:t>
        </w:r>
      </w:hyperlink>
      <w:r>
        <w:rPr>
          <w:rFonts w:ascii="David" w:hAnsi="David"/>
          <w:color w:val="000000"/>
          <w:rtl/>
        </w:rPr>
        <w:t xml:space="preserve">), יש ליתן את הדעת </w:t>
      </w:r>
      <w:r>
        <w:rPr>
          <w:rFonts w:ascii="Calibri" w:hAnsi="Calibri"/>
          <w:noProof w:val="0"/>
          <w:rtl/>
        </w:rPr>
        <w:t>לתכנון המוקדם שליווה את העבירות</w:t>
      </w:r>
      <w:r>
        <w:rPr>
          <w:rFonts w:ascii="FrankRuehl" w:hAnsi="FrankRuehl"/>
          <w:noProof w:val="0"/>
          <w:rtl/>
        </w:rPr>
        <w:t xml:space="preserve">. </w:t>
      </w:r>
      <w:r>
        <w:rPr>
          <w:rFonts w:ascii="David" w:hAnsi="David"/>
          <w:color w:val="000000"/>
          <w:rtl/>
        </w:rPr>
        <w:t>הנאשם מכר סם מסוכן מסוג קנבוס ב - 5 הזדמנויות, עובדה המלמדת על היערכות מצידו להספקת הסם</w:t>
      </w:r>
      <w:r>
        <w:rPr>
          <w:rtl/>
        </w:rPr>
        <w:t xml:space="preserve">. העסקאות נעשו </w:t>
      </w:r>
      <w:r>
        <w:rPr>
          <w:rFonts w:hint="cs"/>
          <w:rtl/>
        </w:rPr>
        <w:t xml:space="preserve">לאחר </w:t>
      </w:r>
      <w:r>
        <w:rPr>
          <w:rtl/>
        </w:rPr>
        <w:t xml:space="preserve">תיאום טלפוני </w:t>
      </w:r>
      <w:r>
        <w:rPr>
          <w:rFonts w:hint="cs"/>
          <w:rtl/>
        </w:rPr>
        <w:t>עובר</w:t>
      </w:r>
      <w:r>
        <w:rPr>
          <w:rtl/>
        </w:rPr>
        <w:t xml:space="preserve"> לביצוען, כך שאין מדובר בעבירות אקראיות. עוד נתתי דעתי לעובדה כי הנאשם הורשע במכירת סם לרוכשים שהם אינם סוכן משטרתי, ואשר הנאשם סיכן את בריאותם</w:t>
      </w:r>
      <w:r>
        <w:rPr>
          <w:rFonts w:ascii="David" w:hAnsi="David"/>
          <w:color w:val="000000"/>
          <w:rtl/>
        </w:rPr>
        <w:t>. העובדה ששתיים מהעסקאות בוצעו עם קטין אשר הפגיעה של הסמים בו קשה מן הרגיל, מהווה פן חומרה נוסף</w:t>
      </w:r>
      <w:r>
        <w:rPr>
          <w:rtl/>
        </w:rPr>
        <w:t xml:space="preserve">. הנזק שנגרם כתוצאה ממעשיו של הנאשם הוא הפצת נגע הסמים בחברה, ופוטנציאל נזק בריאותי לציבור המשתמשים, בפרט לציבור הקטינים ולעלייה בפשיעה. </w:t>
      </w:r>
    </w:p>
    <w:p w14:paraId="1C6EB3D2" w14:textId="77777777" w:rsidR="00604CC9" w:rsidRDefault="00604CC9" w:rsidP="00604CC9">
      <w:pPr>
        <w:shd w:val="clear" w:color="auto" w:fill="FFFFFF"/>
        <w:spacing w:after="160" w:line="360" w:lineRule="auto"/>
        <w:ind w:left="360"/>
        <w:jc w:val="both"/>
        <w:rPr>
          <w:rtl/>
        </w:rPr>
      </w:pPr>
      <w:r>
        <w:rPr>
          <w:rFonts w:ascii="David" w:hAnsi="David"/>
          <w:b/>
          <w:bCs/>
          <w:color w:val="000000"/>
          <w:rtl/>
        </w:rPr>
        <w:t>מנגד</w:t>
      </w:r>
      <w:r>
        <w:rPr>
          <w:rFonts w:ascii="David" w:hAnsi="David"/>
          <w:color w:val="000000"/>
          <w:rtl/>
        </w:rPr>
        <w:t>, יש לתת את הדעת לסוג הסם ולכמות הקטנה שנמכרה בכל עסקה (1 עד 3 גרם בעסקאות נשוא האישומים הראשון והשלישי ו-5 גרם בעסקה נשוא האישום השני), כמו גם למספר</w:t>
      </w:r>
      <w:r>
        <w:rPr>
          <w:rFonts w:ascii="FrankRuehl" w:hAnsi="FrankRuehl"/>
          <w:noProof w:val="0"/>
          <w:rtl/>
        </w:rPr>
        <w:t xml:space="preserve"> הקונים הקטן יחסית (שלושה קונים), ולתקופה הקצרה יחסית שבמהלכה בוצעו העסקאות.</w:t>
      </w:r>
      <w:r>
        <w:rPr>
          <w:rtl/>
        </w:rPr>
        <w:t xml:space="preserve"> יצוין כי על פי המתואר בעובדות האישום השלישי של כתב האישום המתוקן, בעת ביצוע העבירות היה הקטין יליד 2003, קרי - קרוב לגיל 18, ונמכר לו סם מסוג קנבוס, בשתי הזדמנויות, במשקל 1 – 3 גרם בכל עסקה. מבלי להקל ראש בחומרת העבירות, נתתי דעתי לגיל הקטין, למספר העסקאות שנעשו עימו ולכמויות הקטנות שנמכרו בכל עסקה.</w:t>
      </w:r>
    </w:p>
    <w:p w14:paraId="5DF54CC3" w14:textId="77777777" w:rsidR="00604CC9" w:rsidRDefault="00604CC9" w:rsidP="00604CC9">
      <w:pPr>
        <w:pStyle w:val="a9"/>
        <w:numPr>
          <w:ilvl w:val="0"/>
          <w:numId w:val="1"/>
        </w:numPr>
        <w:shd w:val="clear" w:color="auto" w:fill="FFFFFF"/>
        <w:spacing w:after="160" w:line="360" w:lineRule="auto"/>
        <w:jc w:val="both"/>
        <w:rPr>
          <w:rtl/>
        </w:rPr>
      </w:pPr>
      <w:r>
        <w:rPr>
          <w:rtl/>
        </w:rPr>
        <w:t xml:space="preserve">מדיניות הענישה הנוהגת בעבירות של הספקה וסחר בסם מסוכן מסוג קנבוס (או סמים אחרים שאינם נמנים על הסמים המוגדרים כקשים) היא רחבה ומושפעת  מנסיבותיו הייחודיות של כל מקרה. מנעד הענישה נגזר, בין היתר, מהיקף הסחר בסמים, סוג הסם, כמות הסם הנמכר, התמורה הכספית, מספר הקונים באבחנה בין מכירת סם לבגיר או קטין,  פרק הזמן שבו בוצעו העסקאות, וכיוצ"ב. </w:t>
      </w:r>
      <w:r>
        <w:rPr>
          <w:rFonts w:ascii="Calibri" w:hAnsi="Calibri"/>
          <w:noProof w:val="0"/>
          <w:rtl/>
        </w:rPr>
        <w:t>על מנעד הענישה  בעבירות אלה  ניתן ללמוד מהפסיקה שלהלן:</w:t>
      </w:r>
    </w:p>
    <w:p w14:paraId="268ECE00" w14:textId="77777777" w:rsidR="00604CC9" w:rsidRDefault="00604CC9" w:rsidP="00604CC9">
      <w:pPr>
        <w:pStyle w:val="a9"/>
        <w:shd w:val="clear" w:color="auto" w:fill="FFFFFF"/>
        <w:spacing w:after="160" w:line="360" w:lineRule="auto"/>
        <w:ind w:left="360"/>
        <w:jc w:val="both"/>
      </w:pPr>
      <w:r>
        <w:rPr>
          <w:rtl/>
        </w:rPr>
        <w:t xml:space="preserve"> </w:t>
      </w:r>
    </w:p>
    <w:p w14:paraId="4F81A4D3" w14:textId="77777777" w:rsidR="00604CC9" w:rsidRDefault="00604CC9" w:rsidP="00604CC9">
      <w:pPr>
        <w:pStyle w:val="a9"/>
        <w:numPr>
          <w:ilvl w:val="0"/>
          <w:numId w:val="2"/>
        </w:numPr>
        <w:shd w:val="clear" w:color="auto" w:fill="FFFFFF"/>
        <w:spacing w:after="160" w:line="360" w:lineRule="auto"/>
        <w:jc w:val="both"/>
        <w:rPr>
          <w:rFonts w:ascii="David" w:hAnsi="David"/>
          <w:color w:val="000000"/>
        </w:rPr>
      </w:pPr>
      <w:r>
        <w:rPr>
          <w:rFonts w:ascii="David" w:hAnsi="David"/>
          <w:color w:val="000000"/>
          <w:rtl/>
        </w:rPr>
        <w:t>ב</w:t>
      </w:r>
      <w:hyperlink r:id="rId34" w:history="1">
        <w:r w:rsidR="005C0458" w:rsidRPr="005C0458">
          <w:rPr>
            <w:color w:val="0000FF"/>
            <w:u w:val="single"/>
            <w:rtl/>
          </w:rPr>
          <w:t>רע"פ 3627/13</w:t>
        </w:r>
      </w:hyperlink>
      <w:r w:rsidR="005C0458">
        <w:rPr>
          <w:rFonts w:ascii="David" w:hAnsi="David"/>
          <w:color w:val="000000"/>
        </w:rPr>
        <w:t xml:space="preserve"> </w:t>
      </w:r>
      <w:r>
        <w:rPr>
          <w:rFonts w:ascii="David" w:hAnsi="David"/>
          <w:b/>
          <w:bCs/>
          <w:color w:val="000000"/>
          <w:rtl/>
        </w:rPr>
        <w:t>שדה נ' מדינת ישראל</w:t>
      </w:r>
      <w:r w:rsidR="005C0458">
        <w:rPr>
          <w:rFonts w:ascii="David" w:hAnsi="David"/>
          <w:color w:val="000000"/>
          <w:rtl/>
        </w:rPr>
        <w:t xml:space="preserve"> </w:t>
      </w:r>
      <w:r>
        <w:rPr>
          <w:rFonts w:ascii="David" w:hAnsi="David"/>
          <w:color w:val="000000"/>
          <w:rtl/>
        </w:rPr>
        <w:t>(פורסם בנבו, 22.5.13), נדחתה בקשת רשות ערעור של נאשם, אשר הורשע ב</w:t>
      </w:r>
      <w:r>
        <w:rPr>
          <w:rFonts w:ascii="David" w:hAnsi="David"/>
          <w:b/>
          <w:bCs/>
          <w:color w:val="000000"/>
          <w:rtl/>
        </w:rPr>
        <w:t>שתי עבירות של סחר בסמים</w:t>
      </w:r>
      <w:r>
        <w:rPr>
          <w:rFonts w:ascii="David" w:hAnsi="David"/>
          <w:color w:val="000000"/>
          <w:rtl/>
        </w:rPr>
        <w:t xml:space="preserve">. הנאשם מכר </w:t>
      </w:r>
      <w:r>
        <w:rPr>
          <w:rFonts w:ascii="David" w:hAnsi="David"/>
          <w:b/>
          <w:bCs/>
          <w:color w:val="000000"/>
          <w:rtl/>
        </w:rPr>
        <w:t>לשני אחרים</w:t>
      </w:r>
      <w:r>
        <w:rPr>
          <w:rFonts w:ascii="David" w:hAnsi="David"/>
          <w:color w:val="000000"/>
          <w:rtl/>
        </w:rPr>
        <w:t xml:space="preserve"> סם מסוג קנבוס במשקלים של </w:t>
      </w:r>
      <w:r>
        <w:rPr>
          <w:rFonts w:ascii="David" w:hAnsi="David"/>
          <w:b/>
          <w:bCs/>
          <w:color w:val="000000"/>
          <w:rtl/>
        </w:rPr>
        <w:t xml:space="preserve">0.8 גרם ו- 1 גרם </w:t>
      </w:r>
      <w:r>
        <w:rPr>
          <w:rFonts w:ascii="David" w:hAnsi="David"/>
          <w:color w:val="000000"/>
          <w:rtl/>
        </w:rPr>
        <w:t xml:space="preserve">תמורת 80 ש"ח בכל עסקה. הנאשם בעל נסיבות אישיות קשות, בעל עבר פלילי, </w:t>
      </w:r>
      <w:r>
        <w:rPr>
          <w:rFonts w:ascii="David" w:hAnsi="David"/>
          <w:b/>
          <w:bCs/>
          <w:color w:val="000000"/>
          <w:rtl/>
        </w:rPr>
        <w:t>נידון לשבעה חודשי מאסר בפועל</w:t>
      </w:r>
      <w:r>
        <w:rPr>
          <w:rFonts w:ascii="David" w:hAnsi="David"/>
          <w:color w:val="000000"/>
          <w:rtl/>
        </w:rPr>
        <w:t xml:space="preserve"> וענישה נלווית.</w:t>
      </w:r>
    </w:p>
    <w:p w14:paraId="3B9D0FCA" w14:textId="77777777" w:rsidR="00604CC9" w:rsidRPr="00440A50" w:rsidRDefault="00604CC9" w:rsidP="00604CC9">
      <w:pPr>
        <w:pStyle w:val="a9"/>
        <w:shd w:val="clear" w:color="auto" w:fill="FFFFFF"/>
        <w:spacing w:after="160" w:line="360" w:lineRule="auto"/>
        <w:jc w:val="both"/>
        <w:rPr>
          <w:rFonts w:ascii="David" w:hAnsi="David"/>
          <w:color w:val="000000"/>
        </w:rPr>
      </w:pPr>
    </w:p>
    <w:p w14:paraId="137389C2" w14:textId="77777777" w:rsidR="00604CC9" w:rsidRPr="00604CC9" w:rsidRDefault="00604CC9" w:rsidP="00604CC9">
      <w:pPr>
        <w:pStyle w:val="a9"/>
        <w:numPr>
          <w:ilvl w:val="0"/>
          <w:numId w:val="2"/>
        </w:numPr>
        <w:shd w:val="clear" w:color="auto" w:fill="FFFFFF"/>
        <w:spacing w:after="160" w:line="360" w:lineRule="auto"/>
        <w:jc w:val="both"/>
        <w:rPr>
          <w:rFonts w:ascii="Calibri" w:eastAsia="Calibri" w:hAnsi="Calibri"/>
          <w:noProof w:val="0"/>
        </w:rPr>
      </w:pPr>
      <w:r w:rsidRPr="00604CC9">
        <w:rPr>
          <w:rFonts w:ascii="Calibri" w:eastAsia="Calibri" w:hAnsi="Calibri"/>
          <w:noProof w:val="0"/>
          <w:rtl/>
        </w:rPr>
        <w:t>ב</w:t>
      </w:r>
      <w:hyperlink r:id="rId35" w:history="1">
        <w:r w:rsidR="005C0458" w:rsidRPr="005C0458">
          <w:rPr>
            <w:rFonts w:ascii="Calibri" w:eastAsia="Calibri" w:hAnsi="Calibri" w:hint="cs"/>
            <w:noProof w:val="0"/>
            <w:color w:val="0000FF"/>
            <w:u w:val="single"/>
            <w:rtl/>
          </w:rPr>
          <w:t>רע</w:t>
        </w:r>
        <w:r w:rsidR="005C0458" w:rsidRPr="005C0458">
          <w:rPr>
            <w:rFonts w:ascii="Calibri" w:eastAsia="Calibri" w:hAnsi="Calibri"/>
            <w:noProof w:val="0"/>
            <w:color w:val="0000FF"/>
            <w:u w:val="single"/>
            <w:rtl/>
          </w:rPr>
          <w:t>"</w:t>
        </w:r>
        <w:r w:rsidR="005C0458" w:rsidRPr="005C0458">
          <w:rPr>
            <w:rFonts w:ascii="Calibri" w:eastAsia="Calibri" w:hAnsi="Calibri" w:hint="cs"/>
            <w:noProof w:val="0"/>
            <w:color w:val="0000FF"/>
            <w:u w:val="single"/>
            <w:rtl/>
          </w:rPr>
          <w:t>פ</w:t>
        </w:r>
        <w:r w:rsidR="005C0458" w:rsidRPr="005C0458">
          <w:rPr>
            <w:rFonts w:ascii="Calibri" w:eastAsia="Calibri" w:hAnsi="Calibri"/>
            <w:noProof w:val="0"/>
            <w:color w:val="0000FF"/>
            <w:u w:val="single"/>
            <w:rtl/>
          </w:rPr>
          <w:t xml:space="preserve"> 5712/16</w:t>
        </w:r>
      </w:hyperlink>
      <w:r w:rsidR="005C0458">
        <w:rPr>
          <w:rFonts w:ascii="Calibri" w:eastAsia="Calibri" w:hAnsi="Calibri"/>
          <w:noProof w:val="0"/>
        </w:rPr>
        <w:t xml:space="preserve"> </w:t>
      </w:r>
      <w:r w:rsidRPr="00604CC9">
        <w:rPr>
          <w:rFonts w:ascii="Calibri" w:eastAsia="Calibri" w:hAnsi="Calibri"/>
          <w:b/>
          <w:bCs/>
          <w:noProof w:val="0"/>
          <w:rtl/>
        </w:rPr>
        <w:t>אייזנבאך נ' מדינת ישראל (</w:t>
      </w:r>
      <w:r w:rsidRPr="00604CC9">
        <w:rPr>
          <w:rFonts w:ascii="Calibri" w:eastAsia="Calibri" w:hAnsi="Calibri"/>
          <w:noProof w:val="0"/>
          <w:rtl/>
        </w:rPr>
        <w:t>פורסם בנבו, 17.8.16), נדחתה בקשת רשות ערעור של נאשם שהורשע ב</w:t>
      </w:r>
      <w:r w:rsidRPr="00604CC9">
        <w:rPr>
          <w:rFonts w:ascii="Calibri" w:eastAsia="Calibri" w:hAnsi="Calibri"/>
          <w:b/>
          <w:bCs/>
          <w:noProof w:val="0"/>
          <w:rtl/>
        </w:rPr>
        <w:t>ארבע עבירות</w:t>
      </w:r>
      <w:r w:rsidRPr="00604CC9">
        <w:rPr>
          <w:rFonts w:ascii="Calibri" w:eastAsia="Calibri" w:hAnsi="Calibri"/>
          <w:noProof w:val="0"/>
          <w:rtl/>
        </w:rPr>
        <w:t xml:space="preserve"> של סחר בסם מסוכן. הנאשם סחר במשך כחודשיים </w:t>
      </w:r>
      <w:r w:rsidRPr="00604CC9">
        <w:rPr>
          <w:rFonts w:ascii="Calibri" w:eastAsia="Calibri" w:hAnsi="Calibri"/>
          <w:b/>
          <w:bCs/>
          <w:noProof w:val="0"/>
          <w:rtl/>
        </w:rPr>
        <w:t xml:space="preserve">עם שני אנשים </w:t>
      </w:r>
      <w:r w:rsidRPr="00604CC9">
        <w:rPr>
          <w:rFonts w:ascii="Calibri" w:eastAsia="Calibri" w:hAnsi="Calibri"/>
          <w:noProof w:val="0"/>
          <w:rtl/>
        </w:rPr>
        <w:t xml:space="preserve">בסם מסוכן מסוג קנבוס, </w:t>
      </w:r>
      <w:r w:rsidRPr="00604CC9">
        <w:rPr>
          <w:rFonts w:ascii="Calibri" w:eastAsia="Calibri" w:hAnsi="Calibri"/>
          <w:b/>
          <w:bCs/>
          <w:noProof w:val="0"/>
          <w:rtl/>
        </w:rPr>
        <w:t>במשקלים קטנים</w:t>
      </w:r>
      <w:r w:rsidRPr="00604CC9">
        <w:rPr>
          <w:rFonts w:ascii="Calibri" w:eastAsia="Calibri" w:hAnsi="Calibri"/>
          <w:noProof w:val="0"/>
          <w:rtl/>
        </w:rPr>
        <w:t>. הנאשם נעדר עבר פלילי, תסקיר שירות המבחן שהוגש בעניינו היה חיובי והמליץ על ענישה בדמות של"צ</w:t>
      </w:r>
      <w:r w:rsidRPr="00604CC9">
        <w:rPr>
          <w:rFonts w:ascii="Calibri" w:eastAsia="Calibri" w:hAnsi="Calibri"/>
          <w:noProof w:val="0"/>
        </w:rPr>
        <w:t>.</w:t>
      </w:r>
      <w:r w:rsidRPr="00604CC9">
        <w:rPr>
          <w:rFonts w:ascii="Calibri" w:eastAsia="Calibri" w:hAnsi="Calibri"/>
          <w:noProof w:val="0"/>
          <w:rtl/>
        </w:rPr>
        <w:t xml:space="preserve"> </w:t>
      </w:r>
      <w:r w:rsidRPr="00604CC9">
        <w:rPr>
          <w:rFonts w:ascii="Calibri" w:eastAsia="Calibri" w:hAnsi="Calibri" w:hint="cs"/>
          <w:noProof w:val="0"/>
          <w:rtl/>
        </w:rPr>
        <w:t xml:space="preserve">בית המשפט קבע </w:t>
      </w:r>
      <w:r w:rsidRPr="00604CC9">
        <w:rPr>
          <w:rFonts w:ascii="Calibri" w:eastAsia="Calibri" w:hAnsi="Calibri" w:hint="cs"/>
          <w:b/>
          <w:bCs/>
          <w:noProof w:val="0"/>
          <w:rtl/>
        </w:rPr>
        <w:t>מתחם עונש הנע בין 8 ל-24 חודשי מאסר</w:t>
      </w:r>
      <w:r w:rsidRPr="00604CC9">
        <w:rPr>
          <w:rFonts w:ascii="Calibri" w:eastAsia="Calibri" w:hAnsi="Calibri" w:hint="cs"/>
          <w:noProof w:val="0"/>
          <w:rtl/>
        </w:rPr>
        <w:t xml:space="preserve">, והשית על הנאשם עונש של </w:t>
      </w:r>
      <w:r w:rsidRPr="00604CC9">
        <w:rPr>
          <w:rFonts w:ascii="Calibri" w:eastAsia="Calibri" w:hAnsi="Calibri" w:hint="cs"/>
          <w:b/>
          <w:bCs/>
          <w:noProof w:val="0"/>
          <w:rtl/>
        </w:rPr>
        <w:t xml:space="preserve">8 חודשי מאסר בפועל </w:t>
      </w:r>
      <w:r w:rsidRPr="00604CC9">
        <w:rPr>
          <w:rFonts w:ascii="Calibri" w:eastAsia="Calibri" w:hAnsi="Calibri" w:hint="cs"/>
          <w:noProof w:val="0"/>
          <w:rtl/>
        </w:rPr>
        <w:t>וענישה נלווית.</w:t>
      </w:r>
    </w:p>
    <w:p w14:paraId="527894FE" w14:textId="77777777" w:rsidR="00604CC9" w:rsidRPr="00604CC9" w:rsidRDefault="00604CC9" w:rsidP="00604CC9">
      <w:pPr>
        <w:pStyle w:val="a9"/>
        <w:rPr>
          <w:rFonts w:ascii="Calibri" w:eastAsia="Calibri" w:hAnsi="Calibri"/>
          <w:noProof w:val="0"/>
          <w:rtl/>
        </w:rPr>
      </w:pPr>
    </w:p>
    <w:p w14:paraId="76F8B2FB" w14:textId="77777777" w:rsidR="00604CC9" w:rsidRPr="00604CC9" w:rsidRDefault="00604CC9" w:rsidP="00604CC9">
      <w:pPr>
        <w:pStyle w:val="a9"/>
        <w:numPr>
          <w:ilvl w:val="0"/>
          <w:numId w:val="2"/>
        </w:numPr>
        <w:shd w:val="clear" w:color="auto" w:fill="FFFFFF"/>
        <w:spacing w:after="160" w:line="360" w:lineRule="auto"/>
        <w:jc w:val="both"/>
        <w:rPr>
          <w:rFonts w:ascii="Calibri" w:eastAsia="Calibri" w:hAnsi="Calibri"/>
          <w:noProof w:val="0"/>
        </w:rPr>
      </w:pPr>
      <w:r w:rsidRPr="00440A50">
        <w:rPr>
          <w:rFonts w:ascii="David" w:hAnsi="David"/>
          <w:color w:val="000000"/>
          <w:rtl/>
        </w:rPr>
        <w:t>ב</w:t>
      </w:r>
      <w:hyperlink r:id="rId36" w:history="1">
        <w:r w:rsidR="005C0458" w:rsidRPr="005C0458">
          <w:rPr>
            <w:color w:val="0000FF"/>
            <w:u w:val="single"/>
            <w:rtl/>
          </w:rPr>
          <w:t>רע"פ 7996/12</w:t>
        </w:r>
      </w:hyperlink>
      <w:r w:rsidR="005C0458">
        <w:rPr>
          <w:rFonts w:ascii="David" w:hAnsi="David"/>
          <w:color w:val="000000"/>
          <w:rtl/>
        </w:rPr>
        <w:t xml:space="preserve"> </w:t>
      </w:r>
      <w:r w:rsidRPr="00440A50">
        <w:rPr>
          <w:rFonts w:ascii="David" w:hAnsi="David"/>
          <w:b/>
          <w:bCs/>
          <w:color w:val="000000"/>
          <w:rtl/>
        </w:rPr>
        <w:t>יוסף נ' מדינת ישראל</w:t>
      </w:r>
      <w:r w:rsidR="005C0458">
        <w:rPr>
          <w:rFonts w:ascii="David" w:hAnsi="David"/>
          <w:b/>
          <w:bCs/>
          <w:color w:val="000000"/>
          <w:rtl/>
        </w:rPr>
        <w:t xml:space="preserve"> </w:t>
      </w:r>
      <w:r w:rsidRPr="00440A50">
        <w:rPr>
          <w:rFonts w:ascii="David" w:hAnsi="David"/>
          <w:color w:val="000000"/>
          <w:rtl/>
        </w:rPr>
        <w:t xml:space="preserve">(פורסם בנבו, 23.1.13), נדחתה בקשת רשות ערעור של הנאשם, אשר הורשע בביצוע </w:t>
      </w:r>
      <w:r w:rsidRPr="00440A50">
        <w:rPr>
          <w:rFonts w:ascii="David" w:hAnsi="David"/>
          <w:b/>
          <w:bCs/>
          <w:color w:val="000000"/>
          <w:rtl/>
        </w:rPr>
        <w:t>שלוש עבירות</w:t>
      </w:r>
      <w:r w:rsidRPr="00440A50">
        <w:rPr>
          <w:rFonts w:ascii="David" w:hAnsi="David"/>
          <w:color w:val="000000"/>
          <w:rtl/>
        </w:rPr>
        <w:t xml:space="preserve"> של סחר ותיווך בסם מסוג חשיש במשקל של</w:t>
      </w:r>
      <w:r w:rsidR="005C0458">
        <w:rPr>
          <w:rFonts w:ascii="David" w:hAnsi="David"/>
          <w:color w:val="000000"/>
          <w:rtl/>
        </w:rPr>
        <w:t xml:space="preserve"> </w:t>
      </w:r>
      <w:r w:rsidRPr="00440A50">
        <w:rPr>
          <w:rFonts w:ascii="David" w:hAnsi="David"/>
          <w:b/>
          <w:bCs/>
          <w:color w:val="000000"/>
          <w:rtl/>
        </w:rPr>
        <w:t>6.17 גרם</w:t>
      </w:r>
      <w:r w:rsidR="005C0458">
        <w:rPr>
          <w:rFonts w:ascii="David" w:hAnsi="David"/>
          <w:color w:val="000000"/>
          <w:rtl/>
        </w:rPr>
        <w:t xml:space="preserve"> </w:t>
      </w:r>
      <w:r w:rsidRPr="00440A50">
        <w:rPr>
          <w:rFonts w:ascii="David" w:hAnsi="David"/>
          <w:color w:val="000000"/>
          <w:rtl/>
        </w:rPr>
        <w:t>תמורת 200 ₪,</w:t>
      </w:r>
      <w:r w:rsidR="005C0458">
        <w:rPr>
          <w:rFonts w:ascii="David" w:hAnsi="David"/>
          <w:color w:val="000000"/>
          <w:rtl/>
        </w:rPr>
        <w:t xml:space="preserve"> </w:t>
      </w:r>
      <w:r w:rsidRPr="00440A50">
        <w:rPr>
          <w:rFonts w:ascii="David" w:hAnsi="David"/>
          <w:b/>
          <w:bCs/>
          <w:color w:val="000000"/>
          <w:rtl/>
        </w:rPr>
        <w:t>5.38 גרם</w:t>
      </w:r>
      <w:r w:rsidR="005C0458">
        <w:rPr>
          <w:rFonts w:ascii="David" w:hAnsi="David"/>
          <w:color w:val="000000"/>
          <w:rtl/>
        </w:rPr>
        <w:t xml:space="preserve"> </w:t>
      </w:r>
      <w:r w:rsidRPr="00440A50">
        <w:rPr>
          <w:rFonts w:ascii="David" w:hAnsi="David"/>
          <w:color w:val="000000"/>
          <w:rtl/>
        </w:rPr>
        <w:t>תמורת 200 ₪,</w:t>
      </w:r>
      <w:r w:rsidR="005C0458">
        <w:rPr>
          <w:rFonts w:ascii="David" w:hAnsi="David"/>
          <w:color w:val="000000"/>
          <w:rtl/>
        </w:rPr>
        <w:t xml:space="preserve"> </w:t>
      </w:r>
      <w:r w:rsidRPr="00440A50">
        <w:rPr>
          <w:rFonts w:ascii="David" w:hAnsi="David"/>
          <w:b/>
          <w:bCs/>
          <w:color w:val="000000"/>
          <w:rtl/>
        </w:rPr>
        <w:t>2.93 גרם</w:t>
      </w:r>
      <w:r w:rsidR="005C0458">
        <w:rPr>
          <w:rFonts w:ascii="David" w:hAnsi="David"/>
          <w:b/>
          <w:bCs/>
          <w:color w:val="000000"/>
          <w:rtl/>
        </w:rPr>
        <w:t xml:space="preserve"> </w:t>
      </w:r>
      <w:r w:rsidRPr="00440A50">
        <w:rPr>
          <w:rFonts w:ascii="David" w:hAnsi="David"/>
          <w:color w:val="000000"/>
          <w:rtl/>
        </w:rPr>
        <w:t xml:space="preserve">תמורת 100 ₪, וכן בעבירה של החזקת סם מסוג קוקאין לצריכה עצמית. נאשם צעיר, שלא ריצה בעבר עונש מאסר, נדון ל- </w:t>
      </w:r>
      <w:r w:rsidRPr="00440A50">
        <w:rPr>
          <w:rFonts w:ascii="David" w:hAnsi="David"/>
          <w:b/>
          <w:bCs/>
          <w:color w:val="000000"/>
          <w:rtl/>
        </w:rPr>
        <w:t>21 חודשי מאסר בפועל</w:t>
      </w:r>
      <w:r w:rsidRPr="00440A50">
        <w:rPr>
          <w:rFonts w:ascii="David" w:hAnsi="David"/>
          <w:color w:val="000000"/>
          <w:rtl/>
        </w:rPr>
        <w:t>.</w:t>
      </w:r>
    </w:p>
    <w:p w14:paraId="3DF737CD" w14:textId="77777777" w:rsidR="00604CC9" w:rsidRPr="00604CC9" w:rsidRDefault="00604CC9" w:rsidP="00604CC9">
      <w:pPr>
        <w:pStyle w:val="a9"/>
        <w:rPr>
          <w:rFonts w:ascii="Calibri" w:eastAsia="Calibri" w:hAnsi="Calibri"/>
          <w:noProof w:val="0"/>
          <w:rtl/>
        </w:rPr>
      </w:pPr>
    </w:p>
    <w:p w14:paraId="50248D9C" w14:textId="77777777" w:rsidR="00604CC9" w:rsidRPr="00604CC9" w:rsidRDefault="00604CC9" w:rsidP="00604CC9">
      <w:pPr>
        <w:pStyle w:val="a9"/>
        <w:numPr>
          <w:ilvl w:val="0"/>
          <w:numId w:val="2"/>
        </w:numPr>
        <w:shd w:val="clear" w:color="auto" w:fill="FFFFFF"/>
        <w:spacing w:after="160" w:line="360" w:lineRule="auto"/>
        <w:jc w:val="both"/>
        <w:rPr>
          <w:rFonts w:ascii="Calibri" w:eastAsia="Calibri" w:hAnsi="Calibri"/>
          <w:noProof w:val="0"/>
        </w:rPr>
      </w:pPr>
      <w:r w:rsidRPr="00D479DA">
        <w:rPr>
          <w:rFonts w:ascii="David" w:hAnsi="David"/>
          <w:color w:val="000000"/>
          <w:rtl/>
        </w:rPr>
        <w:t>ב</w:t>
      </w:r>
      <w:hyperlink r:id="rId37" w:history="1">
        <w:r w:rsidR="005C0458" w:rsidRPr="005C0458">
          <w:rPr>
            <w:rFonts w:ascii="David" w:hAnsi="David"/>
            <w:color w:val="0000FF"/>
            <w:u w:val="single"/>
            <w:rtl/>
          </w:rPr>
          <w:t>עפ"ג (מחוזי מרכז) 20755-07-17</w:t>
        </w:r>
      </w:hyperlink>
      <w:r w:rsidRPr="00D479DA">
        <w:rPr>
          <w:rFonts w:ascii="David" w:hAnsi="David"/>
          <w:color w:val="000000"/>
          <w:rtl/>
        </w:rPr>
        <w:t xml:space="preserve"> </w:t>
      </w:r>
      <w:r w:rsidRPr="00D479DA">
        <w:rPr>
          <w:rFonts w:ascii="David" w:hAnsi="David"/>
          <w:b/>
          <w:bCs/>
          <w:color w:val="000000"/>
          <w:rtl/>
        </w:rPr>
        <w:t>ליאור שוקרון נ' מדינת ישראל</w:t>
      </w:r>
      <w:r w:rsidRPr="00D479DA">
        <w:rPr>
          <w:rFonts w:ascii="David" w:hAnsi="David"/>
          <w:color w:val="000000"/>
          <w:rtl/>
        </w:rPr>
        <w:t xml:space="preserve"> (פורסם בנבו, 26.12.17), נדחה ערעור נאשם שהורשע על פי הודאתו, </w:t>
      </w:r>
      <w:r w:rsidRPr="00D479DA">
        <w:rPr>
          <w:rFonts w:ascii="David" w:hAnsi="David"/>
          <w:b/>
          <w:bCs/>
          <w:color w:val="000000"/>
          <w:rtl/>
        </w:rPr>
        <w:t>בארבע עבירות</w:t>
      </w:r>
      <w:r w:rsidRPr="00D479DA">
        <w:rPr>
          <w:rFonts w:ascii="David" w:hAnsi="David"/>
          <w:color w:val="000000"/>
          <w:rtl/>
        </w:rPr>
        <w:t xml:space="preserve"> של סחר בסם מסוכן מסוג קנבוס, </w:t>
      </w:r>
      <w:r w:rsidRPr="00D479DA">
        <w:rPr>
          <w:rFonts w:ascii="David" w:hAnsi="David"/>
          <w:b/>
          <w:bCs/>
          <w:color w:val="000000"/>
          <w:rtl/>
        </w:rPr>
        <w:t>לרבות לקטינים</w:t>
      </w:r>
      <w:r w:rsidRPr="00D479DA">
        <w:rPr>
          <w:rFonts w:ascii="David" w:hAnsi="David"/>
          <w:color w:val="000000"/>
          <w:rtl/>
        </w:rPr>
        <w:t xml:space="preserve">, לאחר שמכר סמים במשקלים קטנים ובסכומים של 100 ₪ ובאחת הפעמים בסכום של 2,000 ₪, וכן בעבירה של הפרעה לשוטר והפרת הוראה חוקית. </w:t>
      </w:r>
      <w:r w:rsidRPr="00D479DA">
        <w:rPr>
          <w:rFonts w:ascii="David" w:hAnsi="David"/>
          <w:b/>
          <w:bCs/>
          <w:color w:val="000000"/>
          <w:rtl/>
        </w:rPr>
        <w:t>נקבע מתחם עונש לכל העבירות הנע בין 8 ל - 20 חודשי מאסר</w:t>
      </w:r>
      <w:r w:rsidRPr="00D479DA">
        <w:rPr>
          <w:rFonts w:ascii="David" w:hAnsi="David"/>
          <w:color w:val="000000"/>
          <w:rtl/>
        </w:rPr>
        <w:t xml:space="preserve">. הנאשם צעיר בן 23, בעל נסיבות חיים קשות, התקשה לשתף פעולה עם שירות מבחן. בית המשפט השית על הנאשם </w:t>
      </w:r>
      <w:r w:rsidRPr="00D479DA">
        <w:rPr>
          <w:rFonts w:ascii="David" w:hAnsi="David"/>
          <w:b/>
          <w:bCs/>
          <w:color w:val="000000"/>
          <w:rtl/>
        </w:rPr>
        <w:t>10 חודשי מאסר בפועל.</w:t>
      </w:r>
    </w:p>
    <w:p w14:paraId="25598738" w14:textId="77777777" w:rsidR="00604CC9" w:rsidRDefault="00604CC9" w:rsidP="00604CC9">
      <w:pPr>
        <w:pStyle w:val="a9"/>
        <w:rPr>
          <w:rFonts w:ascii="David" w:hAnsi="David"/>
          <w:color w:val="000000"/>
        </w:rPr>
      </w:pPr>
    </w:p>
    <w:p w14:paraId="76A5383F" w14:textId="77777777" w:rsidR="00604CC9" w:rsidRDefault="00604CC9" w:rsidP="00604CC9">
      <w:pPr>
        <w:pStyle w:val="a9"/>
        <w:numPr>
          <w:ilvl w:val="0"/>
          <w:numId w:val="2"/>
        </w:numPr>
        <w:shd w:val="clear" w:color="auto" w:fill="FFFFFF"/>
        <w:spacing w:after="160" w:line="360" w:lineRule="auto"/>
        <w:jc w:val="both"/>
        <w:rPr>
          <w:rFonts w:ascii="Calibri" w:hAnsi="Calibri"/>
          <w:noProof w:val="0"/>
          <w:rtl/>
        </w:rPr>
      </w:pPr>
      <w:r>
        <w:rPr>
          <w:rFonts w:hint="cs"/>
          <w:rtl/>
        </w:rPr>
        <w:t>ב</w:t>
      </w:r>
      <w:hyperlink r:id="rId38" w:history="1">
        <w:r w:rsidR="005C0458" w:rsidRPr="005C0458">
          <w:rPr>
            <w:color w:val="0000FF"/>
            <w:u w:val="single"/>
            <w:rtl/>
          </w:rPr>
          <w:t>ת"פ (ירושלים) 7420-05-19</w:t>
        </w:r>
      </w:hyperlink>
      <w:r w:rsidR="005C0458">
        <w:rPr>
          <w:rFonts w:ascii="David" w:hAnsi="David"/>
          <w:color w:val="000000"/>
          <w:rtl/>
        </w:rPr>
        <w:t xml:space="preserve"> </w:t>
      </w:r>
      <w:r>
        <w:rPr>
          <w:rFonts w:ascii="David" w:hAnsi="David"/>
          <w:b/>
          <w:bCs/>
          <w:color w:val="000000"/>
          <w:rtl/>
        </w:rPr>
        <w:t>מדינת ישראל נ' בלוי</w:t>
      </w:r>
      <w:r w:rsidR="005C0458">
        <w:rPr>
          <w:rFonts w:ascii="David" w:hAnsi="David"/>
          <w:color w:val="000000"/>
          <w:rtl/>
        </w:rPr>
        <w:t xml:space="preserve"> </w:t>
      </w:r>
      <w:r>
        <w:rPr>
          <w:rFonts w:ascii="David" w:hAnsi="David"/>
          <w:color w:val="000000"/>
          <w:rtl/>
        </w:rPr>
        <w:t xml:space="preserve">(פורסם בנבו, 16.9.19), </w:t>
      </w:r>
      <w:r>
        <w:rPr>
          <w:rFonts w:ascii="David" w:hAnsi="David" w:hint="cs"/>
          <w:color w:val="000000"/>
          <w:rtl/>
        </w:rPr>
        <w:t>הורשע הנאשם בהתאם</w:t>
      </w:r>
      <w:r>
        <w:rPr>
          <w:rFonts w:ascii="David" w:hAnsi="David"/>
          <w:color w:val="000000"/>
          <w:rtl/>
        </w:rPr>
        <w:t xml:space="preserve"> </w:t>
      </w:r>
      <w:r>
        <w:rPr>
          <w:rFonts w:ascii="David" w:hAnsi="David" w:hint="cs"/>
          <w:color w:val="000000"/>
          <w:rtl/>
        </w:rPr>
        <w:t>ל</w:t>
      </w:r>
      <w:r>
        <w:rPr>
          <w:rFonts w:ascii="David" w:hAnsi="David"/>
          <w:color w:val="000000"/>
          <w:rtl/>
        </w:rPr>
        <w:t>הודאתו, ב</w:t>
      </w:r>
      <w:r w:rsidRPr="00662D6D">
        <w:rPr>
          <w:rFonts w:ascii="David" w:hAnsi="David"/>
          <w:color w:val="000000"/>
          <w:rtl/>
        </w:rPr>
        <w:t xml:space="preserve">תשע עבירות </w:t>
      </w:r>
      <w:r>
        <w:rPr>
          <w:rFonts w:ascii="David" w:hAnsi="David"/>
          <w:color w:val="000000"/>
          <w:rtl/>
        </w:rPr>
        <w:t>של סחר בסמים ובעבירה של החזקת סמים לצריכה עצמית.</w:t>
      </w:r>
      <w:r w:rsidRPr="00662D6D">
        <w:rPr>
          <w:rFonts w:ascii="David" w:hAnsi="David"/>
          <w:color w:val="000000"/>
          <w:rtl/>
        </w:rPr>
        <w:t xml:space="preserve"> הנאשם החזיק סם מסוג קנבוס במשקל 9.47 גרם</w:t>
      </w:r>
      <w:r>
        <w:rPr>
          <w:rFonts w:ascii="Calibri" w:hAnsi="Calibri"/>
          <w:noProof w:val="0"/>
          <w:rtl/>
        </w:rPr>
        <w:t xml:space="preserve">. בנוסף, הנאשם ביצע </w:t>
      </w:r>
      <w:r>
        <w:rPr>
          <w:rFonts w:ascii="Calibri" w:hAnsi="Calibri"/>
          <w:b/>
          <w:bCs/>
          <w:noProof w:val="0"/>
          <w:rtl/>
        </w:rPr>
        <w:t>4 עסקאות</w:t>
      </w:r>
      <w:r>
        <w:rPr>
          <w:rFonts w:ascii="Calibri" w:hAnsi="Calibri"/>
          <w:noProof w:val="0"/>
          <w:rtl/>
        </w:rPr>
        <w:t xml:space="preserve"> מכר של סם מסוג קנבוס  עם </w:t>
      </w:r>
      <w:r>
        <w:rPr>
          <w:rFonts w:ascii="Calibri" w:hAnsi="Calibri"/>
          <w:b/>
          <w:bCs/>
          <w:noProof w:val="0"/>
          <w:rtl/>
        </w:rPr>
        <w:t>4 אנשים</w:t>
      </w:r>
      <w:r>
        <w:rPr>
          <w:rFonts w:ascii="Calibri" w:hAnsi="Calibri"/>
          <w:noProof w:val="0"/>
          <w:rtl/>
        </w:rPr>
        <w:t xml:space="preserve"> שונים, </w:t>
      </w:r>
      <w:r>
        <w:rPr>
          <w:rFonts w:ascii="Calibri" w:hAnsi="Calibri"/>
          <w:b/>
          <w:bCs/>
          <w:noProof w:val="0"/>
          <w:rtl/>
        </w:rPr>
        <w:t>האחד קטין</w:t>
      </w:r>
      <w:r>
        <w:rPr>
          <w:rFonts w:ascii="Calibri" w:hAnsi="Calibri"/>
          <w:noProof w:val="0"/>
          <w:rtl/>
        </w:rPr>
        <w:t xml:space="preserve">, במשקל של </w:t>
      </w:r>
      <w:r>
        <w:rPr>
          <w:rFonts w:ascii="Calibri" w:hAnsi="Calibri"/>
          <w:b/>
          <w:bCs/>
          <w:noProof w:val="0"/>
          <w:rtl/>
        </w:rPr>
        <w:t>1 גרם כל עסקה.</w:t>
      </w:r>
      <w:r>
        <w:rPr>
          <w:rFonts w:ascii="Calibri" w:hAnsi="Calibri"/>
          <w:noProof w:val="0"/>
          <w:rtl/>
        </w:rPr>
        <w:t xml:space="preserve"> כמו כן, ב-</w:t>
      </w:r>
      <w:r>
        <w:rPr>
          <w:rFonts w:ascii="Calibri" w:hAnsi="Calibri"/>
          <w:b/>
          <w:bCs/>
          <w:noProof w:val="0"/>
          <w:rtl/>
        </w:rPr>
        <w:t>5 מועדים</w:t>
      </w:r>
      <w:r>
        <w:rPr>
          <w:rFonts w:ascii="Calibri" w:hAnsi="Calibri"/>
          <w:noProof w:val="0"/>
          <w:rtl/>
        </w:rPr>
        <w:t xml:space="preserve"> שונים מכר הנאשם לאחר סם מסוג קנבוס במשקל </w:t>
      </w:r>
      <w:r>
        <w:rPr>
          <w:rFonts w:ascii="Calibri" w:hAnsi="Calibri"/>
          <w:b/>
          <w:bCs/>
          <w:noProof w:val="0"/>
          <w:rtl/>
        </w:rPr>
        <w:t>0.5 גרם</w:t>
      </w:r>
      <w:r>
        <w:rPr>
          <w:rFonts w:ascii="Calibri" w:hAnsi="Calibri"/>
          <w:noProof w:val="0"/>
          <w:rtl/>
        </w:rPr>
        <w:t xml:space="preserve">. בית המשפט קבע </w:t>
      </w:r>
      <w:r>
        <w:rPr>
          <w:rFonts w:ascii="Calibri" w:hAnsi="Calibri"/>
          <w:b/>
          <w:bCs/>
          <w:noProof w:val="0"/>
          <w:rtl/>
        </w:rPr>
        <w:t>מתחם עונש הנע בין</w:t>
      </w:r>
      <w:r>
        <w:rPr>
          <w:rFonts w:ascii="Calibri" w:hAnsi="Calibri"/>
          <w:noProof w:val="0"/>
          <w:rtl/>
        </w:rPr>
        <w:t xml:space="preserve"> </w:t>
      </w:r>
      <w:r>
        <w:rPr>
          <w:rFonts w:ascii="David" w:hAnsi="David"/>
          <w:b/>
          <w:bCs/>
          <w:color w:val="000000"/>
          <w:rtl/>
        </w:rPr>
        <w:t>8 ל-20 חודשי מאסר בפועל</w:t>
      </w:r>
      <w:r>
        <w:rPr>
          <w:rFonts w:ascii="David" w:hAnsi="David"/>
          <w:color w:val="000000"/>
          <w:rtl/>
        </w:rPr>
        <w:t>, והשית על הנאשם</w:t>
      </w:r>
      <w:r>
        <w:rPr>
          <w:rFonts w:ascii="David" w:hAnsi="David"/>
          <w:b/>
          <w:bCs/>
          <w:color w:val="000000"/>
          <w:rtl/>
        </w:rPr>
        <w:t xml:space="preserve"> 9 חודשי מאסר בפועל </w:t>
      </w:r>
      <w:r>
        <w:rPr>
          <w:rFonts w:ascii="David" w:hAnsi="David"/>
          <w:color w:val="000000"/>
          <w:rtl/>
        </w:rPr>
        <w:t>וענישה נלווית.</w:t>
      </w:r>
      <w:r>
        <w:rPr>
          <w:rFonts w:ascii="David" w:hAnsi="David"/>
          <w:b/>
          <w:bCs/>
          <w:color w:val="000000"/>
          <w:rtl/>
        </w:rPr>
        <w:t xml:space="preserve"> </w:t>
      </w:r>
    </w:p>
    <w:p w14:paraId="3B6BBEF9" w14:textId="77777777" w:rsidR="00604CC9" w:rsidRDefault="00604CC9" w:rsidP="00604CC9">
      <w:pPr>
        <w:pStyle w:val="a9"/>
        <w:shd w:val="clear" w:color="auto" w:fill="FFFFFF"/>
        <w:spacing w:after="160" w:line="360" w:lineRule="auto"/>
        <w:jc w:val="both"/>
        <w:rPr>
          <w:rFonts w:ascii="Calibri" w:hAnsi="Calibri"/>
          <w:noProof w:val="0"/>
          <w:rtl/>
        </w:rPr>
      </w:pPr>
    </w:p>
    <w:p w14:paraId="2F8A3A7D" w14:textId="77777777" w:rsidR="00604CC9" w:rsidRDefault="00604CC9" w:rsidP="00604CC9">
      <w:pPr>
        <w:pStyle w:val="a9"/>
        <w:numPr>
          <w:ilvl w:val="0"/>
          <w:numId w:val="2"/>
        </w:numPr>
        <w:shd w:val="clear" w:color="auto" w:fill="FFFFFF"/>
        <w:spacing w:after="160" w:line="360" w:lineRule="auto"/>
        <w:jc w:val="both"/>
        <w:rPr>
          <w:rFonts w:ascii="David" w:hAnsi="David"/>
          <w:color w:val="000000"/>
          <w:rtl/>
        </w:rPr>
      </w:pPr>
      <w:r>
        <w:rPr>
          <w:rFonts w:ascii="David" w:hAnsi="David"/>
          <w:color w:val="000000"/>
          <w:rtl/>
        </w:rPr>
        <w:t>ב</w:t>
      </w:r>
      <w:hyperlink r:id="rId39" w:history="1">
        <w:r w:rsidR="005C0458" w:rsidRPr="005C0458">
          <w:rPr>
            <w:rFonts w:ascii="David" w:hAnsi="David"/>
            <w:color w:val="0000FF"/>
            <w:u w:val="single"/>
            <w:rtl/>
          </w:rPr>
          <w:t>ת"פ 71703-03-19</w:t>
        </w:r>
      </w:hyperlink>
      <w:r>
        <w:rPr>
          <w:rFonts w:ascii="David" w:hAnsi="David"/>
          <w:color w:val="000000"/>
          <w:rtl/>
        </w:rPr>
        <w:t xml:space="preserve"> (פ"ת) </w:t>
      </w:r>
      <w:r>
        <w:rPr>
          <w:rFonts w:ascii="David" w:hAnsi="David"/>
          <w:b/>
          <w:bCs/>
          <w:color w:val="000000"/>
          <w:rtl/>
        </w:rPr>
        <w:t>מדינת ישראל נ' עובד</w:t>
      </w:r>
      <w:r>
        <w:rPr>
          <w:rFonts w:ascii="David" w:hAnsi="David"/>
          <w:color w:val="000000"/>
          <w:rtl/>
        </w:rPr>
        <w:t xml:space="preserve"> (פורסם בנבו, 5.8.20), </w:t>
      </w:r>
      <w:r>
        <w:rPr>
          <w:rFonts w:ascii="David" w:hAnsi="David" w:hint="cs"/>
          <w:color w:val="000000"/>
          <w:rtl/>
        </w:rPr>
        <w:t xml:space="preserve">הורשע </w:t>
      </w:r>
      <w:r>
        <w:rPr>
          <w:rFonts w:ascii="David" w:hAnsi="David"/>
          <w:color w:val="000000"/>
          <w:rtl/>
        </w:rPr>
        <w:t xml:space="preserve">הנאשם על פי הודאתו, ב-3 אישומים הכוללים </w:t>
      </w:r>
      <w:r>
        <w:rPr>
          <w:rFonts w:ascii="David" w:hAnsi="David"/>
          <w:b/>
          <w:bCs/>
          <w:color w:val="000000"/>
          <w:rtl/>
        </w:rPr>
        <w:t>7 מכירות</w:t>
      </w:r>
      <w:r>
        <w:rPr>
          <w:rFonts w:ascii="David" w:hAnsi="David"/>
          <w:color w:val="000000"/>
          <w:rtl/>
        </w:rPr>
        <w:t xml:space="preserve"> שונות של סם מסוג קנבוס במשקלים קטנים, ל-</w:t>
      </w:r>
      <w:r>
        <w:rPr>
          <w:rFonts w:ascii="David" w:hAnsi="David"/>
          <w:b/>
          <w:bCs/>
          <w:color w:val="000000"/>
          <w:rtl/>
        </w:rPr>
        <w:t>3 קטינים שונים</w:t>
      </w:r>
      <w:r>
        <w:rPr>
          <w:rFonts w:ascii="David" w:hAnsi="David"/>
          <w:color w:val="000000"/>
          <w:rtl/>
        </w:rPr>
        <w:t xml:space="preserve">. בנוסף נמצא כי החזיק סם במשקל 0.66 גרם לצריכה עצמית. לפי תסקיר המבחן הנאשם לא  השתלב בהליך הטיפולי. בית המשפט קבע </w:t>
      </w:r>
      <w:r>
        <w:rPr>
          <w:rFonts w:ascii="David" w:hAnsi="David"/>
          <w:b/>
          <w:bCs/>
          <w:color w:val="000000"/>
          <w:rtl/>
        </w:rPr>
        <w:t>מתחם העונש הנע בין 20 ל- 35 חודשי מאסר</w:t>
      </w:r>
      <w:r>
        <w:rPr>
          <w:rFonts w:ascii="David" w:hAnsi="David"/>
          <w:color w:val="000000"/>
          <w:rtl/>
        </w:rPr>
        <w:t xml:space="preserve"> והשית על הנאשם </w:t>
      </w:r>
      <w:r>
        <w:rPr>
          <w:rFonts w:ascii="David" w:hAnsi="David"/>
          <w:b/>
          <w:bCs/>
          <w:color w:val="000000"/>
          <w:rtl/>
        </w:rPr>
        <w:t>20 חודשי מאסר בפועל</w:t>
      </w:r>
      <w:r>
        <w:rPr>
          <w:rFonts w:ascii="David" w:hAnsi="David"/>
          <w:color w:val="000000"/>
          <w:rtl/>
        </w:rPr>
        <w:t xml:space="preserve"> וענישה נלווית. ערעור שהוגש על גזר הדין נדחה.</w:t>
      </w:r>
    </w:p>
    <w:p w14:paraId="64F293B1" w14:textId="77777777" w:rsidR="00604CC9" w:rsidRDefault="00604CC9" w:rsidP="00604CC9">
      <w:pPr>
        <w:pStyle w:val="a9"/>
        <w:shd w:val="clear" w:color="auto" w:fill="FFFFFF"/>
        <w:spacing w:after="160" w:line="360" w:lineRule="auto"/>
        <w:jc w:val="both"/>
        <w:rPr>
          <w:rFonts w:ascii="David" w:hAnsi="David"/>
          <w:color w:val="000000"/>
        </w:rPr>
      </w:pPr>
    </w:p>
    <w:p w14:paraId="4918D5AD" w14:textId="77777777" w:rsidR="00604CC9" w:rsidRDefault="00604CC9" w:rsidP="00604CC9">
      <w:pPr>
        <w:pStyle w:val="a9"/>
        <w:numPr>
          <w:ilvl w:val="0"/>
          <w:numId w:val="2"/>
        </w:numPr>
        <w:shd w:val="clear" w:color="auto" w:fill="FFFFFF"/>
        <w:spacing w:after="160" w:line="360" w:lineRule="auto"/>
        <w:jc w:val="both"/>
        <w:rPr>
          <w:rFonts w:ascii="David" w:hAnsi="David"/>
          <w:color w:val="000000"/>
        </w:rPr>
      </w:pPr>
      <w:r>
        <w:rPr>
          <w:rFonts w:ascii="David" w:hAnsi="David"/>
          <w:color w:val="000000"/>
          <w:rtl/>
        </w:rPr>
        <w:t>ב</w:t>
      </w:r>
      <w:hyperlink r:id="rId40" w:history="1">
        <w:r w:rsidR="005C0458" w:rsidRPr="005C0458">
          <w:rPr>
            <w:rFonts w:ascii="David" w:hAnsi="David"/>
            <w:color w:val="0000FF"/>
            <w:u w:val="single"/>
            <w:rtl/>
          </w:rPr>
          <w:t>עפ"ג 22792-06-20</w:t>
        </w:r>
      </w:hyperlink>
      <w:r>
        <w:rPr>
          <w:rFonts w:ascii="David" w:hAnsi="David"/>
          <w:color w:val="000000"/>
          <w:rtl/>
        </w:rPr>
        <w:t xml:space="preserve"> </w:t>
      </w:r>
      <w:r>
        <w:rPr>
          <w:rFonts w:ascii="David" w:hAnsi="David"/>
          <w:b/>
          <w:bCs/>
          <w:color w:val="000000"/>
          <w:rtl/>
        </w:rPr>
        <w:t>יעקובוב נ' מדינת ישראל</w:t>
      </w:r>
      <w:r>
        <w:rPr>
          <w:rFonts w:ascii="David" w:hAnsi="David"/>
          <w:color w:val="000000"/>
          <w:rtl/>
        </w:rPr>
        <w:t xml:space="preserve"> (פורסם בנבו, 30.7.21), נדון ערעור של נאשם שהורשע </w:t>
      </w:r>
      <w:r>
        <w:rPr>
          <w:rFonts w:ascii="David" w:hAnsi="David"/>
          <w:b/>
          <w:bCs/>
          <w:color w:val="000000"/>
          <w:rtl/>
        </w:rPr>
        <w:t>בארבע עבירות</w:t>
      </w:r>
      <w:r>
        <w:rPr>
          <w:rFonts w:ascii="David" w:hAnsi="David"/>
          <w:color w:val="000000"/>
          <w:rtl/>
        </w:rPr>
        <w:t xml:space="preserve"> של סחר בסמים מסוג קנבוס </w:t>
      </w:r>
      <w:r>
        <w:rPr>
          <w:rFonts w:ascii="David" w:hAnsi="David"/>
          <w:b/>
          <w:bCs/>
          <w:color w:val="000000"/>
          <w:rtl/>
        </w:rPr>
        <w:t>במשקלים הנעים בין 1 עד כ-4 גרם.</w:t>
      </w:r>
      <w:r>
        <w:rPr>
          <w:rFonts w:ascii="David" w:hAnsi="David"/>
          <w:color w:val="000000"/>
          <w:rtl/>
        </w:rPr>
        <w:t xml:space="preserve"> נקבע מתחם ענישה בטווח שבין 10 חודשי מאסר עד 20 חודשי מאסר, לצד ענישה נלווית, והושת עונש של 12 חודשי מאסר בפועל, והפעלה במצטבר של שני חודשי מאסר מותנה בר הפעלה.</w:t>
      </w:r>
    </w:p>
    <w:p w14:paraId="58CA28A9" w14:textId="77777777" w:rsidR="00604CC9" w:rsidRDefault="00604CC9" w:rsidP="00604CC9">
      <w:pPr>
        <w:pStyle w:val="a9"/>
        <w:rPr>
          <w:rFonts w:ascii="David" w:hAnsi="David"/>
          <w:color w:val="000000"/>
        </w:rPr>
      </w:pPr>
    </w:p>
    <w:p w14:paraId="5E86BAED" w14:textId="77777777" w:rsidR="00604CC9" w:rsidRDefault="00604CC9" w:rsidP="00604CC9">
      <w:pPr>
        <w:pStyle w:val="a9"/>
        <w:shd w:val="clear" w:color="auto" w:fill="FFFFFF"/>
        <w:spacing w:after="160" w:line="360" w:lineRule="auto"/>
        <w:jc w:val="both"/>
        <w:rPr>
          <w:rFonts w:ascii="David" w:hAnsi="David"/>
          <w:color w:val="000000"/>
          <w:rtl/>
        </w:rPr>
      </w:pPr>
      <w:r>
        <w:rPr>
          <w:rFonts w:ascii="David" w:hAnsi="David"/>
          <w:color w:val="000000"/>
          <w:rtl/>
        </w:rPr>
        <w:t>בפסק הדין שניתן בערעור נקבע, כי בנסיבות העניין - ובשים לב לעברו המכביד של הנאשם הכולל 10 הרשעות בעבירות אלימות, רכוש וסמים - עונש מאסר בפועל של 12 חודשים, אינו מחמיר יתר על המידה עם הנאשם, ואין בו כדי להצדיק את התערבותה של ערכאת הערעור</w:t>
      </w:r>
      <w:r>
        <w:rPr>
          <w:rFonts w:ascii="David" w:hAnsi="David"/>
          <w:color w:val="000000"/>
        </w:rPr>
        <w:t>.</w:t>
      </w:r>
      <w:r>
        <w:rPr>
          <w:rFonts w:ascii="David" w:hAnsi="David"/>
          <w:color w:val="000000"/>
          <w:rtl/>
        </w:rPr>
        <w:t xml:space="preserve"> </w:t>
      </w:r>
      <w:r>
        <w:rPr>
          <w:rFonts w:ascii="David" w:hAnsi="David" w:hint="cs"/>
          <w:color w:val="000000"/>
          <w:rtl/>
        </w:rPr>
        <w:t xml:space="preserve">עם זאת, בהתחשב במצבו הבריאותי של הנאשם, </w:t>
      </w:r>
      <w:r>
        <w:rPr>
          <w:rFonts w:ascii="David" w:hAnsi="David" w:hint="cs"/>
          <w:b/>
          <w:bCs/>
          <w:color w:val="000000"/>
          <w:rtl/>
        </w:rPr>
        <w:t>נקבע שאת שני חודשי המאסר על תנאי שנגזרו על הנאשם הוא ירצה בחופף ל-12 חודשי המאסר בפועל ולא במצטבר</w:t>
      </w:r>
      <w:r>
        <w:rPr>
          <w:rFonts w:ascii="David" w:hAnsi="David" w:hint="cs"/>
          <w:color w:val="000000"/>
          <w:rtl/>
        </w:rPr>
        <w:t>.</w:t>
      </w:r>
    </w:p>
    <w:p w14:paraId="71BE06A3" w14:textId="77777777" w:rsidR="00604CC9" w:rsidRDefault="00604CC9" w:rsidP="00604CC9">
      <w:pPr>
        <w:pStyle w:val="a9"/>
        <w:shd w:val="clear" w:color="auto" w:fill="FFFFFF"/>
        <w:spacing w:after="160" w:line="360" w:lineRule="auto"/>
        <w:jc w:val="both"/>
        <w:rPr>
          <w:rFonts w:ascii="David" w:hAnsi="David"/>
          <w:color w:val="000000"/>
        </w:rPr>
      </w:pPr>
      <w:r>
        <w:rPr>
          <w:rFonts w:ascii="David" w:hAnsi="David"/>
          <w:color w:val="000000"/>
          <w:rtl/>
        </w:rPr>
        <w:t xml:space="preserve"> </w:t>
      </w:r>
    </w:p>
    <w:p w14:paraId="221194AD" w14:textId="77777777" w:rsidR="00604CC9" w:rsidRDefault="00604CC9" w:rsidP="00604CC9">
      <w:pPr>
        <w:pStyle w:val="a9"/>
        <w:numPr>
          <w:ilvl w:val="0"/>
          <w:numId w:val="2"/>
        </w:numPr>
        <w:shd w:val="clear" w:color="auto" w:fill="FFFFFF"/>
        <w:spacing w:after="160" w:line="360" w:lineRule="auto"/>
        <w:jc w:val="both"/>
        <w:rPr>
          <w:rFonts w:ascii="Calibri" w:hAnsi="Calibri"/>
          <w:noProof w:val="0"/>
          <w:rtl/>
        </w:rPr>
      </w:pPr>
      <w:r>
        <w:rPr>
          <w:rFonts w:ascii="Calibri" w:hAnsi="Calibri"/>
          <w:noProof w:val="0"/>
          <w:rtl/>
        </w:rPr>
        <w:t>ב</w:t>
      </w:r>
      <w:hyperlink r:id="rId41" w:history="1">
        <w:r w:rsidR="005C0458" w:rsidRPr="005C0458">
          <w:rPr>
            <w:rFonts w:ascii="Calibri" w:hAnsi="Calibri" w:hint="eastAsia"/>
            <w:noProof w:val="0"/>
            <w:color w:val="0000FF"/>
            <w:u w:val="single"/>
            <w:rtl/>
          </w:rPr>
          <w:t>עפ</w:t>
        </w:r>
        <w:r w:rsidR="005C0458" w:rsidRPr="005C0458">
          <w:rPr>
            <w:rFonts w:ascii="Calibri" w:hAnsi="Calibri"/>
            <w:noProof w:val="0"/>
            <w:color w:val="0000FF"/>
            <w:u w:val="single"/>
            <w:rtl/>
          </w:rPr>
          <w:t>"</w:t>
        </w:r>
        <w:r w:rsidR="005C0458" w:rsidRPr="005C0458">
          <w:rPr>
            <w:rFonts w:ascii="Calibri" w:hAnsi="Calibri" w:hint="eastAsia"/>
            <w:noProof w:val="0"/>
            <w:color w:val="0000FF"/>
            <w:u w:val="single"/>
            <w:rtl/>
          </w:rPr>
          <w:t>ג</w:t>
        </w:r>
        <w:r w:rsidR="005C0458" w:rsidRPr="005C0458">
          <w:rPr>
            <w:rFonts w:ascii="Calibri" w:hAnsi="Calibri"/>
            <w:noProof w:val="0"/>
            <w:color w:val="0000FF"/>
            <w:u w:val="single"/>
            <w:rtl/>
          </w:rPr>
          <w:t xml:space="preserve"> (</w:t>
        </w:r>
        <w:r w:rsidR="005C0458" w:rsidRPr="005C0458">
          <w:rPr>
            <w:rFonts w:ascii="Calibri" w:hAnsi="Calibri" w:hint="eastAsia"/>
            <w:noProof w:val="0"/>
            <w:color w:val="0000FF"/>
            <w:u w:val="single"/>
            <w:rtl/>
          </w:rPr>
          <w:t>ירושלים</w:t>
        </w:r>
        <w:r w:rsidR="005C0458" w:rsidRPr="005C0458">
          <w:rPr>
            <w:rFonts w:ascii="Calibri" w:hAnsi="Calibri"/>
            <w:noProof w:val="0"/>
            <w:color w:val="0000FF"/>
            <w:u w:val="single"/>
            <w:rtl/>
          </w:rPr>
          <w:t>) 19763-12-16</w:t>
        </w:r>
      </w:hyperlink>
      <w:r w:rsidR="005C0458">
        <w:rPr>
          <w:rFonts w:ascii="Calibri" w:hAnsi="Calibri"/>
          <w:noProof w:val="0"/>
          <w:rtl/>
        </w:rPr>
        <w:t xml:space="preserve"> </w:t>
      </w:r>
      <w:r>
        <w:rPr>
          <w:rFonts w:ascii="Calibri" w:hAnsi="Calibri"/>
          <w:b/>
          <w:bCs/>
          <w:noProof w:val="0"/>
          <w:rtl/>
        </w:rPr>
        <w:t>מדינת ישראל נ' נתנאל בשארי</w:t>
      </w:r>
      <w:r>
        <w:rPr>
          <w:rFonts w:ascii="Calibri" w:hAnsi="Calibri"/>
          <w:i/>
          <w:iCs/>
          <w:noProof w:val="0"/>
          <w:rtl/>
        </w:rPr>
        <w:t xml:space="preserve"> </w:t>
      </w:r>
      <w:r>
        <w:rPr>
          <w:rFonts w:ascii="Calibri" w:hAnsi="Calibri"/>
          <w:noProof w:val="0"/>
          <w:rtl/>
        </w:rPr>
        <w:t xml:space="preserve">(פורסם בנבו, 8.1.17), נדחה ערעור המדינה על קולת העונש של נאשם שהורשע ב- </w:t>
      </w:r>
      <w:r>
        <w:rPr>
          <w:rFonts w:ascii="Calibri" w:hAnsi="Calibri"/>
          <w:b/>
          <w:bCs/>
          <w:noProof w:val="0"/>
          <w:rtl/>
        </w:rPr>
        <w:t>3 עבירות</w:t>
      </w:r>
      <w:r>
        <w:rPr>
          <w:rFonts w:ascii="Calibri" w:hAnsi="Calibri"/>
          <w:noProof w:val="0"/>
          <w:rtl/>
        </w:rPr>
        <w:t xml:space="preserve"> של סחר בסם מסג מריחואנה ובעבירה של החזקת סם שלא לצריכה עצמית. הנאשם מכר לאחר סם מסוג מריחואנה במשקל כ-2 גרם תמורת סכום של כ-100 ל-200 ₪. בנוסף, הנאשם מכר לקונה אחר, בשתי פעמים נפרדות, סם מסוג מריחואנה במשקל שאינו ידוע ובתמורה לסכום המוערך בסך 200 – 300 ₪ עבור כל עסקה. בנוסף, נתפס אצל הנאשם סם מסוג חשיש במשקל של כ-700 גרם. בגין עבירות הסחר בסם בעסקה הראשונה נקבע </w:t>
      </w:r>
      <w:r>
        <w:rPr>
          <w:rFonts w:ascii="Calibri" w:hAnsi="Calibri"/>
          <w:b/>
          <w:bCs/>
          <w:noProof w:val="0"/>
          <w:rtl/>
        </w:rPr>
        <w:t>מתחם עונש הנע בין חודשיים מאסר שיכול שירוצה בעבודות שירות ועד ל- 10 חודשי מאסר בפועל</w:t>
      </w:r>
      <w:r>
        <w:rPr>
          <w:rFonts w:ascii="Calibri" w:hAnsi="Calibri"/>
          <w:noProof w:val="0"/>
          <w:rtl/>
        </w:rPr>
        <w:t xml:space="preserve">. בגין עבירות הסחר בסם בשתי העסקאות האחרות נקבע מתחם עונש הנע בין </w:t>
      </w:r>
      <w:r>
        <w:rPr>
          <w:rFonts w:ascii="Calibri" w:hAnsi="Calibri"/>
          <w:b/>
          <w:bCs/>
          <w:noProof w:val="0"/>
          <w:rtl/>
        </w:rPr>
        <w:t>ארבעה חודשי מאסר שיכול שירוצה בעבודות שירות ועד ל- 20 חודשי מאסר בפועל</w:t>
      </w:r>
      <w:r>
        <w:rPr>
          <w:rFonts w:ascii="Calibri" w:hAnsi="Calibri"/>
          <w:noProof w:val="0"/>
          <w:rtl/>
        </w:rPr>
        <w:t xml:space="preserve">. על הנאשם נגזר עונש של </w:t>
      </w:r>
      <w:r>
        <w:rPr>
          <w:rFonts w:ascii="Calibri" w:hAnsi="Calibri"/>
          <w:b/>
          <w:bCs/>
          <w:noProof w:val="0"/>
          <w:rtl/>
        </w:rPr>
        <w:t xml:space="preserve">8 חודשי מאסר בפועל </w:t>
      </w:r>
      <w:r>
        <w:rPr>
          <w:rFonts w:ascii="Calibri" w:hAnsi="Calibri"/>
          <w:noProof w:val="0"/>
          <w:rtl/>
        </w:rPr>
        <w:t>וענישה נלווית.</w:t>
      </w:r>
    </w:p>
    <w:p w14:paraId="17817543" w14:textId="77777777" w:rsidR="00604CC9" w:rsidRDefault="00604CC9" w:rsidP="00604CC9">
      <w:pPr>
        <w:pStyle w:val="a9"/>
        <w:rPr>
          <w:rFonts w:ascii="Calibri" w:hAnsi="Calibri"/>
          <w:noProof w:val="0"/>
        </w:rPr>
      </w:pPr>
    </w:p>
    <w:p w14:paraId="5C7C3898" w14:textId="77777777" w:rsidR="00604CC9" w:rsidRDefault="00604CC9" w:rsidP="00604CC9">
      <w:pPr>
        <w:pStyle w:val="a9"/>
        <w:numPr>
          <w:ilvl w:val="0"/>
          <w:numId w:val="2"/>
        </w:numPr>
        <w:shd w:val="clear" w:color="auto" w:fill="FFFFFF"/>
        <w:spacing w:after="160" w:line="360" w:lineRule="auto"/>
        <w:jc w:val="both"/>
        <w:rPr>
          <w:rFonts w:ascii="David" w:hAnsi="David"/>
          <w:color w:val="000000"/>
          <w:rtl/>
        </w:rPr>
      </w:pPr>
      <w:r w:rsidRPr="00D33B01">
        <w:rPr>
          <w:rFonts w:ascii="David" w:hAnsi="David"/>
          <w:color w:val="000000"/>
          <w:rtl/>
        </w:rPr>
        <w:t>ב</w:t>
      </w:r>
      <w:hyperlink r:id="rId42" w:history="1">
        <w:r w:rsidR="005C0458" w:rsidRPr="005C0458">
          <w:rPr>
            <w:rFonts w:ascii="David" w:hAnsi="David"/>
            <w:color w:val="0000FF"/>
            <w:u w:val="single"/>
            <w:rtl/>
          </w:rPr>
          <w:t>ת"פ (רמלה) 26709-06-14</w:t>
        </w:r>
      </w:hyperlink>
      <w:r w:rsidR="005C0458">
        <w:rPr>
          <w:rFonts w:ascii="David" w:hAnsi="David"/>
          <w:color w:val="000000"/>
        </w:rPr>
        <w:t xml:space="preserve"> </w:t>
      </w:r>
      <w:r>
        <w:rPr>
          <w:rFonts w:ascii="David" w:hAnsi="David"/>
          <w:b/>
          <w:bCs/>
          <w:color w:val="000000"/>
          <w:rtl/>
        </w:rPr>
        <w:t>מדינת ישראל נ' ישראלוב</w:t>
      </w:r>
      <w:r w:rsidR="005C0458">
        <w:rPr>
          <w:rFonts w:ascii="David" w:hAnsi="David"/>
          <w:b/>
          <w:bCs/>
          <w:color w:val="000000"/>
          <w:rtl/>
        </w:rPr>
        <w:t xml:space="preserve"> </w:t>
      </w:r>
      <w:r>
        <w:rPr>
          <w:rFonts w:ascii="David" w:hAnsi="David"/>
          <w:color w:val="000000"/>
          <w:rtl/>
        </w:rPr>
        <w:t xml:space="preserve">(פורסם בנבו, 26.10.14), הורשע </w:t>
      </w:r>
      <w:r>
        <w:rPr>
          <w:rFonts w:ascii="David" w:hAnsi="David" w:hint="cs"/>
          <w:color w:val="000000"/>
          <w:rtl/>
        </w:rPr>
        <w:t>ה</w:t>
      </w:r>
      <w:r>
        <w:rPr>
          <w:rFonts w:ascii="David" w:hAnsi="David"/>
          <w:color w:val="000000"/>
          <w:rtl/>
        </w:rPr>
        <w:t>נאשם בשלושה אישומים של סחר בסם מסוכן בכך שמכר ב</w:t>
      </w:r>
      <w:r>
        <w:rPr>
          <w:rFonts w:ascii="David" w:hAnsi="David"/>
          <w:b/>
          <w:bCs/>
          <w:color w:val="000000"/>
          <w:rtl/>
        </w:rPr>
        <w:t xml:space="preserve">שלוש הזדמנויות </w:t>
      </w:r>
      <w:r>
        <w:rPr>
          <w:rFonts w:ascii="David" w:hAnsi="David"/>
          <w:color w:val="000000"/>
          <w:rtl/>
        </w:rPr>
        <w:t xml:space="preserve">שונות סם מסוג חשיש במשקלים של </w:t>
      </w:r>
      <w:r>
        <w:rPr>
          <w:rFonts w:ascii="David" w:hAnsi="David"/>
          <w:b/>
          <w:bCs/>
          <w:color w:val="000000"/>
          <w:rtl/>
        </w:rPr>
        <w:t>7.54 גרם, 21 גרם ו- 9.4 גרם</w:t>
      </w:r>
      <w:r>
        <w:rPr>
          <w:rFonts w:ascii="David" w:hAnsi="David"/>
          <w:color w:val="000000"/>
          <w:rtl/>
        </w:rPr>
        <w:t xml:space="preserve">, לסוכנת משטרתית בנסיבות חברתיות. נקבע </w:t>
      </w:r>
      <w:r>
        <w:rPr>
          <w:rFonts w:ascii="David" w:hAnsi="David"/>
          <w:b/>
          <w:bCs/>
          <w:color w:val="000000"/>
          <w:rtl/>
        </w:rPr>
        <w:t>מתחם עונש הולם הנע בין 6 ל- 18 חודשי מאסר בפועל לכל אירוע</w:t>
      </w:r>
      <w:r>
        <w:rPr>
          <w:rFonts w:ascii="David" w:hAnsi="David"/>
          <w:b/>
          <w:bCs/>
          <w:color w:val="000000"/>
        </w:rPr>
        <w:t>.</w:t>
      </w:r>
      <w:r>
        <w:rPr>
          <w:rFonts w:ascii="David" w:hAnsi="David"/>
          <w:color w:val="000000"/>
          <w:rtl/>
        </w:rPr>
        <w:t xml:space="preserve"> </w:t>
      </w:r>
      <w:r>
        <w:rPr>
          <w:rFonts w:ascii="David" w:hAnsi="David" w:hint="cs"/>
          <w:color w:val="000000"/>
          <w:rtl/>
        </w:rPr>
        <w:t xml:space="preserve">הנאשם בעל עבר פלילי בעבירות אלימות נידון ל- </w:t>
      </w:r>
      <w:r>
        <w:rPr>
          <w:rFonts w:ascii="David" w:hAnsi="David" w:hint="cs"/>
          <w:b/>
          <w:bCs/>
          <w:color w:val="000000"/>
          <w:rtl/>
        </w:rPr>
        <w:t>11 חודשי מאסר בפועל</w:t>
      </w:r>
      <w:r>
        <w:rPr>
          <w:rFonts w:ascii="David" w:hAnsi="David" w:hint="cs"/>
          <w:color w:val="000000"/>
          <w:rtl/>
        </w:rPr>
        <w:t xml:space="preserve"> וענישה נלווית.</w:t>
      </w:r>
    </w:p>
    <w:p w14:paraId="24941455" w14:textId="77777777" w:rsidR="00604CC9" w:rsidRDefault="00604CC9" w:rsidP="00604CC9">
      <w:pPr>
        <w:pStyle w:val="a9"/>
        <w:shd w:val="clear" w:color="auto" w:fill="FFFFFF"/>
        <w:spacing w:after="160" w:line="360" w:lineRule="auto"/>
        <w:jc w:val="both"/>
        <w:rPr>
          <w:rFonts w:ascii="David" w:hAnsi="David"/>
          <w:color w:val="000000"/>
          <w:rtl/>
        </w:rPr>
      </w:pPr>
    </w:p>
    <w:p w14:paraId="5FDCD70B" w14:textId="77777777" w:rsidR="00604CC9" w:rsidRDefault="00604CC9" w:rsidP="00604CC9">
      <w:pPr>
        <w:pStyle w:val="a9"/>
        <w:numPr>
          <w:ilvl w:val="0"/>
          <w:numId w:val="2"/>
        </w:numPr>
        <w:shd w:val="clear" w:color="auto" w:fill="FFFFFF"/>
        <w:spacing w:after="160" w:line="360" w:lineRule="auto"/>
        <w:jc w:val="both"/>
        <w:rPr>
          <w:rFonts w:ascii="David" w:hAnsi="David"/>
          <w:color w:val="000000"/>
        </w:rPr>
      </w:pPr>
      <w:r>
        <w:rPr>
          <w:rFonts w:ascii="David" w:hAnsi="David"/>
          <w:color w:val="000000"/>
          <w:rtl/>
        </w:rPr>
        <w:t>ב</w:t>
      </w:r>
      <w:hyperlink r:id="rId43" w:history="1">
        <w:r w:rsidR="005C0458" w:rsidRPr="005C0458">
          <w:rPr>
            <w:color w:val="0000FF"/>
            <w:u w:val="single"/>
            <w:rtl/>
          </w:rPr>
          <w:t>ת"פ (ק"ש) 40639-10-17</w:t>
        </w:r>
      </w:hyperlink>
      <w:r w:rsidR="005C0458">
        <w:rPr>
          <w:rFonts w:ascii="David" w:hAnsi="David"/>
          <w:color w:val="000000"/>
          <w:rtl/>
        </w:rPr>
        <w:t xml:space="preserve"> </w:t>
      </w:r>
      <w:r>
        <w:rPr>
          <w:rFonts w:ascii="David" w:hAnsi="David"/>
          <w:b/>
          <w:bCs/>
          <w:color w:val="000000"/>
          <w:rtl/>
        </w:rPr>
        <w:t>שלוחת תביעות מרום הגליל והגולן נ' בובו</w:t>
      </w:r>
      <w:r>
        <w:rPr>
          <w:rFonts w:ascii="David" w:hAnsi="David"/>
          <w:color w:val="000000"/>
          <w:rtl/>
        </w:rPr>
        <w:t xml:space="preserve"> (פורסם בנבו, 28.5.18),</w:t>
      </w:r>
      <w:r>
        <w:rPr>
          <w:rFonts w:ascii="David" w:hAnsi="David" w:hint="cs"/>
          <w:color w:val="000000"/>
          <w:rtl/>
        </w:rPr>
        <w:t xml:space="preserve"> הורשע </w:t>
      </w:r>
      <w:r>
        <w:rPr>
          <w:rFonts w:ascii="David" w:hAnsi="David"/>
          <w:color w:val="000000"/>
          <w:rtl/>
        </w:rPr>
        <w:t>הנאשם</w:t>
      </w:r>
      <w:r>
        <w:rPr>
          <w:rFonts w:ascii="David" w:hAnsi="David" w:hint="cs"/>
          <w:color w:val="000000"/>
          <w:rtl/>
        </w:rPr>
        <w:t xml:space="preserve"> על </w:t>
      </w:r>
      <w:r>
        <w:rPr>
          <w:rFonts w:ascii="David" w:hAnsi="David"/>
          <w:color w:val="000000"/>
          <w:rtl/>
        </w:rPr>
        <w:t>פי</w:t>
      </w:r>
      <w:r>
        <w:rPr>
          <w:rFonts w:ascii="David" w:hAnsi="David" w:hint="cs"/>
          <w:color w:val="000000"/>
          <w:rtl/>
        </w:rPr>
        <w:t xml:space="preserve"> </w:t>
      </w:r>
      <w:r>
        <w:rPr>
          <w:rFonts w:ascii="David" w:hAnsi="David"/>
          <w:color w:val="000000"/>
          <w:rtl/>
        </w:rPr>
        <w:t>הודאתו,</w:t>
      </w:r>
      <w:r w:rsidR="005C0458">
        <w:rPr>
          <w:rFonts w:ascii="David" w:hAnsi="David"/>
          <w:color w:val="000000"/>
          <w:rtl/>
        </w:rPr>
        <w:t xml:space="preserve"> </w:t>
      </w:r>
      <w:r>
        <w:rPr>
          <w:rFonts w:ascii="David" w:hAnsi="David"/>
          <w:color w:val="000000"/>
          <w:rtl/>
        </w:rPr>
        <w:t xml:space="preserve"> </w:t>
      </w:r>
      <w:r>
        <w:rPr>
          <w:rFonts w:ascii="David" w:hAnsi="David"/>
          <w:b/>
          <w:bCs/>
          <w:color w:val="000000"/>
          <w:rtl/>
        </w:rPr>
        <w:t xml:space="preserve">בארבע עבירות של סחר בסמים </w:t>
      </w:r>
      <w:r>
        <w:rPr>
          <w:rFonts w:ascii="David" w:hAnsi="David"/>
          <w:color w:val="000000"/>
          <w:rtl/>
        </w:rPr>
        <w:t xml:space="preserve">מסוג גראס ובעבירה של החזקת סמים שלא לצריכה עצמית. בית המשפט קבע </w:t>
      </w:r>
      <w:r>
        <w:rPr>
          <w:rFonts w:ascii="David" w:hAnsi="David"/>
          <w:b/>
          <w:bCs/>
          <w:color w:val="000000"/>
          <w:rtl/>
        </w:rPr>
        <w:t>מתחם עונש הנע בין בין 6 חודשי מאסר בפועל לריצוי בדרך של עבודות שרות ועד 15 חודשי מאסר לריצוי בפועל</w:t>
      </w:r>
      <w:r>
        <w:rPr>
          <w:rFonts w:ascii="David" w:hAnsi="David"/>
          <w:color w:val="000000"/>
          <w:rtl/>
        </w:rPr>
        <w:t>.</w:t>
      </w:r>
      <w:r>
        <w:rPr>
          <w:rFonts w:ascii="David" w:hAnsi="David"/>
          <w:b/>
          <w:bCs/>
          <w:color w:val="000000"/>
          <w:rtl/>
        </w:rPr>
        <w:t xml:space="preserve"> </w:t>
      </w:r>
      <w:r>
        <w:rPr>
          <w:rFonts w:ascii="David" w:hAnsi="David"/>
          <w:color w:val="000000"/>
          <w:rtl/>
        </w:rPr>
        <w:t xml:space="preserve">לנאשם עבר פלילי בעבירות אחרות שאינו מכביד יתר על המידה ותסקיר המבחן בעניינו היה חיובי. בית המשפט הטיל על הנאשם </w:t>
      </w:r>
      <w:r>
        <w:rPr>
          <w:rFonts w:ascii="David" w:hAnsi="David"/>
          <w:b/>
          <w:bCs/>
          <w:color w:val="000000"/>
          <w:rtl/>
        </w:rPr>
        <w:t xml:space="preserve">מאסר בפועל לתקופה של 6 חודשים בדרך של עבודות שירות </w:t>
      </w:r>
      <w:r>
        <w:rPr>
          <w:rFonts w:ascii="David" w:hAnsi="David"/>
          <w:color w:val="000000"/>
          <w:rtl/>
        </w:rPr>
        <w:t>וענישה נלווית</w:t>
      </w:r>
      <w:r>
        <w:rPr>
          <w:rFonts w:ascii="David" w:hAnsi="David"/>
          <w:b/>
          <w:bCs/>
          <w:color w:val="000000"/>
          <w:rtl/>
        </w:rPr>
        <w:t>.</w:t>
      </w:r>
    </w:p>
    <w:p w14:paraId="3632BCDA" w14:textId="77777777" w:rsidR="00604CC9" w:rsidRPr="00440A50" w:rsidRDefault="00604CC9" w:rsidP="00604CC9">
      <w:pPr>
        <w:pStyle w:val="a9"/>
        <w:rPr>
          <w:rFonts w:ascii="David" w:hAnsi="David"/>
          <w:color w:val="000000"/>
          <w:rtl/>
        </w:rPr>
      </w:pPr>
    </w:p>
    <w:p w14:paraId="5383DAB3" w14:textId="77777777" w:rsidR="00604CC9" w:rsidRPr="00440A50" w:rsidRDefault="00604CC9" w:rsidP="00604CC9">
      <w:pPr>
        <w:pStyle w:val="a9"/>
        <w:numPr>
          <w:ilvl w:val="0"/>
          <w:numId w:val="2"/>
        </w:numPr>
        <w:shd w:val="clear" w:color="auto" w:fill="FFFFFF"/>
        <w:spacing w:after="160" w:line="360" w:lineRule="auto"/>
        <w:jc w:val="both"/>
        <w:rPr>
          <w:rFonts w:ascii="David" w:hAnsi="David"/>
          <w:color w:val="000000"/>
        </w:rPr>
      </w:pPr>
      <w:r w:rsidRPr="00440A50">
        <w:rPr>
          <w:rFonts w:ascii="Calibri" w:hAnsi="Calibri"/>
          <w:noProof w:val="0"/>
          <w:rtl/>
        </w:rPr>
        <w:t>ב</w:t>
      </w:r>
      <w:hyperlink r:id="rId44" w:history="1">
        <w:r w:rsidR="005C0458" w:rsidRPr="005C0458">
          <w:rPr>
            <w:rFonts w:ascii="Calibri" w:hAnsi="Calibri" w:hint="eastAsia"/>
            <w:noProof w:val="0"/>
            <w:color w:val="0000FF"/>
            <w:u w:val="single"/>
            <w:rtl/>
          </w:rPr>
          <w:t>עפ</w:t>
        </w:r>
        <w:r w:rsidR="005C0458" w:rsidRPr="005C0458">
          <w:rPr>
            <w:rFonts w:ascii="Calibri" w:hAnsi="Calibri"/>
            <w:noProof w:val="0"/>
            <w:color w:val="0000FF"/>
            <w:u w:val="single"/>
            <w:rtl/>
          </w:rPr>
          <w:t>"</w:t>
        </w:r>
        <w:r w:rsidR="005C0458" w:rsidRPr="005C0458">
          <w:rPr>
            <w:rFonts w:ascii="Calibri" w:hAnsi="Calibri" w:hint="eastAsia"/>
            <w:noProof w:val="0"/>
            <w:color w:val="0000FF"/>
            <w:u w:val="single"/>
            <w:rtl/>
          </w:rPr>
          <w:t>ג</w:t>
        </w:r>
        <w:r w:rsidR="005C0458" w:rsidRPr="005C0458">
          <w:rPr>
            <w:rFonts w:ascii="Calibri" w:hAnsi="Calibri"/>
            <w:noProof w:val="0"/>
            <w:color w:val="0000FF"/>
            <w:u w:val="single"/>
            <w:rtl/>
          </w:rPr>
          <w:t xml:space="preserve"> (</w:t>
        </w:r>
        <w:r w:rsidR="005C0458" w:rsidRPr="005C0458">
          <w:rPr>
            <w:rFonts w:ascii="Calibri" w:hAnsi="Calibri" w:hint="eastAsia"/>
            <w:noProof w:val="0"/>
            <w:color w:val="0000FF"/>
            <w:u w:val="single"/>
            <w:rtl/>
          </w:rPr>
          <w:t>מרכז</w:t>
        </w:r>
        <w:r w:rsidR="005C0458" w:rsidRPr="005C0458">
          <w:rPr>
            <w:rFonts w:ascii="Calibri" w:hAnsi="Calibri"/>
            <w:noProof w:val="0"/>
            <w:color w:val="0000FF"/>
            <w:u w:val="single"/>
            <w:rtl/>
          </w:rPr>
          <w:t>) 13964-09-17</w:t>
        </w:r>
      </w:hyperlink>
      <w:r w:rsidRPr="00440A50">
        <w:rPr>
          <w:rFonts w:ascii="Calibri" w:hAnsi="Calibri"/>
          <w:noProof w:val="0"/>
          <w:rtl/>
        </w:rPr>
        <w:t>‏ ‏</w:t>
      </w:r>
      <w:r w:rsidRPr="00440A50">
        <w:rPr>
          <w:rFonts w:ascii="Calibri" w:hAnsi="Calibri"/>
          <w:b/>
          <w:bCs/>
          <w:noProof w:val="0"/>
          <w:rtl/>
        </w:rPr>
        <w:t>יגור זסלבסקי נ' מדינת ישראל</w:t>
      </w:r>
      <w:r w:rsidRPr="00440A50">
        <w:rPr>
          <w:rFonts w:ascii="Calibri" w:hAnsi="Calibri"/>
          <w:noProof w:val="0"/>
          <w:rtl/>
        </w:rPr>
        <w:t xml:space="preserve"> (פורסם בנבו, 18.3.18)</w:t>
      </w:r>
      <w:r>
        <w:rPr>
          <w:rFonts w:ascii="Calibri" w:hAnsi="Calibri"/>
          <w:noProof w:val="0"/>
          <w:rtl/>
        </w:rPr>
        <w:t>, נדחה ערעור נאשם שהורשע</w:t>
      </w:r>
      <w:r w:rsidRPr="00440A50">
        <w:rPr>
          <w:rFonts w:ascii="Calibri" w:hAnsi="Calibri"/>
          <w:noProof w:val="0"/>
          <w:rtl/>
        </w:rPr>
        <w:t xml:space="preserve"> על פי הודאתו, בעבירות של סחר סמים. הנאשם ביצע </w:t>
      </w:r>
      <w:r w:rsidRPr="00440A50">
        <w:rPr>
          <w:rFonts w:ascii="Calibri" w:hAnsi="Calibri"/>
          <w:b/>
          <w:bCs/>
          <w:noProof w:val="0"/>
          <w:rtl/>
        </w:rPr>
        <w:t xml:space="preserve">7 עסקאות </w:t>
      </w:r>
      <w:r w:rsidRPr="00440A50">
        <w:rPr>
          <w:rFonts w:ascii="Calibri" w:hAnsi="Calibri"/>
          <w:noProof w:val="0"/>
          <w:rtl/>
        </w:rPr>
        <w:t>של מכירת סמים מסוג קנאביס הידרו ל-</w:t>
      </w:r>
      <w:r w:rsidRPr="00440A50">
        <w:rPr>
          <w:rFonts w:ascii="Calibri" w:hAnsi="Calibri"/>
          <w:b/>
          <w:bCs/>
          <w:noProof w:val="0"/>
          <w:rtl/>
        </w:rPr>
        <w:t>3</w:t>
      </w:r>
      <w:r w:rsidRPr="00440A50">
        <w:rPr>
          <w:rFonts w:ascii="Calibri" w:hAnsi="Calibri"/>
          <w:noProof w:val="0"/>
          <w:rtl/>
        </w:rPr>
        <w:t xml:space="preserve"> </w:t>
      </w:r>
      <w:r w:rsidRPr="00440A50">
        <w:rPr>
          <w:rFonts w:ascii="Calibri" w:hAnsi="Calibri"/>
          <w:b/>
          <w:bCs/>
          <w:noProof w:val="0"/>
          <w:rtl/>
        </w:rPr>
        <w:t>קונים שונים</w:t>
      </w:r>
      <w:r w:rsidRPr="00440A50">
        <w:rPr>
          <w:rFonts w:ascii="Calibri" w:hAnsi="Calibri"/>
          <w:noProof w:val="0"/>
          <w:rtl/>
        </w:rPr>
        <w:t>, כאשר ב</w:t>
      </w:r>
      <w:r w:rsidRPr="00440A50">
        <w:rPr>
          <w:rFonts w:ascii="Calibri" w:hAnsi="Calibri"/>
          <w:b/>
          <w:bCs/>
          <w:noProof w:val="0"/>
          <w:rtl/>
        </w:rPr>
        <w:t>כל עסקה מכר כמות קטנה של 1 - 2 גרם סם</w:t>
      </w:r>
      <w:r w:rsidRPr="00440A50">
        <w:rPr>
          <w:rFonts w:ascii="Calibri" w:hAnsi="Calibri"/>
          <w:noProof w:val="0"/>
          <w:rtl/>
        </w:rPr>
        <w:t>, תמורת סכומים נמוכים ועל בסיס תשלום של 120 ₪ לגרם</w:t>
      </w:r>
      <w:r w:rsidRPr="00440A50">
        <w:rPr>
          <w:rFonts w:ascii="Calibri" w:hAnsi="Calibri"/>
          <w:noProof w:val="0"/>
        </w:rPr>
        <w:t>.</w:t>
      </w:r>
      <w:r w:rsidRPr="00440A50">
        <w:rPr>
          <w:rFonts w:ascii="Calibri" w:hAnsi="Calibri"/>
          <w:noProof w:val="0"/>
          <w:rtl/>
        </w:rPr>
        <w:t xml:space="preserve"> בית המשפט קבע </w:t>
      </w:r>
      <w:r w:rsidRPr="00440A50">
        <w:rPr>
          <w:rFonts w:ascii="Calibri" w:hAnsi="Calibri"/>
          <w:b/>
          <w:bCs/>
          <w:noProof w:val="0"/>
          <w:rtl/>
        </w:rPr>
        <w:t>מתחם עונש הנע בין 9 ל-24 חודשים</w:t>
      </w:r>
      <w:r w:rsidRPr="00440A50">
        <w:rPr>
          <w:rFonts w:ascii="Calibri" w:hAnsi="Calibri"/>
          <w:noProof w:val="0"/>
          <w:rtl/>
        </w:rPr>
        <w:t xml:space="preserve">. הנאשם ללא עבר פלילי. בית המשפט חרג ממתחם הענישה משיקולי שיקום, והשית על הנאשם </w:t>
      </w:r>
      <w:r w:rsidRPr="00440A50">
        <w:rPr>
          <w:rFonts w:ascii="Calibri" w:hAnsi="Calibri"/>
          <w:b/>
          <w:bCs/>
          <w:noProof w:val="0"/>
          <w:rtl/>
        </w:rPr>
        <w:t>6 חודשי מאסר בפועל שירוצו בעבודות שירות</w:t>
      </w:r>
      <w:r w:rsidRPr="00440A50">
        <w:rPr>
          <w:rFonts w:ascii="Calibri" w:hAnsi="Calibri"/>
          <w:noProof w:val="0"/>
          <w:rtl/>
        </w:rPr>
        <w:t>.</w:t>
      </w:r>
    </w:p>
    <w:p w14:paraId="0469E743" w14:textId="77777777" w:rsidR="00604CC9" w:rsidRDefault="00604CC9" w:rsidP="00604CC9">
      <w:pPr>
        <w:pStyle w:val="a9"/>
        <w:numPr>
          <w:ilvl w:val="0"/>
          <w:numId w:val="1"/>
        </w:numPr>
        <w:spacing w:after="120" w:line="360" w:lineRule="atLeast"/>
        <w:jc w:val="both"/>
        <w:rPr>
          <w:rFonts w:ascii="Calibri" w:hAnsi="Calibri"/>
          <w:noProof w:val="0"/>
        </w:rPr>
      </w:pPr>
      <w:r>
        <w:rPr>
          <w:rFonts w:ascii="Calibri" w:hAnsi="Calibri"/>
          <w:noProof w:val="0"/>
          <w:rtl/>
        </w:rPr>
        <w:t xml:space="preserve">בחינת מדיניות הענישה כפי שמשתקפת בפסיקה שהובאה לעיל, מלמדת כי קיימת מגמת החמרה בענישה על סוחרי סמים שסחרו בקנבוס גם בכמויות קטנות. לצד זאת, ניתן לראות הקלה בעונשם של נאשמים שנרתמו להליך שיקומי </w:t>
      </w:r>
      <w:r>
        <w:rPr>
          <w:rFonts w:ascii="Calibri" w:hAnsi="Calibri" w:hint="cs"/>
          <w:noProof w:val="0"/>
          <w:rtl/>
        </w:rPr>
        <w:t xml:space="preserve">אינטנסיבי ומעשי, </w:t>
      </w:r>
      <w:r>
        <w:rPr>
          <w:rFonts w:ascii="Calibri" w:hAnsi="Calibri"/>
          <w:noProof w:val="0"/>
          <w:rtl/>
        </w:rPr>
        <w:t>עד כדי הטלת עונשי מאסר שירוצו בעבודות שירות. מנעד הענישה הכולל קשת רחבה של עונשים, תלוי בנסיבות כל מקרה ומקרה, בכמויות הסם, סוג הסם, מספר העסקאות, תדירותן, מספר הקונים והיותם קטינים או בגירים.</w:t>
      </w:r>
    </w:p>
    <w:p w14:paraId="6DD9ADD5" w14:textId="77777777" w:rsidR="00604CC9" w:rsidRDefault="00604CC9" w:rsidP="00604CC9">
      <w:pPr>
        <w:pStyle w:val="a9"/>
        <w:spacing w:after="120" w:line="360" w:lineRule="atLeast"/>
        <w:ind w:left="360"/>
        <w:jc w:val="both"/>
        <w:rPr>
          <w:rFonts w:ascii="Calibri" w:hAnsi="Calibri"/>
          <w:noProof w:val="0"/>
        </w:rPr>
      </w:pPr>
    </w:p>
    <w:p w14:paraId="52EEC2EF" w14:textId="77777777" w:rsidR="00604CC9" w:rsidRDefault="00604CC9" w:rsidP="00604CC9">
      <w:pPr>
        <w:pStyle w:val="a9"/>
        <w:numPr>
          <w:ilvl w:val="0"/>
          <w:numId w:val="1"/>
        </w:numPr>
        <w:spacing w:after="120" w:line="360" w:lineRule="atLeast"/>
        <w:jc w:val="both"/>
        <w:rPr>
          <w:rFonts w:ascii="Calibri" w:hAnsi="Calibri"/>
          <w:noProof w:val="0"/>
        </w:rPr>
      </w:pPr>
      <w:r>
        <w:rPr>
          <w:rFonts w:ascii="Calibri" w:hAnsi="Calibri"/>
          <w:noProof w:val="0"/>
          <w:rtl/>
        </w:rPr>
        <w:t xml:space="preserve">בשקלול מדיניות הענישה בפסיקה, ונסיבות ביצוע העבירות, </w:t>
      </w:r>
      <w:r>
        <w:rPr>
          <w:rtl/>
        </w:rPr>
        <w:t>ובהתאם לתיקון 113 ל</w:t>
      </w:r>
      <w:hyperlink r:id="rId45" w:history="1">
        <w:r w:rsidR="005C0458" w:rsidRPr="005C0458">
          <w:rPr>
            <w:color w:val="0000FF"/>
            <w:u w:val="single"/>
            <w:rtl/>
          </w:rPr>
          <w:t>חוק העונשין</w:t>
        </w:r>
      </w:hyperlink>
      <w:r>
        <w:rPr>
          <w:rtl/>
        </w:rPr>
        <w:t xml:space="preserve">, </w:t>
      </w:r>
      <w:r>
        <w:rPr>
          <w:rFonts w:ascii="Calibri" w:hAnsi="Calibri"/>
          <w:noProof w:val="0"/>
          <w:rtl/>
        </w:rPr>
        <w:t xml:space="preserve">אני קובע  כי מתחם העונש ההולם </w:t>
      </w:r>
      <w:r>
        <w:rPr>
          <w:rtl/>
        </w:rPr>
        <w:t xml:space="preserve">נע בין 8 חודשי מאסר שיכול וירוצו בעבודות שירות ועד 20 חודשי מאסר בפועל, לצד ענישה נלווית. </w:t>
      </w:r>
    </w:p>
    <w:p w14:paraId="2CB91CB9" w14:textId="77777777" w:rsidR="00604CC9" w:rsidRDefault="00604CC9" w:rsidP="00604CC9">
      <w:pPr>
        <w:pStyle w:val="a9"/>
        <w:spacing w:after="120" w:line="360" w:lineRule="atLeast"/>
        <w:ind w:left="360"/>
        <w:jc w:val="both"/>
        <w:rPr>
          <w:rFonts w:ascii="Calibri" w:hAnsi="Calibri"/>
          <w:noProof w:val="0"/>
        </w:rPr>
      </w:pPr>
    </w:p>
    <w:p w14:paraId="548FAD23" w14:textId="77777777" w:rsidR="00604CC9" w:rsidRPr="00440A50" w:rsidRDefault="00604CC9" w:rsidP="00604CC9">
      <w:pPr>
        <w:pStyle w:val="a9"/>
        <w:numPr>
          <w:ilvl w:val="0"/>
          <w:numId w:val="1"/>
        </w:numPr>
        <w:spacing w:after="200" w:line="360" w:lineRule="auto"/>
        <w:jc w:val="both"/>
      </w:pPr>
      <w:r>
        <w:rPr>
          <w:rtl/>
        </w:rPr>
        <w:t xml:space="preserve">במקרה דנן, לא קיימים שיקולים אשר מצדיקים סטייה ממתחם הענישה לחומרה או לקולא. הנאשם לא עבר תהליך שיקום ואין תסקיר בעניינו. </w:t>
      </w:r>
    </w:p>
    <w:p w14:paraId="26F1FFF1" w14:textId="77777777" w:rsidR="00604CC9" w:rsidRPr="00604CC9" w:rsidRDefault="00604CC9" w:rsidP="00604CC9">
      <w:pPr>
        <w:shd w:val="clear" w:color="auto" w:fill="FFFFFF"/>
        <w:spacing w:after="160" w:line="360" w:lineRule="auto"/>
        <w:jc w:val="both"/>
        <w:rPr>
          <w:rFonts w:ascii="Calibri" w:hAnsi="Calibri"/>
          <w:noProof w:val="0"/>
          <w:rtl/>
        </w:rPr>
      </w:pPr>
      <w:r>
        <w:rPr>
          <w:rFonts w:ascii="David" w:hAnsi="David"/>
          <w:noProof w:val="0"/>
          <w:u w:val="single"/>
          <w:rtl/>
        </w:rPr>
        <w:t xml:space="preserve">העונש ההולם </w:t>
      </w:r>
    </w:p>
    <w:p w14:paraId="2CF48D6E" w14:textId="77777777" w:rsidR="00604CC9" w:rsidRDefault="00604CC9" w:rsidP="00604CC9">
      <w:pPr>
        <w:pStyle w:val="listparagraph"/>
        <w:numPr>
          <w:ilvl w:val="0"/>
          <w:numId w:val="1"/>
        </w:numPr>
        <w:spacing w:line="360" w:lineRule="auto"/>
        <w:jc w:val="both"/>
        <w:rPr>
          <w:rFonts w:cs="David"/>
          <w:sz w:val="24"/>
          <w:szCs w:val="24"/>
          <w:rtl/>
        </w:rPr>
      </w:pPr>
      <w:r>
        <w:rPr>
          <w:rFonts w:cs="David"/>
          <w:sz w:val="24"/>
          <w:szCs w:val="24"/>
          <w:rtl/>
        </w:rPr>
        <w:t xml:space="preserve">בגזירת העונש המתאים לנאשם, יש להתחשב </w:t>
      </w:r>
      <w:r>
        <w:rPr>
          <w:rFonts w:cs="David"/>
          <w:b/>
          <w:bCs/>
          <w:sz w:val="24"/>
          <w:szCs w:val="24"/>
          <w:rtl/>
        </w:rPr>
        <w:t>בנסיבות שאינן קשורות בביצוע העבירה</w:t>
      </w:r>
      <w:r>
        <w:rPr>
          <w:rFonts w:cs="David"/>
          <w:sz w:val="24"/>
          <w:szCs w:val="24"/>
          <w:rtl/>
        </w:rPr>
        <w:t xml:space="preserve">, לפי </w:t>
      </w:r>
      <w:r w:rsidRPr="005C0458">
        <w:rPr>
          <w:rFonts w:cs="David"/>
          <w:color w:val="000000"/>
          <w:sz w:val="24"/>
          <w:szCs w:val="24"/>
          <w:rtl/>
        </w:rPr>
        <w:t xml:space="preserve">סעיף </w:t>
      </w:r>
      <w:hyperlink r:id="rId46" w:history="1">
        <w:r w:rsidR="00525FC1" w:rsidRPr="00525FC1">
          <w:rPr>
            <w:rStyle w:val="Hyperlink"/>
            <w:rFonts w:cs="David"/>
            <w:sz w:val="24"/>
            <w:szCs w:val="24"/>
            <w:rtl/>
          </w:rPr>
          <w:t xml:space="preserve">40 </w:t>
        </w:r>
        <w:r w:rsidR="00525FC1" w:rsidRPr="00525FC1">
          <w:rPr>
            <w:rStyle w:val="Hyperlink"/>
            <w:rFonts w:cs="David" w:hint="eastAsia"/>
            <w:sz w:val="24"/>
            <w:szCs w:val="24"/>
            <w:rtl/>
          </w:rPr>
          <w:t>י</w:t>
        </w:r>
        <w:r w:rsidR="00525FC1" w:rsidRPr="00525FC1">
          <w:rPr>
            <w:rStyle w:val="Hyperlink"/>
            <w:rFonts w:cs="David"/>
            <w:sz w:val="24"/>
            <w:szCs w:val="24"/>
            <w:rtl/>
          </w:rPr>
          <w:t>"</w:t>
        </w:r>
        <w:r w:rsidR="00525FC1" w:rsidRPr="00525FC1">
          <w:rPr>
            <w:rStyle w:val="Hyperlink"/>
            <w:rFonts w:cs="David" w:hint="eastAsia"/>
            <w:sz w:val="24"/>
            <w:szCs w:val="24"/>
            <w:rtl/>
          </w:rPr>
          <w:t>א</w:t>
        </w:r>
      </w:hyperlink>
      <w:r w:rsidRPr="00236E18">
        <w:rPr>
          <w:rFonts w:cs="David"/>
          <w:sz w:val="24"/>
          <w:szCs w:val="24"/>
          <w:rtl/>
        </w:rPr>
        <w:t xml:space="preserve"> </w:t>
      </w:r>
      <w:r w:rsidRPr="00236E18">
        <w:rPr>
          <w:rFonts w:cs="David" w:hint="cs"/>
          <w:sz w:val="24"/>
          <w:szCs w:val="24"/>
          <w:rtl/>
        </w:rPr>
        <w:t>ל</w:t>
      </w:r>
      <w:hyperlink r:id="rId47" w:history="1">
        <w:r w:rsidR="005C0458" w:rsidRPr="005C0458">
          <w:rPr>
            <w:rFonts w:cs="David" w:hint="eastAsia"/>
            <w:color w:val="0000FF"/>
            <w:sz w:val="24"/>
            <w:szCs w:val="24"/>
            <w:u w:val="single"/>
            <w:rtl/>
          </w:rPr>
          <w:t>חוק</w:t>
        </w:r>
        <w:r w:rsidR="005C0458" w:rsidRPr="005C0458">
          <w:rPr>
            <w:rFonts w:cs="David"/>
            <w:color w:val="0000FF"/>
            <w:sz w:val="24"/>
            <w:szCs w:val="24"/>
            <w:u w:val="single"/>
            <w:rtl/>
          </w:rPr>
          <w:t xml:space="preserve"> </w:t>
        </w:r>
        <w:r w:rsidR="005C0458" w:rsidRPr="005C0458">
          <w:rPr>
            <w:rFonts w:cs="David" w:hint="eastAsia"/>
            <w:color w:val="0000FF"/>
            <w:sz w:val="24"/>
            <w:szCs w:val="24"/>
            <w:u w:val="single"/>
            <w:rtl/>
          </w:rPr>
          <w:t>העונשין</w:t>
        </w:r>
      </w:hyperlink>
      <w:r w:rsidRPr="00236E18">
        <w:rPr>
          <w:rFonts w:cs="David"/>
          <w:sz w:val="24"/>
          <w:szCs w:val="24"/>
          <w:rtl/>
        </w:rPr>
        <w:t xml:space="preserve">. </w:t>
      </w:r>
      <w:r>
        <w:rPr>
          <w:rFonts w:cs="David"/>
          <w:sz w:val="24"/>
          <w:szCs w:val="24"/>
          <w:rtl/>
        </w:rPr>
        <w:t>במסגרת זו מן הראוי לתת את הדעת לנסיבות הבאות:</w:t>
      </w:r>
    </w:p>
    <w:p w14:paraId="3CE27660" w14:textId="77777777" w:rsidR="00604CC9" w:rsidRDefault="00604CC9" w:rsidP="00604CC9">
      <w:pPr>
        <w:pStyle w:val="a9"/>
        <w:numPr>
          <w:ilvl w:val="0"/>
          <w:numId w:val="3"/>
        </w:numPr>
        <w:spacing w:after="200" w:line="360" w:lineRule="auto"/>
        <w:jc w:val="both"/>
      </w:pPr>
      <w:r>
        <w:rPr>
          <w:b/>
          <w:bCs/>
          <w:rtl/>
        </w:rPr>
        <w:t>הנזק שנגרם לנאשם מביצוע העבירה, לרבות בשל גילו</w:t>
      </w:r>
      <w:r>
        <w:rPr>
          <w:rtl/>
        </w:rPr>
        <w:t xml:space="preserve">: התחשבתי לקולא בכך שמדובר בנאשם צעיר, יליד 1996, אשר אמנם נשא בעונש מאסר בעבר ואולם מובן שעונש מאסר יכביד עליו. </w:t>
      </w:r>
    </w:p>
    <w:p w14:paraId="56E40A4E" w14:textId="77777777" w:rsidR="00604CC9" w:rsidRDefault="00604CC9" w:rsidP="00604CC9">
      <w:pPr>
        <w:pStyle w:val="a9"/>
        <w:numPr>
          <w:ilvl w:val="0"/>
          <w:numId w:val="3"/>
        </w:numPr>
        <w:spacing w:after="200" w:line="360" w:lineRule="auto"/>
        <w:jc w:val="both"/>
      </w:pPr>
      <w:r>
        <w:rPr>
          <w:b/>
          <w:bCs/>
          <w:rtl/>
        </w:rPr>
        <w:t>הנאשם הודה בעובדות כתב האישום, נטל אחריות למעשיו וחסך זמן שיפוטי</w:t>
      </w:r>
      <w:r>
        <w:rPr>
          <w:rtl/>
        </w:rPr>
        <w:t xml:space="preserve">. התחשבתי בכך כשיקול נוסף לקולא. </w:t>
      </w:r>
    </w:p>
    <w:p w14:paraId="056C2C7B" w14:textId="77777777" w:rsidR="00604CC9" w:rsidRDefault="00604CC9" w:rsidP="00604CC9">
      <w:pPr>
        <w:pStyle w:val="a9"/>
        <w:numPr>
          <w:ilvl w:val="0"/>
          <w:numId w:val="3"/>
        </w:numPr>
        <w:spacing w:after="200" w:line="360" w:lineRule="auto"/>
        <w:jc w:val="both"/>
      </w:pPr>
      <w:r>
        <w:rPr>
          <w:b/>
          <w:bCs/>
          <w:rtl/>
        </w:rPr>
        <w:t>עברו הפלילי של הנאשם</w:t>
      </w:r>
      <w:r>
        <w:rPr>
          <w:rtl/>
        </w:rPr>
        <w:t>: נתתי דעתי, כנסיבה לחומרה, לכך שלחובת הנאשם, חרף גילו הצעיר, 8 עבירות קודמות. 4 עבירות מבתי המשפט השלום בקריות, בטבריה ובראשל"צ, בגין עבירות תקיפה, פציעה, חבלה כשעברין מ</w:t>
      </w:r>
      <w:r>
        <w:rPr>
          <w:rFonts w:hint="cs"/>
          <w:rtl/>
        </w:rPr>
        <w:t xml:space="preserve">זוין </w:t>
      </w:r>
      <w:r>
        <w:rPr>
          <w:rtl/>
        </w:rPr>
        <w:t>והחזקת אגרופן או סכין שלא כדין (עבירות משנים 2016 - 2018). מרבית האישומים הנ"ל נסובו סביב עבירות אלימות מהרף הגבוה, בגינן נדון הנאשם למאסרים ממושכים בפועל, אך לא היה בכך כדי להרתיעו. בנוסף לחובת הנאשם 4 עבירות קודמות מבתי המשפט לנוער בראשל"צ ובנתניה, בגין עבירות תקיפה וחבלה ממשית, הפרעת שוטר במילוי תפקידו, העלבת עובד ציבור ועוד (עבירות משנים 2012- 2014). עם זאת, אין לחובתו הרשעות קודמות בעבירות סמים.</w:t>
      </w:r>
    </w:p>
    <w:p w14:paraId="21F30B81" w14:textId="77777777" w:rsidR="00604CC9" w:rsidRDefault="005C0458" w:rsidP="00604CC9">
      <w:pPr>
        <w:pStyle w:val="a9"/>
        <w:numPr>
          <w:ilvl w:val="0"/>
          <w:numId w:val="3"/>
        </w:numPr>
        <w:spacing w:after="200" w:line="360" w:lineRule="auto"/>
        <w:jc w:val="both"/>
      </w:pPr>
      <w:r>
        <w:rPr>
          <w:rtl/>
        </w:rPr>
        <w:t xml:space="preserve"> </w:t>
      </w:r>
      <w:r w:rsidR="00604CC9">
        <w:rPr>
          <w:rtl/>
        </w:rPr>
        <w:t xml:space="preserve">עוד יש ליתן את הדעת לשיקול </w:t>
      </w:r>
      <w:r w:rsidR="00604CC9">
        <w:rPr>
          <w:b/>
          <w:bCs/>
          <w:rtl/>
        </w:rPr>
        <w:t>הרתעת הנאשם</w:t>
      </w:r>
      <w:r w:rsidR="00604CC9">
        <w:rPr>
          <w:rtl/>
        </w:rPr>
        <w:t>,</w:t>
      </w:r>
      <w:r w:rsidR="00604CC9">
        <w:rPr>
          <w:b/>
          <w:bCs/>
          <w:rtl/>
        </w:rPr>
        <w:t xml:space="preserve"> </w:t>
      </w:r>
      <w:r w:rsidR="00604CC9">
        <w:rPr>
          <w:rtl/>
        </w:rPr>
        <w:t>כמו גם</w:t>
      </w:r>
      <w:r w:rsidR="00604CC9">
        <w:rPr>
          <w:b/>
          <w:bCs/>
          <w:rtl/>
        </w:rPr>
        <w:t xml:space="preserve"> הרתעת הרבים</w:t>
      </w:r>
      <w:r>
        <w:rPr>
          <w:rtl/>
        </w:rPr>
        <w:t xml:space="preserve"> </w:t>
      </w:r>
      <w:r w:rsidR="00604CC9">
        <w:rPr>
          <w:rtl/>
        </w:rPr>
        <w:t>בשים לב לשכיחותה של העבירה.</w:t>
      </w:r>
    </w:p>
    <w:p w14:paraId="040D1CC6" w14:textId="77777777" w:rsidR="00604CC9" w:rsidRDefault="00604CC9" w:rsidP="00604CC9">
      <w:pPr>
        <w:pStyle w:val="a9"/>
        <w:spacing w:after="200" w:line="360" w:lineRule="auto"/>
        <w:jc w:val="both"/>
      </w:pPr>
    </w:p>
    <w:p w14:paraId="0615814B" w14:textId="77777777" w:rsidR="00604CC9" w:rsidRPr="00571D08" w:rsidRDefault="005C0458" w:rsidP="00604CC9">
      <w:pPr>
        <w:pStyle w:val="a9"/>
        <w:numPr>
          <w:ilvl w:val="0"/>
          <w:numId w:val="1"/>
        </w:numPr>
        <w:spacing w:after="200" w:line="360" w:lineRule="auto"/>
        <w:jc w:val="both"/>
        <w:rPr>
          <w:rtl/>
        </w:rPr>
      </w:pPr>
      <w:r>
        <w:rPr>
          <w:rtl/>
        </w:rPr>
        <w:t xml:space="preserve"> </w:t>
      </w:r>
      <w:r w:rsidR="00604CC9">
        <w:rPr>
          <w:rtl/>
        </w:rPr>
        <w:t>באיזון בין השיקולים השונים, אני סבור כי מן הראוי להטיל על הנאשם עונש מאסר בפועל לצד עונשים נלווים.</w:t>
      </w:r>
    </w:p>
    <w:p w14:paraId="020DD7EB" w14:textId="77777777" w:rsidR="00604CC9" w:rsidRDefault="00604CC9" w:rsidP="00604CC9">
      <w:pPr>
        <w:shd w:val="clear" w:color="auto" w:fill="FFFFFF"/>
        <w:spacing w:before="120" w:after="120"/>
        <w:jc w:val="both"/>
        <w:rPr>
          <w:noProof w:val="0"/>
          <w:rtl/>
        </w:rPr>
      </w:pPr>
      <w:r>
        <w:rPr>
          <w:b/>
          <w:bCs/>
          <w:noProof w:val="0"/>
          <w:u w:val="single"/>
          <w:rtl/>
        </w:rPr>
        <w:t>סוף דבר</w:t>
      </w:r>
    </w:p>
    <w:p w14:paraId="6820F24A" w14:textId="77777777" w:rsidR="00604CC9" w:rsidRPr="00604CC9" w:rsidRDefault="00604CC9" w:rsidP="00604CC9">
      <w:pPr>
        <w:numPr>
          <w:ilvl w:val="0"/>
          <w:numId w:val="1"/>
        </w:numPr>
        <w:shd w:val="clear" w:color="auto" w:fill="FFFFFF"/>
        <w:spacing w:before="120" w:after="120" w:line="360" w:lineRule="auto"/>
        <w:ind w:left="567" w:hanging="567"/>
        <w:contextualSpacing/>
        <w:jc w:val="both"/>
        <w:rPr>
          <w:rFonts w:ascii="Calibri" w:hAnsi="Calibri"/>
          <w:noProof w:val="0"/>
          <w:rtl/>
        </w:rPr>
      </w:pPr>
      <w:r w:rsidRPr="00604CC9">
        <w:rPr>
          <w:rFonts w:ascii="Calibri" w:hAnsi="Calibri"/>
          <w:noProof w:val="0"/>
          <w:rtl/>
        </w:rPr>
        <w:t xml:space="preserve">לפיכך, </w:t>
      </w:r>
      <w:r w:rsidRPr="00604CC9">
        <w:rPr>
          <w:rFonts w:ascii="Calibri" w:hAnsi="Calibri" w:hint="cs"/>
          <w:noProof w:val="0"/>
          <w:rtl/>
        </w:rPr>
        <w:t>אני מכריז על הנאשם סוחר סמים ו</w:t>
      </w:r>
      <w:r w:rsidRPr="00604CC9">
        <w:rPr>
          <w:rFonts w:ascii="Calibri" w:hAnsi="Calibri"/>
          <w:noProof w:val="0"/>
          <w:rtl/>
        </w:rPr>
        <w:t>גוזר על הנאשם את העונשים הבאים:</w:t>
      </w:r>
    </w:p>
    <w:p w14:paraId="52FBE942" w14:textId="77777777" w:rsidR="00604CC9" w:rsidRPr="00604CC9" w:rsidRDefault="00604CC9" w:rsidP="00604CC9">
      <w:pPr>
        <w:numPr>
          <w:ilvl w:val="0"/>
          <w:numId w:val="4"/>
        </w:numPr>
        <w:shd w:val="clear" w:color="auto" w:fill="FFFFFF"/>
        <w:spacing w:before="120" w:after="120" w:line="360" w:lineRule="auto"/>
        <w:ind w:left="1076" w:hanging="494"/>
        <w:contextualSpacing/>
        <w:jc w:val="both"/>
        <w:rPr>
          <w:rFonts w:ascii="Calibri" w:hAnsi="Calibri"/>
          <w:noProof w:val="0"/>
          <w:rtl/>
        </w:rPr>
      </w:pPr>
      <w:r w:rsidRPr="00604CC9">
        <w:rPr>
          <w:rFonts w:ascii="Calibri" w:hAnsi="Calibri" w:hint="cs"/>
          <w:noProof w:val="0"/>
          <w:rtl/>
        </w:rPr>
        <w:t>12</w:t>
      </w:r>
      <w:r w:rsidRPr="00604CC9">
        <w:rPr>
          <w:rFonts w:ascii="Calibri" w:hAnsi="Calibri"/>
          <w:noProof w:val="0"/>
          <w:rtl/>
        </w:rPr>
        <w:t xml:space="preserve"> חודשי מאסר בפועל, בניכוי ימי מעצרו של הנאשם בהתאם לרישומי שב"ס.</w:t>
      </w:r>
    </w:p>
    <w:p w14:paraId="25307ACB" w14:textId="77777777" w:rsidR="00604CC9" w:rsidRPr="00604CC9" w:rsidRDefault="00604CC9" w:rsidP="00604CC9">
      <w:pPr>
        <w:numPr>
          <w:ilvl w:val="0"/>
          <w:numId w:val="4"/>
        </w:numPr>
        <w:shd w:val="clear" w:color="auto" w:fill="FFFFFF"/>
        <w:spacing w:before="120" w:after="120" w:line="360" w:lineRule="auto"/>
        <w:ind w:left="1076" w:hanging="494"/>
        <w:contextualSpacing/>
        <w:jc w:val="both"/>
        <w:rPr>
          <w:rFonts w:ascii="Calibri" w:hAnsi="Calibri"/>
          <w:noProof w:val="0"/>
          <w:rtl/>
        </w:rPr>
      </w:pPr>
      <w:r w:rsidRPr="00604CC9">
        <w:rPr>
          <w:rFonts w:ascii="Calibri" w:hAnsi="Calibri"/>
          <w:noProof w:val="0"/>
          <w:rtl/>
        </w:rPr>
        <w:t xml:space="preserve">מאסר על תנאי לתקופה של 8 חודשים, והתנאי הוא שבמשך 3 שנים מהיום לא יעבור עבירה מסוג </w:t>
      </w:r>
      <w:r w:rsidRPr="00604CC9">
        <w:rPr>
          <w:rFonts w:ascii="Calibri" w:hAnsi="Calibri"/>
          <w:noProof w:val="0"/>
          <w:u w:val="single"/>
          <w:rtl/>
        </w:rPr>
        <w:t>פשע</w:t>
      </w:r>
      <w:r w:rsidRPr="00604CC9">
        <w:rPr>
          <w:rFonts w:ascii="Calibri" w:hAnsi="Calibri"/>
          <w:noProof w:val="0"/>
          <w:rtl/>
        </w:rPr>
        <w:t xml:space="preserve"> לפי </w:t>
      </w:r>
      <w:hyperlink r:id="rId48" w:history="1">
        <w:r w:rsidR="005C0458" w:rsidRPr="005C0458">
          <w:rPr>
            <w:rFonts w:ascii="Calibri" w:hAnsi="Calibri" w:hint="eastAsia"/>
            <w:noProof w:val="0"/>
            <w:color w:val="0000FF"/>
            <w:u w:val="single"/>
            <w:rtl/>
          </w:rPr>
          <w:t>פקודת</w:t>
        </w:r>
        <w:r w:rsidR="005C0458" w:rsidRPr="005C0458">
          <w:rPr>
            <w:rFonts w:ascii="Calibri" w:hAnsi="Calibri"/>
            <w:noProof w:val="0"/>
            <w:color w:val="0000FF"/>
            <w:u w:val="single"/>
            <w:rtl/>
          </w:rPr>
          <w:t xml:space="preserve"> </w:t>
        </w:r>
        <w:r w:rsidR="005C0458" w:rsidRPr="005C0458">
          <w:rPr>
            <w:rFonts w:ascii="Calibri" w:hAnsi="Calibri" w:hint="eastAsia"/>
            <w:noProof w:val="0"/>
            <w:color w:val="0000FF"/>
            <w:u w:val="single"/>
            <w:rtl/>
          </w:rPr>
          <w:t>הסמים</w:t>
        </w:r>
        <w:r w:rsidR="005C0458" w:rsidRPr="005C0458">
          <w:rPr>
            <w:rFonts w:ascii="Calibri" w:hAnsi="Calibri"/>
            <w:noProof w:val="0"/>
            <w:color w:val="0000FF"/>
            <w:u w:val="single"/>
            <w:rtl/>
          </w:rPr>
          <w:t xml:space="preserve"> </w:t>
        </w:r>
        <w:r w:rsidR="005C0458" w:rsidRPr="005C0458">
          <w:rPr>
            <w:rFonts w:ascii="Calibri" w:hAnsi="Calibri" w:hint="eastAsia"/>
            <w:noProof w:val="0"/>
            <w:color w:val="0000FF"/>
            <w:u w:val="single"/>
            <w:rtl/>
          </w:rPr>
          <w:t>המסוכנים</w:t>
        </w:r>
      </w:hyperlink>
      <w:r w:rsidRPr="00604CC9">
        <w:rPr>
          <w:rFonts w:ascii="Calibri" w:hAnsi="Calibri"/>
          <w:noProof w:val="0"/>
          <w:rtl/>
        </w:rPr>
        <w:t>.</w:t>
      </w:r>
    </w:p>
    <w:p w14:paraId="4FE39436" w14:textId="77777777" w:rsidR="00604CC9" w:rsidRPr="00604CC9" w:rsidRDefault="00604CC9" w:rsidP="00604CC9">
      <w:pPr>
        <w:numPr>
          <w:ilvl w:val="0"/>
          <w:numId w:val="4"/>
        </w:numPr>
        <w:shd w:val="clear" w:color="auto" w:fill="FFFFFF"/>
        <w:spacing w:before="120" w:after="120" w:line="360" w:lineRule="auto"/>
        <w:ind w:left="1076" w:hanging="494"/>
        <w:contextualSpacing/>
        <w:jc w:val="both"/>
        <w:rPr>
          <w:rFonts w:ascii="Calibri" w:hAnsi="Calibri"/>
          <w:noProof w:val="0"/>
        </w:rPr>
      </w:pPr>
      <w:r w:rsidRPr="00604CC9">
        <w:rPr>
          <w:rFonts w:ascii="Calibri" w:hAnsi="Calibri"/>
          <w:noProof w:val="0"/>
          <w:rtl/>
        </w:rPr>
        <w:t xml:space="preserve">מאסר על תנאי לתקופה של 4 חודשים, והתנאי הוא שבמשך 3 שנים מהיום לא יעבור עבירה מסוג </w:t>
      </w:r>
      <w:r w:rsidRPr="00604CC9">
        <w:rPr>
          <w:rFonts w:ascii="Calibri" w:hAnsi="Calibri"/>
          <w:noProof w:val="0"/>
          <w:u w:val="single"/>
          <w:rtl/>
        </w:rPr>
        <w:t>עוון</w:t>
      </w:r>
      <w:r w:rsidRPr="00604CC9">
        <w:rPr>
          <w:rFonts w:ascii="Calibri" w:hAnsi="Calibri"/>
          <w:noProof w:val="0"/>
          <w:rtl/>
        </w:rPr>
        <w:t xml:space="preserve"> לפי </w:t>
      </w:r>
      <w:hyperlink r:id="rId49" w:history="1">
        <w:r w:rsidR="005C0458" w:rsidRPr="005C0458">
          <w:rPr>
            <w:rFonts w:ascii="Calibri" w:hAnsi="Calibri" w:hint="eastAsia"/>
            <w:noProof w:val="0"/>
            <w:color w:val="0000FF"/>
            <w:u w:val="single"/>
            <w:rtl/>
          </w:rPr>
          <w:t>פקודת</w:t>
        </w:r>
        <w:r w:rsidR="005C0458" w:rsidRPr="005C0458">
          <w:rPr>
            <w:rFonts w:ascii="Calibri" w:hAnsi="Calibri"/>
            <w:noProof w:val="0"/>
            <w:color w:val="0000FF"/>
            <w:u w:val="single"/>
            <w:rtl/>
          </w:rPr>
          <w:t xml:space="preserve"> </w:t>
        </w:r>
        <w:r w:rsidR="005C0458" w:rsidRPr="005C0458">
          <w:rPr>
            <w:rFonts w:ascii="Calibri" w:hAnsi="Calibri" w:hint="eastAsia"/>
            <w:noProof w:val="0"/>
            <w:color w:val="0000FF"/>
            <w:u w:val="single"/>
            <w:rtl/>
          </w:rPr>
          <w:t>הסמים</w:t>
        </w:r>
        <w:r w:rsidR="005C0458" w:rsidRPr="005C0458">
          <w:rPr>
            <w:rFonts w:ascii="Calibri" w:hAnsi="Calibri"/>
            <w:noProof w:val="0"/>
            <w:color w:val="0000FF"/>
            <w:u w:val="single"/>
            <w:rtl/>
          </w:rPr>
          <w:t xml:space="preserve"> </w:t>
        </w:r>
        <w:r w:rsidR="005C0458" w:rsidRPr="005C0458">
          <w:rPr>
            <w:rFonts w:ascii="Calibri" w:hAnsi="Calibri" w:hint="eastAsia"/>
            <w:noProof w:val="0"/>
            <w:color w:val="0000FF"/>
            <w:u w:val="single"/>
            <w:rtl/>
          </w:rPr>
          <w:t>המסוכנים</w:t>
        </w:r>
      </w:hyperlink>
      <w:r w:rsidRPr="00604CC9">
        <w:rPr>
          <w:rFonts w:ascii="Calibri" w:hAnsi="Calibri"/>
          <w:noProof w:val="0"/>
          <w:rtl/>
        </w:rPr>
        <w:t>.</w:t>
      </w:r>
    </w:p>
    <w:p w14:paraId="68B9CCFB" w14:textId="77777777" w:rsidR="00604CC9" w:rsidRPr="00604CC9" w:rsidRDefault="00604CC9" w:rsidP="00604CC9">
      <w:pPr>
        <w:numPr>
          <w:ilvl w:val="0"/>
          <w:numId w:val="4"/>
        </w:numPr>
        <w:shd w:val="clear" w:color="auto" w:fill="FFFFFF"/>
        <w:spacing w:before="120" w:after="120" w:line="360" w:lineRule="auto"/>
        <w:ind w:left="1076" w:hanging="494"/>
        <w:contextualSpacing/>
        <w:jc w:val="both"/>
        <w:rPr>
          <w:rFonts w:ascii="Calibri" w:hAnsi="Calibri"/>
          <w:noProof w:val="0"/>
        </w:rPr>
      </w:pPr>
      <w:r w:rsidRPr="00604CC9">
        <w:rPr>
          <w:rFonts w:ascii="Calibri" w:hAnsi="Calibri"/>
          <w:noProof w:val="0"/>
          <w:rtl/>
        </w:rPr>
        <w:t xml:space="preserve">קנס כספי בסך 5,000 ₪ או </w:t>
      </w:r>
      <w:r w:rsidRPr="00604CC9">
        <w:rPr>
          <w:rFonts w:ascii="Calibri" w:hAnsi="Calibri" w:hint="cs"/>
          <w:noProof w:val="0"/>
          <w:rtl/>
        </w:rPr>
        <w:t>9</w:t>
      </w:r>
      <w:r w:rsidRPr="00604CC9">
        <w:rPr>
          <w:rFonts w:ascii="Calibri" w:hAnsi="Calibri"/>
          <w:noProof w:val="0"/>
          <w:rtl/>
        </w:rPr>
        <w:t xml:space="preserve">0 ימי מאסר תמורתו. הקנס ישולם </w:t>
      </w:r>
      <w:r>
        <w:rPr>
          <w:rtl/>
        </w:rPr>
        <w:t>ב-10 תשלומים שווים ורצופים החל מיום 1.</w:t>
      </w:r>
      <w:r>
        <w:rPr>
          <w:rFonts w:hint="cs"/>
          <w:rtl/>
        </w:rPr>
        <w:t>4</w:t>
      </w:r>
      <w:r>
        <w:rPr>
          <w:rtl/>
        </w:rPr>
        <w:t xml:space="preserve">.22, וכל ראשון לחודש העוקב. לא ישולם תשלום במועדו, </w:t>
      </w:r>
      <w:r>
        <w:rPr>
          <w:rFonts w:hint="cs"/>
          <w:rtl/>
        </w:rPr>
        <w:t>ת</w:t>
      </w:r>
      <w:r>
        <w:rPr>
          <w:rtl/>
        </w:rPr>
        <w:t>עמוד כל ה</w:t>
      </w:r>
      <w:r>
        <w:rPr>
          <w:rFonts w:hint="cs"/>
          <w:rtl/>
        </w:rPr>
        <w:t>יתרה</w:t>
      </w:r>
      <w:r>
        <w:rPr>
          <w:rtl/>
        </w:rPr>
        <w:t xml:space="preserve"> לפירעון מיידי ו</w:t>
      </w:r>
      <w:r>
        <w:rPr>
          <w:rFonts w:hint="cs"/>
          <w:rtl/>
        </w:rPr>
        <w:t>ת</w:t>
      </w:r>
      <w:r>
        <w:rPr>
          <w:rtl/>
        </w:rPr>
        <w:t>שא הפרשי ריבית והצמדה החל מהיום.</w:t>
      </w:r>
    </w:p>
    <w:p w14:paraId="3AF9B291" w14:textId="77777777" w:rsidR="00604CC9" w:rsidRDefault="00604CC9" w:rsidP="00604CC9">
      <w:pPr>
        <w:shd w:val="clear" w:color="auto" w:fill="FFFFFF"/>
        <w:spacing w:before="120" w:after="120"/>
        <w:contextualSpacing/>
        <w:jc w:val="both"/>
        <w:rPr>
          <w:b/>
          <w:bCs/>
          <w:noProof w:val="0"/>
        </w:rPr>
      </w:pPr>
    </w:p>
    <w:p w14:paraId="18444868" w14:textId="77777777" w:rsidR="00604CC9" w:rsidRPr="00B95D6E" w:rsidRDefault="00604CC9" w:rsidP="00604CC9">
      <w:pPr>
        <w:spacing w:line="360" w:lineRule="auto"/>
        <w:jc w:val="both"/>
        <w:rPr>
          <w:rFonts w:ascii="Arial" w:hAnsi="Arial"/>
          <w:noProof w:val="0"/>
          <w:rtl/>
        </w:rPr>
      </w:pPr>
    </w:p>
    <w:p w14:paraId="0E9A8E8F" w14:textId="77777777" w:rsidR="00604CC9" w:rsidRDefault="00604CC9" w:rsidP="00604CC9">
      <w:pPr>
        <w:shd w:val="clear" w:color="auto" w:fill="FFFFFF"/>
        <w:spacing w:before="120" w:after="120"/>
        <w:ind w:left="567" w:hanging="567"/>
        <w:contextualSpacing/>
        <w:jc w:val="both"/>
        <w:rPr>
          <w:b/>
          <w:bCs/>
          <w:noProof w:val="0"/>
          <w:rtl/>
        </w:rPr>
      </w:pPr>
      <w:r>
        <w:rPr>
          <w:b/>
          <w:bCs/>
          <w:noProof w:val="0"/>
          <w:rtl/>
        </w:rPr>
        <w:t>זכות ערעור כדין בתוך 45 ימים.</w:t>
      </w:r>
    </w:p>
    <w:p w14:paraId="5A5BB015" w14:textId="77777777" w:rsidR="00604CC9" w:rsidRPr="005C0458" w:rsidRDefault="005C0458" w:rsidP="00604CC9">
      <w:pPr>
        <w:spacing w:line="360" w:lineRule="auto"/>
        <w:jc w:val="both"/>
        <w:rPr>
          <w:rFonts w:ascii="Arial" w:hAnsi="Arial"/>
          <w:noProof w:val="0"/>
          <w:color w:val="FFFFFF"/>
          <w:sz w:val="2"/>
          <w:szCs w:val="2"/>
          <w:rtl/>
        </w:rPr>
      </w:pPr>
      <w:r w:rsidRPr="005C0458">
        <w:rPr>
          <w:rFonts w:ascii="Arial" w:hAnsi="Arial"/>
          <w:noProof w:val="0"/>
          <w:color w:val="FFFFFF"/>
          <w:sz w:val="2"/>
          <w:szCs w:val="2"/>
          <w:rtl/>
        </w:rPr>
        <w:t>5129371</w:t>
      </w:r>
    </w:p>
    <w:p w14:paraId="0A7EEEF2" w14:textId="77777777" w:rsidR="00604CC9" w:rsidRPr="005C0458" w:rsidRDefault="005C0458" w:rsidP="00604CC9">
      <w:pPr>
        <w:spacing w:line="360" w:lineRule="auto"/>
        <w:jc w:val="both"/>
        <w:rPr>
          <w:rFonts w:ascii="Arial" w:hAnsi="Arial"/>
          <w:noProof w:val="0"/>
          <w:color w:val="FFFFFF"/>
          <w:sz w:val="2"/>
          <w:szCs w:val="2"/>
          <w:rtl/>
        </w:rPr>
      </w:pPr>
      <w:r w:rsidRPr="005C0458">
        <w:rPr>
          <w:rFonts w:ascii="Arial" w:hAnsi="Arial"/>
          <w:noProof w:val="0"/>
          <w:color w:val="FFFFFF"/>
          <w:sz w:val="2"/>
          <w:szCs w:val="2"/>
          <w:rtl/>
        </w:rPr>
        <w:t>54678313</w:t>
      </w:r>
    </w:p>
    <w:p w14:paraId="42A1812C" w14:textId="77777777" w:rsidR="00604CC9" w:rsidRDefault="005C0458" w:rsidP="00604CC9">
      <w:pPr>
        <w:spacing w:line="360" w:lineRule="auto"/>
        <w:jc w:val="both"/>
        <w:rPr>
          <w:rFonts w:ascii="Arial" w:hAnsi="Arial"/>
          <w:noProof w:val="0"/>
          <w:rtl/>
        </w:rPr>
      </w:pPr>
      <w:bookmarkStart w:id="10" w:name="Nitan"/>
      <w:r>
        <w:rPr>
          <w:rFonts w:ascii="Arial" w:hAnsi="Arial"/>
          <w:noProof w:val="0"/>
          <w:rtl/>
        </w:rPr>
        <w:t xml:space="preserve">ניתנה היום, י"ד אדר א' תשפ"ב, 15 פברואר 2022, בנוכחות הצדדים. </w:t>
      </w:r>
      <w:bookmarkEnd w:id="10"/>
    </w:p>
    <w:p w14:paraId="48E544DC" w14:textId="77777777" w:rsidR="00604CC9" w:rsidRDefault="00604CC9" w:rsidP="00604CC9">
      <w:pPr>
        <w:tabs>
          <w:tab w:val="left" w:pos="2553"/>
        </w:tabs>
        <w:ind w:left="5040"/>
        <w:rPr>
          <w:rtl/>
        </w:rPr>
      </w:pPr>
      <w:r>
        <w:rPr>
          <w:rFonts w:hint="cs"/>
          <w:rtl/>
        </w:rPr>
        <w:t xml:space="preserve">     </w:t>
      </w:r>
    </w:p>
    <w:p w14:paraId="1E8F7787" w14:textId="77777777" w:rsidR="00604CC9" w:rsidRDefault="00604CC9" w:rsidP="005C0458">
      <w:pPr>
        <w:tabs>
          <w:tab w:val="left" w:pos="2553"/>
        </w:tabs>
      </w:pPr>
      <w:r>
        <w:rPr>
          <w:rFonts w:hint="cs"/>
          <w:rtl/>
        </w:rPr>
        <w:tab/>
      </w:r>
      <w:r>
        <w:rPr>
          <w:rFonts w:hint="cs"/>
          <w:rtl/>
        </w:rPr>
        <w:tab/>
      </w:r>
      <w:r>
        <w:rPr>
          <w:rFonts w:hint="cs"/>
          <w:rtl/>
        </w:rPr>
        <w:tab/>
      </w:r>
      <w:r>
        <w:rPr>
          <w:rFonts w:hint="cs"/>
          <w:rtl/>
        </w:rPr>
        <w:tab/>
        <w:t xml:space="preserve">        </w:t>
      </w:r>
    </w:p>
    <w:p w14:paraId="00E93416" w14:textId="77777777" w:rsidR="00604CC9" w:rsidRPr="00525FC1" w:rsidRDefault="00525FC1" w:rsidP="00604CC9">
      <w:pPr>
        <w:tabs>
          <w:tab w:val="left" w:pos="2553"/>
        </w:tabs>
        <w:rPr>
          <w:rFonts w:ascii="Arial" w:hAnsi="Arial"/>
          <w:noProof w:val="0"/>
          <w:color w:val="FFFFFF"/>
          <w:sz w:val="2"/>
          <w:szCs w:val="2"/>
          <w:rtl/>
        </w:rPr>
      </w:pPr>
      <w:r w:rsidRPr="00525FC1">
        <w:rPr>
          <w:rFonts w:ascii="Arial" w:hAnsi="Arial"/>
          <w:noProof w:val="0"/>
          <w:color w:val="FFFFFF"/>
          <w:sz w:val="2"/>
          <w:szCs w:val="2"/>
          <w:rtl/>
        </w:rPr>
        <w:t>5129371</w:t>
      </w:r>
    </w:p>
    <w:p w14:paraId="0D7FF2C2" w14:textId="77777777" w:rsidR="00256351" w:rsidRPr="00525FC1" w:rsidRDefault="00525FC1" w:rsidP="005C0458">
      <w:pPr>
        <w:keepNext/>
        <w:rPr>
          <w:rFonts w:ascii="David" w:hAnsi="David"/>
          <w:color w:val="FFFFFF"/>
          <w:sz w:val="2"/>
          <w:szCs w:val="2"/>
          <w:rtl/>
        </w:rPr>
      </w:pPr>
      <w:r w:rsidRPr="00525FC1">
        <w:rPr>
          <w:rFonts w:ascii="David" w:hAnsi="David"/>
          <w:color w:val="FFFFFF"/>
          <w:sz w:val="2"/>
          <w:szCs w:val="2"/>
          <w:rtl/>
        </w:rPr>
        <w:t>54678313</w:t>
      </w:r>
    </w:p>
    <w:p w14:paraId="0090A9E3" w14:textId="77777777" w:rsidR="005C0458" w:rsidRDefault="005C0458" w:rsidP="005C0458">
      <w:pPr>
        <w:rPr>
          <w:rtl/>
        </w:rPr>
      </w:pPr>
    </w:p>
    <w:p w14:paraId="48D22B4A" w14:textId="77777777" w:rsidR="005C0458" w:rsidRDefault="005C0458" w:rsidP="005C0458">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41D39275" w14:textId="77777777" w:rsidR="00525FC1" w:rsidRPr="00525FC1" w:rsidRDefault="00525FC1" w:rsidP="00525FC1">
      <w:pPr>
        <w:keepNext/>
        <w:rPr>
          <w:rFonts w:ascii="David" w:hAnsi="David"/>
          <w:color w:val="000000"/>
          <w:sz w:val="22"/>
          <w:szCs w:val="22"/>
          <w:rtl/>
        </w:rPr>
      </w:pPr>
    </w:p>
    <w:p w14:paraId="6CA674A8" w14:textId="77777777" w:rsidR="00525FC1" w:rsidRPr="00525FC1" w:rsidRDefault="00525FC1" w:rsidP="00525FC1">
      <w:pPr>
        <w:keepNext/>
        <w:rPr>
          <w:rFonts w:ascii="David" w:hAnsi="David"/>
          <w:color w:val="000000"/>
          <w:sz w:val="22"/>
          <w:szCs w:val="22"/>
          <w:rtl/>
        </w:rPr>
      </w:pPr>
      <w:r w:rsidRPr="00525FC1">
        <w:rPr>
          <w:rFonts w:ascii="David" w:hAnsi="David"/>
          <w:color w:val="000000"/>
          <w:sz w:val="22"/>
          <w:szCs w:val="22"/>
          <w:rtl/>
        </w:rPr>
        <w:t xml:space="preserve"> ארז נוריאלי 54678313-/</w:t>
      </w:r>
    </w:p>
    <w:p w14:paraId="48D64F49" w14:textId="77777777" w:rsidR="005C0458" w:rsidRPr="005C0458" w:rsidRDefault="00525FC1" w:rsidP="00525FC1">
      <w:pPr>
        <w:rPr>
          <w:color w:val="0000FF"/>
          <w:u w:val="single"/>
        </w:rPr>
      </w:pPr>
      <w:r w:rsidRPr="00525FC1">
        <w:rPr>
          <w:color w:val="000000"/>
          <w:u w:val="single"/>
          <w:rtl/>
        </w:rPr>
        <w:t>נוסח מסמך זה כפוף לשינויי ניסוח ועריכה</w:t>
      </w:r>
    </w:p>
    <w:sectPr w:rsidR="005C0458" w:rsidRPr="005C0458" w:rsidSect="00525FC1">
      <w:headerReference w:type="even" r:id="rId51"/>
      <w:headerReference w:type="default" r:id="rId52"/>
      <w:footerReference w:type="even" r:id="rId53"/>
      <w:footerReference w:type="default" r:id="rId54"/>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875FF" w14:textId="77777777" w:rsidR="00B84774" w:rsidRDefault="00B84774" w:rsidP="005F72E3">
      <w:r>
        <w:separator/>
      </w:r>
    </w:p>
  </w:endnote>
  <w:endnote w:type="continuationSeparator" w:id="0">
    <w:p w14:paraId="64DAD156" w14:textId="77777777" w:rsidR="00B84774" w:rsidRDefault="00B84774" w:rsidP="005F7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02275" w14:textId="77777777" w:rsidR="00525FC1" w:rsidRDefault="00525FC1" w:rsidP="00525FC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8C6B287" w14:textId="77777777" w:rsidR="005C0458" w:rsidRPr="00525FC1" w:rsidRDefault="00525FC1" w:rsidP="00525FC1">
    <w:pPr>
      <w:pStyle w:val="a5"/>
      <w:pBdr>
        <w:top w:val="single" w:sz="4" w:space="1" w:color="auto"/>
        <w:between w:val="single" w:sz="4" w:space="0" w:color="auto"/>
      </w:pBdr>
      <w:spacing w:after="60"/>
      <w:jc w:val="center"/>
      <w:rPr>
        <w:rFonts w:ascii="FrankRuehl" w:hAnsi="FrankRuehl" w:cs="FrankRuehl"/>
        <w:color w:val="000000"/>
      </w:rPr>
    </w:pPr>
    <w:r w:rsidRPr="00525FC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B364B" w14:textId="77777777" w:rsidR="00525FC1" w:rsidRDefault="00525FC1" w:rsidP="00525FC1">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8E56B5">
      <w:rPr>
        <w:rStyle w:val="a8"/>
        <w:rFonts w:ascii="FrankRuehl" w:hAnsi="FrankRuehl" w:cs="FrankRuehl"/>
        <w:rtl/>
      </w:rPr>
      <w:t>1</w:t>
    </w:r>
    <w:r>
      <w:rPr>
        <w:rStyle w:val="a8"/>
        <w:rFonts w:ascii="FrankRuehl" w:hAnsi="FrankRuehl" w:cs="FrankRuehl"/>
        <w:rtl/>
      </w:rPr>
      <w:fldChar w:fldCharType="end"/>
    </w:r>
  </w:p>
  <w:p w14:paraId="31AE9EC2" w14:textId="77777777" w:rsidR="002B1D1C" w:rsidRPr="00525FC1" w:rsidRDefault="00525FC1" w:rsidP="00525FC1">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525FC1">
      <w:rPr>
        <w:rStyle w:val="a8"/>
        <w:rFonts w:ascii="FrankRuehl" w:hAnsi="FrankRuehl" w:cs="FrankRuehl" w:hint="cs"/>
        <w:color w:val="000000"/>
      </w:rPr>
      <w:pict w14:anchorId="41CF10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3BFB2" w14:textId="77777777" w:rsidR="00B84774" w:rsidRDefault="00B84774" w:rsidP="005F72E3">
      <w:r>
        <w:separator/>
      </w:r>
    </w:p>
  </w:footnote>
  <w:footnote w:type="continuationSeparator" w:id="0">
    <w:p w14:paraId="0E72354B" w14:textId="77777777" w:rsidR="00B84774" w:rsidRDefault="00B84774" w:rsidP="005F7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B52C2" w14:textId="77777777" w:rsidR="005C0458" w:rsidRPr="00525FC1" w:rsidRDefault="00525FC1" w:rsidP="00525F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44279-06-21</w:t>
    </w:r>
    <w:r>
      <w:rPr>
        <w:rFonts w:ascii="David" w:hAnsi="David"/>
        <w:color w:val="000000"/>
        <w:sz w:val="22"/>
        <w:szCs w:val="22"/>
        <w:rtl/>
      </w:rPr>
      <w:tab/>
      <w:t xml:space="preserve"> מדינת ישראל נ' טירויה נגוסה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65283" w14:textId="77777777" w:rsidR="005C0458" w:rsidRPr="00525FC1" w:rsidRDefault="00525FC1" w:rsidP="00525F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44279-06-21</w:t>
    </w:r>
    <w:r>
      <w:rPr>
        <w:rFonts w:ascii="David" w:hAnsi="David"/>
        <w:color w:val="000000"/>
        <w:sz w:val="22"/>
        <w:szCs w:val="22"/>
        <w:rtl/>
      </w:rPr>
      <w:tab/>
      <w:t xml:space="preserve"> מדינת ישראל נ' טירויה נגוסה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1EFB"/>
    <w:multiLevelType w:val="hybridMultilevel"/>
    <w:tmpl w:val="DD9080BA"/>
    <w:lvl w:ilvl="0" w:tplc="D5745D1C">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D25857"/>
    <w:multiLevelType w:val="hybridMultilevel"/>
    <w:tmpl w:val="8448486C"/>
    <w:lvl w:ilvl="0" w:tplc="4A76FFF8">
      <w:start w:val="1"/>
      <w:numFmt w:val="hebrew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F393A3A"/>
    <w:multiLevelType w:val="hybridMultilevel"/>
    <w:tmpl w:val="9FB42A84"/>
    <w:lvl w:ilvl="0" w:tplc="4F32B6A6">
      <w:start w:val="1"/>
      <w:numFmt w:val="hebrew1"/>
      <w:lvlText w:val="%1."/>
      <w:lvlJc w:val="left"/>
      <w:pPr>
        <w:ind w:left="720" w:hanging="360"/>
      </w:pPr>
      <w:rPr>
        <w:rFonts w:ascii="David" w:hAnsi="David"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7A9455D5"/>
    <w:multiLevelType w:val="hybridMultilevel"/>
    <w:tmpl w:val="684827AA"/>
    <w:lvl w:ilvl="0" w:tplc="CFB049EA">
      <w:start w:val="1"/>
      <w:numFmt w:val="decimal"/>
      <w:lvlText w:val="%1."/>
      <w:lvlJc w:val="left"/>
      <w:pPr>
        <w:ind w:left="360" w:hanging="360"/>
      </w:pPr>
      <w:rPr>
        <w:rFonts w:ascii="David" w:hAnsi="David" w:cs="David" w:hint="default"/>
        <w:b w:val="0"/>
        <w:bCs w:val="0"/>
      </w:rPr>
    </w:lvl>
    <w:lvl w:ilvl="1" w:tplc="04090019">
      <w:start w:val="1"/>
      <w:numFmt w:val="lowerLetter"/>
      <w:lvlText w:val="%2."/>
      <w:lvlJc w:val="left"/>
      <w:pPr>
        <w:ind w:left="870" w:hanging="360"/>
      </w:pPr>
      <w:rPr>
        <w:rFonts w:cs="Times New Roman"/>
      </w:rPr>
    </w:lvl>
    <w:lvl w:ilvl="2" w:tplc="0409001B">
      <w:start w:val="1"/>
      <w:numFmt w:val="lowerRoman"/>
      <w:lvlText w:val="%3."/>
      <w:lvlJc w:val="right"/>
      <w:pPr>
        <w:ind w:left="1590" w:hanging="180"/>
      </w:pPr>
      <w:rPr>
        <w:rFonts w:cs="Times New Roman"/>
      </w:rPr>
    </w:lvl>
    <w:lvl w:ilvl="3" w:tplc="0409000F">
      <w:start w:val="1"/>
      <w:numFmt w:val="decimal"/>
      <w:lvlText w:val="%4."/>
      <w:lvlJc w:val="left"/>
      <w:pPr>
        <w:ind w:left="2310" w:hanging="360"/>
      </w:pPr>
      <w:rPr>
        <w:rFonts w:cs="Times New Roman"/>
      </w:rPr>
    </w:lvl>
    <w:lvl w:ilvl="4" w:tplc="04090019">
      <w:start w:val="1"/>
      <w:numFmt w:val="lowerLetter"/>
      <w:lvlText w:val="%5."/>
      <w:lvlJc w:val="left"/>
      <w:pPr>
        <w:ind w:left="3030" w:hanging="360"/>
      </w:pPr>
      <w:rPr>
        <w:rFonts w:cs="Times New Roman"/>
      </w:rPr>
    </w:lvl>
    <w:lvl w:ilvl="5" w:tplc="0409001B">
      <w:start w:val="1"/>
      <w:numFmt w:val="lowerRoman"/>
      <w:lvlText w:val="%6."/>
      <w:lvlJc w:val="right"/>
      <w:pPr>
        <w:ind w:left="3750" w:hanging="180"/>
      </w:pPr>
      <w:rPr>
        <w:rFonts w:cs="Times New Roman"/>
      </w:rPr>
    </w:lvl>
    <w:lvl w:ilvl="6" w:tplc="0409000F">
      <w:start w:val="1"/>
      <w:numFmt w:val="decimal"/>
      <w:lvlText w:val="%7."/>
      <w:lvlJc w:val="left"/>
      <w:pPr>
        <w:ind w:left="4470" w:hanging="360"/>
      </w:pPr>
      <w:rPr>
        <w:rFonts w:cs="Times New Roman"/>
      </w:rPr>
    </w:lvl>
    <w:lvl w:ilvl="7" w:tplc="04090019">
      <w:start w:val="1"/>
      <w:numFmt w:val="lowerLetter"/>
      <w:lvlText w:val="%8."/>
      <w:lvlJc w:val="left"/>
      <w:pPr>
        <w:ind w:left="5190" w:hanging="360"/>
      </w:pPr>
      <w:rPr>
        <w:rFonts w:cs="Times New Roman"/>
      </w:rPr>
    </w:lvl>
    <w:lvl w:ilvl="8" w:tplc="0409001B">
      <w:start w:val="1"/>
      <w:numFmt w:val="lowerRoman"/>
      <w:lvlText w:val="%9."/>
      <w:lvlJc w:val="right"/>
      <w:pPr>
        <w:ind w:left="5910" w:hanging="180"/>
      </w:pPr>
      <w:rPr>
        <w:rFonts w:cs="Times New Roman"/>
      </w:rPr>
    </w:lvl>
  </w:abstractNum>
  <w:num w:numId="1" w16cid:durableId="145900793">
    <w:abstractNumId w:val="3"/>
  </w:num>
  <w:num w:numId="2" w16cid:durableId="9052608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87733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18738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4CC9"/>
    <w:rsid w:val="0016390F"/>
    <w:rsid w:val="001B5A3B"/>
    <w:rsid w:val="00256351"/>
    <w:rsid w:val="002B1D1C"/>
    <w:rsid w:val="003D0993"/>
    <w:rsid w:val="003F230B"/>
    <w:rsid w:val="00525FC1"/>
    <w:rsid w:val="005C0458"/>
    <w:rsid w:val="005F72E3"/>
    <w:rsid w:val="00604CC9"/>
    <w:rsid w:val="008E56B5"/>
    <w:rsid w:val="00B84774"/>
    <w:rsid w:val="00BD3E24"/>
    <w:rsid w:val="00D56C0B"/>
    <w:rsid w:val="00E7018E"/>
    <w:rsid w:val="00F936D8"/>
    <w:rsid w:val="00FE2E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86EE60"/>
  <w15:chartTrackingRefBased/>
  <w15:docId w15:val="{3C905D62-4372-44C7-A005-2E64CDB5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4CC9"/>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04CC9"/>
    <w:pPr>
      <w:tabs>
        <w:tab w:val="center" w:pos="4153"/>
        <w:tab w:val="right" w:pos="8306"/>
      </w:tabs>
    </w:pPr>
  </w:style>
  <w:style w:type="character" w:customStyle="1" w:styleId="a4">
    <w:name w:val="כותרת עליונה תו"/>
    <w:link w:val="a3"/>
    <w:rsid w:val="00604CC9"/>
    <w:rPr>
      <w:rFonts w:ascii="Times New Roman" w:eastAsia="Times New Roman" w:hAnsi="Times New Roman" w:cs="David"/>
      <w:noProof/>
      <w:sz w:val="24"/>
      <w:szCs w:val="24"/>
    </w:rPr>
  </w:style>
  <w:style w:type="paragraph" w:styleId="a5">
    <w:name w:val="footer"/>
    <w:basedOn w:val="a"/>
    <w:link w:val="a6"/>
    <w:rsid w:val="00604CC9"/>
    <w:pPr>
      <w:tabs>
        <w:tab w:val="center" w:pos="4153"/>
        <w:tab w:val="right" w:pos="8306"/>
      </w:tabs>
    </w:pPr>
  </w:style>
  <w:style w:type="character" w:customStyle="1" w:styleId="a6">
    <w:name w:val="כותרת תחתונה תו"/>
    <w:link w:val="a5"/>
    <w:rsid w:val="00604CC9"/>
    <w:rPr>
      <w:rFonts w:ascii="Times New Roman" w:eastAsia="Times New Roman" w:hAnsi="Times New Roman" w:cs="David"/>
      <w:noProof/>
      <w:sz w:val="24"/>
      <w:szCs w:val="24"/>
    </w:rPr>
  </w:style>
  <w:style w:type="table" w:styleId="a7">
    <w:name w:val="Table Grid"/>
    <w:basedOn w:val="a1"/>
    <w:rsid w:val="00604CC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04CC9"/>
  </w:style>
  <w:style w:type="character" w:styleId="Hyperlink">
    <w:name w:val="Hyperlink"/>
    <w:rsid w:val="00604CC9"/>
    <w:rPr>
      <w:color w:val="0000FF"/>
      <w:u w:val="single"/>
    </w:rPr>
  </w:style>
  <w:style w:type="paragraph" w:styleId="a9">
    <w:name w:val="List Paragraph"/>
    <w:basedOn w:val="a"/>
    <w:qFormat/>
    <w:rsid w:val="00604CC9"/>
    <w:pPr>
      <w:ind w:left="720"/>
      <w:contextualSpacing/>
    </w:pPr>
  </w:style>
  <w:style w:type="paragraph" w:customStyle="1" w:styleId="listparagraph">
    <w:name w:val="listparagraph"/>
    <w:basedOn w:val="a"/>
    <w:rsid w:val="00604CC9"/>
    <w:pPr>
      <w:spacing w:after="160" w:line="252" w:lineRule="auto"/>
      <w:ind w:left="720"/>
    </w:pPr>
    <w:rPr>
      <w:rFonts w:ascii="Calibri" w:hAnsi="Calibri" w:cs="Calibri"/>
      <w:noProof w:val="0"/>
      <w:sz w:val="22"/>
      <w:szCs w:val="22"/>
    </w:rPr>
  </w:style>
  <w:style w:type="character" w:styleId="aa">
    <w:name w:val="line number"/>
    <w:rsid w:val="00604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5583030" TargetMode="External"/><Relationship Id="rId39" Type="http://schemas.openxmlformats.org/officeDocument/2006/relationships/hyperlink" Target="http://www.nevo.co.il/case/25584217" TargetMode="External"/><Relationship Id="rId21" Type="http://schemas.openxmlformats.org/officeDocument/2006/relationships/hyperlink" Target="http://www.nevo.co.il/case/21472796" TargetMode="External"/><Relationship Id="rId34" Type="http://schemas.openxmlformats.org/officeDocument/2006/relationships/hyperlink" Target="http://www.nevo.co.il/case/7012287" TargetMode="External"/><Relationship Id="rId42" Type="http://schemas.openxmlformats.org/officeDocument/2006/relationships/hyperlink" Target="http://www.nevo.co.il/case/17011278" TargetMode="External"/><Relationship Id="rId47" Type="http://schemas.openxmlformats.org/officeDocument/2006/relationships/hyperlink" Target="http://www.nevo.co.il/law/70301"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13093721" TargetMode="External"/><Relationship Id="rId29" Type="http://schemas.openxmlformats.org/officeDocument/2006/relationships/hyperlink" Target="http://www.nevo.co.il/case/5786821" TargetMode="External"/><Relationship Id="rId11" Type="http://schemas.openxmlformats.org/officeDocument/2006/relationships/hyperlink" Target="http://www.nevo.co.il/law/70301/40b" TargetMode="External"/><Relationship Id="rId24" Type="http://schemas.openxmlformats.org/officeDocument/2006/relationships/hyperlink" Target="http://www.nevo.co.il/case/20205876" TargetMode="External"/><Relationship Id="rId32" Type="http://schemas.openxmlformats.org/officeDocument/2006/relationships/hyperlink" Target="http://www.nevo.co.il/case/5896323" TargetMode="External"/><Relationship Id="rId37" Type="http://schemas.openxmlformats.org/officeDocument/2006/relationships/hyperlink" Target="http://www.nevo.co.il/case/22819882" TargetMode="External"/><Relationship Id="rId40" Type="http://schemas.openxmlformats.org/officeDocument/2006/relationships/hyperlink" Target="http://www.nevo.co.il/case/26742584" TargetMode="External"/><Relationship Id="rId45" Type="http://schemas.openxmlformats.org/officeDocument/2006/relationships/hyperlink" Target="http://www.nevo.co.il/law/70301"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7939812" TargetMode="External"/><Relationship Id="rId44" Type="http://schemas.openxmlformats.org/officeDocument/2006/relationships/hyperlink" Target="http://www.nevo.co.il/case/22963299"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17932979" TargetMode="External"/><Relationship Id="rId27" Type="http://schemas.openxmlformats.org/officeDocument/2006/relationships/hyperlink" Target="http://www.nevo.co.il/case/5698919" TargetMode="External"/><Relationship Id="rId30" Type="http://schemas.openxmlformats.org/officeDocument/2006/relationships/hyperlink" Target="http://www.nevo.co.il/case/6045416" TargetMode="External"/><Relationship Id="rId35" Type="http://schemas.openxmlformats.org/officeDocument/2006/relationships/hyperlink" Target="http://www.nevo.co.il/case/21477472" TargetMode="External"/><Relationship Id="rId43" Type="http://schemas.openxmlformats.org/officeDocument/2006/relationships/hyperlink" Target="http://www.nevo.co.il/case/23360870" TargetMode="External"/><Relationship Id="rId48" Type="http://schemas.openxmlformats.org/officeDocument/2006/relationships/hyperlink" Target="http://www.nevo.co.il/law/4216" TargetMode="External"/><Relationship Id="rId56" Type="http://schemas.openxmlformats.org/officeDocument/2006/relationships/theme" Target="theme/theme1.xml"/><Relationship Id="rId8" Type="http://schemas.openxmlformats.org/officeDocument/2006/relationships/hyperlink" Target="http://www.nevo.co.il/law/4216/13"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20033641" TargetMode="External"/><Relationship Id="rId25" Type="http://schemas.openxmlformats.org/officeDocument/2006/relationships/hyperlink" Target="http://www.nevo.co.il/case/5738608"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5664174" TargetMode="External"/><Relationship Id="rId46" Type="http://schemas.openxmlformats.org/officeDocument/2006/relationships/hyperlink" Target="http://www.nevo.co.il/law/70301/40ja"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1753662"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5726579" TargetMode="External"/><Relationship Id="rId28" Type="http://schemas.openxmlformats.org/officeDocument/2006/relationships/hyperlink" Target="http://www.nevo.co.il/case/20131420" TargetMode="External"/><Relationship Id="rId36" Type="http://schemas.openxmlformats.org/officeDocument/2006/relationships/hyperlink" Target="http://www.nevo.co.il/case/5605484" TargetMode="External"/><Relationship Id="rId4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3109</Words>
  <Characters>15546</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18618</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8257637</vt:i4>
      </vt:variant>
      <vt:variant>
        <vt:i4>126</vt:i4>
      </vt:variant>
      <vt:variant>
        <vt:i4>0</vt:i4>
      </vt:variant>
      <vt:variant>
        <vt:i4>5</vt:i4>
      </vt:variant>
      <vt:variant>
        <vt:lpwstr>http://www.nevo.co.il/law/4216</vt:lpwstr>
      </vt:variant>
      <vt:variant>
        <vt:lpwstr/>
      </vt:variant>
      <vt:variant>
        <vt:i4>8257637</vt:i4>
      </vt:variant>
      <vt:variant>
        <vt:i4>123</vt:i4>
      </vt:variant>
      <vt:variant>
        <vt:i4>0</vt:i4>
      </vt:variant>
      <vt:variant>
        <vt:i4>5</vt:i4>
      </vt:variant>
      <vt:variant>
        <vt:lpwstr>http://www.nevo.co.il/law/4216</vt:lpwstr>
      </vt:variant>
      <vt:variant>
        <vt:lpwstr/>
      </vt:variant>
      <vt:variant>
        <vt:i4>7995492</vt:i4>
      </vt:variant>
      <vt:variant>
        <vt:i4>120</vt:i4>
      </vt:variant>
      <vt:variant>
        <vt:i4>0</vt:i4>
      </vt:variant>
      <vt:variant>
        <vt:i4>5</vt:i4>
      </vt:variant>
      <vt:variant>
        <vt:lpwstr>http://www.nevo.co.il/law/70301</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3211378</vt:i4>
      </vt:variant>
      <vt:variant>
        <vt:i4>111</vt:i4>
      </vt:variant>
      <vt:variant>
        <vt:i4>0</vt:i4>
      </vt:variant>
      <vt:variant>
        <vt:i4>5</vt:i4>
      </vt:variant>
      <vt:variant>
        <vt:lpwstr>http://www.nevo.co.il/case/22963299</vt:lpwstr>
      </vt:variant>
      <vt:variant>
        <vt:lpwstr/>
      </vt:variant>
      <vt:variant>
        <vt:i4>3539065</vt:i4>
      </vt:variant>
      <vt:variant>
        <vt:i4>108</vt:i4>
      </vt:variant>
      <vt:variant>
        <vt:i4>0</vt:i4>
      </vt:variant>
      <vt:variant>
        <vt:i4>5</vt:i4>
      </vt:variant>
      <vt:variant>
        <vt:lpwstr>http://www.nevo.co.il/case/23360870</vt:lpwstr>
      </vt:variant>
      <vt:variant>
        <vt:lpwstr/>
      </vt:variant>
      <vt:variant>
        <vt:i4>3604592</vt:i4>
      </vt:variant>
      <vt:variant>
        <vt:i4>105</vt:i4>
      </vt:variant>
      <vt:variant>
        <vt:i4>0</vt:i4>
      </vt:variant>
      <vt:variant>
        <vt:i4>5</vt:i4>
      </vt:variant>
      <vt:variant>
        <vt:lpwstr>http://www.nevo.co.il/case/17011278</vt:lpwstr>
      </vt:variant>
      <vt:variant>
        <vt:lpwstr/>
      </vt:variant>
      <vt:variant>
        <vt:i4>3145846</vt:i4>
      </vt:variant>
      <vt:variant>
        <vt:i4>102</vt:i4>
      </vt:variant>
      <vt:variant>
        <vt:i4>0</vt:i4>
      </vt:variant>
      <vt:variant>
        <vt:i4>5</vt:i4>
      </vt:variant>
      <vt:variant>
        <vt:lpwstr>http://www.nevo.co.il/case/21753662</vt:lpwstr>
      </vt:variant>
      <vt:variant>
        <vt:lpwstr/>
      </vt:variant>
      <vt:variant>
        <vt:i4>4128883</vt:i4>
      </vt:variant>
      <vt:variant>
        <vt:i4>99</vt:i4>
      </vt:variant>
      <vt:variant>
        <vt:i4>0</vt:i4>
      </vt:variant>
      <vt:variant>
        <vt:i4>5</vt:i4>
      </vt:variant>
      <vt:variant>
        <vt:lpwstr>http://www.nevo.co.il/case/26742584</vt:lpwstr>
      </vt:variant>
      <vt:variant>
        <vt:lpwstr/>
      </vt:variant>
      <vt:variant>
        <vt:i4>3276923</vt:i4>
      </vt:variant>
      <vt:variant>
        <vt:i4>96</vt:i4>
      </vt:variant>
      <vt:variant>
        <vt:i4>0</vt:i4>
      </vt:variant>
      <vt:variant>
        <vt:i4>5</vt:i4>
      </vt:variant>
      <vt:variant>
        <vt:lpwstr>http://www.nevo.co.il/case/25584217</vt:lpwstr>
      </vt:variant>
      <vt:variant>
        <vt:lpwstr/>
      </vt:variant>
      <vt:variant>
        <vt:i4>3604598</vt:i4>
      </vt:variant>
      <vt:variant>
        <vt:i4>93</vt:i4>
      </vt:variant>
      <vt:variant>
        <vt:i4>0</vt:i4>
      </vt:variant>
      <vt:variant>
        <vt:i4>5</vt:i4>
      </vt:variant>
      <vt:variant>
        <vt:lpwstr>http://www.nevo.co.il/case/25664174</vt:lpwstr>
      </vt:variant>
      <vt:variant>
        <vt:lpwstr/>
      </vt:variant>
      <vt:variant>
        <vt:i4>3866751</vt:i4>
      </vt:variant>
      <vt:variant>
        <vt:i4>90</vt:i4>
      </vt:variant>
      <vt:variant>
        <vt:i4>0</vt:i4>
      </vt:variant>
      <vt:variant>
        <vt:i4>5</vt:i4>
      </vt:variant>
      <vt:variant>
        <vt:lpwstr>http://www.nevo.co.il/case/22819882</vt:lpwstr>
      </vt:variant>
      <vt:variant>
        <vt:lpwstr/>
      </vt:variant>
      <vt:variant>
        <vt:i4>3473535</vt:i4>
      </vt:variant>
      <vt:variant>
        <vt:i4>87</vt:i4>
      </vt:variant>
      <vt:variant>
        <vt:i4>0</vt:i4>
      </vt:variant>
      <vt:variant>
        <vt:i4>5</vt:i4>
      </vt:variant>
      <vt:variant>
        <vt:lpwstr>http://www.nevo.co.il/case/5605484</vt:lpwstr>
      </vt:variant>
      <vt:variant>
        <vt:lpwstr/>
      </vt:variant>
      <vt:variant>
        <vt:i4>3539062</vt:i4>
      </vt:variant>
      <vt:variant>
        <vt:i4>84</vt:i4>
      </vt:variant>
      <vt:variant>
        <vt:i4>0</vt:i4>
      </vt:variant>
      <vt:variant>
        <vt:i4>5</vt:i4>
      </vt:variant>
      <vt:variant>
        <vt:lpwstr>http://www.nevo.co.il/case/21477472</vt:lpwstr>
      </vt:variant>
      <vt:variant>
        <vt:lpwstr/>
      </vt:variant>
      <vt:variant>
        <vt:i4>3342462</vt:i4>
      </vt:variant>
      <vt:variant>
        <vt:i4>81</vt:i4>
      </vt:variant>
      <vt:variant>
        <vt:i4>0</vt:i4>
      </vt:variant>
      <vt:variant>
        <vt:i4>5</vt:i4>
      </vt:variant>
      <vt:variant>
        <vt:lpwstr>http://www.nevo.co.il/case/7012287</vt:lpwstr>
      </vt:variant>
      <vt:variant>
        <vt:lpwstr/>
      </vt:variant>
      <vt:variant>
        <vt:i4>7995492</vt:i4>
      </vt:variant>
      <vt:variant>
        <vt:i4>78</vt:i4>
      </vt:variant>
      <vt:variant>
        <vt:i4>0</vt:i4>
      </vt:variant>
      <vt:variant>
        <vt:i4>5</vt:i4>
      </vt:variant>
      <vt:variant>
        <vt:lpwstr>http://www.nevo.co.il/law/70301</vt:lpwstr>
      </vt:variant>
      <vt:variant>
        <vt:lpwstr/>
      </vt:variant>
      <vt:variant>
        <vt:i4>3932280</vt:i4>
      </vt:variant>
      <vt:variant>
        <vt:i4>75</vt:i4>
      </vt:variant>
      <vt:variant>
        <vt:i4>0</vt:i4>
      </vt:variant>
      <vt:variant>
        <vt:i4>5</vt:i4>
      </vt:variant>
      <vt:variant>
        <vt:lpwstr>http://www.nevo.co.il/case/5896323</vt:lpwstr>
      </vt:variant>
      <vt:variant>
        <vt:lpwstr/>
      </vt:variant>
      <vt:variant>
        <vt:i4>3145848</vt:i4>
      </vt:variant>
      <vt:variant>
        <vt:i4>72</vt:i4>
      </vt:variant>
      <vt:variant>
        <vt:i4>0</vt:i4>
      </vt:variant>
      <vt:variant>
        <vt:i4>5</vt:i4>
      </vt:variant>
      <vt:variant>
        <vt:lpwstr>http://www.nevo.co.il/case/17939812</vt:lpwstr>
      </vt:variant>
      <vt:variant>
        <vt:lpwstr/>
      </vt:variant>
      <vt:variant>
        <vt:i4>3145840</vt:i4>
      </vt:variant>
      <vt:variant>
        <vt:i4>69</vt:i4>
      </vt:variant>
      <vt:variant>
        <vt:i4>0</vt:i4>
      </vt:variant>
      <vt:variant>
        <vt:i4>5</vt:i4>
      </vt:variant>
      <vt:variant>
        <vt:lpwstr>http://www.nevo.co.il/case/6045416</vt:lpwstr>
      </vt:variant>
      <vt:variant>
        <vt:lpwstr/>
      </vt:variant>
      <vt:variant>
        <vt:i4>3407991</vt:i4>
      </vt:variant>
      <vt:variant>
        <vt:i4>66</vt:i4>
      </vt:variant>
      <vt:variant>
        <vt:i4>0</vt:i4>
      </vt:variant>
      <vt:variant>
        <vt:i4>5</vt:i4>
      </vt:variant>
      <vt:variant>
        <vt:lpwstr>http://www.nevo.co.il/case/5786821</vt:lpwstr>
      </vt:variant>
      <vt:variant>
        <vt:lpwstr/>
      </vt:variant>
      <vt:variant>
        <vt:i4>3145843</vt:i4>
      </vt:variant>
      <vt:variant>
        <vt:i4>63</vt:i4>
      </vt:variant>
      <vt:variant>
        <vt:i4>0</vt:i4>
      </vt:variant>
      <vt:variant>
        <vt:i4>5</vt:i4>
      </vt:variant>
      <vt:variant>
        <vt:lpwstr>http://www.nevo.co.il/case/20131420</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3997809</vt:i4>
      </vt:variant>
      <vt:variant>
        <vt:i4>57</vt:i4>
      </vt:variant>
      <vt:variant>
        <vt:i4>0</vt:i4>
      </vt:variant>
      <vt:variant>
        <vt:i4>5</vt:i4>
      </vt:variant>
      <vt:variant>
        <vt:lpwstr>http://www.nevo.co.il/case/5583030</vt:lpwstr>
      </vt:variant>
      <vt:variant>
        <vt:lpwstr/>
      </vt:variant>
      <vt:variant>
        <vt:i4>3670139</vt:i4>
      </vt:variant>
      <vt:variant>
        <vt:i4>54</vt:i4>
      </vt:variant>
      <vt:variant>
        <vt:i4>0</vt:i4>
      </vt:variant>
      <vt:variant>
        <vt:i4>5</vt:i4>
      </vt:variant>
      <vt:variant>
        <vt:lpwstr>http://www.nevo.co.il/case/5738608</vt:lpwstr>
      </vt:variant>
      <vt:variant>
        <vt:lpwstr/>
      </vt:variant>
      <vt:variant>
        <vt:i4>3276924</vt:i4>
      </vt:variant>
      <vt:variant>
        <vt:i4>51</vt:i4>
      </vt:variant>
      <vt:variant>
        <vt:i4>0</vt:i4>
      </vt:variant>
      <vt:variant>
        <vt:i4>5</vt:i4>
      </vt:variant>
      <vt:variant>
        <vt:lpwstr>http://www.nevo.co.il/case/20205876</vt:lpwstr>
      </vt:variant>
      <vt:variant>
        <vt:lpwstr/>
      </vt:variant>
      <vt:variant>
        <vt:i4>3866738</vt:i4>
      </vt:variant>
      <vt:variant>
        <vt:i4>48</vt:i4>
      </vt:variant>
      <vt:variant>
        <vt:i4>0</vt:i4>
      </vt:variant>
      <vt:variant>
        <vt:i4>5</vt:i4>
      </vt:variant>
      <vt:variant>
        <vt:lpwstr>http://www.nevo.co.il/case/5726579</vt:lpwstr>
      </vt:variant>
      <vt:variant>
        <vt:lpwstr/>
      </vt:variant>
      <vt:variant>
        <vt:i4>3997817</vt:i4>
      </vt:variant>
      <vt:variant>
        <vt:i4>45</vt:i4>
      </vt:variant>
      <vt:variant>
        <vt:i4>0</vt:i4>
      </vt:variant>
      <vt:variant>
        <vt:i4>5</vt:i4>
      </vt:variant>
      <vt:variant>
        <vt:lpwstr>http://www.nevo.co.il/case/17932979</vt:lpwstr>
      </vt:variant>
      <vt:variant>
        <vt:lpwstr/>
      </vt:variant>
      <vt:variant>
        <vt:i4>3997813</vt:i4>
      </vt:variant>
      <vt:variant>
        <vt:i4>42</vt:i4>
      </vt:variant>
      <vt:variant>
        <vt:i4>0</vt:i4>
      </vt:variant>
      <vt:variant>
        <vt:i4>5</vt:i4>
      </vt:variant>
      <vt:variant>
        <vt:lpwstr>http://www.nevo.co.il/case/21472796</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3473521</vt:i4>
      </vt:variant>
      <vt:variant>
        <vt:i4>30</vt:i4>
      </vt:variant>
      <vt:variant>
        <vt:i4>0</vt:i4>
      </vt:variant>
      <vt:variant>
        <vt:i4>5</vt:i4>
      </vt:variant>
      <vt:variant>
        <vt:lpwstr>http://www.nevo.co.il/case/20033641</vt:lpwstr>
      </vt:variant>
      <vt:variant>
        <vt:lpwstr/>
      </vt:variant>
      <vt:variant>
        <vt:i4>3145849</vt:i4>
      </vt:variant>
      <vt:variant>
        <vt:i4>27</vt:i4>
      </vt:variant>
      <vt:variant>
        <vt:i4>0</vt:i4>
      </vt:variant>
      <vt:variant>
        <vt:i4>5</vt:i4>
      </vt:variant>
      <vt:variant>
        <vt:lpwstr>http://www.nevo.co.il/case/13093721</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2025-04-23T01:05:00Z</dcterms:created>
  <dcterms:modified xsi:type="dcterms:W3CDTF">2025-04-23T01:05:00Z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44279</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טירויה נגוסה </vt:lpwstr>
  </property>
  <property fmtid="{D5CDD505-2E9C-101B-9397-08002B2CF9AE}" pid="10" name="LAWYER">
    <vt:lpwstr>נעמה לסרי;מיכאל עירוני</vt:lpwstr>
  </property>
  <property fmtid="{D5CDD505-2E9C-101B-9397-08002B2CF9AE}" pid="11" name="JUDGE">
    <vt:lpwstr> ארז נוריאלי</vt:lpwstr>
  </property>
  <property fmtid="{D5CDD505-2E9C-101B-9397-08002B2CF9AE}" pid="12" name="CITY">
    <vt:lpwstr>ראשל"צ</vt:lpwstr>
  </property>
  <property fmtid="{D5CDD505-2E9C-101B-9397-08002B2CF9AE}" pid="13" name="DATE">
    <vt:lpwstr>20220215</vt:lpwstr>
  </property>
  <property fmtid="{D5CDD505-2E9C-101B-9397-08002B2CF9AE}" pid="14" name="TYPE_N_DATE">
    <vt:lpwstr>38020220215</vt:lpwstr>
  </property>
  <property fmtid="{D5CDD505-2E9C-101B-9397-08002B2CF9AE}" pid="15" name="WORDNUMPAGES">
    <vt:lpwstr>8</vt:lpwstr>
  </property>
  <property fmtid="{D5CDD505-2E9C-101B-9397-08002B2CF9AE}" pid="16" name="TYPE_ABS_DATE">
    <vt:lpwstr>380020220215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13093721;20033641;21472796;17932979;5726579;20205876;5738608;5583030;5698919;20131420;5786821;6045416;17939812;5896323;7012287;21477472;5605484;22819882;25664174;25584217;26742584;21753662;17011278;23360870;22963299</vt:lpwstr>
  </property>
  <property fmtid="{D5CDD505-2E9C-101B-9397-08002B2CF9AE}" pid="36" name="LAWLISTTMP1">
    <vt:lpwstr>4216/013;019a</vt:lpwstr>
  </property>
  <property fmtid="{D5CDD505-2E9C-101B-9397-08002B2CF9AE}" pid="37" name="LAWLISTTMP2">
    <vt:lpwstr>70301/040b;40ja</vt:lpwstr>
  </property>
</Properties>
</file>